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A4F8A" w14:textId="77777777" w:rsidR="00163A6B" w:rsidRDefault="00163A6B" w:rsidP="00163A6B"/>
    <w:p w14:paraId="7AF3E7F9" w14:textId="3611CEF8" w:rsidR="00163A6B" w:rsidRPr="00163A6B" w:rsidRDefault="005D1447" w:rsidP="00845B8A">
      <w:pPr>
        <w:tabs>
          <w:tab w:val="left" w:pos="2508"/>
          <w:tab w:val="left" w:pos="5028"/>
        </w:tabs>
        <w:rPr>
          <w:rFonts w:ascii="Arial" w:hAnsi="Arial" w:cs="Arial"/>
          <w:sz w:val="36"/>
          <w:szCs w:val="36"/>
        </w:rPr>
      </w:pPr>
      <w:r>
        <w:rPr>
          <w:rFonts w:ascii="Arial" w:hAnsi="Arial" w:cs="Arial"/>
          <w:sz w:val="36"/>
          <w:szCs w:val="36"/>
        </w:rPr>
        <w:tab/>
      </w:r>
      <w:r w:rsidR="00845B8A">
        <w:rPr>
          <w:rFonts w:ascii="Arial" w:hAnsi="Arial" w:cs="Arial"/>
          <w:sz w:val="36"/>
          <w:szCs w:val="36"/>
        </w:rPr>
        <w:tab/>
      </w:r>
    </w:p>
    <w:p w14:paraId="774A5CA1" w14:textId="78176F32" w:rsidR="00163A6B" w:rsidRPr="00163A6B" w:rsidRDefault="00163A6B" w:rsidP="005D7B41">
      <w:pPr>
        <w:jc w:val="center"/>
        <w:rPr>
          <w:rFonts w:ascii="Arial" w:hAnsi="Arial" w:cs="Arial"/>
          <w:sz w:val="36"/>
          <w:szCs w:val="36"/>
        </w:rPr>
      </w:pPr>
      <w:r w:rsidRPr="00163A6B">
        <w:rPr>
          <w:rFonts w:ascii="Arial" w:hAnsi="Arial" w:cs="Arial"/>
          <w:sz w:val="36"/>
          <w:szCs w:val="36"/>
        </w:rPr>
        <w:t>Student Name: Raduta Adriana Plesca</w:t>
      </w:r>
    </w:p>
    <w:p w14:paraId="5D86191E" w14:textId="67D98E5C" w:rsidR="00163A6B" w:rsidRPr="00163A6B" w:rsidRDefault="00163A6B" w:rsidP="005D7B41">
      <w:pPr>
        <w:jc w:val="center"/>
        <w:rPr>
          <w:rFonts w:ascii="Arial" w:hAnsi="Arial" w:cs="Arial"/>
          <w:sz w:val="36"/>
          <w:szCs w:val="36"/>
        </w:rPr>
      </w:pPr>
      <w:r w:rsidRPr="00163A6B">
        <w:rPr>
          <w:rFonts w:ascii="Arial" w:hAnsi="Arial" w:cs="Arial"/>
          <w:sz w:val="36"/>
          <w:szCs w:val="36"/>
        </w:rPr>
        <w:t xml:space="preserve">Module </w:t>
      </w:r>
      <w:r w:rsidR="005D7B41" w:rsidRPr="00163A6B">
        <w:rPr>
          <w:rFonts w:ascii="Arial" w:hAnsi="Arial" w:cs="Arial"/>
          <w:sz w:val="36"/>
          <w:szCs w:val="36"/>
        </w:rPr>
        <w:t>Code: LCLM</w:t>
      </w:r>
      <w:r w:rsidRPr="00163A6B">
        <w:rPr>
          <w:rFonts w:ascii="Arial" w:hAnsi="Arial" w:cs="Arial"/>
          <w:sz w:val="36"/>
          <w:szCs w:val="36"/>
        </w:rPr>
        <w:t xml:space="preserve"> 5001</w:t>
      </w:r>
    </w:p>
    <w:p w14:paraId="463AFDBB" w14:textId="6C99E160" w:rsidR="00163A6B" w:rsidRPr="00163A6B" w:rsidRDefault="00163A6B" w:rsidP="005D7B41">
      <w:pPr>
        <w:jc w:val="center"/>
        <w:rPr>
          <w:rFonts w:ascii="Arial" w:hAnsi="Arial" w:cs="Arial"/>
          <w:sz w:val="36"/>
          <w:szCs w:val="36"/>
        </w:rPr>
      </w:pPr>
      <w:r w:rsidRPr="00163A6B">
        <w:rPr>
          <w:rFonts w:ascii="Arial" w:hAnsi="Arial" w:cs="Arial"/>
          <w:sz w:val="36"/>
          <w:szCs w:val="36"/>
        </w:rPr>
        <w:t>Module Name: Understanding and Engaging Stakeholders</w:t>
      </w:r>
    </w:p>
    <w:p w14:paraId="11664322" w14:textId="43AC10B3" w:rsidR="00163A6B" w:rsidRPr="00163A6B" w:rsidRDefault="00163A6B" w:rsidP="005D7B41">
      <w:pPr>
        <w:jc w:val="center"/>
        <w:rPr>
          <w:rFonts w:ascii="Arial" w:hAnsi="Arial" w:cs="Arial"/>
          <w:sz w:val="36"/>
          <w:szCs w:val="36"/>
        </w:rPr>
      </w:pPr>
      <w:r w:rsidRPr="00163A6B">
        <w:rPr>
          <w:rFonts w:ascii="Arial" w:hAnsi="Arial" w:cs="Arial"/>
          <w:sz w:val="36"/>
          <w:szCs w:val="36"/>
        </w:rPr>
        <w:t>Individual Report-InterContinental Hotels</w:t>
      </w:r>
    </w:p>
    <w:p w14:paraId="1B55952B" w14:textId="77777777" w:rsidR="00163A6B" w:rsidRDefault="00163A6B" w:rsidP="00163A6B"/>
    <w:p w14:paraId="2AD814E6" w14:textId="77777777" w:rsidR="00163A6B" w:rsidRDefault="00163A6B" w:rsidP="00163A6B"/>
    <w:p w14:paraId="149EF952" w14:textId="77777777" w:rsidR="00163A6B" w:rsidRDefault="00163A6B" w:rsidP="00163A6B"/>
    <w:p w14:paraId="7D84F633" w14:textId="77777777" w:rsidR="00163A6B" w:rsidRDefault="00163A6B" w:rsidP="00163A6B"/>
    <w:p w14:paraId="43E3C798" w14:textId="3C3652E6" w:rsidR="00163A6B" w:rsidRDefault="00341967" w:rsidP="00341967">
      <w:pPr>
        <w:tabs>
          <w:tab w:val="left" w:pos="1572"/>
        </w:tabs>
      </w:pPr>
      <w:r>
        <w:tab/>
      </w:r>
    </w:p>
    <w:p w14:paraId="30781AD5" w14:textId="77777777" w:rsidR="00163A6B" w:rsidRDefault="00163A6B" w:rsidP="00163A6B"/>
    <w:p w14:paraId="3B7D5A67" w14:textId="77777777" w:rsidR="00163A6B" w:rsidRDefault="00163A6B" w:rsidP="00163A6B"/>
    <w:p w14:paraId="0A67CED0" w14:textId="77777777" w:rsidR="00163A6B" w:rsidRDefault="00163A6B" w:rsidP="00163A6B"/>
    <w:p w14:paraId="7DBA91C9" w14:textId="77777777" w:rsidR="00163A6B" w:rsidRDefault="00163A6B" w:rsidP="00163A6B"/>
    <w:p w14:paraId="0158D5B0" w14:textId="77777777" w:rsidR="00163A6B" w:rsidRDefault="00163A6B" w:rsidP="00163A6B"/>
    <w:p w14:paraId="50F63CA6" w14:textId="77777777" w:rsidR="00163A6B" w:rsidRDefault="00163A6B" w:rsidP="00163A6B"/>
    <w:p w14:paraId="3459C4B4" w14:textId="77777777" w:rsidR="00163A6B" w:rsidRDefault="00163A6B" w:rsidP="00163A6B"/>
    <w:p w14:paraId="7E89CE8A" w14:textId="77777777" w:rsidR="00163A6B" w:rsidRDefault="00163A6B" w:rsidP="00163A6B"/>
    <w:p w14:paraId="4194D06B" w14:textId="77777777" w:rsidR="00163A6B" w:rsidRDefault="00163A6B" w:rsidP="00163A6B"/>
    <w:p w14:paraId="4837F1B2" w14:textId="77777777" w:rsidR="00163A6B" w:rsidRDefault="00163A6B" w:rsidP="00163A6B"/>
    <w:p w14:paraId="27612037" w14:textId="77777777" w:rsidR="00163A6B" w:rsidRDefault="00163A6B" w:rsidP="00163A6B"/>
    <w:p w14:paraId="12B1AA02" w14:textId="77777777" w:rsidR="00163A6B" w:rsidRDefault="00163A6B" w:rsidP="00163A6B"/>
    <w:p w14:paraId="74CF9FAC" w14:textId="77777777" w:rsidR="00163A6B" w:rsidRDefault="00163A6B" w:rsidP="00163A6B"/>
    <w:p w14:paraId="5730B77A" w14:textId="77777777" w:rsidR="00163A6B" w:rsidRDefault="00163A6B" w:rsidP="00163A6B"/>
    <w:p w14:paraId="0CD3FC86" w14:textId="77777777" w:rsidR="00163A6B" w:rsidRDefault="00163A6B" w:rsidP="00163A6B"/>
    <w:p w14:paraId="6A735358" w14:textId="77777777" w:rsidR="00163A6B" w:rsidRDefault="00163A6B" w:rsidP="00163A6B"/>
    <w:sdt>
      <w:sdtPr>
        <w:rPr>
          <w:rFonts w:asciiTheme="minorHAnsi" w:eastAsiaTheme="minorHAnsi" w:hAnsiTheme="minorHAnsi" w:cstheme="minorBidi"/>
          <w:color w:val="auto"/>
          <w:kern w:val="2"/>
          <w:sz w:val="24"/>
          <w:szCs w:val="24"/>
          <w:lang w:val="en-GB"/>
          <w14:ligatures w14:val="standardContextual"/>
        </w:rPr>
        <w:id w:val="-1148892031"/>
        <w:docPartObj>
          <w:docPartGallery w:val="Table of Contents"/>
          <w:docPartUnique/>
        </w:docPartObj>
      </w:sdtPr>
      <w:sdtEndPr>
        <w:rPr>
          <w:b/>
          <w:bCs/>
          <w:noProof/>
        </w:rPr>
      </w:sdtEndPr>
      <w:sdtContent>
        <w:p w14:paraId="576AC466" w14:textId="4A98AA1F" w:rsidR="00C8736B" w:rsidRDefault="00C8736B">
          <w:pPr>
            <w:pStyle w:val="TOCHeading"/>
          </w:pPr>
          <w:r>
            <w:t>Contents</w:t>
          </w:r>
        </w:p>
        <w:p w14:paraId="248D8C7B" w14:textId="5B3ABBA2" w:rsidR="00553FB7" w:rsidRDefault="00C873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566498" w:history="1">
            <w:r w:rsidR="00553FB7" w:rsidRPr="00CE160A">
              <w:rPr>
                <w:rStyle w:val="Hyperlink"/>
                <w:noProof/>
              </w:rPr>
              <w:t>Introduction</w:t>
            </w:r>
            <w:r w:rsidR="00553FB7">
              <w:rPr>
                <w:noProof/>
                <w:webHidden/>
              </w:rPr>
              <w:tab/>
            </w:r>
            <w:r w:rsidR="00553FB7">
              <w:rPr>
                <w:noProof/>
                <w:webHidden/>
              </w:rPr>
              <w:fldChar w:fldCharType="begin"/>
            </w:r>
            <w:r w:rsidR="00553FB7">
              <w:rPr>
                <w:noProof/>
                <w:webHidden/>
              </w:rPr>
              <w:instrText xml:space="preserve"> PAGEREF _Toc224566498 \h </w:instrText>
            </w:r>
            <w:r w:rsidR="00553FB7">
              <w:rPr>
                <w:noProof/>
                <w:webHidden/>
              </w:rPr>
            </w:r>
            <w:r w:rsidR="00553FB7">
              <w:rPr>
                <w:noProof/>
                <w:webHidden/>
              </w:rPr>
              <w:fldChar w:fldCharType="separate"/>
            </w:r>
            <w:r w:rsidR="00153128">
              <w:rPr>
                <w:noProof/>
                <w:webHidden/>
              </w:rPr>
              <w:t>3</w:t>
            </w:r>
            <w:r w:rsidR="00553FB7">
              <w:rPr>
                <w:noProof/>
                <w:webHidden/>
              </w:rPr>
              <w:fldChar w:fldCharType="end"/>
            </w:r>
          </w:hyperlink>
        </w:p>
        <w:p w14:paraId="65530713" w14:textId="7D02C5CC" w:rsidR="00553FB7" w:rsidRDefault="00553FB7">
          <w:pPr>
            <w:pStyle w:val="TOC1"/>
            <w:tabs>
              <w:tab w:val="right" w:leader="dot" w:pos="9016"/>
            </w:tabs>
            <w:rPr>
              <w:rFonts w:eastAsiaTheme="minorEastAsia"/>
              <w:noProof/>
              <w:lang w:eastAsia="en-GB"/>
            </w:rPr>
          </w:pPr>
          <w:hyperlink w:anchor="_Toc224566499" w:history="1">
            <w:r w:rsidRPr="00CE160A">
              <w:rPr>
                <w:rStyle w:val="Hyperlink"/>
                <w:noProof/>
              </w:rPr>
              <w:t>Situational Analysis: SWOT, PESTLE and Smart Objectives</w:t>
            </w:r>
            <w:r>
              <w:rPr>
                <w:noProof/>
                <w:webHidden/>
              </w:rPr>
              <w:tab/>
            </w:r>
            <w:r>
              <w:rPr>
                <w:noProof/>
                <w:webHidden/>
              </w:rPr>
              <w:fldChar w:fldCharType="begin"/>
            </w:r>
            <w:r>
              <w:rPr>
                <w:noProof/>
                <w:webHidden/>
              </w:rPr>
              <w:instrText xml:space="preserve"> PAGEREF _Toc224566499 \h </w:instrText>
            </w:r>
            <w:r>
              <w:rPr>
                <w:noProof/>
                <w:webHidden/>
              </w:rPr>
            </w:r>
            <w:r>
              <w:rPr>
                <w:noProof/>
                <w:webHidden/>
              </w:rPr>
              <w:fldChar w:fldCharType="separate"/>
            </w:r>
            <w:r w:rsidR="00153128">
              <w:rPr>
                <w:noProof/>
                <w:webHidden/>
              </w:rPr>
              <w:t>4</w:t>
            </w:r>
            <w:r>
              <w:rPr>
                <w:noProof/>
                <w:webHidden/>
              </w:rPr>
              <w:fldChar w:fldCharType="end"/>
            </w:r>
          </w:hyperlink>
        </w:p>
        <w:p w14:paraId="3D434D2D" w14:textId="1D7619FD" w:rsidR="00553FB7" w:rsidRDefault="00553FB7">
          <w:pPr>
            <w:pStyle w:val="TOC1"/>
            <w:tabs>
              <w:tab w:val="right" w:leader="dot" w:pos="9016"/>
            </w:tabs>
            <w:rPr>
              <w:rFonts w:eastAsiaTheme="minorEastAsia"/>
              <w:noProof/>
              <w:lang w:eastAsia="en-GB"/>
            </w:rPr>
          </w:pPr>
          <w:hyperlink w:anchor="_Toc224566500" w:history="1">
            <w:r w:rsidRPr="00CE160A">
              <w:rPr>
                <w:rStyle w:val="Hyperlink"/>
                <w:noProof/>
              </w:rPr>
              <w:t>Identification and Categorisation of Stakeholders</w:t>
            </w:r>
            <w:r>
              <w:rPr>
                <w:noProof/>
                <w:webHidden/>
              </w:rPr>
              <w:tab/>
            </w:r>
            <w:r>
              <w:rPr>
                <w:noProof/>
                <w:webHidden/>
              </w:rPr>
              <w:fldChar w:fldCharType="begin"/>
            </w:r>
            <w:r>
              <w:rPr>
                <w:noProof/>
                <w:webHidden/>
              </w:rPr>
              <w:instrText xml:space="preserve"> PAGEREF _Toc224566500 \h </w:instrText>
            </w:r>
            <w:r>
              <w:rPr>
                <w:noProof/>
                <w:webHidden/>
              </w:rPr>
            </w:r>
            <w:r>
              <w:rPr>
                <w:noProof/>
                <w:webHidden/>
              </w:rPr>
              <w:fldChar w:fldCharType="separate"/>
            </w:r>
            <w:r w:rsidR="00153128">
              <w:rPr>
                <w:noProof/>
                <w:webHidden/>
              </w:rPr>
              <w:t>8</w:t>
            </w:r>
            <w:r>
              <w:rPr>
                <w:noProof/>
                <w:webHidden/>
              </w:rPr>
              <w:fldChar w:fldCharType="end"/>
            </w:r>
          </w:hyperlink>
        </w:p>
        <w:p w14:paraId="59F4990E" w14:textId="7893D64A" w:rsidR="00553FB7" w:rsidRDefault="00553FB7">
          <w:pPr>
            <w:pStyle w:val="TOC1"/>
            <w:tabs>
              <w:tab w:val="right" w:leader="dot" w:pos="9016"/>
            </w:tabs>
            <w:rPr>
              <w:rFonts w:eastAsiaTheme="minorEastAsia"/>
              <w:noProof/>
              <w:lang w:eastAsia="en-GB"/>
            </w:rPr>
          </w:pPr>
          <w:hyperlink w:anchor="_Toc224566501" w:history="1">
            <w:r w:rsidRPr="00CE160A">
              <w:rPr>
                <w:rStyle w:val="Hyperlink"/>
                <w:noProof/>
              </w:rPr>
              <w:t>Roles, Responsibilities, Benefits and Challenges</w:t>
            </w:r>
            <w:r>
              <w:rPr>
                <w:noProof/>
                <w:webHidden/>
              </w:rPr>
              <w:tab/>
            </w:r>
            <w:r>
              <w:rPr>
                <w:noProof/>
                <w:webHidden/>
              </w:rPr>
              <w:fldChar w:fldCharType="begin"/>
            </w:r>
            <w:r>
              <w:rPr>
                <w:noProof/>
                <w:webHidden/>
              </w:rPr>
              <w:instrText xml:space="preserve"> PAGEREF _Toc224566501 \h </w:instrText>
            </w:r>
            <w:r>
              <w:rPr>
                <w:noProof/>
                <w:webHidden/>
              </w:rPr>
            </w:r>
            <w:r>
              <w:rPr>
                <w:noProof/>
                <w:webHidden/>
              </w:rPr>
              <w:fldChar w:fldCharType="separate"/>
            </w:r>
            <w:r w:rsidR="00153128">
              <w:rPr>
                <w:noProof/>
                <w:webHidden/>
              </w:rPr>
              <w:t>9</w:t>
            </w:r>
            <w:r>
              <w:rPr>
                <w:noProof/>
                <w:webHidden/>
              </w:rPr>
              <w:fldChar w:fldCharType="end"/>
            </w:r>
          </w:hyperlink>
        </w:p>
        <w:p w14:paraId="17A08288" w14:textId="0076C850" w:rsidR="00553FB7" w:rsidRDefault="00553FB7">
          <w:pPr>
            <w:pStyle w:val="TOC1"/>
            <w:tabs>
              <w:tab w:val="right" w:leader="dot" w:pos="9016"/>
            </w:tabs>
            <w:rPr>
              <w:rFonts w:eastAsiaTheme="minorEastAsia"/>
              <w:noProof/>
              <w:lang w:eastAsia="en-GB"/>
            </w:rPr>
          </w:pPr>
          <w:hyperlink w:anchor="_Toc224566502" w:history="1">
            <w:r w:rsidRPr="00CE160A">
              <w:rPr>
                <w:rStyle w:val="Hyperlink"/>
                <w:noProof/>
              </w:rPr>
              <w:t>Frameworks, Models and Engagement Tools</w:t>
            </w:r>
            <w:r>
              <w:rPr>
                <w:noProof/>
                <w:webHidden/>
              </w:rPr>
              <w:tab/>
            </w:r>
            <w:r>
              <w:rPr>
                <w:noProof/>
                <w:webHidden/>
              </w:rPr>
              <w:fldChar w:fldCharType="begin"/>
            </w:r>
            <w:r>
              <w:rPr>
                <w:noProof/>
                <w:webHidden/>
              </w:rPr>
              <w:instrText xml:space="preserve"> PAGEREF _Toc224566502 \h </w:instrText>
            </w:r>
            <w:r>
              <w:rPr>
                <w:noProof/>
                <w:webHidden/>
              </w:rPr>
            </w:r>
            <w:r>
              <w:rPr>
                <w:noProof/>
                <w:webHidden/>
              </w:rPr>
              <w:fldChar w:fldCharType="separate"/>
            </w:r>
            <w:r w:rsidR="00153128">
              <w:rPr>
                <w:noProof/>
                <w:webHidden/>
              </w:rPr>
              <w:t>12</w:t>
            </w:r>
            <w:r>
              <w:rPr>
                <w:noProof/>
                <w:webHidden/>
              </w:rPr>
              <w:fldChar w:fldCharType="end"/>
            </w:r>
          </w:hyperlink>
        </w:p>
        <w:p w14:paraId="03BC6A16" w14:textId="64D3CFEA" w:rsidR="00553FB7" w:rsidRDefault="00553FB7">
          <w:pPr>
            <w:pStyle w:val="TOC1"/>
            <w:tabs>
              <w:tab w:val="right" w:leader="dot" w:pos="9016"/>
            </w:tabs>
            <w:rPr>
              <w:rFonts w:eastAsiaTheme="minorEastAsia"/>
              <w:noProof/>
              <w:lang w:eastAsia="en-GB"/>
            </w:rPr>
          </w:pPr>
          <w:hyperlink w:anchor="_Toc224566503" w:history="1">
            <w:r w:rsidRPr="00CE160A">
              <w:rPr>
                <w:rStyle w:val="Hyperlink"/>
                <w:noProof/>
              </w:rPr>
              <w:t>Stakeholders Engagement Process and Conflict and Conflict Management (4C’s)</w:t>
            </w:r>
            <w:r>
              <w:rPr>
                <w:noProof/>
                <w:webHidden/>
              </w:rPr>
              <w:tab/>
            </w:r>
            <w:r>
              <w:rPr>
                <w:noProof/>
                <w:webHidden/>
              </w:rPr>
              <w:fldChar w:fldCharType="begin"/>
            </w:r>
            <w:r>
              <w:rPr>
                <w:noProof/>
                <w:webHidden/>
              </w:rPr>
              <w:instrText xml:space="preserve"> PAGEREF _Toc224566503 \h </w:instrText>
            </w:r>
            <w:r>
              <w:rPr>
                <w:noProof/>
                <w:webHidden/>
              </w:rPr>
            </w:r>
            <w:r>
              <w:rPr>
                <w:noProof/>
                <w:webHidden/>
              </w:rPr>
              <w:fldChar w:fldCharType="separate"/>
            </w:r>
            <w:r w:rsidR="00153128">
              <w:rPr>
                <w:noProof/>
                <w:webHidden/>
              </w:rPr>
              <w:t>15</w:t>
            </w:r>
            <w:r>
              <w:rPr>
                <w:noProof/>
                <w:webHidden/>
              </w:rPr>
              <w:fldChar w:fldCharType="end"/>
            </w:r>
          </w:hyperlink>
        </w:p>
        <w:p w14:paraId="6E3E76D3" w14:textId="17AAAEE1" w:rsidR="00553FB7" w:rsidRDefault="00553FB7">
          <w:pPr>
            <w:pStyle w:val="TOC1"/>
            <w:tabs>
              <w:tab w:val="right" w:leader="dot" w:pos="9016"/>
            </w:tabs>
            <w:rPr>
              <w:rFonts w:eastAsiaTheme="minorEastAsia"/>
              <w:noProof/>
              <w:lang w:eastAsia="en-GB"/>
            </w:rPr>
          </w:pPr>
          <w:hyperlink w:anchor="_Toc224566504" w:history="1">
            <w:r w:rsidRPr="00CE160A">
              <w:rPr>
                <w:rStyle w:val="Hyperlink"/>
                <w:noProof/>
              </w:rPr>
              <w:t>Impact of Stakeholder Engagement on Business Performance</w:t>
            </w:r>
            <w:r>
              <w:rPr>
                <w:noProof/>
                <w:webHidden/>
              </w:rPr>
              <w:tab/>
            </w:r>
            <w:r>
              <w:rPr>
                <w:noProof/>
                <w:webHidden/>
              </w:rPr>
              <w:fldChar w:fldCharType="begin"/>
            </w:r>
            <w:r>
              <w:rPr>
                <w:noProof/>
                <w:webHidden/>
              </w:rPr>
              <w:instrText xml:space="preserve"> PAGEREF _Toc224566504 \h </w:instrText>
            </w:r>
            <w:r>
              <w:rPr>
                <w:noProof/>
                <w:webHidden/>
              </w:rPr>
            </w:r>
            <w:r>
              <w:rPr>
                <w:noProof/>
                <w:webHidden/>
              </w:rPr>
              <w:fldChar w:fldCharType="separate"/>
            </w:r>
            <w:r w:rsidR="00153128">
              <w:rPr>
                <w:noProof/>
                <w:webHidden/>
              </w:rPr>
              <w:t>16</w:t>
            </w:r>
            <w:r>
              <w:rPr>
                <w:noProof/>
                <w:webHidden/>
              </w:rPr>
              <w:fldChar w:fldCharType="end"/>
            </w:r>
          </w:hyperlink>
        </w:p>
        <w:p w14:paraId="6D617CA1" w14:textId="4BBC2514" w:rsidR="00553FB7" w:rsidRDefault="00553FB7">
          <w:pPr>
            <w:pStyle w:val="TOC1"/>
            <w:tabs>
              <w:tab w:val="right" w:leader="dot" w:pos="9016"/>
            </w:tabs>
            <w:rPr>
              <w:rFonts w:eastAsiaTheme="minorEastAsia"/>
              <w:noProof/>
              <w:lang w:eastAsia="en-GB"/>
            </w:rPr>
          </w:pPr>
          <w:hyperlink w:anchor="_Toc224566505" w:history="1">
            <w:r w:rsidRPr="00CE160A">
              <w:rPr>
                <w:rStyle w:val="Hyperlink"/>
                <w:noProof/>
              </w:rPr>
              <w:t>Recommendations for Future Stakeholder Engagement</w:t>
            </w:r>
            <w:r>
              <w:rPr>
                <w:noProof/>
                <w:webHidden/>
              </w:rPr>
              <w:tab/>
            </w:r>
            <w:r>
              <w:rPr>
                <w:noProof/>
                <w:webHidden/>
              </w:rPr>
              <w:fldChar w:fldCharType="begin"/>
            </w:r>
            <w:r>
              <w:rPr>
                <w:noProof/>
                <w:webHidden/>
              </w:rPr>
              <w:instrText xml:space="preserve"> PAGEREF _Toc224566505 \h </w:instrText>
            </w:r>
            <w:r>
              <w:rPr>
                <w:noProof/>
                <w:webHidden/>
              </w:rPr>
            </w:r>
            <w:r>
              <w:rPr>
                <w:noProof/>
                <w:webHidden/>
              </w:rPr>
              <w:fldChar w:fldCharType="separate"/>
            </w:r>
            <w:r w:rsidR="00153128">
              <w:rPr>
                <w:noProof/>
                <w:webHidden/>
              </w:rPr>
              <w:t>17</w:t>
            </w:r>
            <w:r>
              <w:rPr>
                <w:noProof/>
                <w:webHidden/>
              </w:rPr>
              <w:fldChar w:fldCharType="end"/>
            </w:r>
          </w:hyperlink>
        </w:p>
        <w:p w14:paraId="4FF70F9E" w14:textId="43BF37B9" w:rsidR="00553FB7" w:rsidRDefault="00553FB7">
          <w:pPr>
            <w:pStyle w:val="TOC1"/>
            <w:tabs>
              <w:tab w:val="right" w:leader="dot" w:pos="9016"/>
            </w:tabs>
            <w:rPr>
              <w:rFonts w:eastAsiaTheme="minorEastAsia"/>
              <w:noProof/>
              <w:lang w:eastAsia="en-GB"/>
            </w:rPr>
          </w:pPr>
          <w:hyperlink w:anchor="_Toc224566506" w:history="1">
            <w:r w:rsidRPr="00CE160A">
              <w:rPr>
                <w:rStyle w:val="Hyperlink"/>
                <w:noProof/>
              </w:rPr>
              <w:t>Conclusion</w:t>
            </w:r>
            <w:r>
              <w:rPr>
                <w:noProof/>
                <w:webHidden/>
              </w:rPr>
              <w:tab/>
            </w:r>
            <w:r>
              <w:rPr>
                <w:noProof/>
                <w:webHidden/>
              </w:rPr>
              <w:fldChar w:fldCharType="begin"/>
            </w:r>
            <w:r>
              <w:rPr>
                <w:noProof/>
                <w:webHidden/>
              </w:rPr>
              <w:instrText xml:space="preserve"> PAGEREF _Toc224566506 \h </w:instrText>
            </w:r>
            <w:r>
              <w:rPr>
                <w:noProof/>
                <w:webHidden/>
              </w:rPr>
            </w:r>
            <w:r>
              <w:rPr>
                <w:noProof/>
                <w:webHidden/>
              </w:rPr>
              <w:fldChar w:fldCharType="separate"/>
            </w:r>
            <w:r w:rsidR="00153128">
              <w:rPr>
                <w:noProof/>
                <w:webHidden/>
              </w:rPr>
              <w:t>18</w:t>
            </w:r>
            <w:r>
              <w:rPr>
                <w:noProof/>
                <w:webHidden/>
              </w:rPr>
              <w:fldChar w:fldCharType="end"/>
            </w:r>
          </w:hyperlink>
        </w:p>
        <w:p w14:paraId="541F063A" w14:textId="61BA924B" w:rsidR="00553FB7" w:rsidRDefault="00553FB7">
          <w:pPr>
            <w:pStyle w:val="TOC1"/>
            <w:tabs>
              <w:tab w:val="right" w:leader="dot" w:pos="9016"/>
            </w:tabs>
            <w:rPr>
              <w:rFonts w:eastAsiaTheme="minorEastAsia"/>
              <w:noProof/>
              <w:lang w:eastAsia="en-GB"/>
            </w:rPr>
          </w:pPr>
          <w:hyperlink w:anchor="_Toc224566507" w:history="1">
            <w:r w:rsidRPr="00CE160A">
              <w:rPr>
                <w:rStyle w:val="Hyperlink"/>
                <w:noProof/>
              </w:rPr>
              <w:t>#References</w:t>
            </w:r>
            <w:r>
              <w:rPr>
                <w:noProof/>
                <w:webHidden/>
              </w:rPr>
              <w:tab/>
            </w:r>
            <w:r>
              <w:rPr>
                <w:noProof/>
                <w:webHidden/>
              </w:rPr>
              <w:fldChar w:fldCharType="begin"/>
            </w:r>
            <w:r>
              <w:rPr>
                <w:noProof/>
                <w:webHidden/>
              </w:rPr>
              <w:instrText xml:space="preserve"> PAGEREF _Toc224566507 \h </w:instrText>
            </w:r>
            <w:r>
              <w:rPr>
                <w:noProof/>
                <w:webHidden/>
              </w:rPr>
            </w:r>
            <w:r>
              <w:rPr>
                <w:noProof/>
                <w:webHidden/>
              </w:rPr>
              <w:fldChar w:fldCharType="separate"/>
            </w:r>
            <w:r w:rsidR="00153128">
              <w:rPr>
                <w:noProof/>
                <w:webHidden/>
              </w:rPr>
              <w:t>20</w:t>
            </w:r>
            <w:r>
              <w:rPr>
                <w:noProof/>
                <w:webHidden/>
              </w:rPr>
              <w:fldChar w:fldCharType="end"/>
            </w:r>
          </w:hyperlink>
        </w:p>
        <w:p w14:paraId="35FD5240" w14:textId="453EB324" w:rsidR="00C8736B" w:rsidRDefault="00C8736B">
          <w:r>
            <w:rPr>
              <w:b/>
              <w:bCs/>
              <w:noProof/>
            </w:rPr>
            <w:fldChar w:fldCharType="end"/>
          </w:r>
        </w:p>
      </w:sdtContent>
    </w:sdt>
    <w:p w14:paraId="777C7EDA" w14:textId="77777777" w:rsidR="00163A6B" w:rsidRDefault="00163A6B" w:rsidP="00163A6B"/>
    <w:p w14:paraId="7C1DA6AC" w14:textId="77777777" w:rsidR="00163A6B" w:rsidRDefault="00163A6B" w:rsidP="00163A6B"/>
    <w:p w14:paraId="6C28823B" w14:textId="77777777" w:rsidR="00163A6B" w:rsidRDefault="00163A6B" w:rsidP="00163A6B"/>
    <w:p w14:paraId="7CC74595" w14:textId="77777777" w:rsidR="00163A6B" w:rsidRDefault="00163A6B" w:rsidP="00163A6B"/>
    <w:p w14:paraId="47B0557C" w14:textId="77777777" w:rsidR="00163A6B" w:rsidRDefault="00163A6B" w:rsidP="00163A6B"/>
    <w:p w14:paraId="025B3210" w14:textId="77777777" w:rsidR="00163A6B" w:rsidRDefault="00163A6B" w:rsidP="00163A6B"/>
    <w:p w14:paraId="2B1B850C" w14:textId="77777777" w:rsidR="00163A6B" w:rsidRDefault="00163A6B" w:rsidP="00163A6B"/>
    <w:p w14:paraId="7E590DE8" w14:textId="77777777" w:rsidR="00163A6B" w:rsidRDefault="00163A6B" w:rsidP="00163A6B"/>
    <w:p w14:paraId="37245AA8" w14:textId="77777777" w:rsidR="00163A6B" w:rsidRDefault="00163A6B" w:rsidP="00163A6B"/>
    <w:p w14:paraId="65FBA7E1" w14:textId="77777777" w:rsidR="00163A6B" w:rsidRDefault="00163A6B" w:rsidP="00163A6B"/>
    <w:p w14:paraId="5C7D1407" w14:textId="77777777" w:rsidR="00163A6B" w:rsidRDefault="00163A6B" w:rsidP="00163A6B"/>
    <w:p w14:paraId="6466D631" w14:textId="77777777" w:rsidR="00163A6B" w:rsidRDefault="00163A6B" w:rsidP="00163A6B"/>
    <w:p w14:paraId="5FFB0485" w14:textId="77777777" w:rsidR="00163A6B" w:rsidRDefault="00163A6B" w:rsidP="00163A6B"/>
    <w:p w14:paraId="59D38140" w14:textId="77777777" w:rsidR="00CF7713" w:rsidRDefault="00CF7713" w:rsidP="00163A6B"/>
    <w:p w14:paraId="3295822D" w14:textId="77777777" w:rsidR="00CF7713" w:rsidRDefault="00CF7713" w:rsidP="00163A6B"/>
    <w:p w14:paraId="38787E20" w14:textId="7B6EBFFE" w:rsidR="00163A6B" w:rsidRPr="00F2397E" w:rsidRDefault="00A71CD2" w:rsidP="00F2397E">
      <w:pPr>
        <w:pStyle w:val="Heading1"/>
      </w:pPr>
      <w:bookmarkStart w:id="0" w:name="_Toc223529401"/>
      <w:bookmarkStart w:id="1" w:name="_Toc224566498"/>
      <w:r w:rsidRPr="00F2397E">
        <w:lastRenderedPageBreak/>
        <w:t>Introduction</w:t>
      </w:r>
      <w:bookmarkEnd w:id="0"/>
      <w:bookmarkEnd w:id="1"/>
      <w:r w:rsidRPr="00F2397E">
        <w:t xml:space="preserve"> </w:t>
      </w:r>
    </w:p>
    <w:p w14:paraId="77A784D9" w14:textId="147BB514" w:rsidR="00163A6B" w:rsidRDefault="00163A6B" w:rsidP="001F4D03">
      <w:pPr>
        <w:spacing w:line="360" w:lineRule="auto"/>
        <w:rPr>
          <w:rFonts w:ascii="Times New Roman" w:hAnsi="Times New Roman" w:cs="Times New Roman"/>
        </w:rPr>
      </w:pPr>
      <w:r w:rsidRPr="00163A6B">
        <w:rPr>
          <w:rFonts w:ascii="Times New Roman" w:hAnsi="Times New Roman" w:cs="Times New Roman"/>
        </w:rPr>
        <w:t>Digital innovation, personalised guest expectations and growing environmental standards all growing driving rapid change in the global. International hotel chains are spending money on modern technology to improve guest experiences while preserving brand identity and operational effectiveness. InterContinental Hotels Group (IGH) a global corporation with its headquarters located in the United Kingdom and a portfolio of midscale and luxury hotel brands that operate in over 100 countries. According (IHG, 2024) they have a portfolio of 20 brands across more than 100 countries in the Suites, Essentials, Premium and Luxury &amp; Lifestyle categories, united by a purpose to provide True Hospitality for Good.  Featuring brands including Crowne Plaza, Holiday Inn and InterContinental, IGH owns, operates and franchises through thousands of hotels across the world, catering to both business and leisure tourists. Delivering consistent worldwide hospitability standards supported by technology enabled services and ethical business practices is the company main strategic goal.</w:t>
      </w:r>
    </w:p>
    <w:p w14:paraId="70A06D58" w14:textId="18BE2091" w:rsidR="00163A6B" w:rsidRPr="00163A6B" w:rsidRDefault="00163A6B" w:rsidP="001F4D03">
      <w:pPr>
        <w:spacing w:line="360" w:lineRule="auto"/>
        <w:rPr>
          <w:rFonts w:ascii="Times New Roman" w:hAnsi="Times New Roman" w:cs="Times New Roman"/>
        </w:rPr>
      </w:pPr>
      <w:r w:rsidRPr="00163A6B">
        <w:rPr>
          <w:rFonts w:ascii="Times New Roman" w:hAnsi="Times New Roman" w:cs="Times New Roman"/>
        </w:rPr>
        <w:t>IGH main focusses are hotel management, franchising, loyalty program administration and innovative guest service. Strong cross market the customer linkage is offered by its digital booking systems and worldwide loyalty eco system. According to InterContinental Hotels Group (PLC, 2026.) they have IGH One Rewards, meaning plus, members can unlock the power of milestone rewards, a range of perks likes bonus points, confirmable suite upgrades, food and beverage rewards, and annual lounge memberships. IGH has</w:t>
      </w:r>
      <w:r w:rsidR="001F4D03">
        <w:rPr>
          <w:rFonts w:ascii="Times New Roman" w:hAnsi="Times New Roman" w:cs="Times New Roman"/>
        </w:rPr>
        <w:t xml:space="preserve"> </w:t>
      </w:r>
      <w:r w:rsidRPr="00163A6B">
        <w:rPr>
          <w:rFonts w:ascii="Times New Roman" w:hAnsi="Times New Roman" w:cs="Times New Roman"/>
        </w:rPr>
        <w:t>also strengthened is sustainability commitments in recent years by implementing responsible sourcing and environmental programs. The business report True Hospitality Good for Contents, </w:t>
      </w:r>
      <w:proofErr w:type="gramStart"/>
      <w:r w:rsidRPr="00163A6B">
        <w:rPr>
          <w:rFonts w:ascii="Times New Roman" w:hAnsi="Times New Roman" w:cs="Times New Roman"/>
        </w:rPr>
        <w:t>( 2024</w:t>
      </w:r>
      <w:proofErr w:type="gramEnd"/>
      <w:r w:rsidRPr="00163A6B">
        <w:rPr>
          <w:rFonts w:ascii="Times New Roman" w:hAnsi="Times New Roman" w:cs="Times New Roman"/>
        </w:rPr>
        <w:t>.)  in 2024 states that they had a leading certification programme such as Green KEY(FEE) and Green Key Global to support hotels across Americas and EMEAA in showcasing tehri sustainability and credentials to guests and corporate clients. Therefore, by the end of 2024 more than 340 hotels had a third part certification. </w:t>
      </w:r>
    </w:p>
    <w:p w14:paraId="558FB431"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p w14:paraId="02120AE9" w14:textId="458A7CF6"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Further service innovation is necessary ,nevertheless ,considering the growing competition from tech driven hospitality companies and growing demands of guest for personalised experiences .IGH is getting ready to introduce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xml:space="preserve">+ ,a new premium </w:t>
      </w:r>
      <w:r w:rsidRPr="00163A6B">
        <w:rPr>
          <w:rFonts w:ascii="Times New Roman" w:hAnsi="Times New Roman" w:cs="Times New Roman"/>
        </w:rPr>
        <w:lastRenderedPageBreak/>
        <w:t>service concept that will incorporate AI-enabled guest interaction ,customised travel planning and sustainability focused room facilities in a few internation Hotel ,in response to these developments in the sector. </w:t>
      </w:r>
    </w:p>
    <w:p w14:paraId="2B1ED9E6" w14:textId="3E6C461A" w:rsidR="00BA7AFB" w:rsidRDefault="00163A6B" w:rsidP="00F2397E">
      <w:pPr>
        <w:spacing w:line="360" w:lineRule="auto"/>
        <w:rPr>
          <w:rFonts w:ascii="Times New Roman" w:hAnsi="Times New Roman" w:cs="Times New Roman"/>
        </w:rPr>
      </w:pPr>
      <w:r w:rsidRPr="00163A6B">
        <w:rPr>
          <w:rFonts w:ascii="Times New Roman" w:hAnsi="Times New Roman" w:cs="Times New Roman"/>
        </w:rPr>
        <w:t>The goal of the innovation project </w:t>
      </w:r>
      <w:proofErr w:type="spellStart"/>
      <w:r w:rsidRPr="00163A6B">
        <w:rPr>
          <w:rFonts w:ascii="Times New Roman" w:hAnsi="Times New Roman" w:cs="Times New Roman"/>
        </w:rPr>
        <w:t>StaySmart</w:t>
      </w:r>
      <w:proofErr w:type="spellEnd"/>
      <w:r w:rsidRPr="00163A6B">
        <w:rPr>
          <w:rFonts w:ascii="Times New Roman" w:hAnsi="Times New Roman" w:cs="Times New Roman"/>
        </w:rPr>
        <w:t>+ is to enhance IGH hotel guest comfort, productivity and brand identity.  To manage guest requests, provide local recommendations and personalised in room experiences, it uses AI driven assistants. Along with sustainability elements like eco-friendly facilities and energy experiences controls</w:t>
      </w:r>
      <w:r w:rsidR="00664C92">
        <w:rPr>
          <w:rFonts w:ascii="Times New Roman" w:hAnsi="Times New Roman" w:cs="Times New Roman"/>
        </w:rPr>
        <w:t>.</w:t>
      </w:r>
    </w:p>
    <w:p w14:paraId="69E5434C" w14:textId="32C68456" w:rsidR="00163A6B" w:rsidRPr="00163A6B" w:rsidRDefault="00664C92" w:rsidP="00F2397E">
      <w:pPr>
        <w:spacing w:line="360" w:lineRule="auto"/>
        <w:rPr>
          <w:rFonts w:ascii="Times New Roman" w:hAnsi="Times New Roman" w:cs="Times New Roman"/>
        </w:rPr>
      </w:pPr>
      <w:r>
        <w:rPr>
          <w:rFonts w:ascii="Times New Roman" w:hAnsi="Times New Roman" w:cs="Times New Roman"/>
        </w:rPr>
        <w:t>A</w:t>
      </w:r>
      <w:r w:rsidR="00163A6B" w:rsidRPr="00163A6B">
        <w:rPr>
          <w:rFonts w:ascii="Times New Roman" w:hAnsi="Times New Roman" w:cs="Times New Roman"/>
        </w:rPr>
        <w:t>lso combined accommodations, activities and transportation into a single vacation plan. Over the course of six months, the service will be implemented gradually at a few chosen hotels. </w:t>
      </w:r>
    </w:p>
    <w:p w14:paraId="726CBAAF" w14:textId="45F5FBD0" w:rsidR="00163A6B" w:rsidRPr="00163A6B" w:rsidRDefault="00496B1F" w:rsidP="00F2397E">
      <w:pPr>
        <w:spacing w:line="360" w:lineRule="auto"/>
        <w:rPr>
          <w:rFonts w:ascii="Times New Roman" w:hAnsi="Times New Roman" w:cs="Times New Roman"/>
        </w:rPr>
      </w:pPr>
      <w:r w:rsidRPr="00496B1F">
        <w:rPr>
          <w:rFonts w:ascii="Times New Roman" w:hAnsi="Times New Roman" w:cs="Times New Roman"/>
        </w:rPr>
        <w:t xml:space="preserve">However, global implementation may create challenges for stakeholders. Differences in cultural expectations, labour regulations, and data protection laws may influence how AI-enabled services are adopted across markets. Franchise owners may be concerned about investment costs, while employees may require new skills and </w:t>
      </w:r>
      <w:r w:rsidRPr="00496B1F">
        <w:rPr>
          <w:rFonts w:ascii="Times New Roman" w:hAnsi="Times New Roman" w:cs="Times New Roman"/>
        </w:rPr>
        <w:t>training.</w:t>
      </w:r>
      <w:r w:rsidR="00163A6B" w:rsidRPr="00163A6B">
        <w:rPr>
          <w:rFonts w:ascii="Times New Roman" w:hAnsi="Times New Roman" w:cs="Times New Roman"/>
        </w:rPr>
        <w:t xml:space="preserve"> According to Freeman’s (1984) stakeholder theory, success depends on addressing all impacted groups.to build trust and ensure operations, the </w:t>
      </w:r>
      <w:proofErr w:type="spellStart"/>
      <w:r w:rsidR="00163A6B" w:rsidRPr="00163A6B">
        <w:rPr>
          <w:rFonts w:ascii="Times New Roman" w:hAnsi="Times New Roman" w:cs="Times New Roman"/>
        </w:rPr>
        <w:t>StaySmart</w:t>
      </w:r>
      <w:proofErr w:type="spellEnd"/>
      <w:r w:rsidR="00163A6B" w:rsidRPr="00163A6B">
        <w:rPr>
          <w:rFonts w:ascii="Times New Roman" w:hAnsi="Times New Roman" w:cs="Times New Roman"/>
        </w:rPr>
        <w:t>+ project manager must involve staff, mangers, partners, guests, owners and regulators. </w:t>
      </w:r>
    </w:p>
    <w:p w14:paraId="5042CEEC"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This report examines how IGH’s stakeholders were involved in the development and introduction of </w:t>
      </w:r>
      <w:proofErr w:type="spellStart"/>
      <w:r w:rsidRPr="00163A6B">
        <w:rPr>
          <w:rFonts w:ascii="Times New Roman" w:hAnsi="Times New Roman" w:cs="Times New Roman"/>
        </w:rPr>
        <w:t>StaySmart</w:t>
      </w:r>
      <w:proofErr w:type="spellEnd"/>
      <w:r w:rsidRPr="00163A6B">
        <w:rPr>
          <w:rFonts w:ascii="Times New Roman" w:hAnsi="Times New Roman" w:cs="Times New Roman"/>
        </w:rPr>
        <w:t>+. It identifies internal and external stakeholders, asses their roles, contributions and difficulties and examines the project environment and organisational context The report uses the 4C model and well-known stakeholder engagement frameworks to create engagement strategies for international markets. Additionally, it assesses the impact of stakeholder connections in upcoming advances in hotel industry. The report analysis shows that one of the key factors influencing successful service innovation in international hospitality businesses. </w:t>
      </w:r>
    </w:p>
    <w:p w14:paraId="2E091D9C"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p w14:paraId="2EC1B666" w14:textId="77777777" w:rsidR="00163A6B" w:rsidRPr="00F2397E" w:rsidRDefault="00163A6B" w:rsidP="00F2397E">
      <w:pPr>
        <w:pStyle w:val="Heading1"/>
      </w:pPr>
      <w:bookmarkStart w:id="2" w:name="_Toc224566499"/>
      <w:r w:rsidRPr="00F2397E">
        <w:t>Situational Analysis: SWOT, PESTLE and Smart Objectives</w:t>
      </w:r>
      <w:bookmarkEnd w:id="2"/>
      <w:r w:rsidRPr="00F2397E">
        <w:t> </w:t>
      </w:r>
    </w:p>
    <w:p w14:paraId="587F40E4"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b/>
          <w:bCs/>
        </w:rPr>
        <w:t>SWOT Analysis of </w:t>
      </w:r>
      <w:proofErr w:type="spellStart"/>
      <w:r w:rsidRPr="00163A6B">
        <w:rPr>
          <w:rFonts w:ascii="Times New Roman" w:hAnsi="Times New Roman" w:cs="Times New Roman"/>
          <w:b/>
          <w:bCs/>
        </w:rPr>
        <w:t>StaySmart</w:t>
      </w:r>
      <w:proofErr w:type="spellEnd"/>
      <w:r w:rsidRPr="00163A6B">
        <w:rPr>
          <w:rFonts w:ascii="Times New Roman" w:hAnsi="Times New Roman" w:cs="Times New Roman"/>
          <w:b/>
          <w:bCs/>
        </w:rPr>
        <w:t>+</w:t>
      </w:r>
      <w:r w:rsidRPr="00163A6B">
        <w:rPr>
          <w:rFonts w:ascii="Times New Roman" w:hAnsi="Times New Roman" w:cs="Times New Roman"/>
        </w:rPr>
        <w:t> </w:t>
      </w:r>
    </w:p>
    <w:p w14:paraId="24E962DD" w14:textId="77777777" w:rsidR="00163A6B" w:rsidRDefault="00163A6B" w:rsidP="00F2397E">
      <w:pPr>
        <w:spacing w:line="360" w:lineRule="auto"/>
        <w:rPr>
          <w:rFonts w:ascii="Times New Roman" w:hAnsi="Times New Roman" w:cs="Times New Roman"/>
        </w:rPr>
      </w:pPr>
      <w:r w:rsidRPr="00163A6B">
        <w:rPr>
          <w:rFonts w:ascii="Times New Roman" w:hAnsi="Times New Roman" w:cs="Times New Roman"/>
          <w:b/>
          <w:bCs/>
        </w:rPr>
        <w:lastRenderedPageBreak/>
        <w:t>Strengths </w:t>
      </w:r>
      <w:r w:rsidRPr="00163A6B">
        <w:rPr>
          <w:rFonts w:ascii="Times New Roman" w:hAnsi="Times New Roman" w:cs="Times New Roman"/>
        </w:rPr>
        <w:t> </w:t>
      </w:r>
    </w:p>
    <w:p w14:paraId="08D7EFFD" w14:textId="5B8E99A0" w:rsidR="00B775B3" w:rsidRDefault="00B775B3" w:rsidP="00F2397E">
      <w:pPr>
        <w:spacing w:line="360" w:lineRule="auto"/>
        <w:rPr>
          <w:rFonts w:ascii="Times New Roman" w:hAnsi="Times New Roman" w:cs="Times New Roman"/>
        </w:rPr>
      </w:pPr>
      <w:proofErr w:type="spellStart"/>
      <w:r w:rsidRPr="00B775B3">
        <w:rPr>
          <w:rFonts w:ascii="Times New Roman" w:hAnsi="Times New Roman" w:cs="Times New Roman"/>
        </w:rPr>
        <w:t>StaySmart</w:t>
      </w:r>
      <w:proofErr w:type="spellEnd"/>
      <w:r w:rsidRPr="00B775B3">
        <w:rPr>
          <w:rFonts w:ascii="Times New Roman" w:hAnsi="Times New Roman" w:cs="Times New Roman"/>
        </w:rPr>
        <w:t>+ benefits from IHG’s strong global reputation for consistent service and trusted brands, supporting guest acceptance of innovations. Combined with loyalty programme data and digital infrastructure like mobile applications and centralised booking systems, new technologies can be integrated efficiently across hotels, enabling AI-driven personalisation and tailored recommendations for guests.</w:t>
      </w:r>
    </w:p>
    <w:p w14:paraId="341B6813"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b/>
          <w:bCs/>
        </w:rPr>
        <w:t>Weaknesses</w:t>
      </w:r>
      <w:r w:rsidRPr="00163A6B">
        <w:rPr>
          <w:rFonts w:ascii="Times New Roman" w:hAnsi="Times New Roman" w:cs="Times New Roman"/>
        </w:rPr>
        <w:t> </w:t>
      </w:r>
    </w:p>
    <w:p w14:paraId="7F793501" w14:textId="33AB4122"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r w:rsidR="001A4F87" w:rsidRPr="001A4F87">
        <w:rPr>
          <w:rFonts w:ascii="Times New Roman" w:hAnsi="Times New Roman" w:cs="Times New Roman"/>
        </w:rPr>
        <w:t>Despite these advantages, the project faces several internal challenges. Some frontline hospitality employees may lack the digital skills required to effectively use AI-enabled systems. The hospitality sector traditionally emphasises human interaction, meaning technology may be perceived as reducing service authenticity. Furthermore, implementing AI platforms and sustainability features across global properties requires significant investment in technology, training and change management, creating pressure to demonstrate clear returns on investment</w:t>
      </w:r>
    </w:p>
    <w:p w14:paraId="67F36E9B"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b/>
          <w:bCs/>
        </w:rPr>
        <w:t>Opportunities </w:t>
      </w:r>
      <w:r w:rsidRPr="00163A6B">
        <w:rPr>
          <w:rFonts w:ascii="Times New Roman" w:hAnsi="Times New Roman" w:cs="Times New Roman"/>
        </w:rPr>
        <w:t> </w:t>
      </w:r>
    </w:p>
    <w:p w14:paraId="3F73AC51" w14:textId="104C7685"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roofErr w:type="spellStart"/>
      <w:r w:rsidR="00742B56" w:rsidRPr="00742B56">
        <w:rPr>
          <w:rFonts w:ascii="Times New Roman" w:hAnsi="Times New Roman" w:cs="Times New Roman"/>
        </w:rPr>
        <w:t>StaySmart</w:t>
      </w:r>
      <w:proofErr w:type="spellEnd"/>
      <w:r w:rsidR="00742B56" w:rsidRPr="00742B56">
        <w:rPr>
          <w:rFonts w:ascii="Times New Roman" w:hAnsi="Times New Roman" w:cs="Times New Roman"/>
        </w:rPr>
        <w:t>+ presents several opportunities within the external environment. Modern travellers increasingly expect seamless, personalised and technology-supported experiences. At the same time, sustainability has become an important factor influencing travel decisions. By integrating AI-enabled services with environmentally responsible features, IHG can strengthen its competitive position and differentiate itself within the global hospitality industry</w:t>
      </w:r>
    </w:p>
    <w:p w14:paraId="53A66662"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b/>
          <w:bCs/>
        </w:rPr>
        <w:t>Threats</w:t>
      </w:r>
      <w:r w:rsidRPr="00163A6B">
        <w:rPr>
          <w:rFonts w:ascii="Times New Roman" w:hAnsi="Times New Roman" w:cs="Times New Roman"/>
        </w:rPr>
        <w:t> </w:t>
      </w:r>
    </w:p>
    <w:p w14:paraId="532D101A" w14:textId="054DEA35"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r w:rsidR="00EB003C" w:rsidRPr="00EB003C">
        <w:rPr>
          <w:rFonts w:ascii="Times New Roman" w:hAnsi="Times New Roman" w:cs="Times New Roman"/>
        </w:rPr>
        <w:t>However, several external risks may affect implementation. Data privacy regulations, including the General Data Protection Regulation, create compliance challenges when using guest data for AI personalisation. Cultural differences across regions may also influence how guests perceive technology-assisted services. In addition, technical failures or poor user experiences could damage brand reputation, while competitors may introduce similar AI-driven hospitality services.</w:t>
      </w:r>
    </w:p>
    <w:p w14:paraId="713703FD" w14:textId="2E31A9E2" w:rsidR="00163A6B" w:rsidRPr="00C82393" w:rsidRDefault="00163A6B" w:rsidP="00F2397E">
      <w:pPr>
        <w:spacing w:line="360" w:lineRule="auto"/>
        <w:rPr>
          <w:rFonts w:ascii="Times New Roman" w:hAnsi="Times New Roman" w:cs="Times New Roman"/>
          <w:b/>
          <w:bCs/>
        </w:rPr>
      </w:pPr>
      <w:r w:rsidRPr="00D161DA">
        <w:rPr>
          <w:rFonts w:ascii="Times New Roman" w:hAnsi="Times New Roman" w:cs="Times New Roman"/>
          <w:b/>
          <w:bCs/>
        </w:rPr>
        <w:t>PESTLE Analysis </w:t>
      </w:r>
    </w:p>
    <w:p w14:paraId="66A0F5A6" w14:textId="5E8E0D74"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lastRenderedPageBreak/>
        <w:t>Various political, economic, social, technological and environmental factors influence the adoption of AI driven hotel services like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International differences in data protection and AI governance frameworks necessitate global compliance from political and legal perspective and labour laws has an impact on workforce reorganisation in response to automation. Economically speaking growing labour and operating costs support the need of digital transformation but investment is limited by global threats and rigorous cost control is required. Social acceptance is influenced buy generational preferences and cultural expectations of hospitability; some guests value face to face interactions, while others favour self-service technologies. Regional infrastructure and digital maturity influence technological adoption, allowing for a faster rollout in developed markets compared to emerging nations. In terms of the environment, hotels are integrating resource efficient technologies in response to growing stakeholder pressure for sustainability and transparency. This position </w:t>
      </w:r>
      <w:proofErr w:type="spellStart"/>
      <w:r w:rsidRPr="00163A6B">
        <w:rPr>
          <w:rFonts w:ascii="Times New Roman" w:hAnsi="Times New Roman" w:cs="Times New Roman"/>
        </w:rPr>
        <w:t>StaySmart</w:t>
      </w:r>
      <w:proofErr w:type="spellEnd"/>
      <w:r w:rsidRPr="00163A6B">
        <w:rPr>
          <w:rFonts w:ascii="Times New Roman" w:hAnsi="Times New Roman" w:cs="Times New Roman"/>
        </w:rPr>
        <w:t>+ as a stool that supports corporate environmental for responsible travel.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79"/>
        <w:gridCol w:w="7031"/>
      </w:tblGrid>
      <w:tr w:rsidR="00163A6B" w:rsidRPr="00163A6B" w14:paraId="1B336078" w14:textId="77777777" w:rsidTr="00F36CAF">
        <w:trPr>
          <w:trHeight w:val="300"/>
        </w:trPr>
        <w:tc>
          <w:tcPr>
            <w:tcW w:w="1979" w:type="dxa"/>
            <w:tcBorders>
              <w:top w:val="single" w:sz="6" w:space="0" w:color="FFFFFF"/>
              <w:left w:val="single" w:sz="6" w:space="0" w:color="FFFFFF"/>
              <w:bottom w:val="single" w:sz="6" w:space="0" w:color="FFFFFF"/>
              <w:right w:val="nil"/>
            </w:tcBorders>
            <w:shd w:val="clear" w:color="auto" w:fill="156082"/>
            <w:hideMark/>
          </w:tcPr>
          <w:p w14:paraId="47FCD212"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Factor </w:t>
            </w:r>
          </w:p>
        </w:tc>
        <w:tc>
          <w:tcPr>
            <w:tcW w:w="7031" w:type="dxa"/>
            <w:tcBorders>
              <w:top w:val="single" w:sz="6" w:space="0" w:color="FFFFFF"/>
              <w:left w:val="nil"/>
              <w:bottom w:val="single" w:sz="6" w:space="0" w:color="FFFFFF"/>
              <w:right w:val="single" w:sz="6" w:space="0" w:color="FFFFFF"/>
            </w:tcBorders>
            <w:shd w:val="clear" w:color="auto" w:fill="156082"/>
            <w:hideMark/>
          </w:tcPr>
          <w:p w14:paraId="4913E48A"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Key influences on AI enabled Hospitability Implementation </w:t>
            </w:r>
          </w:p>
        </w:tc>
      </w:tr>
      <w:tr w:rsidR="00163A6B" w:rsidRPr="00163A6B" w14:paraId="3E265BA1" w14:textId="77777777" w:rsidTr="00F36CAF">
        <w:trPr>
          <w:trHeight w:val="300"/>
        </w:trPr>
        <w:tc>
          <w:tcPr>
            <w:tcW w:w="1979" w:type="dxa"/>
            <w:tcBorders>
              <w:top w:val="single" w:sz="6" w:space="0" w:color="FFFFFF"/>
              <w:left w:val="single" w:sz="6" w:space="0" w:color="FFFFFF"/>
              <w:bottom w:val="single" w:sz="6" w:space="0" w:color="FFFFFF"/>
              <w:right w:val="single" w:sz="6" w:space="0" w:color="FFFFFF"/>
            </w:tcBorders>
            <w:shd w:val="clear" w:color="auto" w:fill="156082"/>
            <w:hideMark/>
          </w:tcPr>
          <w:p w14:paraId="1D08A95F"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Political/Legal </w:t>
            </w:r>
          </w:p>
        </w:tc>
        <w:tc>
          <w:tcPr>
            <w:tcW w:w="7031" w:type="dxa"/>
            <w:tcBorders>
              <w:top w:val="single" w:sz="6" w:space="0" w:color="FFFFFF"/>
              <w:left w:val="single" w:sz="6" w:space="0" w:color="FFFFFF"/>
              <w:bottom w:val="single" w:sz="6" w:space="0" w:color="FFFFFF"/>
              <w:right w:val="single" w:sz="6" w:space="0" w:color="FFFFFF"/>
            </w:tcBorders>
            <w:shd w:val="clear" w:color="auto" w:fill="83CAEB"/>
            <w:hideMark/>
          </w:tcPr>
          <w:p w14:paraId="705669D1"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International data protection laws and emerging AI governance policies require compliance across markets. Labour regulations shape workforce redesign and the deployment of automation affected service roles </w:t>
            </w:r>
          </w:p>
        </w:tc>
      </w:tr>
      <w:tr w:rsidR="00163A6B" w:rsidRPr="00163A6B" w14:paraId="1BCB5CD5" w14:textId="77777777" w:rsidTr="00F36CAF">
        <w:trPr>
          <w:trHeight w:val="300"/>
        </w:trPr>
        <w:tc>
          <w:tcPr>
            <w:tcW w:w="1979" w:type="dxa"/>
            <w:tcBorders>
              <w:top w:val="single" w:sz="6" w:space="0" w:color="FFFFFF"/>
              <w:left w:val="single" w:sz="6" w:space="0" w:color="FFFFFF"/>
              <w:bottom w:val="single" w:sz="6" w:space="0" w:color="FFFFFF"/>
              <w:right w:val="single" w:sz="6" w:space="0" w:color="FFFFFF"/>
            </w:tcBorders>
            <w:shd w:val="clear" w:color="auto" w:fill="156082"/>
            <w:hideMark/>
          </w:tcPr>
          <w:p w14:paraId="60960E1F"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Economic </w:t>
            </w:r>
          </w:p>
        </w:tc>
        <w:tc>
          <w:tcPr>
            <w:tcW w:w="7031" w:type="dxa"/>
            <w:tcBorders>
              <w:top w:val="single" w:sz="6" w:space="0" w:color="FFFFFF"/>
              <w:left w:val="single" w:sz="6" w:space="0" w:color="FFFFFF"/>
              <w:bottom w:val="single" w:sz="6" w:space="0" w:color="FFFFFF"/>
              <w:right w:val="single" w:sz="6" w:space="0" w:color="FFFFFF"/>
            </w:tcBorders>
            <w:shd w:val="clear" w:color="auto" w:fill="C1E4F5"/>
            <w:hideMark/>
          </w:tcPr>
          <w:p w14:paraId="77A8A4E8"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Rising labour and operational costs strengthen the business case for automation and digitalisation, however global economic uncertainty constrains investment and requires careful cost control during technology implementation </w:t>
            </w:r>
          </w:p>
        </w:tc>
      </w:tr>
      <w:tr w:rsidR="00163A6B" w:rsidRPr="00163A6B" w14:paraId="0E193839" w14:textId="77777777" w:rsidTr="00F36CAF">
        <w:trPr>
          <w:trHeight w:val="300"/>
        </w:trPr>
        <w:tc>
          <w:tcPr>
            <w:tcW w:w="1979" w:type="dxa"/>
            <w:tcBorders>
              <w:top w:val="single" w:sz="6" w:space="0" w:color="FFFFFF"/>
              <w:left w:val="single" w:sz="6" w:space="0" w:color="FFFFFF"/>
              <w:bottom w:val="single" w:sz="6" w:space="0" w:color="FFFFFF"/>
              <w:right w:val="single" w:sz="6" w:space="0" w:color="FFFFFF"/>
            </w:tcBorders>
            <w:shd w:val="clear" w:color="auto" w:fill="156082"/>
            <w:hideMark/>
          </w:tcPr>
          <w:p w14:paraId="63B5174A"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Social </w:t>
            </w:r>
          </w:p>
          <w:p w14:paraId="354B6FC3"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 </w:t>
            </w:r>
          </w:p>
          <w:p w14:paraId="2A0B6BAD"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 </w:t>
            </w:r>
          </w:p>
          <w:p w14:paraId="132E8B8A"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 </w:t>
            </w:r>
          </w:p>
        </w:tc>
        <w:tc>
          <w:tcPr>
            <w:tcW w:w="7031" w:type="dxa"/>
            <w:tcBorders>
              <w:top w:val="single" w:sz="6" w:space="0" w:color="FFFFFF"/>
              <w:left w:val="single" w:sz="6" w:space="0" w:color="FFFFFF"/>
              <w:bottom w:val="single" w:sz="6" w:space="0" w:color="FFFFFF"/>
              <w:right w:val="single" w:sz="6" w:space="0" w:color="FFFFFF"/>
            </w:tcBorders>
            <w:shd w:val="clear" w:color="auto" w:fill="83CAEB"/>
            <w:hideMark/>
          </w:tcPr>
          <w:p w14:paraId="7BABEFBE"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Cultural expectations of hospitality vary; some market prioritise personalised human interaction while others prefer technological convenience. Generational differences also affect acceptance, with younger travellers favouring digital self-service and older guest valuing human contact </w:t>
            </w:r>
          </w:p>
        </w:tc>
      </w:tr>
      <w:tr w:rsidR="00163A6B" w:rsidRPr="00163A6B" w14:paraId="7B6F62BE" w14:textId="77777777" w:rsidTr="00F36CAF">
        <w:trPr>
          <w:trHeight w:val="300"/>
        </w:trPr>
        <w:tc>
          <w:tcPr>
            <w:tcW w:w="1979" w:type="dxa"/>
            <w:tcBorders>
              <w:top w:val="single" w:sz="6" w:space="0" w:color="FFFFFF"/>
              <w:left w:val="single" w:sz="6" w:space="0" w:color="FFFFFF"/>
              <w:bottom w:val="single" w:sz="6" w:space="0" w:color="FFFFFF"/>
              <w:right w:val="single" w:sz="6" w:space="0" w:color="FFFFFF"/>
            </w:tcBorders>
            <w:shd w:val="clear" w:color="auto" w:fill="156082"/>
            <w:hideMark/>
          </w:tcPr>
          <w:p w14:paraId="788EA145"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Technological </w:t>
            </w:r>
          </w:p>
        </w:tc>
        <w:tc>
          <w:tcPr>
            <w:tcW w:w="7031" w:type="dxa"/>
            <w:tcBorders>
              <w:top w:val="single" w:sz="6" w:space="0" w:color="FFFFFF"/>
              <w:left w:val="single" w:sz="6" w:space="0" w:color="FFFFFF"/>
              <w:bottom w:val="single" w:sz="6" w:space="0" w:color="FFFFFF"/>
              <w:right w:val="single" w:sz="6" w:space="0" w:color="FFFFFF"/>
            </w:tcBorders>
            <w:shd w:val="clear" w:color="auto" w:fill="C1E4F5"/>
            <w:hideMark/>
          </w:tcPr>
          <w:p w14:paraId="12CDC79C"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xml:space="preserve">Differences in infrastructure and digital maturity influence adoption speed. Developed regions benefits from reliable connectivity and high digital literacy, enabling rapid </w:t>
            </w:r>
            <w:r w:rsidRPr="00163A6B">
              <w:rPr>
                <w:rFonts w:ascii="Times New Roman" w:hAnsi="Times New Roman" w:cs="Times New Roman"/>
              </w:rPr>
              <w:lastRenderedPageBreak/>
              <w:t>AI integration, whereas emerging market may face infrastructure and capability constraints </w:t>
            </w:r>
          </w:p>
        </w:tc>
      </w:tr>
      <w:tr w:rsidR="00163A6B" w:rsidRPr="00163A6B" w14:paraId="145690E5" w14:textId="77777777" w:rsidTr="00F36CAF">
        <w:trPr>
          <w:trHeight w:val="300"/>
        </w:trPr>
        <w:tc>
          <w:tcPr>
            <w:tcW w:w="1979" w:type="dxa"/>
            <w:tcBorders>
              <w:top w:val="single" w:sz="6" w:space="0" w:color="FFFFFF"/>
              <w:left w:val="single" w:sz="6" w:space="0" w:color="FFFFFF"/>
              <w:bottom w:val="single" w:sz="6" w:space="0" w:color="FFFFFF"/>
              <w:right w:val="single" w:sz="6" w:space="0" w:color="FFFFFF"/>
            </w:tcBorders>
            <w:shd w:val="clear" w:color="auto" w:fill="156082"/>
            <w:hideMark/>
          </w:tcPr>
          <w:p w14:paraId="7B2C0044"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lastRenderedPageBreak/>
              <w:t>Environmental </w:t>
            </w:r>
          </w:p>
        </w:tc>
        <w:tc>
          <w:tcPr>
            <w:tcW w:w="7031" w:type="dxa"/>
            <w:tcBorders>
              <w:top w:val="single" w:sz="6" w:space="0" w:color="FFFFFF"/>
              <w:left w:val="single" w:sz="6" w:space="0" w:color="FFFFFF"/>
              <w:bottom w:val="single" w:sz="6" w:space="0" w:color="FFFFFF"/>
              <w:right w:val="single" w:sz="6" w:space="0" w:color="FFFFFF"/>
            </w:tcBorders>
            <w:shd w:val="clear" w:color="auto" w:fill="83CAEB"/>
            <w:hideMark/>
          </w:tcPr>
          <w:p w14:paraId="62132A9C"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Increasing pressure from governments, investors and consumers for sustainability performance and transparency shapes hospitability strategy. </w:t>
            </w:r>
            <w:proofErr w:type="spellStart"/>
            <w:r w:rsidRPr="00163A6B">
              <w:rPr>
                <w:rFonts w:ascii="Times New Roman" w:hAnsi="Times New Roman" w:cs="Times New Roman"/>
              </w:rPr>
              <w:t>StaySmart</w:t>
            </w:r>
            <w:proofErr w:type="spellEnd"/>
            <w:r w:rsidRPr="00163A6B">
              <w:rPr>
                <w:rFonts w:ascii="Times New Roman" w:hAnsi="Times New Roman" w:cs="Times New Roman"/>
              </w:rPr>
              <w:t>+ sustainability features support environmental commitments. </w:t>
            </w:r>
          </w:p>
        </w:tc>
      </w:tr>
    </w:tbl>
    <w:p w14:paraId="44C38CE8" w14:textId="51D5C1A1" w:rsidR="00CB7212" w:rsidRPr="00163A6B" w:rsidRDefault="00163A6B" w:rsidP="00780EDC">
      <w:pPr>
        <w:spacing w:line="360" w:lineRule="auto"/>
        <w:rPr>
          <w:rFonts w:ascii="Times New Roman" w:hAnsi="Times New Roman" w:cs="Times New Roman"/>
        </w:rPr>
      </w:pPr>
      <w:r w:rsidRPr="00163A6B">
        <w:rPr>
          <w:rFonts w:ascii="Times New Roman" w:hAnsi="Times New Roman" w:cs="Times New Roman"/>
        </w:rPr>
        <w:t> </w:t>
      </w:r>
    </w:p>
    <w:p w14:paraId="2BCD7F04" w14:textId="6298F3B8"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b/>
          <w:bCs/>
        </w:rPr>
        <w:t>Smart Objectives</w:t>
      </w:r>
      <w:r w:rsidRPr="00163A6B">
        <w:rPr>
          <w:rFonts w:ascii="Times New Roman" w:hAnsi="Times New Roman" w:cs="Times New Roman"/>
        </w:rPr>
        <w:t> </w:t>
      </w:r>
    </w:p>
    <w:p w14:paraId="058E84D6"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During six months, the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project aims to roll out the service in 18 test hotels across five different regions of the world. After organised training programs and change management assistance, the implementation will get at least 80% adoption among frontline staff. Within the first year of oration the project will also result in a 15% increase in guest satisfaction ratings for digital service experience and personalisation. Additionally, through optimisation technologies and sustainability focused services, participating hotels will reduce their energy usage per occupied room by 10%. These goals match service quality and environmental performance results with technological innovation. </w:t>
      </w:r>
    </w:p>
    <w:p w14:paraId="478ACB0D"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163A6B" w:rsidRPr="00163A6B" w14:paraId="05A3473E" w14:textId="77777777" w:rsidTr="00F36CAF">
        <w:trPr>
          <w:trHeight w:val="300"/>
        </w:trPr>
        <w:tc>
          <w:tcPr>
            <w:tcW w:w="3000" w:type="dxa"/>
            <w:tcBorders>
              <w:top w:val="single" w:sz="6" w:space="0" w:color="156082"/>
              <w:left w:val="single" w:sz="6" w:space="0" w:color="156082"/>
              <w:bottom w:val="single" w:sz="6" w:space="0" w:color="156082"/>
              <w:right w:val="nil"/>
            </w:tcBorders>
            <w:shd w:val="clear" w:color="auto" w:fill="156082"/>
            <w:hideMark/>
          </w:tcPr>
          <w:p w14:paraId="329C8C3D"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Objective </w:t>
            </w:r>
          </w:p>
        </w:tc>
        <w:tc>
          <w:tcPr>
            <w:tcW w:w="3000" w:type="dxa"/>
            <w:tcBorders>
              <w:top w:val="single" w:sz="6" w:space="0" w:color="156082"/>
              <w:left w:val="nil"/>
              <w:bottom w:val="single" w:sz="6" w:space="0" w:color="156082"/>
              <w:right w:val="nil"/>
            </w:tcBorders>
            <w:shd w:val="clear" w:color="auto" w:fill="156082"/>
            <w:hideMark/>
          </w:tcPr>
          <w:p w14:paraId="3ABCC3D2"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Target </w:t>
            </w:r>
          </w:p>
        </w:tc>
        <w:tc>
          <w:tcPr>
            <w:tcW w:w="3000" w:type="dxa"/>
            <w:tcBorders>
              <w:top w:val="single" w:sz="6" w:space="0" w:color="156082"/>
              <w:left w:val="nil"/>
              <w:bottom w:val="single" w:sz="6" w:space="0" w:color="156082"/>
              <w:right w:val="single" w:sz="6" w:space="0" w:color="156082"/>
            </w:tcBorders>
            <w:shd w:val="clear" w:color="auto" w:fill="156082"/>
            <w:hideMark/>
          </w:tcPr>
          <w:p w14:paraId="76B129F3"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Time frame </w:t>
            </w:r>
          </w:p>
        </w:tc>
      </w:tr>
      <w:tr w:rsidR="00163A6B" w:rsidRPr="00163A6B" w14:paraId="4EB274BA"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63F0C1A8"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Deploy </w:t>
            </w:r>
            <w:proofErr w:type="spellStart"/>
            <w:r w:rsidRPr="00163A6B">
              <w:rPr>
                <w:rFonts w:ascii="Times New Roman" w:hAnsi="Times New Roman" w:cs="Times New Roman"/>
                <w:b/>
                <w:bCs/>
              </w:rPr>
              <w:t>StaySmart</w:t>
            </w:r>
            <w:proofErr w:type="spellEnd"/>
            <w:r w:rsidRPr="00163A6B">
              <w:rPr>
                <w:rFonts w:ascii="Times New Roman" w:hAnsi="Times New Roman" w:cs="Times New Roman"/>
                <w:b/>
                <w:bCs/>
              </w:rPr>
              <w:t>+ in pilot hotels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26422359"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18 hotels in 5 regions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5252D497"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6 months </w:t>
            </w:r>
          </w:p>
        </w:tc>
      </w:tr>
      <w:tr w:rsidR="00163A6B" w:rsidRPr="00163A6B" w14:paraId="1EB777F2"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hideMark/>
          </w:tcPr>
          <w:p w14:paraId="2F34F58A"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Staff adoption system </w:t>
            </w:r>
          </w:p>
        </w:tc>
        <w:tc>
          <w:tcPr>
            <w:tcW w:w="3000" w:type="dxa"/>
            <w:tcBorders>
              <w:top w:val="single" w:sz="6" w:space="0" w:color="45B0E1"/>
              <w:left w:val="single" w:sz="6" w:space="0" w:color="45B0E1"/>
              <w:bottom w:val="single" w:sz="6" w:space="0" w:color="45B0E1"/>
              <w:right w:val="single" w:sz="6" w:space="0" w:color="45B0E1"/>
            </w:tcBorders>
            <w:hideMark/>
          </w:tcPr>
          <w:p w14:paraId="1DBC6D2D"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80% frontline staff adoption rate </w:t>
            </w:r>
          </w:p>
        </w:tc>
        <w:tc>
          <w:tcPr>
            <w:tcW w:w="3000" w:type="dxa"/>
            <w:tcBorders>
              <w:top w:val="single" w:sz="6" w:space="0" w:color="45B0E1"/>
              <w:left w:val="single" w:sz="6" w:space="0" w:color="45B0E1"/>
              <w:bottom w:val="single" w:sz="6" w:space="0" w:color="45B0E1"/>
              <w:right w:val="single" w:sz="6" w:space="0" w:color="45B0E1"/>
            </w:tcBorders>
            <w:hideMark/>
          </w:tcPr>
          <w:p w14:paraId="60B51A1B"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During rollout </w:t>
            </w:r>
          </w:p>
        </w:tc>
      </w:tr>
      <w:tr w:rsidR="00163A6B" w:rsidRPr="00163A6B" w14:paraId="78D13F41"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7F81353C"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Improve guest satisfaction (digital and personalisation)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1AE43317"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+15% improvement in relevant satisfaction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3F88A93C"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Within 12 months </w:t>
            </w:r>
          </w:p>
        </w:tc>
      </w:tr>
      <w:tr w:rsidR="00163A6B" w:rsidRPr="00163A6B" w14:paraId="76B04093"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hideMark/>
          </w:tcPr>
          <w:p w14:paraId="0E74A65D"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Reduce energy use per occupied room </w:t>
            </w:r>
          </w:p>
        </w:tc>
        <w:tc>
          <w:tcPr>
            <w:tcW w:w="3000" w:type="dxa"/>
            <w:tcBorders>
              <w:top w:val="single" w:sz="6" w:space="0" w:color="45B0E1"/>
              <w:left w:val="single" w:sz="6" w:space="0" w:color="45B0E1"/>
              <w:bottom w:val="single" w:sz="6" w:space="0" w:color="45B0E1"/>
              <w:right w:val="single" w:sz="6" w:space="0" w:color="45B0E1"/>
            </w:tcBorders>
            <w:hideMark/>
          </w:tcPr>
          <w:p w14:paraId="2C1EFA1B"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-10% energy use per room </w:t>
            </w:r>
          </w:p>
        </w:tc>
        <w:tc>
          <w:tcPr>
            <w:tcW w:w="3000" w:type="dxa"/>
            <w:tcBorders>
              <w:top w:val="single" w:sz="6" w:space="0" w:color="45B0E1"/>
              <w:left w:val="single" w:sz="6" w:space="0" w:color="45B0E1"/>
              <w:bottom w:val="single" w:sz="6" w:space="0" w:color="45B0E1"/>
              <w:right w:val="single" w:sz="6" w:space="0" w:color="45B0E1"/>
            </w:tcBorders>
            <w:hideMark/>
          </w:tcPr>
          <w:p w14:paraId="3B6D99C0"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Within 12 months </w:t>
            </w:r>
          </w:p>
        </w:tc>
      </w:tr>
    </w:tbl>
    <w:p w14:paraId="38AC8117" w14:textId="00AC133D" w:rsidR="00163A6B" w:rsidRPr="00F2397E" w:rsidRDefault="00163A6B" w:rsidP="00F2397E">
      <w:pPr>
        <w:pStyle w:val="Heading1"/>
      </w:pPr>
      <w:r w:rsidRPr="00F2397E">
        <w:lastRenderedPageBreak/>
        <w:t> </w:t>
      </w:r>
      <w:bookmarkStart w:id="3" w:name="_Toc224566500"/>
      <w:r w:rsidRPr="00F2397E">
        <w:t>Identification and Categorisation of Stakeholders</w:t>
      </w:r>
      <w:bookmarkEnd w:id="3"/>
    </w:p>
    <w:p w14:paraId="4CE11ABC" w14:textId="77777777" w:rsidR="00163A6B" w:rsidRDefault="00163A6B" w:rsidP="00F2397E">
      <w:pPr>
        <w:spacing w:line="360" w:lineRule="auto"/>
        <w:rPr>
          <w:rFonts w:ascii="Times New Roman" w:hAnsi="Times New Roman" w:cs="Times New Roman"/>
        </w:rPr>
      </w:pPr>
      <w:r w:rsidRPr="00163A6B">
        <w:rPr>
          <w:rFonts w:ascii="Times New Roman" w:hAnsi="Times New Roman" w:cs="Times New Roman"/>
        </w:rPr>
        <w:t>According to Freeman (1984), stakeholders are people or organisations that have the power to affect or be affected by organisational actions and results. Because the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service project entails technology innovation, service reform, and worldwide deployment, stakeholders come from a variety of organisational levels and external settings. To guarantee that these stakeholders’ expectations, impact, and concerns are taken into consideration at every stage of the project, it is crucial to identify and classify them.  </w:t>
      </w:r>
    </w:p>
    <w:p w14:paraId="2859A288" w14:textId="1007D788" w:rsidR="002300A9" w:rsidRPr="00163A6B" w:rsidRDefault="002300A9" w:rsidP="00F2397E">
      <w:pPr>
        <w:spacing w:line="360" w:lineRule="auto"/>
        <w:rPr>
          <w:rFonts w:ascii="Times New Roman" w:hAnsi="Times New Roman" w:cs="Times New Roman"/>
        </w:rPr>
      </w:pPr>
      <w:r w:rsidRPr="002300A9">
        <w:rPr>
          <w:rFonts w:ascii="Times New Roman" w:hAnsi="Times New Roman" w:cs="Times New Roman"/>
        </w:rPr>
        <w:t xml:space="preserve">Internal stakeholders at IHG play an important role in the development and implementation of the </w:t>
      </w:r>
      <w:proofErr w:type="spellStart"/>
      <w:r w:rsidRPr="002300A9">
        <w:rPr>
          <w:rFonts w:ascii="Times New Roman" w:hAnsi="Times New Roman" w:cs="Times New Roman"/>
        </w:rPr>
        <w:t>StaySmart</w:t>
      </w:r>
      <w:proofErr w:type="spellEnd"/>
      <w:r w:rsidRPr="002300A9">
        <w:rPr>
          <w:rFonts w:ascii="Times New Roman" w:hAnsi="Times New Roman" w:cs="Times New Roman"/>
        </w:rPr>
        <w:t>+ service. Senior leadership and the corporate board set strategic priorities, allocate resources and approve investment decisions. The project manager coordinates activities across departments and regions to ensure effective implementation and stakeholder collaboration</w:t>
      </w:r>
    </w:p>
    <w:p w14:paraId="013FFA3D"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The technical competence needed to create, test and integrate the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technology platform with current hotel systems is possessed by technical stakeholders, such as IT specialists and AI development teams. The service’s technological viability and dependability cannot be guaranteed without their participation. Because they convert corporate strategy into day-to-day service delivery, operational stakeholders like departmental supervisors and hotel general managers are equally crucial. Whether the service can be successfully integrated into operations depends on their comprehension of the local market conditions, visitor expectations, and personnel capabilities.  </w:t>
      </w:r>
    </w:p>
    <w:p w14:paraId="0E6FA272" w14:textId="324961BB" w:rsidR="00163A6B" w:rsidRPr="00163A6B" w:rsidRDefault="00FE11E2" w:rsidP="00F2397E">
      <w:pPr>
        <w:spacing w:line="360" w:lineRule="auto"/>
        <w:rPr>
          <w:rFonts w:ascii="Times New Roman" w:hAnsi="Times New Roman" w:cs="Times New Roman"/>
        </w:rPr>
      </w:pPr>
      <w:r w:rsidRPr="00FE11E2">
        <w:rPr>
          <w:rFonts w:ascii="Times New Roman" w:hAnsi="Times New Roman" w:cs="Times New Roman"/>
        </w:rPr>
        <w:t>Frontline staff such as receptionists, concierge staff and housekeeping teams are also important stakeholders because they interact directly with guests and influence the practical use of new technologies. Their acceptance, training and willingness to adopt AI systems significantly affect the success of service implementation</w:t>
      </w:r>
      <w:r>
        <w:rPr>
          <w:rFonts w:ascii="Times New Roman" w:hAnsi="Times New Roman" w:cs="Times New Roman"/>
        </w:rPr>
        <w:t xml:space="preserve">. </w:t>
      </w:r>
      <w:r w:rsidR="00163A6B" w:rsidRPr="00163A6B">
        <w:rPr>
          <w:rFonts w:ascii="Times New Roman" w:hAnsi="Times New Roman" w:cs="Times New Roman"/>
        </w:rPr>
        <w:t>Sustainability experts make ensuring that environmental aspects match business pledges and legal requirements. </w:t>
      </w:r>
    </w:p>
    <w:p w14:paraId="6BB7B04D"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Because the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xml:space="preserve">+ service has an impact on social legitimacy, technical partnerships, consumer experience, and regulatory compliance, external stakeholders are equally important. Since they are the service’s direct users and beneficiaries, guests serve as the main external stakeholders. Perceived value and market acceptance are determined by their expectations, preferences, and feedback.  For technical deployment and continuous system performance, technology and suppliers and digital partners are crucial since they </w:t>
      </w:r>
      <w:r w:rsidRPr="00163A6B">
        <w:rPr>
          <w:rFonts w:ascii="Times New Roman" w:hAnsi="Times New Roman" w:cs="Times New Roman"/>
        </w:rPr>
        <w:lastRenderedPageBreak/>
        <w:t>provide AI systems, data platforms, and integration assistance. Because they have the authority to authorise limit, or sanction the use of technology, regulatory bodies and data protection organisations are examples of high-power external stakeholders.  </w:t>
      </w:r>
    </w:p>
    <w:p w14:paraId="00F36ADB"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The ability of regulatory bodies and data protection organisations to authorise, limit, or prohibit the use of technology makes them high-power external stakeholders. International hospitality settings require strict adherence to data protection and AI governance laws. The support of investors and shareholders, who are financial stakeholders, is contingent upon their perception of return on investment and strategic alignment with the growth objectives of the organisation. Local economies, employment, and environmental sustainability are all impacted by hospitality activities, therefore local communities and tourist partners are representative of larger society stakeholders.  </w:t>
      </w:r>
    </w:p>
    <w:p w14:paraId="15570C95"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Stakeholders can be classified via the power-interest matrix to ascertain engagement priorities (Bourne,2015). Senior leadership, hotel managers, and IT leaders exhibit significant power and interest, rendering them essential decision-making stakeholders necessitating formal communication and assurance. Frontline personnel and visitors exhibit significant interest yet hold less formal authority; nonetheless, their impact on adoption results renders them critical targets for engagement. Communities and peripheral partners exhibit diminished authority and interest yet necessitate regular information to uphold legitimacy. Due to the variability in stakeholder influence and expectations between locations, engagement techniques must be tailored context </w:t>
      </w:r>
    </w:p>
    <w:p w14:paraId="478A6C5F" w14:textId="4B57B934" w:rsidR="00163A6B" w:rsidRDefault="00163A6B" w:rsidP="00F2397E">
      <w:pPr>
        <w:pStyle w:val="Heading1"/>
      </w:pPr>
      <w:bookmarkStart w:id="4" w:name="_Toc224566501"/>
      <w:r w:rsidRPr="00F2397E">
        <w:t>Roles, Responsibilities, Benefits and Challenges</w:t>
      </w:r>
      <w:bookmarkEnd w:id="4"/>
    </w:p>
    <w:p w14:paraId="246C5F5A"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The effective execution of </w:t>
      </w:r>
      <w:proofErr w:type="spellStart"/>
      <w:r w:rsidRPr="00163A6B">
        <w:rPr>
          <w:rFonts w:ascii="Times New Roman" w:hAnsi="Times New Roman" w:cs="Times New Roman"/>
        </w:rPr>
        <w:t>StaySmart</w:t>
      </w:r>
      <w:proofErr w:type="spellEnd"/>
      <w:r w:rsidRPr="00163A6B">
        <w:rPr>
          <w:rFonts w:ascii="Times New Roman" w:hAnsi="Times New Roman" w:cs="Times New Roman"/>
        </w:rPr>
        <w:t>+ relies on well-defined stakeholder roles and responsibilities. Ambiguity in duty can lead to conflict, delays, and diminished accountability in intricate worldwide initiatives. The RACI framework delineates responsibilities, accountability, consultation and information dissemination for each activity, hence offering a systematic method for stakeholder. (Eby, 2019) </w:t>
      </w:r>
    </w:p>
    <w:p w14:paraId="6C92D1F7"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The IT and development teams are tasked with building and implementing the technology platform within the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xml:space="preserve">+ project. Their responsibilities encompass system architecture, data integration, testing and cybersecurity assurance. The project manager is responsible for overall delivery, ensuring that technical activities conform the project objectives, schedules, and stakeholder expectations.  Hotel managers are contacted during the design </w:t>
      </w:r>
      <w:r w:rsidRPr="00163A6B">
        <w:rPr>
          <w:rFonts w:ascii="Times New Roman" w:hAnsi="Times New Roman" w:cs="Times New Roman"/>
        </w:rPr>
        <w:lastRenderedPageBreak/>
        <w:t>phase to guarantee operational practicality and local adaption, while frontline personnel are subsequently briefed and taught to utilise the system.  </w:t>
      </w:r>
    </w:p>
    <w:p w14:paraId="578DDB81"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The human resources and training divisions are tasked with creating and implementing staff competency programs that empower employees to utilise AI tools with confidence and ethical consideration. Hotel managers are responsible for maintain staff engagement and implementation with their establishments. The marketing and branding teams are tasked with conveying the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value proposition to guests, ensuring that the messing is consistent with brand identification and cultural norms across various locations.  Sustainability specialists ensure that the environmental aspects of the service align with corporate sustainability objectives and comply with regulatory standards. Senior leadership is responsible for strategic alignment, resource allocation, and organisational commitment.  </w:t>
      </w:r>
    </w:p>
    <w:p w14:paraId="26F2A5E4" w14:textId="5269597B" w:rsidR="004E2603" w:rsidRDefault="004E2603" w:rsidP="00F2397E">
      <w:pPr>
        <w:spacing w:line="360" w:lineRule="auto"/>
        <w:rPr>
          <w:rFonts w:ascii="Times New Roman" w:hAnsi="Times New Roman" w:cs="Times New Roman"/>
        </w:rPr>
      </w:pPr>
      <w:r w:rsidRPr="004E2603">
        <w:rPr>
          <w:rFonts w:ascii="Times New Roman" w:hAnsi="Times New Roman" w:cs="Times New Roman"/>
        </w:rPr>
        <w:t>Each stakeholder group contributes resources that support project success. Technical teams provide digital expertise to develop reliable AI systems, while operational managers offer knowledge of service processes and guest behaviour. Frontline staff contribute practical insights from daily guest interactions, improving usability and adoption. Marketing teams support communication and brand positioning, while sustainability specialists ensure environmental credibility. External stakeholders such as technology suppliers and regulators provide innovation capabilities and legal legitimacy.</w:t>
      </w:r>
    </w:p>
    <w:p w14:paraId="6B63AC98" w14:textId="7FDFBCE3" w:rsidR="00C01AED" w:rsidRDefault="00945D33" w:rsidP="00F2397E">
      <w:pPr>
        <w:spacing w:line="360" w:lineRule="auto"/>
        <w:rPr>
          <w:rFonts w:ascii="Times New Roman" w:hAnsi="Times New Roman" w:cs="Times New Roman"/>
        </w:rPr>
      </w:pPr>
      <w:r w:rsidRPr="00945D33">
        <w:rPr>
          <w:rFonts w:ascii="Times New Roman" w:hAnsi="Times New Roman" w:cs="Times New Roman"/>
        </w:rPr>
        <w:t>These contributions highlight how organisations depend on stakeholders for resources such as knowledge, technology and legitimacy.</w:t>
      </w:r>
    </w:p>
    <w:p w14:paraId="782F782A" w14:textId="2ACF3CFE"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Although these advantages, stakeholders have difficulties that impede engagement. Frontline staff may have concerns regarding technology adoption, thinking that AI could replace human functions or diminish the quality of personal service.  Such impressions may prompt resistance to change, hence diminishing adoption rates.  Hotel managers may encounter operational pressures to adopt systems while upholding service standards and financial performance. It teams may face integration challenges across several property systems and global data environments. Marketing teams may find it challenging to convey AI-enhanced services in a manner that aligns with the hospitality principles of warmth and customisation.  </w:t>
      </w:r>
    </w:p>
    <w:p w14:paraId="73DA160E" w14:textId="09FE4546"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xml:space="preserve">External stakeholders encounter difficulties as well.  Guests may express apprehension regarding data privacy or diminished human engagement. Regulators may mandate comprehensive compliance verification, hence adding project complexity. </w:t>
      </w:r>
      <w:r w:rsidRPr="00163A6B">
        <w:rPr>
          <w:rFonts w:ascii="Times New Roman" w:hAnsi="Times New Roman" w:cs="Times New Roman"/>
        </w:rPr>
        <w:lastRenderedPageBreak/>
        <w:t>Technology vendors must guarantee dependability and interoperability with current hotel systems across various markets.  Investors may scrutinise the financial yield of substantial technology investments. Local populations may voice apprehension over sustainability assertions or technology supplanting job opportunities. These problems exemplify the ethical aspect of stakeholder management highlighted in stakeholder theory, which posits that businesses must reconcile the interests of various stakeholders instead of solely prioritising financial </w:t>
      </w:r>
      <w:proofErr w:type="gramStart"/>
      <w:r w:rsidRPr="00163A6B">
        <w:rPr>
          <w:rFonts w:ascii="Times New Roman" w:hAnsi="Times New Roman" w:cs="Times New Roman"/>
        </w:rPr>
        <w:t>results(</w:t>
      </w:r>
      <w:proofErr w:type="gramEnd"/>
      <w:r w:rsidRPr="00163A6B">
        <w:rPr>
          <w:rFonts w:ascii="Times New Roman" w:hAnsi="Times New Roman" w:cs="Times New Roman"/>
        </w:rPr>
        <w:t>Freeman,1984).  Ethical stakeholder management necessitates transparency, equity, and attentiveness to stakeholder issues. The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project encompasses ethical aspects such as appropriate AI use, safeguarding data privacy, worker reskilling, and preserving the human aspect of hospitality services.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163A6B" w:rsidRPr="00163A6B" w14:paraId="40074649" w14:textId="77777777" w:rsidTr="00F36CAF">
        <w:trPr>
          <w:trHeight w:val="300"/>
        </w:trPr>
        <w:tc>
          <w:tcPr>
            <w:tcW w:w="3000" w:type="dxa"/>
            <w:tcBorders>
              <w:top w:val="single" w:sz="6" w:space="0" w:color="156082"/>
              <w:left w:val="single" w:sz="6" w:space="0" w:color="156082"/>
              <w:bottom w:val="single" w:sz="6" w:space="0" w:color="156082"/>
              <w:right w:val="nil"/>
            </w:tcBorders>
            <w:shd w:val="clear" w:color="auto" w:fill="156082"/>
            <w:hideMark/>
          </w:tcPr>
          <w:p w14:paraId="108D15F1"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Stakeholder </w:t>
            </w:r>
          </w:p>
        </w:tc>
        <w:tc>
          <w:tcPr>
            <w:tcW w:w="3000" w:type="dxa"/>
            <w:tcBorders>
              <w:top w:val="single" w:sz="6" w:space="0" w:color="156082"/>
              <w:left w:val="nil"/>
              <w:bottom w:val="single" w:sz="6" w:space="0" w:color="156082"/>
              <w:right w:val="nil"/>
            </w:tcBorders>
            <w:shd w:val="clear" w:color="auto" w:fill="156082"/>
            <w:hideMark/>
          </w:tcPr>
          <w:p w14:paraId="0F8F85F6"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Priority </w:t>
            </w:r>
          </w:p>
        </w:tc>
        <w:tc>
          <w:tcPr>
            <w:tcW w:w="3000" w:type="dxa"/>
            <w:tcBorders>
              <w:top w:val="single" w:sz="6" w:space="0" w:color="156082"/>
              <w:left w:val="nil"/>
              <w:bottom w:val="single" w:sz="6" w:space="0" w:color="156082"/>
              <w:right w:val="single" w:sz="6" w:space="0" w:color="156082"/>
            </w:tcBorders>
            <w:shd w:val="clear" w:color="auto" w:fill="156082"/>
            <w:hideMark/>
          </w:tcPr>
          <w:p w14:paraId="1012E5D1"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Main Interest  </w:t>
            </w:r>
          </w:p>
        </w:tc>
      </w:tr>
      <w:tr w:rsidR="00163A6B" w:rsidRPr="00163A6B" w14:paraId="72B063E2"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722043AC"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Senior leadership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5AD0FF90"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High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1EE92EAD"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Strategy, ROI, brand reputation </w:t>
            </w:r>
          </w:p>
        </w:tc>
      </w:tr>
      <w:tr w:rsidR="00163A6B" w:rsidRPr="00163A6B" w14:paraId="0EE7BD03"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hideMark/>
          </w:tcPr>
          <w:p w14:paraId="73F4C86A"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Regulators  </w:t>
            </w:r>
          </w:p>
        </w:tc>
        <w:tc>
          <w:tcPr>
            <w:tcW w:w="3000" w:type="dxa"/>
            <w:tcBorders>
              <w:top w:val="single" w:sz="6" w:space="0" w:color="45B0E1"/>
              <w:left w:val="single" w:sz="6" w:space="0" w:color="45B0E1"/>
              <w:bottom w:val="single" w:sz="6" w:space="0" w:color="45B0E1"/>
              <w:right w:val="single" w:sz="6" w:space="0" w:color="45B0E1"/>
            </w:tcBorders>
            <w:hideMark/>
          </w:tcPr>
          <w:p w14:paraId="10B97954"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High  </w:t>
            </w:r>
          </w:p>
        </w:tc>
        <w:tc>
          <w:tcPr>
            <w:tcW w:w="3000" w:type="dxa"/>
            <w:tcBorders>
              <w:top w:val="single" w:sz="6" w:space="0" w:color="45B0E1"/>
              <w:left w:val="single" w:sz="6" w:space="0" w:color="45B0E1"/>
              <w:bottom w:val="single" w:sz="6" w:space="0" w:color="45B0E1"/>
              <w:right w:val="single" w:sz="6" w:space="0" w:color="45B0E1"/>
            </w:tcBorders>
            <w:hideMark/>
          </w:tcPr>
          <w:p w14:paraId="367057DE"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Legal and data compliance </w:t>
            </w:r>
          </w:p>
        </w:tc>
      </w:tr>
      <w:tr w:rsidR="00163A6B" w:rsidRPr="00163A6B" w14:paraId="64CB9317"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6B4ADC00"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Hotel Managers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31E6E9E1"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High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02A73C93"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Smooth implementation, performance  </w:t>
            </w:r>
          </w:p>
        </w:tc>
      </w:tr>
      <w:tr w:rsidR="00163A6B" w:rsidRPr="00163A6B" w14:paraId="293EF0EB"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hideMark/>
          </w:tcPr>
          <w:p w14:paraId="70D6C254"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IT Team </w:t>
            </w:r>
          </w:p>
        </w:tc>
        <w:tc>
          <w:tcPr>
            <w:tcW w:w="3000" w:type="dxa"/>
            <w:tcBorders>
              <w:top w:val="single" w:sz="6" w:space="0" w:color="45B0E1"/>
              <w:left w:val="single" w:sz="6" w:space="0" w:color="45B0E1"/>
              <w:bottom w:val="single" w:sz="6" w:space="0" w:color="45B0E1"/>
              <w:right w:val="single" w:sz="6" w:space="0" w:color="45B0E1"/>
            </w:tcBorders>
            <w:hideMark/>
          </w:tcPr>
          <w:p w14:paraId="79EA13B6"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High  </w:t>
            </w:r>
          </w:p>
        </w:tc>
        <w:tc>
          <w:tcPr>
            <w:tcW w:w="3000" w:type="dxa"/>
            <w:tcBorders>
              <w:top w:val="single" w:sz="6" w:space="0" w:color="45B0E1"/>
              <w:left w:val="single" w:sz="6" w:space="0" w:color="45B0E1"/>
              <w:bottom w:val="single" w:sz="6" w:space="0" w:color="45B0E1"/>
              <w:right w:val="single" w:sz="6" w:space="0" w:color="45B0E1"/>
            </w:tcBorders>
            <w:hideMark/>
          </w:tcPr>
          <w:p w14:paraId="24032F6B"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System reliability and security  </w:t>
            </w:r>
          </w:p>
        </w:tc>
      </w:tr>
      <w:tr w:rsidR="00163A6B" w:rsidRPr="00163A6B" w14:paraId="1B242A8B"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6EAD2110"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Guest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02DA5DC6"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Medium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0E4C2B42"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Service quality and privacy  </w:t>
            </w:r>
          </w:p>
        </w:tc>
      </w:tr>
      <w:tr w:rsidR="00163A6B" w:rsidRPr="00163A6B" w14:paraId="19EBD9FC"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hideMark/>
          </w:tcPr>
          <w:p w14:paraId="5580DD61"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Frontline staff  </w:t>
            </w:r>
          </w:p>
        </w:tc>
        <w:tc>
          <w:tcPr>
            <w:tcW w:w="3000" w:type="dxa"/>
            <w:tcBorders>
              <w:top w:val="single" w:sz="6" w:space="0" w:color="45B0E1"/>
              <w:left w:val="single" w:sz="6" w:space="0" w:color="45B0E1"/>
              <w:bottom w:val="single" w:sz="6" w:space="0" w:color="45B0E1"/>
              <w:right w:val="single" w:sz="6" w:space="0" w:color="45B0E1"/>
            </w:tcBorders>
            <w:hideMark/>
          </w:tcPr>
          <w:p w14:paraId="4BB9A5A2"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Medium </w:t>
            </w:r>
          </w:p>
        </w:tc>
        <w:tc>
          <w:tcPr>
            <w:tcW w:w="3000" w:type="dxa"/>
            <w:tcBorders>
              <w:top w:val="single" w:sz="6" w:space="0" w:color="45B0E1"/>
              <w:left w:val="single" w:sz="6" w:space="0" w:color="45B0E1"/>
              <w:bottom w:val="single" w:sz="6" w:space="0" w:color="45B0E1"/>
              <w:right w:val="single" w:sz="6" w:space="0" w:color="45B0E1"/>
            </w:tcBorders>
            <w:hideMark/>
          </w:tcPr>
          <w:p w14:paraId="2C141810"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Training and ease of use  </w:t>
            </w:r>
          </w:p>
        </w:tc>
      </w:tr>
      <w:tr w:rsidR="00163A6B" w:rsidRPr="00163A6B" w14:paraId="6A3088EA" w14:textId="77777777" w:rsidTr="00F36CAF">
        <w:trPr>
          <w:trHeight w:val="300"/>
        </w:trPr>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0816468E"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Sustainability Partners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599D7D4B"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Low </w:t>
            </w:r>
          </w:p>
        </w:tc>
        <w:tc>
          <w:tcPr>
            <w:tcW w:w="3000" w:type="dxa"/>
            <w:tcBorders>
              <w:top w:val="single" w:sz="6" w:space="0" w:color="45B0E1"/>
              <w:left w:val="single" w:sz="6" w:space="0" w:color="45B0E1"/>
              <w:bottom w:val="single" w:sz="6" w:space="0" w:color="45B0E1"/>
              <w:right w:val="single" w:sz="6" w:space="0" w:color="45B0E1"/>
            </w:tcBorders>
            <w:shd w:val="clear" w:color="auto" w:fill="C1E4F5"/>
            <w:hideMark/>
          </w:tcPr>
          <w:p w14:paraId="09DC7992"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Environmental impact  </w:t>
            </w:r>
          </w:p>
        </w:tc>
      </w:tr>
    </w:tbl>
    <w:p w14:paraId="63015FA8"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p w14:paraId="41F8898E" w14:textId="4EA52EA8"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The RACI framework reduces these difficulties by clarifying expectations and accountability among stakeholders. IT teams retain responsibility for the system design, while frontline people are consulted during usability testing to ensure that the technology facilitates authentic service interactions (</w:t>
      </w:r>
      <w:proofErr w:type="spellStart"/>
      <w:r w:rsidRPr="00163A6B">
        <w:rPr>
          <w:rFonts w:ascii="Times New Roman" w:hAnsi="Times New Roman" w:cs="Times New Roman"/>
        </w:rPr>
        <w:t>Usifo</w:t>
      </w:r>
      <w:proofErr w:type="spellEnd"/>
      <w:r w:rsidRPr="00163A6B">
        <w:rPr>
          <w:rFonts w:ascii="Times New Roman" w:hAnsi="Times New Roman" w:cs="Times New Roman"/>
        </w:rPr>
        <w:t>, 2022</w:t>
      </w:r>
      <w:proofErr w:type="gramStart"/>
      <w:r w:rsidRPr="00163A6B">
        <w:rPr>
          <w:rFonts w:ascii="Times New Roman" w:hAnsi="Times New Roman" w:cs="Times New Roman"/>
        </w:rPr>
        <w:t>)  .</w:t>
      </w:r>
      <w:proofErr w:type="gramEnd"/>
      <w:r w:rsidRPr="00163A6B">
        <w:rPr>
          <w:rFonts w:ascii="Times New Roman" w:hAnsi="Times New Roman" w:cs="Times New Roman"/>
        </w:rPr>
        <w:t xml:space="preserve"> Human Resources retains responsibility for training, whereas mangers are accountable for implementation. Marketing conveys advantages to guests while maintain transparency regarding AI and data utilisation. Regulators are engaged to guarantee adherence to regulations. This organised </w:t>
      </w:r>
      <w:r w:rsidRPr="00163A6B">
        <w:rPr>
          <w:rFonts w:ascii="Times New Roman" w:hAnsi="Times New Roman" w:cs="Times New Roman"/>
        </w:rPr>
        <w:lastRenderedPageBreak/>
        <w:t>distribution of responsibilities mitigates conflict, enhances cooperation, and fosters stakeholder confidence.  </w:t>
      </w:r>
    </w:p>
    <w:p w14:paraId="76C1F482"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65"/>
        <w:gridCol w:w="1425"/>
        <w:gridCol w:w="1275"/>
        <w:gridCol w:w="870"/>
        <w:gridCol w:w="945"/>
        <w:gridCol w:w="1290"/>
        <w:gridCol w:w="1200"/>
      </w:tblGrid>
      <w:tr w:rsidR="00163A6B" w:rsidRPr="00163A6B" w14:paraId="61AFE946" w14:textId="77777777" w:rsidTr="00F36CAF">
        <w:trPr>
          <w:trHeight w:val="300"/>
        </w:trPr>
        <w:tc>
          <w:tcPr>
            <w:tcW w:w="1965" w:type="dxa"/>
            <w:tcBorders>
              <w:top w:val="nil"/>
              <w:left w:val="nil"/>
              <w:bottom w:val="single" w:sz="12" w:space="0" w:color="45B0E1"/>
              <w:right w:val="nil"/>
            </w:tcBorders>
            <w:shd w:val="clear" w:color="auto" w:fill="FFFFFF"/>
            <w:hideMark/>
          </w:tcPr>
          <w:p w14:paraId="09CE1CF6"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Task </w:t>
            </w:r>
          </w:p>
        </w:tc>
        <w:tc>
          <w:tcPr>
            <w:tcW w:w="1425" w:type="dxa"/>
            <w:tcBorders>
              <w:top w:val="nil"/>
              <w:left w:val="nil"/>
              <w:bottom w:val="single" w:sz="12" w:space="0" w:color="45B0E1"/>
              <w:right w:val="nil"/>
            </w:tcBorders>
            <w:shd w:val="clear" w:color="auto" w:fill="FFFFFF"/>
            <w:hideMark/>
          </w:tcPr>
          <w:p w14:paraId="4339B50D"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Leadership  </w:t>
            </w:r>
          </w:p>
        </w:tc>
        <w:tc>
          <w:tcPr>
            <w:tcW w:w="1275" w:type="dxa"/>
            <w:tcBorders>
              <w:top w:val="nil"/>
              <w:left w:val="nil"/>
              <w:bottom w:val="single" w:sz="12" w:space="0" w:color="45B0E1"/>
              <w:right w:val="nil"/>
            </w:tcBorders>
            <w:shd w:val="clear" w:color="auto" w:fill="FFFFFF"/>
            <w:hideMark/>
          </w:tcPr>
          <w:p w14:paraId="17E38998"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Managers  </w:t>
            </w:r>
          </w:p>
        </w:tc>
        <w:tc>
          <w:tcPr>
            <w:tcW w:w="870" w:type="dxa"/>
            <w:tcBorders>
              <w:top w:val="nil"/>
              <w:left w:val="nil"/>
              <w:bottom w:val="single" w:sz="12" w:space="0" w:color="45B0E1"/>
              <w:right w:val="nil"/>
            </w:tcBorders>
            <w:shd w:val="clear" w:color="auto" w:fill="FFFFFF"/>
            <w:hideMark/>
          </w:tcPr>
          <w:p w14:paraId="0F2245D8"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IT </w:t>
            </w:r>
          </w:p>
        </w:tc>
        <w:tc>
          <w:tcPr>
            <w:tcW w:w="945" w:type="dxa"/>
            <w:tcBorders>
              <w:top w:val="nil"/>
              <w:left w:val="nil"/>
              <w:bottom w:val="single" w:sz="12" w:space="0" w:color="45B0E1"/>
              <w:right w:val="nil"/>
            </w:tcBorders>
            <w:shd w:val="clear" w:color="auto" w:fill="FFFFFF"/>
            <w:hideMark/>
          </w:tcPr>
          <w:p w14:paraId="30DE16BC"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HR  </w:t>
            </w:r>
          </w:p>
        </w:tc>
        <w:tc>
          <w:tcPr>
            <w:tcW w:w="1290" w:type="dxa"/>
            <w:tcBorders>
              <w:top w:val="nil"/>
              <w:left w:val="nil"/>
              <w:bottom w:val="single" w:sz="12" w:space="0" w:color="45B0E1"/>
              <w:right w:val="nil"/>
            </w:tcBorders>
            <w:shd w:val="clear" w:color="auto" w:fill="FFFFFF"/>
            <w:hideMark/>
          </w:tcPr>
          <w:p w14:paraId="531AE4AA"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Marketing  </w:t>
            </w:r>
          </w:p>
        </w:tc>
        <w:tc>
          <w:tcPr>
            <w:tcW w:w="1200" w:type="dxa"/>
            <w:tcBorders>
              <w:top w:val="nil"/>
              <w:left w:val="nil"/>
              <w:bottom w:val="single" w:sz="12" w:space="0" w:color="45B0E1"/>
              <w:right w:val="nil"/>
            </w:tcBorders>
            <w:shd w:val="clear" w:color="auto" w:fill="FFFFFF"/>
            <w:hideMark/>
          </w:tcPr>
          <w:p w14:paraId="49C33AB4"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Vendors  </w:t>
            </w:r>
          </w:p>
        </w:tc>
      </w:tr>
      <w:tr w:rsidR="00163A6B" w:rsidRPr="00163A6B" w14:paraId="412F2F9D" w14:textId="77777777" w:rsidTr="00F36CAF">
        <w:trPr>
          <w:trHeight w:val="300"/>
        </w:trPr>
        <w:tc>
          <w:tcPr>
            <w:tcW w:w="1965" w:type="dxa"/>
            <w:tcBorders>
              <w:top w:val="single" w:sz="6" w:space="0" w:color="45B0E1"/>
              <w:left w:val="nil"/>
              <w:bottom w:val="single" w:sz="6" w:space="0" w:color="45B0E1"/>
              <w:right w:val="single" w:sz="6" w:space="0" w:color="45B0E1"/>
            </w:tcBorders>
            <w:shd w:val="clear" w:color="auto" w:fill="C1E4F5"/>
            <w:hideMark/>
          </w:tcPr>
          <w:p w14:paraId="3495131F"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Develop system  </w:t>
            </w:r>
          </w:p>
        </w:tc>
        <w:tc>
          <w:tcPr>
            <w:tcW w:w="1425" w:type="dxa"/>
            <w:tcBorders>
              <w:top w:val="single" w:sz="6" w:space="0" w:color="45B0E1"/>
              <w:left w:val="single" w:sz="6" w:space="0" w:color="45B0E1"/>
              <w:bottom w:val="single" w:sz="6" w:space="0" w:color="45B0E1"/>
              <w:right w:val="single" w:sz="6" w:space="0" w:color="45B0E1"/>
            </w:tcBorders>
            <w:shd w:val="clear" w:color="auto" w:fill="C1E4F5"/>
            <w:hideMark/>
          </w:tcPr>
          <w:p w14:paraId="560B6D4B"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75" w:type="dxa"/>
            <w:tcBorders>
              <w:top w:val="single" w:sz="6" w:space="0" w:color="45B0E1"/>
              <w:left w:val="single" w:sz="6" w:space="0" w:color="45B0E1"/>
              <w:bottom w:val="single" w:sz="6" w:space="0" w:color="45B0E1"/>
              <w:right w:val="single" w:sz="6" w:space="0" w:color="45B0E1"/>
            </w:tcBorders>
            <w:shd w:val="clear" w:color="auto" w:fill="C1E4F5"/>
            <w:hideMark/>
          </w:tcPr>
          <w:p w14:paraId="0F6CB8B5"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C </w:t>
            </w:r>
          </w:p>
        </w:tc>
        <w:tc>
          <w:tcPr>
            <w:tcW w:w="870" w:type="dxa"/>
            <w:tcBorders>
              <w:top w:val="single" w:sz="6" w:space="0" w:color="45B0E1"/>
              <w:left w:val="single" w:sz="6" w:space="0" w:color="45B0E1"/>
              <w:bottom w:val="single" w:sz="6" w:space="0" w:color="45B0E1"/>
              <w:right w:val="single" w:sz="6" w:space="0" w:color="45B0E1"/>
            </w:tcBorders>
            <w:shd w:val="clear" w:color="auto" w:fill="C1E4F5"/>
            <w:hideMark/>
          </w:tcPr>
          <w:p w14:paraId="58F69ECA"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R </w:t>
            </w:r>
          </w:p>
        </w:tc>
        <w:tc>
          <w:tcPr>
            <w:tcW w:w="945" w:type="dxa"/>
            <w:tcBorders>
              <w:top w:val="single" w:sz="6" w:space="0" w:color="45B0E1"/>
              <w:left w:val="single" w:sz="6" w:space="0" w:color="45B0E1"/>
              <w:bottom w:val="single" w:sz="6" w:space="0" w:color="45B0E1"/>
              <w:right w:val="single" w:sz="6" w:space="0" w:color="45B0E1"/>
            </w:tcBorders>
            <w:shd w:val="clear" w:color="auto" w:fill="C1E4F5"/>
            <w:hideMark/>
          </w:tcPr>
          <w:p w14:paraId="08369D94"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90" w:type="dxa"/>
            <w:tcBorders>
              <w:top w:val="single" w:sz="6" w:space="0" w:color="45B0E1"/>
              <w:left w:val="single" w:sz="6" w:space="0" w:color="45B0E1"/>
              <w:bottom w:val="single" w:sz="6" w:space="0" w:color="45B0E1"/>
              <w:right w:val="single" w:sz="6" w:space="0" w:color="45B0E1"/>
            </w:tcBorders>
            <w:shd w:val="clear" w:color="auto" w:fill="C1E4F5"/>
            <w:hideMark/>
          </w:tcPr>
          <w:p w14:paraId="3247E359"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00" w:type="dxa"/>
            <w:tcBorders>
              <w:top w:val="single" w:sz="6" w:space="0" w:color="45B0E1"/>
              <w:left w:val="single" w:sz="6" w:space="0" w:color="45B0E1"/>
              <w:bottom w:val="single" w:sz="6" w:space="0" w:color="45B0E1"/>
              <w:right w:val="nil"/>
            </w:tcBorders>
            <w:shd w:val="clear" w:color="auto" w:fill="C1E4F5"/>
            <w:hideMark/>
          </w:tcPr>
          <w:p w14:paraId="0AE9AA19"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R </w:t>
            </w:r>
          </w:p>
        </w:tc>
      </w:tr>
      <w:tr w:rsidR="00163A6B" w:rsidRPr="00163A6B" w14:paraId="1D18EA71" w14:textId="77777777" w:rsidTr="00F36CAF">
        <w:trPr>
          <w:trHeight w:val="300"/>
        </w:trPr>
        <w:tc>
          <w:tcPr>
            <w:tcW w:w="1965" w:type="dxa"/>
            <w:tcBorders>
              <w:top w:val="single" w:sz="6" w:space="0" w:color="45B0E1"/>
              <w:left w:val="nil"/>
              <w:bottom w:val="single" w:sz="6" w:space="0" w:color="45B0E1"/>
              <w:right w:val="single" w:sz="6" w:space="0" w:color="45B0E1"/>
            </w:tcBorders>
            <w:hideMark/>
          </w:tcPr>
          <w:p w14:paraId="4A426C28"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Approve strategy  </w:t>
            </w:r>
          </w:p>
        </w:tc>
        <w:tc>
          <w:tcPr>
            <w:tcW w:w="1425" w:type="dxa"/>
            <w:tcBorders>
              <w:top w:val="single" w:sz="6" w:space="0" w:color="45B0E1"/>
              <w:left w:val="single" w:sz="6" w:space="0" w:color="45B0E1"/>
              <w:bottom w:val="single" w:sz="6" w:space="0" w:color="45B0E1"/>
              <w:right w:val="single" w:sz="6" w:space="0" w:color="45B0E1"/>
            </w:tcBorders>
            <w:hideMark/>
          </w:tcPr>
          <w:p w14:paraId="713C175D"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A </w:t>
            </w:r>
          </w:p>
        </w:tc>
        <w:tc>
          <w:tcPr>
            <w:tcW w:w="1275" w:type="dxa"/>
            <w:tcBorders>
              <w:top w:val="single" w:sz="6" w:space="0" w:color="45B0E1"/>
              <w:left w:val="single" w:sz="6" w:space="0" w:color="45B0E1"/>
              <w:bottom w:val="single" w:sz="6" w:space="0" w:color="45B0E1"/>
              <w:right w:val="single" w:sz="6" w:space="0" w:color="45B0E1"/>
            </w:tcBorders>
            <w:hideMark/>
          </w:tcPr>
          <w:p w14:paraId="29594D03"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C </w:t>
            </w:r>
          </w:p>
        </w:tc>
        <w:tc>
          <w:tcPr>
            <w:tcW w:w="870" w:type="dxa"/>
            <w:tcBorders>
              <w:top w:val="single" w:sz="6" w:space="0" w:color="45B0E1"/>
              <w:left w:val="single" w:sz="6" w:space="0" w:color="45B0E1"/>
              <w:bottom w:val="single" w:sz="6" w:space="0" w:color="45B0E1"/>
              <w:right w:val="single" w:sz="6" w:space="0" w:color="45B0E1"/>
            </w:tcBorders>
            <w:hideMark/>
          </w:tcPr>
          <w:p w14:paraId="61EC3A3D"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C </w:t>
            </w:r>
          </w:p>
        </w:tc>
        <w:tc>
          <w:tcPr>
            <w:tcW w:w="945" w:type="dxa"/>
            <w:tcBorders>
              <w:top w:val="single" w:sz="6" w:space="0" w:color="45B0E1"/>
              <w:left w:val="single" w:sz="6" w:space="0" w:color="45B0E1"/>
              <w:bottom w:val="single" w:sz="6" w:space="0" w:color="45B0E1"/>
              <w:right w:val="single" w:sz="6" w:space="0" w:color="45B0E1"/>
            </w:tcBorders>
            <w:hideMark/>
          </w:tcPr>
          <w:p w14:paraId="3E83214F"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90" w:type="dxa"/>
            <w:tcBorders>
              <w:top w:val="single" w:sz="6" w:space="0" w:color="45B0E1"/>
              <w:left w:val="single" w:sz="6" w:space="0" w:color="45B0E1"/>
              <w:bottom w:val="single" w:sz="6" w:space="0" w:color="45B0E1"/>
              <w:right w:val="single" w:sz="6" w:space="0" w:color="45B0E1"/>
            </w:tcBorders>
            <w:hideMark/>
          </w:tcPr>
          <w:p w14:paraId="47A1A3CC"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00" w:type="dxa"/>
            <w:tcBorders>
              <w:top w:val="single" w:sz="6" w:space="0" w:color="45B0E1"/>
              <w:left w:val="single" w:sz="6" w:space="0" w:color="45B0E1"/>
              <w:bottom w:val="single" w:sz="6" w:space="0" w:color="45B0E1"/>
              <w:right w:val="nil"/>
            </w:tcBorders>
            <w:hideMark/>
          </w:tcPr>
          <w:p w14:paraId="1F15A99F"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r>
      <w:tr w:rsidR="00163A6B" w:rsidRPr="00163A6B" w14:paraId="7D8A43A3" w14:textId="77777777" w:rsidTr="00F36CAF">
        <w:trPr>
          <w:trHeight w:val="300"/>
        </w:trPr>
        <w:tc>
          <w:tcPr>
            <w:tcW w:w="1965" w:type="dxa"/>
            <w:tcBorders>
              <w:top w:val="single" w:sz="6" w:space="0" w:color="45B0E1"/>
              <w:left w:val="nil"/>
              <w:bottom w:val="single" w:sz="6" w:space="0" w:color="45B0E1"/>
              <w:right w:val="single" w:sz="6" w:space="0" w:color="45B0E1"/>
            </w:tcBorders>
            <w:shd w:val="clear" w:color="auto" w:fill="C1E4F5"/>
            <w:hideMark/>
          </w:tcPr>
          <w:p w14:paraId="5FE6B4EF"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Staff training  </w:t>
            </w:r>
          </w:p>
        </w:tc>
        <w:tc>
          <w:tcPr>
            <w:tcW w:w="1425" w:type="dxa"/>
            <w:tcBorders>
              <w:top w:val="single" w:sz="6" w:space="0" w:color="45B0E1"/>
              <w:left w:val="single" w:sz="6" w:space="0" w:color="45B0E1"/>
              <w:bottom w:val="single" w:sz="6" w:space="0" w:color="45B0E1"/>
              <w:right w:val="single" w:sz="6" w:space="0" w:color="45B0E1"/>
            </w:tcBorders>
            <w:shd w:val="clear" w:color="auto" w:fill="C1E4F5"/>
            <w:hideMark/>
          </w:tcPr>
          <w:p w14:paraId="30B82465"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75" w:type="dxa"/>
            <w:tcBorders>
              <w:top w:val="single" w:sz="6" w:space="0" w:color="45B0E1"/>
              <w:left w:val="single" w:sz="6" w:space="0" w:color="45B0E1"/>
              <w:bottom w:val="single" w:sz="6" w:space="0" w:color="45B0E1"/>
              <w:right w:val="single" w:sz="6" w:space="0" w:color="45B0E1"/>
            </w:tcBorders>
            <w:shd w:val="clear" w:color="auto" w:fill="C1E4F5"/>
            <w:hideMark/>
          </w:tcPr>
          <w:p w14:paraId="2358FBED"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C </w:t>
            </w:r>
          </w:p>
        </w:tc>
        <w:tc>
          <w:tcPr>
            <w:tcW w:w="870" w:type="dxa"/>
            <w:tcBorders>
              <w:top w:val="single" w:sz="6" w:space="0" w:color="45B0E1"/>
              <w:left w:val="single" w:sz="6" w:space="0" w:color="45B0E1"/>
              <w:bottom w:val="single" w:sz="6" w:space="0" w:color="45B0E1"/>
              <w:right w:val="single" w:sz="6" w:space="0" w:color="45B0E1"/>
            </w:tcBorders>
            <w:shd w:val="clear" w:color="auto" w:fill="C1E4F5"/>
            <w:hideMark/>
          </w:tcPr>
          <w:p w14:paraId="27C586A5"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C </w:t>
            </w:r>
          </w:p>
        </w:tc>
        <w:tc>
          <w:tcPr>
            <w:tcW w:w="945" w:type="dxa"/>
            <w:tcBorders>
              <w:top w:val="single" w:sz="6" w:space="0" w:color="45B0E1"/>
              <w:left w:val="single" w:sz="6" w:space="0" w:color="45B0E1"/>
              <w:bottom w:val="single" w:sz="6" w:space="0" w:color="45B0E1"/>
              <w:right w:val="single" w:sz="6" w:space="0" w:color="45B0E1"/>
            </w:tcBorders>
            <w:shd w:val="clear" w:color="auto" w:fill="C1E4F5"/>
            <w:hideMark/>
          </w:tcPr>
          <w:p w14:paraId="5FCB2FB9"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R </w:t>
            </w:r>
          </w:p>
        </w:tc>
        <w:tc>
          <w:tcPr>
            <w:tcW w:w="1290" w:type="dxa"/>
            <w:tcBorders>
              <w:top w:val="single" w:sz="6" w:space="0" w:color="45B0E1"/>
              <w:left w:val="single" w:sz="6" w:space="0" w:color="45B0E1"/>
              <w:bottom w:val="single" w:sz="6" w:space="0" w:color="45B0E1"/>
              <w:right w:val="single" w:sz="6" w:space="0" w:color="45B0E1"/>
            </w:tcBorders>
            <w:shd w:val="clear" w:color="auto" w:fill="C1E4F5"/>
            <w:hideMark/>
          </w:tcPr>
          <w:p w14:paraId="10F2A680"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00" w:type="dxa"/>
            <w:tcBorders>
              <w:top w:val="single" w:sz="6" w:space="0" w:color="45B0E1"/>
              <w:left w:val="single" w:sz="6" w:space="0" w:color="45B0E1"/>
              <w:bottom w:val="single" w:sz="6" w:space="0" w:color="45B0E1"/>
              <w:right w:val="nil"/>
            </w:tcBorders>
            <w:shd w:val="clear" w:color="auto" w:fill="C1E4F5"/>
            <w:hideMark/>
          </w:tcPr>
          <w:p w14:paraId="47EA2B41"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r>
      <w:tr w:rsidR="00163A6B" w:rsidRPr="00163A6B" w14:paraId="3044601B" w14:textId="77777777" w:rsidTr="00F36CAF">
        <w:trPr>
          <w:trHeight w:val="300"/>
        </w:trPr>
        <w:tc>
          <w:tcPr>
            <w:tcW w:w="1965" w:type="dxa"/>
            <w:tcBorders>
              <w:top w:val="single" w:sz="6" w:space="0" w:color="45B0E1"/>
              <w:left w:val="nil"/>
              <w:bottom w:val="single" w:sz="6" w:space="0" w:color="45B0E1"/>
              <w:right w:val="single" w:sz="6" w:space="0" w:color="45B0E1"/>
            </w:tcBorders>
            <w:hideMark/>
          </w:tcPr>
          <w:p w14:paraId="3C51BB0D"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Hotel implementation  </w:t>
            </w:r>
          </w:p>
        </w:tc>
        <w:tc>
          <w:tcPr>
            <w:tcW w:w="1425" w:type="dxa"/>
            <w:tcBorders>
              <w:top w:val="single" w:sz="6" w:space="0" w:color="45B0E1"/>
              <w:left w:val="single" w:sz="6" w:space="0" w:color="45B0E1"/>
              <w:bottom w:val="single" w:sz="6" w:space="0" w:color="45B0E1"/>
              <w:right w:val="single" w:sz="6" w:space="0" w:color="45B0E1"/>
            </w:tcBorders>
            <w:hideMark/>
          </w:tcPr>
          <w:p w14:paraId="2681BEDC"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75" w:type="dxa"/>
            <w:tcBorders>
              <w:top w:val="single" w:sz="6" w:space="0" w:color="45B0E1"/>
              <w:left w:val="single" w:sz="6" w:space="0" w:color="45B0E1"/>
              <w:bottom w:val="single" w:sz="6" w:space="0" w:color="45B0E1"/>
              <w:right w:val="single" w:sz="6" w:space="0" w:color="45B0E1"/>
            </w:tcBorders>
            <w:hideMark/>
          </w:tcPr>
          <w:p w14:paraId="5A83CF4B"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A </w:t>
            </w:r>
          </w:p>
        </w:tc>
        <w:tc>
          <w:tcPr>
            <w:tcW w:w="870" w:type="dxa"/>
            <w:tcBorders>
              <w:top w:val="single" w:sz="6" w:space="0" w:color="45B0E1"/>
              <w:left w:val="single" w:sz="6" w:space="0" w:color="45B0E1"/>
              <w:bottom w:val="single" w:sz="6" w:space="0" w:color="45B0E1"/>
              <w:right w:val="single" w:sz="6" w:space="0" w:color="45B0E1"/>
            </w:tcBorders>
            <w:hideMark/>
          </w:tcPr>
          <w:p w14:paraId="0DB45421"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R </w:t>
            </w:r>
          </w:p>
        </w:tc>
        <w:tc>
          <w:tcPr>
            <w:tcW w:w="945" w:type="dxa"/>
            <w:tcBorders>
              <w:top w:val="single" w:sz="6" w:space="0" w:color="45B0E1"/>
              <w:left w:val="single" w:sz="6" w:space="0" w:color="45B0E1"/>
              <w:bottom w:val="single" w:sz="6" w:space="0" w:color="45B0E1"/>
              <w:right w:val="single" w:sz="6" w:space="0" w:color="45B0E1"/>
            </w:tcBorders>
            <w:hideMark/>
          </w:tcPr>
          <w:p w14:paraId="5A0C2E55"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C </w:t>
            </w:r>
          </w:p>
        </w:tc>
        <w:tc>
          <w:tcPr>
            <w:tcW w:w="1290" w:type="dxa"/>
            <w:tcBorders>
              <w:top w:val="single" w:sz="6" w:space="0" w:color="45B0E1"/>
              <w:left w:val="single" w:sz="6" w:space="0" w:color="45B0E1"/>
              <w:bottom w:val="single" w:sz="6" w:space="0" w:color="45B0E1"/>
              <w:right w:val="single" w:sz="6" w:space="0" w:color="45B0E1"/>
            </w:tcBorders>
            <w:hideMark/>
          </w:tcPr>
          <w:p w14:paraId="205A6380"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00" w:type="dxa"/>
            <w:tcBorders>
              <w:top w:val="single" w:sz="6" w:space="0" w:color="45B0E1"/>
              <w:left w:val="single" w:sz="6" w:space="0" w:color="45B0E1"/>
              <w:bottom w:val="single" w:sz="6" w:space="0" w:color="45B0E1"/>
              <w:right w:val="nil"/>
            </w:tcBorders>
            <w:hideMark/>
          </w:tcPr>
          <w:p w14:paraId="46A7D933"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C </w:t>
            </w:r>
          </w:p>
        </w:tc>
      </w:tr>
      <w:tr w:rsidR="00163A6B" w:rsidRPr="00163A6B" w14:paraId="0B471B1E" w14:textId="77777777" w:rsidTr="00F36CAF">
        <w:trPr>
          <w:trHeight w:val="300"/>
        </w:trPr>
        <w:tc>
          <w:tcPr>
            <w:tcW w:w="1965" w:type="dxa"/>
            <w:tcBorders>
              <w:top w:val="single" w:sz="6" w:space="0" w:color="45B0E1"/>
              <w:left w:val="nil"/>
              <w:bottom w:val="single" w:sz="6" w:space="0" w:color="45B0E1"/>
              <w:right w:val="single" w:sz="6" w:space="0" w:color="45B0E1"/>
            </w:tcBorders>
            <w:shd w:val="clear" w:color="auto" w:fill="C1E4F5"/>
            <w:hideMark/>
          </w:tcPr>
          <w:p w14:paraId="4A27B8D6" w14:textId="77777777" w:rsidR="00163A6B" w:rsidRPr="00163A6B" w:rsidRDefault="00163A6B" w:rsidP="00F2397E">
            <w:pPr>
              <w:spacing w:line="360" w:lineRule="auto"/>
              <w:rPr>
                <w:rFonts w:ascii="Times New Roman" w:hAnsi="Times New Roman" w:cs="Times New Roman"/>
                <w:b/>
                <w:bCs/>
              </w:rPr>
            </w:pPr>
            <w:r w:rsidRPr="00163A6B">
              <w:rPr>
                <w:rFonts w:ascii="Times New Roman" w:hAnsi="Times New Roman" w:cs="Times New Roman"/>
                <w:b/>
                <w:bCs/>
              </w:rPr>
              <w:t>Guest communication  </w:t>
            </w:r>
          </w:p>
        </w:tc>
        <w:tc>
          <w:tcPr>
            <w:tcW w:w="1425" w:type="dxa"/>
            <w:tcBorders>
              <w:top w:val="single" w:sz="6" w:space="0" w:color="45B0E1"/>
              <w:left w:val="single" w:sz="6" w:space="0" w:color="45B0E1"/>
              <w:bottom w:val="single" w:sz="6" w:space="0" w:color="45B0E1"/>
              <w:right w:val="single" w:sz="6" w:space="0" w:color="45B0E1"/>
            </w:tcBorders>
            <w:shd w:val="clear" w:color="auto" w:fill="C1E4F5"/>
            <w:hideMark/>
          </w:tcPr>
          <w:p w14:paraId="70EAB917"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75" w:type="dxa"/>
            <w:tcBorders>
              <w:top w:val="single" w:sz="6" w:space="0" w:color="45B0E1"/>
              <w:left w:val="single" w:sz="6" w:space="0" w:color="45B0E1"/>
              <w:bottom w:val="single" w:sz="6" w:space="0" w:color="45B0E1"/>
              <w:right w:val="single" w:sz="6" w:space="0" w:color="45B0E1"/>
            </w:tcBorders>
            <w:shd w:val="clear" w:color="auto" w:fill="C1E4F5"/>
            <w:hideMark/>
          </w:tcPr>
          <w:p w14:paraId="77CB8EE7"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C </w:t>
            </w:r>
          </w:p>
        </w:tc>
        <w:tc>
          <w:tcPr>
            <w:tcW w:w="870" w:type="dxa"/>
            <w:tcBorders>
              <w:top w:val="single" w:sz="6" w:space="0" w:color="45B0E1"/>
              <w:left w:val="single" w:sz="6" w:space="0" w:color="45B0E1"/>
              <w:bottom w:val="single" w:sz="6" w:space="0" w:color="45B0E1"/>
              <w:right w:val="single" w:sz="6" w:space="0" w:color="45B0E1"/>
            </w:tcBorders>
            <w:shd w:val="clear" w:color="auto" w:fill="C1E4F5"/>
            <w:hideMark/>
          </w:tcPr>
          <w:p w14:paraId="57363551"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945" w:type="dxa"/>
            <w:tcBorders>
              <w:top w:val="single" w:sz="6" w:space="0" w:color="45B0E1"/>
              <w:left w:val="single" w:sz="6" w:space="0" w:color="45B0E1"/>
              <w:bottom w:val="single" w:sz="6" w:space="0" w:color="45B0E1"/>
              <w:right w:val="single" w:sz="6" w:space="0" w:color="45B0E1"/>
            </w:tcBorders>
            <w:shd w:val="clear" w:color="auto" w:fill="C1E4F5"/>
            <w:hideMark/>
          </w:tcPr>
          <w:p w14:paraId="55A858F0"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I </w:t>
            </w:r>
          </w:p>
        </w:tc>
        <w:tc>
          <w:tcPr>
            <w:tcW w:w="1290" w:type="dxa"/>
            <w:tcBorders>
              <w:top w:val="single" w:sz="6" w:space="0" w:color="45B0E1"/>
              <w:left w:val="single" w:sz="6" w:space="0" w:color="45B0E1"/>
              <w:bottom w:val="single" w:sz="6" w:space="0" w:color="45B0E1"/>
              <w:right w:val="single" w:sz="6" w:space="0" w:color="45B0E1"/>
            </w:tcBorders>
            <w:shd w:val="clear" w:color="auto" w:fill="C1E4F5"/>
            <w:hideMark/>
          </w:tcPr>
          <w:p w14:paraId="3668DA56"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R </w:t>
            </w:r>
          </w:p>
        </w:tc>
        <w:tc>
          <w:tcPr>
            <w:tcW w:w="1200" w:type="dxa"/>
            <w:tcBorders>
              <w:top w:val="single" w:sz="6" w:space="0" w:color="45B0E1"/>
              <w:left w:val="single" w:sz="6" w:space="0" w:color="45B0E1"/>
              <w:bottom w:val="single" w:sz="6" w:space="0" w:color="45B0E1"/>
              <w:right w:val="nil"/>
            </w:tcBorders>
            <w:shd w:val="clear" w:color="auto" w:fill="C1E4F5"/>
            <w:hideMark/>
          </w:tcPr>
          <w:p w14:paraId="6F8CE557"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C </w:t>
            </w:r>
          </w:p>
        </w:tc>
      </w:tr>
    </w:tbl>
    <w:p w14:paraId="41E7FF93"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p w14:paraId="7C4494A6"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From a global standpoint, duties and responsibilities must be tailored to regional settings.  In markets with advanced digital maturity, IT-driven implementation may prevail, whereas in areas with diminished digital readiness and operational training roles gain prominence.  Cultural norms around power and communication significantly affect stakeholder responsibilities; for instance, hierarchical cultures may depend more on leadership guidance, whereas collaborative cultures may prioritise employee involvement. Consequently, stakeholder positions must exhibit flexibility while preserving the overarching accountability framework. </w:t>
      </w:r>
    </w:p>
    <w:p w14:paraId="6E0793DF"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Ultimately, well-defined stakeholder roles and duties augment project efficacy by ensuring that each stakeholder comprehends their contribution </w:t>
      </w:r>
      <w:proofErr w:type="spellStart"/>
      <w:r w:rsidRPr="00163A6B">
        <w:rPr>
          <w:rFonts w:ascii="Times New Roman" w:hAnsi="Times New Roman" w:cs="Times New Roman"/>
        </w:rPr>
        <w:t>StaySmart</w:t>
      </w:r>
      <w:proofErr w:type="spellEnd"/>
      <w:r w:rsidRPr="00163A6B">
        <w:rPr>
          <w:rFonts w:ascii="Times New Roman" w:hAnsi="Times New Roman" w:cs="Times New Roman"/>
        </w:rPr>
        <w:t>+. When stakeholders acknowledge their contributions and the assistance they receive, engagement enhances and opposition diminishes. The synchronisation of responsibilities, resources, and expectations is crucial for the effective global implementation of novel hospitality services. </w:t>
      </w:r>
    </w:p>
    <w:p w14:paraId="33C0BDAF" w14:textId="77777777" w:rsidR="00163A6B" w:rsidRPr="00F2397E" w:rsidRDefault="00163A6B" w:rsidP="00F2397E">
      <w:pPr>
        <w:pStyle w:val="Heading1"/>
      </w:pPr>
      <w:bookmarkStart w:id="5" w:name="_Toc224566502"/>
      <w:r w:rsidRPr="00F2397E">
        <w:t>Frameworks, Models and Engagement Tools</w:t>
      </w:r>
      <w:bookmarkEnd w:id="5"/>
      <w:r w:rsidRPr="00F2397E">
        <w:t> </w:t>
      </w:r>
    </w:p>
    <w:p w14:paraId="0439BD2B"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Successful stakeholder engagement in the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xml:space="preserve">+ project necessitates organised frameworks that prioritise stakeholders, elucidate communication, and synchronise duties </w:t>
      </w:r>
      <w:r w:rsidRPr="00163A6B">
        <w:rPr>
          <w:rFonts w:ascii="Times New Roman" w:hAnsi="Times New Roman" w:cs="Times New Roman"/>
        </w:rPr>
        <w:lastRenderedPageBreak/>
        <w:t>across international operations. The implementation of recognised stakeholder management frameworks inside InterContinental Hotels Group (IHG) facilitates the integration of strategic goals with operational execution.  </w:t>
      </w:r>
    </w:p>
    <w:p w14:paraId="361ABEE3"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The stakeholder salience model offers a valuable framework for prioritising interaction according to stakeholder power, legitimacy, and urgency (Mitchell et al.,1997). In the </w:t>
      </w:r>
      <w:proofErr w:type="spellStart"/>
      <w:r w:rsidRPr="00163A6B">
        <w:rPr>
          <w:rFonts w:ascii="Times New Roman" w:hAnsi="Times New Roman" w:cs="Times New Roman"/>
        </w:rPr>
        <w:t>StaySmart</w:t>
      </w:r>
      <w:proofErr w:type="spellEnd"/>
      <w:r w:rsidRPr="00163A6B">
        <w:rPr>
          <w:rFonts w:ascii="Times New Roman" w:hAnsi="Times New Roman" w:cs="Times New Roman"/>
        </w:rPr>
        <w:t>+ project, senior leadership and hotel managers have significant power due to their decision-making capacity and control over resources.  Regulators wield significant authority as they establish legal compliance for AI and data utilisation. Frontline personnel and customers exhibit significant validity and urgency since they are directly impacted by service modifications and adoption results. Technology vendors hold credibility and authority due to reliance on their expertise. This methodology allows the project manager to deploy engagement resources proportionately, ensuring that high-salience stakeholders have substantial involvement while lower-salience stakeholders receive suitable information and consultation. </w:t>
      </w:r>
    </w:p>
    <w:p w14:paraId="3B19E102"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p w14:paraId="6AD9DBB2"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b/>
          <w:bCs/>
        </w:rPr>
        <w:t>Engagement Plan</w:t>
      </w:r>
      <w:r w:rsidRPr="00163A6B">
        <w:rPr>
          <w:rFonts w:ascii="Times New Roman" w:hAnsi="Times New Roman" w:cs="Times New Roman"/>
        </w:rPr>
        <w:t> </w:t>
      </w:r>
    </w:p>
    <w:p w14:paraId="42CE30ED"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The states Indeed Career Guide, (2024)   a Stakeholder Engagement Plan is a strategies businesses use to inform their stakeholders about the scope of their project and keeping them engaged in project helps to improve communication within the company and exchanges operational transparency. The stakeholder engagement plan converts prioritisation into actionable steps throughout the project lifecycle. Key stakeholders, including leadership, hotel management, IT teams, and personnel, necessitate ongoing engagement via workshops, training sessions, and progress evaluations. Medium-priority stakeholders, including guests and sustainability partners, necessitate regular consultation and feedback systems. Lower-priority stakeholders, including communities and peripheral partners, necessitate transparent information and regular updates to sustain legitimacy. This organised involvement guarantees that stakeholders stay informed, engaged, and supportive during implementation.  </w:t>
      </w:r>
    </w:p>
    <w:tbl>
      <w:tblPr>
        <w:tblpPr w:leftFromText="180" w:rightFromText="180" w:horzAnchor="margin" w:tblpY="-12684"/>
        <w:tblW w:w="902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2"/>
        <w:gridCol w:w="1801"/>
        <w:gridCol w:w="1878"/>
        <w:gridCol w:w="3355"/>
      </w:tblGrid>
      <w:tr w:rsidR="00163A6B" w:rsidRPr="00163A6B" w14:paraId="7573188E" w14:textId="77777777" w:rsidTr="00A34344">
        <w:trPr>
          <w:trHeight w:val="300"/>
        </w:trPr>
        <w:tc>
          <w:tcPr>
            <w:tcW w:w="1992" w:type="dxa"/>
            <w:tcBorders>
              <w:top w:val="nil"/>
              <w:left w:val="nil"/>
              <w:bottom w:val="single" w:sz="12" w:space="0" w:color="45B0E1"/>
              <w:right w:val="nil"/>
            </w:tcBorders>
            <w:shd w:val="clear" w:color="auto" w:fill="FFFFFF"/>
            <w:hideMark/>
          </w:tcPr>
          <w:p w14:paraId="7B37D846" w14:textId="77777777" w:rsidR="00163A6B" w:rsidRPr="00163A6B" w:rsidRDefault="00163A6B" w:rsidP="00A34344">
            <w:pPr>
              <w:spacing w:line="360" w:lineRule="auto"/>
              <w:rPr>
                <w:rFonts w:ascii="Times New Roman" w:hAnsi="Times New Roman" w:cs="Times New Roman"/>
                <w:b/>
                <w:bCs/>
              </w:rPr>
            </w:pPr>
            <w:r w:rsidRPr="00163A6B">
              <w:rPr>
                <w:rFonts w:ascii="Times New Roman" w:hAnsi="Times New Roman" w:cs="Times New Roman"/>
                <w:b/>
                <w:bCs/>
              </w:rPr>
              <w:lastRenderedPageBreak/>
              <w:t>Stakeholder  </w:t>
            </w:r>
          </w:p>
        </w:tc>
        <w:tc>
          <w:tcPr>
            <w:tcW w:w="1801" w:type="dxa"/>
            <w:tcBorders>
              <w:top w:val="nil"/>
              <w:left w:val="nil"/>
              <w:bottom w:val="single" w:sz="12" w:space="0" w:color="45B0E1"/>
              <w:right w:val="nil"/>
            </w:tcBorders>
            <w:shd w:val="clear" w:color="auto" w:fill="FFFFFF"/>
            <w:hideMark/>
          </w:tcPr>
          <w:p w14:paraId="2870F004" w14:textId="77777777" w:rsidR="00163A6B" w:rsidRPr="00163A6B" w:rsidRDefault="00163A6B" w:rsidP="00A34344">
            <w:pPr>
              <w:spacing w:line="360" w:lineRule="auto"/>
              <w:rPr>
                <w:rFonts w:ascii="Times New Roman" w:hAnsi="Times New Roman" w:cs="Times New Roman"/>
                <w:b/>
                <w:bCs/>
              </w:rPr>
            </w:pPr>
            <w:r w:rsidRPr="00163A6B">
              <w:rPr>
                <w:rFonts w:ascii="Times New Roman" w:hAnsi="Times New Roman" w:cs="Times New Roman"/>
                <w:b/>
                <w:bCs/>
              </w:rPr>
              <w:t>Priority  </w:t>
            </w:r>
          </w:p>
        </w:tc>
        <w:tc>
          <w:tcPr>
            <w:tcW w:w="1878" w:type="dxa"/>
            <w:tcBorders>
              <w:top w:val="nil"/>
              <w:left w:val="nil"/>
              <w:bottom w:val="single" w:sz="12" w:space="0" w:color="45B0E1"/>
              <w:right w:val="nil"/>
            </w:tcBorders>
            <w:shd w:val="clear" w:color="auto" w:fill="FFFFFF"/>
            <w:hideMark/>
          </w:tcPr>
          <w:p w14:paraId="0FB4833A" w14:textId="77777777" w:rsidR="00163A6B" w:rsidRPr="00163A6B" w:rsidRDefault="00163A6B" w:rsidP="00A34344">
            <w:pPr>
              <w:spacing w:line="360" w:lineRule="auto"/>
              <w:rPr>
                <w:rFonts w:ascii="Times New Roman" w:hAnsi="Times New Roman" w:cs="Times New Roman"/>
                <w:b/>
                <w:bCs/>
              </w:rPr>
            </w:pPr>
            <w:r w:rsidRPr="00163A6B">
              <w:rPr>
                <w:rFonts w:ascii="Times New Roman" w:hAnsi="Times New Roman" w:cs="Times New Roman"/>
                <w:b/>
                <w:bCs/>
              </w:rPr>
              <w:t>How to engage  </w:t>
            </w:r>
          </w:p>
        </w:tc>
        <w:tc>
          <w:tcPr>
            <w:tcW w:w="3355" w:type="dxa"/>
            <w:tcBorders>
              <w:top w:val="nil"/>
              <w:left w:val="nil"/>
              <w:bottom w:val="single" w:sz="12" w:space="0" w:color="45B0E1"/>
              <w:right w:val="nil"/>
            </w:tcBorders>
            <w:shd w:val="clear" w:color="auto" w:fill="FFFFFF"/>
            <w:hideMark/>
          </w:tcPr>
          <w:p w14:paraId="1B1AFD46" w14:textId="77777777" w:rsidR="00163A6B" w:rsidRPr="00163A6B" w:rsidRDefault="00163A6B" w:rsidP="00A34344">
            <w:pPr>
              <w:spacing w:line="360" w:lineRule="auto"/>
              <w:rPr>
                <w:rFonts w:ascii="Times New Roman" w:hAnsi="Times New Roman" w:cs="Times New Roman"/>
                <w:b/>
                <w:bCs/>
              </w:rPr>
            </w:pPr>
            <w:r w:rsidRPr="00163A6B">
              <w:rPr>
                <w:rFonts w:ascii="Times New Roman" w:hAnsi="Times New Roman" w:cs="Times New Roman"/>
                <w:b/>
                <w:bCs/>
              </w:rPr>
              <w:t>Why  </w:t>
            </w:r>
          </w:p>
        </w:tc>
      </w:tr>
      <w:tr w:rsidR="00163A6B" w:rsidRPr="00163A6B" w14:paraId="0C709C79" w14:textId="77777777" w:rsidTr="00A34344">
        <w:trPr>
          <w:trHeight w:val="300"/>
        </w:trPr>
        <w:tc>
          <w:tcPr>
            <w:tcW w:w="1992" w:type="dxa"/>
            <w:tcBorders>
              <w:top w:val="single" w:sz="6" w:space="0" w:color="45B0E1"/>
              <w:left w:val="nil"/>
              <w:bottom w:val="single" w:sz="6" w:space="0" w:color="45B0E1"/>
              <w:right w:val="single" w:sz="6" w:space="0" w:color="45B0E1"/>
            </w:tcBorders>
            <w:shd w:val="clear" w:color="auto" w:fill="C1E4F5"/>
            <w:hideMark/>
          </w:tcPr>
          <w:p w14:paraId="5B81ED48" w14:textId="77777777" w:rsidR="00163A6B" w:rsidRPr="00163A6B" w:rsidRDefault="00163A6B" w:rsidP="00A34344">
            <w:pPr>
              <w:spacing w:line="360" w:lineRule="auto"/>
              <w:rPr>
                <w:rFonts w:ascii="Times New Roman" w:hAnsi="Times New Roman" w:cs="Times New Roman"/>
                <w:b/>
                <w:bCs/>
              </w:rPr>
            </w:pPr>
            <w:r w:rsidRPr="00163A6B">
              <w:rPr>
                <w:rFonts w:ascii="Times New Roman" w:hAnsi="Times New Roman" w:cs="Times New Roman"/>
                <w:b/>
                <w:bCs/>
              </w:rPr>
              <w:t>Leadership  </w:t>
            </w:r>
          </w:p>
        </w:tc>
        <w:tc>
          <w:tcPr>
            <w:tcW w:w="1801" w:type="dxa"/>
            <w:tcBorders>
              <w:top w:val="single" w:sz="6" w:space="0" w:color="45B0E1"/>
              <w:left w:val="single" w:sz="6" w:space="0" w:color="45B0E1"/>
              <w:bottom w:val="single" w:sz="6" w:space="0" w:color="45B0E1"/>
              <w:right w:val="single" w:sz="6" w:space="0" w:color="45B0E1"/>
            </w:tcBorders>
            <w:shd w:val="clear" w:color="auto" w:fill="C1E4F5"/>
            <w:hideMark/>
          </w:tcPr>
          <w:p w14:paraId="2278BA00"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High  </w:t>
            </w:r>
          </w:p>
        </w:tc>
        <w:tc>
          <w:tcPr>
            <w:tcW w:w="1878" w:type="dxa"/>
            <w:tcBorders>
              <w:top w:val="single" w:sz="6" w:space="0" w:color="45B0E1"/>
              <w:left w:val="single" w:sz="6" w:space="0" w:color="45B0E1"/>
              <w:bottom w:val="single" w:sz="6" w:space="0" w:color="45B0E1"/>
              <w:right w:val="single" w:sz="6" w:space="0" w:color="45B0E1"/>
            </w:tcBorders>
            <w:shd w:val="clear" w:color="auto" w:fill="C1E4F5"/>
            <w:hideMark/>
          </w:tcPr>
          <w:p w14:paraId="0C84597C"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Meetings and progress reports  </w:t>
            </w:r>
          </w:p>
        </w:tc>
        <w:tc>
          <w:tcPr>
            <w:tcW w:w="3355" w:type="dxa"/>
            <w:tcBorders>
              <w:top w:val="single" w:sz="6" w:space="0" w:color="45B0E1"/>
              <w:left w:val="single" w:sz="6" w:space="0" w:color="45B0E1"/>
              <w:bottom w:val="single" w:sz="6" w:space="0" w:color="45B0E1"/>
              <w:right w:val="nil"/>
            </w:tcBorders>
            <w:shd w:val="clear" w:color="auto" w:fill="C1E4F5"/>
            <w:hideMark/>
          </w:tcPr>
          <w:p w14:paraId="4C69A876"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ensure strategy and funding support  </w:t>
            </w:r>
          </w:p>
        </w:tc>
      </w:tr>
      <w:tr w:rsidR="00163A6B" w:rsidRPr="00163A6B" w14:paraId="4293E0E2" w14:textId="77777777" w:rsidTr="00A34344">
        <w:trPr>
          <w:trHeight w:val="300"/>
        </w:trPr>
        <w:tc>
          <w:tcPr>
            <w:tcW w:w="1992" w:type="dxa"/>
            <w:tcBorders>
              <w:top w:val="single" w:sz="6" w:space="0" w:color="45B0E1"/>
              <w:left w:val="nil"/>
              <w:bottom w:val="single" w:sz="6" w:space="0" w:color="45B0E1"/>
              <w:right w:val="single" w:sz="6" w:space="0" w:color="45B0E1"/>
            </w:tcBorders>
            <w:hideMark/>
          </w:tcPr>
          <w:p w14:paraId="572F8D1F" w14:textId="77777777" w:rsidR="00163A6B" w:rsidRPr="00163A6B" w:rsidRDefault="00163A6B" w:rsidP="00A34344">
            <w:pPr>
              <w:spacing w:line="360" w:lineRule="auto"/>
              <w:rPr>
                <w:rFonts w:ascii="Times New Roman" w:hAnsi="Times New Roman" w:cs="Times New Roman"/>
                <w:b/>
                <w:bCs/>
              </w:rPr>
            </w:pPr>
            <w:r w:rsidRPr="00163A6B">
              <w:rPr>
                <w:rFonts w:ascii="Times New Roman" w:hAnsi="Times New Roman" w:cs="Times New Roman"/>
                <w:b/>
                <w:bCs/>
              </w:rPr>
              <w:t>IT team  </w:t>
            </w:r>
          </w:p>
        </w:tc>
        <w:tc>
          <w:tcPr>
            <w:tcW w:w="1801" w:type="dxa"/>
            <w:tcBorders>
              <w:top w:val="single" w:sz="6" w:space="0" w:color="45B0E1"/>
              <w:left w:val="single" w:sz="6" w:space="0" w:color="45B0E1"/>
              <w:bottom w:val="single" w:sz="6" w:space="0" w:color="45B0E1"/>
              <w:right w:val="single" w:sz="6" w:space="0" w:color="45B0E1"/>
            </w:tcBorders>
            <w:hideMark/>
          </w:tcPr>
          <w:p w14:paraId="5645BCD2"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High  </w:t>
            </w:r>
          </w:p>
        </w:tc>
        <w:tc>
          <w:tcPr>
            <w:tcW w:w="1878" w:type="dxa"/>
            <w:tcBorders>
              <w:top w:val="single" w:sz="6" w:space="0" w:color="45B0E1"/>
              <w:left w:val="single" w:sz="6" w:space="0" w:color="45B0E1"/>
              <w:bottom w:val="single" w:sz="6" w:space="0" w:color="45B0E1"/>
              <w:right w:val="single" w:sz="6" w:space="0" w:color="45B0E1"/>
            </w:tcBorders>
            <w:hideMark/>
          </w:tcPr>
          <w:p w14:paraId="4C69A6F8"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Technical meeting and testing </w:t>
            </w:r>
          </w:p>
        </w:tc>
        <w:tc>
          <w:tcPr>
            <w:tcW w:w="3355" w:type="dxa"/>
            <w:tcBorders>
              <w:top w:val="single" w:sz="6" w:space="0" w:color="45B0E1"/>
              <w:left w:val="single" w:sz="6" w:space="0" w:color="45B0E1"/>
              <w:bottom w:val="single" w:sz="6" w:space="0" w:color="45B0E1"/>
              <w:right w:val="nil"/>
            </w:tcBorders>
            <w:hideMark/>
          </w:tcPr>
          <w:p w14:paraId="0C375A67"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Ensure system works properly  </w:t>
            </w:r>
          </w:p>
        </w:tc>
      </w:tr>
      <w:tr w:rsidR="00163A6B" w:rsidRPr="00163A6B" w14:paraId="29200A0A" w14:textId="77777777" w:rsidTr="00A34344">
        <w:trPr>
          <w:trHeight w:val="300"/>
        </w:trPr>
        <w:tc>
          <w:tcPr>
            <w:tcW w:w="1992" w:type="dxa"/>
            <w:tcBorders>
              <w:top w:val="single" w:sz="6" w:space="0" w:color="45B0E1"/>
              <w:left w:val="nil"/>
              <w:bottom w:val="single" w:sz="6" w:space="0" w:color="45B0E1"/>
              <w:right w:val="single" w:sz="6" w:space="0" w:color="45B0E1"/>
            </w:tcBorders>
            <w:shd w:val="clear" w:color="auto" w:fill="C1E4F5"/>
            <w:hideMark/>
          </w:tcPr>
          <w:p w14:paraId="3E27122C" w14:textId="77777777" w:rsidR="00163A6B" w:rsidRPr="00163A6B" w:rsidRDefault="00163A6B" w:rsidP="00A34344">
            <w:pPr>
              <w:spacing w:line="360" w:lineRule="auto"/>
              <w:rPr>
                <w:rFonts w:ascii="Times New Roman" w:hAnsi="Times New Roman" w:cs="Times New Roman"/>
                <w:b/>
                <w:bCs/>
              </w:rPr>
            </w:pPr>
            <w:r w:rsidRPr="00163A6B">
              <w:rPr>
                <w:rFonts w:ascii="Times New Roman" w:hAnsi="Times New Roman" w:cs="Times New Roman"/>
                <w:b/>
                <w:bCs/>
              </w:rPr>
              <w:t>Hotel Managers  </w:t>
            </w:r>
          </w:p>
        </w:tc>
        <w:tc>
          <w:tcPr>
            <w:tcW w:w="1801" w:type="dxa"/>
            <w:tcBorders>
              <w:top w:val="single" w:sz="6" w:space="0" w:color="45B0E1"/>
              <w:left w:val="single" w:sz="6" w:space="0" w:color="45B0E1"/>
              <w:bottom w:val="single" w:sz="6" w:space="0" w:color="45B0E1"/>
              <w:right w:val="single" w:sz="6" w:space="0" w:color="45B0E1"/>
            </w:tcBorders>
            <w:shd w:val="clear" w:color="auto" w:fill="C1E4F5"/>
            <w:hideMark/>
          </w:tcPr>
          <w:p w14:paraId="7BF0F42D"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High  </w:t>
            </w:r>
          </w:p>
        </w:tc>
        <w:tc>
          <w:tcPr>
            <w:tcW w:w="1878" w:type="dxa"/>
            <w:tcBorders>
              <w:top w:val="single" w:sz="6" w:space="0" w:color="45B0E1"/>
              <w:left w:val="single" w:sz="6" w:space="0" w:color="45B0E1"/>
              <w:bottom w:val="single" w:sz="6" w:space="0" w:color="45B0E1"/>
              <w:right w:val="single" w:sz="6" w:space="0" w:color="45B0E1"/>
            </w:tcBorders>
            <w:shd w:val="clear" w:color="auto" w:fill="C1E4F5"/>
            <w:hideMark/>
          </w:tcPr>
          <w:p w14:paraId="65D46C83"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Workshops and regular updates  </w:t>
            </w:r>
          </w:p>
        </w:tc>
        <w:tc>
          <w:tcPr>
            <w:tcW w:w="3355" w:type="dxa"/>
            <w:tcBorders>
              <w:top w:val="single" w:sz="6" w:space="0" w:color="45B0E1"/>
              <w:left w:val="single" w:sz="6" w:space="0" w:color="45B0E1"/>
              <w:bottom w:val="single" w:sz="6" w:space="0" w:color="45B0E1"/>
              <w:right w:val="nil"/>
            </w:tcBorders>
            <w:shd w:val="clear" w:color="auto" w:fill="C1E4F5"/>
            <w:hideMark/>
          </w:tcPr>
          <w:p w14:paraId="2153DBB2"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Support smooth </w:t>
            </w:r>
            <w:proofErr w:type="spellStart"/>
            <w:r w:rsidRPr="00163A6B">
              <w:rPr>
                <w:rFonts w:ascii="Times New Roman" w:hAnsi="Times New Roman" w:cs="Times New Roman"/>
              </w:rPr>
              <w:t>implemnattion</w:t>
            </w:r>
            <w:proofErr w:type="spellEnd"/>
            <w:r w:rsidRPr="00163A6B">
              <w:rPr>
                <w:rFonts w:ascii="Times New Roman" w:hAnsi="Times New Roman" w:cs="Times New Roman"/>
              </w:rPr>
              <w:t>  </w:t>
            </w:r>
          </w:p>
        </w:tc>
      </w:tr>
      <w:tr w:rsidR="00163A6B" w:rsidRPr="00163A6B" w14:paraId="196D7C9F" w14:textId="77777777" w:rsidTr="00A34344">
        <w:trPr>
          <w:trHeight w:val="300"/>
        </w:trPr>
        <w:tc>
          <w:tcPr>
            <w:tcW w:w="1992" w:type="dxa"/>
            <w:tcBorders>
              <w:top w:val="single" w:sz="6" w:space="0" w:color="45B0E1"/>
              <w:left w:val="nil"/>
              <w:bottom w:val="single" w:sz="6" w:space="0" w:color="45B0E1"/>
              <w:right w:val="single" w:sz="6" w:space="0" w:color="45B0E1"/>
            </w:tcBorders>
            <w:hideMark/>
          </w:tcPr>
          <w:p w14:paraId="4D2DFB52" w14:textId="77777777" w:rsidR="00163A6B" w:rsidRPr="00163A6B" w:rsidRDefault="00163A6B" w:rsidP="00A34344">
            <w:pPr>
              <w:spacing w:line="360" w:lineRule="auto"/>
              <w:rPr>
                <w:rFonts w:ascii="Times New Roman" w:hAnsi="Times New Roman" w:cs="Times New Roman"/>
                <w:b/>
                <w:bCs/>
              </w:rPr>
            </w:pPr>
            <w:r w:rsidRPr="00163A6B">
              <w:rPr>
                <w:rFonts w:ascii="Times New Roman" w:hAnsi="Times New Roman" w:cs="Times New Roman"/>
                <w:b/>
                <w:bCs/>
              </w:rPr>
              <w:t>Guest  </w:t>
            </w:r>
          </w:p>
        </w:tc>
        <w:tc>
          <w:tcPr>
            <w:tcW w:w="1801" w:type="dxa"/>
            <w:tcBorders>
              <w:top w:val="single" w:sz="6" w:space="0" w:color="45B0E1"/>
              <w:left w:val="single" w:sz="6" w:space="0" w:color="45B0E1"/>
              <w:bottom w:val="single" w:sz="6" w:space="0" w:color="45B0E1"/>
              <w:right w:val="single" w:sz="6" w:space="0" w:color="45B0E1"/>
            </w:tcBorders>
            <w:hideMark/>
          </w:tcPr>
          <w:p w14:paraId="780F62E2"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Medium  </w:t>
            </w:r>
          </w:p>
        </w:tc>
        <w:tc>
          <w:tcPr>
            <w:tcW w:w="1878" w:type="dxa"/>
            <w:tcBorders>
              <w:top w:val="single" w:sz="6" w:space="0" w:color="45B0E1"/>
              <w:left w:val="single" w:sz="6" w:space="0" w:color="45B0E1"/>
              <w:bottom w:val="single" w:sz="6" w:space="0" w:color="45B0E1"/>
              <w:right w:val="single" w:sz="6" w:space="0" w:color="45B0E1"/>
            </w:tcBorders>
            <w:hideMark/>
          </w:tcPr>
          <w:p w14:paraId="0151801A"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Surveys and feedback tools </w:t>
            </w:r>
          </w:p>
        </w:tc>
        <w:tc>
          <w:tcPr>
            <w:tcW w:w="3355" w:type="dxa"/>
            <w:tcBorders>
              <w:top w:val="single" w:sz="6" w:space="0" w:color="45B0E1"/>
              <w:left w:val="single" w:sz="6" w:space="0" w:color="45B0E1"/>
              <w:bottom w:val="single" w:sz="6" w:space="0" w:color="45B0E1"/>
              <w:right w:val="nil"/>
            </w:tcBorders>
            <w:hideMark/>
          </w:tcPr>
          <w:p w14:paraId="2EAC0CA2"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Improve service experience  </w:t>
            </w:r>
          </w:p>
        </w:tc>
      </w:tr>
      <w:tr w:rsidR="00163A6B" w:rsidRPr="00163A6B" w14:paraId="31A3411A" w14:textId="77777777" w:rsidTr="00A34344">
        <w:trPr>
          <w:trHeight w:val="300"/>
        </w:trPr>
        <w:tc>
          <w:tcPr>
            <w:tcW w:w="1992" w:type="dxa"/>
            <w:tcBorders>
              <w:top w:val="single" w:sz="6" w:space="0" w:color="45B0E1"/>
              <w:left w:val="nil"/>
              <w:bottom w:val="single" w:sz="6" w:space="0" w:color="45B0E1"/>
              <w:right w:val="single" w:sz="6" w:space="0" w:color="45B0E1"/>
            </w:tcBorders>
            <w:shd w:val="clear" w:color="auto" w:fill="C1E4F5"/>
            <w:hideMark/>
          </w:tcPr>
          <w:p w14:paraId="18528F9B" w14:textId="77777777" w:rsidR="00163A6B" w:rsidRPr="00163A6B" w:rsidRDefault="00163A6B" w:rsidP="00A34344">
            <w:pPr>
              <w:spacing w:line="360" w:lineRule="auto"/>
              <w:rPr>
                <w:rFonts w:ascii="Times New Roman" w:hAnsi="Times New Roman" w:cs="Times New Roman"/>
                <w:b/>
                <w:bCs/>
              </w:rPr>
            </w:pPr>
            <w:r w:rsidRPr="00163A6B">
              <w:rPr>
                <w:rFonts w:ascii="Times New Roman" w:hAnsi="Times New Roman" w:cs="Times New Roman"/>
                <w:b/>
                <w:bCs/>
              </w:rPr>
              <w:t>Staff  </w:t>
            </w:r>
          </w:p>
        </w:tc>
        <w:tc>
          <w:tcPr>
            <w:tcW w:w="1801" w:type="dxa"/>
            <w:tcBorders>
              <w:top w:val="single" w:sz="6" w:space="0" w:color="45B0E1"/>
              <w:left w:val="single" w:sz="6" w:space="0" w:color="45B0E1"/>
              <w:bottom w:val="single" w:sz="6" w:space="0" w:color="45B0E1"/>
              <w:right w:val="single" w:sz="6" w:space="0" w:color="45B0E1"/>
            </w:tcBorders>
            <w:shd w:val="clear" w:color="auto" w:fill="C1E4F5"/>
            <w:hideMark/>
          </w:tcPr>
          <w:p w14:paraId="325BF31B"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High  </w:t>
            </w:r>
          </w:p>
        </w:tc>
        <w:tc>
          <w:tcPr>
            <w:tcW w:w="1878" w:type="dxa"/>
            <w:tcBorders>
              <w:top w:val="single" w:sz="6" w:space="0" w:color="45B0E1"/>
              <w:left w:val="single" w:sz="6" w:space="0" w:color="45B0E1"/>
              <w:bottom w:val="single" w:sz="6" w:space="0" w:color="45B0E1"/>
              <w:right w:val="single" w:sz="6" w:space="0" w:color="45B0E1"/>
            </w:tcBorders>
            <w:shd w:val="clear" w:color="auto" w:fill="C1E4F5"/>
            <w:hideMark/>
          </w:tcPr>
          <w:p w14:paraId="0C8A2113"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Training sessions </w:t>
            </w:r>
          </w:p>
        </w:tc>
        <w:tc>
          <w:tcPr>
            <w:tcW w:w="3355" w:type="dxa"/>
            <w:tcBorders>
              <w:top w:val="single" w:sz="6" w:space="0" w:color="45B0E1"/>
              <w:left w:val="single" w:sz="6" w:space="0" w:color="45B0E1"/>
              <w:bottom w:val="single" w:sz="6" w:space="0" w:color="45B0E1"/>
              <w:right w:val="nil"/>
            </w:tcBorders>
            <w:shd w:val="clear" w:color="auto" w:fill="C1E4F5"/>
            <w:hideMark/>
          </w:tcPr>
          <w:p w14:paraId="2A2391F6"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Help them use the system confidently and effectively  </w:t>
            </w:r>
          </w:p>
        </w:tc>
      </w:tr>
      <w:tr w:rsidR="00163A6B" w:rsidRPr="00163A6B" w14:paraId="18402918" w14:textId="77777777" w:rsidTr="00A34344">
        <w:trPr>
          <w:trHeight w:val="300"/>
        </w:trPr>
        <w:tc>
          <w:tcPr>
            <w:tcW w:w="1992" w:type="dxa"/>
            <w:tcBorders>
              <w:top w:val="single" w:sz="6" w:space="0" w:color="45B0E1"/>
              <w:left w:val="nil"/>
              <w:bottom w:val="single" w:sz="6" w:space="0" w:color="45B0E1"/>
              <w:right w:val="single" w:sz="6" w:space="0" w:color="45B0E1"/>
            </w:tcBorders>
            <w:hideMark/>
          </w:tcPr>
          <w:p w14:paraId="5F056383" w14:textId="77777777" w:rsidR="00163A6B" w:rsidRPr="00163A6B" w:rsidRDefault="00163A6B" w:rsidP="00A34344">
            <w:pPr>
              <w:spacing w:line="360" w:lineRule="auto"/>
              <w:rPr>
                <w:rFonts w:ascii="Times New Roman" w:hAnsi="Times New Roman" w:cs="Times New Roman"/>
                <w:b/>
                <w:bCs/>
              </w:rPr>
            </w:pPr>
            <w:r w:rsidRPr="00163A6B">
              <w:rPr>
                <w:rFonts w:ascii="Times New Roman" w:hAnsi="Times New Roman" w:cs="Times New Roman"/>
                <w:b/>
                <w:bCs/>
              </w:rPr>
              <w:t>Sustainability partners  </w:t>
            </w:r>
          </w:p>
        </w:tc>
        <w:tc>
          <w:tcPr>
            <w:tcW w:w="1801" w:type="dxa"/>
            <w:tcBorders>
              <w:top w:val="single" w:sz="6" w:space="0" w:color="45B0E1"/>
              <w:left w:val="single" w:sz="6" w:space="0" w:color="45B0E1"/>
              <w:bottom w:val="single" w:sz="6" w:space="0" w:color="45B0E1"/>
              <w:right w:val="single" w:sz="6" w:space="0" w:color="45B0E1"/>
            </w:tcBorders>
            <w:hideMark/>
          </w:tcPr>
          <w:p w14:paraId="6CC791B6"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Medium  </w:t>
            </w:r>
          </w:p>
        </w:tc>
        <w:tc>
          <w:tcPr>
            <w:tcW w:w="1878" w:type="dxa"/>
            <w:tcBorders>
              <w:top w:val="single" w:sz="6" w:space="0" w:color="45B0E1"/>
              <w:left w:val="single" w:sz="6" w:space="0" w:color="45B0E1"/>
              <w:bottom w:val="single" w:sz="6" w:space="0" w:color="45B0E1"/>
              <w:right w:val="single" w:sz="6" w:space="0" w:color="45B0E1"/>
            </w:tcBorders>
            <w:hideMark/>
          </w:tcPr>
          <w:p w14:paraId="3F2DD1AD"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Reports and review meetings  </w:t>
            </w:r>
          </w:p>
        </w:tc>
        <w:tc>
          <w:tcPr>
            <w:tcW w:w="3355" w:type="dxa"/>
            <w:tcBorders>
              <w:top w:val="single" w:sz="6" w:space="0" w:color="45B0E1"/>
              <w:left w:val="single" w:sz="6" w:space="0" w:color="45B0E1"/>
              <w:bottom w:val="single" w:sz="6" w:space="0" w:color="45B0E1"/>
              <w:right w:val="nil"/>
            </w:tcBorders>
            <w:hideMark/>
          </w:tcPr>
          <w:p w14:paraId="5BD1BCAD" w14:textId="77777777" w:rsidR="00163A6B" w:rsidRPr="00163A6B" w:rsidRDefault="00163A6B" w:rsidP="00A34344">
            <w:pPr>
              <w:spacing w:line="360" w:lineRule="auto"/>
              <w:rPr>
                <w:rFonts w:ascii="Times New Roman" w:hAnsi="Times New Roman" w:cs="Times New Roman"/>
              </w:rPr>
            </w:pPr>
            <w:r w:rsidRPr="00163A6B">
              <w:rPr>
                <w:rFonts w:ascii="Times New Roman" w:hAnsi="Times New Roman" w:cs="Times New Roman"/>
              </w:rPr>
              <w:t>Track environmental impact  </w:t>
            </w:r>
          </w:p>
        </w:tc>
      </w:tr>
    </w:tbl>
    <w:p w14:paraId="5B7CD65E" w14:textId="16B5CB1B"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p w14:paraId="5F38C5AA"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b/>
          <w:bCs/>
        </w:rPr>
        <w:t>Communication Plan </w:t>
      </w:r>
      <w:r w:rsidRPr="00163A6B">
        <w:rPr>
          <w:rFonts w:ascii="Times New Roman" w:hAnsi="Times New Roman" w:cs="Times New Roman"/>
        </w:rPr>
        <w:t> </w:t>
      </w:r>
    </w:p>
    <w:p w14:paraId="5176A6F8" w14:textId="7BF97F42"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A communication plan </w:t>
      </w:r>
      <w:r w:rsidR="002412B8" w:rsidRPr="00163A6B">
        <w:rPr>
          <w:rFonts w:ascii="Times New Roman" w:hAnsi="Times New Roman" w:cs="Times New Roman"/>
        </w:rPr>
        <w:t>operate involvement</w:t>
      </w:r>
      <w:r w:rsidRPr="00163A6B">
        <w:rPr>
          <w:rFonts w:ascii="Times New Roman" w:hAnsi="Times New Roman" w:cs="Times New Roman"/>
        </w:rPr>
        <w:t xml:space="preserve"> by delegating communication channels, frequency, and content for each stakeholder group. The information exchange between a project and its stakeholders (Bandara, 2024).  Leadership obtains strategic dashboards and milestone reports to assesses progress and investment results. Operational managers obtain implementation directives and performance indicators. Frontline personnel are provided with training resources, digital learning platforms, and practical demonstrations to facilitate uptake. Guests are provided with marketing communications and in-hotel messaging that elucidate the advantages and appropriate utilisation of AI-enabled services. Regulators obtain compliance documents and reports. The plan fosters clarity, transparency, and trust by matching communication approaches with stakeholder requirements and cultural contexts. </w:t>
      </w:r>
    </w:p>
    <w:p w14:paraId="01CB6AAB" w14:textId="4A6C2A99" w:rsidR="00163A6B" w:rsidRPr="00F2397E" w:rsidRDefault="00163A6B" w:rsidP="00F2397E">
      <w:pPr>
        <w:spacing w:line="360" w:lineRule="auto"/>
        <w:rPr>
          <w:rFonts w:ascii="Times New Roman" w:hAnsi="Times New Roman" w:cs="Times New Roman"/>
        </w:rPr>
      </w:pPr>
      <w:r w:rsidRPr="00163A6B">
        <w:rPr>
          <w:rFonts w:ascii="Times New Roman" w:hAnsi="Times New Roman" w:cs="Times New Roman"/>
        </w:rPr>
        <w:t>Collectively, these frameworks boost trust, collaboration, and commitment by methodically recognising and manging stakeholder expectations. In international hospitality settings characterised by diverse cultural, legislative, and operational challenges, structured interaction techniques ensure consistency while permitting local adaptation. Thus, utilising these models facilitates effective stakeholder interaction in international markets and enhances the probability of successful </w:t>
      </w:r>
      <w:proofErr w:type="spellStart"/>
      <w:r w:rsidRPr="00163A6B">
        <w:rPr>
          <w:rFonts w:ascii="Times New Roman" w:hAnsi="Times New Roman" w:cs="Times New Roman"/>
        </w:rPr>
        <w:t>StaySmart</w:t>
      </w:r>
      <w:proofErr w:type="spellEnd"/>
      <w:r w:rsidRPr="00163A6B">
        <w:rPr>
          <w:rFonts w:ascii="Times New Roman" w:hAnsi="Times New Roman" w:cs="Times New Roman"/>
        </w:rPr>
        <w:t>+ adoption. </w:t>
      </w:r>
    </w:p>
    <w:p w14:paraId="5220F9DD" w14:textId="55C05214" w:rsidR="00163A6B" w:rsidRPr="00F2397E" w:rsidRDefault="00163A6B" w:rsidP="00F2397E">
      <w:pPr>
        <w:pStyle w:val="Heading1"/>
      </w:pPr>
      <w:bookmarkStart w:id="6" w:name="_Toc224566503"/>
      <w:r w:rsidRPr="00F2397E">
        <w:lastRenderedPageBreak/>
        <w:t>Stakeholders Engagement Process and Conflict and Conflict Management (4C’s)</w:t>
      </w:r>
      <w:bookmarkEnd w:id="6"/>
      <w:r w:rsidRPr="00F2397E">
        <w:t> </w:t>
      </w:r>
    </w:p>
    <w:p w14:paraId="561E67BA"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The stakeholder engagement process for </w:t>
      </w:r>
      <w:proofErr w:type="spellStart"/>
      <w:r w:rsidRPr="00163A6B">
        <w:rPr>
          <w:rFonts w:ascii="Times New Roman" w:hAnsi="Times New Roman" w:cs="Times New Roman"/>
        </w:rPr>
        <w:t>StaySmart</w:t>
      </w:r>
      <w:proofErr w:type="spellEnd"/>
      <w:r w:rsidRPr="00163A6B">
        <w:rPr>
          <w:rFonts w:ascii="Times New Roman" w:hAnsi="Times New Roman" w:cs="Times New Roman"/>
        </w:rPr>
        <w:t>+ conforms to the 4C’s framework: communication, consultation, collaboration and commitment. This model offers a practical framework for including many stakeholders during the project lifecycle, while reducing potential conflicts and resistance. A project manager coordinating these four engagement aspects ensure alignment between company objectives and stakeholder expectations across international markets. </w:t>
      </w:r>
    </w:p>
    <w:p w14:paraId="6C60DAE7" w14:textId="7A32311F" w:rsidR="005D62DA" w:rsidRDefault="00163A6B" w:rsidP="00F2397E">
      <w:pPr>
        <w:spacing w:line="360" w:lineRule="auto"/>
        <w:rPr>
          <w:rFonts w:ascii="Times New Roman" w:hAnsi="Times New Roman" w:cs="Times New Roman"/>
        </w:rPr>
      </w:pPr>
      <w:r w:rsidRPr="00163A6B">
        <w:rPr>
          <w:rFonts w:ascii="Times New Roman" w:hAnsi="Times New Roman" w:cs="Times New Roman"/>
        </w:rPr>
        <w:t> </w:t>
      </w:r>
      <w:r w:rsidR="005D62DA" w:rsidRPr="005D62DA">
        <w:rPr>
          <w:rFonts w:ascii="Times New Roman" w:hAnsi="Times New Roman" w:cs="Times New Roman"/>
        </w:rPr>
        <w:t xml:space="preserve">The 4C framework—communication, consultation, collaboration and commitment—guides stakeholder engagement in the </w:t>
      </w:r>
      <w:proofErr w:type="spellStart"/>
      <w:r w:rsidR="005D62DA" w:rsidRPr="005D62DA">
        <w:rPr>
          <w:rFonts w:ascii="Times New Roman" w:hAnsi="Times New Roman" w:cs="Times New Roman"/>
        </w:rPr>
        <w:t>StaySmart</w:t>
      </w:r>
      <w:proofErr w:type="spellEnd"/>
      <w:r w:rsidR="005D62DA" w:rsidRPr="005D62DA">
        <w:rPr>
          <w:rFonts w:ascii="Times New Roman" w:hAnsi="Times New Roman" w:cs="Times New Roman"/>
        </w:rPr>
        <w:t>+ project at IHG. Communication ensures that employees, guests and regulators understand the purpose and benefits of AI-enabled services through training, briefings and marketing messages. Consultation enables stakeholders to share feedback through workshops, pilot testing and surveys. Collaboration occurs when IT teams, hotel managers and sustainability experts work together to implement the system. Finally, commitment is maintained through leadership support, training and ongoing performance evaluation.</w:t>
      </w:r>
    </w:p>
    <w:p w14:paraId="5E531B12" w14:textId="29E06080" w:rsidR="00163A6B" w:rsidRPr="00163A6B" w:rsidRDefault="00163A6B" w:rsidP="00F2397E">
      <w:pPr>
        <w:spacing w:line="360" w:lineRule="auto"/>
        <w:rPr>
          <w:rFonts w:ascii="Times New Roman" w:hAnsi="Times New Roman" w:cs="Times New Roman"/>
        </w:rPr>
      </w:pPr>
      <w:proofErr w:type="spellStart"/>
      <w:r w:rsidRPr="00163A6B">
        <w:rPr>
          <w:rFonts w:ascii="Times New Roman" w:hAnsi="Times New Roman" w:cs="Times New Roman"/>
        </w:rPr>
        <w:t>StaySmart</w:t>
      </w:r>
      <w:proofErr w:type="spellEnd"/>
      <w:r w:rsidRPr="00163A6B">
        <w:rPr>
          <w:rFonts w:ascii="Times New Roman" w:hAnsi="Times New Roman" w:cs="Times New Roman"/>
        </w:rPr>
        <w:t>+ relies heavily on conflict management since innovation can lead to conflict between the priorities of many stakeholders. Goals for technological efficiency, for example, might conflict with hospitability principles that prioritise individualised, human service. While management may prioritise sustainability daily operations above implementing new systems, employees may be concerned about losing their jobs/AI tools may raise privacy concerns for guests and authorities may demand compliance changes that affect system architecture. These disagreements can erode confidence and delay project execution if they are not handled properly. </w:t>
      </w:r>
    </w:p>
    <w:p w14:paraId="44525FB2" w14:textId="1EE2C23D" w:rsidR="00163A6B" w:rsidRPr="00163A6B" w:rsidRDefault="00160FDD" w:rsidP="00F2397E">
      <w:pPr>
        <w:spacing w:line="360" w:lineRule="auto"/>
        <w:rPr>
          <w:rFonts w:ascii="Times New Roman" w:hAnsi="Times New Roman" w:cs="Times New Roman"/>
        </w:rPr>
      </w:pPr>
      <w:r w:rsidRPr="00160FDD">
        <w:rPr>
          <w:rFonts w:ascii="Times New Roman" w:hAnsi="Times New Roman" w:cs="Times New Roman"/>
        </w:rPr>
        <w:t xml:space="preserve">Conflict management should focus on shared objectives such as improving service quality and business performance. Demonstrating that AI technologies support employees rather than replace them can reduce resistance and encourage cooperation during </w:t>
      </w:r>
      <w:r w:rsidR="007A31E3" w:rsidRPr="00160FDD">
        <w:rPr>
          <w:rFonts w:ascii="Times New Roman" w:hAnsi="Times New Roman" w:cs="Times New Roman"/>
        </w:rPr>
        <w:t>implementation.</w:t>
      </w:r>
      <w:r w:rsidR="00163A6B" w:rsidRPr="00163A6B">
        <w:rPr>
          <w:rFonts w:ascii="Times New Roman" w:hAnsi="Times New Roman" w:cs="Times New Roman"/>
        </w:rPr>
        <w:t xml:space="preserve"> Cultural intelligence is particularly crucial. By being aware of these variations, the project manager can maintain international standards while modifying communication and dispute resolution techniques for local situations </w:t>
      </w:r>
    </w:p>
    <w:p w14:paraId="272E053C" w14:textId="6E5372E2"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lastRenderedPageBreak/>
        <w:t>Unresolved concerns are handled at proper organisational level due to clear escalation paths. Hotel managers can frequently handle operational difficulties, such as issues with training to interruptions to productivity. However senior leadership may need to be involved in matters of regulatory compliance or strategic differences. Clear escalation keeps miscommunication from developing into more serious issues. Maintaining participation throughout the project lifecycle requires the project manager to mediate conflicts, align stakeholder interests and facilitate open </w:t>
      </w:r>
      <w:r w:rsidR="003A71D8" w:rsidRPr="00163A6B">
        <w:rPr>
          <w:rFonts w:ascii="Times New Roman" w:hAnsi="Times New Roman" w:cs="Times New Roman"/>
        </w:rPr>
        <w:t>communication, (</w:t>
      </w:r>
      <w:r w:rsidRPr="00163A6B">
        <w:rPr>
          <w:rFonts w:ascii="Times New Roman" w:hAnsi="Times New Roman" w:cs="Times New Roman"/>
        </w:rPr>
        <w:t>Sunil Singh Rawat, 2024). </w:t>
      </w:r>
    </w:p>
    <w:p w14:paraId="2B8B92E9" w14:textId="55122361" w:rsidR="00163A6B" w:rsidRDefault="00163A6B" w:rsidP="00F2397E">
      <w:pPr>
        <w:spacing w:line="360" w:lineRule="auto"/>
        <w:rPr>
          <w:rFonts w:ascii="Times New Roman" w:hAnsi="Times New Roman" w:cs="Times New Roman"/>
          <w:color w:val="000000" w:themeColor="text1"/>
        </w:rPr>
      </w:pPr>
      <w:r w:rsidRPr="00EE1D4E">
        <w:rPr>
          <w:rFonts w:ascii="Times New Roman" w:hAnsi="Times New Roman" w:cs="Times New Roman"/>
          <w:color w:val="000000" w:themeColor="text1"/>
        </w:rPr>
        <w:t> </w:t>
      </w:r>
      <w:r w:rsidR="00DA0CF3" w:rsidRPr="00EE1D4E">
        <w:rPr>
          <w:rFonts w:ascii="Times New Roman" w:hAnsi="Times New Roman" w:cs="Times New Roman"/>
          <w:color w:val="000000" w:themeColor="text1"/>
        </w:rPr>
        <w:t xml:space="preserve">While </w:t>
      </w:r>
      <w:r w:rsidR="00694A4C" w:rsidRPr="00EE1D4E">
        <w:rPr>
          <w:rFonts w:ascii="Times New Roman" w:hAnsi="Times New Roman" w:cs="Times New Roman"/>
          <w:color w:val="000000" w:themeColor="text1"/>
        </w:rPr>
        <w:t xml:space="preserve">the 4C stakeholder engagement model </w:t>
      </w:r>
      <w:r w:rsidR="00A631C8" w:rsidRPr="00EE1D4E">
        <w:rPr>
          <w:rFonts w:ascii="Times New Roman" w:hAnsi="Times New Roman" w:cs="Times New Roman"/>
          <w:color w:val="000000" w:themeColor="text1"/>
        </w:rPr>
        <w:t>provides</w:t>
      </w:r>
      <w:r w:rsidR="00694A4C" w:rsidRPr="00EE1D4E">
        <w:rPr>
          <w:rFonts w:ascii="Times New Roman" w:hAnsi="Times New Roman" w:cs="Times New Roman"/>
          <w:color w:val="000000" w:themeColor="text1"/>
        </w:rPr>
        <w:t xml:space="preserve"> a clear structure </w:t>
      </w:r>
      <w:r w:rsidR="00A631C8" w:rsidRPr="00EE1D4E">
        <w:rPr>
          <w:rFonts w:ascii="Times New Roman" w:hAnsi="Times New Roman" w:cs="Times New Roman"/>
          <w:color w:val="000000" w:themeColor="text1"/>
        </w:rPr>
        <w:t>for managing relationships with stakeholder</w:t>
      </w:r>
      <w:r w:rsidR="006234AE" w:rsidRPr="00EE1D4E">
        <w:rPr>
          <w:rFonts w:ascii="Times New Roman" w:hAnsi="Times New Roman" w:cs="Times New Roman"/>
          <w:color w:val="000000" w:themeColor="text1"/>
        </w:rPr>
        <w:t xml:space="preserve">s, its effectiveness in practice depends on how consistently </w:t>
      </w:r>
      <w:r w:rsidR="00823078" w:rsidRPr="00EE1D4E">
        <w:rPr>
          <w:rFonts w:ascii="Times New Roman" w:hAnsi="Times New Roman" w:cs="Times New Roman"/>
          <w:color w:val="000000" w:themeColor="text1"/>
        </w:rPr>
        <w:t xml:space="preserve">it is </w:t>
      </w:r>
      <w:r w:rsidR="00E061AE" w:rsidRPr="00EE1D4E">
        <w:rPr>
          <w:rFonts w:ascii="Times New Roman" w:hAnsi="Times New Roman" w:cs="Times New Roman"/>
          <w:color w:val="000000" w:themeColor="text1"/>
        </w:rPr>
        <w:t xml:space="preserve">implemented across different organisational </w:t>
      </w:r>
      <w:r w:rsidR="0055077C" w:rsidRPr="00EE1D4E">
        <w:rPr>
          <w:rFonts w:ascii="Times New Roman" w:hAnsi="Times New Roman" w:cs="Times New Roman"/>
          <w:color w:val="000000" w:themeColor="text1"/>
        </w:rPr>
        <w:t xml:space="preserve">and cultural contexts. In large international organisations such as </w:t>
      </w:r>
      <w:r w:rsidR="003B25C1" w:rsidRPr="00EE1D4E">
        <w:rPr>
          <w:rFonts w:ascii="Times New Roman" w:hAnsi="Times New Roman" w:cs="Times New Roman"/>
          <w:color w:val="000000" w:themeColor="text1"/>
        </w:rPr>
        <w:t xml:space="preserve">InterContinental Hotel Group </w:t>
      </w:r>
      <w:r w:rsidR="00556FD3" w:rsidRPr="00EE1D4E">
        <w:rPr>
          <w:rFonts w:ascii="Times New Roman" w:hAnsi="Times New Roman" w:cs="Times New Roman"/>
          <w:color w:val="000000" w:themeColor="text1"/>
        </w:rPr>
        <w:t xml:space="preserve">applying communication, consultation, collaboration </w:t>
      </w:r>
      <w:r w:rsidR="00812F06" w:rsidRPr="00EE1D4E">
        <w:rPr>
          <w:rFonts w:ascii="Times New Roman" w:hAnsi="Times New Roman" w:cs="Times New Roman"/>
          <w:color w:val="000000" w:themeColor="text1"/>
        </w:rPr>
        <w:t xml:space="preserve">and commitment across global operations can be challenging. </w:t>
      </w:r>
      <w:r w:rsidR="000C573A" w:rsidRPr="00EE1D4E">
        <w:rPr>
          <w:rFonts w:ascii="Times New Roman" w:hAnsi="Times New Roman" w:cs="Times New Roman"/>
          <w:color w:val="000000" w:themeColor="text1"/>
        </w:rPr>
        <w:t xml:space="preserve">For </w:t>
      </w:r>
      <w:r w:rsidR="006836FA" w:rsidRPr="00EE1D4E">
        <w:rPr>
          <w:rFonts w:ascii="Times New Roman" w:hAnsi="Times New Roman" w:cs="Times New Roman"/>
          <w:color w:val="000000" w:themeColor="text1"/>
        </w:rPr>
        <w:t>example,</w:t>
      </w:r>
      <w:r w:rsidR="000C573A" w:rsidRPr="00EE1D4E">
        <w:rPr>
          <w:rFonts w:ascii="Times New Roman" w:hAnsi="Times New Roman" w:cs="Times New Roman"/>
          <w:color w:val="000000" w:themeColor="text1"/>
        </w:rPr>
        <w:t xml:space="preserve"> communication strategies that are effective </w:t>
      </w:r>
      <w:r w:rsidR="00700276" w:rsidRPr="00EE1D4E">
        <w:rPr>
          <w:rFonts w:ascii="Times New Roman" w:hAnsi="Times New Roman" w:cs="Times New Roman"/>
          <w:color w:val="000000" w:themeColor="text1"/>
        </w:rPr>
        <w:t>in one country may not be suitable in another due to cultural differences</w:t>
      </w:r>
      <w:r w:rsidR="0076412C" w:rsidRPr="00EE1D4E">
        <w:rPr>
          <w:rFonts w:ascii="Times New Roman" w:hAnsi="Times New Roman" w:cs="Times New Roman"/>
          <w:color w:val="000000" w:themeColor="text1"/>
        </w:rPr>
        <w:t>, language barriers or variations in organisational hier</w:t>
      </w:r>
      <w:r w:rsidR="00067967" w:rsidRPr="00EE1D4E">
        <w:rPr>
          <w:rFonts w:ascii="Times New Roman" w:hAnsi="Times New Roman" w:cs="Times New Roman"/>
          <w:color w:val="000000" w:themeColor="text1"/>
        </w:rPr>
        <w:t xml:space="preserve">archy. </w:t>
      </w:r>
      <w:r w:rsidR="006836FA" w:rsidRPr="00EE1D4E">
        <w:rPr>
          <w:rFonts w:ascii="Times New Roman" w:hAnsi="Times New Roman" w:cs="Times New Roman"/>
          <w:color w:val="000000" w:themeColor="text1"/>
        </w:rPr>
        <w:t>Similarly,</w:t>
      </w:r>
      <w:r w:rsidR="00067967" w:rsidRPr="00EE1D4E">
        <w:rPr>
          <w:rFonts w:ascii="Times New Roman" w:hAnsi="Times New Roman" w:cs="Times New Roman"/>
          <w:color w:val="000000" w:themeColor="text1"/>
        </w:rPr>
        <w:t xml:space="preserve"> </w:t>
      </w:r>
      <w:proofErr w:type="spellStart"/>
      <w:r w:rsidR="00067967" w:rsidRPr="00EE1D4E">
        <w:rPr>
          <w:rFonts w:ascii="Times New Roman" w:hAnsi="Times New Roman" w:cs="Times New Roman"/>
          <w:color w:val="000000" w:themeColor="text1"/>
        </w:rPr>
        <w:t>consulation</w:t>
      </w:r>
      <w:proofErr w:type="spellEnd"/>
      <w:r w:rsidR="00067967" w:rsidRPr="00EE1D4E">
        <w:rPr>
          <w:rFonts w:ascii="Times New Roman" w:hAnsi="Times New Roman" w:cs="Times New Roman"/>
          <w:color w:val="000000" w:themeColor="text1"/>
        </w:rPr>
        <w:t xml:space="preserve"> processes </w:t>
      </w:r>
      <w:r w:rsidR="00D467D4" w:rsidRPr="00EE1D4E">
        <w:rPr>
          <w:rFonts w:ascii="Times New Roman" w:hAnsi="Times New Roman" w:cs="Times New Roman"/>
          <w:color w:val="000000" w:themeColor="text1"/>
        </w:rPr>
        <w:t xml:space="preserve">such as surveys or workshops may </w:t>
      </w:r>
      <w:r w:rsidR="000D104B" w:rsidRPr="00EE1D4E">
        <w:rPr>
          <w:rFonts w:ascii="Times New Roman" w:hAnsi="Times New Roman" w:cs="Times New Roman"/>
          <w:color w:val="000000" w:themeColor="text1"/>
        </w:rPr>
        <w:t xml:space="preserve">receive different levels of participation </w:t>
      </w:r>
      <w:r w:rsidR="001B6BA1" w:rsidRPr="00EE1D4E">
        <w:rPr>
          <w:rFonts w:ascii="Times New Roman" w:hAnsi="Times New Roman" w:cs="Times New Roman"/>
          <w:color w:val="000000" w:themeColor="text1"/>
        </w:rPr>
        <w:t>depending on local working cultures and attitudes towards management</w:t>
      </w:r>
      <w:r w:rsidR="00B45A30" w:rsidRPr="00EE1D4E">
        <w:rPr>
          <w:rFonts w:ascii="Times New Roman" w:hAnsi="Times New Roman" w:cs="Times New Roman"/>
          <w:color w:val="000000" w:themeColor="text1"/>
        </w:rPr>
        <w:t>.</w:t>
      </w:r>
    </w:p>
    <w:p w14:paraId="7D0BF6D0" w14:textId="4ADD5590" w:rsidR="006836FA" w:rsidRPr="00EE1D4E" w:rsidRDefault="006836FA" w:rsidP="00F2397E">
      <w:pPr>
        <w:spacing w:line="360" w:lineRule="auto"/>
        <w:rPr>
          <w:rFonts w:ascii="Times New Roman" w:hAnsi="Times New Roman" w:cs="Times New Roman"/>
          <w:color w:val="000000" w:themeColor="text1"/>
        </w:rPr>
      </w:pPr>
      <w:r w:rsidRPr="006836FA">
        <w:rPr>
          <w:rFonts w:ascii="Times New Roman" w:hAnsi="Times New Roman" w:cs="Times New Roman"/>
          <w:color w:val="000000" w:themeColor="text1"/>
        </w:rPr>
        <w:t>The introduction of AI technologies may create concerns among employees regarding job security and changes to traditional hospitality roles. To address this challenge, organisations must provide clear communication, continuous training and opportunities for staff involvement in the implementation process. Such engagement helps reduce resistance to change and supports smoother adoption of innovative service systems.</w:t>
      </w:r>
    </w:p>
    <w:p w14:paraId="248FAC65" w14:textId="77777777" w:rsidR="00163A6B" w:rsidRPr="00C8736B" w:rsidRDefault="00163A6B" w:rsidP="00F2397E">
      <w:pPr>
        <w:pStyle w:val="Heading1"/>
      </w:pPr>
      <w:bookmarkStart w:id="7" w:name="_Toc224566504"/>
      <w:r w:rsidRPr="00163A6B">
        <w:t>Impact of Stakeholder </w:t>
      </w:r>
      <w:r w:rsidRPr="00C8736B">
        <w:t>Engagement on Business</w:t>
      </w:r>
      <w:r w:rsidRPr="00163A6B">
        <w:t xml:space="preserve"> </w:t>
      </w:r>
      <w:r w:rsidRPr="00C8736B">
        <w:t>Performance</w:t>
      </w:r>
      <w:bookmarkEnd w:id="7"/>
      <w:r w:rsidRPr="00C8736B">
        <w:t> </w:t>
      </w:r>
    </w:p>
    <w:p w14:paraId="36D55790" w14:textId="715AF17F" w:rsidR="00163A6B" w:rsidRPr="00163A6B" w:rsidRDefault="00780EDC" w:rsidP="00F2397E">
      <w:pPr>
        <w:spacing w:line="360" w:lineRule="auto"/>
        <w:rPr>
          <w:rFonts w:ascii="Times New Roman" w:hAnsi="Times New Roman" w:cs="Times New Roman"/>
        </w:rPr>
      </w:pPr>
      <w:r>
        <w:rPr>
          <w:rFonts w:ascii="Times New Roman" w:hAnsi="Times New Roman" w:cs="Times New Roman"/>
        </w:rPr>
        <w:t>The</w:t>
      </w:r>
      <w:r w:rsidR="00163A6B" w:rsidRPr="00163A6B">
        <w:rPr>
          <w:rFonts w:ascii="Times New Roman" w:hAnsi="Times New Roman" w:cs="Times New Roman"/>
        </w:rPr>
        <w:t> </w:t>
      </w:r>
      <w:proofErr w:type="spellStart"/>
      <w:r w:rsidR="00163A6B" w:rsidRPr="00163A6B">
        <w:rPr>
          <w:rFonts w:ascii="Times New Roman" w:hAnsi="Times New Roman" w:cs="Times New Roman"/>
        </w:rPr>
        <w:t>StaySmart</w:t>
      </w:r>
      <w:proofErr w:type="spellEnd"/>
      <w:r w:rsidR="00163A6B" w:rsidRPr="00163A6B">
        <w:rPr>
          <w:rFonts w:ascii="Times New Roman" w:hAnsi="Times New Roman" w:cs="Times New Roman"/>
        </w:rPr>
        <w:t>+ innovation initiative at InterContinental Hotel </w:t>
      </w:r>
      <w:r w:rsidR="00C8736B" w:rsidRPr="00163A6B">
        <w:rPr>
          <w:rFonts w:ascii="Times New Roman" w:hAnsi="Times New Roman" w:cs="Times New Roman"/>
        </w:rPr>
        <w:t>Group (</w:t>
      </w:r>
      <w:r w:rsidR="00163A6B" w:rsidRPr="00163A6B">
        <w:rPr>
          <w:rFonts w:ascii="Times New Roman" w:hAnsi="Times New Roman" w:cs="Times New Roman"/>
        </w:rPr>
        <w:t>IHG), stakeholder participation significantly impacts company performance. In the hospitality sector, technology by itself does not generate value; the acceptance and collaboration of employees, visitors, partners, and regulators dictate whether innovation yields successful outcomes. Effective engagement guarantees that AI-driven and sustainability-oriented services are trusted, embraced and seamlessly integrated across international properties.  </w:t>
      </w:r>
    </w:p>
    <w:p w14:paraId="318D03FC"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xml:space="preserve">Guest happiness and loyalty are the principal results. When customers are informed and their preferences inform service design, AI-assisted concierge tools and customised planning </w:t>
      </w:r>
      <w:r w:rsidRPr="00163A6B">
        <w:rPr>
          <w:rFonts w:ascii="Times New Roman" w:hAnsi="Times New Roman" w:cs="Times New Roman"/>
        </w:rPr>
        <w:lastRenderedPageBreak/>
        <w:t>elements more effectively meet expectations. clear communication on data utilisation and sustainability efforts enhances trust. Theory of relationship marketing (Cristopher et al.,2013) posits that value-generating interactions foster enduring loyalty and recurring patronage. Consequently, interaction enhances satisfaction ratings and brand loyalty. </w:t>
      </w:r>
    </w:p>
    <w:p w14:paraId="09DE97C4" w14:textId="77777777" w:rsidR="00163A6B" w:rsidRDefault="00163A6B" w:rsidP="00F2397E">
      <w:pPr>
        <w:spacing w:line="360" w:lineRule="auto"/>
        <w:rPr>
          <w:rFonts w:ascii="Times New Roman" w:hAnsi="Times New Roman" w:cs="Times New Roman"/>
        </w:rPr>
      </w:pPr>
      <w:r w:rsidRPr="00163A6B">
        <w:rPr>
          <w:rFonts w:ascii="Times New Roman" w:hAnsi="Times New Roman" w:cs="Times New Roman"/>
        </w:rPr>
        <w:t> Employee engagement is equally essential. When frontline personnel engage in co-design and undergo systematic training, they view innovation as beneficial rather than intimidating. Skill enhancement mitigates fear over automation and fosters confidence in utilising AI solutions. In accordance with balanced scorecard concepts (Kaplan and Norton,1996), such learning and growth enhance organisational capabilities, hence improving consistency and customer experience.  </w:t>
      </w:r>
    </w:p>
    <w:p w14:paraId="2CC3988C" w14:textId="58C7D8D9" w:rsidR="00D44592" w:rsidRPr="00163A6B" w:rsidRDefault="00263B07" w:rsidP="00F2397E">
      <w:pPr>
        <w:spacing w:line="360" w:lineRule="auto"/>
        <w:rPr>
          <w:rFonts w:ascii="Times New Roman" w:hAnsi="Times New Roman" w:cs="Times New Roman"/>
        </w:rPr>
      </w:pPr>
      <w:r w:rsidRPr="00263B07">
        <w:rPr>
          <w:rFonts w:ascii="Times New Roman" w:hAnsi="Times New Roman" w:cs="Times New Roman"/>
        </w:rPr>
        <w:t>Stakeholder engagement also strengthens brand reputation and operational performance. Collaboration between employees, managers, and technology partners supports effective service implementation and improves operational efficiency. At the same time, transparent communication about AI services and sustainability commitments increases trust among guests, investors and regulators.</w:t>
      </w:r>
    </w:p>
    <w:p w14:paraId="78A8435E" w14:textId="011BACA6"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Engagement with environmental stakeholders enhances sustainability performance. Collaboration with suppliers and experts facilitates quantifiable eco-initiatives, while the involvement of employees and guests reinforces daily environmental practices. </w:t>
      </w:r>
    </w:p>
    <w:p w14:paraId="6B9809B7" w14:textId="433201B1" w:rsidR="00163A6B" w:rsidRPr="00C8736B" w:rsidRDefault="00B934EF" w:rsidP="00C8736B">
      <w:pPr>
        <w:spacing w:line="360" w:lineRule="auto"/>
        <w:rPr>
          <w:rFonts w:ascii="Times New Roman" w:hAnsi="Times New Roman" w:cs="Times New Roman"/>
        </w:rPr>
      </w:pPr>
      <w:r w:rsidRPr="00B934EF">
        <w:rPr>
          <w:rFonts w:ascii="Times New Roman" w:hAnsi="Times New Roman" w:cs="Times New Roman"/>
        </w:rPr>
        <w:t>Collaboration with environmental partners also supports sustainability goals and ensures compliance with environmental regulations</w:t>
      </w:r>
      <w:r>
        <w:rPr>
          <w:rFonts w:ascii="Times New Roman" w:hAnsi="Times New Roman" w:cs="Times New Roman"/>
        </w:rPr>
        <w:t xml:space="preserve">. </w:t>
      </w:r>
      <w:r w:rsidR="00163A6B" w:rsidRPr="00163A6B">
        <w:rPr>
          <w:rFonts w:ascii="Times New Roman" w:hAnsi="Times New Roman" w:cs="Times New Roman"/>
        </w:rPr>
        <w:t>Engagement underpins all dimensions of the balanced scorecard: customer, internal processes, learning and financial performance. </w:t>
      </w:r>
    </w:p>
    <w:p w14:paraId="42B99223" w14:textId="77777777" w:rsidR="00163A6B" w:rsidRPr="00163A6B" w:rsidRDefault="00163A6B" w:rsidP="00C8736B">
      <w:pPr>
        <w:pStyle w:val="Heading1"/>
      </w:pPr>
      <w:bookmarkStart w:id="8" w:name="_Toc224566505"/>
      <w:r w:rsidRPr="00163A6B">
        <w:t>Recommendations for Future Stak</w:t>
      </w:r>
      <w:r w:rsidRPr="00C8736B">
        <w:t>eholder Engagement</w:t>
      </w:r>
      <w:bookmarkEnd w:id="8"/>
      <w:r w:rsidRPr="00163A6B">
        <w:t> </w:t>
      </w:r>
    </w:p>
    <w:p w14:paraId="64282ED7"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To maintain successful innovation, IHG should formalise ongoing stakeholder interaction. Initially, integrated digital feedback systems must gather real-time input from employees, guests, and partners. Ongoing surveillance facilitates adaptive enhancements and displays responsiveness.  </w:t>
      </w:r>
    </w:p>
    <w:p w14:paraId="7499DE0C"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Secondly, global training programs ought to incorporate AI competencies and ethical considerations. Employees necessitate both technical proficiency and comprehension of responsible data utilisation to uphold human-centred hospitality.  This mitigates opposition and reputational danger. </w:t>
      </w:r>
    </w:p>
    <w:p w14:paraId="4DE85A6F"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lastRenderedPageBreak/>
        <w:t>Third engagement strategies must be localised. Cultural norms around authority, communication, and technology vary by place. Regional stakeholder mapping and customised communication guarantee pertinence while upholding global brand standards. </w:t>
      </w:r>
    </w:p>
    <w:p w14:paraId="65E239B3"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Fourth, enduring sustainable alliances with suppliers, communities and environmental organisations should be reinforced. Collaborative efforts augment environmental innovation and bolster corporate responsibility credibility. </w:t>
      </w:r>
    </w:p>
    <w:p w14:paraId="32CC7F04"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Fifth engagement metrics-including adoption rates, trust scores, and stakeholder satisfaction-ought to be integrated into performance management systems.  Assessing engagement outcomes underscores their strategic significance. </w:t>
      </w:r>
    </w:p>
    <w:p w14:paraId="6A318103"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Sixth, forthcoming innovation initiatives ought to implement early co-creation models that engage employees and visitors in testing and development. Consistent transparent communication concerning AI and data protection is important across markets. </w:t>
      </w:r>
    </w:p>
    <w:p w14:paraId="159073D1" w14:textId="2FFB39B3"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Ultimately, regional stakeholder advisory groups may offer continuous strategic direction and varied viewpoints.  These ideas correspond with the principles of stakeholder relationship management (Bourne,2015), highlighting trust, conversation, and value co-creation.  </w:t>
      </w:r>
    </w:p>
    <w:p w14:paraId="782AF302" w14:textId="1C85FD40" w:rsidR="00163A6B" w:rsidRPr="00787FA1" w:rsidRDefault="00163A6B" w:rsidP="00064332">
      <w:pPr>
        <w:pStyle w:val="Heading1"/>
      </w:pPr>
      <w:bookmarkStart w:id="9" w:name="_Toc224566506"/>
      <w:r w:rsidRPr="00787FA1">
        <w:t>Conclusion</w:t>
      </w:r>
      <w:bookmarkEnd w:id="9"/>
      <w:r w:rsidRPr="00787FA1">
        <w:t> </w:t>
      </w:r>
    </w:p>
    <w:p w14:paraId="09CB0523" w14:textId="4898B7E8" w:rsidR="00EC5D39" w:rsidRPr="00787FA1" w:rsidRDefault="00235540" w:rsidP="00F2397E">
      <w:pPr>
        <w:spacing w:line="360" w:lineRule="auto"/>
        <w:rPr>
          <w:rFonts w:ascii="Times New Roman" w:hAnsi="Times New Roman" w:cs="Times New Roman"/>
          <w:color w:val="000000" w:themeColor="text1"/>
        </w:rPr>
      </w:pPr>
      <w:r w:rsidRPr="00787FA1">
        <w:rPr>
          <w:rFonts w:ascii="Times New Roman" w:hAnsi="Times New Roman" w:cs="Times New Roman"/>
          <w:color w:val="000000" w:themeColor="text1"/>
        </w:rPr>
        <w:t>In concl</w:t>
      </w:r>
      <w:r w:rsidR="009E6A27" w:rsidRPr="00787FA1">
        <w:rPr>
          <w:rFonts w:ascii="Times New Roman" w:hAnsi="Times New Roman" w:cs="Times New Roman"/>
          <w:color w:val="000000" w:themeColor="text1"/>
        </w:rPr>
        <w:t xml:space="preserve">usion, the </w:t>
      </w:r>
      <w:proofErr w:type="spellStart"/>
      <w:r w:rsidR="009E6A27" w:rsidRPr="00787FA1">
        <w:rPr>
          <w:rFonts w:ascii="Times New Roman" w:hAnsi="Times New Roman" w:cs="Times New Roman"/>
          <w:color w:val="000000" w:themeColor="text1"/>
        </w:rPr>
        <w:t>StaySmart</w:t>
      </w:r>
      <w:proofErr w:type="spellEnd"/>
      <w:r w:rsidR="009E6A27" w:rsidRPr="00787FA1">
        <w:rPr>
          <w:rFonts w:ascii="Times New Roman" w:hAnsi="Times New Roman" w:cs="Times New Roman"/>
          <w:color w:val="000000" w:themeColor="text1"/>
        </w:rPr>
        <w:t xml:space="preserve">+ initiative </w:t>
      </w:r>
      <w:r w:rsidR="009B0274" w:rsidRPr="00787FA1">
        <w:rPr>
          <w:rFonts w:ascii="Times New Roman" w:hAnsi="Times New Roman" w:cs="Times New Roman"/>
          <w:color w:val="000000" w:themeColor="text1"/>
        </w:rPr>
        <w:t xml:space="preserve">demonstrates that effective stakeholder engagement is essential for supporting </w:t>
      </w:r>
      <w:r w:rsidR="00D84DA2" w:rsidRPr="00787FA1">
        <w:rPr>
          <w:rFonts w:ascii="Times New Roman" w:hAnsi="Times New Roman" w:cs="Times New Roman"/>
          <w:color w:val="000000" w:themeColor="text1"/>
        </w:rPr>
        <w:t xml:space="preserve">innovation in the global hospitality sector. Clearly defined </w:t>
      </w:r>
      <w:r w:rsidR="0041241A" w:rsidRPr="00787FA1">
        <w:rPr>
          <w:rFonts w:ascii="Times New Roman" w:hAnsi="Times New Roman" w:cs="Times New Roman"/>
          <w:color w:val="000000" w:themeColor="text1"/>
        </w:rPr>
        <w:t>stakeholder roles and the use of structured engagement frameworks</w:t>
      </w:r>
      <w:r w:rsidR="00CB3BCA" w:rsidRPr="00787FA1">
        <w:rPr>
          <w:rFonts w:ascii="Times New Roman" w:hAnsi="Times New Roman" w:cs="Times New Roman"/>
          <w:color w:val="000000" w:themeColor="text1"/>
        </w:rPr>
        <w:t xml:space="preserve">, such as the 4C model </w:t>
      </w:r>
      <w:r w:rsidR="001933C0" w:rsidRPr="00787FA1">
        <w:rPr>
          <w:rFonts w:ascii="Times New Roman" w:hAnsi="Times New Roman" w:cs="Times New Roman"/>
          <w:color w:val="000000" w:themeColor="text1"/>
        </w:rPr>
        <w:t>enables organisations to align the interests of leadership, employees</w:t>
      </w:r>
      <w:r w:rsidR="00BA4436" w:rsidRPr="00787FA1">
        <w:rPr>
          <w:rFonts w:ascii="Times New Roman" w:hAnsi="Times New Roman" w:cs="Times New Roman"/>
          <w:color w:val="000000" w:themeColor="text1"/>
        </w:rPr>
        <w:t>, guests, partners and regulators. This align</w:t>
      </w:r>
      <w:r w:rsidR="00664436" w:rsidRPr="00787FA1">
        <w:rPr>
          <w:rFonts w:ascii="Times New Roman" w:hAnsi="Times New Roman" w:cs="Times New Roman"/>
          <w:color w:val="000000" w:themeColor="text1"/>
        </w:rPr>
        <w:t xml:space="preserve">ment can enhance operational efficiency strengthen </w:t>
      </w:r>
      <w:r w:rsidR="00004125" w:rsidRPr="00787FA1">
        <w:rPr>
          <w:rFonts w:ascii="Times New Roman" w:hAnsi="Times New Roman" w:cs="Times New Roman"/>
          <w:color w:val="000000" w:themeColor="text1"/>
        </w:rPr>
        <w:t xml:space="preserve">sustainability outcomes and improve guest satisfaction while supporting the successful integration of AI-driven </w:t>
      </w:r>
      <w:r w:rsidR="004572FF" w:rsidRPr="00787FA1">
        <w:rPr>
          <w:rFonts w:ascii="Times New Roman" w:hAnsi="Times New Roman" w:cs="Times New Roman"/>
          <w:color w:val="000000" w:themeColor="text1"/>
        </w:rPr>
        <w:t>services.</w:t>
      </w:r>
    </w:p>
    <w:p w14:paraId="56A3571C" w14:textId="0E37D674" w:rsidR="004572FF" w:rsidRPr="00787FA1" w:rsidRDefault="004572FF" w:rsidP="00F2397E">
      <w:pPr>
        <w:spacing w:line="360" w:lineRule="auto"/>
        <w:rPr>
          <w:rFonts w:ascii="Times New Roman" w:hAnsi="Times New Roman" w:cs="Times New Roman"/>
          <w:color w:val="000000" w:themeColor="text1"/>
        </w:rPr>
      </w:pPr>
      <w:r w:rsidRPr="00787FA1">
        <w:rPr>
          <w:rFonts w:ascii="Times New Roman" w:hAnsi="Times New Roman" w:cs="Times New Roman"/>
          <w:color w:val="000000" w:themeColor="text1"/>
        </w:rPr>
        <w:t xml:space="preserve">However, stakeholder engagement also presents </w:t>
      </w:r>
      <w:r w:rsidR="00BC1865" w:rsidRPr="00787FA1">
        <w:rPr>
          <w:rFonts w:ascii="Times New Roman" w:hAnsi="Times New Roman" w:cs="Times New Roman"/>
          <w:color w:val="000000" w:themeColor="text1"/>
        </w:rPr>
        <w:t xml:space="preserve">certain limitations and potential risks. Differences in cultural expectations </w:t>
      </w:r>
      <w:r w:rsidR="008211B0" w:rsidRPr="00787FA1">
        <w:rPr>
          <w:rFonts w:ascii="Times New Roman" w:hAnsi="Times New Roman" w:cs="Times New Roman"/>
          <w:color w:val="000000" w:themeColor="text1"/>
        </w:rPr>
        <w:t>across international markets, employee</w:t>
      </w:r>
      <w:r w:rsidR="00C22084" w:rsidRPr="00787FA1">
        <w:rPr>
          <w:rFonts w:ascii="Times New Roman" w:hAnsi="Times New Roman" w:cs="Times New Roman"/>
          <w:color w:val="000000" w:themeColor="text1"/>
        </w:rPr>
        <w:t xml:space="preserve"> concerns regarding technological change and data privacy </w:t>
      </w:r>
      <w:r w:rsidR="007A6442" w:rsidRPr="00787FA1">
        <w:rPr>
          <w:rFonts w:ascii="Times New Roman" w:hAnsi="Times New Roman" w:cs="Times New Roman"/>
          <w:color w:val="000000" w:themeColor="text1"/>
        </w:rPr>
        <w:t>issues may create resistance or misunderstanding during implementation</w:t>
      </w:r>
      <w:r w:rsidR="0071209B" w:rsidRPr="00787FA1">
        <w:rPr>
          <w:rFonts w:ascii="Times New Roman" w:hAnsi="Times New Roman" w:cs="Times New Roman"/>
          <w:color w:val="000000" w:themeColor="text1"/>
        </w:rPr>
        <w:t xml:space="preserve">. If these challenges are not managed effectively, they may reduce stakeholder </w:t>
      </w:r>
      <w:r w:rsidR="00BC43F0" w:rsidRPr="00787FA1">
        <w:rPr>
          <w:rFonts w:ascii="Times New Roman" w:hAnsi="Times New Roman" w:cs="Times New Roman"/>
          <w:color w:val="000000" w:themeColor="text1"/>
        </w:rPr>
        <w:t>trust and delay project progress.</w:t>
      </w:r>
    </w:p>
    <w:p w14:paraId="79F69B34" w14:textId="3BB5BF58" w:rsidR="00BC43F0" w:rsidRPr="00787FA1" w:rsidRDefault="00CD3DBF" w:rsidP="00F2397E">
      <w:pPr>
        <w:spacing w:line="360" w:lineRule="auto"/>
        <w:rPr>
          <w:rFonts w:ascii="Times New Roman" w:hAnsi="Times New Roman" w:cs="Times New Roman"/>
          <w:color w:val="000000" w:themeColor="text1"/>
        </w:rPr>
      </w:pPr>
      <w:r w:rsidRPr="00787FA1">
        <w:rPr>
          <w:rFonts w:ascii="Times New Roman" w:hAnsi="Times New Roman" w:cs="Times New Roman"/>
          <w:color w:val="000000" w:themeColor="text1"/>
        </w:rPr>
        <w:lastRenderedPageBreak/>
        <w:t>Therefore,</w:t>
      </w:r>
      <w:r w:rsidR="00BC43F0" w:rsidRPr="00787FA1">
        <w:rPr>
          <w:rFonts w:ascii="Times New Roman" w:hAnsi="Times New Roman" w:cs="Times New Roman"/>
          <w:color w:val="000000" w:themeColor="text1"/>
        </w:rPr>
        <w:t xml:space="preserve"> organisations such as IGH must adopt flexible and culturally </w:t>
      </w:r>
      <w:r w:rsidR="005B45B7" w:rsidRPr="00787FA1">
        <w:rPr>
          <w:rFonts w:ascii="Times New Roman" w:hAnsi="Times New Roman" w:cs="Times New Roman"/>
          <w:color w:val="000000" w:themeColor="text1"/>
        </w:rPr>
        <w:t xml:space="preserve">aware engagement strategies supported by transparent communication, continuous </w:t>
      </w:r>
      <w:r w:rsidR="00766A76" w:rsidRPr="00787FA1">
        <w:rPr>
          <w:rFonts w:ascii="Times New Roman" w:hAnsi="Times New Roman" w:cs="Times New Roman"/>
          <w:color w:val="000000" w:themeColor="text1"/>
        </w:rPr>
        <w:t>feedback</w:t>
      </w:r>
      <w:r w:rsidR="005B45B7" w:rsidRPr="00787FA1">
        <w:rPr>
          <w:rFonts w:ascii="Times New Roman" w:hAnsi="Times New Roman" w:cs="Times New Roman"/>
          <w:color w:val="000000" w:themeColor="text1"/>
        </w:rPr>
        <w:t xml:space="preserve"> and ongoing training</w:t>
      </w:r>
      <w:r w:rsidR="002179AA" w:rsidRPr="00787FA1">
        <w:rPr>
          <w:rFonts w:ascii="Times New Roman" w:hAnsi="Times New Roman" w:cs="Times New Roman"/>
          <w:color w:val="000000" w:themeColor="text1"/>
        </w:rPr>
        <w:t>. By recognising both the benefits and limitations of stakeholder engagement</w:t>
      </w:r>
      <w:r w:rsidR="001B5E13" w:rsidRPr="00787FA1">
        <w:rPr>
          <w:rFonts w:ascii="Times New Roman" w:hAnsi="Times New Roman" w:cs="Times New Roman"/>
          <w:color w:val="000000" w:themeColor="text1"/>
        </w:rPr>
        <w:t xml:space="preserve">, IGH can better manage risks, strengthen collaboration and support </w:t>
      </w:r>
      <w:r w:rsidR="00DC517B" w:rsidRPr="00787FA1">
        <w:rPr>
          <w:rFonts w:ascii="Times New Roman" w:hAnsi="Times New Roman" w:cs="Times New Roman"/>
          <w:color w:val="000000" w:themeColor="text1"/>
        </w:rPr>
        <w:t xml:space="preserve">the long-term success of innovative initiatives such as </w:t>
      </w:r>
      <w:proofErr w:type="spellStart"/>
      <w:r w:rsidR="00DC517B" w:rsidRPr="00787FA1">
        <w:rPr>
          <w:rFonts w:ascii="Times New Roman" w:hAnsi="Times New Roman" w:cs="Times New Roman"/>
          <w:color w:val="000000" w:themeColor="text1"/>
        </w:rPr>
        <w:t>StaySmart</w:t>
      </w:r>
      <w:proofErr w:type="spellEnd"/>
      <w:r w:rsidR="00DC517B" w:rsidRPr="00787FA1">
        <w:rPr>
          <w:rFonts w:ascii="Times New Roman" w:hAnsi="Times New Roman" w:cs="Times New Roman"/>
          <w:color w:val="000000" w:themeColor="text1"/>
        </w:rPr>
        <w:t xml:space="preserve">+ </w:t>
      </w:r>
      <w:r w:rsidRPr="00787FA1">
        <w:rPr>
          <w:rFonts w:ascii="Times New Roman" w:hAnsi="Times New Roman" w:cs="Times New Roman"/>
          <w:color w:val="000000" w:themeColor="text1"/>
        </w:rPr>
        <w:t>withing the global hospitality industry.</w:t>
      </w:r>
    </w:p>
    <w:p w14:paraId="22B979B5"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p w14:paraId="407ED079" w14:textId="77777777" w:rsid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p w14:paraId="2C7ECB62" w14:textId="77777777" w:rsidR="00280ADA" w:rsidRDefault="00280ADA" w:rsidP="00F2397E">
      <w:pPr>
        <w:spacing w:line="360" w:lineRule="auto"/>
        <w:rPr>
          <w:rFonts w:ascii="Times New Roman" w:hAnsi="Times New Roman" w:cs="Times New Roman"/>
        </w:rPr>
      </w:pPr>
    </w:p>
    <w:p w14:paraId="072C5367" w14:textId="77777777" w:rsidR="00280ADA" w:rsidRDefault="00280ADA" w:rsidP="00F2397E">
      <w:pPr>
        <w:spacing w:line="360" w:lineRule="auto"/>
        <w:rPr>
          <w:rFonts w:ascii="Times New Roman" w:hAnsi="Times New Roman" w:cs="Times New Roman"/>
        </w:rPr>
      </w:pPr>
    </w:p>
    <w:p w14:paraId="6C0B8AE4" w14:textId="77777777" w:rsidR="00280ADA" w:rsidRDefault="00280ADA" w:rsidP="00F2397E">
      <w:pPr>
        <w:spacing w:line="360" w:lineRule="auto"/>
        <w:rPr>
          <w:rFonts w:ascii="Times New Roman" w:hAnsi="Times New Roman" w:cs="Times New Roman"/>
        </w:rPr>
      </w:pPr>
    </w:p>
    <w:p w14:paraId="4B16C291" w14:textId="77777777" w:rsidR="00280ADA" w:rsidRDefault="00280ADA" w:rsidP="00F2397E">
      <w:pPr>
        <w:spacing w:line="360" w:lineRule="auto"/>
        <w:rPr>
          <w:rFonts w:ascii="Times New Roman" w:hAnsi="Times New Roman" w:cs="Times New Roman"/>
        </w:rPr>
      </w:pPr>
    </w:p>
    <w:p w14:paraId="1A337EF2" w14:textId="77777777" w:rsidR="00280ADA" w:rsidRDefault="00280ADA" w:rsidP="00F2397E">
      <w:pPr>
        <w:spacing w:line="360" w:lineRule="auto"/>
        <w:rPr>
          <w:rFonts w:ascii="Times New Roman" w:hAnsi="Times New Roman" w:cs="Times New Roman"/>
        </w:rPr>
      </w:pPr>
    </w:p>
    <w:p w14:paraId="59C40E55" w14:textId="77777777" w:rsidR="00280ADA" w:rsidRDefault="00280ADA" w:rsidP="00F2397E">
      <w:pPr>
        <w:spacing w:line="360" w:lineRule="auto"/>
        <w:rPr>
          <w:rFonts w:ascii="Times New Roman" w:hAnsi="Times New Roman" w:cs="Times New Roman"/>
        </w:rPr>
      </w:pPr>
    </w:p>
    <w:p w14:paraId="6F890C23" w14:textId="77777777" w:rsidR="00280ADA" w:rsidRDefault="00280ADA" w:rsidP="00F2397E">
      <w:pPr>
        <w:spacing w:line="360" w:lineRule="auto"/>
        <w:rPr>
          <w:rFonts w:ascii="Times New Roman" w:hAnsi="Times New Roman" w:cs="Times New Roman"/>
        </w:rPr>
      </w:pPr>
    </w:p>
    <w:p w14:paraId="57813D77" w14:textId="77777777" w:rsidR="00280ADA" w:rsidRDefault="00280ADA" w:rsidP="00F2397E">
      <w:pPr>
        <w:spacing w:line="360" w:lineRule="auto"/>
        <w:rPr>
          <w:rFonts w:ascii="Times New Roman" w:hAnsi="Times New Roman" w:cs="Times New Roman"/>
        </w:rPr>
      </w:pPr>
    </w:p>
    <w:p w14:paraId="23A8881C" w14:textId="77777777" w:rsidR="00280ADA" w:rsidRPr="00163A6B" w:rsidRDefault="00280ADA" w:rsidP="00F2397E">
      <w:pPr>
        <w:spacing w:line="360" w:lineRule="auto"/>
        <w:rPr>
          <w:rFonts w:ascii="Times New Roman" w:hAnsi="Times New Roman" w:cs="Times New Roman"/>
        </w:rPr>
      </w:pPr>
    </w:p>
    <w:p w14:paraId="413427DB" w14:textId="77777777" w:rsidR="00553FB7" w:rsidRDefault="00553FB7" w:rsidP="00C8736B">
      <w:pPr>
        <w:pStyle w:val="Heading1"/>
      </w:pPr>
    </w:p>
    <w:p w14:paraId="0D3A8B0C" w14:textId="77777777" w:rsidR="00553FB7" w:rsidRDefault="00553FB7" w:rsidP="00C8736B">
      <w:pPr>
        <w:pStyle w:val="Heading1"/>
      </w:pPr>
    </w:p>
    <w:p w14:paraId="6998CA1D" w14:textId="77777777" w:rsidR="00553FB7" w:rsidRDefault="00553FB7" w:rsidP="00C8736B">
      <w:pPr>
        <w:pStyle w:val="Heading1"/>
      </w:pPr>
    </w:p>
    <w:p w14:paraId="6F9336D9" w14:textId="77777777" w:rsidR="00553FB7" w:rsidRDefault="00553FB7" w:rsidP="00C8736B">
      <w:pPr>
        <w:pStyle w:val="Heading1"/>
      </w:pPr>
    </w:p>
    <w:p w14:paraId="238B5F6B" w14:textId="77777777" w:rsidR="00553FB7" w:rsidRDefault="00553FB7" w:rsidP="00C8736B">
      <w:pPr>
        <w:pStyle w:val="Heading1"/>
      </w:pPr>
    </w:p>
    <w:p w14:paraId="18E5C248" w14:textId="34D849EA" w:rsidR="00163A6B" w:rsidRPr="00163A6B" w:rsidRDefault="00553FB7" w:rsidP="00C8736B">
      <w:pPr>
        <w:pStyle w:val="Heading1"/>
      </w:pPr>
      <w:bookmarkStart w:id="10" w:name="_Toc224566507"/>
      <w:r>
        <w:t>#</w:t>
      </w:r>
      <w:r w:rsidR="00163A6B" w:rsidRPr="00163A6B">
        <w:t>References</w:t>
      </w:r>
      <w:bookmarkEnd w:id="10"/>
      <w:r w:rsidR="00163A6B" w:rsidRPr="00163A6B">
        <w:t>  </w:t>
      </w:r>
    </w:p>
    <w:p w14:paraId="415AF4C9" w14:textId="77777777" w:rsidR="00163A6B" w:rsidRPr="00163A6B" w:rsidRDefault="00163A6B" w:rsidP="00F2397E">
      <w:pPr>
        <w:spacing w:line="360" w:lineRule="auto"/>
        <w:rPr>
          <w:rFonts w:ascii="Times New Roman" w:hAnsi="Times New Roman" w:cs="Times New Roman"/>
        </w:rPr>
      </w:pPr>
      <w:r w:rsidRPr="00163A6B">
        <w:rPr>
          <w:rFonts w:ascii="Times New Roman" w:hAnsi="Times New Roman" w:cs="Times New Roman"/>
        </w:rPr>
        <w:t> </w:t>
      </w:r>
    </w:p>
    <w:p w14:paraId="5C7DDD39" w14:textId="15DA71B2" w:rsidR="00163A6B" w:rsidRPr="00163A6B" w:rsidRDefault="00163A6B" w:rsidP="00C8736B">
      <w:pPr>
        <w:spacing w:line="360" w:lineRule="auto"/>
        <w:rPr>
          <w:rFonts w:ascii="Times New Roman" w:hAnsi="Times New Roman" w:cs="Times New Roman"/>
        </w:rPr>
      </w:pPr>
      <w:r w:rsidRPr="00163A6B">
        <w:rPr>
          <w:rFonts w:ascii="Times New Roman" w:hAnsi="Times New Roman" w:cs="Times New Roman"/>
        </w:rPr>
        <w:t>IHG (2024). </w:t>
      </w:r>
      <w:r w:rsidRPr="00163A6B">
        <w:rPr>
          <w:rFonts w:ascii="Times New Roman" w:hAnsi="Times New Roman" w:cs="Times New Roman"/>
          <w:i/>
          <w:iCs/>
        </w:rPr>
        <w:t>About us</w:t>
      </w:r>
      <w:r w:rsidRPr="00163A6B">
        <w:rPr>
          <w:rFonts w:ascii="Times New Roman" w:hAnsi="Times New Roman" w:cs="Times New Roman"/>
        </w:rPr>
        <w:t>. [online] IHG Development. Available at: </w:t>
      </w:r>
      <w:hyperlink r:id="rId6" w:tgtFrame="_blank" w:history="1">
        <w:r w:rsidRPr="00163A6B">
          <w:rPr>
            <w:rStyle w:val="Hyperlink"/>
            <w:rFonts w:ascii="Times New Roman" w:hAnsi="Times New Roman" w:cs="Times New Roman"/>
          </w:rPr>
          <w:t>https://development.ihg.com/about-us</w:t>
        </w:r>
      </w:hyperlink>
      <w:r w:rsidRPr="00163A6B">
        <w:rPr>
          <w:rFonts w:ascii="Times New Roman" w:hAnsi="Times New Roman" w:cs="Times New Roman"/>
        </w:rPr>
        <w:t>. </w:t>
      </w:r>
    </w:p>
    <w:p w14:paraId="5F5C3F89" w14:textId="1C417AF3" w:rsidR="00163A6B" w:rsidRPr="00163A6B" w:rsidRDefault="00163A6B" w:rsidP="00C8736B">
      <w:pPr>
        <w:spacing w:line="360" w:lineRule="auto"/>
        <w:rPr>
          <w:rFonts w:ascii="Times New Roman" w:hAnsi="Times New Roman" w:cs="Times New Roman"/>
        </w:rPr>
      </w:pPr>
      <w:r w:rsidRPr="00163A6B">
        <w:rPr>
          <w:rFonts w:ascii="Times New Roman" w:hAnsi="Times New Roman" w:cs="Times New Roman"/>
        </w:rPr>
        <w:t>True Hospitality Good for Contents. (2024). Available at: </w:t>
      </w:r>
      <w:hyperlink r:id="rId7" w:tgtFrame="_blank" w:history="1">
        <w:r w:rsidRPr="00163A6B">
          <w:rPr>
            <w:rStyle w:val="Hyperlink"/>
            <w:rFonts w:ascii="Times New Roman" w:hAnsi="Times New Roman" w:cs="Times New Roman"/>
          </w:rPr>
          <w:t>https://development.ihg.com/sites/ihgplc/files/IHG/A%20sustainable%20business/IHG_RBR_24-25_Interactive.pdf</w:t>
        </w:r>
      </w:hyperlink>
      <w:r w:rsidRPr="00163A6B">
        <w:rPr>
          <w:rFonts w:ascii="Times New Roman" w:hAnsi="Times New Roman" w:cs="Times New Roman"/>
        </w:rPr>
        <w:t>. </w:t>
      </w:r>
    </w:p>
    <w:p w14:paraId="677DD09D" w14:textId="28E10445" w:rsidR="00163A6B" w:rsidRPr="00163A6B" w:rsidRDefault="00163A6B" w:rsidP="00C8736B">
      <w:pPr>
        <w:spacing w:line="360" w:lineRule="auto"/>
        <w:rPr>
          <w:rFonts w:ascii="Times New Roman" w:hAnsi="Times New Roman" w:cs="Times New Roman"/>
        </w:rPr>
      </w:pPr>
      <w:r w:rsidRPr="00163A6B">
        <w:rPr>
          <w:rFonts w:ascii="Times New Roman" w:hAnsi="Times New Roman" w:cs="Times New Roman"/>
        </w:rPr>
        <w:t>InterContinental Hotels Group PLC. (2026). </w:t>
      </w:r>
      <w:r w:rsidRPr="00163A6B">
        <w:rPr>
          <w:rFonts w:ascii="Times New Roman" w:hAnsi="Times New Roman" w:cs="Times New Roman"/>
          <w:i/>
          <w:iCs/>
        </w:rPr>
        <w:t>IHG One Rewards</w:t>
      </w:r>
      <w:r w:rsidRPr="00163A6B">
        <w:rPr>
          <w:rFonts w:ascii="Times New Roman" w:hAnsi="Times New Roman" w:cs="Times New Roman"/>
        </w:rPr>
        <w:t>. [online] Available at: </w:t>
      </w:r>
      <w:hyperlink r:id="rId8" w:tgtFrame="_blank" w:history="1">
        <w:r w:rsidRPr="00163A6B">
          <w:rPr>
            <w:rStyle w:val="Hyperlink"/>
            <w:rFonts w:ascii="Times New Roman" w:hAnsi="Times New Roman" w:cs="Times New Roman"/>
          </w:rPr>
          <w:t>https://www.ihgplc.com/en/our-brands/ihg-one-rewards</w:t>
        </w:r>
      </w:hyperlink>
      <w:r w:rsidRPr="00163A6B">
        <w:rPr>
          <w:rFonts w:ascii="Times New Roman" w:hAnsi="Times New Roman" w:cs="Times New Roman"/>
        </w:rPr>
        <w:t>. </w:t>
      </w:r>
    </w:p>
    <w:p w14:paraId="376CD474" w14:textId="3FAA6F3F" w:rsidR="00163A6B" w:rsidRPr="00163A6B" w:rsidRDefault="00163A6B" w:rsidP="00C8736B">
      <w:pPr>
        <w:spacing w:line="360" w:lineRule="auto"/>
        <w:rPr>
          <w:rFonts w:ascii="Times New Roman" w:hAnsi="Times New Roman" w:cs="Times New Roman"/>
        </w:rPr>
      </w:pPr>
      <w:r w:rsidRPr="00163A6B">
        <w:rPr>
          <w:rFonts w:ascii="Times New Roman" w:hAnsi="Times New Roman" w:cs="Times New Roman"/>
        </w:rPr>
        <w:t>Bourne, L. (2015). </w:t>
      </w:r>
      <w:r w:rsidRPr="00163A6B">
        <w:rPr>
          <w:rFonts w:ascii="Times New Roman" w:hAnsi="Times New Roman" w:cs="Times New Roman"/>
          <w:i/>
          <w:iCs/>
        </w:rPr>
        <w:t>Making projects work: Effective stakeholder and communication management</w:t>
      </w:r>
      <w:r w:rsidRPr="00163A6B">
        <w:rPr>
          <w:rFonts w:ascii="Times New Roman" w:hAnsi="Times New Roman" w:cs="Times New Roman"/>
        </w:rPr>
        <w:t>. Boca Raton: Auerbach. </w:t>
      </w:r>
    </w:p>
    <w:p w14:paraId="7AE0921C" w14:textId="1883B95C" w:rsidR="00163A6B" w:rsidRPr="00163A6B" w:rsidRDefault="00163A6B" w:rsidP="00C8736B">
      <w:pPr>
        <w:spacing w:line="360" w:lineRule="auto"/>
        <w:rPr>
          <w:rFonts w:ascii="Times New Roman" w:hAnsi="Times New Roman" w:cs="Times New Roman"/>
        </w:rPr>
      </w:pPr>
      <w:r w:rsidRPr="00163A6B">
        <w:rPr>
          <w:rFonts w:ascii="Times New Roman" w:hAnsi="Times New Roman" w:cs="Times New Roman"/>
        </w:rPr>
        <w:t>Eby, K. (2019). </w:t>
      </w:r>
      <w:r w:rsidRPr="00163A6B">
        <w:rPr>
          <w:rFonts w:ascii="Times New Roman" w:hAnsi="Times New Roman" w:cs="Times New Roman"/>
          <w:i/>
          <w:iCs/>
        </w:rPr>
        <w:t>A Project Management Guide for Everything RACI | Smartsheet</w:t>
      </w:r>
      <w:r w:rsidRPr="00163A6B">
        <w:rPr>
          <w:rFonts w:ascii="Times New Roman" w:hAnsi="Times New Roman" w:cs="Times New Roman"/>
        </w:rPr>
        <w:t>. [online] Smartsheet. Available at: </w:t>
      </w:r>
      <w:hyperlink r:id="rId9" w:tgtFrame="_blank" w:history="1">
        <w:r w:rsidRPr="00163A6B">
          <w:rPr>
            <w:rStyle w:val="Hyperlink"/>
            <w:rFonts w:ascii="Times New Roman" w:hAnsi="Times New Roman" w:cs="Times New Roman"/>
          </w:rPr>
          <w:t>https://www.smartsheet.com/comprehensive-project-management-guide-everything-raci</w:t>
        </w:r>
      </w:hyperlink>
      <w:r w:rsidRPr="00163A6B">
        <w:rPr>
          <w:rFonts w:ascii="Times New Roman" w:hAnsi="Times New Roman" w:cs="Times New Roman"/>
        </w:rPr>
        <w:t>. </w:t>
      </w:r>
    </w:p>
    <w:p w14:paraId="330DF32C" w14:textId="3B6CE95B" w:rsidR="00163A6B" w:rsidRPr="00163A6B" w:rsidRDefault="00163A6B" w:rsidP="00C8736B">
      <w:pPr>
        <w:spacing w:line="360" w:lineRule="auto"/>
        <w:rPr>
          <w:rFonts w:ascii="Times New Roman" w:hAnsi="Times New Roman" w:cs="Times New Roman"/>
        </w:rPr>
      </w:pPr>
      <w:r w:rsidRPr="00163A6B">
        <w:rPr>
          <w:rFonts w:ascii="Times New Roman" w:hAnsi="Times New Roman" w:cs="Times New Roman"/>
        </w:rPr>
        <w:t>Freeman, R.E. (1984). </w:t>
      </w:r>
      <w:r w:rsidRPr="00163A6B">
        <w:rPr>
          <w:rFonts w:ascii="Times New Roman" w:hAnsi="Times New Roman" w:cs="Times New Roman"/>
          <w:i/>
          <w:iCs/>
        </w:rPr>
        <w:t>Strategic Management: a Stakeholder Approach</w:t>
      </w:r>
      <w:r w:rsidRPr="00163A6B">
        <w:rPr>
          <w:rFonts w:ascii="Times New Roman" w:hAnsi="Times New Roman" w:cs="Times New Roman"/>
        </w:rPr>
        <w:t>. Cambridge: Cambridge University Press. </w:t>
      </w:r>
    </w:p>
    <w:p w14:paraId="3936B8C0" w14:textId="77777777" w:rsidR="00163A6B" w:rsidRPr="00163A6B" w:rsidRDefault="00163A6B" w:rsidP="00C8736B">
      <w:pPr>
        <w:spacing w:line="360" w:lineRule="auto"/>
        <w:rPr>
          <w:rFonts w:ascii="Times New Roman" w:hAnsi="Times New Roman" w:cs="Times New Roman"/>
        </w:rPr>
      </w:pPr>
      <w:r w:rsidRPr="00163A6B">
        <w:rPr>
          <w:rFonts w:ascii="Times New Roman" w:hAnsi="Times New Roman" w:cs="Times New Roman"/>
        </w:rPr>
        <w:t xml:space="preserve">Mitchell, K., Agle, R. and Wood, D. (1997) Towards a Theory of Stakeholder Identification and Salience: Defining the Principle of Who and What Really Counts. Academy of </w:t>
      </w:r>
      <w:r w:rsidRPr="00163A6B">
        <w:rPr>
          <w:rFonts w:ascii="Times New Roman" w:hAnsi="Times New Roman" w:cs="Times New Roman"/>
        </w:rPr>
        <w:lastRenderedPageBreak/>
        <w:t>Management Review, 22, 853-886. </w:t>
      </w:r>
      <w:r w:rsidRPr="00163A6B">
        <w:rPr>
          <w:rFonts w:ascii="Times New Roman" w:hAnsi="Times New Roman" w:cs="Times New Roman"/>
        </w:rPr>
        <w:br/>
      </w:r>
      <w:hyperlink r:id="rId10" w:tgtFrame="_blank" w:history="1">
        <w:r w:rsidRPr="00163A6B">
          <w:rPr>
            <w:rStyle w:val="Hyperlink"/>
            <w:rFonts w:ascii="Times New Roman" w:hAnsi="Times New Roman" w:cs="Times New Roman"/>
          </w:rPr>
          <w:t>http://dx.doi.org/10.2307/259247</w:t>
        </w:r>
      </w:hyperlink>
      <w:r w:rsidRPr="00163A6B">
        <w:rPr>
          <w:rFonts w:ascii="Times New Roman" w:hAnsi="Times New Roman" w:cs="Times New Roman"/>
        </w:rPr>
        <w:t> </w:t>
      </w:r>
    </w:p>
    <w:p w14:paraId="3E6607A7" w14:textId="20C3C8F0" w:rsidR="00163A6B" w:rsidRPr="00163A6B" w:rsidRDefault="00163A6B" w:rsidP="00C8736B">
      <w:pPr>
        <w:spacing w:line="360" w:lineRule="auto"/>
        <w:rPr>
          <w:rFonts w:ascii="Times New Roman" w:hAnsi="Times New Roman" w:cs="Times New Roman"/>
        </w:rPr>
      </w:pPr>
      <w:r w:rsidRPr="00163A6B">
        <w:rPr>
          <w:rFonts w:ascii="Times New Roman" w:hAnsi="Times New Roman" w:cs="Times New Roman"/>
        </w:rPr>
        <w:t> </w:t>
      </w:r>
    </w:p>
    <w:p w14:paraId="6EC3C196" w14:textId="672EC600" w:rsidR="00163A6B" w:rsidRPr="00163A6B" w:rsidRDefault="00163A6B" w:rsidP="00C8736B">
      <w:pPr>
        <w:spacing w:line="360" w:lineRule="auto"/>
        <w:rPr>
          <w:rFonts w:ascii="Times New Roman" w:hAnsi="Times New Roman" w:cs="Times New Roman"/>
        </w:rPr>
      </w:pPr>
      <w:proofErr w:type="spellStart"/>
      <w:r w:rsidRPr="00163A6B">
        <w:rPr>
          <w:rFonts w:ascii="Times New Roman" w:hAnsi="Times New Roman" w:cs="Times New Roman"/>
        </w:rPr>
        <w:t>Usifo</w:t>
      </w:r>
      <w:proofErr w:type="spellEnd"/>
      <w:r w:rsidRPr="00163A6B">
        <w:rPr>
          <w:rFonts w:ascii="Times New Roman" w:hAnsi="Times New Roman" w:cs="Times New Roman"/>
        </w:rPr>
        <w:t>, D. (2022). </w:t>
      </w:r>
      <w:r w:rsidRPr="00163A6B">
        <w:rPr>
          <w:rFonts w:ascii="Times New Roman" w:hAnsi="Times New Roman" w:cs="Times New Roman"/>
          <w:i/>
          <w:iCs/>
        </w:rPr>
        <w:t>The Power Interest Grid and Stakeholder Management</w:t>
      </w:r>
      <w:r w:rsidRPr="00163A6B">
        <w:rPr>
          <w:rFonts w:ascii="Times New Roman" w:hAnsi="Times New Roman" w:cs="Times New Roman"/>
        </w:rPr>
        <w:t>. [online] Deep Project Manager. Available at: </w:t>
      </w:r>
      <w:hyperlink r:id="rId11" w:tgtFrame="_blank" w:history="1">
        <w:r w:rsidRPr="00163A6B">
          <w:rPr>
            <w:rStyle w:val="Hyperlink"/>
            <w:rFonts w:ascii="Times New Roman" w:hAnsi="Times New Roman" w:cs="Times New Roman"/>
          </w:rPr>
          <w:t>https://deeprojectmanager.com/power-interest-grid/</w:t>
        </w:r>
      </w:hyperlink>
      <w:r w:rsidRPr="00163A6B">
        <w:rPr>
          <w:rFonts w:ascii="Times New Roman" w:hAnsi="Times New Roman" w:cs="Times New Roman"/>
        </w:rPr>
        <w:t>. </w:t>
      </w:r>
    </w:p>
    <w:p w14:paraId="66E68470" w14:textId="77777777" w:rsidR="00163A6B" w:rsidRPr="00163A6B" w:rsidRDefault="00163A6B" w:rsidP="00C8736B">
      <w:pPr>
        <w:spacing w:line="360" w:lineRule="auto"/>
        <w:rPr>
          <w:rFonts w:ascii="Times New Roman" w:hAnsi="Times New Roman" w:cs="Times New Roman"/>
        </w:rPr>
      </w:pPr>
      <w:proofErr w:type="gramStart"/>
      <w:r w:rsidRPr="00163A6B">
        <w:rPr>
          <w:rFonts w:ascii="Times New Roman" w:hAnsi="Times New Roman" w:cs="Times New Roman"/>
        </w:rPr>
        <w:t>Indeed</w:t>
      </w:r>
      <w:proofErr w:type="gramEnd"/>
      <w:r w:rsidRPr="00163A6B">
        <w:rPr>
          <w:rFonts w:ascii="Times New Roman" w:hAnsi="Times New Roman" w:cs="Times New Roman"/>
        </w:rPr>
        <w:t> Career Guide. (2024). </w:t>
      </w:r>
      <w:r w:rsidRPr="00163A6B">
        <w:rPr>
          <w:rFonts w:ascii="Times New Roman" w:hAnsi="Times New Roman" w:cs="Times New Roman"/>
          <w:i/>
          <w:iCs/>
        </w:rPr>
        <w:t>Stakeholder engagement plan: definition, components and tips</w:t>
      </w:r>
      <w:r w:rsidRPr="00163A6B">
        <w:rPr>
          <w:rFonts w:ascii="Times New Roman" w:hAnsi="Times New Roman" w:cs="Times New Roman"/>
        </w:rPr>
        <w:t>. [online] Available at: </w:t>
      </w:r>
      <w:hyperlink r:id="rId12" w:tgtFrame="_blank" w:history="1">
        <w:r w:rsidRPr="00163A6B">
          <w:rPr>
            <w:rStyle w:val="Hyperlink"/>
            <w:rFonts w:ascii="Times New Roman" w:hAnsi="Times New Roman" w:cs="Times New Roman"/>
          </w:rPr>
          <w:t>https://uk.indeed.com/career-advice/career-development/stakeholder-engagement-plan</w:t>
        </w:r>
      </w:hyperlink>
      <w:r w:rsidRPr="00163A6B">
        <w:rPr>
          <w:rFonts w:ascii="Times New Roman" w:hAnsi="Times New Roman" w:cs="Times New Roman"/>
        </w:rPr>
        <w:t>. </w:t>
      </w:r>
    </w:p>
    <w:p w14:paraId="34739AB9" w14:textId="77777777" w:rsidR="00163A6B" w:rsidRPr="00163A6B" w:rsidRDefault="00163A6B" w:rsidP="00C8736B">
      <w:pPr>
        <w:spacing w:line="360" w:lineRule="auto"/>
        <w:rPr>
          <w:rFonts w:ascii="Times New Roman" w:hAnsi="Times New Roman" w:cs="Times New Roman"/>
        </w:rPr>
      </w:pPr>
      <w:r w:rsidRPr="00163A6B">
        <w:rPr>
          <w:rFonts w:ascii="Times New Roman" w:hAnsi="Times New Roman" w:cs="Times New Roman"/>
        </w:rPr>
        <w:t>Sunil Singh Rawat (2024). </w:t>
      </w:r>
      <w:r w:rsidRPr="00163A6B">
        <w:rPr>
          <w:rFonts w:ascii="Times New Roman" w:hAnsi="Times New Roman" w:cs="Times New Roman"/>
          <w:i/>
          <w:iCs/>
        </w:rPr>
        <w:t>Introduction: Conflict is a natural part of any workplace, but how we manage it can make all the difference. In this mini blog, we will explore the four essential </w:t>
      </w:r>
      <w:proofErr w:type="gramStart"/>
      <w:r w:rsidRPr="00163A6B">
        <w:rPr>
          <w:rFonts w:ascii="Times New Roman" w:hAnsi="Times New Roman" w:cs="Times New Roman"/>
          <w:i/>
          <w:iCs/>
        </w:rPr>
        <w:t>C’s</w:t>
      </w:r>
      <w:proofErr w:type="gramEnd"/>
      <w:r w:rsidRPr="00163A6B">
        <w:rPr>
          <w:rFonts w:ascii="Times New Roman" w:hAnsi="Times New Roman" w:cs="Times New Roman"/>
          <w:i/>
          <w:iCs/>
        </w:rPr>
        <w:t> of conflict management: Connect Regularly, Communicate Openly, </w:t>
      </w:r>
      <w:proofErr w:type="gramStart"/>
      <w:r w:rsidRPr="00163A6B">
        <w:rPr>
          <w:rFonts w:ascii="Times New Roman" w:hAnsi="Times New Roman" w:cs="Times New Roman"/>
          <w:i/>
          <w:iCs/>
        </w:rPr>
        <w:t>Collaborate</w:t>
      </w:r>
      <w:proofErr w:type="gramEnd"/>
      <w:r w:rsidRPr="00163A6B">
        <w:rPr>
          <w:rFonts w:ascii="Times New Roman" w:hAnsi="Times New Roman" w:cs="Times New Roman"/>
          <w:i/>
          <w:iCs/>
        </w:rPr>
        <w:t> more effectively, and </w:t>
      </w:r>
      <w:proofErr w:type="gramStart"/>
      <w:r w:rsidRPr="00163A6B">
        <w:rPr>
          <w:rFonts w:ascii="Times New Roman" w:hAnsi="Times New Roman" w:cs="Times New Roman"/>
          <w:i/>
          <w:iCs/>
        </w:rPr>
        <w:t>Correct</w:t>
      </w:r>
      <w:proofErr w:type="gramEnd"/>
      <w:r w:rsidRPr="00163A6B">
        <w:rPr>
          <w:rFonts w:ascii="Times New Roman" w:hAnsi="Times New Roman" w:cs="Times New Roman"/>
          <w:i/>
          <w:iCs/>
        </w:rPr>
        <w:t> the confusion/Queries.</w:t>
      </w:r>
      <w:r w:rsidRPr="00163A6B">
        <w:rPr>
          <w:rFonts w:ascii="Times New Roman" w:hAnsi="Times New Roman" w:cs="Times New Roman"/>
        </w:rPr>
        <w:t> [online] Linkedin.com. Available at: </w:t>
      </w:r>
      <w:hyperlink r:id="rId13" w:tgtFrame="_blank" w:history="1">
        <w:r w:rsidRPr="00163A6B">
          <w:rPr>
            <w:rStyle w:val="Hyperlink"/>
            <w:rFonts w:ascii="Times New Roman" w:hAnsi="Times New Roman" w:cs="Times New Roman"/>
          </w:rPr>
          <w:t>https://www.linkedin.com/pulse/4-cs-conflict-management-workplace-sunil-singh-rawat-rty2f</w:t>
        </w:r>
      </w:hyperlink>
      <w:r w:rsidRPr="00163A6B">
        <w:rPr>
          <w:rFonts w:ascii="Times New Roman" w:hAnsi="Times New Roman" w:cs="Times New Roman"/>
        </w:rPr>
        <w:t>. </w:t>
      </w:r>
    </w:p>
    <w:p w14:paraId="52038379" w14:textId="77777777" w:rsidR="00163A6B" w:rsidRPr="00163A6B" w:rsidRDefault="00163A6B" w:rsidP="00C8736B">
      <w:pPr>
        <w:spacing w:line="360" w:lineRule="auto"/>
        <w:rPr>
          <w:rFonts w:ascii="Times New Roman" w:hAnsi="Times New Roman" w:cs="Times New Roman"/>
        </w:rPr>
      </w:pPr>
    </w:p>
    <w:p w14:paraId="6BD791BF" w14:textId="77777777" w:rsidR="00163A6B" w:rsidRPr="00163A6B" w:rsidRDefault="00163A6B" w:rsidP="00C8736B">
      <w:pPr>
        <w:spacing w:line="360" w:lineRule="auto"/>
        <w:rPr>
          <w:rFonts w:ascii="Times New Roman" w:hAnsi="Times New Roman" w:cs="Times New Roman"/>
        </w:rPr>
      </w:pPr>
    </w:p>
    <w:p w14:paraId="47F90AC1" w14:textId="77777777" w:rsidR="00163A6B" w:rsidRDefault="00163A6B" w:rsidP="00C8736B">
      <w:pPr>
        <w:spacing w:line="360" w:lineRule="auto"/>
      </w:pPr>
    </w:p>
    <w:sectPr w:rsidR="00163A6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7853A" w14:textId="77777777" w:rsidR="0034011B" w:rsidRDefault="0034011B" w:rsidP="00780EDC">
      <w:pPr>
        <w:spacing w:after="0" w:line="240" w:lineRule="auto"/>
      </w:pPr>
      <w:r>
        <w:separator/>
      </w:r>
    </w:p>
  </w:endnote>
  <w:endnote w:type="continuationSeparator" w:id="0">
    <w:p w14:paraId="37103BCC" w14:textId="77777777" w:rsidR="0034011B" w:rsidRDefault="0034011B" w:rsidP="00780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3706675"/>
      <w:docPartObj>
        <w:docPartGallery w:val="Page Numbers (Bottom of Page)"/>
        <w:docPartUnique/>
      </w:docPartObj>
    </w:sdtPr>
    <w:sdtEndPr>
      <w:rPr>
        <w:noProof/>
      </w:rPr>
    </w:sdtEndPr>
    <w:sdtContent>
      <w:p w14:paraId="1CFE5D3E" w14:textId="29E9DC79" w:rsidR="00780EDC" w:rsidRDefault="00780E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5A77C9" w14:textId="77777777" w:rsidR="00780EDC" w:rsidRDefault="00780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098F9" w14:textId="77777777" w:rsidR="0034011B" w:rsidRDefault="0034011B" w:rsidP="00780EDC">
      <w:pPr>
        <w:spacing w:after="0" w:line="240" w:lineRule="auto"/>
      </w:pPr>
      <w:r>
        <w:separator/>
      </w:r>
    </w:p>
  </w:footnote>
  <w:footnote w:type="continuationSeparator" w:id="0">
    <w:p w14:paraId="38AA5815" w14:textId="77777777" w:rsidR="0034011B" w:rsidRDefault="0034011B" w:rsidP="00780E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A6B"/>
    <w:rsid w:val="00004125"/>
    <w:rsid w:val="00064332"/>
    <w:rsid w:val="00067967"/>
    <w:rsid w:val="000979EE"/>
    <w:rsid w:val="000C573A"/>
    <w:rsid w:val="000D104B"/>
    <w:rsid w:val="00136958"/>
    <w:rsid w:val="00153128"/>
    <w:rsid w:val="00160FDD"/>
    <w:rsid w:val="00163A6B"/>
    <w:rsid w:val="00186DFA"/>
    <w:rsid w:val="001933C0"/>
    <w:rsid w:val="0019647A"/>
    <w:rsid w:val="001A2CE6"/>
    <w:rsid w:val="001A4F87"/>
    <w:rsid w:val="001B5E13"/>
    <w:rsid w:val="001B6BA1"/>
    <w:rsid w:val="001C254B"/>
    <w:rsid w:val="001D0E93"/>
    <w:rsid w:val="001F4D03"/>
    <w:rsid w:val="00216306"/>
    <w:rsid w:val="002179AA"/>
    <w:rsid w:val="002300A9"/>
    <w:rsid w:val="00235540"/>
    <w:rsid w:val="002412B8"/>
    <w:rsid w:val="00263B07"/>
    <w:rsid w:val="00280ADA"/>
    <w:rsid w:val="003222F8"/>
    <w:rsid w:val="0033710A"/>
    <w:rsid w:val="0034011B"/>
    <w:rsid w:val="00341967"/>
    <w:rsid w:val="003478A6"/>
    <w:rsid w:val="003A6722"/>
    <w:rsid w:val="003A71D8"/>
    <w:rsid w:val="003B25C1"/>
    <w:rsid w:val="0041241A"/>
    <w:rsid w:val="00430D05"/>
    <w:rsid w:val="004572FF"/>
    <w:rsid w:val="004757F1"/>
    <w:rsid w:val="00496B1F"/>
    <w:rsid w:val="004E2603"/>
    <w:rsid w:val="0055077C"/>
    <w:rsid w:val="00553FB7"/>
    <w:rsid w:val="00556FD3"/>
    <w:rsid w:val="005B45B7"/>
    <w:rsid w:val="005D1447"/>
    <w:rsid w:val="005D62DA"/>
    <w:rsid w:val="005D7B41"/>
    <w:rsid w:val="005E6A5E"/>
    <w:rsid w:val="00605B05"/>
    <w:rsid w:val="006234AE"/>
    <w:rsid w:val="00651BD9"/>
    <w:rsid w:val="00664436"/>
    <w:rsid w:val="00664C92"/>
    <w:rsid w:val="006836FA"/>
    <w:rsid w:val="006869DC"/>
    <w:rsid w:val="00694A4C"/>
    <w:rsid w:val="006A79E7"/>
    <w:rsid w:val="00700276"/>
    <w:rsid w:val="0071209B"/>
    <w:rsid w:val="00715A4F"/>
    <w:rsid w:val="00727AA5"/>
    <w:rsid w:val="00742B56"/>
    <w:rsid w:val="00761EEB"/>
    <w:rsid w:val="0076412C"/>
    <w:rsid w:val="00766A76"/>
    <w:rsid w:val="00780EDC"/>
    <w:rsid w:val="00787FA1"/>
    <w:rsid w:val="00791A2B"/>
    <w:rsid w:val="007A31E3"/>
    <w:rsid w:val="007A6442"/>
    <w:rsid w:val="007F7258"/>
    <w:rsid w:val="0080034E"/>
    <w:rsid w:val="00812F06"/>
    <w:rsid w:val="008211B0"/>
    <w:rsid w:val="00823078"/>
    <w:rsid w:val="00845B8A"/>
    <w:rsid w:val="00895536"/>
    <w:rsid w:val="00914DB9"/>
    <w:rsid w:val="00930F24"/>
    <w:rsid w:val="00945D33"/>
    <w:rsid w:val="00954E25"/>
    <w:rsid w:val="009873C2"/>
    <w:rsid w:val="00990329"/>
    <w:rsid w:val="00992560"/>
    <w:rsid w:val="00996BEF"/>
    <w:rsid w:val="009B0274"/>
    <w:rsid w:val="009E6A27"/>
    <w:rsid w:val="009F7C65"/>
    <w:rsid w:val="00A34344"/>
    <w:rsid w:val="00A40FC7"/>
    <w:rsid w:val="00A4355A"/>
    <w:rsid w:val="00A631C8"/>
    <w:rsid w:val="00A71CD2"/>
    <w:rsid w:val="00A81D95"/>
    <w:rsid w:val="00AD019E"/>
    <w:rsid w:val="00AD2783"/>
    <w:rsid w:val="00B07A51"/>
    <w:rsid w:val="00B24020"/>
    <w:rsid w:val="00B45A30"/>
    <w:rsid w:val="00B76AA0"/>
    <w:rsid w:val="00B775B3"/>
    <w:rsid w:val="00B934EF"/>
    <w:rsid w:val="00BA4436"/>
    <w:rsid w:val="00BA7AFB"/>
    <w:rsid w:val="00BC1865"/>
    <w:rsid w:val="00BC43F0"/>
    <w:rsid w:val="00BD5ACD"/>
    <w:rsid w:val="00BF69F7"/>
    <w:rsid w:val="00C01AED"/>
    <w:rsid w:val="00C22084"/>
    <w:rsid w:val="00C27DF7"/>
    <w:rsid w:val="00C30BA0"/>
    <w:rsid w:val="00C50577"/>
    <w:rsid w:val="00C56AC0"/>
    <w:rsid w:val="00C77418"/>
    <w:rsid w:val="00C82393"/>
    <w:rsid w:val="00C8736B"/>
    <w:rsid w:val="00CB3BCA"/>
    <w:rsid w:val="00CB7212"/>
    <w:rsid w:val="00CD3DBF"/>
    <w:rsid w:val="00CF7713"/>
    <w:rsid w:val="00D161DA"/>
    <w:rsid w:val="00D34411"/>
    <w:rsid w:val="00D44592"/>
    <w:rsid w:val="00D467D4"/>
    <w:rsid w:val="00D5330E"/>
    <w:rsid w:val="00D76B6F"/>
    <w:rsid w:val="00D8440B"/>
    <w:rsid w:val="00D84DA2"/>
    <w:rsid w:val="00DA0CF3"/>
    <w:rsid w:val="00DC517B"/>
    <w:rsid w:val="00DC7C66"/>
    <w:rsid w:val="00E061AE"/>
    <w:rsid w:val="00E43404"/>
    <w:rsid w:val="00E5354A"/>
    <w:rsid w:val="00E71DB9"/>
    <w:rsid w:val="00E80573"/>
    <w:rsid w:val="00E976CF"/>
    <w:rsid w:val="00EB003C"/>
    <w:rsid w:val="00EC5D39"/>
    <w:rsid w:val="00EE1D4E"/>
    <w:rsid w:val="00EE2A46"/>
    <w:rsid w:val="00F062C7"/>
    <w:rsid w:val="00F16839"/>
    <w:rsid w:val="00F2397E"/>
    <w:rsid w:val="00FB4C74"/>
    <w:rsid w:val="00FB6F75"/>
    <w:rsid w:val="00FD2F8E"/>
    <w:rsid w:val="00FE1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A566C"/>
  <w15:chartTrackingRefBased/>
  <w15:docId w15:val="{8E461098-4741-4E63-9E8B-1579866F3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A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3A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A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3A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A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A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A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A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A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A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A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A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3A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A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A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A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A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A6B"/>
    <w:rPr>
      <w:rFonts w:eastAsiaTheme="majorEastAsia" w:cstheme="majorBidi"/>
      <w:color w:val="272727" w:themeColor="text1" w:themeTint="D8"/>
    </w:rPr>
  </w:style>
  <w:style w:type="paragraph" w:styleId="Title">
    <w:name w:val="Title"/>
    <w:basedOn w:val="Normal"/>
    <w:next w:val="Normal"/>
    <w:link w:val="TitleChar"/>
    <w:uiPriority w:val="10"/>
    <w:qFormat/>
    <w:rsid w:val="00163A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A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A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A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A6B"/>
    <w:pPr>
      <w:spacing w:before="160"/>
      <w:jc w:val="center"/>
    </w:pPr>
    <w:rPr>
      <w:i/>
      <w:iCs/>
      <w:color w:val="404040" w:themeColor="text1" w:themeTint="BF"/>
    </w:rPr>
  </w:style>
  <w:style w:type="character" w:customStyle="1" w:styleId="QuoteChar">
    <w:name w:val="Quote Char"/>
    <w:basedOn w:val="DefaultParagraphFont"/>
    <w:link w:val="Quote"/>
    <w:uiPriority w:val="29"/>
    <w:rsid w:val="00163A6B"/>
    <w:rPr>
      <w:i/>
      <w:iCs/>
      <w:color w:val="404040" w:themeColor="text1" w:themeTint="BF"/>
    </w:rPr>
  </w:style>
  <w:style w:type="paragraph" w:styleId="ListParagraph">
    <w:name w:val="List Paragraph"/>
    <w:basedOn w:val="Normal"/>
    <w:uiPriority w:val="34"/>
    <w:qFormat/>
    <w:rsid w:val="00163A6B"/>
    <w:pPr>
      <w:ind w:left="720"/>
      <w:contextualSpacing/>
    </w:pPr>
  </w:style>
  <w:style w:type="character" w:styleId="IntenseEmphasis">
    <w:name w:val="Intense Emphasis"/>
    <w:basedOn w:val="DefaultParagraphFont"/>
    <w:uiPriority w:val="21"/>
    <w:qFormat/>
    <w:rsid w:val="00163A6B"/>
    <w:rPr>
      <w:i/>
      <w:iCs/>
      <w:color w:val="0F4761" w:themeColor="accent1" w:themeShade="BF"/>
    </w:rPr>
  </w:style>
  <w:style w:type="paragraph" w:styleId="IntenseQuote">
    <w:name w:val="Intense Quote"/>
    <w:basedOn w:val="Normal"/>
    <w:next w:val="Normal"/>
    <w:link w:val="IntenseQuoteChar"/>
    <w:uiPriority w:val="30"/>
    <w:qFormat/>
    <w:rsid w:val="00163A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A6B"/>
    <w:rPr>
      <w:i/>
      <w:iCs/>
      <w:color w:val="0F4761" w:themeColor="accent1" w:themeShade="BF"/>
    </w:rPr>
  </w:style>
  <w:style w:type="character" w:styleId="IntenseReference">
    <w:name w:val="Intense Reference"/>
    <w:basedOn w:val="DefaultParagraphFont"/>
    <w:uiPriority w:val="32"/>
    <w:qFormat/>
    <w:rsid w:val="00163A6B"/>
    <w:rPr>
      <w:b/>
      <w:bCs/>
      <w:smallCaps/>
      <w:color w:val="0F4761" w:themeColor="accent1" w:themeShade="BF"/>
      <w:spacing w:val="5"/>
    </w:rPr>
  </w:style>
  <w:style w:type="character" w:styleId="Hyperlink">
    <w:name w:val="Hyperlink"/>
    <w:basedOn w:val="DefaultParagraphFont"/>
    <w:uiPriority w:val="99"/>
    <w:unhideWhenUsed/>
    <w:rsid w:val="00163A6B"/>
    <w:rPr>
      <w:color w:val="467886" w:themeColor="hyperlink"/>
      <w:u w:val="single"/>
    </w:rPr>
  </w:style>
  <w:style w:type="character" w:styleId="UnresolvedMention">
    <w:name w:val="Unresolved Mention"/>
    <w:basedOn w:val="DefaultParagraphFont"/>
    <w:uiPriority w:val="99"/>
    <w:semiHidden/>
    <w:unhideWhenUsed/>
    <w:rsid w:val="00163A6B"/>
    <w:rPr>
      <w:color w:val="605E5C"/>
      <w:shd w:val="clear" w:color="auto" w:fill="E1DFDD"/>
    </w:rPr>
  </w:style>
  <w:style w:type="paragraph" w:styleId="TOCHeading">
    <w:name w:val="TOC Heading"/>
    <w:basedOn w:val="Heading1"/>
    <w:next w:val="Normal"/>
    <w:uiPriority w:val="39"/>
    <w:unhideWhenUsed/>
    <w:qFormat/>
    <w:rsid w:val="00D8440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8440B"/>
    <w:pPr>
      <w:spacing w:after="100"/>
    </w:pPr>
  </w:style>
  <w:style w:type="paragraph" w:styleId="Header">
    <w:name w:val="header"/>
    <w:basedOn w:val="Normal"/>
    <w:link w:val="HeaderChar"/>
    <w:uiPriority w:val="99"/>
    <w:unhideWhenUsed/>
    <w:rsid w:val="00780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EDC"/>
  </w:style>
  <w:style w:type="paragraph" w:styleId="Footer">
    <w:name w:val="footer"/>
    <w:basedOn w:val="Normal"/>
    <w:link w:val="FooterChar"/>
    <w:uiPriority w:val="99"/>
    <w:unhideWhenUsed/>
    <w:rsid w:val="00780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E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our-brands/ihg-one-rewards" TargetMode="External"/><Relationship Id="rId13" Type="http://schemas.openxmlformats.org/officeDocument/2006/relationships/hyperlink" Target="https://www.linkedin.com/pulse/4-cs-conflict-management-workplace-sunil-singh-rawat-rty2f" TargetMode="External"/><Relationship Id="rId3" Type="http://schemas.openxmlformats.org/officeDocument/2006/relationships/webSettings" Target="webSettings.xml"/><Relationship Id="rId7" Type="http://schemas.openxmlformats.org/officeDocument/2006/relationships/hyperlink" Target="https://development.ihg.com/sites/ihgplc/files/IHG/A%20sustainable%20business/IHG_RBR_24-25_Interactive.pdf" TargetMode="External"/><Relationship Id="rId12" Type="http://schemas.openxmlformats.org/officeDocument/2006/relationships/hyperlink" Target="https://uk.indeed.com/career-advice/career-development/stakeholder-engagement-plan"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evelopment.ihg.com/about-us" TargetMode="External"/><Relationship Id="rId11" Type="http://schemas.openxmlformats.org/officeDocument/2006/relationships/hyperlink" Target="https://deeprojectmanager.com/power-interest-grid/"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dx.doi.org/10.2307/259247" TargetMode="External"/><Relationship Id="rId4" Type="http://schemas.openxmlformats.org/officeDocument/2006/relationships/footnotes" Target="footnotes.xml"/><Relationship Id="rId9" Type="http://schemas.openxmlformats.org/officeDocument/2006/relationships/hyperlink" Target="https://www.smartsheet.com/comprehensive-project-management-guide-everything-raci"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TotalTime>
  <Pages>21</Pages>
  <Words>5871</Words>
  <Characters>33471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raduta plesca</dc:creator>
  <cp:keywords/>
  <dc:description/>
  <cp:lastModifiedBy>raduta plesca</cp:lastModifiedBy>
  <cp:revision>40</cp:revision>
  <dcterms:created xsi:type="dcterms:W3CDTF">2026-03-16T14:05:00Z</dcterms:created>
  <dcterms:modified xsi:type="dcterms:W3CDTF">2026-03-16T15:15:00Z</dcterms:modified>
</cp:coreProperties>
</file>