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International Business Communications</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Component 1 Coursework: Essay</w:t>
      </w:r>
    </w:p>
    <w:p>
      <w:pPr>
        <w:spacing w:line="480" w:lineRule="auto"/>
        <w:jc w:val="center"/>
        <w:rPr>
          <w:rFonts w:hint="default" w:ascii="Times New Roman" w:hAnsi="Times New Roman" w:cs="Times New Roman"/>
          <w:sz w:val="24"/>
          <w:szCs w:val="24"/>
          <w:lang w:val="pl-PL"/>
        </w:rPr>
      </w:pPr>
      <w:r>
        <w:rPr>
          <w:rFonts w:ascii="Times New Roman" w:hAnsi="Times New Roman" w:cs="Times New Roman"/>
          <w:sz w:val="24"/>
          <w:szCs w:val="24"/>
        </w:rPr>
        <w:t>Student’s Name:</w:t>
      </w:r>
      <w:r>
        <w:rPr>
          <w:rFonts w:hint="default" w:ascii="Times New Roman" w:hAnsi="Times New Roman" w:cs="Times New Roman"/>
          <w:sz w:val="24"/>
          <w:szCs w:val="24"/>
          <w:lang w:val="pl-PL"/>
        </w:rPr>
        <w:t>Milena Andonova</w:t>
      </w:r>
    </w:p>
    <w:p>
      <w:pPr>
        <w:spacing w:line="480" w:lineRule="auto"/>
        <w:jc w:val="center"/>
        <w:rPr>
          <w:rFonts w:hint="default" w:ascii="Times New Roman" w:hAnsi="Times New Roman" w:cs="Times New Roman"/>
          <w:sz w:val="24"/>
          <w:szCs w:val="24"/>
          <w:lang w:val="pl-PL"/>
        </w:rPr>
      </w:pPr>
      <w:r>
        <w:rPr>
          <w:rFonts w:ascii="Times New Roman" w:hAnsi="Times New Roman" w:cs="Times New Roman"/>
          <w:sz w:val="24"/>
          <w:szCs w:val="24"/>
        </w:rPr>
        <w:t>Student’s ID:</w:t>
      </w:r>
      <w:r>
        <w:rPr>
          <w:rFonts w:hint="default" w:ascii="Times New Roman" w:hAnsi="Times New Roman" w:cs="Times New Roman"/>
          <w:sz w:val="24"/>
          <w:szCs w:val="24"/>
          <w:lang w:val="pl-PL"/>
        </w:rPr>
        <w:t xml:space="preserve"> 2115611</w:t>
      </w:r>
      <w:bookmarkStart w:id="0" w:name="_GoBack"/>
      <w:bookmarkEnd w:id="0"/>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I. Introduction</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Overview of British business communications</w:t>
      </w:r>
    </w:p>
    <w:p>
      <w:pPr>
        <w:spacing w:line="480" w:lineRule="auto"/>
        <w:rPr>
          <w:rFonts w:ascii="Times New Roman" w:hAnsi="Times New Roman" w:cs="Times New Roman"/>
          <w:sz w:val="24"/>
          <w:szCs w:val="24"/>
        </w:rPr>
      </w:pPr>
      <w:r>
        <w:rPr>
          <w:rFonts w:ascii="Times New Roman" w:hAnsi="Times New Roman" w:cs="Times New Roman"/>
          <w:sz w:val="24"/>
          <w:szCs w:val="24"/>
        </w:rPr>
        <w:t>British business interactions are distinguished by an indirect approach to dispute or criticism, a formal tone, and a stress on civility. In the United Kingdom, business transactions usually balance formality and familiarity. This reflects a greater cultural tendency towards subduedness and a desire to maintain calm professionally (Courtland and John, 2018). Timeliness, acceptable business etiquette, and well-organised presentations are also highly prised by professional contacts. Understanding how British companies, particularly multinationals such as Unilever, handle their overseas partnerships and expansion projects strongly relies on communication abilities.</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Overview of Unilever</w:t>
      </w:r>
    </w:p>
    <w:p>
      <w:pPr>
        <w:spacing w:line="480" w:lineRule="auto"/>
        <w:rPr>
          <w:rFonts w:ascii="Times New Roman" w:hAnsi="Times New Roman" w:cs="Times New Roman"/>
          <w:sz w:val="24"/>
          <w:szCs w:val="24"/>
        </w:rPr>
      </w:pPr>
      <w:r>
        <w:rPr>
          <w:rFonts w:ascii="Times New Roman" w:hAnsi="Times New Roman" w:cs="Times New Roman"/>
          <w:sz w:val="24"/>
          <w:szCs w:val="24"/>
        </w:rPr>
        <w:t>Unilever, a leading British-Dutch multinational, has established itself as a consumer goods market leader. Its diverse product portfolio includes foods, sauces, ice cream, cleaning products, cosmetics, and personal hygiene items. Unilever has grown internationally through well-timed mergers and acquisitions since its establishment in 1929. It works in over 190 countries, making it one of the most geographically varied companies (Unilever PLC, 2023).</w:t>
      </w:r>
    </w:p>
    <w:p>
      <w:pPr>
        <w:spacing w:line="480" w:lineRule="auto"/>
        <w:rPr>
          <w:rFonts w:ascii="Times New Roman" w:hAnsi="Times New Roman" w:cs="Times New Roman"/>
          <w:sz w:val="24"/>
          <w:szCs w:val="24"/>
        </w:rPr>
      </w:pPr>
      <w:r>
        <w:rPr>
          <w:rFonts w:ascii="Times New Roman" w:hAnsi="Times New Roman" w:cs="Times New Roman"/>
          <w:sz w:val="24"/>
          <w:szCs w:val="24"/>
        </w:rPr>
        <w:t>Unilever's global network extends beyond its supply chain and manufacturing facilities. The company employs many people internationally, and its working culture is diverse and inclusive. According to Petruzzi (n.d.), Unilever's financials for 2022 indicate revenues of €60 billion, confirming the company's strong market position. The firm's expansion goals focus on long-term growth, particularly expanding markets inside the European Union. As part of its adaptable business strategy, Unilever intends to penetrate these markets by adjusting its product offerings to regional customer preferences and cultural norms. In accordance with the company's global mission of making sustainable living the norm, this strategic emphasis prioritises corporate responsibility and sustainable practises over financial success.</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II. Evaluation of Potential EU Countries for Expansion</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Germany</w:t>
      </w:r>
    </w:p>
    <w:p>
      <w:pPr>
        <w:spacing w:line="480" w:lineRule="auto"/>
        <w:rPr>
          <w:rFonts w:ascii="Times New Roman" w:hAnsi="Times New Roman" w:cs="Times New Roman"/>
          <w:sz w:val="24"/>
          <w:szCs w:val="24"/>
        </w:rPr>
      </w:pPr>
      <w:r>
        <w:rPr>
          <w:rFonts w:ascii="Times New Roman" w:hAnsi="Times New Roman" w:cs="Times New Roman"/>
          <w:sz w:val="24"/>
          <w:szCs w:val="24"/>
        </w:rPr>
        <w:t>Germany has a distinct and favourable environment for business growth, owing to its robust economy, rich cultural heritage, and skilled labour force. Germany has the world's fourth-largest and largest economy in Europe, boasting a GDP of 3,867.05 billion euros (O'Neill, 2023). This economic strength is largely due to a strong industrial basis, notably in the automotive, engineering, and chemical industries. The strength of the German economy is a crucial consideration for any company considering entering this market.</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5229225" cy="3286125"/>
            <wp:effectExtent l="0" t="0" r="0" b="9525"/>
            <wp:docPr id="41632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32789" name="Picture 1"/>
                    <pic:cNvPicPr>
                      <a:picLocks noChangeAspect="1"/>
                    </pic:cNvPicPr>
                  </pic:nvPicPr>
                  <pic:blipFill>
                    <a:blip r:embed="rId7"/>
                    <a:stretch>
                      <a:fillRect/>
                    </a:stretch>
                  </pic:blipFill>
                  <pic:spPr>
                    <a:xfrm>
                      <a:off x="0" y="0"/>
                      <a:ext cx="5245170" cy="3296163"/>
                    </a:xfrm>
                    <a:prstGeom prst="rect">
                      <a:avLst/>
                    </a:prstGeom>
                  </pic:spPr>
                </pic:pic>
              </a:graphicData>
            </a:graphic>
          </wp:inline>
        </w:drawing>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Figure 1: Germany: Gross domestic product (GDP) from 2010 to 2022(in billion euros)</w:t>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Source: (O'Neill, 2023)</w:t>
      </w:r>
    </w:p>
    <w:p>
      <w:pPr>
        <w:spacing w:line="480" w:lineRule="auto"/>
        <w:rPr>
          <w:rFonts w:ascii="Times New Roman" w:hAnsi="Times New Roman" w:cs="Times New Roman"/>
          <w:sz w:val="24"/>
          <w:szCs w:val="24"/>
        </w:rPr>
      </w:pPr>
      <w:r>
        <w:rPr>
          <w:rFonts w:ascii="Times New Roman" w:hAnsi="Times New Roman" w:cs="Times New Roman"/>
          <w:sz w:val="24"/>
          <w:szCs w:val="24"/>
        </w:rPr>
        <w:t>The emphasis on efficacy, speed, and direct communication distinguishes the German cultural fabric. This cultural attitude also dominates the business sphere, emphasizing accuracy and quality (Cornelis et al., 2017). The official language, German, is extremely significant in everyday life. Even though English is frequently used in business, market penetration, and cultural integration may necessitate knowledge of the German language.</w:t>
      </w:r>
    </w:p>
    <w:p>
      <w:pPr>
        <w:spacing w:line="480" w:lineRule="auto"/>
        <w:rPr>
          <w:rFonts w:ascii="Times New Roman" w:hAnsi="Times New Roman" w:cs="Times New Roman"/>
          <w:sz w:val="24"/>
          <w:szCs w:val="24"/>
        </w:rPr>
      </w:pPr>
      <w:r>
        <w:rPr>
          <w:rFonts w:ascii="Times New Roman" w:hAnsi="Times New Roman" w:cs="Times New Roman"/>
          <w:sz w:val="24"/>
          <w:szCs w:val="24"/>
        </w:rPr>
        <w:t>Understanding Germany's distinct business culture is critical for a successful market entry. Its hierarchical structure and decision-making procedures are two major differences from British culture (Cornelis et al., 2017). Decisions are often made at the highest levels, unlike the more democratic British approach. German communication is plain and straightforward, unlike British communication, which is more complex and indirect. Furthermore, formality is highly valued in German business interactions, and building personal relationships before discussing economic issues is less vital.</w:t>
      </w:r>
    </w:p>
    <w:p>
      <w:pPr>
        <w:spacing w:line="480" w:lineRule="auto"/>
        <w:jc w:val="center"/>
        <w:rPr>
          <w:rFonts w:ascii="Times New Roman" w:hAnsi="Times New Roman" w:cs="Times New Roman"/>
          <w:sz w:val="24"/>
          <w:szCs w:val="24"/>
        </w:rPr>
      </w:pPr>
      <w:r>
        <w:drawing>
          <wp:inline distT="0" distB="0" distL="0" distR="0">
            <wp:extent cx="4267200" cy="42672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67200" cy="4267200"/>
                    </a:xfrm>
                    <a:prstGeom prst="rect">
                      <a:avLst/>
                    </a:prstGeom>
                    <a:noFill/>
                    <a:ln>
                      <a:noFill/>
                    </a:ln>
                  </pic:spPr>
                </pic:pic>
              </a:graphicData>
            </a:graphic>
          </wp:inline>
        </w:drawing>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Figure 2: Work Culture in Germany</w:t>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Source: (Cornelis et al., 2017)</w:t>
      </w:r>
    </w:p>
    <w:p>
      <w:pPr>
        <w:spacing w:line="480" w:lineRule="auto"/>
        <w:rPr>
          <w:rFonts w:ascii="Times New Roman" w:hAnsi="Times New Roman" w:cs="Times New Roman"/>
          <w:sz w:val="24"/>
          <w:szCs w:val="24"/>
        </w:rPr>
      </w:pPr>
      <w:r>
        <w:rPr>
          <w:rFonts w:ascii="Times New Roman" w:hAnsi="Times New Roman" w:cs="Times New Roman"/>
          <w:sz w:val="24"/>
          <w:szCs w:val="24"/>
        </w:rPr>
        <w:t>A highly skilled workforce defines Germany's job market since most people have a university degree or vocational training. The current unemployment rate of 2.99% reflects a strong labour market (O'Neill, 2023). Despite gains in boosting worker diversity, there are still challenges with gender equality and integrating immigrants. Nonetheless, there is an increasing focus on diversity and inclusion in employment policies.</w:t>
      </w:r>
    </w:p>
    <w:p>
      <w:pPr>
        <w:spacing w:line="480" w:lineRule="auto"/>
        <w:rPr>
          <w:rFonts w:ascii="Times New Roman" w:hAnsi="Times New Roman" w:cs="Times New Roman"/>
          <w:sz w:val="24"/>
          <w:szCs w:val="24"/>
        </w:rPr>
      </w:pPr>
      <w:r>
        <w:rPr>
          <w:rFonts w:ascii="Times New Roman" w:hAnsi="Times New Roman" w:cs="Times New Roman"/>
          <w:sz w:val="24"/>
          <w:szCs w:val="24"/>
        </w:rPr>
        <w:t>For businesses like Unilever, considering expansion into Germany, understanding and overcoming communication barriers is crucial. The directness of German communication and the preference for formality pose challenges, particularly for British executives used to a more indirect and informal approach. Additionally, navigating the complex regulatory landscape, including strict labour laws, environmental standards, and data protection regulations, requires careful planning and local legal expertise (Freiberg et al., 2016).</w:t>
      </w:r>
    </w:p>
    <w:p>
      <w:pPr>
        <w:spacing w:line="480" w:lineRule="auto"/>
        <w:rPr>
          <w:rFonts w:ascii="Times New Roman" w:hAnsi="Times New Roman" w:cs="Times New Roman"/>
          <w:sz w:val="24"/>
          <w:szCs w:val="24"/>
        </w:rPr>
      </w:pPr>
      <w:r>
        <w:rPr>
          <w:rFonts w:ascii="Times New Roman" w:hAnsi="Times New Roman" w:cs="Times New Roman"/>
          <w:sz w:val="24"/>
          <w:szCs w:val="24"/>
        </w:rPr>
        <w:t>Moreover, the highly developed German market presents considerable competition, necessitating a strategic approach to contend with established local brands and other international players. To be successful in this market, Unilever must adapt its marketing strategies and business practises to meet German norms and expectations.</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France</w:t>
      </w:r>
    </w:p>
    <w:p>
      <w:pPr>
        <w:spacing w:line="480" w:lineRule="auto"/>
        <w:rPr>
          <w:rFonts w:ascii="Times New Roman" w:hAnsi="Times New Roman" w:cs="Times New Roman"/>
          <w:sz w:val="24"/>
          <w:szCs w:val="24"/>
        </w:rPr>
      </w:pPr>
      <w:r>
        <w:rPr>
          <w:rFonts w:ascii="Times New Roman" w:hAnsi="Times New Roman" w:cs="Times New Roman"/>
          <w:sz w:val="24"/>
          <w:szCs w:val="24"/>
        </w:rPr>
        <w:t>France has a distinct and active business environment as a result of its healthy economy, rich cultural past, and diverse industry sectors. With a GDP of more than $2.78 trillion, France is the third-largest economy in Europe and a prominent player in the global market (O'Neill, 2023). France is a favourable place for corporations wishing to develop because of its considerable economic diversity, which includes industries such as luxury goods, aerospace, automotive, pharmaceuticals, and tourism.</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257675" cy="2639695"/>
            <wp:effectExtent l="0" t="0" r="0" b="8255"/>
            <wp:docPr id="131771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1248" name="Picture 1"/>
                    <pic:cNvPicPr>
                      <a:picLocks noChangeAspect="1"/>
                    </pic:cNvPicPr>
                  </pic:nvPicPr>
                  <pic:blipFill>
                    <a:blip r:embed="rId9"/>
                    <a:stretch>
                      <a:fillRect/>
                    </a:stretch>
                  </pic:blipFill>
                  <pic:spPr>
                    <a:xfrm>
                      <a:off x="0" y="0"/>
                      <a:ext cx="4313226" cy="2674569"/>
                    </a:xfrm>
                    <a:prstGeom prst="rect">
                      <a:avLst/>
                    </a:prstGeom>
                  </pic:spPr>
                </pic:pic>
              </a:graphicData>
            </a:graphic>
          </wp:inline>
        </w:drawing>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Figure 3:</w:t>
      </w:r>
      <w:r>
        <w:rPr>
          <w:b/>
          <w:bCs/>
          <w:i/>
          <w:iCs/>
        </w:rPr>
        <w:t xml:space="preserve"> </w:t>
      </w:r>
      <w:r>
        <w:rPr>
          <w:rFonts w:ascii="Times New Roman" w:hAnsi="Times New Roman" w:cs="Times New Roman"/>
          <w:b/>
          <w:bCs/>
          <w:i/>
          <w:iCs/>
          <w:sz w:val="24"/>
          <w:szCs w:val="24"/>
        </w:rPr>
        <w:t>France: Gross domestic product (GDP) in current prices from 1987 to 2028(in billion U.S. dollars)</w:t>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Source: (O'Neill, 2023)</w:t>
      </w:r>
    </w:p>
    <w:p>
      <w:pPr>
        <w:spacing w:line="480" w:lineRule="auto"/>
        <w:rPr>
          <w:rFonts w:ascii="Times New Roman" w:hAnsi="Times New Roman" w:cs="Times New Roman"/>
          <w:sz w:val="24"/>
          <w:szCs w:val="24"/>
        </w:rPr>
      </w:pPr>
      <w:r>
        <w:rPr>
          <w:rFonts w:ascii="Times New Roman" w:hAnsi="Times New Roman" w:cs="Times New Roman"/>
          <w:sz w:val="24"/>
          <w:szCs w:val="24"/>
        </w:rPr>
        <w:t>The business world is influenced by French culture's considerable appreciation for the arts, fashion, and food. Unlike the more reserved British approach, French corporate culture is distinguished by an emphasis on etiquette and formality (Cornelis et al., 2017). French is particularly significant because it is the official language of communication. Although English is used in business situations, competency in French is required for effective communication and cultural integration, especially in smaller cities and villages.</w:t>
      </w:r>
    </w:p>
    <w:p>
      <w:pPr>
        <w:spacing w:line="480" w:lineRule="auto"/>
        <w:rPr>
          <w:rFonts w:ascii="Times New Roman" w:hAnsi="Times New Roman" w:cs="Times New Roman"/>
          <w:sz w:val="24"/>
          <w:szCs w:val="24"/>
        </w:rPr>
      </w:pPr>
      <w:r>
        <w:rPr>
          <w:rFonts w:ascii="Times New Roman" w:hAnsi="Times New Roman" w:cs="Times New Roman"/>
          <w:sz w:val="24"/>
          <w:szCs w:val="24"/>
        </w:rPr>
        <w:t>Understanding the French business culture is critical for any company considering market entry. French commercial practises defined by eloquence and a direct communication style within the constraints of respect and politeness. This contrasts the British inclination towards indirection and understatement (Mulcahy and Mulcahy, 2017). Hierarchical structures are popular in French businesses, with decision-making centralised at the top. Personal ties and networks, or "réseaux," are vital to economic interaction in France, much more so than in the United Kingdom, and are regularly used as a prerequisite for effective negotiations.</w:t>
      </w:r>
    </w:p>
    <w:p>
      <w:pPr>
        <w:spacing w:line="480" w:lineRule="auto"/>
        <w:rPr>
          <w:rFonts w:ascii="Times New Roman" w:hAnsi="Times New Roman" w:cs="Times New Roman"/>
          <w:sz w:val="24"/>
          <w:szCs w:val="24"/>
        </w:rPr>
      </w:pPr>
      <w:r>
        <w:rPr>
          <w:rFonts w:ascii="Times New Roman" w:hAnsi="Times New Roman" w:cs="Times New Roman"/>
          <w:sz w:val="24"/>
          <w:szCs w:val="24"/>
        </w:rPr>
        <w:t>France's workforce is highly educated, specializing in business, engineering, and the arts. Despite being historically higher than in other countries such as Germany, the jobless rate has been decreasing at 7.45% (O'Neill, 2023). France has been aggressively working to increase workforce diversity and inclusion, emphasizing integrating women, ethnic minorities, and young people. Despite these efforts, achieving perfect equality and representation remains challenging.</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991100" cy="3115310"/>
            <wp:effectExtent l="0" t="0" r="0" b="8890"/>
            <wp:docPr id="1988935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935229" name="Picture 1"/>
                    <pic:cNvPicPr>
                      <a:picLocks noChangeAspect="1"/>
                    </pic:cNvPicPr>
                  </pic:nvPicPr>
                  <pic:blipFill>
                    <a:blip r:embed="rId10"/>
                    <a:stretch>
                      <a:fillRect/>
                    </a:stretch>
                  </pic:blipFill>
                  <pic:spPr>
                    <a:xfrm>
                      <a:off x="0" y="0"/>
                      <a:ext cx="5002275" cy="3122681"/>
                    </a:xfrm>
                    <a:prstGeom prst="rect">
                      <a:avLst/>
                    </a:prstGeom>
                  </pic:spPr>
                </pic:pic>
              </a:graphicData>
            </a:graphic>
          </wp:inline>
        </w:drawing>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Figure 4:</w:t>
      </w:r>
      <w:r>
        <w:rPr>
          <w:b/>
          <w:bCs/>
          <w:i/>
          <w:iCs/>
        </w:rPr>
        <w:t xml:space="preserve"> </w:t>
      </w:r>
      <w:r>
        <w:rPr>
          <w:rFonts w:ascii="Times New Roman" w:hAnsi="Times New Roman" w:cs="Times New Roman"/>
          <w:b/>
          <w:bCs/>
          <w:i/>
          <w:iCs/>
          <w:sz w:val="24"/>
          <w:szCs w:val="24"/>
        </w:rPr>
        <w:t>France: Unemployment rate from 1991 to 2022</w:t>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Source: (O'Neill, 2023)</w:t>
      </w:r>
    </w:p>
    <w:p>
      <w:pPr>
        <w:spacing w:line="480" w:lineRule="auto"/>
        <w:rPr>
          <w:rFonts w:ascii="Times New Roman" w:hAnsi="Times New Roman" w:cs="Times New Roman"/>
          <w:sz w:val="24"/>
          <w:szCs w:val="24"/>
        </w:rPr>
      </w:pPr>
      <w:r>
        <w:rPr>
          <w:rFonts w:ascii="Times New Roman" w:hAnsi="Times New Roman" w:cs="Times New Roman"/>
          <w:sz w:val="24"/>
          <w:szCs w:val="24"/>
        </w:rPr>
        <w:t>For companies like Unilever, navigating the French market requires overcoming several barriers and risks. The language and cultural barriers are significant; fluency in French can help business operations, and understanding the distinct French business culture is essential. France's regulatory framework, especially in areas like labour laws and taxes, is complex and necessitates local expertise</w:t>
      </w:r>
      <w:r>
        <w:t xml:space="preserve"> (</w:t>
      </w:r>
      <w:r>
        <w:rPr>
          <w:rFonts w:ascii="Times New Roman" w:hAnsi="Times New Roman" w:cs="Times New Roman"/>
          <w:sz w:val="24"/>
          <w:szCs w:val="24"/>
        </w:rPr>
        <w:t>Freiberg et al., 2016). The strong French economy is accompanied by relatively high tax rates and bureaucratic challenges, which can be daunting for foreign companies. Additionally, penetrating the French market requires careful consideration of local preferences, as there is a strong inclination towards local brands and a highly competitive market environment.</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III. Application of Cultural Frameworks</w:t>
      </w:r>
    </w:p>
    <w:p>
      <w:pPr>
        <w:spacing w:line="480" w:lineRule="auto"/>
        <w:rPr>
          <w:rFonts w:ascii="Times New Roman" w:hAnsi="Times New Roman" w:cs="Times New Roman"/>
          <w:sz w:val="24"/>
          <w:szCs w:val="24"/>
        </w:rPr>
      </w:pPr>
      <w:r>
        <w:rPr>
          <w:rFonts w:ascii="Times New Roman" w:hAnsi="Times New Roman" w:cs="Times New Roman"/>
          <w:sz w:val="24"/>
          <w:szCs w:val="24"/>
        </w:rPr>
        <w:t>Applying Hofstede's Cultural Dimensions theory to analyse Germany and France offers critical insights for Unilever's expansion strategy. This framework helps tailor business practices to align with each country's cultural norms</w:t>
      </w:r>
      <w:r>
        <w:t xml:space="preserve"> (</w:t>
      </w:r>
      <w:r>
        <w:rPr>
          <w:rFonts w:ascii="Times New Roman" w:hAnsi="Times New Roman" w:cs="Times New Roman"/>
          <w:sz w:val="24"/>
          <w:szCs w:val="24"/>
        </w:rPr>
        <w:t>Nickerson, 2023).</w:t>
      </w:r>
    </w:p>
    <w:p>
      <w:pPr>
        <w:spacing w:line="480" w:lineRule="auto"/>
        <w:jc w:val="center"/>
        <w:rPr>
          <w:rFonts w:ascii="Times New Roman" w:hAnsi="Times New Roman" w:cs="Times New Roman"/>
          <w:sz w:val="24"/>
          <w:szCs w:val="24"/>
        </w:rPr>
      </w:pPr>
      <w:r>
        <w:drawing>
          <wp:inline distT="0" distB="0" distL="0" distR="0">
            <wp:extent cx="3038475" cy="3053715"/>
            <wp:effectExtent l="0" t="0" r="0" b="0"/>
            <wp:docPr id="2" name="Picture 1" descr="About Prof. Geert Hofstede - Culture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bout Prof. Geert Hofstede - Culture In The Workplac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1373" cy="3066862"/>
                    </a:xfrm>
                    <a:prstGeom prst="rect">
                      <a:avLst/>
                    </a:prstGeom>
                    <a:noFill/>
                    <a:ln>
                      <a:noFill/>
                    </a:ln>
                  </pic:spPr>
                </pic:pic>
              </a:graphicData>
            </a:graphic>
          </wp:inline>
        </w:drawing>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Figure 5: Hofstede's Cultural Dimensions Theory</w:t>
      </w:r>
    </w:p>
    <w:p>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Source: (Nickerson, 2023).</w:t>
      </w:r>
    </w:p>
    <w:p>
      <w:pPr>
        <w:spacing w:line="480" w:lineRule="auto"/>
        <w:rPr>
          <w:rFonts w:ascii="Times New Roman" w:hAnsi="Times New Roman" w:cs="Times New Roman"/>
          <w:sz w:val="24"/>
          <w:szCs w:val="24"/>
        </w:rPr>
      </w:pPr>
      <w:r>
        <w:rPr>
          <w:rFonts w:ascii="Times New Roman" w:hAnsi="Times New Roman" w:cs="Times New Roman"/>
          <w:sz w:val="24"/>
          <w:szCs w:val="24"/>
        </w:rPr>
        <w:t>In Germany, the low score on power distance suggests a cultural preference for equality and decentralised decision-making. This implies that Unilever should adopt a participative leadership style in Germany, promoting openness in management. Germany's high individualism score indicates a society valuing personal autonomy and achievement, suggesting that Unilever's workforce motivation could be effectively driven by personal development and individual rewards</w:t>
      </w:r>
      <w:r>
        <w:t xml:space="preserve"> (</w:t>
      </w:r>
      <w:r>
        <w:rPr>
          <w:rFonts w:ascii="Times New Roman" w:hAnsi="Times New Roman" w:cs="Times New Roman"/>
          <w:sz w:val="24"/>
          <w:szCs w:val="24"/>
        </w:rPr>
        <w:t>Al-Alawi and Alkhodari, 2016). The masculine culture in Germany, emphasizing achievement, success, and competition, aligns with strategies focusing on performance, efficiency, and innovation. High uncertainty avoidance in Germany indicates a preference for structured business operations, necessitating clarity in Unilever's decision-making processes. Germany's pragmatic culture, favouring long-term planning, aligns with Unilever’s focus on sustainability and long-term benefits.</w:t>
      </w:r>
    </w:p>
    <w:p>
      <w:pPr>
        <w:spacing w:line="480" w:lineRule="auto"/>
        <w:rPr>
          <w:rFonts w:ascii="Times New Roman" w:hAnsi="Times New Roman" w:cs="Times New Roman"/>
          <w:sz w:val="24"/>
          <w:szCs w:val="24"/>
        </w:rPr>
      </w:pPr>
      <w:r>
        <w:rPr>
          <w:rFonts w:ascii="Times New Roman" w:hAnsi="Times New Roman" w:cs="Times New Roman"/>
          <w:sz w:val="24"/>
          <w:szCs w:val="24"/>
        </w:rPr>
        <w:t>Conversely, France's higher power distance indicates a more hierarchical society, necessitating respect for authority and clear decision-making lines in Unilever's French operations. France's balanced approach between masculinity and femininity suggests the importance of success and quality of life, requiring Unilever to ensure a workplace culture that values work-life balance</w:t>
      </w:r>
      <w:r>
        <w:t xml:space="preserve"> (</w:t>
      </w:r>
      <w:r>
        <w:rPr>
          <w:rFonts w:ascii="Times New Roman" w:hAnsi="Times New Roman" w:cs="Times New Roman"/>
          <w:sz w:val="24"/>
          <w:szCs w:val="24"/>
        </w:rPr>
        <w:t>Nicolas, 2019). Like Germany, France's high score in uncertainty avoidance emphasises the need for clear rules and careful adherence to regulations. However, France's preference for short-term achievements suggests that Unilever should focus on strategies that promise and deliver quick results. Additionally, France’s more indulgent culture could guide Unilever’s marketing strategies to be more upbeat, emphasizing enjoyment and quality of life.</w:t>
      </w:r>
    </w:p>
    <w:p>
      <w:pPr>
        <w:spacing w:line="480" w:lineRule="auto"/>
        <w:rPr>
          <w:rFonts w:ascii="Times New Roman" w:hAnsi="Times New Roman" w:cs="Times New Roman"/>
          <w:sz w:val="24"/>
          <w:szCs w:val="24"/>
        </w:rPr>
      </w:pPr>
      <w:r>
        <w:rPr>
          <w:rFonts w:ascii="Times New Roman" w:hAnsi="Times New Roman" w:cs="Times New Roman"/>
          <w:b/>
          <w:bCs/>
          <w:sz w:val="24"/>
          <w:szCs w:val="24"/>
        </w:rPr>
        <w:t>IV. Comparison of opportunities and challenges in each country</w:t>
      </w:r>
    </w:p>
    <w:p>
      <w:pPr>
        <w:spacing w:line="480" w:lineRule="auto"/>
        <w:rPr>
          <w:rFonts w:ascii="Times New Roman" w:hAnsi="Times New Roman" w:cs="Times New Roman"/>
          <w:sz w:val="24"/>
          <w:szCs w:val="24"/>
        </w:rPr>
      </w:pPr>
      <w:r>
        <w:rPr>
          <w:rFonts w:ascii="Times New Roman" w:hAnsi="Times New Roman" w:cs="Times New Roman"/>
          <w:sz w:val="24"/>
          <w:szCs w:val="24"/>
        </w:rPr>
        <w:t>When examining the business landscapes of Germany and France, it is evident that both countries offer distinct opportunities and challenges for companies like Unilever seeking market expansion. Each country's unique economic, cultural, and regulatory environments present different factors that Unilever must consider in its strategic planning.</w:t>
      </w:r>
    </w:p>
    <w:p>
      <w:pPr>
        <w:spacing w:line="480" w:lineRule="auto"/>
        <w:rPr>
          <w:rFonts w:ascii="Times New Roman" w:hAnsi="Times New Roman" w:cs="Times New Roman"/>
          <w:sz w:val="24"/>
          <w:szCs w:val="24"/>
        </w:rPr>
      </w:pPr>
      <w:r>
        <w:rPr>
          <w:rFonts w:ascii="Times New Roman" w:hAnsi="Times New Roman" w:cs="Times New Roman"/>
          <w:sz w:val="24"/>
          <w:szCs w:val="24"/>
        </w:rPr>
        <w:t>Germany's chances are strengthened by the country's powerful and consistent economy, which is the largest in the EU. Firms find the setting desirable because of its highly skilled personnel and economic stability (Potapenko and Trots, 2022). Unilever's commitment to product excellence aligns with Germany's cultural values of efficiency and quality, increasing consumer trust and loyalty. Furthermore, Unilever's sustainability goals perfectly match the German market's long-term vision and environmental sensitivity, creating an effective basis for commercial operations.</w:t>
      </w:r>
    </w:p>
    <w:p>
      <w:pPr>
        <w:spacing w:line="480" w:lineRule="auto"/>
        <w:rPr>
          <w:rFonts w:ascii="Times New Roman" w:hAnsi="Times New Roman" w:cs="Times New Roman"/>
          <w:sz w:val="24"/>
          <w:szCs w:val="24"/>
        </w:rPr>
      </w:pPr>
      <w:r>
        <w:rPr>
          <w:rFonts w:ascii="Times New Roman" w:hAnsi="Times New Roman" w:cs="Times New Roman"/>
          <w:sz w:val="24"/>
          <w:szCs w:val="24"/>
        </w:rPr>
        <w:t>Nonetheless, there are several challenges in the German market. The market is tremendously competitive, with well-known domestic and global brands. This means Unilever managing a very saturated market with brands. Another issue is the prevalence of cultural and communication barriers, which need considerable changes to company strategy (Adanlawo et al., 2021). Unilever's operational approach may need to change in light of the German corporate culture's strict adherence to regulations and organised business procedures, known for its high level of uncertainty avoidance.</w:t>
      </w:r>
    </w:p>
    <w:p>
      <w:pPr>
        <w:spacing w:line="480" w:lineRule="auto"/>
        <w:rPr>
          <w:rFonts w:ascii="Times New Roman" w:hAnsi="Times New Roman" w:cs="Times New Roman"/>
          <w:sz w:val="24"/>
          <w:szCs w:val="24"/>
        </w:rPr>
      </w:pPr>
      <w:r>
        <w:rPr>
          <w:rFonts w:ascii="Times New Roman" w:hAnsi="Times New Roman" w:cs="Times New Roman"/>
          <w:sz w:val="24"/>
          <w:szCs w:val="24"/>
        </w:rPr>
        <w:t>France, on the other hand, presents a unique set of opportunities and challenges. The French market offers Unilever a diverse range of product alternatives due to its large and diverse client base. The cultural emphasis in France on quality and luxury aligns with Unilever’s premium brands, potentially enhancing brand appeal. Additionally, the indulgent social culture in France could be leveraged in marketing consumer goods, tapping into the lifestyle aspirations of the French populace. The increasing focus on diversity and inclusion in France aligns with Unilever’s corporate values, potentially enhancing brand reputation and employee engagement</w:t>
      </w:r>
      <w:r>
        <w:t xml:space="preserve"> (</w:t>
      </w:r>
      <w:r>
        <w:rPr>
          <w:rFonts w:ascii="Times New Roman" w:hAnsi="Times New Roman" w:cs="Times New Roman"/>
          <w:sz w:val="24"/>
          <w:szCs w:val="24"/>
        </w:rPr>
        <w:t>Ng and Klarsfeld, 2018).</w:t>
      </w:r>
    </w:p>
    <w:p>
      <w:pPr>
        <w:spacing w:line="480" w:lineRule="auto"/>
        <w:rPr>
          <w:rFonts w:ascii="Times New Roman" w:hAnsi="Times New Roman" w:cs="Times New Roman"/>
          <w:sz w:val="24"/>
          <w:szCs w:val="24"/>
        </w:rPr>
      </w:pPr>
      <w:r>
        <w:rPr>
          <w:rFonts w:ascii="Times New Roman" w:hAnsi="Times New Roman" w:cs="Times New Roman"/>
          <w:sz w:val="24"/>
          <w:szCs w:val="24"/>
        </w:rPr>
        <w:t>However, the challenges in France are distinct from those in Germany. The regulatory environment in France is complex, especially concerning labour and tax laws, presenting potential challenges to operational efficiency and compliance. The high-power distance and centralised decision-making in French business culture might necessitate a hierarchical management approach, differing from Unilever's existing practices</w:t>
      </w:r>
      <w:r>
        <w:t xml:space="preserve"> (</w:t>
      </w:r>
      <w:r>
        <w:rPr>
          <w:rFonts w:ascii="Times New Roman" w:hAnsi="Times New Roman" w:cs="Times New Roman"/>
          <w:sz w:val="24"/>
          <w:szCs w:val="24"/>
        </w:rPr>
        <w:t>Szkudlarek et al., 2020). Moreover, the short-term orientation in the French market may require Unilever to focus on quick deliverables and visible results to gain market acceptance and consumer trust.</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V. Recommended country for expansion</w:t>
      </w:r>
    </w:p>
    <w:p>
      <w:pPr>
        <w:spacing w:line="480" w:lineRule="auto"/>
        <w:rPr>
          <w:rFonts w:ascii="Times New Roman" w:hAnsi="Times New Roman" w:cs="Times New Roman"/>
          <w:sz w:val="24"/>
          <w:szCs w:val="24"/>
        </w:rPr>
      </w:pPr>
      <w:r>
        <w:rPr>
          <w:rFonts w:ascii="Times New Roman" w:hAnsi="Times New Roman" w:cs="Times New Roman"/>
          <w:sz w:val="24"/>
          <w:szCs w:val="24"/>
        </w:rPr>
        <w:t>Between Germany and France, Germany emerges as the more suitable choice for Unilever's expansion. This recommendation is based on several critical factors that align with Unilever's principles and business objectives.</w:t>
      </w:r>
    </w:p>
    <w:p>
      <w:pPr>
        <w:spacing w:line="480" w:lineRule="auto"/>
        <w:rPr>
          <w:rFonts w:ascii="Times New Roman" w:hAnsi="Times New Roman" w:cs="Times New Roman"/>
          <w:sz w:val="24"/>
          <w:szCs w:val="24"/>
        </w:rPr>
      </w:pPr>
      <w:r>
        <w:rPr>
          <w:rFonts w:ascii="Times New Roman" w:hAnsi="Times New Roman" w:cs="Times New Roman"/>
          <w:sz w:val="24"/>
          <w:szCs w:val="24"/>
        </w:rPr>
        <w:t>Firstly, Germany's massive market and economic stability are significant advantages. As Europe's largest economy, Germany represents a massive market potential for Unilever's diverse range of products. Its strong industrial base provides a steady foundation for company expansion and development (Potapenko and Trots, 2022). This economic situation, which gives stability and predictability in the market, is conducive to Unilever's expansion.</w:t>
      </w:r>
    </w:p>
    <w:p>
      <w:pPr>
        <w:spacing w:line="480" w:lineRule="auto"/>
        <w:rPr>
          <w:rFonts w:ascii="Times New Roman" w:hAnsi="Times New Roman" w:cs="Times New Roman"/>
          <w:sz w:val="24"/>
          <w:szCs w:val="24"/>
        </w:rPr>
      </w:pPr>
      <w:r>
        <w:rPr>
          <w:rFonts w:ascii="Times New Roman" w:hAnsi="Times New Roman" w:cs="Times New Roman"/>
          <w:sz w:val="24"/>
          <w:szCs w:val="24"/>
        </w:rPr>
        <w:t>Aligning business practises with culture is another crucial element. Germany places a high value on efficacy, quality, and long-term sustainability, consistent with Unilever's corporate strategy. According to Cornelis et al. (2017), Unilever's dedication to high-quality goods and environmental practises corresponds with German market expectations. To guarantee that its goods and operations are properly received and efficiently incorporated into the market, Unilever needs cultural alignment. Unilever benefits greatly from the presence of a highly trained workforce in Germany.</w:t>
      </w:r>
    </w:p>
    <w:p>
      <w:pPr>
        <w:spacing w:line="480" w:lineRule="auto"/>
        <w:rPr>
          <w:rFonts w:ascii="Times New Roman" w:hAnsi="Times New Roman" w:cs="Times New Roman"/>
          <w:sz w:val="24"/>
          <w:szCs w:val="24"/>
        </w:rPr>
      </w:pPr>
      <w:r>
        <w:rPr>
          <w:rFonts w:ascii="Times New Roman" w:hAnsi="Times New Roman" w:cs="Times New Roman"/>
          <w:sz w:val="24"/>
          <w:szCs w:val="24"/>
        </w:rPr>
        <w:t>This meets the operational requirements of the firm and guarantees high standards in innovation, production, and business management. Germany is a desirable destination because of its trained workforce, essential to sustaining the quality and innovation for which Unilever is renowned (Ahmadzai, 2023).</w:t>
      </w:r>
    </w:p>
    <w:p>
      <w:pPr>
        <w:spacing w:line="480" w:lineRule="auto"/>
        <w:rPr>
          <w:rFonts w:ascii="Times New Roman" w:hAnsi="Times New Roman" w:cs="Times New Roman"/>
          <w:sz w:val="24"/>
          <w:szCs w:val="24"/>
        </w:rPr>
      </w:pPr>
      <w:r>
        <w:rPr>
          <w:rFonts w:ascii="Times New Roman" w:hAnsi="Times New Roman" w:cs="Times New Roman"/>
          <w:sz w:val="24"/>
          <w:szCs w:val="24"/>
        </w:rPr>
        <w:t>Furthermore, compared to France, Germany's regulatory environment is more predictable, consistent, and strict. Unilever needs a solid and transparent operational structure to run efficiently and per national and international standards. Germany and Unilever have very similar goals and beliefs. The country's realistic, long-term mindset matches Unilever's sustainability goals (Lawrence et al., 2018). German culture and economy are consistent with Unilever's objective of having a long-term, positive impact on society and the environment.</w:t>
      </w:r>
    </w:p>
    <w:p>
      <w:pPr>
        <w:spacing w:line="480" w:lineRule="auto"/>
        <w:rPr>
          <w:rFonts w:ascii="Times New Roman" w:hAnsi="Times New Roman" w:cs="Times New Roman"/>
          <w:sz w:val="24"/>
          <w:szCs w:val="24"/>
        </w:rPr>
      </w:pPr>
      <w:r>
        <w:rPr>
          <w:rFonts w:ascii="Times New Roman" w:hAnsi="Times New Roman" w:cs="Times New Roman"/>
          <w:sz w:val="24"/>
          <w:szCs w:val="24"/>
        </w:rPr>
        <w:t>Furthermore, Unilever's commitment to product excellence and innovation aligns with Germany's high-quality standards and innovation-driven economy. Unilever has the potential to enhance its market share in Germany, particularly in businesses with a strong presence. Furthermore, it provides opportunities to examine unknown market regions (Freiberg et al., 2016). Unilever's corporate responsibility goals, Germany's emphasis on sustainable practises, and environmental awareness complement each other effectively. This alignment not only aids market integration in Germany but also boosts Unilever's brand reputation and consumer confidence.</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VI. Strategies to overcome communication challenges</w:t>
      </w:r>
    </w:p>
    <w:p>
      <w:pPr>
        <w:spacing w:line="480" w:lineRule="auto"/>
        <w:rPr>
          <w:rFonts w:ascii="Times New Roman" w:hAnsi="Times New Roman" w:cs="Times New Roman"/>
          <w:sz w:val="24"/>
          <w:szCs w:val="24"/>
        </w:rPr>
      </w:pPr>
      <w:r>
        <w:rPr>
          <w:rFonts w:ascii="Times New Roman" w:hAnsi="Times New Roman" w:cs="Times New Roman"/>
          <w:sz w:val="24"/>
          <w:szCs w:val="24"/>
        </w:rPr>
        <w:t>Communication barriers must be overcome to succeed in Unilever's German expansion. The following strategies can help reduce these challenges:</w:t>
      </w:r>
    </w:p>
    <w:p>
      <w:pPr>
        <w:spacing w:line="480" w:lineRule="auto"/>
        <w:rPr>
          <w:rFonts w:ascii="Times New Roman" w:hAnsi="Times New Roman" w:cs="Times New Roman"/>
          <w:sz w:val="24"/>
          <w:szCs w:val="24"/>
        </w:rPr>
      </w:pPr>
      <w:r>
        <w:rPr>
          <w:rFonts w:ascii="Times New Roman" w:hAnsi="Times New Roman" w:cs="Times New Roman"/>
          <w:sz w:val="24"/>
          <w:szCs w:val="24"/>
        </w:rPr>
        <w:t>Recognising cultural differences: Unilever should spend time understanding the German market's unique aspects. Understanding the significance of communication efficiency, correctness, and directness is required (Cornelis et al., 2017). Tailoring marketing and business communication to resonate with these values can enhance Unilever's appeal in the German market.</w:t>
      </w:r>
    </w:p>
    <w:p>
      <w:pPr>
        <w:spacing w:line="480" w:lineRule="auto"/>
        <w:rPr>
          <w:rFonts w:ascii="Times New Roman" w:hAnsi="Times New Roman" w:cs="Times New Roman"/>
          <w:sz w:val="24"/>
          <w:szCs w:val="24"/>
        </w:rPr>
      </w:pPr>
      <w:r>
        <w:rPr>
          <w:rFonts w:ascii="Times New Roman" w:hAnsi="Times New Roman" w:cs="Times New Roman"/>
          <w:sz w:val="24"/>
          <w:szCs w:val="24"/>
        </w:rPr>
        <w:t>Customising business etiquette: Adapting to German business etiquette is essential. This means respecting formal protocols in meetings, punctuality, and the preference for structured well-prepared presentations.</w:t>
      </w:r>
    </w:p>
    <w:p>
      <w:pPr>
        <w:spacing w:line="480" w:lineRule="auto"/>
        <w:rPr>
          <w:rFonts w:ascii="Times New Roman" w:hAnsi="Times New Roman" w:cs="Times New Roman"/>
          <w:sz w:val="24"/>
          <w:szCs w:val="24"/>
        </w:rPr>
      </w:pPr>
      <w:r>
        <w:rPr>
          <w:rFonts w:ascii="Times New Roman" w:hAnsi="Times New Roman" w:cs="Times New Roman"/>
          <w:sz w:val="24"/>
          <w:szCs w:val="24"/>
        </w:rPr>
        <w:t>Adapting management styles: Considering Germany’s lower power distance, Unilever should encourage a more participative management style, promoting open communication and team collaboration (Al-Alawi and Alkhodari, 2016).</w:t>
      </w:r>
    </w:p>
    <w:p>
      <w:pPr>
        <w:spacing w:line="480" w:lineRule="auto"/>
        <w:rPr>
          <w:rFonts w:ascii="Times New Roman" w:hAnsi="Times New Roman" w:cs="Times New Roman"/>
          <w:sz w:val="24"/>
          <w:szCs w:val="24"/>
        </w:rPr>
      </w:pPr>
      <w:r>
        <w:rPr>
          <w:rFonts w:ascii="Times New Roman" w:hAnsi="Times New Roman" w:cs="Times New Roman"/>
          <w:sz w:val="24"/>
          <w:szCs w:val="24"/>
        </w:rPr>
        <w:t>Language training for employees: While English is widely used in business, offering German language training to key staff members can facilitate smoother interactions and demonstrate respect for the local culture.</w:t>
      </w:r>
    </w:p>
    <w:p>
      <w:pPr>
        <w:spacing w:line="480" w:lineRule="auto"/>
        <w:rPr>
          <w:rFonts w:ascii="Times New Roman" w:hAnsi="Times New Roman" w:cs="Times New Roman"/>
          <w:sz w:val="24"/>
          <w:szCs w:val="24"/>
        </w:rPr>
      </w:pPr>
      <w:r>
        <w:rPr>
          <w:rFonts w:ascii="Times New Roman" w:hAnsi="Times New Roman" w:cs="Times New Roman"/>
          <w:sz w:val="24"/>
          <w:szCs w:val="24"/>
        </w:rPr>
        <w:t>Effective translation and localisation: For marketing materials, contracts, and legal documents, professional translation, and localisation are essential to ensure accuracy and cultural appropriateness</w:t>
      </w:r>
      <w:r>
        <w:t xml:space="preserve"> (</w:t>
      </w:r>
      <w:r>
        <w:rPr>
          <w:rFonts w:ascii="Times New Roman" w:hAnsi="Times New Roman" w:cs="Times New Roman"/>
          <w:sz w:val="24"/>
          <w:szCs w:val="24"/>
        </w:rPr>
        <w:t>Takino, 2020).</w:t>
      </w:r>
    </w:p>
    <w:p>
      <w:pPr>
        <w:spacing w:line="480" w:lineRule="auto"/>
        <w:rPr>
          <w:rFonts w:ascii="Times New Roman" w:hAnsi="Times New Roman" w:cs="Times New Roman"/>
          <w:sz w:val="24"/>
          <w:szCs w:val="24"/>
        </w:rPr>
      </w:pPr>
      <w:r>
        <w:rPr>
          <w:rFonts w:ascii="Times New Roman" w:hAnsi="Times New Roman" w:cs="Times New Roman"/>
          <w:sz w:val="24"/>
          <w:szCs w:val="24"/>
        </w:rPr>
        <w:t>Hiring local talent: Employing local talent can provide valuable insights into the German market and consumer behaviour. It also enhances communication effectiveness with local stakeholders.</w:t>
      </w:r>
    </w:p>
    <w:p>
      <w:pPr>
        <w:spacing w:line="480" w:lineRule="auto"/>
        <w:rPr>
          <w:rFonts w:ascii="Times New Roman" w:hAnsi="Times New Roman" w:cs="Times New Roman"/>
          <w:sz w:val="24"/>
          <w:szCs w:val="24"/>
        </w:rPr>
      </w:pPr>
      <w:r>
        <w:rPr>
          <w:rFonts w:ascii="Times New Roman" w:hAnsi="Times New Roman" w:cs="Times New Roman"/>
          <w:sz w:val="24"/>
          <w:szCs w:val="24"/>
        </w:rPr>
        <w:t>Promoting diversity and inclusion: Embracing diversity in the workforce aligns with Unilever's corporate values and enhances creativity and innovation. This should include integrating various demographic groups and acknowledging different perspectives and experiences (Freiberg et al., 2016).</w:t>
      </w:r>
    </w:p>
    <w:p>
      <w:pPr>
        <w:spacing w:line="480" w:lineRule="auto"/>
        <w:rPr>
          <w:rFonts w:ascii="Times New Roman" w:hAnsi="Times New Roman" w:cs="Times New Roman"/>
          <w:sz w:val="24"/>
          <w:szCs w:val="24"/>
        </w:rPr>
      </w:pPr>
      <w:r>
        <w:rPr>
          <w:rFonts w:ascii="Times New Roman" w:hAnsi="Times New Roman" w:cs="Times New Roman"/>
          <w:sz w:val="24"/>
          <w:szCs w:val="24"/>
        </w:rPr>
        <w:t>Effective use of technology: Utilising technology for communication can bridge gaps and improve efficiency. This includes tools for virtual meetings, collaborative platforms, and digital project management.</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VII. Conclusion</w:t>
      </w:r>
    </w:p>
    <w:p>
      <w:pPr>
        <w:spacing w:line="480" w:lineRule="auto"/>
        <w:rPr>
          <w:rFonts w:ascii="Times New Roman" w:hAnsi="Times New Roman" w:cs="Times New Roman"/>
          <w:sz w:val="24"/>
          <w:szCs w:val="24"/>
        </w:rPr>
      </w:pPr>
      <w:r>
        <w:rPr>
          <w:rFonts w:ascii="Times New Roman" w:hAnsi="Times New Roman" w:cs="Times New Roman"/>
          <w:sz w:val="24"/>
          <w:szCs w:val="24"/>
        </w:rPr>
        <w:t>The analysis identified Germany as the most suitable EU country for Unilever's expansion, considering its strong economy, cultural alignment with Unilever’s values, skilled workforce, and sustainability-focused market. The recommendation prioritises Germany’s potential for stable growth and its alignment with Unilever's long-term strategic goals. Effective communication is pivotal in global expansion. Understanding and adapting to cultural nuances, language differences, and communication styles is essential for successful market entry and sustainable operations. This is particularly crucial in a culturally distinct market like Germany. The expansion of Unilever into Germany, underpinned by strategies addressing communication barriers and cultural differences, can create a positive and inclusive environment. Such an approach facilitates business success and aligns with Unilever's commitment to diversity, sustainability, and corporate responsibility, fostering a conducive environment for growth and innovation.</w:t>
      </w: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References </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Adanlawo, E.F., Reddy, M.M. and Rugbeer, H., 2021. Intercultural business communication: The implications of language barriers. </w:t>
      </w:r>
      <w:r>
        <w:rPr>
          <w:rFonts w:ascii="Times New Roman" w:hAnsi="Times New Roman" w:cs="Times New Roman"/>
          <w:i/>
          <w:iCs/>
          <w:sz w:val="24"/>
          <w:szCs w:val="24"/>
        </w:rPr>
        <w:t>Psychology and Education Journal</w:t>
      </w:r>
      <w:r>
        <w:rPr>
          <w:rFonts w:ascii="Times New Roman" w:hAnsi="Times New Roman" w:cs="Times New Roman"/>
          <w:sz w:val="24"/>
          <w:szCs w:val="24"/>
        </w:rPr>
        <w:t>, </w:t>
      </w:r>
      <w:r>
        <w:rPr>
          <w:rFonts w:ascii="Times New Roman" w:hAnsi="Times New Roman" w:cs="Times New Roman"/>
          <w:i/>
          <w:iCs/>
          <w:sz w:val="24"/>
          <w:szCs w:val="24"/>
        </w:rPr>
        <w:t>58</w:t>
      </w:r>
      <w:r>
        <w:rPr>
          <w:rFonts w:ascii="Times New Roman" w:hAnsi="Times New Roman" w:cs="Times New Roman"/>
          <w:sz w:val="24"/>
          <w:szCs w:val="24"/>
        </w:rPr>
        <w:t>(5), pp.6281-6290.</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Ahmadzai, M., 2023. </w:t>
      </w:r>
      <w:r>
        <w:rPr>
          <w:rFonts w:ascii="Times New Roman" w:hAnsi="Times New Roman" w:cs="Times New Roman"/>
          <w:i/>
          <w:iCs/>
          <w:sz w:val="24"/>
          <w:szCs w:val="24"/>
        </w:rPr>
        <w:t>HIGH-SKILLED IMMIGRATION'S ECONOMIC CONTRIBUTION TO THE EUROPEAN UNION CASE STUDY: GERMANY</w:t>
      </w:r>
      <w:r>
        <w:rPr>
          <w:rFonts w:ascii="Times New Roman" w:hAnsi="Times New Roman" w:cs="Times New Roman"/>
          <w:sz w:val="24"/>
          <w:szCs w:val="24"/>
        </w:rPr>
        <w:t> (Doctoral dissertation, Universitas Muhammadiyah Malang).</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rPr>
        <w:t>Al-Alawi, A. and Alkhodari, H.J., 2016. Cross-cultural differences in managing businesses: applying Hofstede cultural analysis in Germany, Canada, South Korea and Morocco. </w:t>
      </w:r>
      <w:r>
        <w:rPr>
          <w:rFonts w:ascii="Times New Roman" w:hAnsi="Times New Roman" w:cs="Times New Roman"/>
          <w:i/>
          <w:iCs/>
          <w:sz w:val="24"/>
          <w:szCs w:val="24"/>
        </w:rPr>
        <w:t>Elixir International Business Management</w:t>
      </w:r>
      <w:r>
        <w:rPr>
          <w:rFonts w:ascii="Times New Roman" w:hAnsi="Times New Roman" w:cs="Times New Roman"/>
          <w:sz w:val="24"/>
          <w:szCs w:val="24"/>
        </w:rPr>
        <w:t>, </w:t>
      </w:r>
      <w:r>
        <w:rPr>
          <w:rFonts w:ascii="Times New Roman" w:hAnsi="Times New Roman" w:cs="Times New Roman"/>
          <w:i/>
          <w:iCs/>
          <w:sz w:val="24"/>
          <w:szCs w:val="24"/>
        </w:rPr>
        <w:t>95</w:t>
      </w:r>
      <w:r>
        <w:rPr>
          <w:rFonts w:ascii="Times New Roman" w:hAnsi="Times New Roman" w:cs="Times New Roman"/>
          <w:sz w:val="24"/>
          <w:szCs w:val="24"/>
        </w:rPr>
        <w:t>(2016), pp.40855-40861.</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Cornelis, E. </w:t>
      </w:r>
      <w:r>
        <w:rPr>
          <w:rFonts w:ascii="Times New Roman" w:hAnsi="Times New Roman" w:cs="Times New Roman"/>
          <w:i/>
          <w:iCs/>
          <w:sz w:val="24"/>
          <w:szCs w:val="24"/>
          <w:lang w:val="en-US"/>
        </w:rPr>
        <w:t>et al.</w:t>
      </w:r>
      <w:r>
        <w:rPr>
          <w:rFonts w:ascii="Times New Roman" w:hAnsi="Times New Roman" w:cs="Times New Roman"/>
          <w:sz w:val="24"/>
          <w:szCs w:val="24"/>
          <w:lang w:val="en-US"/>
        </w:rPr>
        <w:t xml:space="preserve"> (2017) </w:t>
      </w:r>
      <w:r>
        <w:rPr>
          <w:rFonts w:ascii="Times New Roman" w:hAnsi="Times New Roman" w:cs="Times New Roman"/>
          <w:i/>
          <w:iCs/>
          <w:sz w:val="24"/>
          <w:szCs w:val="24"/>
          <w:lang w:val="en-US"/>
        </w:rPr>
        <w:t>Work culture in Germany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CareerProfessor.works</w:t>
      </w:r>
      <w:r>
        <w:rPr>
          <w:rFonts w:ascii="Times New Roman" w:hAnsi="Times New Roman" w:cs="Times New Roman"/>
          <w:sz w:val="24"/>
          <w:szCs w:val="24"/>
          <w:lang w:val="en-US"/>
        </w:rPr>
        <w:t xml:space="preserve">. Available at: </w:t>
      </w:r>
      <w:r>
        <w:fldChar w:fldCharType="begin"/>
      </w:r>
      <w:r>
        <w:instrText xml:space="preserve"> HYPERLINK "https://careerprofessor.works/work-culture-in-germany/" </w:instrText>
      </w:r>
      <w:r>
        <w:fldChar w:fldCharType="separate"/>
      </w:r>
      <w:r>
        <w:rPr>
          <w:rStyle w:val="6"/>
          <w:rFonts w:ascii="Times New Roman" w:hAnsi="Times New Roman" w:cs="Times New Roman"/>
          <w:sz w:val="24"/>
          <w:szCs w:val="24"/>
          <w:lang w:val="en-US"/>
        </w:rPr>
        <w:t>https://careerprofessor.works/work-culture-in-germany/</w:t>
      </w:r>
      <w:r>
        <w:rPr>
          <w:rStyle w:val="6"/>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(Accessed: 11 November 2023). </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rPr>
        <w:t>Courtland, L.B. and John, V.T., 2018. </w:t>
      </w:r>
      <w:r>
        <w:rPr>
          <w:rFonts w:ascii="Times New Roman" w:hAnsi="Times New Roman" w:cs="Times New Roman"/>
          <w:i/>
          <w:iCs/>
          <w:sz w:val="24"/>
          <w:szCs w:val="24"/>
        </w:rPr>
        <w:t>Business communication today</w:t>
      </w:r>
      <w:r>
        <w:rPr>
          <w:rFonts w:ascii="Times New Roman" w:hAnsi="Times New Roman" w:cs="Times New Roman"/>
          <w:sz w:val="24"/>
          <w:szCs w:val="24"/>
        </w:rPr>
        <w:t>. British Library.</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Freiberg, M., Schwarz, R. and Khoury, C., 2016. Biosimilars: market access and market penetration–a comparison of France and Germany. </w:t>
      </w:r>
      <w:r>
        <w:rPr>
          <w:rFonts w:ascii="Times New Roman" w:hAnsi="Times New Roman" w:cs="Times New Roman"/>
          <w:i/>
          <w:iCs/>
          <w:sz w:val="24"/>
          <w:szCs w:val="24"/>
        </w:rPr>
        <w:t>Value in Health</w:t>
      </w:r>
      <w:r>
        <w:rPr>
          <w:rFonts w:ascii="Times New Roman" w:hAnsi="Times New Roman" w:cs="Times New Roman"/>
          <w:sz w:val="24"/>
          <w:szCs w:val="24"/>
        </w:rPr>
        <w:t>, </w:t>
      </w:r>
      <w:r>
        <w:rPr>
          <w:rFonts w:ascii="Times New Roman" w:hAnsi="Times New Roman" w:cs="Times New Roman"/>
          <w:i/>
          <w:iCs/>
          <w:sz w:val="24"/>
          <w:szCs w:val="24"/>
        </w:rPr>
        <w:t>19</w:t>
      </w:r>
      <w:r>
        <w:rPr>
          <w:rFonts w:ascii="Times New Roman" w:hAnsi="Times New Roman" w:cs="Times New Roman"/>
          <w:sz w:val="24"/>
          <w:szCs w:val="24"/>
        </w:rPr>
        <w:t>(7), p.A442.</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rPr>
        <w:t>Lawrence, J., Rasche, A. and Kenny, K., 2018. Sustainability as opportunity: Unilever’s sustainable living plan. In </w:t>
      </w:r>
      <w:r>
        <w:rPr>
          <w:rFonts w:ascii="Times New Roman" w:hAnsi="Times New Roman" w:cs="Times New Roman"/>
          <w:i/>
          <w:iCs/>
          <w:sz w:val="24"/>
          <w:szCs w:val="24"/>
        </w:rPr>
        <w:t>Managing Sustainable Business: An Executive Education Case and Textbook</w:t>
      </w:r>
      <w:r>
        <w:rPr>
          <w:rFonts w:ascii="Times New Roman" w:hAnsi="Times New Roman" w:cs="Times New Roman"/>
          <w:sz w:val="24"/>
          <w:szCs w:val="24"/>
        </w:rPr>
        <w:t> (pp. 435-455). Dordrecht: Springer Netherlands.</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Mulcahy, K.V. and Mulcahy, K.V., 2017. Exporting civilization: French cultural diplomacy. </w:t>
      </w:r>
      <w:r>
        <w:rPr>
          <w:rFonts w:ascii="Times New Roman" w:hAnsi="Times New Roman" w:cs="Times New Roman"/>
          <w:i/>
          <w:iCs/>
          <w:sz w:val="24"/>
          <w:szCs w:val="24"/>
        </w:rPr>
        <w:t>Public Culture, Cultural Identity, Cultural Policy: Comparative Perspectives</w:t>
      </w:r>
      <w:r>
        <w:rPr>
          <w:rFonts w:ascii="Times New Roman" w:hAnsi="Times New Roman" w:cs="Times New Roman"/>
          <w:sz w:val="24"/>
          <w:szCs w:val="24"/>
        </w:rPr>
        <w:t>, pp.33-63.</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Ng, E.S. and Klarsfeld, A., 2018. Comparative and multi-country research in equality, diversity and inclusion. </w:t>
      </w:r>
      <w:r>
        <w:rPr>
          <w:rFonts w:ascii="Times New Roman" w:hAnsi="Times New Roman" w:cs="Times New Roman"/>
          <w:i/>
          <w:iCs/>
          <w:sz w:val="24"/>
          <w:szCs w:val="24"/>
        </w:rPr>
        <w:t>Handbook of research methods in diversity management, equality and inclusion at work. Edward Elgar, Cheltenham</w:t>
      </w:r>
      <w:r>
        <w:rPr>
          <w:rFonts w:ascii="Times New Roman" w:hAnsi="Times New Roman" w:cs="Times New Roman"/>
          <w:sz w:val="24"/>
          <w:szCs w:val="24"/>
        </w:rPr>
        <w:t>, pp.122-146.</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Nickerson, C., 2023. Hofstede’s Cultural Dimensions Theory &amp; Examples. </w:t>
      </w:r>
      <w:r>
        <w:rPr>
          <w:rFonts w:ascii="Times New Roman" w:hAnsi="Times New Roman" w:cs="Times New Roman"/>
          <w:i/>
          <w:iCs/>
          <w:sz w:val="24"/>
          <w:szCs w:val="24"/>
        </w:rPr>
        <w:t>Simply Psychology</w:t>
      </w:r>
      <w:r>
        <w:rPr>
          <w:rFonts w:ascii="Times New Roman" w:hAnsi="Times New Roman" w:cs="Times New Roman"/>
          <w:sz w:val="24"/>
          <w:szCs w:val="24"/>
        </w:rPr>
        <w:t>.</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rPr>
        <w:t>Nicolas, G., 2019. Using cross-cultural management tools to operate the development of foreign economic activities. </w:t>
      </w:r>
      <w:r>
        <w:rPr>
          <w:rFonts w:ascii="Times New Roman" w:hAnsi="Times New Roman" w:cs="Times New Roman"/>
          <w:i/>
          <w:iCs/>
          <w:sz w:val="24"/>
          <w:szCs w:val="24"/>
        </w:rPr>
        <w:t>Контентус</w:t>
      </w:r>
      <w:r>
        <w:rPr>
          <w:rFonts w:ascii="Times New Roman" w:hAnsi="Times New Roman" w:cs="Times New Roman"/>
          <w:sz w:val="24"/>
          <w:szCs w:val="24"/>
        </w:rPr>
        <w:t>, (S11), pp.149-156.</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O’Neill, A. (2023a) </w:t>
      </w:r>
      <w:r>
        <w:rPr>
          <w:rFonts w:ascii="Times New Roman" w:hAnsi="Times New Roman" w:cs="Times New Roman"/>
          <w:i/>
          <w:iCs/>
          <w:sz w:val="24"/>
          <w:szCs w:val="24"/>
          <w:lang w:val="en-US"/>
        </w:rPr>
        <w:t>France: Gross domestic product (GDP) 2028</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Available at: </w:t>
      </w:r>
      <w:r>
        <w:fldChar w:fldCharType="begin"/>
      </w:r>
      <w:r>
        <w:instrText xml:space="preserve"> HYPERLINK "https://www.statista.com/statistics/263575/gross-domestic-product-gdp-in-france/" </w:instrText>
      </w:r>
      <w:r>
        <w:fldChar w:fldCharType="separate"/>
      </w:r>
      <w:r>
        <w:rPr>
          <w:rStyle w:val="6"/>
          <w:rFonts w:ascii="Times New Roman" w:hAnsi="Times New Roman" w:cs="Times New Roman"/>
          <w:sz w:val="24"/>
          <w:szCs w:val="24"/>
          <w:lang w:val="en-US"/>
        </w:rPr>
        <w:t>https://www.statista.com/statistics/263575/gross-domestic-product-gdp-in-france/</w:t>
      </w:r>
      <w:r>
        <w:rPr>
          <w:rStyle w:val="6"/>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(Accessed: 12 November 2023). </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O’Neill, A. (2023b) </w:t>
      </w:r>
      <w:r>
        <w:rPr>
          <w:rFonts w:ascii="Times New Roman" w:hAnsi="Times New Roman" w:cs="Times New Roman"/>
          <w:i/>
          <w:iCs/>
          <w:sz w:val="24"/>
          <w:szCs w:val="24"/>
          <w:lang w:val="en-US"/>
        </w:rPr>
        <w:t>France: Unemployment rate 2022</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Available at: </w:t>
      </w:r>
      <w:r>
        <w:fldChar w:fldCharType="begin"/>
      </w:r>
      <w:r>
        <w:instrText xml:space="preserve"> HYPERLINK "https://www.statista.com/statistics/263697/unemployment-rate-in-france/" </w:instrText>
      </w:r>
      <w:r>
        <w:fldChar w:fldCharType="separate"/>
      </w:r>
      <w:r>
        <w:rPr>
          <w:rStyle w:val="6"/>
          <w:rFonts w:ascii="Times New Roman" w:hAnsi="Times New Roman" w:cs="Times New Roman"/>
          <w:sz w:val="24"/>
          <w:szCs w:val="24"/>
          <w:lang w:val="en-US"/>
        </w:rPr>
        <w:t>https://www.statista.com/statistics/263697/unemployment-rate-in-france/</w:t>
      </w:r>
      <w:r>
        <w:rPr>
          <w:rStyle w:val="6"/>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(Accessed: 12 November 2023). </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O’Neill, A. (2023c) </w:t>
      </w:r>
      <w:r>
        <w:rPr>
          <w:rFonts w:ascii="Times New Roman" w:hAnsi="Times New Roman" w:cs="Times New Roman"/>
          <w:i/>
          <w:iCs/>
          <w:sz w:val="24"/>
          <w:szCs w:val="24"/>
          <w:lang w:val="en-US"/>
        </w:rPr>
        <w:t>Germany - gross domestic product (GDP) 2022</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Available at: </w:t>
      </w:r>
      <w:r>
        <w:fldChar w:fldCharType="begin"/>
      </w:r>
      <w:r>
        <w:instrText xml:space="preserve"> HYPERLINK "https://www.statista.com/statistics/295444/germany-gross-domestic-product/" </w:instrText>
      </w:r>
      <w:r>
        <w:fldChar w:fldCharType="separate"/>
      </w:r>
      <w:r>
        <w:rPr>
          <w:rStyle w:val="6"/>
          <w:rFonts w:ascii="Times New Roman" w:hAnsi="Times New Roman" w:cs="Times New Roman"/>
          <w:sz w:val="24"/>
          <w:szCs w:val="24"/>
          <w:lang w:val="en-US"/>
        </w:rPr>
        <w:t>https://www.statista.com/statistics/295444/germany-gross-domestic-product/</w:t>
      </w:r>
      <w:r>
        <w:rPr>
          <w:rStyle w:val="6"/>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(Accessed: 11 November 2023). </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O’Neill, A. (2023d) </w:t>
      </w:r>
      <w:r>
        <w:rPr>
          <w:rFonts w:ascii="Times New Roman" w:hAnsi="Times New Roman" w:cs="Times New Roman"/>
          <w:i/>
          <w:iCs/>
          <w:sz w:val="24"/>
          <w:szCs w:val="24"/>
          <w:lang w:val="en-US"/>
        </w:rPr>
        <w:t>Germany - unemployment rate 2022</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Available at: </w:t>
      </w:r>
      <w:r>
        <w:fldChar w:fldCharType="begin"/>
      </w:r>
      <w:r>
        <w:instrText xml:space="preserve"> HYPERLINK "https://www.statista.com/statistics/375209/unemployment-rate-in-germany/" </w:instrText>
      </w:r>
      <w:r>
        <w:fldChar w:fldCharType="separate"/>
      </w:r>
      <w:r>
        <w:rPr>
          <w:rStyle w:val="6"/>
          <w:rFonts w:ascii="Times New Roman" w:hAnsi="Times New Roman" w:cs="Times New Roman"/>
          <w:sz w:val="24"/>
          <w:szCs w:val="24"/>
          <w:lang w:val="en-US"/>
        </w:rPr>
        <w:t>https://www.statista.com/statistics/375209/unemployment-rate-in-germany/</w:t>
      </w:r>
      <w:r>
        <w:rPr>
          <w:rStyle w:val="6"/>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(Accessed: 12 November 2023). </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Petruzzi, D. (no date) </w:t>
      </w:r>
      <w:r>
        <w:rPr>
          <w:rFonts w:ascii="Times New Roman" w:hAnsi="Times New Roman" w:cs="Times New Roman"/>
          <w:i/>
          <w:iCs/>
          <w:sz w:val="24"/>
          <w:szCs w:val="24"/>
          <w:lang w:val="en-US"/>
        </w:rPr>
        <w:t>Topic: Unilever</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Statista</w:t>
      </w:r>
      <w:r>
        <w:rPr>
          <w:rFonts w:ascii="Times New Roman" w:hAnsi="Times New Roman" w:cs="Times New Roman"/>
          <w:sz w:val="24"/>
          <w:szCs w:val="24"/>
          <w:lang w:val="en-US"/>
        </w:rPr>
        <w:t xml:space="preserve">. Available at: https://www.statista.com/topics/1397/unilever/#topicOverview (Accessed: 12 November 2023). </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Potapenko, D. and Trots, I., 2022. THE COMPARATIVE ANALYSIS OF ECONOMIC STABILITY AND CERTAINTY TAX PROVISION: UKRAINE VS GERMANY. </w:t>
      </w:r>
      <w:r>
        <w:rPr>
          <w:rFonts w:ascii="Times New Roman" w:hAnsi="Times New Roman" w:cs="Times New Roman"/>
          <w:i/>
          <w:iCs/>
          <w:sz w:val="24"/>
          <w:szCs w:val="24"/>
        </w:rPr>
        <w:t>THE ECONOMICS OF UNCERTAINTY: CONTENT, EVALUATION AND REGULATION</w:t>
      </w:r>
      <w:r>
        <w:rPr>
          <w:rFonts w:ascii="Times New Roman" w:hAnsi="Times New Roman" w:cs="Times New Roman"/>
          <w:sz w:val="24"/>
          <w:szCs w:val="24"/>
        </w:rPr>
        <w:t>, p.172.</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Szkudlarek, B., Osland, J.S., Nardon, L. and Zander, L., 2020. Communication and culture in international business–Moving the field forward. </w:t>
      </w:r>
      <w:r>
        <w:rPr>
          <w:rFonts w:ascii="Times New Roman" w:hAnsi="Times New Roman" w:cs="Times New Roman"/>
          <w:i/>
          <w:iCs/>
          <w:sz w:val="24"/>
          <w:szCs w:val="24"/>
        </w:rPr>
        <w:t>Journal of World Business</w:t>
      </w:r>
      <w:r>
        <w:rPr>
          <w:rFonts w:ascii="Times New Roman" w:hAnsi="Times New Roman" w:cs="Times New Roman"/>
          <w:sz w:val="24"/>
          <w:szCs w:val="24"/>
        </w:rPr>
        <w:t>, </w:t>
      </w:r>
      <w:r>
        <w:rPr>
          <w:rFonts w:ascii="Times New Roman" w:hAnsi="Times New Roman" w:cs="Times New Roman"/>
          <w:i/>
          <w:iCs/>
          <w:sz w:val="24"/>
          <w:szCs w:val="24"/>
        </w:rPr>
        <w:t>55</w:t>
      </w:r>
      <w:r>
        <w:rPr>
          <w:rFonts w:ascii="Times New Roman" w:hAnsi="Times New Roman" w:cs="Times New Roman"/>
          <w:sz w:val="24"/>
          <w:szCs w:val="24"/>
        </w:rPr>
        <w:t>(6), p.101126.</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Takino, M., 2020. Power in international business communication and linguistic competence: Analyzing the experiences of nonnative business people who use English as a business lingua franca (BELF). </w:t>
      </w:r>
      <w:r>
        <w:rPr>
          <w:rFonts w:ascii="Times New Roman" w:hAnsi="Times New Roman" w:cs="Times New Roman"/>
          <w:i/>
          <w:iCs/>
          <w:sz w:val="24"/>
          <w:szCs w:val="24"/>
        </w:rPr>
        <w:t>International Journal of Business Communication</w:t>
      </w:r>
      <w:r>
        <w:rPr>
          <w:rFonts w:ascii="Times New Roman" w:hAnsi="Times New Roman" w:cs="Times New Roman"/>
          <w:sz w:val="24"/>
          <w:szCs w:val="24"/>
        </w:rPr>
        <w:t>, </w:t>
      </w:r>
      <w:r>
        <w:rPr>
          <w:rFonts w:ascii="Times New Roman" w:hAnsi="Times New Roman" w:cs="Times New Roman"/>
          <w:i/>
          <w:iCs/>
          <w:sz w:val="24"/>
          <w:szCs w:val="24"/>
        </w:rPr>
        <w:t>57</w:t>
      </w:r>
      <w:r>
        <w:rPr>
          <w:rFonts w:ascii="Times New Roman" w:hAnsi="Times New Roman" w:cs="Times New Roman"/>
          <w:sz w:val="24"/>
          <w:szCs w:val="24"/>
        </w:rPr>
        <w:t>(4), pp.517-544.</w:t>
      </w:r>
    </w:p>
    <w:p>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Unilever PLC (2023) </w:t>
      </w:r>
      <w:r>
        <w:rPr>
          <w:rFonts w:ascii="Times New Roman" w:hAnsi="Times New Roman" w:cs="Times New Roman"/>
          <w:i/>
          <w:iCs/>
          <w:sz w:val="24"/>
          <w:szCs w:val="24"/>
          <w:lang w:val="en-US"/>
        </w:rPr>
        <w:t>Unilever Global: Making sustainable living commonplace</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Unilever</w:t>
      </w:r>
      <w:r>
        <w:rPr>
          <w:rFonts w:ascii="Times New Roman" w:hAnsi="Times New Roman" w:cs="Times New Roman"/>
          <w:sz w:val="24"/>
          <w:szCs w:val="24"/>
          <w:lang w:val="en-US"/>
        </w:rPr>
        <w:t xml:space="preserve">. Available at: </w:t>
      </w:r>
      <w:r>
        <w:fldChar w:fldCharType="begin"/>
      </w:r>
      <w:r>
        <w:instrText xml:space="preserve"> HYPERLINK "https://www.unilever.com/" </w:instrText>
      </w:r>
      <w:r>
        <w:fldChar w:fldCharType="separate"/>
      </w:r>
      <w:r>
        <w:rPr>
          <w:rStyle w:val="6"/>
          <w:rFonts w:ascii="Times New Roman" w:hAnsi="Times New Roman" w:cs="Times New Roman"/>
          <w:sz w:val="24"/>
          <w:szCs w:val="24"/>
          <w:lang w:val="en-US"/>
        </w:rPr>
        <w:t>https://www.unilever.com/</w:t>
      </w:r>
      <w:r>
        <w:rPr>
          <w:rStyle w:val="6"/>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(Accessed: 12 November 2023). </w:t>
      </w:r>
    </w:p>
    <w:p>
      <w:pPr>
        <w:spacing w:line="480" w:lineRule="auto"/>
        <w:ind w:left="720" w:hanging="720"/>
        <w:rPr>
          <w:rFonts w:ascii="Times New Roman" w:hAnsi="Times New Roman" w:cs="Times New Roman"/>
          <w:sz w:val="24"/>
          <w:szCs w:val="24"/>
        </w:rPr>
      </w:pPr>
    </w:p>
    <w:p>
      <w:pPr>
        <w:spacing w:line="480" w:lineRule="auto"/>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90854836"/>
      <w:docPartObj>
        <w:docPartGallery w:val="AutoText"/>
      </w:docPartObj>
    </w:sdtPr>
    <w:sdtContent>
      <w:p>
        <w:pPr>
          <w:pStyle w:val="5"/>
          <w:jc w:val="right"/>
        </w:pPr>
        <w:r>
          <w:fldChar w:fldCharType="begin"/>
        </w:r>
        <w:r>
          <w:instrText xml:space="preserve"> PAGE   \* MERGEFORMAT </w:instrText>
        </w:r>
        <w:r>
          <w:fldChar w:fldCharType="separate"/>
        </w:r>
        <w:r>
          <w:t>2</w:t>
        </w:r>
        <w:r>
          <w:fldChar w:fldCharType="end"/>
        </w:r>
      </w:p>
    </w:sdtContent>
  </w:sdt>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4831"/>
    <w:rsid w:val="001F0586"/>
    <w:rsid w:val="002651C1"/>
    <w:rsid w:val="002707E7"/>
    <w:rsid w:val="00281620"/>
    <w:rsid w:val="00290DB2"/>
    <w:rsid w:val="002B3D85"/>
    <w:rsid w:val="002E5A7A"/>
    <w:rsid w:val="00335CDA"/>
    <w:rsid w:val="003E20ED"/>
    <w:rsid w:val="004F5447"/>
    <w:rsid w:val="006948A4"/>
    <w:rsid w:val="006D1921"/>
    <w:rsid w:val="0074040C"/>
    <w:rsid w:val="0076066E"/>
    <w:rsid w:val="007807AD"/>
    <w:rsid w:val="00784831"/>
    <w:rsid w:val="007A2F08"/>
    <w:rsid w:val="007B2472"/>
    <w:rsid w:val="007B5098"/>
    <w:rsid w:val="00810E3B"/>
    <w:rsid w:val="008D69F0"/>
    <w:rsid w:val="00931854"/>
    <w:rsid w:val="009D0A83"/>
    <w:rsid w:val="00A41589"/>
    <w:rsid w:val="00A4186F"/>
    <w:rsid w:val="00AA2240"/>
    <w:rsid w:val="00AF6472"/>
    <w:rsid w:val="00B27543"/>
    <w:rsid w:val="00B46500"/>
    <w:rsid w:val="00B727FF"/>
    <w:rsid w:val="00C95996"/>
    <w:rsid w:val="00CB338E"/>
    <w:rsid w:val="00CD106A"/>
    <w:rsid w:val="00D42701"/>
    <w:rsid w:val="00DD7E4C"/>
    <w:rsid w:val="00E32CBA"/>
    <w:rsid w:val="00EE2B55"/>
    <w:rsid w:val="00FD1ECE"/>
    <w:rsid w:val="687975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8"/>
    <w:unhideWhenUsed/>
    <w:qFormat/>
    <w:uiPriority w:val="99"/>
    <w:pPr>
      <w:tabs>
        <w:tab w:val="center" w:pos="4680"/>
        <w:tab w:val="right" w:pos="9360"/>
      </w:tabs>
      <w:spacing w:after="0" w:line="240" w:lineRule="auto"/>
    </w:pPr>
  </w:style>
  <w:style w:type="paragraph" w:styleId="5">
    <w:name w:val="header"/>
    <w:basedOn w:val="1"/>
    <w:link w:val="7"/>
    <w:unhideWhenUsed/>
    <w:qFormat/>
    <w:uiPriority w:val="99"/>
    <w:pPr>
      <w:tabs>
        <w:tab w:val="center" w:pos="4680"/>
        <w:tab w:val="right" w:pos="9360"/>
      </w:tabs>
      <w:spacing w:after="0" w:line="240" w:lineRule="auto"/>
    </w:pPr>
  </w:style>
  <w:style w:type="character" w:styleId="6">
    <w:name w:val="Hyperlink"/>
    <w:basedOn w:val="2"/>
    <w:unhideWhenUsed/>
    <w:qFormat/>
    <w:uiPriority w:val="99"/>
    <w:rPr>
      <w:color w:val="0563C1" w:themeColor="hyperlink"/>
      <w:u w:val="single"/>
      <w14:textFill>
        <w14:solidFill>
          <w14:schemeClr w14:val="hlink"/>
        </w14:solidFill>
      </w14:textFill>
    </w:rPr>
  </w:style>
  <w:style w:type="character" w:customStyle="1" w:styleId="7">
    <w:name w:val="Header Char"/>
    <w:basedOn w:val="2"/>
    <w:link w:val="5"/>
    <w:qFormat/>
    <w:uiPriority w:val="99"/>
    <w:rPr>
      <w:lang w:val="en-GB"/>
    </w:rPr>
  </w:style>
  <w:style w:type="character" w:customStyle="1" w:styleId="8">
    <w:name w:val="Footer Char"/>
    <w:basedOn w:val="2"/>
    <w:link w:val="4"/>
    <w:qFormat/>
    <w:uiPriority w:val="99"/>
    <w:rPr>
      <w:lang w:val="en-GB"/>
    </w:rPr>
  </w:style>
  <w:style w:type="character" w:customStyle="1" w:styleId="9">
    <w:name w:val="Unresolved Mention"/>
    <w:basedOn w:val="2"/>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18</Pages>
  <Words>3493</Words>
  <Characters>19912</Characters>
  <Lines>165</Lines>
  <Paragraphs>46</Paragraphs>
  <TotalTime>11</TotalTime>
  <ScaleCrop>false</ScaleCrop>
  <LinksUpToDate>false</LinksUpToDate>
  <CharactersWithSpaces>23359</CharactersWithSpaces>
  <Application>WPS Office_12.2.0.13306_F1E327BC-269C-435d-A152-05C5408002CA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2023-11-12T13:45:00Z</dcterms:created>
  <dc:creator>Mary Odira</dc:creator>
  <cp:lastModifiedBy>Insp_N5110</cp:lastModifiedBy>
  <dcterms:modified xsi:type="dcterms:W3CDTF">2023-12-21T10:29:24Z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1033-12.2.0.13306</vt:lpwstr>
  </property>
  <property fmtid="{D5CDD505-2E9C-101B-9397-08002B2CF9AE}" pid="3" name="ICV">
    <vt:lpwstr>A68D88C0215946AE936BCFAA275767E8_12</vt:lpwstr>
  </property>
</Properties>
</file>