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D9B81" w14:textId="36E34C5B" w:rsidR="00F84D21" w:rsidRDefault="00BB1CB3" w:rsidP="00FD20ED">
      <w:pPr>
        <w:pBdr>
          <w:bottom w:val="single" w:sz="4" w:space="1" w:color="auto"/>
        </w:pBdr>
        <w:jc w:val="center"/>
        <w:rPr>
          <w:b/>
          <w:bCs/>
          <w:sz w:val="36"/>
          <w:szCs w:val="36"/>
        </w:rPr>
      </w:pPr>
      <w:r>
        <w:rPr>
          <w:b/>
          <w:bCs/>
          <w:sz w:val="36"/>
          <w:szCs w:val="36"/>
        </w:rPr>
        <w:t>I</w:t>
      </w:r>
      <w:r w:rsidR="00FD20ED">
        <w:rPr>
          <w:b/>
          <w:bCs/>
          <w:sz w:val="36"/>
          <w:szCs w:val="36"/>
        </w:rPr>
        <w:t>nternational Hotel Management</w:t>
      </w:r>
    </w:p>
    <w:p w14:paraId="46021019" w14:textId="45986B69" w:rsidR="006B31C4" w:rsidRDefault="00F84D21" w:rsidP="00F84D21">
      <w:pPr>
        <w:pBdr>
          <w:bottom w:val="single" w:sz="4" w:space="1" w:color="auto"/>
        </w:pBdr>
        <w:jc w:val="center"/>
        <w:rPr>
          <w:b/>
          <w:bCs/>
          <w:sz w:val="36"/>
          <w:szCs w:val="36"/>
        </w:rPr>
      </w:pPr>
      <w:r w:rsidRPr="00F84D21">
        <w:rPr>
          <w:b/>
          <w:bCs/>
          <w:sz w:val="36"/>
          <w:szCs w:val="36"/>
        </w:rPr>
        <w:t xml:space="preserve">Foreign Languages and Cultural Awareness </w:t>
      </w:r>
    </w:p>
    <w:p w14:paraId="559A675E" w14:textId="77777777" w:rsidR="006B31C4" w:rsidRDefault="006B31C4" w:rsidP="00F84D21">
      <w:pPr>
        <w:pBdr>
          <w:bottom w:val="single" w:sz="4" w:space="1" w:color="auto"/>
        </w:pBdr>
        <w:jc w:val="center"/>
        <w:rPr>
          <w:b/>
          <w:bCs/>
          <w:sz w:val="36"/>
          <w:szCs w:val="36"/>
        </w:rPr>
      </w:pPr>
    </w:p>
    <w:p w14:paraId="0492815B" w14:textId="77777777" w:rsidR="006B31C4" w:rsidRDefault="006B31C4" w:rsidP="00F84D21">
      <w:pPr>
        <w:pBdr>
          <w:bottom w:val="single" w:sz="4" w:space="1" w:color="auto"/>
        </w:pBdr>
        <w:jc w:val="center"/>
        <w:rPr>
          <w:b/>
          <w:bCs/>
          <w:sz w:val="36"/>
          <w:szCs w:val="36"/>
        </w:rPr>
      </w:pPr>
    </w:p>
    <w:p w14:paraId="5D2ACFE3" w14:textId="77777777" w:rsidR="006B31C4" w:rsidRDefault="006B31C4" w:rsidP="00F84D21">
      <w:pPr>
        <w:pBdr>
          <w:bottom w:val="single" w:sz="4" w:space="1" w:color="auto"/>
        </w:pBdr>
        <w:jc w:val="center"/>
        <w:rPr>
          <w:b/>
          <w:bCs/>
          <w:sz w:val="36"/>
          <w:szCs w:val="36"/>
        </w:rPr>
      </w:pPr>
    </w:p>
    <w:p w14:paraId="23E15F3B" w14:textId="77777777" w:rsidR="006B31C4" w:rsidRDefault="006B31C4" w:rsidP="00F84D21">
      <w:pPr>
        <w:pBdr>
          <w:bottom w:val="single" w:sz="4" w:space="1" w:color="auto"/>
        </w:pBdr>
        <w:jc w:val="center"/>
        <w:rPr>
          <w:b/>
          <w:bCs/>
          <w:sz w:val="36"/>
          <w:szCs w:val="36"/>
        </w:rPr>
      </w:pPr>
    </w:p>
    <w:p w14:paraId="19A8BADD" w14:textId="7415D691" w:rsidR="006B31C4" w:rsidRDefault="00F174BB" w:rsidP="00F84D21">
      <w:pPr>
        <w:pBdr>
          <w:bottom w:val="single" w:sz="4" w:space="1" w:color="auto"/>
        </w:pBdr>
        <w:jc w:val="center"/>
        <w:rPr>
          <w:b/>
          <w:bCs/>
          <w:sz w:val="36"/>
          <w:szCs w:val="36"/>
        </w:rPr>
      </w:pPr>
      <w:r>
        <w:rPr>
          <w:b/>
          <w:bCs/>
          <w:sz w:val="36"/>
          <w:szCs w:val="36"/>
        </w:rPr>
        <w:t>Handbook</w:t>
      </w:r>
      <w:r w:rsidR="00DB19EC">
        <w:rPr>
          <w:b/>
          <w:bCs/>
          <w:sz w:val="36"/>
          <w:szCs w:val="36"/>
        </w:rPr>
        <w:t xml:space="preserve"> for Intercultural</w:t>
      </w:r>
      <w:r w:rsidR="00B7460D">
        <w:rPr>
          <w:b/>
          <w:bCs/>
          <w:sz w:val="36"/>
          <w:szCs w:val="36"/>
        </w:rPr>
        <w:t xml:space="preserve"> Competence</w:t>
      </w:r>
    </w:p>
    <w:p w14:paraId="0C1546DE" w14:textId="77777777" w:rsidR="00B7460D" w:rsidRDefault="00B7460D" w:rsidP="00F84D21">
      <w:pPr>
        <w:pBdr>
          <w:bottom w:val="single" w:sz="4" w:space="1" w:color="auto"/>
        </w:pBdr>
        <w:jc w:val="center"/>
        <w:rPr>
          <w:b/>
          <w:bCs/>
          <w:sz w:val="36"/>
          <w:szCs w:val="36"/>
        </w:rPr>
      </w:pPr>
    </w:p>
    <w:p w14:paraId="70F089D4" w14:textId="77777777" w:rsidR="00401595" w:rsidRDefault="00401595" w:rsidP="00F84D21">
      <w:pPr>
        <w:pBdr>
          <w:bottom w:val="single" w:sz="4" w:space="1" w:color="auto"/>
        </w:pBdr>
        <w:jc w:val="center"/>
        <w:rPr>
          <w:b/>
          <w:bCs/>
          <w:sz w:val="36"/>
          <w:szCs w:val="36"/>
        </w:rPr>
      </w:pPr>
    </w:p>
    <w:p w14:paraId="43976E90" w14:textId="77777777" w:rsidR="00580D0B" w:rsidRDefault="00580D0B" w:rsidP="00F84D21">
      <w:pPr>
        <w:pBdr>
          <w:bottom w:val="single" w:sz="4" w:space="1" w:color="auto"/>
        </w:pBdr>
        <w:jc w:val="center"/>
        <w:rPr>
          <w:b/>
          <w:bCs/>
          <w:sz w:val="36"/>
          <w:szCs w:val="36"/>
        </w:rPr>
      </w:pPr>
    </w:p>
    <w:p w14:paraId="101E0E89" w14:textId="5C23B360" w:rsidR="00FF2C38" w:rsidRDefault="00FF2C38" w:rsidP="002D099A">
      <w:pPr>
        <w:pBdr>
          <w:bottom w:val="single" w:sz="4" w:space="1" w:color="auto"/>
        </w:pBdr>
        <w:rPr>
          <w:b/>
          <w:bCs/>
          <w:sz w:val="36"/>
          <w:szCs w:val="36"/>
        </w:rPr>
      </w:pPr>
      <w:r>
        <w:rPr>
          <w:b/>
          <w:bCs/>
          <w:sz w:val="36"/>
          <w:szCs w:val="36"/>
        </w:rPr>
        <w:t>Student Name: Corina Stefan</w:t>
      </w:r>
    </w:p>
    <w:p w14:paraId="3F06D672" w14:textId="26E84D06" w:rsidR="00FF2C38" w:rsidRDefault="00FF2C38" w:rsidP="002D099A">
      <w:pPr>
        <w:pBdr>
          <w:bottom w:val="single" w:sz="4" w:space="1" w:color="auto"/>
        </w:pBdr>
        <w:rPr>
          <w:b/>
          <w:bCs/>
          <w:sz w:val="36"/>
          <w:szCs w:val="36"/>
        </w:rPr>
      </w:pPr>
      <w:r>
        <w:rPr>
          <w:b/>
          <w:bCs/>
          <w:sz w:val="36"/>
          <w:szCs w:val="36"/>
        </w:rPr>
        <w:t>Student ID: 2108562</w:t>
      </w:r>
    </w:p>
    <w:p w14:paraId="620B2823" w14:textId="77777777" w:rsidR="00580D0B" w:rsidRDefault="00580D0B" w:rsidP="002D099A">
      <w:pPr>
        <w:pBdr>
          <w:bottom w:val="single" w:sz="4" w:space="1" w:color="auto"/>
        </w:pBdr>
        <w:rPr>
          <w:b/>
          <w:bCs/>
          <w:sz w:val="36"/>
          <w:szCs w:val="36"/>
        </w:rPr>
      </w:pPr>
    </w:p>
    <w:p w14:paraId="31C29FE9" w14:textId="77777777" w:rsidR="00580D0B" w:rsidRDefault="00580D0B" w:rsidP="002D099A">
      <w:pPr>
        <w:pBdr>
          <w:bottom w:val="single" w:sz="4" w:space="1" w:color="auto"/>
        </w:pBdr>
        <w:rPr>
          <w:b/>
          <w:bCs/>
          <w:sz w:val="36"/>
          <w:szCs w:val="36"/>
        </w:rPr>
      </w:pPr>
    </w:p>
    <w:p w14:paraId="471F24CD" w14:textId="11493F30" w:rsidR="006B31C4" w:rsidRDefault="00DB11BF" w:rsidP="002D099A">
      <w:pPr>
        <w:pBdr>
          <w:bottom w:val="single" w:sz="4" w:space="1" w:color="auto"/>
        </w:pBdr>
        <w:tabs>
          <w:tab w:val="left" w:pos="5850"/>
        </w:tabs>
        <w:jc w:val="left"/>
        <w:rPr>
          <w:b/>
          <w:bCs/>
          <w:sz w:val="36"/>
          <w:szCs w:val="36"/>
        </w:rPr>
      </w:pPr>
      <w:r>
        <w:rPr>
          <w:b/>
          <w:bCs/>
          <w:sz w:val="36"/>
          <w:szCs w:val="36"/>
        </w:rPr>
        <w:t xml:space="preserve">                                            </w:t>
      </w:r>
      <w:r w:rsidR="002D099A">
        <w:rPr>
          <w:b/>
          <w:bCs/>
          <w:sz w:val="36"/>
          <w:szCs w:val="36"/>
        </w:rPr>
        <w:t>Lecturer</w:t>
      </w:r>
      <w:r w:rsidR="00B05160">
        <w:rPr>
          <w:b/>
          <w:bCs/>
          <w:sz w:val="36"/>
          <w:szCs w:val="36"/>
        </w:rPr>
        <w:t>:</w:t>
      </w:r>
      <w:r>
        <w:rPr>
          <w:b/>
          <w:bCs/>
          <w:sz w:val="36"/>
          <w:szCs w:val="36"/>
        </w:rPr>
        <w:t xml:space="preserve"> </w:t>
      </w:r>
      <w:r w:rsidR="00191FA3">
        <w:rPr>
          <w:b/>
          <w:bCs/>
          <w:sz w:val="36"/>
          <w:szCs w:val="36"/>
        </w:rPr>
        <w:t>Rodrigo F. A</w:t>
      </w:r>
      <w:r>
        <w:rPr>
          <w:b/>
          <w:bCs/>
          <w:sz w:val="36"/>
          <w:szCs w:val="36"/>
        </w:rPr>
        <w:t>guilera</w:t>
      </w:r>
    </w:p>
    <w:p w14:paraId="236F136D" w14:textId="4DF978E4" w:rsidR="006B31C4" w:rsidRDefault="00580D0B" w:rsidP="00F84D21">
      <w:pPr>
        <w:pBdr>
          <w:bottom w:val="single" w:sz="4" w:space="1" w:color="auto"/>
        </w:pBdr>
        <w:jc w:val="center"/>
        <w:rPr>
          <w:b/>
          <w:bCs/>
          <w:sz w:val="36"/>
          <w:szCs w:val="36"/>
        </w:rPr>
      </w:pPr>
      <w:r>
        <w:rPr>
          <w:b/>
          <w:bCs/>
          <w:sz w:val="36"/>
          <w:szCs w:val="36"/>
        </w:rPr>
        <w:t xml:space="preserve">                      </w:t>
      </w:r>
      <w:r w:rsidR="00DB11BF">
        <w:rPr>
          <w:b/>
          <w:bCs/>
          <w:sz w:val="36"/>
          <w:szCs w:val="36"/>
        </w:rPr>
        <w:t>Module</w:t>
      </w:r>
      <w:r>
        <w:rPr>
          <w:b/>
          <w:bCs/>
          <w:sz w:val="36"/>
          <w:szCs w:val="36"/>
        </w:rPr>
        <w:t>: BMIH5003</w:t>
      </w:r>
    </w:p>
    <w:p w14:paraId="45A489C3" w14:textId="77777777" w:rsidR="006B31C4" w:rsidRDefault="006B31C4" w:rsidP="00F84D21">
      <w:pPr>
        <w:pBdr>
          <w:bottom w:val="single" w:sz="4" w:space="1" w:color="auto"/>
        </w:pBdr>
        <w:jc w:val="center"/>
        <w:rPr>
          <w:b/>
          <w:bCs/>
          <w:sz w:val="36"/>
          <w:szCs w:val="36"/>
        </w:rPr>
      </w:pPr>
    </w:p>
    <w:p w14:paraId="7461B61D" w14:textId="77777777" w:rsidR="00580D0B" w:rsidRDefault="00580D0B" w:rsidP="00F84D21">
      <w:pPr>
        <w:pBdr>
          <w:bottom w:val="single" w:sz="4" w:space="1" w:color="auto"/>
        </w:pBdr>
        <w:jc w:val="center"/>
        <w:rPr>
          <w:b/>
          <w:bCs/>
          <w:sz w:val="36"/>
          <w:szCs w:val="36"/>
        </w:rPr>
      </w:pPr>
    </w:p>
    <w:p w14:paraId="4F8B1A34" w14:textId="77777777" w:rsidR="00580D0B" w:rsidRDefault="00580D0B" w:rsidP="00580D0B">
      <w:pPr>
        <w:pBdr>
          <w:bottom w:val="single" w:sz="4" w:space="1" w:color="auto"/>
        </w:pBdr>
        <w:rPr>
          <w:b/>
          <w:bCs/>
          <w:sz w:val="36"/>
          <w:szCs w:val="36"/>
        </w:rPr>
      </w:pPr>
    </w:p>
    <w:p w14:paraId="0E0AF9E0" w14:textId="77777777" w:rsidR="00580D0B" w:rsidRDefault="00580D0B" w:rsidP="00F84D21">
      <w:pPr>
        <w:pBdr>
          <w:bottom w:val="single" w:sz="4" w:space="1" w:color="auto"/>
        </w:pBdr>
        <w:jc w:val="center"/>
        <w:rPr>
          <w:b/>
          <w:bCs/>
          <w:sz w:val="36"/>
          <w:szCs w:val="36"/>
        </w:rPr>
      </w:pPr>
    </w:p>
    <w:p w14:paraId="16927E55" w14:textId="77777777" w:rsidR="006B31C4" w:rsidRDefault="006B31C4" w:rsidP="00F84D21">
      <w:pPr>
        <w:pBdr>
          <w:bottom w:val="single" w:sz="4" w:space="1" w:color="auto"/>
        </w:pBdr>
        <w:jc w:val="center"/>
        <w:rPr>
          <w:b/>
          <w:bCs/>
          <w:sz w:val="36"/>
          <w:szCs w:val="36"/>
        </w:rPr>
      </w:pPr>
    </w:p>
    <w:p w14:paraId="1A3DA85C" w14:textId="03793D21" w:rsidR="00C173DB" w:rsidRPr="00F84D21" w:rsidRDefault="00C173DB" w:rsidP="00F84D21">
      <w:pPr>
        <w:pBdr>
          <w:bottom w:val="single" w:sz="4" w:space="1" w:color="auto"/>
        </w:pBdr>
        <w:jc w:val="center"/>
        <w:rPr>
          <w:b/>
          <w:bCs/>
          <w:sz w:val="36"/>
          <w:szCs w:val="36"/>
        </w:rPr>
      </w:pPr>
      <w:r w:rsidRPr="00F84D21">
        <w:rPr>
          <w:b/>
          <w:bCs/>
          <w:sz w:val="36"/>
          <w:szCs w:val="36"/>
        </w:rPr>
        <w:lastRenderedPageBreak/>
        <w:br w:type="page"/>
      </w:r>
    </w:p>
    <w:sdt>
      <w:sdtPr>
        <w:rPr>
          <w:rFonts w:ascii="Times New Roman" w:eastAsiaTheme="minorHAnsi" w:hAnsi="Times New Roman" w:cstheme="minorBidi"/>
          <w:color w:val="auto"/>
          <w:sz w:val="24"/>
          <w:szCs w:val="22"/>
          <w:lang w:val="en-GB"/>
        </w:rPr>
        <w:id w:val="-107121318"/>
        <w:docPartObj>
          <w:docPartGallery w:val="Table of Contents"/>
          <w:docPartUnique/>
        </w:docPartObj>
      </w:sdtPr>
      <w:sdtEndPr>
        <w:rPr>
          <w:b/>
          <w:bCs/>
          <w:noProof/>
        </w:rPr>
      </w:sdtEndPr>
      <w:sdtContent>
        <w:p w14:paraId="7D469372" w14:textId="02D9E914" w:rsidR="008F74C9" w:rsidRDefault="008F74C9">
          <w:pPr>
            <w:pStyle w:val="TOCHeading"/>
          </w:pPr>
          <w:r>
            <w:t>Table of Contents</w:t>
          </w:r>
        </w:p>
        <w:p w14:paraId="517AF112" w14:textId="15A3D658" w:rsidR="00E91A90" w:rsidRDefault="008F74C9">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20521538" w:history="1">
            <w:r w:rsidR="00E91A90" w:rsidRPr="00A176B6">
              <w:rPr>
                <w:rStyle w:val="Hyperlink"/>
                <w:rFonts w:eastAsia="Times New Roman"/>
                <w:noProof/>
                <w:lang w:val="en-IN" w:eastAsia="en-IN"/>
              </w:rPr>
              <w:t>Assessment Component 2 – Cultural Awareness</w:t>
            </w:r>
            <w:r w:rsidR="00E91A90">
              <w:rPr>
                <w:noProof/>
                <w:webHidden/>
              </w:rPr>
              <w:tab/>
            </w:r>
            <w:r w:rsidR="00E91A90">
              <w:rPr>
                <w:noProof/>
                <w:webHidden/>
              </w:rPr>
              <w:fldChar w:fldCharType="begin"/>
            </w:r>
            <w:r w:rsidR="00E91A90">
              <w:rPr>
                <w:noProof/>
                <w:webHidden/>
              </w:rPr>
              <w:instrText xml:space="preserve"> PAGEREF _Toc120521538 \h </w:instrText>
            </w:r>
            <w:r w:rsidR="00E91A90">
              <w:rPr>
                <w:noProof/>
                <w:webHidden/>
              </w:rPr>
            </w:r>
            <w:r w:rsidR="00E91A90">
              <w:rPr>
                <w:noProof/>
                <w:webHidden/>
              </w:rPr>
              <w:fldChar w:fldCharType="separate"/>
            </w:r>
            <w:r w:rsidR="00E91A90">
              <w:rPr>
                <w:noProof/>
                <w:webHidden/>
              </w:rPr>
              <w:t>3</w:t>
            </w:r>
            <w:r w:rsidR="00E91A90">
              <w:rPr>
                <w:noProof/>
                <w:webHidden/>
              </w:rPr>
              <w:fldChar w:fldCharType="end"/>
            </w:r>
          </w:hyperlink>
        </w:p>
        <w:p w14:paraId="747F1C99" w14:textId="1E35DE8A" w:rsidR="00E91A90" w:rsidRDefault="00000000">
          <w:pPr>
            <w:pStyle w:val="TOC2"/>
            <w:tabs>
              <w:tab w:val="right" w:leader="dot" w:pos="9016"/>
            </w:tabs>
            <w:rPr>
              <w:rFonts w:asciiTheme="minorHAnsi" w:eastAsiaTheme="minorEastAsia" w:hAnsiTheme="minorHAnsi"/>
              <w:noProof/>
              <w:sz w:val="22"/>
              <w:lang w:val="en-IN" w:eastAsia="en-IN"/>
            </w:rPr>
          </w:pPr>
          <w:hyperlink w:anchor="_Toc120521539" w:history="1">
            <w:r w:rsidR="00E91A90" w:rsidRPr="00A176B6">
              <w:rPr>
                <w:rStyle w:val="Hyperlink"/>
                <w:rFonts w:eastAsia="Times New Roman"/>
                <w:noProof/>
                <w:lang w:val="en-IN" w:eastAsia="en-IN"/>
              </w:rPr>
              <w:t>Introduction</w:t>
            </w:r>
            <w:r w:rsidR="00E91A90">
              <w:rPr>
                <w:noProof/>
                <w:webHidden/>
              </w:rPr>
              <w:tab/>
            </w:r>
            <w:r w:rsidR="00E91A90">
              <w:rPr>
                <w:noProof/>
                <w:webHidden/>
              </w:rPr>
              <w:fldChar w:fldCharType="begin"/>
            </w:r>
            <w:r w:rsidR="00E91A90">
              <w:rPr>
                <w:noProof/>
                <w:webHidden/>
              </w:rPr>
              <w:instrText xml:space="preserve"> PAGEREF _Toc120521539 \h </w:instrText>
            </w:r>
            <w:r w:rsidR="00E91A90">
              <w:rPr>
                <w:noProof/>
                <w:webHidden/>
              </w:rPr>
            </w:r>
            <w:r w:rsidR="00E91A90">
              <w:rPr>
                <w:noProof/>
                <w:webHidden/>
              </w:rPr>
              <w:fldChar w:fldCharType="separate"/>
            </w:r>
            <w:r w:rsidR="00E91A90">
              <w:rPr>
                <w:noProof/>
                <w:webHidden/>
              </w:rPr>
              <w:t>3</w:t>
            </w:r>
            <w:r w:rsidR="00E91A90">
              <w:rPr>
                <w:noProof/>
                <w:webHidden/>
              </w:rPr>
              <w:fldChar w:fldCharType="end"/>
            </w:r>
          </w:hyperlink>
        </w:p>
        <w:p w14:paraId="4B790A59" w14:textId="14E20ACC" w:rsidR="00E91A90" w:rsidRDefault="00000000">
          <w:pPr>
            <w:pStyle w:val="TOC2"/>
            <w:tabs>
              <w:tab w:val="right" w:leader="dot" w:pos="9016"/>
            </w:tabs>
            <w:rPr>
              <w:rFonts w:asciiTheme="minorHAnsi" w:eastAsiaTheme="minorEastAsia" w:hAnsiTheme="minorHAnsi"/>
              <w:noProof/>
              <w:sz w:val="22"/>
              <w:lang w:val="en-IN" w:eastAsia="en-IN"/>
            </w:rPr>
          </w:pPr>
          <w:hyperlink w:anchor="_Toc120521540" w:history="1">
            <w:r w:rsidR="00E91A90" w:rsidRPr="00A176B6">
              <w:rPr>
                <w:rStyle w:val="Hyperlink"/>
                <w:rFonts w:eastAsia="Times New Roman"/>
                <w:noProof/>
                <w:lang w:val="en-IN" w:eastAsia="en-IN"/>
              </w:rPr>
              <w:t>Cultural differences using Hofstede’s model</w:t>
            </w:r>
            <w:r w:rsidR="00E91A90">
              <w:rPr>
                <w:noProof/>
                <w:webHidden/>
              </w:rPr>
              <w:tab/>
            </w:r>
            <w:r w:rsidR="00E91A90">
              <w:rPr>
                <w:noProof/>
                <w:webHidden/>
              </w:rPr>
              <w:fldChar w:fldCharType="begin"/>
            </w:r>
            <w:r w:rsidR="00E91A90">
              <w:rPr>
                <w:noProof/>
                <w:webHidden/>
              </w:rPr>
              <w:instrText xml:space="preserve"> PAGEREF _Toc120521540 \h </w:instrText>
            </w:r>
            <w:r w:rsidR="00E91A90">
              <w:rPr>
                <w:noProof/>
                <w:webHidden/>
              </w:rPr>
            </w:r>
            <w:r w:rsidR="00E91A90">
              <w:rPr>
                <w:noProof/>
                <w:webHidden/>
              </w:rPr>
              <w:fldChar w:fldCharType="separate"/>
            </w:r>
            <w:r w:rsidR="00E91A90">
              <w:rPr>
                <w:noProof/>
                <w:webHidden/>
              </w:rPr>
              <w:t>4</w:t>
            </w:r>
            <w:r w:rsidR="00E91A90">
              <w:rPr>
                <w:noProof/>
                <w:webHidden/>
              </w:rPr>
              <w:fldChar w:fldCharType="end"/>
            </w:r>
          </w:hyperlink>
        </w:p>
        <w:p w14:paraId="7D8EE067" w14:textId="5F0384CD" w:rsidR="00E91A90" w:rsidRDefault="00000000">
          <w:pPr>
            <w:pStyle w:val="TOC2"/>
            <w:tabs>
              <w:tab w:val="right" w:leader="dot" w:pos="9016"/>
            </w:tabs>
            <w:rPr>
              <w:rFonts w:asciiTheme="minorHAnsi" w:eastAsiaTheme="minorEastAsia" w:hAnsiTheme="minorHAnsi"/>
              <w:noProof/>
              <w:sz w:val="22"/>
              <w:lang w:val="en-IN" w:eastAsia="en-IN"/>
            </w:rPr>
          </w:pPr>
          <w:hyperlink w:anchor="_Toc120521541" w:history="1">
            <w:r w:rsidR="00E91A90" w:rsidRPr="00A176B6">
              <w:rPr>
                <w:rStyle w:val="Hyperlink"/>
                <w:rFonts w:eastAsia="Times New Roman"/>
                <w:noProof/>
                <w:lang w:val="en-IN" w:eastAsia="en-IN"/>
              </w:rPr>
              <w:t>Do’s and Don’ts for the employees of the hotel</w:t>
            </w:r>
            <w:r w:rsidR="00E91A90">
              <w:rPr>
                <w:noProof/>
                <w:webHidden/>
              </w:rPr>
              <w:tab/>
            </w:r>
            <w:r w:rsidR="00E91A90">
              <w:rPr>
                <w:noProof/>
                <w:webHidden/>
              </w:rPr>
              <w:fldChar w:fldCharType="begin"/>
            </w:r>
            <w:r w:rsidR="00E91A90">
              <w:rPr>
                <w:noProof/>
                <w:webHidden/>
              </w:rPr>
              <w:instrText xml:space="preserve"> PAGEREF _Toc120521541 \h </w:instrText>
            </w:r>
            <w:r w:rsidR="00E91A90">
              <w:rPr>
                <w:noProof/>
                <w:webHidden/>
              </w:rPr>
            </w:r>
            <w:r w:rsidR="00E91A90">
              <w:rPr>
                <w:noProof/>
                <w:webHidden/>
              </w:rPr>
              <w:fldChar w:fldCharType="separate"/>
            </w:r>
            <w:r w:rsidR="00E91A90">
              <w:rPr>
                <w:noProof/>
                <w:webHidden/>
              </w:rPr>
              <w:t>5</w:t>
            </w:r>
            <w:r w:rsidR="00E91A90">
              <w:rPr>
                <w:noProof/>
                <w:webHidden/>
              </w:rPr>
              <w:fldChar w:fldCharType="end"/>
            </w:r>
          </w:hyperlink>
        </w:p>
        <w:p w14:paraId="6D43DB15" w14:textId="604A9657" w:rsidR="00E91A90" w:rsidRDefault="00000000">
          <w:pPr>
            <w:pStyle w:val="TOC2"/>
            <w:tabs>
              <w:tab w:val="right" w:leader="dot" w:pos="9016"/>
            </w:tabs>
            <w:rPr>
              <w:rFonts w:asciiTheme="minorHAnsi" w:eastAsiaTheme="minorEastAsia" w:hAnsiTheme="minorHAnsi"/>
              <w:noProof/>
              <w:sz w:val="22"/>
              <w:lang w:val="en-IN" w:eastAsia="en-IN"/>
            </w:rPr>
          </w:pPr>
          <w:hyperlink w:anchor="_Toc120521542" w:history="1">
            <w:r w:rsidR="00E91A90" w:rsidRPr="00A176B6">
              <w:rPr>
                <w:rStyle w:val="Hyperlink"/>
                <w:rFonts w:eastAsia="Times New Roman"/>
                <w:noProof/>
                <w:lang w:val="en-IN" w:eastAsia="en-IN"/>
              </w:rPr>
              <w:t>Conclusion</w:t>
            </w:r>
            <w:r w:rsidR="00E91A90">
              <w:rPr>
                <w:noProof/>
                <w:webHidden/>
              </w:rPr>
              <w:tab/>
            </w:r>
            <w:r w:rsidR="00E91A90">
              <w:rPr>
                <w:noProof/>
                <w:webHidden/>
              </w:rPr>
              <w:fldChar w:fldCharType="begin"/>
            </w:r>
            <w:r w:rsidR="00E91A90">
              <w:rPr>
                <w:noProof/>
                <w:webHidden/>
              </w:rPr>
              <w:instrText xml:space="preserve"> PAGEREF _Toc120521542 \h </w:instrText>
            </w:r>
            <w:r w:rsidR="00E91A90">
              <w:rPr>
                <w:noProof/>
                <w:webHidden/>
              </w:rPr>
            </w:r>
            <w:r w:rsidR="00E91A90">
              <w:rPr>
                <w:noProof/>
                <w:webHidden/>
              </w:rPr>
              <w:fldChar w:fldCharType="separate"/>
            </w:r>
            <w:r w:rsidR="00E91A90">
              <w:rPr>
                <w:noProof/>
                <w:webHidden/>
              </w:rPr>
              <w:t>7</w:t>
            </w:r>
            <w:r w:rsidR="00E91A90">
              <w:rPr>
                <w:noProof/>
                <w:webHidden/>
              </w:rPr>
              <w:fldChar w:fldCharType="end"/>
            </w:r>
          </w:hyperlink>
        </w:p>
        <w:p w14:paraId="5F38A4A5" w14:textId="4AB77BA1" w:rsidR="00E91A90" w:rsidRDefault="00000000">
          <w:pPr>
            <w:pStyle w:val="TOC1"/>
            <w:tabs>
              <w:tab w:val="right" w:leader="dot" w:pos="9016"/>
            </w:tabs>
            <w:rPr>
              <w:rFonts w:asciiTheme="minorHAnsi" w:eastAsiaTheme="minorEastAsia" w:hAnsiTheme="minorHAnsi"/>
              <w:noProof/>
              <w:sz w:val="22"/>
              <w:lang w:val="en-IN" w:eastAsia="en-IN"/>
            </w:rPr>
          </w:pPr>
          <w:hyperlink w:anchor="_Toc120521543" w:history="1">
            <w:r w:rsidR="00E91A90" w:rsidRPr="00A176B6">
              <w:rPr>
                <w:rStyle w:val="Hyperlink"/>
                <w:noProof/>
              </w:rPr>
              <w:t>References</w:t>
            </w:r>
            <w:r w:rsidR="00E91A90">
              <w:rPr>
                <w:noProof/>
                <w:webHidden/>
              </w:rPr>
              <w:tab/>
            </w:r>
            <w:r w:rsidR="00E91A90">
              <w:rPr>
                <w:noProof/>
                <w:webHidden/>
              </w:rPr>
              <w:fldChar w:fldCharType="begin"/>
            </w:r>
            <w:r w:rsidR="00E91A90">
              <w:rPr>
                <w:noProof/>
                <w:webHidden/>
              </w:rPr>
              <w:instrText xml:space="preserve"> PAGEREF _Toc120521543 \h </w:instrText>
            </w:r>
            <w:r w:rsidR="00E91A90">
              <w:rPr>
                <w:noProof/>
                <w:webHidden/>
              </w:rPr>
            </w:r>
            <w:r w:rsidR="00E91A90">
              <w:rPr>
                <w:noProof/>
                <w:webHidden/>
              </w:rPr>
              <w:fldChar w:fldCharType="separate"/>
            </w:r>
            <w:r w:rsidR="00E91A90">
              <w:rPr>
                <w:noProof/>
                <w:webHidden/>
              </w:rPr>
              <w:t>8</w:t>
            </w:r>
            <w:r w:rsidR="00E91A90">
              <w:rPr>
                <w:noProof/>
                <w:webHidden/>
              </w:rPr>
              <w:fldChar w:fldCharType="end"/>
            </w:r>
          </w:hyperlink>
        </w:p>
        <w:p w14:paraId="17937A5F" w14:textId="1B113D10" w:rsidR="008F74C9" w:rsidRDefault="008F74C9">
          <w:r>
            <w:rPr>
              <w:b/>
              <w:bCs/>
              <w:noProof/>
            </w:rPr>
            <w:fldChar w:fldCharType="end"/>
          </w:r>
        </w:p>
      </w:sdtContent>
    </w:sdt>
    <w:p w14:paraId="7797C926" w14:textId="150CBD28" w:rsidR="00C173DB" w:rsidRDefault="00C173DB">
      <w:r>
        <w:br w:type="page"/>
      </w:r>
    </w:p>
    <w:p w14:paraId="387E2021" w14:textId="4BCD2A9A" w:rsidR="00C173DB" w:rsidRPr="00C173DB" w:rsidRDefault="00C173DB" w:rsidP="000B75F2">
      <w:pPr>
        <w:pStyle w:val="Heading2"/>
        <w:rPr>
          <w:rFonts w:eastAsia="Times New Roman"/>
          <w:lang w:val="en-IN" w:eastAsia="en-IN"/>
        </w:rPr>
      </w:pPr>
      <w:bookmarkStart w:id="0" w:name="_Toc120521539"/>
      <w:r w:rsidRPr="00C173DB">
        <w:rPr>
          <w:rFonts w:eastAsia="Times New Roman"/>
          <w:lang w:val="en-IN" w:eastAsia="en-IN"/>
        </w:rPr>
        <w:lastRenderedPageBreak/>
        <w:t>Introduction</w:t>
      </w:r>
      <w:bookmarkEnd w:id="0"/>
    </w:p>
    <w:p w14:paraId="59A37544" w14:textId="77777777" w:rsidR="00C173DB" w:rsidRPr="00C173DB" w:rsidRDefault="00C173DB" w:rsidP="00C173DB">
      <w:pPr>
        <w:spacing w:after="0"/>
        <w:rPr>
          <w:rFonts w:eastAsia="Times New Roman" w:cs="Times New Roman"/>
          <w:szCs w:val="24"/>
          <w:lang w:val="en-IN" w:eastAsia="en-IN"/>
        </w:rPr>
      </w:pPr>
      <w:r w:rsidRPr="00C173DB">
        <w:rPr>
          <w:rFonts w:eastAsia="Times New Roman" w:cs="Times New Roman"/>
          <w:color w:val="000000"/>
          <w:szCs w:val="24"/>
          <w:lang w:val="en-IN" w:eastAsia="en-IN"/>
        </w:rPr>
        <w:t>This written handbook is for the employees of the hotel. It is a compilation of practices and policies for hotel personnel. It will elaborate the knowledge for staff to manage international guests by providing them with good guest service experiences. This document will discuss the cultural differences, customs and behaviour of different international countries through Hofstede's comparison. An Australian hotel will serve Indonesian guests. The hotel staff needs to follow some “Do’s and Don’ts” while serving international guests. Hofstede's comparison will be drawn between Australia and Indonesia to identify the key differences. </w:t>
      </w:r>
    </w:p>
    <w:p w14:paraId="22E3A63F" w14:textId="77777777" w:rsidR="000B75F2" w:rsidRDefault="000B75F2">
      <w:pPr>
        <w:spacing w:after="160" w:line="259" w:lineRule="auto"/>
        <w:jc w:val="left"/>
        <w:rPr>
          <w:rFonts w:eastAsia="Times New Roman" w:cstheme="majorBidi"/>
          <w:b/>
          <w:sz w:val="26"/>
          <w:szCs w:val="26"/>
          <w:lang w:val="en-IN" w:eastAsia="en-IN"/>
        </w:rPr>
      </w:pPr>
      <w:r>
        <w:rPr>
          <w:rFonts w:eastAsia="Times New Roman"/>
          <w:lang w:val="en-IN" w:eastAsia="en-IN"/>
        </w:rPr>
        <w:br w:type="page"/>
      </w:r>
    </w:p>
    <w:p w14:paraId="6ED6A564" w14:textId="6DB70FBD" w:rsidR="00C173DB" w:rsidRPr="00C173DB" w:rsidRDefault="00C173DB" w:rsidP="000B75F2">
      <w:pPr>
        <w:pStyle w:val="Heading2"/>
        <w:rPr>
          <w:rFonts w:eastAsia="Times New Roman"/>
          <w:lang w:val="en-IN" w:eastAsia="en-IN"/>
        </w:rPr>
      </w:pPr>
      <w:bookmarkStart w:id="1" w:name="_Toc120521540"/>
      <w:r w:rsidRPr="00C173DB">
        <w:rPr>
          <w:rFonts w:eastAsia="Times New Roman"/>
          <w:lang w:val="en-IN" w:eastAsia="en-IN"/>
        </w:rPr>
        <w:lastRenderedPageBreak/>
        <w:t>Cultural differences using Hofstede’s model</w:t>
      </w:r>
      <w:bookmarkEnd w:id="1"/>
    </w:p>
    <w:p w14:paraId="31E7705E" w14:textId="59B3B70C" w:rsidR="00C173DB" w:rsidRPr="00432D36" w:rsidRDefault="00C173DB" w:rsidP="00C173DB">
      <w:pPr>
        <w:spacing w:after="0"/>
        <w:rPr>
          <w:rFonts w:eastAsia="Times New Roman" w:cs="Times New Roman"/>
          <w:szCs w:val="24"/>
          <w:lang w:val="en-IN" w:eastAsia="en-IN"/>
        </w:rPr>
      </w:pPr>
      <w:r w:rsidRPr="00C173DB">
        <w:rPr>
          <w:rFonts w:eastAsia="Times New Roman" w:cs="Times New Roman"/>
          <w:color w:val="000000"/>
          <w:szCs w:val="24"/>
          <w:lang w:val="en-IN" w:eastAsia="en-IN"/>
        </w:rPr>
        <w:t>The hotel is</w:t>
      </w:r>
      <w:r w:rsidR="00C77F70">
        <w:rPr>
          <w:rFonts w:eastAsia="Times New Roman" w:cs="Times New Roman"/>
          <w:color w:val="000000"/>
          <w:szCs w:val="24"/>
          <w:lang w:val="en-IN" w:eastAsia="en-IN"/>
        </w:rPr>
        <w:t xml:space="preserve"> located</w:t>
      </w:r>
      <w:r w:rsidRPr="00C173DB">
        <w:rPr>
          <w:rFonts w:eastAsia="Times New Roman" w:cs="Times New Roman"/>
          <w:color w:val="000000"/>
          <w:szCs w:val="24"/>
          <w:lang w:val="en-IN" w:eastAsia="en-IN"/>
        </w:rPr>
        <w:t xml:space="preserve"> in Australia and will cater for Indonesian guests. </w:t>
      </w:r>
      <w:r w:rsidR="005C3C11">
        <w:rPr>
          <w:rFonts w:eastAsia="Times New Roman" w:cs="Times New Roman"/>
          <w:color w:val="000000"/>
          <w:szCs w:val="24"/>
          <w:lang w:val="en-IN" w:eastAsia="en-IN"/>
        </w:rPr>
        <w:t>T</w:t>
      </w:r>
      <w:r w:rsidRPr="00C173DB">
        <w:rPr>
          <w:rFonts w:eastAsia="Times New Roman" w:cs="Times New Roman"/>
          <w:color w:val="000000"/>
          <w:szCs w:val="24"/>
          <w:lang w:val="en-IN" w:eastAsia="en-IN"/>
        </w:rPr>
        <w:t>he comparison will be</w:t>
      </w:r>
      <w:r w:rsidR="005C3C11">
        <w:rPr>
          <w:rFonts w:eastAsia="Times New Roman" w:cs="Times New Roman"/>
          <w:color w:val="000000"/>
          <w:szCs w:val="24"/>
          <w:lang w:val="en-IN" w:eastAsia="en-IN"/>
        </w:rPr>
        <w:t xml:space="preserve"> applied</w:t>
      </w:r>
      <w:r w:rsidRPr="00C173DB">
        <w:rPr>
          <w:rFonts w:eastAsia="Times New Roman" w:cs="Times New Roman"/>
          <w:color w:val="000000"/>
          <w:szCs w:val="24"/>
          <w:lang w:val="en-IN" w:eastAsia="en-IN"/>
        </w:rPr>
        <w:t xml:space="preserve"> </w:t>
      </w:r>
      <w:r w:rsidRPr="00432D36">
        <w:rPr>
          <w:rFonts w:eastAsia="Times New Roman" w:cs="Times New Roman"/>
          <w:color w:val="000000"/>
          <w:szCs w:val="24"/>
          <w:lang w:val="en-IN" w:eastAsia="en-IN"/>
        </w:rPr>
        <w:t xml:space="preserve">between </w:t>
      </w:r>
      <w:r w:rsidRPr="00C32CEB">
        <w:rPr>
          <w:rFonts w:eastAsia="Times New Roman" w:cs="Times New Roman"/>
          <w:color w:val="000000"/>
          <w:szCs w:val="24"/>
          <w:lang w:val="en-IN" w:eastAsia="en-IN"/>
        </w:rPr>
        <w:t>Australia and Indonesia to identify their cultural differences</w:t>
      </w:r>
      <w:r w:rsidR="0055600F" w:rsidRPr="00432D36">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709888582"/>
          <w:citation/>
        </w:sdtPr>
        <w:sdtContent>
          <w:r w:rsidR="0055600F" w:rsidRPr="00432D36">
            <w:rPr>
              <w:rFonts w:eastAsia="Times New Roman" w:cs="Times New Roman"/>
              <w:color w:val="000000"/>
              <w:szCs w:val="24"/>
              <w:lang w:val="en-IN" w:eastAsia="en-IN"/>
            </w:rPr>
            <w:fldChar w:fldCharType="begin"/>
          </w:r>
          <w:r w:rsidR="0055600F" w:rsidRPr="00432D36">
            <w:rPr>
              <w:rFonts w:eastAsia="Times New Roman" w:cs="Times New Roman"/>
              <w:color w:val="000000"/>
              <w:szCs w:val="24"/>
              <w:lang w:val="en-IN" w:eastAsia="en-IN"/>
            </w:rPr>
            <w:instrText xml:space="preserve"> CITATION hof22 \l 16393 </w:instrText>
          </w:r>
          <w:r w:rsidR="0055600F"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(hofstede-insights, 2022)</w:t>
          </w:r>
          <w:r w:rsidR="0055600F" w:rsidRPr="00432D36">
            <w:rPr>
              <w:rFonts w:eastAsia="Times New Roman" w:cs="Times New Roman"/>
              <w:color w:val="000000"/>
              <w:szCs w:val="24"/>
              <w:lang w:val="en-IN" w:eastAsia="en-IN"/>
            </w:rPr>
            <w:fldChar w:fldCharType="end"/>
          </w:r>
        </w:sdtContent>
      </w:sdt>
      <w:r w:rsidRPr="00432D36">
        <w:rPr>
          <w:rFonts w:eastAsia="Times New Roman" w:cs="Times New Roman"/>
          <w:color w:val="000000"/>
          <w:szCs w:val="24"/>
          <w:lang w:val="en-IN" w:eastAsia="en-IN"/>
        </w:rPr>
        <w:t>. </w:t>
      </w:r>
      <w:r w:rsidR="008233A1" w:rsidRPr="00432D36">
        <w:rPr>
          <w:rFonts w:eastAsia="Times New Roman" w:cs="Times New Roman"/>
          <w:color w:val="000000"/>
          <w:szCs w:val="24"/>
          <w:lang w:val="en-IN" w:eastAsia="en-IN"/>
        </w:rPr>
        <w:t xml:space="preserve">The guests </w:t>
      </w:r>
      <w:r w:rsidR="00E766D4">
        <w:rPr>
          <w:rFonts w:eastAsia="Times New Roman" w:cs="Times New Roman"/>
          <w:color w:val="000000"/>
          <w:szCs w:val="24"/>
          <w:lang w:val="en-IN" w:eastAsia="en-IN"/>
        </w:rPr>
        <w:t>originate</w:t>
      </w:r>
      <w:r w:rsidR="008233A1" w:rsidRPr="00432D36">
        <w:rPr>
          <w:rFonts w:eastAsia="Times New Roman" w:cs="Times New Roman"/>
          <w:color w:val="000000"/>
          <w:szCs w:val="24"/>
          <w:lang w:val="en-IN" w:eastAsia="en-IN"/>
        </w:rPr>
        <w:t xml:space="preserve"> from Indonesia. They will visit the Australian Hotel and the hotel staff needs to know </w:t>
      </w:r>
      <w:r w:rsidR="00E766D4">
        <w:rPr>
          <w:rFonts w:eastAsia="Times New Roman" w:cs="Times New Roman"/>
          <w:color w:val="000000"/>
          <w:szCs w:val="24"/>
          <w:lang w:val="en-IN" w:eastAsia="en-IN"/>
        </w:rPr>
        <w:t xml:space="preserve">and </w:t>
      </w:r>
      <w:r w:rsidR="008233A1" w:rsidRPr="00432D36">
        <w:rPr>
          <w:rFonts w:eastAsia="Times New Roman" w:cs="Times New Roman"/>
          <w:color w:val="000000"/>
          <w:szCs w:val="24"/>
          <w:lang w:val="en-IN" w:eastAsia="en-IN"/>
        </w:rPr>
        <w:t>to understand the culture of Indonesia and recognise the cultural differences between the two countries. </w:t>
      </w:r>
    </w:p>
    <w:p w14:paraId="16CE8325" w14:textId="1347DCA7" w:rsidR="00C173DB" w:rsidRPr="00432D36" w:rsidRDefault="00C173DB" w:rsidP="00C173DB">
      <w:pPr>
        <w:spacing w:after="0"/>
        <w:rPr>
          <w:rFonts w:eastAsia="Times New Roman" w:cs="Times New Roman"/>
          <w:szCs w:val="24"/>
          <w:lang w:val="en-IN" w:eastAsia="en-IN"/>
        </w:rPr>
      </w:pPr>
      <w:r w:rsidRPr="00432D36">
        <w:rPr>
          <w:rFonts w:eastAsia="Times New Roman" w:cs="Times New Roman"/>
          <w:b/>
          <w:bCs/>
          <w:color w:val="000000"/>
          <w:szCs w:val="24"/>
          <w:lang w:val="en-IN" w:eastAsia="en-IN"/>
        </w:rPr>
        <w:t xml:space="preserve">Power Distance: </w:t>
      </w:r>
      <w:r w:rsidR="00A36622" w:rsidRPr="00432D36">
        <w:rPr>
          <w:color w:val="000000"/>
          <w:szCs w:val="24"/>
        </w:rPr>
        <w:t xml:space="preserve">The degree to which the less powerful members of organisations within a country accept and prefer that power is unequally distributed is known as "power distance." The truth is that both the leaders and the followers support social inequality. Australia has a low grade </w:t>
      </w:r>
      <w:r w:rsidR="003A27CB">
        <w:rPr>
          <w:color w:val="000000"/>
          <w:szCs w:val="24"/>
        </w:rPr>
        <w:t>regarding</w:t>
      </w:r>
      <w:r w:rsidR="00A36622" w:rsidRPr="00432D36">
        <w:rPr>
          <w:color w:val="000000"/>
          <w:szCs w:val="24"/>
        </w:rPr>
        <w:t xml:space="preserve"> this metric (36). Within Australian organisations, there is always access to convenience, yet a hierarchy is built for superiors. The knowledge of certain workers and teams is relied upon by the managers. Both staff members and management are expected to frequently discuss and consult the knowledge </w:t>
      </w:r>
      <w:sdt>
        <w:sdtPr>
          <w:rPr>
            <w:rFonts w:eastAsia="Times New Roman" w:cs="Times New Roman"/>
            <w:color w:val="000000"/>
            <w:szCs w:val="24"/>
            <w:lang w:val="en-IN" w:eastAsia="en-IN"/>
          </w:rPr>
          <w:id w:val="1967932152"/>
          <w:citation/>
        </w:sdtPr>
        <w:sdtContent>
          <w:r w:rsidR="00B06730" w:rsidRPr="00432D36">
            <w:rPr>
              <w:rFonts w:eastAsia="Times New Roman" w:cs="Times New Roman"/>
              <w:color w:val="000000"/>
              <w:szCs w:val="24"/>
              <w:lang w:val="en-IN" w:eastAsia="en-IN"/>
            </w:rPr>
            <w:fldChar w:fldCharType="begin"/>
          </w:r>
          <w:r w:rsidR="00B06730" w:rsidRPr="00432D36">
            <w:rPr>
              <w:rFonts w:eastAsia="Times New Roman" w:cs="Times New Roman"/>
              <w:color w:val="000000"/>
              <w:szCs w:val="24"/>
              <w:lang w:val="en-IN" w:eastAsia="en-IN"/>
            </w:rPr>
            <w:instrText xml:space="preserve"> CITATION Naw20 \l 16393 </w:instrText>
          </w:r>
          <w:r w:rsidR="00B06730"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(Naweed &amp; Kourousis, 2020)</w:t>
          </w:r>
          <w:r w:rsidR="00B06730" w:rsidRPr="00432D36">
            <w:rPr>
              <w:rFonts w:eastAsia="Times New Roman" w:cs="Times New Roman"/>
              <w:color w:val="000000"/>
              <w:szCs w:val="24"/>
              <w:lang w:val="en-IN" w:eastAsia="en-IN"/>
            </w:rPr>
            <w:fldChar w:fldCharType="end"/>
          </w:r>
        </w:sdtContent>
      </w:sdt>
      <w:r w:rsidRPr="00432D36">
        <w:rPr>
          <w:rFonts w:eastAsia="Times New Roman" w:cs="Times New Roman"/>
          <w:color w:val="000000"/>
          <w:szCs w:val="24"/>
          <w:lang w:val="en-IN" w:eastAsia="en-IN"/>
        </w:rPr>
        <w:t>.</w:t>
      </w:r>
      <w:r w:rsidR="00144B08" w:rsidRPr="00432D36">
        <w:rPr>
          <w:rFonts w:eastAsia="Times New Roman" w:cs="Times New Roman"/>
          <w:color w:val="000000"/>
          <w:szCs w:val="24"/>
          <w:lang w:val="en-IN" w:eastAsia="en-IN"/>
        </w:rPr>
        <w:t xml:space="preserve"> In this dimension, Indonesia’s score is 78 which is quite high. It indicates the people in the society are dependent on the hierarchy. There are unequal rights between power and non-power holders. The leaders are directive as the power is centralised and employees expect to be told what to do and when </w:t>
      </w:r>
      <w:sdt>
        <w:sdtPr>
          <w:rPr>
            <w:rFonts w:eastAsia="Times New Roman" w:cs="Times New Roman"/>
            <w:color w:val="000000"/>
            <w:szCs w:val="24"/>
            <w:lang w:val="en-IN" w:eastAsia="en-IN"/>
          </w:rPr>
          <w:id w:val="2037391618"/>
          <w:citation/>
        </w:sdtPr>
        <w:sdtContent>
          <w:r w:rsidR="00144B08" w:rsidRPr="00432D36">
            <w:rPr>
              <w:rFonts w:eastAsia="Times New Roman" w:cs="Times New Roman"/>
              <w:color w:val="000000"/>
              <w:szCs w:val="24"/>
              <w:lang w:val="en-IN" w:eastAsia="en-IN"/>
            </w:rPr>
            <w:fldChar w:fldCharType="begin"/>
          </w:r>
          <w:r w:rsidR="00144B08" w:rsidRPr="00432D36">
            <w:rPr>
              <w:rFonts w:eastAsia="Times New Roman" w:cs="Times New Roman"/>
              <w:color w:val="000000"/>
              <w:szCs w:val="24"/>
              <w:lang w:val="en-IN" w:eastAsia="en-IN"/>
            </w:rPr>
            <w:instrText xml:space="preserve"> CITATION Has20 \l 16393 </w:instrText>
          </w:r>
          <w:r w:rsidR="00144B08"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(Hasani, et al., 2020)</w:t>
          </w:r>
          <w:r w:rsidR="00144B08" w:rsidRPr="00432D36">
            <w:rPr>
              <w:rFonts w:eastAsia="Times New Roman" w:cs="Times New Roman"/>
              <w:color w:val="000000"/>
              <w:szCs w:val="24"/>
              <w:lang w:val="en-IN" w:eastAsia="en-IN"/>
            </w:rPr>
            <w:fldChar w:fldCharType="end"/>
          </w:r>
        </w:sdtContent>
      </w:sdt>
      <w:r w:rsidR="00144B08" w:rsidRPr="00432D36">
        <w:rPr>
          <w:rFonts w:eastAsia="Times New Roman" w:cs="Times New Roman"/>
          <w:color w:val="000000"/>
          <w:szCs w:val="24"/>
          <w:lang w:val="en-IN" w:eastAsia="en-IN"/>
        </w:rPr>
        <w:t>. It is quite higher than the power distance of Australia. </w:t>
      </w:r>
      <w:r w:rsidRPr="00432D36">
        <w:rPr>
          <w:rFonts w:eastAsia="Times New Roman" w:cs="Times New Roman"/>
          <w:color w:val="000000"/>
          <w:szCs w:val="24"/>
          <w:lang w:val="en-IN" w:eastAsia="en-IN"/>
        </w:rPr>
        <w:t>       </w:t>
      </w:r>
    </w:p>
    <w:p w14:paraId="0B89D060" w14:textId="5FF51044" w:rsidR="00C173DB" w:rsidRPr="00432D36" w:rsidRDefault="00C173DB" w:rsidP="00C173DB">
      <w:pPr>
        <w:spacing w:after="0"/>
        <w:rPr>
          <w:rFonts w:eastAsia="Times New Roman" w:cs="Times New Roman"/>
          <w:szCs w:val="24"/>
          <w:lang w:val="en-IN" w:eastAsia="en-IN"/>
        </w:rPr>
      </w:pPr>
      <w:r w:rsidRPr="00432D36">
        <w:rPr>
          <w:rFonts w:eastAsia="Times New Roman" w:cs="Times New Roman"/>
          <w:b/>
          <w:bCs/>
          <w:color w:val="000000"/>
          <w:szCs w:val="24"/>
          <w:lang w:val="en-IN" w:eastAsia="en-IN"/>
        </w:rPr>
        <w:t xml:space="preserve">Individualism: </w:t>
      </w:r>
      <w:r w:rsidR="003E6916" w:rsidRPr="00432D36">
        <w:rPr>
          <w:color w:val="000000"/>
          <w:szCs w:val="24"/>
        </w:rPr>
        <w:t>In individualist civilizations, people typically exclusively take care of themselves and their immediate family. People in collectivist societies are members of "in groups" that provide for each other in return for loyalty</w:t>
      </w:r>
      <w:r w:rsidR="00B86550" w:rsidRPr="00432D36">
        <w:rPr>
          <w:color w:val="000000"/>
          <w:szCs w:val="24"/>
        </w:rPr>
        <w:t xml:space="preserve"> </w:t>
      </w:r>
      <w:sdt>
        <w:sdtPr>
          <w:rPr>
            <w:color w:val="000000"/>
            <w:szCs w:val="24"/>
          </w:rPr>
          <w:id w:val="-852958647"/>
          <w:citation/>
        </w:sdtPr>
        <w:sdtContent>
          <w:r w:rsidR="00B86550" w:rsidRPr="00432D36">
            <w:rPr>
              <w:color w:val="000000"/>
              <w:szCs w:val="24"/>
            </w:rPr>
            <w:fldChar w:fldCharType="begin"/>
          </w:r>
          <w:r w:rsidR="00B86550" w:rsidRPr="00432D36">
            <w:rPr>
              <w:color w:val="000000"/>
              <w:szCs w:val="24"/>
              <w:lang w:val="en-IN"/>
            </w:rPr>
            <w:instrText xml:space="preserve"> CITATION Mas19 \l 16393 </w:instrText>
          </w:r>
          <w:r w:rsidR="00B86550" w:rsidRPr="00432D36">
            <w:rPr>
              <w:color w:val="000000"/>
              <w:szCs w:val="24"/>
            </w:rPr>
            <w:fldChar w:fldCharType="separate"/>
          </w:r>
          <w:r w:rsidR="008C5670" w:rsidRPr="00432D36">
            <w:rPr>
              <w:noProof/>
              <w:color w:val="000000"/>
              <w:szCs w:val="24"/>
              <w:lang w:val="en-IN"/>
            </w:rPr>
            <w:t>(Mastracci &amp; Adams, 2019)</w:t>
          </w:r>
          <w:r w:rsidR="00B86550" w:rsidRPr="00432D36">
            <w:rPr>
              <w:color w:val="000000"/>
              <w:szCs w:val="24"/>
            </w:rPr>
            <w:fldChar w:fldCharType="end"/>
          </w:r>
        </w:sdtContent>
      </w:sdt>
      <w:r w:rsidR="003E6916" w:rsidRPr="00432D36">
        <w:rPr>
          <w:color w:val="000000"/>
          <w:szCs w:val="24"/>
        </w:rPr>
        <w:t xml:space="preserve">. Australia scored 90 on this criterion, indicating a highly individualistic culture. The culture of the nation reflects a loosely-knit society where people solely care about themselves and their immediate family </w:t>
      </w:r>
      <w:sdt>
        <w:sdtPr>
          <w:rPr>
            <w:rFonts w:eastAsia="Times New Roman" w:cs="Times New Roman"/>
            <w:color w:val="000000"/>
            <w:szCs w:val="24"/>
            <w:lang w:val="en-IN" w:eastAsia="en-IN"/>
          </w:rPr>
          <w:id w:val="413594151"/>
          <w:citation/>
        </w:sdtPr>
        <w:sdtContent>
          <w:r w:rsidR="0017724F" w:rsidRPr="00432D36">
            <w:rPr>
              <w:rFonts w:eastAsia="Times New Roman" w:cs="Times New Roman"/>
              <w:color w:val="000000"/>
              <w:szCs w:val="24"/>
              <w:lang w:val="en-IN" w:eastAsia="en-IN"/>
            </w:rPr>
            <w:fldChar w:fldCharType="begin"/>
          </w:r>
          <w:r w:rsidR="0017724F" w:rsidRPr="00432D36">
            <w:rPr>
              <w:rFonts w:eastAsia="Times New Roman" w:cs="Times New Roman"/>
              <w:color w:val="000000"/>
              <w:szCs w:val="24"/>
              <w:lang w:val="en-IN" w:eastAsia="en-IN"/>
            </w:rPr>
            <w:instrText xml:space="preserve"> CITATION Kap20 \l 16393 </w:instrText>
          </w:r>
          <w:r w:rsidR="0017724F"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(Kapferer, 2020)</w:t>
          </w:r>
          <w:r w:rsidR="0017724F" w:rsidRPr="00432D36">
            <w:rPr>
              <w:rFonts w:eastAsia="Times New Roman" w:cs="Times New Roman"/>
              <w:color w:val="000000"/>
              <w:szCs w:val="24"/>
              <w:lang w:val="en-IN" w:eastAsia="en-IN"/>
            </w:rPr>
            <w:fldChar w:fldCharType="end"/>
          </w:r>
        </w:sdtContent>
      </w:sdt>
      <w:r w:rsidRPr="00432D36">
        <w:rPr>
          <w:rFonts w:eastAsia="Times New Roman" w:cs="Times New Roman"/>
          <w:color w:val="000000"/>
          <w:szCs w:val="24"/>
          <w:lang w:val="en-IN" w:eastAsia="en-IN"/>
        </w:rPr>
        <w:t>. </w:t>
      </w:r>
      <w:r w:rsidR="00C54221" w:rsidRPr="00432D36">
        <w:rPr>
          <w:rFonts w:eastAsia="Times New Roman" w:cs="Times New Roman"/>
          <w:color w:val="000000"/>
          <w:szCs w:val="24"/>
          <w:lang w:val="en-IN" w:eastAsia="en-IN"/>
        </w:rPr>
        <w:t xml:space="preserve">On the other hand, </w:t>
      </w:r>
      <w:r w:rsidR="00144B08" w:rsidRPr="00432D36">
        <w:rPr>
          <w:rFonts w:eastAsia="Times New Roman" w:cs="Times New Roman"/>
          <w:color w:val="000000"/>
          <w:szCs w:val="24"/>
          <w:lang w:val="en-IN" w:eastAsia="en-IN"/>
        </w:rPr>
        <w:t>Indonesia’s score in this dimension is 14 which indicates the society is collectivist. There is a higher preference for the societal framework. Individuals in society are expected to conform to the societal ideas and the “in-group” to which they belong</w:t>
      </w:r>
      <w:r w:rsidR="006407AE" w:rsidRPr="00432D36">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1044436303"/>
          <w:citation/>
        </w:sdtPr>
        <w:sdtContent>
          <w:r w:rsidR="006407AE" w:rsidRPr="00432D36">
            <w:rPr>
              <w:rFonts w:eastAsia="Times New Roman" w:cs="Times New Roman"/>
              <w:color w:val="000000"/>
              <w:szCs w:val="24"/>
              <w:lang w:val="en-IN" w:eastAsia="en-IN"/>
            </w:rPr>
            <w:fldChar w:fldCharType="begin"/>
          </w:r>
          <w:r w:rsidR="006407AE" w:rsidRPr="00432D36">
            <w:rPr>
              <w:rFonts w:eastAsia="Times New Roman" w:cs="Times New Roman"/>
              <w:color w:val="000000"/>
              <w:szCs w:val="24"/>
              <w:lang w:val="en-IN" w:eastAsia="en-IN"/>
            </w:rPr>
            <w:instrText xml:space="preserve"> CITATION Nic21 \l 16393 </w:instrText>
          </w:r>
          <w:r w:rsidR="006407AE"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(Nickerson, 2021)</w:t>
          </w:r>
          <w:r w:rsidR="006407AE" w:rsidRPr="00432D36">
            <w:rPr>
              <w:rFonts w:eastAsia="Times New Roman" w:cs="Times New Roman"/>
              <w:color w:val="000000"/>
              <w:szCs w:val="24"/>
              <w:lang w:val="en-IN" w:eastAsia="en-IN"/>
            </w:rPr>
            <w:fldChar w:fldCharType="end"/>
          </w:r>
        </w:sdtContent>
      </w:sdt>
      <w:r w:rsidR="00144B08" w:rsidRPr="00432D36">
        <w:rPr>
          <w:rFonts w:eastAsia="Times New Roman" w:cs="Times New Roman"/>
          <w:color w:val="000000"/>
          <w:szCs w:val="24"/>
          <w:lang w:val="en-IN" w:eastAsia="en-IN"/>
        </w:rPr>
        <w:t xml:space="preserve">. Children are committed to their parents as parents are committed to them during growing up </w:t>
      </w:r>
      <w:sdt>
        <w:sdtPr>
          <w:rPr>
            <w:rFonts w:eastAsia="Times New Roman" w:cs="Times New Roman"/>
            <w:color w:val="000000"/>
            <w:szCs w:val="24"/>
            <w:lang w:val="en-IN" w:eastAsia="en-IN"/>
          </w:rPr>
          <w:id w:val="454139393"/>
          <w:citation/>
        </w:sdtPr>
        <w:sdtContent>
          <w:r w:rsidR="00144B08" w:rsidRPr="00432D36">
            <w:rPr>
              <w:rFonts w:eastAsia="Times New Roman" w:cs="Times New Roman"/>
              <w:color w:val="000000"/>
              <w:szCs w:val="24"/>
              <w:lang w:val="en-IN" w:eastAsia="en-IN"/>
            </w:rPr>
            <w:fldChar w:fldCharType="begin"/>
          </w:r>
          <w:r w:rsidR="00144B08" w:rsidRPr="00432D36">
            <w:rPr>
              <w:rFonts w:eastAsia="Times New Roman" w:cs="Times New Roman"/>
              <w:color w:val="000000"/>
              <w:szCs w:val="24"/>
              <w:lang w:val="en-IN" w:eastAsia="en-IN"/>
            </w:rPr>
            <w:instrText xml:space="preserve"> CITATION Art20 \l 16393 </w:instrText>
          </w:r>
          <w:r w:rsidR="00144B08"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(Artina, et al., 2020)</w:t>
          </w:r>
          <w:r w:rsidR="00144B08" w:rsidRPr="00432D36">
            <w:rPr>
              <w:rFonts w:eastAsia="Times New Roman" w:cs="Times New Roman"/>
              <w:color w:val="000000"/>
              <w:szCs w:val="24"/>
              <w:lang w:val="en-IN" w:eastAsia="en-IN"/>
            </w:rPr>
            <w:fldChar w:fldCharType="end"/>
          </w:r>
        </w:sdtContent>
      </w:sdt>
      <w:r w:rsidR="00144B08" w:rsidRPr="00432D36">
        <w:rPr>
          <w:rFonts w:eastAsia="Times New Roman" w:cs="Times New Roman"/>
          <w:color w:val="000000"/>
          <w:szCs w:val="24"/>
          <w:lang w:val="en-IN" w:eastAsia="en-IN"/>
        </w:rPr>
        <w:t>. Hence, there is a cultural difference as Australia has an individualist society. </w:t>
      </w:r>
    </w:p>
    <w:p w14:paraId="410BB39D" w14:textId="111B851E" w:rsidR="00C173DB" w:rsidRPr="00432D36" w:rsidRDefault="00C173DB" w:rsidP="00C173DB">
      <w:pPr>
        <w:spacing w:after="0"/>
        <w:rPr>
          <w:rFonts w:eastAsia="Times New Roman" w:cs="Times New Roman"/>
          <w:szCs w:val="24"/>
          <w:lang w:val="en-IN" w:eastAsia="en-IN"/>
        </w:rPr>
      </w:pPr>
      <w:r w:rsidRPr="00432D36">
        <w:rPr>
          <w:rFonts w:eastAsia="Times New Roman" w:cs="Times New Roman"/>
          <w:b/>
          <w:bCs/>
          <w:color w:val="000000"/>
          <w:szCs w:val="24"/>
          <w:lang w:val="en-IN" w:eastAsia="en-IN"/>
        </w:rPr>
        <w:t xml:space="preserve">Masculinity: </w:t>
      </w:r>
      <w:r w:rsidRPr="00432D36">
        <w:rPr>
          <w:rFonts w:eastAsia="Times New Roman" w:cs="Times New Roman"/>
          <w:color w:val="000000"/>
          <w:szCs w:val="24"/>
          <w:lang w:val="en-IN" w:eastAsia="en-IN"/>
        </w:rPr>
        <w:t>Masculinity defines how much a society is driven by achievement, success and competition. In this dimension</w:t>
      </w:r>
      <w:r w:rsidR="006B26B8">
        <w:rPr>
          <w:rFonts w:eastAsia="Times New Roman" w:cs="Times New Roman"/>
          <w:color w:val="000000"/>
          <w:szCs w:val="24"/>
          <w:lang w:val="en-IN" w:eastAsia="en-IN"/>
        </w:rPr>
        <w:t>, a</w:t>
      </w:r>
      <w:r w:rsidRPr="00432D36">
        <w:rPr>
          <w:rFonts w:eastAsia="Times New Roman" w:cs="Times New Roman"/>
          <w:color w:val="000000"/>
          <w:szCs w:val="24"/>
          <w:lang w:val="en-IN" w:eastAsia="en-IN"/>
        </w:rPr>
        <w:t xml:space="preserve"> low score indicates that the dominant value in society is caring for others. </w:t>
      </w:r>
      <w:r w:rsidR="00872A0A">
        <w:rPr>
          <w:rFonts w:eastAsia="Times New Roman" w:cs="Times New Roman"/>
          <w:color w:val="000000"/>
          <w:szCs w:val="24"/>
          <w:lang w:val="en-IN" w:eastAsia="en-IN"/>
        </w:rPr>
        <w:t>Australia scores</w:t>
      </w:r>
      <w:r w:rsidRPr="00432D36">
        <w:rPr>
          <w:rFonts w:eastAsia="Times New Roman" w:cs="Times New Roman"/>
          <w:color w:val="000000"/>
          <w:szCs w:val="24"/>
          <w:lang w:val="en-IN" w:eastAsia="en-IN"/>
        </w:rPr>
        <w:t xml:space="preserve"> 61 which defines the society of the country as “Masculine”. Generally, </w:t>
      </w:r>
      <w:r w:rsidR="00F971BF">
        <w:rPr>
          <w:rFonts w:eastAsia="Times New Roman" w:cs="Times New Roman"/>
          <w:color w:val="000000"/>
          <w:szCs w:val="24"/>
          <w:lang w:val="en-IN" w:eastAsia="en-IN"/>
        </w:rPr>
        <w:t>a</w:t>
      </w:r>
      <w:r w:rsidRPr="00432D36">
        <w:rPr>
          <w:rFonts w:eastAsia="Times New Roman" w:cs="Times New Roman"/>
          <w:color w:val="000000"/>
          <w:szCs w:val="24"/>
          <w:lang w:val="en-IN" w:eastAsia="en-IN"/>
        </w:rPr>
        <w:t xml:space="preserve">ustralians are proud of their achievements and success. The organisations offer a basis for promotion and hiring decisions in the workplace. At the individual level, the conflicts </w:t>
      </w:r>
      <w:r w:rsidRPr="00432D36">
        <w:rPr>
          <w:rFonts w:eastAsia="Times New Roman" w:cs="Times New Roman"/>
          <w:color w:val="000000"/>
          <w:szCs w:val="24"/>
          <w:lang w:val="en-IN" w:eastAsia="en-IN"/>
        </w:rPr>
        <w:lastRenderedPageBreak/>
        <w:t>are resolved as the goal is to win. </w:t>
      </w:r>
      <w:r w:rsidR="00592337" w:rsidRPr="00432D36">
        <w:rPr>
          <w:rFonts w:eastAsia="Times New Roman" w:cs="Times New Roman"/>
          <w:color w:val="000000"/>
          <w:szCs w:val="24"/>
          <w:lang w:val="en-IN" w:eastAsia="en-IN"/>
        </w:rPr>
        <w:t>Whereas, o</w:t>
      </w:r>
      <w:r w:rsidR="00144B08" w:rsidRPr="00432D36">
        <w:rPr>
          <w:rFonts w:eastAsia="Times New Roman" w:cs="Times New Roman"/>
          <w:color w:val="000000"/>
          <w:szCs w:val="24"/>
          <w:lang w:val="en-IN" w:eastAsia="en-IN"/>
        </w:rPr>
        <w:t>n this dimension, Indonesia’s score is 46 which indicates the society is low masculine. Visible symbols of success are the most important status for Indonesia. This country believes in “working in order to live” as they define a feminine society. Here people value solidarity, quality and equality in their work lives. </w:t>
      </w:r>
    </w:p>
    <w:p w14:paraId="78F66579" w14:textId="509A7DEB" w:rsidR="00C173DB" w:rsidRPr="00432D36" w:rsidRDefault="00C173DB" w:rsidP="00C173DB">
      <w:pPr>
        <w:spacing w:after="0"/>
        <w:rPr>
          <w:rFonts w:eastAsia="Times New Roman" w:cs="Times New Roman"/>
          <w:szCs w:val="24"/>
          <w:lang w:val="en-IN" w:eastAsia="en-IN"/>
        </w:rPr>
      </w:pPr>
      <w:r w:rsidRPr="00432D36">
        <w:rPr>
          <w:rFonts w:eastAsia="Times New Roman" w:cs="Times New Roman"/>
          <w:b/>
          <w:bCs/>
          <w:color w:val="000000"/>
          <w:szCs w:val="24"/>
          <w:lang w:val="en-IN" w:eastAsia="en-IN"/>
        </w:rPr>
        <w:t xml:space="preserve">Uncertainty Avoidance: </w:t>
      </w:r>
      <w:r w:rsidRPr="00432D36">
        <w:rPr>
          <w:rFonts w:eastAsia="Times New Roman" w:cs="Times New Roman"/>
          <w:color w:val="000000"/>
          <w:szCs w:val="24"/>
          <w:lang w:val="en-IN" w:eastAsia="en-IN"/>
        </w:rPr>
        <w:t>This dimension indicates the way society deals with the fact that the future can never be comprehended. Australia scores in this dimension 51. That means society sometimes can deal with the future but sometimes they can’t. At the maximum time, they are able to avoid uncertainty. </w:t>
      </w:r>
      <w:r w:rsidR="00144B08" w:rsidRPr="00432D36">
        <w:rPr>
          <w:rFonts w:eastAsia="Times New Roman" w:cs="Times New Roman"/>
          <w:color w:val="000000"/>
          <w:szCs w:val="24"/>
          <w:lang w:val="en-IN" w:eastAsia="en-IN"/>
        </w:rPr>
        <w:t xml:space="preserve">In uncertainty avoidance, Indonesia scores 48 which defines as low for avoiding uncertainty. </w:t>
      </w:r>
      <w:r w:rsidR="00144B08" w:rsidRPr="00432D36">
        <w:rPr>
          <w:color w:val="000000"/>
          <w:szCs w:val="24"/>
        </w:rPr>
        <w:t>It demonstrates the distinction between the interior and external selves in Javanese society</w:t>
      </w:r>
      <w:r w:rsidR="007517E4" w:rsidRPr="00432D36">
        <w:rPr>
          <w:color w:val="000000"/>
          <w:szCs w:val="24"/>
        </w:rPr>
        <w:t xml:space="preserve"> </w:t>
      </w:r>
      <w:sdt>
        <w:sdtPr>
          <w:rPr>
            <w:color w:val="000000"/>
            <w:szCs w:val="24"/>
          </w:rPr>
          <w:id w:val="-39594637"/>
          <w:citation/>
        </w:sdtPr>
        <w:sdtContent>
          <w:r w:rsidR="007517E4" w:rsidRPr="00432D36">
            <w:rPr>
              <w:color w:val="000000"/>
              <w:szCs w:val="24"/>
            </w:rPr>
            <w:fldChar w:fldCharType="begin"/>
          </w:r>
          <w:r w:rsidR="007517E4" w:rsidRPr="00432D36">
            <w:rPr>
              <w:color w:val="000000"/>
              <w:szCs w:val="24"/>
              <w:lang w:val="en-IN"/>
            </w:rPr>
            <w:instrText xml:space="preserve"> CITATION Dar191 \l 16393 </w:instrText>
          </w:r>
          <w:r w:rsidR="007517E4" w:rsidRPr="00432D36">
            <w:rPr>
              <w:color w:val="000000"/>
              <w:szCs w:val="24"/>
            </w:rPr>
            <w:fldChar w:fldCharType="separate"/>
          </w:r>
          <w:r w:rsidR="008C5670" w:rsidRPr="00432D36">
            <w:rPr>
              <w:noProof/>
              <w:color w:val="000000"/>
              <w:szCs w:val="24"/>
              <w:lang w:val="en-IN"/>
            </w:rPr>
            <w:t>(Darmawati &amp; Herlina, 2019)</w:t>
          </w:r>
          <w:r w:rsidR="007517E4" w:rsidRPr="00432D36">
            <w:rPr>
              <w:color w:val="000000"/>
              <w:szCs w:val="24"/>
            </w:rPr>
            <w:fldChar w:fldCharType="end"/>
          </w:r>
        </w:sdtContent>
      </w:sdt>
      <w:r w:rsidR="00144B08" w:rsidRPr="00432D36">
        <w:rPr>
          <w:color w:val="000000"/>
          <w:szCs w:val="24"/>
        </w:rPr>
        <w:t>.</w:t>
      </w:r>
      <w:r w:rsidRPr="00432D36">
        <w:rPr>
          <w:rFonts w:eastAsia="Times New Roman" w:cs="Times New Roman"/>
          <w:color w:val="000000"/>
          <w:szCs w:val="24"/>
          <w:lang w:val="en-IN" w:eastAsia="en-IN"/>
        </w:rPr>
        <w:t>  </w:t>
      </w:r>
    </w:p>
    <w:p w14:paraId="1F9FD230" w14:textId="4FEB616D" w:rsidR="00C173DB" w:rsidRPr="00432D36" w:rsidRDefault="00C173DB" w:rsidP="00C173DB">
      <w:pPr>
        <w:spacing w:after="0"/>
        <w:rPr>
          <w:rFonts w:eastAsia="Times New Roman" w:cs="Times New Roman"/>
          <w:szCs w:val="24"/>
          <w:lang w:val="en-IN" w:eastAsia="en-IN"/>
        </w:rPr>
      </w:pPr>
      <w:r w:rsidRPr="00432D36">
        <w:rPr>
          <w:rFonts w:eastAsia="Times New Roman" w:cs="Times New Roman"/>
          <w:b/>
          <w:bCs/>
          <w:color w:val="000000"/>
          <w:szCs w:val="24"/>
          <w:lang w:val="en-IN" w:eastAsia="en-IN"/>
        </w:rPr>
        <w:t xml:space="preserve">Long-term orientation: </w:t>
      </w:r>
      <w:r w:rsidR="007B5DC9" w:rsidRPr="00432D36">
        <w:rPr>
          <w:color w:val="000000"/>
          <w:szCs w:val="24"/>
        </w:rPr>
        <w:t>This component examines how society deals with the issues of the present and future while retaining some ties to its own past. Australia scored 21 in this area, indicating that the society there has a normative culture. In contemporary society, finding the exact truth is very important to people. They typically place a high value on tradition while concentrating on getting things done quickly.</w:t>
      </w:r>
      <w:r w:rsidR="00144B08" w:rsidRPr="00432D36">
        <w:rPr>
          <w:color w:val="000000"/>
          <w:szCs w:val="24"/>
        </w:rPr>
        <w:t xml:space="preserve"> </w:t>
      </w:r>
      <w:r w:rsidR="00144B08" w:rsidRPr="00432D36">
        <w:rPr>
          <w:rFonts w:eastAsia="Times New Roman" w:cs="Times New Roman"/>
          <w:color w:val="000000"/>
          <w:szCs w:val="24"/>
          <w:lang w:val="en-IN" w:eastAsia="en-IN"/>
        </w:rPr>
        <w:t>Indonesia has a pragmatic culture as its score is 62 in this dimension. They believe that truths depend on context, time and situation</w:t>
      </w:r>
      <w:r w:rsidR="00B44616" w:rsidRPr="00432D36">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488795353"/>
          <w:citation/>
        </w:sdtPr>
        <w:sdtContent>
          <w:r w:rsidR="00B44616" w:rsidRPr="00432D36">
            <w:rPr>
              <w:rFonts w:eastAsia="Times New Roman" w:cs="Times New Roman"/>
              <w:color w:val="000000"/>
              <w:szCs w:val="24"/>
              <w:lang w:val="en-IN" w:eastAsia="en-IN"/>
            </w:rPr>
            <w:fldChar w:fldCharType="begin"/>
          </w:r>
          <w:r w:rsidR="00B44616" w:rsidRPr="00432D36">
            <w:rPr>
              <w:rFonts w:eastAsia="Times New Roman" w:cs="Times New Roman"/>
              <w:color w:val="000000"/>
              <w:szCs w:val="24"/>
              <w:lang w:val="en-IN" w:eastAsia="en-IN"/>
            </w:rPr>
            <w:instrText xml:space="preserve"> CITATION Alm20 \l 16393 </w:instrText>
          </w:r>
          <w:r w:rsidR="00B44616"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(Almutairi, et al., 2020)</w:t>
          </w:r>
          <w:r w:rsidR="00B44616" w:rsidRPr="00432D36">
            <w:rPr>
              <w:rFonts w:eastAsia="Times New Roman" w:cs="Times New Roman"/>
              <w:color w:val="000000"/>
              <w:szCs w:val="24"/>
              <w:lang w:val="en-IN" w:eastAsia="en-IN"/>
            </w:rPr>
            <w:fldChar w:fldCharType="end"/>
          </w:r>
        </w:sdtContent>
      </w:sdt>
      <w:r w:rsidR="00144B08" w:rsidRPr="00432D36">
        <w:rPr>
          <w:rFonts w:eastAsia="Times New Roman" w:cs="Times New Roman"/>
          <w:color w:val="000000"/>
          <w:szCs w:val="24"/>
          <w:lang w:val="en-IN" w:eastAsia="en-IN"/>
        </w:rPr>
        <w:t>. </w:t>
      </w:r>
      <w:r w:rsidRPr="00432D36">
        <w:rPr>
          <w:rFonts w:eastAsia="Times New Roman" w:cs="Times New Roman"/>
          <w:color w:val="000000"/>
          <w:szCs w:val="24"/>
          <w:lang w:val="en-IN" w:eastAsia="en-IN"/>
        </w:rPr>
        <w:t> </w:t>
      </w:r>
    </w:p>
    <w:p w14:paraId="514F3F66" w14:textId="52915058" w:rsidR="00C173DB" w:rsidRPr="00432D36" w:rsidRDefault="00C173DB" w:rsidP="00C173DB">
      <w:pPr>
        <w:spacing w:after="0"/>
        <w:rPr>
          <w:rFonts w:eastAsia="Times New Roman" w:cs="Times New Roman"/>
          <w:szCs w:val="24"/>
          <w:lang w:val="en-IN" w:eastAsia="en-IN"/>
        </w:rPr>
      </w:pPr>
      <w:r w:rsidRPr="00432D36">
        <w:rPr>
          <w:rFonts w:eastAsia="Times New Roman" w:cs="Times New Roman"/>
          <w:b/>
          <w:bCs/>
          <w:color w:val="000000"/>
          <w:szCs w:val="24"/>
          <w:lang w:val="en-IN" w:eastAsia="en-IN"/>
        </w:rPr>
        <w:t>Indulgence</w:t>
      </w:r>
      <w:r w:rsidRPr="00432D36">
        <w:rPr>
          <w:rFonts w:eastAsia="Times New Roman" w:cs="Times New Roman"/>
          <w:color w:val="000000"/>
          <w:szCs w:val="24"/>
          <w:lang w:val="en-IN" w:eastAsia="en-IN"/>
        </w:rPr>
        <w:t>: Australia is an indulgent country with a score of 71. Their desires are to enjoy life and have fun and they have a positive attitude.</w:t>
      </w:r>
      <w:r w:rsidR="005667AA" w:rsidRPr="00432D36">
        <w:rPr>
          <w:rFonts w:eastAsia="Times New Roman" w:cs="Times New Roman"/>
          <w:color w:val="000000"/>
          <w:szCs w:val="24"/>
          <w:lang w:val="en-IN" w:eastAsia="en-IN"/>
        </w:rPr>
        <w:t xml:space="preserve"> </w:t>
      </w:r>
      <w:r w:rsidR="00592337" w:rsidRPr="00432D36">
        <w:rPr>
          <w:rFonts w:eastAsia="Times New Roman" w:cs="Times New Roman"/>
          <w:color w:val="000000"/>
          <w:szCs w:val="24"/>
          <w:lang w:val="en-IN" w:eastAsia="en-IN"/>
        </w:rPr>
        <w:t xml:space="preserve">On the other hand, </w:t>
      </w:r>
      <w:r w:rsidR="005667AA" w:rsidRPr="00432D36">
        <w:rPr>
          <w:rFonts w:eastAsia="Times New Roman" w:cs="Times New Roman"/>
          <w:color w:val="000000"/>
          <w:szCs w:val="24"/>
          <w:lang w:val="en-IN" w:eastAsia="en-IN"/>
        </w:rPr>
        <w:t>Indonesia has a culture of Restraint having a low score of 38 in this dimension. People tend to be cynical and pessimis</w:t>
      </w:r>
      <w:r w:rsidR="00775B30">
        <w:rPr>
          <w:rFonts w:eastAsia="Times New Roman" w:cs="Times New Roman"/>
          <w:color w:val="000000"/>
          <w:szCs w:val="24"/>
          <w:lang w:val="en-IN" w:eastAsia="en-IN"/>
        </w:rPr>
        <w:t>tic</w:t>
      </w:r>
      <w:r w:rsidR="006537CC" w:rsidRPr="00432D36">
        <w:rPr>
          <w:rFonts w:eastAsia="Times New Roman" w:cs="Times New Roman"/>
          <w:color w:val="000000"/>
          <w:szCs w:val="24"/>
          <w:lang w:val="en-IN" w:eastAsia="en-IN"/>
        </w:rPr>
        <w:t xml:space="preserve"> </w:t>
      </w:r>
      <w:sdt>
        <w:sdtPr>
          <w:rPr>
            <w:rFonts w:eastAsia="Times New Roman" w:cs="Times New Roman"/>
            <w:color w:val="000000"/>
            <w:szCs w:val="24"/>
            <w:lang w:val="en-IN" w:eastAsia="en-IN"/>
          </w:rPr>
          <w:id w:val="560054617"/>
          <w:citation/>
        </w:sdtPr>
        <w:sdtContent>
          <w:r w:rsidR="006537CC" w:rsidRPr="00432D36">
            <w:rPr>
              <w:rFonts w:eastAsia="Times New Roman" w:cs="Times New Roman"/>
              <w:color w:val="000000"/>
              <w:szCs w:val="24"/>
              <w:lang w:val="en-IN" w:eastAsia="en-IN"/>
            </w:rPr>
            <w:fldChar w:fldCharType="begin"/>
          </w:r>
          <w:r w:rsidR="006537CC" w:rsidRPr="00432D36">
            <w:rPr>
              <w:rFonts w:eastAsia="Times New Roman" w:cs="Times New Roman"/>
              <w:color w:val="000000"/>
              <w:szCs w:val="24"/>
              <w:lang w:val="en-IN" w:eastAsia="en-IN"/>
            </w:rPr>
            <w:instrText xml:space="preserve"> CITATION Art201 \l 16393 </w:instrText>
          </w:r>
          <w:r w:rsidR="006537CC" w:rsidRPr="00432D36">
            <w:rPr>
              <w:rFonts w:eastAsia="Times New Roman" w:cs="Times New Roman"/>
              <w:color w:val="000000"/>
              <w:szCs w:val="24"/>
              <w:lang w:val="en-IN" w:eastAsia="en-IN"/>
            </w:rPr>
            <w:fldChar w:fldCharType="separate"/>
          </w:r>
          <w:r w:rsidR="008C5670" w:rsidRPr="00432D36">
            <w:rPr>
              <w:rFonts w:eastAsia="Times New Roman" w:cs="Times New Roman"/>
              <w:noProof/>
              <w:color w:val="000000"/>
              <w:szCs w:val="24"/>
              <w:lang w:val="en-IN" w:eastAsia="en-IN"/>
            </w:rPr>
            <w:t>(Artina, et al., 2020)</w:t>
          </w:r>
          <w:r w:rsidR="006537CC" w:rsidRPr="00432D36">
            <w:rPr>
              <w:rFonts w:eastAsia="Times New Roman" w:cs="Times New Roman"/>
              <w:color w:val="000000"/>
              <w:szCs w:val="24"/>
              <w:lang w:val="en-IN" w:eastAsia="en-IN"/>
            </w:rPr>
            <w:fldChar w:fldCharType="end"/>
          </w:r>
        </w:sdtContent>
      </w:sdt>
      <w:r w:rsidR="005667AA" w:rsidRPr="00432D36">
        <w:rPr>
          <w:rFonts w:eastAsia="Times New Roman" w:cs="Times New Roman"/>
          <w:color w:val="000000"/>
          <w:szCs w:val="24"/>
          <w:lang w:val="en-IN" w:eastAsia="en-IN"/>
        </w:rPr>
        <w:t>.  </w:t>
      </w:r>
      <w:r w:rsidRPr="00432D36">
        <w:rPr>
          <w:rFonts w:eastAsia="Times New Roman" w:cs="Times New Roman"/>
          <w:color w:val="000000"/>
          <w:szCs w:val="24"/>
          <w:lang w:val="en-IN" w:eastAsia="en-IN"/>
        </w:rPr>
        <w:t xml:space="preserve">     </w:t>
      </w:r>
      <w:r w:rsidRPr="00432D36">
        <w:rPr>
          <w:rFonts w:eastAsia="Times New Roman" w:cs="Times New Roman"/>
          <w:b/>
          <w:bCs/>
          <w:color w:val="000000"/>
          <w:szCs w:val="24"/>
          <w:lang w:val="en-IN" w:eastAsia="en-IN"/>
        </w:rPr>
        <w:t>  </w:t>
      </w:r>
      <w:r w:rsidRPr="00432D36">
        <w:rPr>
          <w:rFonts w:eastAsia="Times New Roman" w:cs="Times New Roman"/>
          <w:color w:val="000000"/>
          <w:szCs w:val="24"/>
          <w:lang w:val="en-IN" w:eastAsia="en-IN"/>
        </w:rPr>
        <w:t>    </w:t>
      </w:r>
    </w:p>
    <w:p w14:paraId="0414E587" w14:textId="77777777" w:rsidR="00C173DB" w:rsidRPr="00271F68" w:rsidRDefault="00C173DB" w:rsidP="000B75F2">
      <w:pPr>
        <w:pStyle w:val="Heading2"/>
        <w:rPr>
          <w:rFonts w:eastAsia="Times New Roman"/>
          <w:sz w:val="24"/>
          <w:szCs w:val="24"/>
          <w:lang w:val="en-IN" w:eastAsia="en-IN"/>
        </w:rPr>
      </w:pPr>
      <w:bookmarkStart w:id="2" w:name="_Toc120521541"/>
      <w:r w:rsidRPr="00432D36">
        <w:rPr>
          <w:rFonts w:eastAsia="Times New Roman"/>
          <w:sz w:val="24"/>
          <w:szCs w:val="24"/>
          <w:lang w:val="en-IN" w:eastAsia="en-IN"/>
        </w:rPr>
        <w:t>Do’s and Don’ts for the employees of the hotel</w:t>
      </w:r>
      <w:bookmarkEnd w:id="2"/>
    </w:p>
    <w:tbl>
      <w:tblPr>
        <w:tblW w:w="9360" w:type="dxa"/>
        <w:tblCellMar>
          <w:top w:w="15" w:type="dxa"/>
          <w:left w:w="15" w:type="dxa"/>
          <w:bottom w:w="15" w:type="dxa"/>
          <w:right w:w="15" w:type="dxa"/>
        </w:tblCellMar>
        <w:tblLook w:val="04A0" w:firstRow="1" w:lastRow="0" w:firstColumn="1" w:lastColumn="0" w:noHBand="0" w:noVBand="1"/>
      </w:tblPr>
      <w:tblGrid>
        <w:gridCol w:w="5006"/>
        <w:gridCol w:w="4354"/>
      </w:tblGrid>
      <w:tr w:rsidR="00C46672" w:rsidRPr="00C173DB" w14:paraId="38EDF64E" w14:textId="77777777" w:rsidTr="00C173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B62451" w14:textId="77777777" w:rsidR="00C173DB" w:rsidRPr="00C173DB" w:rsidRDefault="00C173DB" w:rsidP="00C173DB">
            <w:pPr>
              <w:spacing w:after="0"/>
              <w:rPr>
                <w:rFonts w:eastAsia="Times New Roman" w:cs="Times New Roman"/>
                <w:szCs w:val="24"/>
                <w:lang w:val="en-IN" w:eastAsia="en-IN"/>
              </w:rPr>
            </w:pPr>
            <w:r w:rsidRPr="00C173DB">
              <w:rPr>
                <w:rFonts w:eastAsia="Times New Roman" w:cs="Times New Roman"/>
                <w:b/>
                <w:bCs/>
                <w:color w:val="000000"/>
                <w:szCs w:val="24"/>
                <w:lang w:val="en-IN" w:eastAsia="en-IN"/>
              </w:rPr>
              <w:t>Do’s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9BFAB6" w14:textId="77777777" w:rsidR="00C173DB" w:rsidRPr="00C173DB" w:rsidRDefault="00C173DB" w:rsidP="00C173DB">
            <w:pPr>
              <w:spacing w:after="0"/>
              <w:rPr>
                <w:rFonts w:eastAsia="Times New Roman" w:cs="Times New Roman"/>
                <w:szCs w:val="24"/>
                <w:lang w:val="en-IN" w:eastAsia="en-IN"/>
              </w:rPr>
            </w:pPr>
            <w:r w:rsidRPr="00C173DB">
              <w:rPr>
                <w:rFonts w:eastAsia="Times New Roman" w:cs="Times New Roman"/>
                <w:b/>
                <w:bCs/>
                <w:color w:val="000000"/>
                <w:szCs w:val="24"/>
                <w:lang w:val="en-IN" w:eastAsia="en-IN"/>
              </w:rPr>
              <w:t>Don’ts</w:t>
            </w:r>
          </w:p>
        </w:tc>
      </w:tr>
      <w:tr w:rsidR="00C46672" w:rsidRPr="00C173DB" w14:paraId="399835D5" w14:textId="77777777" w:rsidTr="00C173DB">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ECE2D" w14:textId="58913ED8" w:rsidR="00C173DB" w:rsidRPr="00C173DB" w:rsidRDefault="00C173DB" w:rsidP="00C173DB">
            <w:pPr>
              <w:numPr>
                <w:ilvl w:val="0"/>
                <w:numId w:val="1"/>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t>Lean towards guests, be tall, stay alert and be visible</w:t>
            </w:r>
            <w:r w:rsidR="009E5FD9">
              <w:rPr>
                <w:rFonts w:eastAsia="Times New Roman" w:cs="Times New Roman"/>
                <w:color w:val="000000"/>
                <w:szCs w:val="24"/>
                <w:lang w:val="en-IN" w:eastAsia="en-IN"/>
              </w:rPr>
              <w:t xml:space="preserve"> and polite</w:t>
            </w:r>
            <w:r w:rsidRPr="00C173DB">
              <w:rPr>
                <w:rFonts w:eastAsia="Times New Roman" w:cs="Times New Roman"/>
                <w:color w:val="000000"/>
                <w:szCs w:val="24"/>
                <w:lang w:val="en-IN" w:eastAsia="en-IN"/>
              </w:rPr>
              <w:t>. </w:t>
            </w:r>
          </w:p>
          <w:p w14:paraId="7F0864E4" w14:textId="65256614" w:rsidR="00C173DB" w:rsidRPr="00432D36" w:rsidRDefault="00C173DB" w:rsidP="00C173DB">
            <w:pPr>
              <w:numPr>
                <w:ilvl w:val="0"/>
                <w:numId w:val="1"/>
              </w:numPr>
              <w:spacing w:after="0"/>
              <w:textAlignment w:val="baseline"/>
              <w:rPr>
                <w:rFonts w:eastAsia="Times New Roman" w:cs="Times New Roman"/>
                <w:color w:val="000000"/>
                <w:szCs w:val="24"/>
                <w:lang w:val="en-IN" w:eastAsia="en-IN"/>
              </w:rPr>
            </w:pPr>
            <w:r w:rsidRPr="00432D36">
              <w:rPr>
                <w:rFonts w:eastAsia="Times New Roman" w:cs="Times New Roman"/>
                <w:color w:val="000000"/>
                <w:szCs w:val="24"/>
                <w:lang w:val="en-IN" w:eastAsia="en-IN"/>
              </w:rPr>
              <w:t>Keep a positive attitude</w:t>
            </w:r>
            <w:r w:rsidR="00F661CE" w:rsidRPr="00432D36">
              <w:rPr>
                <w:rFonts w:eastAsia="Times New Roman" w:cs="Times New Roman"/>
                <w:color w:val="000000"/>
                <w:szCs w:val="24"/>
                <w:lang w:val="en-IN" w:eastAsia="en-IN"/>
              </w:rPr>
              <w:t xml:space="preserve"> and establish a regular level communication during entire journey</w:t>
            </w:r>
            <w:r w:rsidRPr="00432D36">
              <w:rPr>
                <w:rFonts w:eastAsia="Times New Roman" w:cs="Times New Roman"/>
                <w:color w:val="000000"/>
                <w:szCs w:val="24"/>
                <w:lang w:val="en-IN" w:eastAsia="en-IN"/>
              </w:rPr>
              <w:t>. </w:t>
            </w:r>
          </w:p>
          <w:p w14:paraId="00138926" w14:textId="07E722B1" w:rsidR="00C173DB" w:rsidRPr="00432D36" w:rsidRDefault="00C173DB" w:rsidP="00C173DB">
            <w:pPr>
              <w:numPr>
                <w:ilvl w:val="0"/>
                <w:numId w:val="1"/>
              </w:numPr>
              <w:spacing w:after="0"/>
              <w:textAlignment w:val="baseline"/>
              <w:rPr>
                <w:rFonts w:eastAsia="Times New Roman" w:cs="Times New Roman"/>
                <w:color w:val="000000"/>
                <w:szCs w:val="24"/>
                <w:lang w:val="en-IN" w:eastAsia="en-IN"/>
              </w:rPr>
            </w:pPr>
            <w:r w:rsidRPr="00432D36">
              <w:rPr>
                <w:rFonts w:eastAsia="Times New Roman" w:cs="Times New Roman"/>
                <w:color w:val="000000"/>
                <w:szCs w:val="24"/>
                <w:lang w:val="en-IN" w:eastAsia="en-IN"/>
              </w:rPr>
              <w:t>Make eye contact and greet the guests</w:t>
            </w:r>
            <w:r w:rsidR="00C46672" w:rsidRPr="00432D36">
              <w:rPr>
                <w:rFonts w:eastAsia="Times New Roman" w:cs="Times New Roman"/>
                <w:color w:val="000000"/>
                <w:szCs w:val="24"/>
                <w:lang w:val="en-IN" w:eastAsia="en-IN"/>
              </w:rPr>
              <w:t xml:space="preserve"> with a smile and pleasant and friendly expression</w:t>
            </w:r>
            <w:r w:rsidRPr="00432D36">
              <w:rPr>
                <w:rFonts w:eastAsia="Times New Roman" w:cs="Times New Roman"/>
                <w:color w:val="000000"/>
                <w:szCs w:val="24"/>
                <w:lang w:val="en-IN" w:eastAsia="en-IN"/>
              </w:rPr>
              <w:t>. </w:t>
            </w:r>
          </w:p>
          <w:p w14:paraId="600BC923" w14:textId="77777777" w:rsidR="00C173DB" w:rsidRPr="00432D36" w:rsidRDefault="00C173DB" w:rsidP="00C173DB">
            <w:pPr>
              <w:numPr>
                <w:ilvl w:val="0"/>
                <w:numId w:val="1"/>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lastRenderedPageBreak/>
              <w:t xml:space="preserve">Listen to the guest carefully and cater for </w:t>
            </w:r>
            <w:r w:rsidRPr="00432D36">
              <w:rPr>
                <w:rFonts w:eastAsia="Times New Roman" w:cs="Times New Roman"/>
                <w:color w:val="000000"/>
                <w:szCs w:val="24"/>
                <w:lang w:val="en-IN" w:eastAsia="en-IN"/>
              </w:rPr>
              <w:t>them according to their orders. </w:t>
            </w:r>
          </w:p>
          <w:p w14:paraId="3F302391" w14:textId="4E7993C9" w:rsidR="00C173DB" w:rsidRPr="00432D36" w:rsidRDefault="00BB22AB" w:rsidP="00C173DB">
            <w:pPr>
              <w:numPr>
                <w:ilvl w:val="0"/>
                <w:numId w:val="1"/>
              </w:numPr>
              <w:spacing w:after="0"/>
              <w:textAlignment w:val="baseline"/>
              <w:rPr>
                <w:rFonts w:eastAsia="Times New Roman" w:cs="Times New Roman"/>
                <w:color w:val="000000"/>
                <w:szCs w:val="24"/>
                <w:lang w:val="en-IN" w:eastAsia="en-IN"/>
              </w:rPr>
            </w:pPr>
            <w:r w:rsidRPr="00432D36">
              <w:rPr>
                <w:rFonts w:eastAsia="Times New Roman" w:cs="Times New Roman"/>
                <w:color w:val="000000"/>
                <w:szCs w:val="24"/>
                <w:lang w:val="en-IN" w:eastAsia="en-IN"/>
              </w:rPr>
              <w:t>Be attentive and a</w:t>
            </w:r>
            <w:r w:rsidR="00C173DB" w:rsidRPr="00432D36">
              <w:rPr>
                <w:rFonts w:eastAsia="Times New Roman" w:cs="Times New Roman"/>
                <w:color w:val="000000"/>
                <w:szCs w:val="24"/>
                <w:lang w:val="en-IN" w:eastAsia="en-IN"/>
              </w:rPr>
              <w:t>sk them for anything that is needed. </w:t>
            </w:r>
          </w:p>
          <w:p w14:paraId="34D14FDD" w14:textId="77777777" w:rsidR="00C173DB" w:rsidRPr="00432D36" w:rsidRDefault="00C173DB" w:rsidP="00C173DB">
            <w:pPr>
              <w:numPr>
                <w:ilvl w:val="0"/>
                <w:numId w:val="1"/>
              </w:numPr>
              <w:spacing w:after="0"/>
              <w:textAlignment w:val="baseline"/>
              <w:rPr>
                <w:rFonts w:eastAsia="Times New Roman" w:cs="Times New Roman"/>
                <w:color w:val="000000"/>
                <w:szCs w:val="24"/>
                <w:lang w:val="en-IN" w:eastAsia="en-IN"/>
              </w:rPr>
            </w:pPr>
            <w:r w:rsidRPr="00432D36">
              <w:rPr>
                <w:rFonts w:eastAsia="Times New Roman" w:cs="Times New Roman"/>
                <w:color w:val="000000"/>
                <w:szCs w:val="24"/>
                <w:lang w:val="en-IN" w:eastAsia="en-IN"/>
              </w:rPr>
              <w:t>Service quality needs to be high as they belong to the feminine culture.</w:t>
            </w:r>
          </w:p>
          <w:p w14:paraId="3A59492C" w14:textId="4DDB4A15" w:rsidR="00520BE7" w:rsidRPr="00955480" w:rsidRDefault="00520BE7" w:rsidP="00955480">
            <w:pPr>
              <w:numPr>
                <w:ilvl w:val="0"/>
                <w:numId w:val="1"/>
              </w:numPr>
              <w:spacing w:after="0"/>
              <w:textAlignment w:val="baseline"/>
              <w:rPr>
                <w:rFonts w:eastAsia="Times New Roman" w:cs="Times New Roman"/>
                <w:color w:val="000000"/>
                <w:szCs w:val="24"/>
                <w:lang w:val="en-IN" w:eastAsia="en-IN"/>
              </w:rPr>
            </w:pPr>
            <w:r w:rsidRPr="00432D36">
              <w:rPr>
                <w:rFonts w:eastAsia="Times New Roman" w:cs="Times New Roman"/>
                <w:color w:val="000000"/>
                <w:szCs w:val="24"/>
                <w:lang w:val="en-IN" w:eastAsia="en-IN"/>
              </w:rPr>
              <w:t>Present the best services and features in front of the guests.</w:t>
            </w:r>
            <w:r>
              <w:rPr>
                <w:rFonts w:eastAsia="Times New Roman" w:cs="Times New Roman"/>
                <w:color w:val="000000"/>
                <w:szCs w:val="24"/>
                <w:lang w:val="en-IN" w:eastAsia="en-IN"/>
              </w:rPr>
              <w:t xml:space="preser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900F1" w14:textId="77777777" w:rsidR="00C173DB" w:rsidRPr="00C173DB" w:rsidRDefault="00C173DB" w:rsidP="00C173DB">
            <w:pPr>
              <w:numPr>
                <w:ilvl w:val="0"/>
                <w:numId w:val="2"/>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lastRenderedPageBreak/>
              <w:t>Fail to acknowledge guests. </w:t>
            </w:r>
          </w:p>
          <w:p w14:paraId="0785DCDE" w14:textId="77777777" w:rsidR="00C173DB" w:rsidRPr="00C173DB" w:rsidRDefault="00C173DB" w:rsidP="00C173DB">
            <w:pPr>
              <w:numPr>
                <w:ilvl w:val="0"/>
                <w:numId w:val="2"/>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t>Use slang. </w:t>
            </w:r>
          </w:p>
          <w:p w14:paraId="3576F6C8" w14:textId="77777777" w:rsidR="00C173DB" w:rsidRPr="00C173DB" w:rsidRDefault="00C173DB" w:rsidP="00C173DB">
            <w:pPr>
              <w:numPr>
                <w:ilvl w:val="0"/>
                <w:numId w:val="2"/>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t>Gather in groups for conversation. </w:t>
            </w:r>
          </w:p>
          <w:p w14:paraId="2FE63119" w14:textId="77777777" w:rsidR="00C173DB" w:rsidRPr="00C173DB" w:rsidRDefault="00C173DB" w:rsidP="00C173DB">
            <w:pPr>
              <w:numPr>
                <w:ilvl w:val="0"/>
                <w:numId w:val="2"/>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t>Put your hands in your pockets.</w:t>
            </w:r>
          </w:p>
          <w:p w14:paraId="2CF648C7" w14:textId="77777777" w:rsidR="00C173DB" w:rsidRPr="00C173DB" w:rsidRDefault="00C173DB" w:rsidP="00C173DB">
            <w:pPr>
              <w:numPr>
                <w:ilvl w:val="0"/>
                <w:numId w:val="2"/>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t>In front of guests have personal conversations. </w:t>
            </w:r>
          </w:p>
          <w:p w14:paraId="7F52B2B6" w14:textId="77777777" w:rsidR="00C173DB" w:rsidRPr="00C173DB" w:rsidRDefault="00C173DB" w:rsidP="00C173DB">
            <w:pPr>
              <w:numPr>
                <w:ilvl w:val="0"/>
                <w:numId w:val="2"/>
              </w:numPr>
              <w:spacing w:after="0"/>
              <w:textAlignment w:val="baseline"/>
              <w:rPr>
                <w:rFonts w:eastAsia="Times New Roman" w:cs="Times New Roman"/>
                <w:color w:val="000000"/>
                <w:szCs w:val="24"/>
                <w:lang w:val="en-IN" w:eastAsia="en-IN"/>
              </w:rPr>
            </w:pPr>
            <w:r w:rsidRPr="00C173DB">
              <w:rPr>
                <w:rFonts w:eastAsia="Times New Roman" w:cs="Times New Roman"/>
                <w:color w:val="000000"/>
                <w:szCs w:val="24"/>
                <w:lang w:val="en-IN" w:eastAsia="en-IN"/>
              </w:rPr>
              <w:t>Indulge guests in any kind of recreation. </w:t>
            </w:r>
          </w:p>
          <w:p w14:paraId="229EE7B4" w14:textId="492AA41C" w:rsidR="00C173DB" w:rsidRPr="00432D36" w:rsidRDefault="00C173DB" w:rsidP="00C173DB">
            <w:pPr>
              <w:numPr>
                <w:ilvl w:val="0"/>
                <w:numId w:val="2"/>
              </w:numPr>
              <w:spacing w:after="0"/>
              <w:textAlignment w:val="baseline"/>
              <w:rPr>
                <w:rFonts w:eastAsia="Times New Roman" w:cs="Times New Roman"/>
                <w:color w:val="000000"/>
                <w:szCs w:val="24"/>
                <w:lang w:val="en-IN" w:eastAsia="en-IN"/>
              </w:rPr>
            </w:pPr>
            <w:r w:rsidRPr="00432D36">
              <w:rPr>
                <w:rFonts w:eastAsia="Times New Roman" w:cs="Times New Roman"/>
                <w:color w:val="000000"/>
                <w:szCs w:val="24"/>
                <w:lang w:val="en-IN" w:eastAsia="en-IN"/>
              </w:rPr>
              <w:t>Attend l</w:t>
            </w:r>
            <w:r w:rsidR="00167AB3" w:rsidRPr="00432D36">
              <w:rPr>
                <w:rFonts w:eastAsia="Times New Roman" w:cs="Times New Roman"/>
                <w:color w:val="000000"/>
                <w:szCs w:val="24"/>
                <w:lang w:val="en-IN" w:eastAsia="en-IN"/>
              </w:rPr>
              <w:t>a</w:t>
            </w:r>
            <w:r w:rsidRPr="00432D36">
              <w:rPr>
                <w:rFonts w:eastAsia="Times New Roman" w:cs="Times New Roman"/>
                <w:color w:val="000000"/>
                <w:szCs w:val="24"/>
                <w:lang w:val="en-IN" w:eastAsia="en-IN"/>
              </w:rPr>
              <w:t>t</w:t>
            </w:r>
            <w:r w:rsidR="00167AB3" w:rsidRPr="00432D36">
              <w:rPr>
                <w:rFonts w:eastAsia="Times New Roman" w:cs="Times New Roman"/>
                <w:color w:val="000000"/>
                <w:szCs w:val="24"/>
                <w:lang w:val="en-IN" w:eastAsia="en-IN"/>
              </w:rPr>
              <w:t>e</w:t>
            </w:r>
            <w:r w:rsidRPr="00432D36">
              <w:rPr>
                <w:rFonts w:eastAsia="Times New Roman" w:cs="Times New Roman"/>
                <w:color w:val="000000"/>
                <w:szCs w:val="24"/>
                <w:lang w:val="en-IN" w:eastAsia="en-IN"/>
              </w:rPr>
              <w:t xml:space="preserve"> to the guests. </w:t>
            </w:r>
          </w:p>
          <w:p w14:paraId="1C584ECE" w14:textId="77777777" w:rsidR="00C173DB" w:rsidRPr="00432D36" w:rsidRDefault="00C46672" w:rsidP="00C46672">
            <w:pPr>
              <w:numPr>
                <w:ilvl w:val="0"/>
                <w:numId w:val="2"/>
              </w:numPr>
              <w:spacing w:after="0"/>
              <w:textAlignment w:val="baseline"/>
              <w:rPr>
                <w:rFonts w:eastAsia="Times New Roman" w:cs="Times New Roman"/>
                <w:szCs w:val="24"/>
                <w:lang w:val="en-IN" w:eastAsia="en-IN"/>
              </w:rPr>
            </w:pPr>
            <w:r w:rsidRPr="00432D36">
              <w:rPr>
                <w:rFonts w:eastAsia="Times New Roman" w:cs="Times New Roman"/>
                <w:color w:val="000000"/>
                <w:szCs w:val="24"/>
                <w:lang w:val="en-IN" w:eastAsia="en-IN"/>
              </w:rPr>
              <w:lastRenderedPageBreak/>
              <w:t xml:space="preserve">At any time, especially while dealing with guests, leaning on the counter. </w:t>
            </w:r>
          </w:p>
          <w:p w14:paraId="6FBE56AF" w14:textId="77777777" w:rsidR="00955480" w:rsidRDefault="00955480" w:rsidP="00C46672">
            <w:pPr>
              <w:numPr>
                <w:ilvl w:val="0"/>
                <w:numId w:val="2"/>
              </w:numPr>
              <w:spacing w:after="0"/>
              <w:textAlignment w:val="baseline"/>
              <w:rPr>
                <w:rFonts w:eastAsia="Times New Roman" w:cs="Times New Roman"/>
                <w:szCs w:val="24"/>
                <w:lang w:val="en-IN" w:eastAsia="en-IN"/>
              </w:rPr>
            </w:pPr>
            <w:r w:rsidRPr="00432D36">
              <w:rPr>
                <w:rFonts w:eastAsia="Times New Roman" w:cs="Times New Roman"/>
                <w:szCs w:val="24"/>
                <w:lang w:val="en-IN" w:eastAsia="en-IN"/>
              </w:rPr>
              <w:t>Discuss politics or religions with guests.</w:t>
            </w:r>
            <w:r>
              <w:rPr>
                <w:rFonts w:eastAsia="Times New Roman" w:cs="Times New Roman"/>
                <w:szCs w:val="24"/>
                <w:lang w:val="en-IN" w:eastAsia="en-IN"/>
              </w:rPr>
              <w:t xml:space="preserve"> </w:t>
            </w:r>
          </w:p>
          <w:p w14:paraId="452BBA55" w14:textId="3CA1B843" w:rsidR="00285E1C" w:rsidRPr="00C173DB" w:rsidRDefault="00DB78AE" w:rsidP="00C46672">
            <w:pPr>
              <w:numPr>
                <w:ilvl w:val="0"/>
                <w:numId w:val="2"/>
              </w:numPr>
              <w:spacing w:after="0"/>
              <w:textAlignment w:val="baseline"/>
              <w:rPr>
                <w:rFonts w:eastAsia="Times New Roman" w:cs="Times New Roman"/>
                <w:szCs w:val="24"/>
                <w:lang w:val="en-IN" w:eastAsia="en-IN"/>
              </w:rPr>
            </w:pPr>
            <w:r>
              <w:rPr>
                <w:rFonts w:eastAsia="Times New Roman" w:cs="Times New Roman"/>
                <w:szCs w:val="24"/>
                <w:lang w:val="en-IN" w:eastAsia="en-IN"/>
              </w:rPr>
              <w:t>Use the left hand while servicing.</w:t>
            </w:r>
          </w:p>
        </w:tc>
      </w:tr>
    </w:tbl>
    <w:p w14:paraId="2CA22551" w14:textId="77777777" w:rsidR="000B75F2" w:rsidRDefault="000B75F2" w:rsidP="000B75F2">
      <w:pPr>
        <w:pStyle w:val="Heading2"/>
        <w:rPr>
          <w:rFonts w:eastAsia="Times New Roman"/>
          <w:lang w:val="en-IN" w:eastAsia="en-IN"/>
        </w:rPr>
      </w:pPr>
    </w:p>
    <w:p w14:paraId="00202901" w14:textId="77777777" w:rsidR="000B75F2" w:rsidRDefault="000B75F2">
      <w:pPr>
        <w:spacing w:after="160" w:line="259" w:lineRule="auto"/>
        <w:jc w:val="left"/>
        <w:rPr>
          <w:rFonts w:eastAsia="Times New Roman" w:cstheme="majorBidi"/>
          <w:b/>
          <w:sz w:val="26"/>
          <w:szCs w:val="26"/>
          <w:lang w:val="en-IN" w:eastAsia="en-IN"/>
        </w:rPr>
      </w:pPr>
      <w:r>
        <w:rPr>
          <w:rFonts w:eastAsia="Times New Roman"/>
          <w:lang w:val="en-IN" w:eastAsia="en-IN"/>
        </w:rPr>
        <w:br w:type="page"/>
      </w:r>
    </w:p>
    <w:p w14:paraId="1F55F5E3" w14:textId="637E5217" w:rsidR="00C173DB" w:rsidRPr="00C173DB" w:rsidRDefault="00C173DB" w:rsidP="000B75F2">
      <w:pPr>
        <w:pStyle w:val="Heading2"/>
        <w:rPr>
          <w:rFonts w:eastAsia="Times New Roman"/>
          <w:lang w:val="en-IN" w:eastAsia="en-IN"/>
        </w:rPr>
      </w:pPr>
      <w:bookmarkStart w:id="3" w:name="_Toc120521542"/>
      <w:r w:rsidRPr="00C173DB">
        <w:rPr>
          <w:rFonts w:eastAsia="Times New Roman"/>
          <w:lang w:val="en-IN" w:eastAsia="en-IN"/>
        </w:rPr>
        <w:lastRenderedPageBreak/>
        <w:t>Conclusion</w:t>
      </w:r>
      <w:bookmarkEnd w:id="3"/>
    </w:p>
    <w:p w14:paraId="15C2B7F5" w14:textId="77777777" w:rsidR="00910FFA" w:rsidRDefault="00C173DB" w:rsidP="00C173DB">
      <w:pPr>
        <w:spacing w:after="0"/>
        <w:rPr>
          <w:rFonts w:eastAsia="Times New Roman" w:cs="Times New Roman"/>
          <w:color w:val="000000"/>
          <w:szCs w:val="24"/>
          <w:lang w:val="en-IN" w:eastAsia="en-IN"/>
        </w:rPr>
      </w:pPr>
      <w:r w:rsidRPr="00C173DB">
        <w:rPr>
          <w:rFonts w:eastAsia="Times New Roman" w:cs="Times New Roman"/>
          <w:color w:val="000000"/>
          <w:szCs w:val="24"/>
          <w:lang w:val="en-IN" w:eastAsia="en-IN"/>
        </w:rPr>
        <w:t>This handbook has discussed practices and policies that hotel personnel should adhere to. Some Indonesian guests will visit an Australian hotel. The hotel staff should first know the cultural difference between the two countries. Using Hofstede’s model the cultural differences have been depicted. Then Do’s and Don’ts for the hotel staff have been suggested which they should maintain during guest service.</w:t>
      </w:r>
    </w:p>
    <w:p w14:paraId="31CE513A" w14:textId="77777777" w:rsidR="00910FFA" w:rsidRDefault="00910FFA">
      <w:pPr>
        <w:spacing w:after="160" w:line="259" w:lineRule="auto"/>
        <w:jc w:val="left"/>
        <w:rPr>
          <w:rFonts w:eastAsia="Times New Roman" w:cs="Times New Roman"/>
          <w:color w:val="000000"/>
          <w:szCs w:val="24"/>
          <w:lang w:val="en-IN" w:eastAsia="en-IN"/>
        </w:rPr>
      </w:pPr>
      <w:r>
        <w:rPr>
          <w:rFonts w:eastAsia="Times New Roman" w:cs="Times New Roman"/>
          <w:color w:val="000000"/>
          <w:szCs w:val="24"/>
          <w:lang w:val="en-IN" w:eastAsia="en-IN"/>
        </w:rPr>
        <w:br w:type="page"/>
      </w:r>
    </w:p>
    <w:bookmarkStart w:id="4" w:name="_Toc120521543" w:displacedByCustomXml="next"/>
    <w:sdt>
      <w:sdtPr>
        <w:rPr>
          <w:rFonts w:eastAsiaTheme="minorHAnsi" w:cstheme="minorBidi"/>
          <w:b w:val="0"/>
          <w:color w:val="auto"/>
          <w:sz w:val="24"/>
          <w:szCs w:val="22"/>
        </w:rPr>
        <w:id w:val="-1151590106"/>
        <w:docPartObj>
          <w:docPartGallery w:val="Bibliographies"/>
          <w:docPartUnique/>
        </w:docPartObj>
      </w:sdtPr>
      <w:sdtContent>
        <w:p w14:paraId="03C54176" w14:textId="43E5B071" w:rsidR="00910FFA" w:rsidRDefault="00910FFA">
          <w:pPr>
            <w:pStyle w:val="Heading1"/>
          </w:pPr>
          <w:r>
            <w:t>References</w:t>
          </w:r>
          <w:bookmarkEnd w:id="4"/>
        </w:p>
        <w:sdt>
          <w:sdtPr>
            <w:id w:val="-573587230"/>
            <w:bibliography/>
          </w:sdtPr>
          <w:sdtContent>
            <w:p w14:paraId="331968FB" w14:textId="71D98F4E" w:rsidR="008C5670" w:rsidRPr="00BD65CE" w:rsidRDefault="00910FFA" w:rsidP="008C5670">
              <w:pPr>
                <w:pStyle w:val="Bibliography"/>
                <w:rPr>
                  <w:noProof/>
                  <w:szCs w:val="24"/>
                </w:rPr>
              </w:pPr>
              <w:r>
                <w:fldChar w:fldCharType="begin"/>
              </w:r>
              <w:r>
                <w:instrText xml:space="preserve"> BIBLIOGRAPHY </w:instrText>
              </w:r>
              <w:r>
                <w:fldChar w:fldCharType="separate"/>
              </w:r>
              <w:r w:rsidR="008C5670">
                <w:rPr>
                  <w:noProof/>
                </w:rPr>
                <w:t xml:space="preserve">Almutairi, T., Sharoufi, H. &amp; Dashti, A., 2020. The role of pragmatic cultural schema in analysing public relations communication strategies. </w:t>
              </w:r>
              <w:r w:rsidR="008C5670">
                <w:rPr>
                  <w:i/>
                  <w:iCs/>
                  <w:noProof/>
                </w:rPr>
                <w:t xml:space="preserve">Public Relations Inquiry, </w:t>
              </w:r>
              <w:r w:rsidR="008C5670">
                <w:rPr>
                  <w:noProof/>
                </w:rPr>
                <w:t>9(3), pp. 277-294.</w:t>
              </w:r>
            </w:p>
            <w:p w14:paraId="70DD3355" w14:textId="77777777" w:rsidR="008C5670" w:rsidRDefault="008C5670" w:rsidP="008C5670">
              <w:pPr>
                <w:pStyle w:val="Bibliography"/>
                <w:rPr>
                  <w:noProof/>
                </w:rPr>
              </w:pPr>
              <w:r w:rsidRPr="00BD65CE">
                <w:rPr>
                  <w:noProof/>
                  <w:lang w:val="it-IT"/>
                </w:rPr>
                <w:t xml:space="preserve">Artina, B., Desnasari, D., Fitriyah, F. &amp; Rizkita, R., 2020. </w:t>
              </w:r>
              <w:r>
                <w:rPr>
                  <w:noProof/>
                </w:rPr>
                <w:t xml:space="preserve">The workforce in Indonesian organizations: An analysis based upon the cultural dimensions of Hofstede’s model. </w:t>
              </w:r>
              <w:r>
                <w:rPr>
                  <w:i/>
                  <w:iCs/>
                  <w:noProof/>
                </w:rPr>
                <w:t xml:space="preserve">Journal of International Conference Proceedings (JICP), </w:t>
              </w:r>
              <w:r>
                <w:rPr>
                  <w:noProof/>
                </w:rPr>
                <w:t>3(1), pp. 56-64.</w:t>
              </w:r>
            </w:p>
            <w:p w14:paraId="71072F06" w14:textId="77777777" w:rsidR="008C5670" w:rsidRDefault="008C5670" w:rsidP="008C5670">
              <w:pPr>
                <w:pStyle w:val="Bibliography"/>
                <w:rPr>
                  <w:noProof/>
                </w:rPr>
              </w:pPr>
              <w:r>
                <w:rPr>
                  <w:noProof/>
                </w:rPr>
                <w:t xml:space="preserve">Darmawati, B. &amp; Herlina, A., 2019. Bugis Cultural Taxonomy: An Overview of Hofstede’s Cultural Dimension. </w:t>
              </w:r>
              <w:r>
                <w:rPr>
                  <w:i/>
                  <w:iCs/>
                  <w:noProof/>
                </w:rPr>
                <w:t xml:space="preserve">6th International Conference on Community Development (ICCD 2019), </w:t>
              </w:r>
              <w:r>
                <w:rPr>
                  <w:noProof/>
                </w:rPr>
                <w:t>pp. 108-110.</w:t>
              </w:r>
            </w:p>
            <w:p w14:paraId="3BA3EFCB" w14:textId="77777777" w:rsidR="008C5670" w:rsidRDefault="008C5670" w:rsidP="008C5670">
              <w:pPr>
                <w:pStyle w:val="Bibliography"/>
                <w:rPr>
                  <w:noProof/>
                </w:rPr>
              </w:pPr>
              <w:r>
                <w:rPr>
                  <w:noProof/>
                </w:rPr>
                <w:t xml:space="preserve">Hasani, L., Adnan, H., Sensuse, D. &amp; Suryono, R., 2020. Factors affecting student’s perceived readiness on abrupt distance learning adoption: Indonesian higher-education perspectives. </w:t>
              </w:r>
              <w:r>
                <w:rPr>
                  <w:i/>
                  <w:iCs/>
                  <w:noProof/>
                </w:rPr>
                <w:t xml:space="preserve">2020 3rd International Conference on Computer and Informatics Engineering (IC2IE), </w:t>
              </w:r>
              <w:r>
                <w:rPr>
                  <w:noProof/>
                </w:rPr>
                <w:t>pp. 286-292.</w:t>
              </w:r>
            </w:p>
            <w:p w14:paraId="1B3306E8" w14:textId="77777777" w:rsidR="008C5670" w:rsidRDefault="008C5670" w:rsidP="008C5670">
              <w:pPr>
                <w:pStyle w:val="Bibliography"/>
                <w:rPr>
                  <w:noProof/>
                </w:rPr>
              </w:pPr>
              <w:r>
                <w:rPr>
                  <w:noProof/>
                </w:rPr>
                <w:t xml:space="preserve">hofstede-insights, 2022. </w:t>
              </w:r>
              <w:r>
                <w:rPr>
                  <w:i/>
                  <w:iCs/>
                  <w:noProof/>
                </w:rPr>
                <w:t xml:space="preserve">COUNTRY COMPARISON. </w:t>
              </w:r>
              <w:r>
                <w:rPr>
                  <w:noProof/>
                </w:rPr>
                <w:t xml:space="preserve">[Online] </w:t>
              </w:r>
              <w:r>
                <w:rPr>
                  <w:noProof/>
                </w:rPr>
                <w:br/>
                <w:t xml:space="preserve">Available at: </w:t>
              </w:r>
              <w:r>
                <w:rPr>
                  <w:noProof/>
                  <w:u w:val="single"/>
                </w:rPr>
                <w:t>https://www.hofstede-insights.com/country-comparison/australia,indonesia/</w:t>
              </w:r>
              <w:r>
                <w:rPr>
                  <w:noProof/>
                </w:rPr>
                <w:br/>
                <w:t>[Accessed 2022].</w:t>
              </w:r>
            </w:p>
            <w:p w14:paraId="0F9CA2B0" w14:textId="77777777" w:rsidR="008C5670" w:rsidRDefault="008C5670" w:rsidP="008C5670">
              <w:pPr>
                <w:pStyle w:val="Bibliography"/>
                <w:rPr>
                  <w:noProof/>
                </w:rPr>
              </w:pPr>
              <w:r>
                <w:rPr>
                  <w:noProof/>
                </w:rPr>
                <w:t xml:space="preserve">Kapferer, J., 2020. </w:t>
              </w:r>
              <w:r>
                <w:rPr>
                  <w:i/>
                  <w:iCs/>
                  <w:noProof/>
                </w:rPr>
                <w:t xml:space="preserve">Being all equal: Identity, difference and Australian cultural practice. </w:t>
              </w:r>
              <w:r>
                <w:rPr>
                  <w:noProof/>
                </w:rPr>
                <w:t>s.l.:s.n.</w:t>
              </w:r>
            </w:p>
            <w:p w14:paraId="0719FA74" w14:textId="77777777" w:rsidR="008C5670" w:rsidRDefault="008C5670" w:rsidP="008C5670">
              <w:pPr>
                <w:pStyle w:val="Bibliography"/>
                <w:rPr>
                  <w:noProof/>
                </w:rPr>
              </w:pPr>
              <w:r>
                <w:rPr>
                  <w:noProof/>
                </w:rPr>
                <w:t xml:space="preserve">Mastracci, S. &amp; Adams, I., 2019. Is emotional labor easier in collectivist or individualist cultures? An east–west comparison. </w:t>
              </w:r>
              <w:r>
                <w:rPr>
                  <w:i/>
                  <w:iCs/>
                  <w:noProof/>
                </w:rPr>
                <w:t xml:space="preserve">Public Personnel Management, </w:t>
              </w:r>
              <w:r>
                <w:rPr>
                  <w:noProof/>
                </w:rPr>
                <w:t>48(3), pp. 325-344.</w:t>
              </w:r>
            </w:p>
            <w:p w14:paraId="0AA9F6AE" w14:textId="77777777" w:rsidR="008C5670" w:rsidRDefault="008C5670" w:rsidP="008C5670">
              <w:pPr>
                <w:pStyle w:val="Bibliography"/>
                <w:rPr>
                  <w:noProof/>
                </w:rPr>
              </w:pPr>
              <w:r>
                <w:rPr>
                  <w:noProof/>
                </w:rPr>
                <w:t xml:space="preserve">Naweed, A. &amp; Kourousis, K., 2020. Winging it: Key issues and perceptions around regulation and practice of aircraft maintenance in Australian general aviation. </w:t>
              </w:r>
              <w:r>
                <w:rPr>
                  <w:i/>
                  <w:iCs/>
                  <w:noProof/>
                </w:rPr>
                <w:t xml:space="preserve">Aerospace, </w:t>
              </w:r>
              <w:r>
                <w:rPr>
                  <w:noProof/>
                </w:rPr>
                <w:t>7(6), p. 84.</w:t>
              </w:r>
            </w:p>
            <w:p w14:paraId="35693014" w14:textId="77777777" w:rsidR="008C5670" w:rsidRDefault="008C5670" w:rsidP="008C5670">
              <w:pPr>
                <w:pStyle w:val="Bibliography"/>
                <w:rPr>
                  <w:noProof/>
                </w:rPr>
              </w:pPr>
              <w:r>
                <w:rPr>
                  <w:noProof/>
                </w:rPr>
                <w:t xml:space="preserve">Nickerson, C., 2021. </w:t>
              </w:r>
              <w:r>
                <w:rPr>
                  <w:i/>
                  <w:iCs/>
                  <w:noProof/>
                </w:rPr>
                <w:t xml:space="preserve">Understanding collectivist cultures. </w:t>
              </w:r>
              <w:r>
                <w:rPr>
                  <w:noProof/>
                </w:rPr>
                <w:t>s.l.:s.n.</w:t>
              </w:r>
            </w:p>
            <w:p w14:paraId="416D112D" w14:textId="0B18724D" w:rsidR="00910FFA" w:rsidRDefault="00910FFA" w:rsidP="008C5670">
              <w:r>
                <w:rPr>
                  <w:b/>
                  <w:bCs/>
                  <w:noProof/>
                </w:rPr>
                <w:fldChar w:fldCharType="end"/>
              </w:r>
            </w:p>
          </w:sdtContent>
        </w:sdt>
      </w:sdtContent>
    </w:sdt>
    <w:p w14:paraId="3FC6C035" w14:textId="6A17E58D" w:rsidR="00C173DB" w:rsidRPr="00C173DB" w:rsidRDefault="00C173DB" w:rsidP="00C173DB">
      <w:pPr>
        <w:spacing w:after="0"/>
        <w:rPr>
          <w:rFonts w:eastAsia="Times New Roman" w:cs="Times New Roman"/>
          <w:szCs w:val="24"/>
          <w:lang w:val="en-IN" w:eastAsia="en-IN"/>
        </w:rPr>
      </w:pPr>
      <w:r w:rsidRPr="00C173DB">
        <w:rPr>
          <w:rFonts w:eastAsia="Times New Roman" w:cs="Times New Roman"/>
          <w:color w:val="000000"/>
          <w:szCs w:val="24"/>
          <w:lang w:val="en-IN" w:eastAsia="en-IN"/>
        </w:rPr>
        <w:t>          </w:t>
      </w:r>
    </w:p>
    <w:p w14:paraId="24C165CC" w14:textId="77777777" w:rsidR="00EA4C56" w:rsidRDefault="00EA4C56"/>
    <w:sectPr w:rsidR="00EA4C5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3478A" w14:textId="77777777" w:rsidR="00230C86" w:rsidRDefault="00230C86" w:rsidP="000B75F2">
      <w:pPr>
        <w:spacing w:after="0" w:line="240" w:lineRule="auto"/>
      </w:pPr>
      <w:r>
        <w:separator/>
      </w:r>
    </w:p>
  </w:endnote>
  <w:endnote w:type="continuationSeparator" w:id="0">
    <w:p w14:paraId="2645A9BF" w14:textId="77777777" w:rsidR="00230C86" w:rsidRDefault="00230C86" w:rsidP="000B7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9514920"/>
      <w:docPartObj>
        <w:docPartGallery w:val="Page Numbers (Bottom of Page)"/>
        <w:docPartUnique/>
      </w:docPartObj>
    </w:sdtPr>
    <w:sdtEndPr>
      <w:rPr>
        <w:noProof/>
      </w:rPr>
    </w:sdtEndPr>
    <w:sdtContent>
      <w:p w14:paraId="1810ED70" w14:textId="6FB9F5F9" w:rsidR="000B75F2" w:rsidRDefault="000B75F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9D5DF9" w14:textId="77777777" w:rsidR="000B75F2" w:rsidRDefault="000B75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985F2D" w14:textId="77777777" w:rsidR="00230C86" w:rsidRDefault="00230C86" w:rsidP="000B75F2">
      <w:pPr>
        <w:spacing w:after="0" w:line="240" w:lineRule="auto"/>
      </w:pPr>
      <w:r>
        <w:separator/>
      </w:r>
    </w:p>
  </w:footnote>
  <w:footnote w:type="continuationSeparator" w:id="0">
    <w:p w14:paraId="19180E2D" w14:textId="77777777" w:rsidR="00230C86" w:rsidRDefault="00230C86" w:rsidP="000B7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701F30"/>
    <w:multiLevelType w:val="multilevel"/>
    <w:tmpl w:val="453EC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13785B"/>
    <w:multiLevelType w:val="multilevel"/>
    <w:tmpl w:val="29668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7518690">
    <w:abstractNumId w:val="1"/>
  </w:num>
  <w:num w:numId="2" w16cid:durableId="1343707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73DB"/>
    <w:rsid w:val="000B75F2"/>
    <w:rsid w:val="00127486"/>
    <w:rsid w:val="0013271F"/>
    <w:rsid w:val="00144B08"/>
    <w:rsid w:val="00167AB3"/>
    <w:rsid w:val="0017724F"/>
    <w:rsid w:val="00191FA3"/>
    <w:rsid w:val="001C7EEF"/>
    <w:rsid w:val="00230C86"/>
    <w:rsid w:val="0026499D"/>
    <w:rsid w:val="00271F68"/>
    <w:rsid w:val="00285E1C"/>
    <w:rsid w:val="002C057F"/>
    <w:rsid w:val="002D099A"/>
    <w:rsid w:val="003A27CB"/>
    <w:rsid w:val="003E6916"/>
    <w:rsid w:val="00401595"/>
    <w:rsid w:val="00432D36"/>
    <w:rsid w:val="00440253"/>
    <w:rsid w:val="00520BE7"/>
    <w:rsid w:val="0055600F"/>
    <w:rsid w:val="005667AA"/>
    <w:rsid w:val="00574BD6"/>
    <w:rsid w:val="00580D0B"/>
    <w:rsid w:val="00592337"/>
    <w:rsid w:val="005C3C11"/>
    <w:rsid w:val="005D3D21"/>
    <w:rsid w:val="006407AE"/>
    <w:rsid w:val="006537CC"/>
    <w:rsid w:val="006832D0"/>
    <w:rsid w:val="006B26B8"/>
    <w:rsid w:val="006B31C4"/>
    <w:rsid w:val="00727383"/>
    <w:rsid w:val="007517E4"/>
    <w:rsid w:val="00775B30"/>
    <w:rsid w:val="007B5DC9"/>
    <w:rsid w:val="008207DC"/>
    <w:rsid w:val="008233A1"/>
    <w:rsid w:val="00872A0A"/>
    <w:rsid w:val="00875477"/>
    <w:rsid w:val="00880661"/>
    <w:rsid w:val="00887E08"/>
    <w:rsid w:val="00890498"/>
    <w:rsid w:val="008C5670"/>
    <w:rsid w:val="008F74C9"/>
    <w:rsid w:val="00910FFA"/>
    <w:rsid w:val="00955480"/>
    <w:rsid w:val="009E5FD9"/>
    <w:rsid w:val="009F12AE"/>
    <w:rsid w:val="00A36622"/>
    <w:rsid w:val="00B05160"/>
    <w:rsid w:val="00B06730"/>
    <w:rsid w:val="00B44616"/>
    <w:rsid w:val="00B7460D"/>
    <w:rsid w:val="00B8653D"/>
    <w:rsid w:val="00B86550"/>
    <w:rsid w:val="00BB1CB3"/>
    <w:rsid w:val="00BB22AB"/>
    <w:rsid w:val="00BD65CE"/>
    <w:rsid w:val="00C173DB"/>
    <w:rsid w:val="00C32CEB"/>
    <w:rsid w:val="00C46672"/>
    <w:rsid w:val="00C54221"/>
    <w:rsid w:val="00C77F70"/>
    <w:rsid w:val="00C83FB8"/>
    <w:rsid w:val="00DB11BF"/>
    <w:rsid w:val="00DB19EC"/>
    <w:rsid w:val="00DB78AE"/>
    <w:rsid w:val="00DC2F38"/>
    <w:rsid w:val="00E7158D"/>
    <w:rsid w:val="00E766D4"/>
    <w:rsid w:val="00E91A90"/>
    <w:rsid w:val="00EA4C56"/>
    <w:rsid w:val="00F174BB"/>
    <w:rsid w:val="00F661CE"/>
    <w:rsid w:val="00F84D21"/>
    <w:rsid w:val="00F971BF"/>
    <w:rsid w:val="00FD20ED"/>
    <w:rsid w:val="00FF2C3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BD8E27"/>
  <w15:chartTrackingRefBased/>
  <w15:docId w15:val="{FB6EC89D-CB7B-404C-9B1E-39D968ACE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3DB"/>
    <w:pPr>
      <w:spacing w:after="4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173DB"/>
    <w:pPr>
      <w:keepNext/>
      <w:keepLines/>
      <w:spacing w:before="12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173DB"/>
    <w:pPr>
      <w:keepNext/>
      <w:keepLines/>
      <w:spacing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173DB"/>
    <w:pPr>
      <w:spacing w:before="100" w:beforeAutospacing="1" w:after="100" w:afterAutospacing="1" w:line="240" w:lineRule="auto"/>
    </w:pPr>
    <w:rPr>
      <w:rFonts w:eastAsia="Times New Roman" w:cs="Times New Roman"/>
      <w:szCs w:val="24"/>
      <w:lang w:val="en-IN" w:eastAsia="en-IN"/>
    </w:rPr>
  </w:style>
  <w:style w:type="character" w:customStyle="1" w:styleId="Heading1Char">
    <w:name w:val="Heading 1 Char"/>
    <w:basedOn w:val="DefaultParagraphFont"/>
    <w:link w:val="Heading1"/>
    <w:uiPriority w:val="9"/>
    <w:rsid w:val="00C173DB"/>
    <w:rPr>
      <w:rFonts w:ascii="Times New Roman" w:eastAsiaTheme="majorEastAsia" w:hAnsi="Times New Roman" w:cstheme="majorBidi"/>
      <w:b/>
      <w:color w:val="2F5496" w:themeColor="accent1" w:themeShade="BF"/>
      <w:sz w:val="28"/>
      <w:szCs w:val="32"/>
      <w:lang w:val="en-GB"/>
    </w:rPr>
  </w:style>
  <w:style w:type="character" w:customStyle="1" w:styleId="Heading2Char">
    <w:name w:val="Heading 2 Char"/>
    <w:basedOn w:val="DefaultParagraphFont"/>
    <w:link w:val="Heading2"/>
    <w:uiPriority w:val="9"/>
    <w:rsid w:val="00C173DB"/>
    <w:rPr>
      <w:rFonts w:ascii="Times New Roman" w:eastAsiaTheme="majorEastAsia" w:hAnsi="Times New Roman" w:cstheme="majorBidi"/>
      <w:b/>
      <w:sz w:val="26"/>
      <w:szCs w:val="26"/>
      <w:lang w:val="en-GB"/>
    </w:rPr>
  </w:style>
  <w:style w:type="paragraph" w:styleId="Header">
    <w:name w:val="header"/>
    <w:basedOn w:val="Normal"/>
    <w:link w:val="HeaderChar"/>
    <w:uiPriority w:val="99"/>
    <w:unhideWhenUsed/>
    <w:rsid w:val="000B7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75F2"/>
    <w:rPr>
      <w:rFonts w:ascii="Times New Roman" w:hAnsi="Times New Roman"/>
      <w:sz w:val="24"/>
      <w:lang w:val="en-GB"/>
    </w:rPr>
  </w:style>
  <w:style w:type="paragraph" w:styleId="Footer">
    <w:name w:val="footer"/>
    <w:basedOn w:val="Normal"/>
    <w:link w:val="FooterChar"/>
    <w:uiPriority w:val="99"/>
    <w:unhideWhenUsed/>
    <w:rsid w:val="000B7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75F2"/>
    <w:rPr>
      <w:rFonts w:ascii="Times New Roman" w:hAnsi="Times New Roman"/>
      <w:sz w:val="24"/>
      <w:lang w:val="en-GB"/>
    </w:rPr>
  </w:style>
  <w:style w:type="paragraph" w:styleId="Bibliography">
    <w:name w:val="Bibliography"/>
    <w:basedOn w:val="Normal"/>
    <w:next w:val="Normal"/>
    <w:uiPriority w:val="37"/>
    <w:unhideWhenUsed/>
    <w:rsid w:val="00910FFA"/>
  </w:style>
  <w:style w:type="paragraph" w:styleId="TOCHeading">
    <w:name w:val="TOC Heading"/>
    <w:basedOn w:val="Heading1"/>
    <w:next w:val="Normal"/>
    <w:uiPriority w:val="39"/>
    <w:unhideWhenUsed/>
    <w:qFormat/>
    <w:rsid w:val="008F74C9"/>
    <w:pPr>
      <w:spacing w:before="240"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F74C9"/>
    <w:pPr>
      <w:spacing w:after="100"/>
    </w:pPr>
  </w:style>
  <w:style w:type="paragraph" w:styleId="TOC2">
    <w:name w:val="toc 2"/>
    <w:basedOn w:val="Normal"/>
    <w:next w:val="Normal"/>
    <w:autoRedefine/>
    <w:uiPriority w:val="39"/>
    <w:unhideWhenUsed/>
    <w:rsid w:val="008F74C9"/>
    <w:pPr>
      <w:spacing w:after="100"/>
      <w:ind w:left="240"/>
    </w:pPr>
  </w:style>
  <w:style w:type="character" w:styleId="Hyperlink">
    <w:name w:val="Hyperlink"/>
    <w:basedOn w:val="DefaultParagraphFont"/>
    <w:uiPriority w:val="99"/>
    <w:unhideWhenUsed/>
    <w:rsid w:val="008F74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131167">
      <w:bodyDiv w:val="1"/>
      <w:marLeft w:val="0"/>
      <w:marRight w:val="0"/>
      <w:marTop w:val="0"/>
      <w:marBottom w:val="0"/>
      <w:divBdr>
        <w:top w:val="none" w:sz="0" w:space="0" w:color="auto"/>
        <w:left w:val="none" w:sz="0" w:space="0" w:color="auto"/>
        <w:bottom w:val="none" w:sz="0" w:space="0" w:color="auto"/>
        <w:right w:val="none" w:sz="0" w:space="0" w:color="auto"/>
      </w:divBdr>
    </w:div>
    <w:div w:id="218053278">
      <w:bodyDiv w:val="1"/>
      <w:marLeft w:val="0"/>
      <w:marRight w:val="0"/>
      <w:marTop w:val="0"/>
      <w:marBottom w:val="0"/>
      <w:divBdr>
        <w:top w:val="none" w:sz="0" w:space="0" w:color="auto"/>
        <w:left w:val="none" w:sz="0" w:space="0" w:color="auto"/>
        <w:bottom w:val="none" w:sz="0" w:space="0" w:color="auto"/>
        <w:right w:val="none" w:sz="0" w:space="0" w:color="auto"/>
      </w:divBdr>
    </w:div>
    <w:div w:id="282808412">
      <w:bodyDiv w:val="1"/>
      <w:marLeft w:val="0"/>
      <w:marRight w:val="0"/>
      <w:marTop w:val="0"/>
      <w:marBottom w:val="0"/>
      <w:divBdr>
        <w:top w:val="none" w:sz="0" w:space="0" w:color="auto"/>
        <w:left w:val="none" w:sz="0" w:space="0" w:color="auto"/>
        <w:bottom w:val="none" w:sz="0" w:space="0" w:color="auto"/>
        <w:right w:val="none" w:sz="0" w:space="0" w:color="auto"/>
      </w:divBdr>
    </w:div>
    <w:div w:id="472528544">
      <w:bodyDiv w:val="1"/>
      <w:marLeft w:val="0"/>
      <w:marRight w:val="0"/>
      <w:marTop w:val="0"/>
      <w:marBottom w:val="0"/>
      <w:divBdr>
        <w:top w:val="none" w:sz="0" w:space="0" w:color="auto"/>
        <w:left w:val="none" w:sz="0" w:space="0" w:color="auto"/>
        <w:bottom w:val="none" w:sz="0" w:space="0" w:color="auto"/>
        <w:right w:val="none" w:sz="0" w:space="0" w:color="auto"/>
      </w:divBdr>
    </w:div>
    <w:div w:id="475024695">
      <w:bodyDiv w:val="1"/>
      <w:marLeft w:val="0"/>
      <w:marRight w:val="0"/>
      <w:marTop w:val="0"/>
      <w:marBottom w:val="0"/>
      <w:divBdr>
        <w:top w:val="none" w:sz="0" w:space="0" w:color="auto"/>
        <w:left w:val="none" w:sz="0" w:space="0" w:color="auto"/>
        <w:bottom w:val="none" w:sz="0" w:space="0" w:color="auto"/>
        <w:right w:val="none" w:sz="0" w:space="0" w:color="auto"/>
      </w:divBdr>
    </w:div>
    <w:div w:id="587612916">
      <w:bodyDiv w:val="1"/>
      <w:marLeft w:val="0"/>
      <w:marRight w:val="0"/>
      <w:marTop w:val="0"/>
      <w:marBottom w:val="0"/>
      <w:divBdr>
        <w:top w:val="none" w:sz="0" w:space="0" w:color="auto"/>
        <w:left w:val="none" w:sz="0" w:space="0" w:color="auto"/>
        <w:bottom w:val="none" w:sz="0" w:space="0" w:color="auto"/>
        <w:right w:val="none" w:sz="0" w:space="0" w:color="auto"/>
      </w:divBdr>
    </w:div>
    <w:div w:id="684281522">
      <w:bodyDiv w:val="1"/>
      <w:marLeft w:val="0"/>
      <w:marRight w:val="0"/>
      <w:marTop w:val="0"/>
      <w:marBottom w:val="0"/>
      <w:divBdr>
        <w:top w:val="none" w:sz="0" w:space="0" w:color="auto"/>
        <w:left w:val="none" w:sz="0" w:space="0" w:color="auto"/>
        <w:bottom w:val="none" w:sz="0" w:space="0" w:color="auto"/>
        <w:right w:val="none" w:sz="0" w:space="0" w:color="auto"/>
      </w:divBdr>
    </w:div>
    <w:div w:id="763914164">
      <w:bodyDiv w:val="1"/>
      <w:marLeft w:val="0"/>
      <w:marRight w:val="0"/>
      <w:marTop w:val="0"/>
      <w:marBottom w:val="0"/>
      <w:divBdr>
        <w:top w:val="none" w:sz="0" w:space="0" w:color="auto"/>
        <w:left w:val="none" w:sz="0" w:space="0" w:color="auto"/>
        <w:bottom w:val="none" w:sz="0" w:space="0" w:color="auto"/>
        <w:right w:val="none" w:sz="0" w:space="0" w:color="auto"/>
      </w:divBdr>
    </w:div>
    <w:div w:id="800076162">
      <w:bodyDiv w:val="1"/>
      <w:marLeft w:val="0"/>
      <w:marRight w:val="0"/>
      <w:marTop w:val="0"/>
      <w:marBottom w:val="0"/>
      <w:divBdr>
        <w:top w:val="none" w:sz="0" w:space="0" w:color="auto"/>
        <w:left w:val="none" w:sz="0" w:space="0" w:color="auto"/>
        <w:bottom w:val="none" w:sz="0" w:space="0" w:color="auto"/>
        <w:right w:val="none" w:sz="0" w:space="0" w:color="auto"/>
      </w:divBdr>
    </w:div>
    <w:div w:id="824973059">
      <w:bodyDiv w:val="1"/>
      <w:marLeft w:val="0"/>
      <w:marRight w:val="0"/>
      <w:marTop w:val="0"/>
      <w:marBottom w:val="0"/>
      <w:divBdr>
        <w:top w:val="none" w:sz="0" w:space="0" w:color="auto"/>
        <w:left w:val="none" w:sz="0" w:space="0" w:color="auto"/>
        <w:bottom w:val="none" w:sz="0" w:space="0" w:color="auto"/>
        <w:right w:val="none" w:sz="0" w:space="0" w:color="auto"/>
      </w:divBdr>
    </w:div>
    <w:div w:id="957374139">
      <w:bodyDiv w:val="1"/>
      <w:marLeft w:val="0"/>
      <w:marRight w:val="0"/>
      <w:marTop w:val="0"/>
      <w:marBottom w:val="0"/>
      <w:divBdr>
        <w:top w:val="none" w:sz="0" w:space="0" w:color="auto"/>
        <w:left w:val="none" w:sz="0" w:space="0" w:color="auto"/>
        <w:bottom w:val="none" w:sz="0" w:space="0" w:color="auto"/>
        <w:right w:val="none" w:sz="0" w:space="0" w:color="auto"/>
      </w:divBdr>
    </w:div>
    <w:div w:id="959455838">
      <w:bodyDiv w:val="1"/>
      <w:marLeft w:val="0"/>
      <w:marRight w:val="0"/>
      <w:marTop w:val="0"/>
      <w:marBottom w:val="0"/>
      <w:divBdr>
        <w:top w:val="none" w:sz="0" w:space="0" w:color="auto"/>
        <w:left w:val="none" w:sz="0" w:space="0" w:color="auto"/>
        <w:bottom w:val="none" w:sz="0" w:space="0" w:color="auto"/>
        <w:right w:val="none" w:sz="0" w:space="0" w:color="auto"/>
      </w:divBdr>
    </w:div>
    <w:div w:id="1212115450">
      <w:bodyDiv w:val="1"/>
      <w:marLeft w:val="0"/>
      <w:marRight w:val="0"/>
      <w:marTop w:val="0"/>
      <w:marBottom w:val="0"/>
      <w:divBdr>
        <w:top w:val="none" w:sz="0" w:space="0" w:color="auto"/>
        <w:left w:val="none" w:sz="0" w:space="0" w:color="auto"/>
        <w:bottom w:val="none" w:sz="0" w:space="0" w:color="auto"/>
        <w:right w:val="none" w:sz="0" w:space="0" w:color="auto"/>
      </w:divBdr>
    </w:div>
    <w:div w:id="1223637498">
      <w:bodyDiv w:val="1"/>
      <w:marLeft w:val="0"/>
      <w:marRight w:val="0"/>
      <w:marTop w:val="0"/>
      <w:marBottom w:val="0"/>
      <w:divBdr>
        <w:top w:val="none" w:sz="0" w:space="0" w:color="auto"/>
        <w:left w:val="none" w:sz="0" w:space="0" w:color="auto"/>
        <w:bottom w:val="none" w:sz="0" w:space="0" w:color="auto"/>
        <w:right w:val="none" w:sz="0" w:space="0" w:color="auto"/>
      </w:divBdr>
    </w:div>
    <w:div w:id="1370647742">
      <w:bodyDiv w:val="1"/>
      <w:marLeft w:val="0"/>
      <w:marRight w:val="0"/>
      <w:marTop w:val="0"/>
      <w:marBottom w:val="0"/>
      <w:divBdr>
        <w:top w:val="none" w:sz="0" w:space="0" w:color="auto"/>
        <w:left w:val="none" w:sz="0" w:space="0" w:color="auto"/>
        <w:bottom w:val="none" w:sz="0" w:space="0" w:color="auto"/>
        <w:right w:val="none" w:sz="0" w:space="0" w:color="auto"/>
      </w:divBdr>
      <w:divsChild>
        <w:div w:id="366296767">
          <w:marLeft w:val="0"/>
          <w:marRight w:val="0"/>
          <w:marTop w:val="0"/>
          <w:marBottom w:val="0"/>
          <w:divBdr>
            <w:top w:val="none" w:sz="0" w:space="0" w:color="auto"/>
            <w:left w:val="none" w:sz="0" w:space="0" w:color="auto"/>
            <w:bottom w:val="none" w:sz="0" w:space="0" w:color="auto"/>
            <w:right w:val="none" w:sz="0" w:space="0" w:color="auto"/>
          </w:divBdr>
        </w:div>
        <w:div w:id="1260984431">
          <w:marLeft w:val="0"/>
          <w:marRight w:val="0"/>
          <w:marTop w:val="0"/>
          <w:marBottom w:val="0"/>
          <w:divBdr>
            <w:top w:val="none" w:sz="0" w:space="0" w:color="auto"/>
            <w:left w:val="none" w:sz="0" w:space="0" w:color="auto"/>
            <w:bottom w:val="none" w:sz="0" w:space="0" w:color="auto"/>
            <w:right w:val="none" w:sz="0" w:space="0" w:color="auto"/>
          </w:divBdr>
        </w:div>
        <w:div w:id="1476221955">
          <w:marLeft w:val="0"/>
          <w:marRight w:val="0"/>
          <w:marTop w:val="0"/>
          <w:marBottom w:val="0"/>
          <w:divBdr>
            <w:top w:val="none" w:sz="0" w:space="0" w:color="auto"/>
            <w:left w:val="none" w:sz="0" w:space="0" w:color="auto"/>
            <w:bottom w:val="none" w:sz="0" w:space="0" w:color="auto"/>
            <w:right w:val="none" w:sz="0" w:space="0" w:color="auto"/>
          </w:divBdr>
        </w:div>
        <w:div w:id="2016225789">
          <w:marLeft w:val="0"/>
          <w:marRight w:val="0"/>
          <w:marTop w:val="0"/>
          <w:marBottom w:val="0"/>
          <w:divBdr>
            <w:top w:val="none" w:sz="0" w:space="0" w:color="auto"/>
            <w:left w:val="none" w:sz="0" w:space="0" w:color="auto"/>
            <w:bottom w:val="none" w:sz="0" w:space="0" w:color="auto"/>
            <w:right w:val="none" w:sz="0" w:space="0" w:color="auto"/>
          </w:divBdr>
        </w:div>
      </w:divsChild>
    </w:div>
    <w:div w:id="1531137999">
      <w:bodyDiv w:val="1"/>
      <w:marLeft w:val="0"/>
      <w:marRight w:val="0"/>
      <w:marTop w:val="0"/>
      <w:marBottom w:val="0"/>
      <w:divBdr>
        <w:top w:val="none" w:sz="0" w:space="0" w:color="auto"/>
        <w:left w:val="none" w:sz="0" w:space="0" w:color="auto"/>
        <w:bottom w:val="none" w:sz="0" w:space="0" w:color="auto"/>
        <w:right w:val="none" w:sz="0" w:space="0" w:color="auto"/>
      </w:divBdr>
    </w:div>
    <w:div w:id="1556117277">
      <w:bodyDiv w:val="1"/>
      <w:marLeft w:val="0"/>
      <w:marRight w:val="0"/>
      <w:marTop w:val="0"/>
      <w:marBottom w:val="0"/>
      <w:divBdr>
        <w:top w:val="none" w:sz="0" w:space="0" w:color="auto"/>
        <w:left w:val="none" w:sz="0" w:space="0" w:color="auto"/>
        <w:bottom w:val="none" w:sz="0" w:space="0" w:color="auto"/>
        <w:right w:val="none" w:sz="0" w:space="0" w:color="auto"/>
      </w:divBdr>
    </w:div>
    <w:div w:id="1734620399">
      <w:bodyDiv w:val="1"/>
      <w:marLeft w:val="0"/>
      <w:marRight w:val="0"/>
      <w:marTop w:val="0"/>
      <w:marBottom w:val="0"/>
      <w:divBdr>
        <w:top w:val="none" w:sz="0" w:space="0" w:color="auto"/>
        <w:left w:val="none" w:sz="0" w:space="0" w:color="auto"/>
        <w:bottom w:val="none" w:sz="0" w:space="0" w:color="auto"/>
        <w:right w:val="none" w:sz="0" w:space="0" w:color="auto"/>
      </w:divBdr>
    </w:div>
    <w:div w:id="1841192387">
      <w:bodyDiv w:val="1"/>
      <w:marLeft w:val="0"/>
      <w:marRight w:val="0"/>
      <w:marTop w:val="0"/>
      <w:marBottom w:val="0"/>
      <w:divBdr>
        <w:top w:val="none" w:sz="0" w:space="0" w:color="auto"/>
        <w:left w:val="none" w:sz="0" w:space="0" w:color="auto"/>
        <w:bottom w:val="none" w:sz="0" w:space="0" w:color="auto"/>
        <w:right w:val="none" w:sz="0" w:space="0" w:color="auto"/>
      </w:divBdr>
    </w:div>
    <w:div w:id="1845247096">
      <w:bodyDiv w:val="1"/>
      <w:marLeft w:val="0"/>
      <w:marRight w:val="0"/>
      <w:marTop w:val="0"/>
      <w:marBottom w:val="0"/>
      <w:divBdr>
        <w:top w:val="none" w:sz="0" w:space="0" w:color="auto"/>
        <w:left w:val="none" w:sz="0" w:space="0" w:color="auto"/>
        <w:bottom w:val="none" w:sz="0" w:space="0" w:color="auto"/>
        <w:right w:val="none" w:sz="0" w:space="0" w:color="auto"/>
      </w:divBdr>
    </w:div>
    <w:div w:id="1857846180">
      <w:bodyDiv w:val="1"/>
      <w:marLeft w:val="0"/>
      <w:marRight w:val="0"/>
      <w:marTop w:val="0"/>
      <w:marBottom w:val="0"/>
      <w:divBdr>
        <w:top w:val="none" w:sz="0" w:space="0" w:color="auto"/>
        <w:left w:val="none" w:sz="0" w:space="0" w:color="auto"/>
        <w:bottom w:val="none" w:sz="0" w:space="0" w:color="auto"/>
        <w:right w:val="none" w:sz="0" w:space="0" w:color="auto"/>
      </w:divBdr>
    </w:div>
    <w:div w:id="1910185814">
      <w:bodyDiv w:val="1"/>
      <w:marLeft w:val="0"/>
      <w:marRight w:val="0"/>
      <w:marTop w:val="0"/>
      <w:marBottom w:val="0"/>
      <w:divBdr>
        <w:top w:val="none" w:sz="0" w:space="0" w:color="auto"/>
        <w:left w:val="none" w:sz="0" w:space="0" w:color="auto"/>
        <w:bottom w:val="none" w:sz="0" w:space="0" w:color="auto"/>
        <w:right w:val="none" w:sz="0" w:space="0" w:color="auto"/>
      </w:divBdr>
    </w:div>
    <w:div w:id="2113550230">
      <w:bodyDiv w:val="1"/>
      <w:marLeft w:val="0"/>
      <w:marRight w:val="0"/>
      <w:marTop w:val="0"/>
      <w:marBottom w:val="0"/>
      <w:divBdr>
        <w:top w:val="none" w:sz="0" w:space="0" w:color="auto"/>
        <w:left w:val="none" w:sz="0" w:space="0" w:color="auto"/>
        <w:bottom w:val="none" w:sz="0" w:space="0" w:color="auto"/>
        <w:right w:val="none" w:sz="0" w:space="0" w:color="auto"/>
      </w:divBdr>
    </w:div>
    <w:div w:id="2133280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Naw20</b:Tag>
    <b:SourceType>JournalArticle</b:SourceType>
    <b:Guid>{0B4D4F81-5E8D-423D-9D4A-F7DBD2D9E785}</b:Guid>
    <b:Author>
      <b:Author>
        <b:NameList>
          <b:Person>
            <b:Last>Naweed</b:Last>
            <b:First>A.</b:First>
          </b:Person>
          <b:Person>
            <b:Last>Kourousis</b:Last>
            <b:First>K.I.</b:First>
          </b:Person>
        </b:NameList>
      </b:Author>
    </b:Author>
    <b:Title>Winging it: Key issues and perceptions around regulation and practice of aircraft maintenance in Australian general aviation</b:Title>
    <b:JournalName>Aerospace</b:JournalName>
    <b:Year>2020</b:Year>
    <b:Pages>84</b:Pages>
    <b:Volume>7</b:Volume>
    <b:Issue>6</b:Issue>
    <b:RefOrder>2</b:RefOrder>
  </b:Source>
  <b:Source>
    <b:Tag>Has20</b:Tag>
    <b:SourceType>JournalArticle</b:SourceType>
    <b:Guid>{B0CD99CD-DE6F-473E-972B-9B617588669D}</b:Guid>
    <b:Author>
      <b:Author>
        <b:NameList>
          <b:Person>
            <b:Last>Hasani</b:Last>
            <b:First>L.M.</b:First>
          </b:Person>
          <b:Person>
            <b:Last>Adnan</b:Last>
            <b:First>H.R.</b:First>
          </b:Person>
          <b:Person>
            <b:Last>Sensuse</b:Last>
            <b:First>D.I.</b:First>
          </b:Person>
          <b:Person>
            <b:Last>Suryono</b:Last>
            <b:First>R.R.</b:First>
          </b:Person>
        </b:NameList>
      </b:Author>
    </b:Author>
    <b:Title>Factors affecting student’s perceived readiness on abrupt distance learning adoption: Indonesian higher-education perspectives</b:Title>
    <b:JournalName>2020 3rd International Conference on Computer and Informatics Engineering (IC2IE)</b:JournalName>
    <b:Year>2020</b:Year>
    <b:Pages>286-292</b:Pages>
    <b:RefOrder>3</b:RefOrder>
  </b:Source>
  <b:Source>
    <b:Tag>Kap20</b:Tag>
    <b:SourceType>Book</b:SourceType>
    <b:Guid>{942CB4B7-AB9A-49FA-BC44-A7131F38B704}</b:Guid>
    <b:Title>Being all equal: Identity, difference and Australian cultural practice</b:Title>
    <b:Year>2020</b:Year>
    <b:Author>
      <b:Author>
        <b:NameList>
          <b:Person>
            <b:Last>Kapferer</b:Last>
            <b:First>J.</b:First>
          </b:Person>
        </b:NameList>
      </b:Author>
    </b:Author>
    <b:RefOrder>5</b:RefOrder>
  </b:Source>
  <b:Source>
    <b:Tag>Art20</b:Tag>
    <b:SourceType>JournalArticle</b:SourceType>
    <b:Guid>{E697D771-729B-4A88-8EC7-2DDB8C04427B}</b:Guid>
    <b:Title>The workforce in Indonesian organizations: An analysis based upon the cultural dimensions of Hofstede’s model</b:Title>
    <b:Year>2020</b:Year>
    <b:Author>
      <b:Author>
        <b:NameList>
          <b:Person>
            <b:Last>Artina</b:Last>
            <b:First>B.S.</b:First>
          </b:Person>
          <b:Person>
            <b:Last>Desnasari</b:Last>
            <b:First>D.</b:First>
          </b:Person>
          <b:Person>
            <b:Last>Fitriyah</b:Last>
            <b:First>F.</b:First>
          </b:Person>
          <b:Person>
            <b:Last>Rizkita</b:Last>
            <b:First>R.G.</b:First>
          </b:Person>
        </b:NameList>
      </b:Author>
    </b:Author>
    <b:JournalName>Journal of International Conference Proceedings (JICP) </b:JournalName>
    <b:Pages>56-64</b:Pages>
    <b:Volume>3</b:Volume>
    <b:RefOrder>7</b:RefOrder>
  </b:Source>
  <b:Source>
    <b:Tag>hof22</b:Tag>
    <b:SourceType>InternetSite</b:SourceType>
    <b:Guid>{1B21B98E-2993-4F07-8B63-24F00130F872}</b:Guid>
    <b:Title>COUNTRY COMPARISON</b:Title>
    <b:Year>2022</b:Year>
    <b:Author>
      <b:Author>
        <b:Corporate>hofstede-insights</b:Corporate>
      </b:Author>
    </b:Author>
    <b:YearAccessed>2022</b:YearAccessed>
    <b:URL>https://www.hofstede-insights.com/country-comparison/australia,indonesia/</b:URL>
    <b:RefOrder>1</b:RefOrder>
  </b:Source>
  <b:Source>
    <b:Tag>Mas19</b:Tag>
    <b:SourceType>JournalArticle</b:SourceType>
    <b:Guid>{9AD1F40E-AAAC-4CDF-BF7D-77D4EE2922C9}</b:Guid>
    <b:Author>
      <b:Author>
        <b:NameList>
          <b:Person>
            <b:Last>Mastracci</b:Last>
            <b:First>S.</b:First>
          </b:Person>
          <b:Person>
            <b:Last>Adams</b:Last>
            <b:First>I.</b:First>
          </b:Person>
        </b:NameList>
      </b:Author>
    </b:Author>
    <b:Title>Is emotional labor easier in collectivist or individualist cultures? An east–west comparison</b:Title>
    <b:JournalName>Public Personnel Management</b:JournalName>
    <b:Year>2019</b:Year>
    <b:Pages>325-344</b:Pages>
    <b:Volume>48</b:Volume>
    <b:Issue>3</b:Issue>
    <b:RefOrder>4</b:RefOrder>
  </b:Source>
  <b:Source>
    <b:Tag>Nic21</b:Tag>
    <b:SourceType>Book</b:SourceType>
    <b:Guid>{118F77A0-0E4E-41A5-8EDA-6C4F35D63D6D}</b:Guid>
    <b:Title>Understanding collectivist cultures</b:Title>
    <b:Year>2021</b:Year>
    <b:Author>
      <b:Author>
        <b:NameList>
          <b:Person>
            <b:Last>Nickerson</b:Last>
            <b:First>C.</b:First>
          </b:Person>
        </b:NameList>
      </b:Author>
    </b:Author>
    <b:RefOrder>6</b:RefOrder>
  </b:Source>
  <b:Source>
    <b:Tag>Dar191</b:Tag>
    <b:SourceType>JournalArticle</b:SourceType>
    <b:Guid>{9456C2A9-6E8D-4D7D-9EC6-77A3CFFD228D}</b:Guid>
    <b:Title>Bugis Cultural Taxonomy: An Overview of Hofstede’s Cultural Dimension</b:Title>
    <b:Year>2019</b:Year>
    <b:Author>
      <b:Author>
        <b:NameList>
          <b:Person>
            <b:Last>Darmawati</b:Last>
            <b:First>B.</b:First>
          </b:Person>
          <b:Person>
            <b:Last>Herlina</b:Last>
            <b:First>A.</b:First>
          </b:Person>
        </b:NameList>
      </b:Author>
    </b:Author>
    <b:JournalName>6th International Conference on Community Development (ICCD 2019)</b:JournalName>
    <b:Pages>108-110</b:Pages>
    <b:RefOrder>8</b:RefOrder>
  </b:Source>
  <b:Source>
    <b:Tag>Alm20</b:Tag>
    <b:SourceType>JournalArticle</b:SourceType>
    <b:Guid>{7EF01A14-D602-4C4F-8E85-C511C1E36CFE}</b:Guid>
    <b:Author>
      <b:Author>
        <b:NameList>
          <b:Person>
            <b:Last>Almutairi</b:Last>
            <b:First>T.M.</b:First>
          </b:Person>
          <b:Person>
            <b:Last>Sharoufi</b:Last>
            <b:First>H.A.</b:First>
          </b:Person>
          <b:Person>
            <b:Last>Dashti</b:Last>
            <b:First>A.A.</b:First>
          </b:Person>
        </b:NameList>
      </b:Author>
    </b:Author>
    <b:Title>The role of pragmatic cultural schema in analysing public relations communication strategies</b:Title>
    <b:JournalName>Public Relations Inquiry</b:JournalName>
    <b:Year>2020</b:Year>
    <b:Pages>277-294</b:Pages>
    <b:Volume>9</b:Volume>
    <b:Issue>3</b:Issue>
    <b:RefOrder>9</b:RefOrder>
  </b:Source>
  <b:Source>
    <b:Tag>Art201</b:Tag>
    <b:SourceType>JournalArticle</b:SourceType>
    <b:Guid>{AA76D235-A6B3-4FE0-9C11-1B12D7EF803B}</b:Guid>
    <b:Author>
      <b:Author>
        <b:NameList>
          <b:Person>
            <b:Last>Artina</b:Last>
            <b:First>B.S.</b:First>
          </b:Person>
          <b:Person>
            <b:Last>Desnasari</b:Last>
            <b:First>D.</b:First>
          </b:Person>
          <b:Person>
            <b:Last>Fitriyah</b:Last>
            <b:First>F.</b:First>
          </b:Person>
          <b:Person>
            <b:Last>Rizkita</b:Last>
            <b:First>R.G.</b:First>
          </b:Person>
        </b:NameList>
      </b:Author>
    </b:Author>
    <b:Title>The workforce in Indonesian organizations: An analysis based upon the cultural dimensions of Hofstede’s model</b:Title>
    <b:JournalName>Journal of International Conference Proceedings (JICP)</b:JournalName>
    <b:Year>2020</b:Year>
    <b:Pages>56-64</b:Pages>
    <b:Volume>3</b:Volume>
    <b:Issue>1</b:Issue>
    <b:RefOrder>10</b:RefOrder>
  </b:Source>
</b:Sources>
</file>

<file path=customXml/itemProps1.xml><?xml version="1.0" encoding="utf-8"?>
<ds:datastoreItem xmlns:ds="http://schemas.openxmlformats.org/officeDocument/2006/customXml" ds:itemID="{2310AD26-88C0-4031-91FF-1A4B929A4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1432</Words>
  <Characters>8164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Corina Stefan</cp:lastModifiedBy>
  <cp:revision>33</cp:revision>
  <dcterms:created xsi:type="dcterms:W3CDTF">2022-11-25T06:46:00Z</dcterms:created>
  <dcterms:modified xsi:type="dcterms:W3CDTF">2022-11-28T18:18:00Z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da26b333-fc4c-42a7-b312-3f9e1b6a0148</vt:lpwstr>
  </property>
</Properties>
</file>