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41A945" w14:textId="55837E10" w:rsidR="00D50359" w:rsidRPr="003154A1" w:rsidRDefault="00A81CD2" w:rsidP="00D50359">
      <w:pPr>
        <w:rPr>
          <w:rFonts w:ascii="Arial" w:hAnsi="Arial" w:cs="Arial"/>
        </w:rPr>
      </w:pPr>
      <w:r w:rsidRPr="00A81CD2">
        <w:rPr>
          <w:rFonts w:ascii="Arial" w:hAnsi="Arial" w:cs="Arial"/>
          <w:b/>
          <w:bCs/>
          <w:sz w:val="32"/>
          <w:szCs w:val="32"/>
        </w:rPr>
        <w:t>Access for All? Evaluating the meaningful integration of Universal Design in Welsh public buildings through a Swansea case study.</w:t>
      </w:r>
    </w:p>
    <w:p w14:paraId="5C07AA22" w14:textId="28FD25E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12A4648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77777777" w:rsidR="00D50359" w:rsidRPr="003154A1" w:rsidRDefault="00D50359" w:rsidP="00D50359">
      <w:pPr>
        <w:jc w:val="both"/>
        <w:rPr>
          <w:rFonts w:ascii="Arial" w:hAnsi="Arial" w:cs="Arial"/>
        </w:rPr>
      </w:pPr>
      <w:r w:rsidRPr="003154A1">
        <w:rPr>
          <w:rFonts w:ascii="Arial" w:hAnsi="Arial" w:cs="Arial"/>
        </w:rPr>
        <w:t>Name: Arial 11</w:t>
      </w:r>
    </w:p>
    <w:p w14:paraId="709236CA" w14:textId="77777777" w:rsidR="00D50359" w:rsidRPr="003154A1" w:rsidRDefault="00D50359" w:rsidP="00D50359">
      <w:pPr>
        <w:jc w:val="both"/>
        <w:rPr>
          <w:rFonts w:ascii="Arial" w:hAnsi="Arial" w:cs="Arial"/>
        </w:rPr>
      </w:pPr>
      <w:r w:rsidRPr="003154A1">
        <w:rPr>
          <w:rFonts w:ascii="Arial" w:hAnsi="Arial" w:cs="Arial"/>
        </w:rPr>
        <w:t>Student Number: Arial 11</w:t>
      </w:r>
    </w:p>
    <w:p w14:paraId="344CE396" w14:textId="47B1D680" w:rsidR="00D50359" w:rsidRPr="003154A1" w:rsidRDefault="00D50359" w:rsidP="00D50359">
      <w:pPr>
        <w:jc w:val="both"/>
        <w:rPr>
          <w:rFonts w:ascii="Arial" w:hAnsi="Arial" w:cs="Arial"/>
        </w:rPr>
      </w:pPr>
      <w:r w:rsidRPr="003154A1">
        <w:rPr>
          <w:rFonts w:ascii="Arial" w:hAnsi="Arial" w:cs="Arial"/>
        </w:rPr>
        <w:t xml:space="preserve">Module code: </w:t>
      </w:r>
      <w:r w:rsidR="006E3E6B">
        <w:rPr>
          <w:rFonts w:ascii="Arial" w:hAnsi="Arial" w:cs="Arial"/>
        </w:rPr>
        <w:t>ACAA6003</w:t>
      </w:r>
      <w:r w:rsidRPr="003154A1">
        <w:rPr>
          <w:rFonts w:ascii="Arial" w:hAnsi="Arial" w:cs="Arial"/>
        </w:rPr>
        <w:t xml:space="preserve"> </w:t>
      </w:r>
    </w:p>
    <w:p w14:paraId="04C3C33E" w14:textId="77777777" w:rsidR="00D50359" w:rsidRPr="003154A1" w:rsidRDefault="00D50359" w:rsidP="00D50359">
      <w:pPr>
        <w:jc w:val="both"/>
        <w:rPr>
          <w:rFonts w:ascii="Arial" w:hAnsi="Arial" w:cs="Arial"/>
        </w:rPr>
      </w:pPr>
      <w:r w:rsidRPr="003154A1">
        <w:rPr>
          <w:rFonts w:ascii="Arial" w:hAnsi="Arial" w:cs="Arial"/>
        </w:rPr>
        <w:t>Word count Arial 11</w:t>
      </w:r>
    </w:p>
    <w:p w14:paraId="6525DB84" w14:textId="77777777" w:rsidR="00D50359" w:rsidRPr="003154A1" w:rsidRDefault="00D50359" w:rsidP="00D50359">
      <w:pPr>
        <w:rPr>
          <w:rFonts w:ascii="Arial" w:hAnsi="Arial" w:cs="Arial"/>
        </w:rPr>
      </w:pPr>
      <w:r w:rsidRPr="003154A1">
        <w:rPr>
          <w:rFonts w:ascii="Arial" w:hAnsi="Arial" w:cs="Arial"/>
        </w:rPr>
        <w:t>Date: Arial 11</w:t>
      </w:r>
    </w:p>
    <w:p w14:paraId="6FB55E32" w14:textId="55196AB7" w:rsidR="00D50359" w:rsidRDefault="00D50359">
      <w:r>
        <w:lastRenderedPageBreak/>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C5AB6"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0C7EDA93" w:rsidR="00533C3E" w:rsidRPr="0035352B" w:rsidRDefault="00533C3E" w:rsidP="008B71A5">
            <w:pPr>
              <w:rPr>
                <w:rFonts w:ascii="Arial" w:hAnsi="Arial" w:cs="Arial"/>
              </w:rPr>
            </w:pPr>
            <w:r w:rsidRPr="0035352B">
              <w:rPr>
                <w:rFonts w:ascii="Arial" w:hAnsi="Arial" w:cs="Arial"/>
              </w:rPr>
              <w:t>Student name</w:t>
            </w:r>
            <w:r w:rsidR="0035352B" w:rsidRPr="0035352B">
              <w:rPr>
                <w:rFonts w:ascii="Arial" w:hAnsi="Arial" w:cs="Arial"/>
              </w:rPr>
              <w:t xml:space="preserve"> </w:t>
            </w:r>
          </w:p>
        </w:tc>
      </w:tr>
      <w:tr w:rsidR="00BC5AB6"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7993E65B" w:rsidR="0035352B" w:rsidRPr="0035352B" w:rsidRDefault="0035352B" w:rsidP="008B71A5">
            <w:pPr>
              <w:rPr>
                <w:rFonts w:ascii="Arial" w:hAnsi="Arial" w:cs="Arial"/>
              </w:rPr>
            </w:pPr>
            <w:r w:rsidRPr="0035352B">
              <w:rPr>
                <w:rFonts w:ascii="Arial" w:hAnsi="Arial" w:cs="Arial"/>
              </w:rPr>
              <w:t xml:space="preserve">Insert date </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C5AB6" w:rsidRPr="0035352B" w14:paraId="3889061F" w14:textId="77777777">
        <w:tc>
          <w:tcPr>
            <w:tcW w:w="4508" w:type="dxa"/>
          </w:tcPr>
          <w:p w14:paraId="04F3CCBD" w14:textId="77777777" w:rsidR="0035352B" w:rsidRPr="0035352B" w:rsidRDefault="0035352B">
            <w:pPr>
              <w:rPr>
                <w:rFonts w:ascii="Arial" w:hAnsi="Arial" w:cs="Arial"/>
              </w:rPr>
            </w:pPr>
            <w:r w:rsidRPr="0035352B">
              <w:rPr>
                <w:rFonts w:ascii="Arial" w:hAnsi="Arial" w:cs="Arial"/>
              </w:rPr>
              <w:t xml:space="preserve">Signed: </w:t>
            </w:r>
          </w:p>
          <w:p w14:paraId="18022164" w14:textId="77777777" w:rsidR="0035352B" w:rsidRPr="0035352B" w:rsidRDefault="0035352B">
            <w:pPr>
              <w:rPr>
                <w:rFonts w:ascii="Arial" w:hAnsi="Arial" w:cs="Arial"/>
              </w:rPr>
            </w:pPr>
          </w:p>
          <w:p w14:paraId="24C7ABAF" w14:textId="77777777" w:rsidR="0035352B" w:rsidRPr="0035352B" w:rsidRDefault="0035352B">
            <w:pPr>
              <w:rPr>
                <w:rFonts w:ascii="Arial" w:hAnsi="Arial" w:cs="Arial"/>
              </w:rPr>
            </w:pPr>
          </w:p>
          <w:p w14:paraId="1B120E73" w14:textId="77777777" w:rsidR="0035352B" w:rsidRPr="0035352B" w:rsidRDefault="0035352B">
            <w:pPr>
              <w:rPr>
                <w:rFonts w:ascii="Arial" w:hAnsi="Arial" w:cs="Arial"/>
              </w:rPr>
            </w:pPr>
          </w:p>
          <w:p w14:paraId="1EC11C42" w14:textId="77777777" w:rsidR="0035352B" w:rsidRPr="0035352B" w:rsidRDefault="0035352B">
            <w:pPr>
              <w:rPr>
                <w:rFonts w:ascii="Arial" w:hAnsi="Arial" w:cs="Arial"/>
              </w:rPr>
            </w:pPr>
          </w:p>
          <w:p w14:paraId="7165D894" w14:textId="77777777" w:rsidR="0035352B" w:rsidRPr="0035352B" w:rsidRDefault="0035352B">
            <w:pPr>
              <w:rPr>
                <w:rFonts w:ascii="Arial" w:hAnsi="Arial" w:cs="Arial"/>
              </w:rPr>
            </w:pPr>
          </w:p>
          <w:p w14:paraId="6B32A657" w14:textId="77777777" w:rsidR="0035352B" w:rsidRPr="0035352B" w:rsidRDefault="0035352B">
            <w:pPr>
              <w:rPr>
                <w:rFonts w:ascii="Arial" w:hAnsi="Arial" w:cs="Arial"/>
              </w:rPr>
            </w:pPr>
          </w:p>
        </w:tc>
        <w:tc>
          <w:tcPr>
            <w:tcW w:w="4508" w:type="dxa"/>
          </w:tcPr>
          <w:p w14:paraId="11244C1F" w14:textId="39F930AA" w:rsidR="0035352B" w:rsidRPr="0035352B" w:rsidRDefault="0035352B">
            <w:pPr>
              <w:rPr>
                <w:rFonts w:ascii="Arial" w:hAnsi="Arial" w:cs="Arial"/>
              </w:rPr>
            </w:pPr>
            <w:r w:rsidRPr="0035352B">
              <w:rPr>
                <w:rFonts w:ascii="Arial" w:hAnsi="Arial" w:cs="Arial"/>
              </w:rPr>
              <w:t xml:space="preserve">Student name </w:t>
            </w:r>
          </w:p>
        </w:tc>
      </w:tr>
      <w:tr w:rsidR="00BC5AB6" w:rsidRPr="0035352B" w14:paraId="00FD5A6A" w14:textId="77777777" w:rsidTr="00B3646A">
        <w:trPr>
          <w:trHeight w:val="205"/>
        </w:trPr>
        <w:tc>
          <w:tcPr>
            <w:tcW w:w="4508" w:type="dxa"/>
          </w:tcPr>
          <w:p w14:paraId="7BBCAA53" w14:textId="77777777" w:rsidR="0035352B" w:rsidRPr="0035352B" w:rsidRDefault="0035352B">
            <w:pPr>
              <w:rPr>
                <w:rFonts w:ascii="Arial" w:hAnsi="Arial" w:cs="Arial"/>
              </w:rPr>
            </w:pPr>
            <w:r w:rsidRPr="0035352B">
              <w:rPr>
                <w:rFonts w:ascii="Arial" w:hAnsi="Arial" w:cs="Arial"/>
              </w:rPr>
              <w:t>Date:</w:t>
            </w:r>
          </w:p>
        </w:tc>
        <w:tc>
          <w:tcPr>
            <w:tcW w:w="4508" w:type="dxa"/>
          </w:tcPr>
          <w:p w14:paraId="0FDF34E8" w14:textId="17BD10BA" w:rsidR="0035352B" w:rsidRPr="0035352B" w:rsidRDefault="0035352B">
            <w:pPr>
              <w:rPr>
                <w:rFonts w:ascii="Arial" w:hAnsi="Arial" w:cs="Arial"/>
              </w:rPr>
            </w:pPr>
            <w:r w:rsidRPr="0035352B">
              <w:rPr>
                <w:rFonts w:ascii="Arial" w:hAnsi="Arial" w:cs="Arial"/>
              </w:rPr>
              <w:t xml:space="preserve">Insert date </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4B376405" w:rsidR="00492A4F" w:rsidRPr="008B3C85" w:rsidRDefault="00492A4F" w:rsidP="00492A4F">
      <w:pPr>
        <w:pStyle w:val="Heading1"/>
        <w:rPr>
          <w:rFonts w:ascii="Arial" w:hAnsi="Arial" w:cs="Arial"/>
          <w:b/>
          <w:bCs/>
        </w:rPr>
      </w:pPr>
      <w:bookmarkStart w:id="1" w:name="_Toc228359230"/>
      <w:r w:rsidRPr="008B3C85">
        <w:rPr>
          <w:rFonts w:ascii="Arial" w:hAnsi="Arial" w:cs="Arial"/>
          <w:b/>
          <w:bCs/>
        </w:rPr>
        <w:lastRenderedPageBreak/>
        <w:t>Abstract</w:t>
      </w:r>
      <w:bookmarkEnd w:id="0"/>
      <w:bookmarkEnd w:id="1"/>
      <w:r w:rsidR="008B3C85" w:rsidRPr="008B3C85">
        <w:rPr>
          <w:rFonts w:ascii="Arial" w:hAnsi="Arial" w:cs="Arial"/>
          <w:b/>
          <w:bCs/>
        </w:rPr>
        <w:t xml:space="preserve"> </w:t>
      </w:r>
    </w:p>
    <w:p w14:paraId="3DE8FB6D" w14:textId="30734487" w:rsidR="00492A4F" w:rsidRPr="00E80B43" w:rsidRDefault="00492A4F" w:rsidP="00492A4F">
      <w:pPr>
        <w:rPr>
          <w:rFonts w:ascii="Arial" w:hAnsi="Arial" w:cs="Arial"/>
        </w:rPr>
      </w:pPr>
    </w:p>
    <w:p w14:paraId="45DB88AD" w14:textId="64FA0BD1" w:rsidR="008B3C85" w:rsidRPr="00E80B43" w:rsidRDefault="008B3C85" w:rsidP="00492A4F">
      <w:pPr>
        <w:spacing w:line="360" w:lineRule="auto"/>
        <w:jc w:val="both"/>
        <w:rPr>
          <w:rFonts w:ascii="Arial" w:hAnsi="Arial" w:cs="Arial"/>
        </w:rPr>
      </w:pPr>
      <w:r w:rsidRPr="00E80B43">
        <w:rPr>
          <w:rFonts w:ascii="Arial" w:hAnsi="Arial" w:cs="Arial"/>
        </w:rPr>
        <w:t>[Insert text in here] Arial 11</w:t>
      </w:r>
    </w:p>
    <w:p w14:paraId="67A43481" w14:textId="4F4F9B32" w:rsidR="000D5306" w:rsidRPr="00E80B43" w:rsidRDefault="000D5306" w:rsidP="00492A4F">
      <w:pPr>
        <w:spacing w:line="360" w:lineRule="auto"/>
        <w:jc w:val="both"/>
        <w:rPr>
          <w:rFonts w:ascii="Arial" w:hAnsi="Arial" w:cs="Arial"/>
        </w:rPr>
      </w:pPr>
      <w:r w:rsidRPr="00E80B43">
        <w:rPr>
          <w:rFonts w:ascii="Arial" w:hAnsi="Arial" w:cs="Arial"/>
        </w:rPr>
        <w:t>Paragraph spacing: 1.5</w:t>
      </w:r>
    </w:p>
    <w:p w14:paraId="17F5E49A" w14:textId="2F903D6C" w:rsidR="000D5306" w:rsidRPr="00E80B43" w:rsidRDefault="000D5306" w:rsidP="00492A4F">
      <w:pPr>
        <w:spacing w:line="360" w:lineRule="auto"/>
        <w:jc w:val="both"/>
        <w:rPr>
          <w:rFonts w:ascii="Arial" w:hAnsi="Arial" w:cs="Arial"/>
        </w:rPr>
      </w:pPr>
      <w:r w:rsidRPr="00E80B43">
        <w:rPr>
          <w:rFonts w:ascii="Arial" w:hAnsi="Arial" w:cs="Arial"/>
        </w:rPr>
        <w:t xml:space="preserve">Justified text </w:t>
      </w:r>
    </w:p>
    <w:p w14:paraId="4B911A2C" w14:textId="77777777" w:rsidR="00E80B43" w:rsidRDefault="00E80B43" w:rsidP="00492A4F">
      <w:pPr>
        <w:spacing w:line="360" w:lineRule="auto"/>
        <w:jc w:val="both"/>
        <w:rPr>
          <w:rFonts w:cstheme="minorHAnsi"/>
        </w:rPr>
      </w:pPr>
    </w:p>
    <w:p w14:paraId="263847EA" w14:textId="0C8FD85D" w:rsidR="00492A4F" w:rsidRDefault="00492A4F" w:rsidP="00492A4F">
      <w:pPr>
        <w:spacing w:line="360" w:lineRule="auto"/>
        <w:rPr>
          <w:rFonts w:cstheme="minorHAnsi"/>
        </w:rPr>
      </w:pPr>
      <w:r>
        <w:br w:type="page"/>
      </w:r>
    </w:p>
    <w:p w14:paraId="2D48D4BD" w14:textId="2704F35A" w:rsidR="00E80B43" w:rsidRPr="00E80B43" w:rsidRDefault="00492A4F" w:rsidP="00E80B43">
      <w:pPr>
        <w:pStyle w:val="Heading1"/>
        <w:rPr>
          <w:rFonts w:ascii="Arial" w:hAnsi="Arial" w:cs="Arial"/>
          <w:b/>
          <w:bCs/>
        </w:rPr>
      </w:pPr>
      <w:bookmarkStart w:id="2" w:name="_Toc70545364"/>
      <w:bookmarkStart w:id="3" w:name="_Toc228359231"/>
      <w:r w:rsidRPr="00E80B43">
        <w:rPr>
          <w:rFonts w:ascii="Arial" w:hAnsi="Arial" w:cs="Arial"/>
          <w:b/>
          <w:bCs/>
        </w:rPr>
        <w:lastRenderedPageBreak/>
        <w:t>Acknowledgements</w:t>
      </w:r>
      <w:bookmarkEnd w:id="2"/>
      <w:bookmarkEnd w:id="3"/>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10671D2E" w14:textId="77777777" w:rsidR="00E80B43" w:rsidRPr="00E80B43" w:rsidRDefault="00E80B43" w:rsidP="00E80B43">
      <w:pPr>
        <w:spacing w:line="360" w:lineRule="auto"/>
        <w:jc w:val="both"/>
        <w:rPr>
          <w:rFonts w:ascii="Arial" w:hAnsi="Arial" w:cs="Arial"/>
        </w:rPr>
      </w:pPr>
      <w:r w:rsidRPr="00E80B43">
        <w:rPr>
          <w:rFonts w:ascii="Arial" w:hAnsi="Arial" w:cs="Arial"/>
        </w:rPr>
        <w:t>[Insert text in here] Arial 11</w:t>
      </w:r>
    </w:p>
    <w:p w14:paraId="5ED72F6C" w14:textId="77777777" w:rsidR="00E80B43" w:rsidRPr="00E80B43" w:rsidRDefault="00E80B43" w:rsidP="00E80B43">
      <w:pPr>
        <w:spacing w:line="360" w:lineRule="auto"/>
        <w:jc w:val="both"/>
        <w:rPr>
          <w:rFonts w:ascii="Arial" w:hAnsi="Arial" w:cs="Arial"/>
        </w:rPr>
      </w:pPr>
      <w:r w:rsidRPr="00E80B43">
        <w:rPr>
          <w:rFonts w:ascii="Arial" w:hAnsi="Arial" w:cs="Arial"/>
        </w:rPr>
        <w:t>Paragraph spacing: 1.5</w:t>
      </w:r>
    </w:p>
    <w:p w14:paraId="0043278B" w14:textId="77777777" w:rsidR="00E80B43" w:rsidRPr="00E80B43" w:rsidRDefault="00E80B43" w:rsidP="00E80B43">
      <w:pPr>
        <w:spacing w:line="360" w:lineRule="auto"/>
        <w:jc w:val="both"/>
        <w:rPr>
          <w:rFonts w:ascii="Arial" w:hAnsi="Arial" w:cs="Arial"/>
        </w:rPr>
      </w:pPr>
      <w:r w:rsidRPr="00E80B43">
        <w:rPr>
          <w:rFonts w:ascii="Arial" w:hAnsi="Arial" w:cs="Arial"/>
        </w:rPr>
        <w:t xml:space="preserve">Justified text </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40"/>
        <w:gridCol w:w="874"/>
      </w:tblGrid>
      <w:tr w:rsidR="00735332" w:rsidRPr="009438D0" w14:paraId="55CFFEE9" w14:textId="77777777">
        <w:tc>
          <w:tcPr>
            <w:tcW w:w="7938" w:type="dxa"/>
          </w:tcPr>
          <w:sdt>
            <w:sdtPr>
              <w:rPr>
                <w:rFonts w:asciiTheme="minorHAnsi" w:eastAsiaTheme="minorEastAsia" w:hAnsiTheme="minorHAnsi" w:cs="Times New Roman"/>
                <w:b/>
                <w:bCs/>
                <w:sz w:val="22"/>
                <w:szCs w:val="24"/>
                <w:lang w:val="en-GB"/>
              </w:rPr>
              <w:id w:val="-1655438272"/>
              <w:docPartObj>
                <w:docPartGallery w:val="Table of Contents"/>
                <w:docPartUnique/>
              </w:docPartObj>
            </w:sdtPr>
            <w:sdtEndPr>
              <w:rPr>
                <w:rFonts w:eastAsiaTheme="minorHAnsi" w:cstheme="minorBidi"/>
                <w:b w:val="0"/>
                <w:bCs w:val="0"/>
                <w:noProof/>
                <w:szCs w:val="22"/>
              </w:rPr>
            </w:sdtEndPr>
            <w:sdtContent>
              <w:p w14:paraId="031D6F34" w14:textId="77777777" w:rsidR="008A2BFE" w:rsidRPr="008B48E9" w:rsidRDefault="008A2BFE" w:rsidP="008A2BFE">
                <w:pPr>
                  <w:pStyle w:val="TOCHeading"/>
                  <w:rPr>
                    <w:rStyle w:val="Heading1Char"/>
                    <w:rFonts w:ascii="Arial" w:hAnsi="Arial" w:cs="Arial"/>
                    <w:b/>
                    <w:bCs/>
                  </w:rPr>
                </w:pPr>
                <w:r w:rsidRPr="008B48E9">
                  <w:rPr>
                    <w:rStyle w:val="Heading1Char"/>
                    <w:rFonts w:ascii="Arial" w:hAnsi="Arial" w:cs="Arial"/>
                    <w:b/>
                    <w:bCs/>
                  </w:rPr>
                  <w:t>Contents</w:t>
                </w:r>
              </w:p>
              <w:p w14:paraId="055E949A" w14:textId="6902EAD0" w:rsidR="00CA17F3" w:rsidRDefault="008A2BFE">
                <w:pPr>
                  <w:pStyle w:val="TOC1"/>
                  <w:tabs>
                    <w:tab w:val="right" w:leader="dot" w:pos="9016"/>
                  </w:tabs>
                  <w:rPr>
                    <w:rFonts w:eastAsiaTheme="minorEastAsia"/>
                    <w:noProof/>
                    <w:kern w:val="2"/>
                    <w:sz w:val="24"/>
                    <w:szCs w:val="24"/>
                    <w:lang w:eastAsia="en-GB"/>
                    <w14:ligatures w14:val="standardContextual"/>
                  </w:rPr>
                </w:pPr>
                <w:r w:rsidRPr="008B48E9">
                  <w:rPr>
                    <w:rFonts w:ascii="Arial" w:hAnsi="Arial" w:cs="Arial"/>
                  </w:rPr>
                  <w:fldChar w:fldCharType="begin"/>
                </w:r>
                <w:r w:rsidRPr="008B48E9">
                  <w:rPr>
                    <w:rFonts w:ascii="Arial" w:hAnsi="Arial" w:cs="Arial"/>
                  </w:rPr>
                  <w:instrText xml:space="preserve"> TOC \o "1-3" \h \z \u </w:instrText>
                </w:r>
                <w:r w:rsidRPr="008B48E9">
                  <w:rPr>
                    <w:rFonts w:ascii="Arial" w:hAnsi="Arial" w:cs="Arial"/>
                  </w:rPr>
                  <w:fldChar w:fldCharType="separate"/>
                </w:r>
                <w:hyperlink w:anchor="_Toc228359230" w:history="1">
                  <w:r w:rsidR="00CA17F3" w:rsidRPr="00604A5D">
                    <w:rPr>
                      <w:rStyle w:val="Hyperlink"/>
                      <w:rFonts w:ascii="Arial" w:hAnsi="Arial" w:cs="Arial"/>
                      <w:b/>
                      <w:bCs/>
                      <w:noProof/>
                    </w:rPr>
                    <w:t>Abstract</w:t>
                  </w:r>
                  <w:r w:rsidR="00CA17F3">
                    <w:rPr>
                      <w:noProof/>
                      <w:webHidden/>
                    </w:rPr>
                    <w:tab/>
                  </w:r>
                  <w:r w:rsidR="00CA17F3">
                    <w:rPr>
                      <w:noProof/>
                      <w:webHidden/>
                    </w:rPr>
                    <w:fldChar w:fldCharType="begin"/>
                  </w:r>
                  <w:r w:rsidR="00CA17F3">
                    <w:rPr>
                      <w:noProof/>
                      <w:webHidden/>
                    </w:rPr>
                    <w:instrText xml:space="preserve"> PAGEREF _Toc228359230 \h </w:instrText>
                  </w:r>
                  <w:r w:rsidR="00CA17F3">
                    <w:rPr>
                      <w:noProof/>
                      <w:webHidden/>
                    </w:rPr>
                  </w:r>
                  <w:r w:rsidR="00CA17F3">
                    <w:rPr>
                      <w:noProof/>
                      <w:webHidden/>
                    </w:rPr>
                    <w:fldChar w:fldCharType="separate"/>
                  </w:r>
                  <w:r w:rsidR="00F904F0">
                    <w:rPr>
                      <w:noProof/>
                      <w:webHidden/>
                    </w:rPr>
                    <w:t>5</w:t>
                  </w:r>
                  <w:r w:rsidR="00CA17F3">
                    <w:rPr>
                      <w:noProof/>
                      <w:webHidden/>
                    </w:rPr>
                    <w:fldChar w:fldCharType="end"/>
                  </w:r>
                </w:hyperlink>
              </w:p>
              <w:p w14:paraId="187779BE" w14:textId="142181DD"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31" w:history="1">
                  <w:r w:rsidRPr="00604A5D">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_Toc228359231 \h </w:instrText>
                  </w:r>
                  <w:r>
                    <w:rPr>
                      <w:noProof/>
                      <w:webHidden/>
                    </w:rPr>
                  </w:r>
                  <w:r>
                    <w:rPr>
                      <w:noProof/>
                      <w:webHidden/>
                    </w:rPr>
                    <w:fldChar w:fldCharType="separate"/>
                  </w:r>
                  <w:r w:rsidR="00F904F0">
                    <w:rPr>
                      <w:noProof/>
                      <w:webHidden/>
                    </w:rPr>
                    <w:t>6</w:t>
                  </w:r>
                  <w:r>
                    <w:rPr>
                      <w:noProof/>
                      <w:webHidden/>
                    </w:rPr>
                    <w:fldChar w:fldCharType="end"/>
                  </w:r>
                </w:hyperlink>
              </w:p>
              <w:p w14:paraId="3A861E6E" w14:textId="1218383D"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32" w:history="1">
                  <w:r w:rsidRPr="00604A5D">
                    <w:rPr>
                      <w:rStyle w:val="Hyperlink"/>
                      <w:rFonts w:ascii="Arial" w:hAnsi="Arial" w:cs="Arial"/>
                      <w:noProof/>
                    </w:rPr>
                    <w:t>Glossary of Terms</w:t>
                  </w:r>
                  <w:r>
                    <w:rPr>
                      <w:noProof/>
                      <w:webHidden/>
                    </w:rPr>
                    <w:tab/>
                  </w:r>
                  <w:r>
                    <w:rPr>
                      <w:noProof/>
                      <w:webHidden/>
                    </w:rPr>
                    <w:fldChar w:fldCharType="begin"/>
                  </w:r>
                  <w:r>
                    <w:rPr>
                      <w:noProof/>
                      <w:webHidden/>
                    </w:rPr>
                    <w:instrText xml:space="preserve"> PAGEREF _Toc228359232 \h </w:instrText>
                  </w:r>
                  <w:r>
                    <w:rPr>
                      <w:noProof/>
                      <w:webHidden/>
                    </w:rPr>
                  </w:r>
                  <w:r>
                    <w:rPr>
                      <w:noProof/>
                      <w:webHidden/>
                    </w:rPr>
                    <w:fldChar w:fldCharType="separate"/>
                  </w:r>
                  <w:r w:rsidR="00F904F0">
                    <w:rPr>
                      <w:noProof/>
                      <w:webHidden/>
                    </w:rPr>
                    <w:t>11</w:t>
                  </w:r>
                  <w:r>
                    <w:rPr>
                      <w:noProof/>
                      <w:webHidden/>
                    </w:rPr>
                    <w:fldChar w:fldCharType="end"/>
                  </w:r>
                </w:hyperlink>
              </w:p>
              <w:p w14:paraId="464A2279" w14:textId="0F010A64"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33" w:history="1">
                  <w:r w:rsidRPr="00604A5D">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_Toc228359233 \h </w:instrText>
                  </w:r>
                  <w:r>
                    <w:rPr>
                      <w:noProof/>
                      <w:webHidden/>
                    </w:rPr>
                  </w:r>
                  <w:r>
                    <w:rPr>
                      <w:noProof/>
                      <w:webHidden/>
                    </w:rPr>
                    <w:fldChar w:fldCharType="separate"/>
                  </w:r>
                  <w:r w:rsidR="00F904F0">
                    <w:rPr>
                      <w:noProof/>
                      <w:webHidden/>
                    </w:rPr>
                    <w:t>12</w:t>
                  </w:r>
                  <w:r>
                    <w:rPr>
                      <w:noProof/>
                      <w:webHidden/>
                    </w:rPr>
                    <w:fldChar w:fldCharType="end"/>
                  </w:r>
                </w:hyperlink>
              </w:p>
              <w:p w14:paraId="251964DC" w14:textId="1102AD8C"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34" w:history="1">
                  <w:r w:rsidRPr="00604A5D">
                    <w:rPr>
                      <w:rStyle w:val="Hyperlink"/>
                      <w:rFonts w:ascii="Arial" w:hAnsi="Arial" w:cs="Arial"/>
                      <w:noProof/>
                    </w:rPr>
                    <w:t>1.2 Research Aims &amp; Objectives</w:t>
                  </w:r>
                  <w:r>
                    <w:rPr>
                      <w:noProof/>
                      <w:webHidden/>
                    </w:rPr>
                    <w:tab/>
                  </w:r>
                  <w:r>
                    <w:rPr>
                      <w:noProof/>
                      <w:webHidden/>
                    </w:rPr>
                    <w:fldChar w:fldCharType="begin"/>
                  </w:r>
                  <w:r>
                    <w:rPr>
                      <w:noProof/>
                      <w:webHidden/>
                    </w:rPr>
                    <w:instrText xml:space="preserve"> PAGEREF _Toc228359234 \h </w:instrText>
                  </w:r>
                  <w:r>
                    <w:rPr>
                      <w:noProof/>
                      <w:webHidden/>
                    </w:rPr>
                  </w:r>
                  <w:r>
                    <w:rPr>
                      <w:noProof/>
                      <w:webHidden/>
                    </w:rPr>
                    <w:fldChar w:fldCharType="separate"/>
                  </w:r>
                  <w:r w:rsidR="00F904F0">
                    <w:rPr>
                      <w:noProof/>
                      <w:webHidden/>
                    </w:rPr>
                    <w:t>12</w:t>
                  </w:r>
                  <w:r>
                    <w:rPr>
                      <w:noProof/>
                      <w:webHidden/>
                    </w:rPr>
                    <w:fldChar w:fldCharType="end"/>
                  </w:r>
                </w:hyperlink>
              </w:p>
              <w:p w14:paraId="5A3F0AC9" w14:textId="5FC2EB7B"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35" w:history="1">
                  <w:r w:rsidRPr="00604A5D">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_Toc228359235 \h </w:instrText>
                  </w:r>
                  <w:r>
                    <w:rPr>
                      <w:noProof/>
                      <w:webHidden/>
                    </w:rPr>
                  </w:r>
                  <w:r>
                    <w:rPr>
                      <w:noProof/>
                      <w:webHidden/>
                    </w:rPr>
                    <w:fldChar w:fldCharType="separate"/>
                  </w:r>
                  <w:r w:rsidR="00F904F0">
                    <w:rPr>
                      <w:noProof/>
                      <w:webHidden/>
                    </w:rPr>
                    <w:t>14</w:t>
                  </w:r>
                  <w:r>
                    <w:rPr>
                      <w:noProof/>
                      <w:webHidden/>
                    </w:rPr>
                    <w:fldChar w:fldCharType="end"/>
                  </w:r>
                </w:hyperlink>
              </w:p>
              <w:p w14:paraId="3F8DAA12" w14:textId="06CE9052"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36" w:history="1">
                  <w:r w:rsidRPr="00604A5D">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_Toc228359236 \h </w:instrText>
                  </w:r>
                  <w:r>
                    <w:rPr>
                      <w:noProof/>
                      <w:webHidden/>
                    </w:rPr>
                  </w:r>
                  <w:r>
                    <w:rPr>
                      <w:noProof/>
                      <w:webHidden/>
                    </w:rPr>
                    <w:fldChar w:fldCharType="separate"/>
                  </w:r>
                  <w:r w:rsidR="00F904F0">
                    <w:rPr>
                      <w:noProof/>
                      <w:webHidden/>
                    </w:rPr>
                    <w:t>14</w:t>
                  </w:r>
                  <w:r>
                    <w:rPr>
                      <w:noProof/>
                      <w:webHidden/>
                    </w:rPr>
                    <w:fldChar w:fldCharType="end"/>
                  </w:r>
                </w:hyperlink>
              </w:p>
              <w:p w14:paraId="38C24157" w14:textId="71F5B2D6"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37" w:history="1">
                  <w:r w:rsidRPr="00604A5D">
                    <w:rPr>
                      <w:rStyle w:val="Hyperlink"/>
                      <w:rFonts w:ascii="Arial" w:hAnsi="Arial" w:cs="Arial"/>
                      <w:noProof/>
                    </w:rPr>
                    <w:t>2.2: Legal</w:t>
                  </w:r>
                  <w:r>
                    <w:rPr>
                      <w:noProof/>
                      <w:webHidden/>
                    </w:rPr>
                    <w:tab/>
                  </w:r>
                  <w:r>
                    <w:rPr>
                      <w:noProof/>
                      <w:webHidden/>
                    </w:rPr>
                    <w:fldChar w:fldCharType="begin"/>
                  </w:r>
                  <w:r>
                    <w:rPr>
                      <w:noProof/>
                      <w:webHidden/>
                    </w:rPr>
                    <w:instrText xml:space="preserve"> PAGEREF _Toc228359237 \h </w:instrText>
                  </w:r>
                  <w:r>
                    <w:rPr>
                      <w:noProof/>
                      <w:webHidden/>
                    </w:rPr>
                  </w:r>
                  <w:r>
                    <w:rPr>
                      <w:noProof/>
                      <w:webHidden/>
                    </w:rPr>
                    <w:fldChar w:fldCharType="separate"/>
                  </w:r>
                  <w:r w:rsidR="00F904F0">
                    <w:rPr>
                      <w:noProof/>
                      <w:webHidden/>
                    </w:rPr>
                    <w:t>14</w:t>
                  </w:r>
                  <w:r>
                    <w:rPr>
                      <w:noProof/>
                      <w:webHidden/>
                    </w:rPr>
                    <w:fldChar w:fldCharType="end"/>
                  </w:r>
                </w:hyperlink>
              </w:p>
              <w:p w14:paraId="0F51876B" w14:textId="56D38B62"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38" w:history="1">
                  <w:r w:rsidRPr="00604A5D">
                    <w:rPr>
                      <w:rStyle w:val="Hyperlink"/>
                      <w:rFonts w:ascii="Arial" w:hAnsi="Arial" w:cs="Arial"/>
                      <w:noProof/>
                    </w:rPr>
                    <w:t>2.3: Theoretical Frameworks</w:t>
                  </w:r>
                  <w:r>
                    <w:rPr>
                      <w:noProof/>
                      <w:webHidden/>
                    </w:rPr>
                    <w:tab/>
                  </w:r>
                  <w:r>
                    <w:rPr>
                      <w:noProof/>
                      <w:webHidden/>
                    </w:rPr>
                    <w:fldChar w:fldCharType="begin"/>
                  </w:r>
                  <w:r>
                    <w:rPr>
                      <w:noProof/>
                      <w:webHidden/>
                    </w:rPr>
                    <w:instrText xml:space="preserve"> PAGEREF _Toc228359238 \h </w:instrText>
                  </w:r>
                  <w:r>
                    <w:rPr>
                      <w:noProof/>
                      <w:webHidden/>
                    </w:rPr>
                  </w:r>
                  <w:r>
                    <w:rPr>
                      <w:noProof/>
                      <w:webHidden/>
                    </w:rPr>
                    <w:fldChar w:fldCharType="separate"/>
                  </w:r>
                  <w:r w:rsidR="00F904F0">
                    <w:rPr>
                      <w:noProof/>
                      <w:webHidden/>
                    </w:rPr>
                    <w:t>16</w:t>
                  </w:r>
                  <w:r>
                    <w:rPr>
                      <w:noProof/>
                      <w:webHidden/>
                    </w:rPr>
                    <w:fldChar w:fldCharType="end"/>
                  </w:r>
                </w:hyperlink>
              </w:p>
              <w:p w14:paraId="45C4BB0F" w14:textId="1D86F68C"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39" w:history="1">
                  <w:r w:rsidRPr="00604A5D">
                    <w:rPr>
                      <w:rStyle w:val="Hyperlink"/>
                      <w:rFonts w:ascii="Arial" w:hAnsi="Arial" w:cs="Arial"/>
                      <w:noProof/>
                    </w:rPr>
                    <w:t>2.3.1 – The Evolution of Universal Design</w:t>
                  </w:r>
                  <w:r>
                    <w:rPr>
                      <w:noProof/>
                      <w:webHidden/>
                    </w:rPr>
                    <w:tab/>
                  </w:r>
                  <w:r>
                    <w:rPr>
                      <w:noProof/>
                      <w:webHidden/>
                    </w:rPr>
                    <w:fldChar w:fldCharType="begin"/>
                  </w:r>
                  <w:r>
                    <w:rPr>
                      <w:noProof/>
                      <w:webHidden/>
                    </w:rPr>
                    <w:instrText xml:space="preserve"> PAGEREF _Toc228359239 \h </w:instrText>
                  </w:r>
                  <w:r>
                    <w:rPr>
                      <w:noProof/>
                      <w:webHidden/>
                    </w:rPr>
                  </w:r>
                  <w:r>
                    <w:rPr>
                      <w:noProof/>
                      <w:webHidden/>
                    </w:rPr>
                    <w:fldChar w:fldCharType="separate"/>
                  </w:r>
                  <w:r w:rsidR="00F904F0">
                    <w:rPr>
                      <w:noProof/>
                      <w:webHidden/>
                    </w:rPr>
                    <w:t>16</w:t>
                  </w:r>
                  <w:r>
                    <w:rPr>
                      <w:noProof/>
                      <w:webHidden/>
                    </w:rPr>
                    <w:fldChar w:fldCharType="end"/>
                  </w:r>
                </w:hyperlink>
              </w:p>
              <w:p w14:paraId="27490837" w14:textId="54853C7B"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40" w:history="1">
                  <w:r w:rsidRPr="00604A5D">
                    <w:rPr>
                      <w:rStyle w:val="Hyperlink"/>
                      <w:rFonts w:ascii="Arial" w:hAnsi="Arial" w:cs="Arial"/>
                      <w:noProof/>
                    </w:rPr>
                    <w:t>2.3.2 – From the Medical to the Social Model</w:t>
                  </w:r>
                  <w:r>
                    <w:rPr>
                      <w:noProof/>
                      <w:webHidden/>
                    </w:rPr>
                    <w:tab/>
                  </w:r>
                  <w:r>
                    <w:rPr>
                      <w:noProof/>
                      <w:webHidden/>
                    </w:rPr>
                    <w:fldChar w:fldCharType="begin"/>
                  </w:r>
                  <w:r>
                    <w:rPr>
                      <w:noProof/>
                      <w:webHidden/>
                    </w:rPr>
                    <w:instrText xml:space="preserve"> PAGEREF _Toc228359240 \h </w:instrText>
                  </w:r>
                  <w:r>
                    <w:rPr>
                      <w:noProof/>
                      <w:webHidden/>
                    </w:rPr>
                  </w:r>
                  <w:r>
                    <w:rPr>
                      <w:noProof/>
                      <w:webHidden/>
                    </w:rPr>
                    <w:fldChar w:fldCharType="separate"/>
                  </w:r>
                  <w:r w:rsidR="00F904F0">
                    <w:rPr>
                      <w:noProof/>
                      <w:webHidden/>
                    </w:rPr>
                    <w:t>16</w:t>
                  </w:r>
                  <w:r>
                    <w:rPr>
                      <w:noProof/>
                      <w:webHidden/>
                    </w:rPr>
                    <w:fldChar w:fldCharType="end"/>
                  </w:r>
                </w:hyperlink>
              </w:p>
              <w:p w14:paraId="37CCF0AF" w14:textId="182D2952"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41" w:history="1">
                  <w:r w:rsidRPr="00604A5D">
                    <w:rPr>
                      <w:rStyle w:val="Hyperlink"/>
                      <w:rFonts w:ascii="Arial" w:hAnsi="Arial" w:cs="Arial"/>
                      <w:noProof/>
                    </w:rPr>
                    <w:t>2.4: Demographic Context</w:t>
                  </w:r>
                  <w:r>
                    <w:rPr>
                      <w:noProof/>
                      <w:webHidden/>
                    </w:rPr>
                    <w:tab/>
                  </w:r>
                  <w:r>
                    <w:rPr>
                      <w:noProof/>
                      <w:webHidden/>
                    </w:rPr>
                    <w:fldChar w:fldCharType="begin"/>
                  </w:r>
                  <w:r>
                    <w:rPr>
                      <w:noProof/>
                      <w:webHidden/>
                    </w:rPr>
                    <w:instrText xml:space="preserve"> PAGEREF _Toc228359241 \h </w:instrText>
                  </w:r>
                  <w:r>
                    <w:rPr>
                      <w:noProof/>
                      <w:webHidden/>
                    </w:rPr>
                  </w:r>
                  <w:r>
                    <w:rPr>
                      <w:noProof/>
                      <w:webHidden/>
                    </w:rPr>
                    <w:fldChar w:fldCharType="separate"/>
                  </w:r>
                  <w:r w:rsidR="00F904F0">
                    <w:rPr>
                      <w:noProof/>
                      <w:webHidden/>
                    </w:rPr>
                    <w:t>17</w:t>
                  </w:r>
                  <w:r>
                    <w:rPr>
                      <w:noProof/>
                      <w:webHidden/>
                    </w:rPr>
                    <w:fldChar w:fldCharType="end"/>
                  </w:r>
                </w:hyperlink>
              </w:p>
              <w:p w14:paraId="4C3A4716" w14:textId="1330D3D8"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42" w:history="1">
                  <w:r w:rsidRPr="00604A5D">
                    <w:rPr>
                      <w:rStyle w:val="Hyperlink"/>
                      <w:rFonts w:ascii="Arial" w:hAnsi="Arial" w:cs="Arial"/>
                      <w:noProof/>
                    </w:rPr>
                    <w:t>2.5: Sensory Turn and Cognitive Inclusion</w:t>
                  </w:r>
                  <w:r>
                    <w:rPr>
                      <w:noProof/>
                      <w:webHidden/>
                    </w:rPr>
                    <w:tab/>
                  </w:r>
                  <w:r>
                    <w:rPr>
                      <w:noProof/>
                      <w:webHidden/>
                    </w:rPr>
                    <w:fldChar w:fldCharType="begin"/>
                  </w:r>
                  <w:r>
                    <w:rPr>
                      <w:noProof/>
                      <w:webHidden/>
                    </w:rPr>
                    <w:instrText xml:space="preserve"> PAGEREF _Toc228359242 \h </w:instrText>
                  </w:r>
                  <w:r>
                    <w:rPr>
                      <w:noProof/>
                      <w:webHidden/>
                    </w:rPr>
                  </w:r>
                  <w:r>
                    <w:rPr>
                      <w:noProof/>
                      <w:webHidden/>
                    </w:rPr>
                    <w:fldChar w:fldCharType="separate"/>
                  </w:r>
                  <w:r w:rsidR="00F904F0">
                    <w:rPr>
                      <w:noProof/>
                      <w:webHidden/>
                    </w:rPr>
                    <w:t>17</w:t>
                  </w:r>
                  <w:r>
                    <w:rPr>
                      <w:noProof/>
                      <w:webHidden/>
                    </w:rPr>
                    <w:fldChar w:fldCharType="end"/>
                  </w:r>
                </w:hyperlink>
              </w:p>
              <w:p w14:paraId="72C5E4D7" w14:textId="349D7450"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43" w:history="1">
                  <w:r w:rsidRPr="00604A5D">
                    <w:rPr>
                      <w:rStyle w:val="Hyperlink"/>
                      <w:rFonts w:ascii="Arial" w:hAnsi="Arial" w:cs="Arial"/>
                      <w:noProof/>
                    </w:rPr>
                    <w:t>2.6: The Autoethnographic Lens in Architectural Research</w:t>
                  </w:r>
                  <w:r>
                    <w:rPr>
                      <w:noProof/>
                      <w:webHidden/>
                    </w:rPr>
                    <w:tab/>
                  </w:r>
                  <w:r>
                    <w:rPr>
                      <w:noProof/>
                      <w:webHidden/>
                    </w:rPr>
                    <w:fldChar w:fldCharType="begin"/>
                  </w:r>
                  <w:r>
                    <w:rPr>
                      <w:noProof/>
                      <w:webHidden/>
                    </w:rPr>
                    <w:instrText xml:space="preserve"> PAGEREF _Toc228359243 \h </w:instrText>
                  </w:r>
                  <w:r>
                    <w:rPr>
                      <w:noProof/>
                      <w:webHidden/>
                    </w:rPr>
                  </w:r>
                  <w:r>
                    <w:rPr>
                      <w:noProof/>
                      <w:webHidden/>
                    </w:rPr>
                    <w:fldChar w:fldCharType="separate"/>
                  </w:r>
                  <w:r w:rsidR="00F904F0">
                    <w:rPr>
                      <w:noProof/>
                      <w:webHidden/>
                    </w:rPr>
                    <w:t>18</w:t>
                  </w:r>
                  <w:r>
                    <w:rPr>
                      <w:noProof/>
                      <w:webHidden/>
                    </w:rPr>
                    <w:fldChar w:fldCharType="end"/>
                  </w:r>
                </w:hyperlink>
              </w:p>
              <w:p w14:paraId="2CE901BF" w14:textId="3ACA9DC9"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44" w:history="1">
                  <w:r w:rsidRPr="00604A5D">
                    <w:rPr>
                      <w:rStyle w:val="Hyperlink"/>
                      <w:rFonts w:ascii="Arial" w:hAnsi="Arial" w:cs="Arial"/>
                      <w:noProof/>
                    </w:rPr>
                    <w:t>2.6.1: Challenging the Mechanical Audit</w:t>
                  </w:r>
                  <w:r>
                    <w:rPr>
                      <w:noProof/>
                      <w:webHidden/>
                    </w:rPr>
                    <w:tab/>
                  </w:r>
                  <w:r>
                    <w:rPr>
                      <w:noProof/>
                      <w:webHidden/>
                    </w:rPr>
                    <w:fldChar w:fldCharType="begin"/>
                  </w:r>
                  <w:r>
                    <w:rPr>
                      <w:noProof/>
                      <w:webHidden/>
                    </w:rPr>
                    <w:instrText xml:space="preserve"> PAGEREF _Toc228359244 \h </w:instrText>
                  </w:r>
                  <w:r>
                    <w:rPr>
                      <w:noProof/>
                      <w:webHidden/>
                    </w:rPr>
                  </w:r>
                  <w:r>
                    <w:rPr>
                      <w:noProof/>
                      <w:webHidden/>
                    </w:rPr>
                    <w:fldChar w:fldCharType="separate"/>
                  </w:r>
                  <w:r w:rsidR="00F904F0">
                    <w:rPr>
                      <w:noProof/>
                      <w:webHidden/>
                    </w:rPr>
                    <w:t>19</w:t>
                  </w:r>
                  <w:r>
                    <w:rPr>
                      <w:noProof/>
                      <w:webHidden/>
                    </w:rPr>
                    <w:fldChar w:fldCharType="end"/>
                  </w:r>
                </w:hyperlink>
              </w:p>
              <w:p w14:paraId="01F4B6C3" w14:textId="392E4DE9"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45" w:history="1">
                  <w:r w:rsidRPr="00604A5D">
                    <w:rPr>
                      <w:rStyle w:val="Hyperlink"/>
                      <w:rFonts w:ascii="Arial" w:hAnsi="Arial" w:cs="Arial"/>
                      <w:noProof/>
                    </w:rPr>
                    <w:t>2.6.2: Phenomenological Links</w:t>
                  </w:r>
                  <w:r>
                    <w:rPr>
                      <w:noProof/>
                      <w:webHidden/>
                    </w:rPr>
                    <w:tab/>
                  </w:r>
                  <w:r>
                    <w:rPr>
                      <w:noProof/>
                      <w:webHidden/>
                    </w:rPr>
                    <w:fldChar w:fldCharType="begin"/>
                  </w:r>
                  <w:r>
                    <w:rPr>
                      <w:noProof/>
                      <w:webHidden/>
                    </w:rPr>
                    <w:instrText xml:space="preserve"> PAGEREF _Toc228359245 \h </w:instrText>
                  </w:r>
                  <w:r>
                    <w:rPr>
                      <w:noProof/>
                      <w:webHidden/>
                    </w:rPr>
                  </w:r>
                  <w:r>
                    <w:rPr>
                      <w:noProof/>
                      <w:webHidden/>
                    </w:rPr>
                    <w:fldChar w:fldCharType="separate"/>
                  </w:r>
                  <w:r w:rsidR="00F904F0">
                    <w:rPr>
                      <w:noProof/>
                      <w:webHidden/>
                    </w:rPr>
                    <w:t>19</w:t>
                  </w:r>
                  <w:r>
                    <w:rPr>
                      <w:noProof/>
                      <w:webHidden/>
                    </w:rPr>
                    <w:fldChar w:fldCharType="end"/>
                  </w:r>
                </w:hyperlink>
              </w:p>
              <w:p w14:paraId="2413F710" w14:textId="17B9E742"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46" w:history="1">
                  <w:r w:rsidRPr="00604A5D">
                    <w:rPr>
                      <w:rStyle w:val="Hyperlink"/>
                      <w:rFonts w:ascii="Arial" w:hAnsi="Arial" w:cs="Arial"/>
                      <w:b/>
                      <w:bCs/>
                      <w:noProof/>
                    </w:rPr>
                    <w:t>Chapter 3: Methodology</w:t>
                  </w:r>
                  <w:r>
                    <w:rPr>
                      <w:noProof/>
                      <w:webHidden/>
                    </w:rPr>
                    <w:tab/>
                  </w:r>
                  <w:r>
                    <w:rPr>
                      <w:noProof/>
                      <w:webHidden/>
                    </w:rPr>
                    <w:fldChar w:fldCharType="begin"/>
                  </w:r>
                  <w:r>
                    <w:rPr>
                      <w:noProof/>
                      <w:webHidden/>
                    </w:rPr>
                    <w:instrText xml:space="preserve"> PAGEREF _Toc228359246 \h </w:instrText>
                  </w:r>
                  <w:r>
                    <w:rPr>
                      <w:noProof/>
                      <w:webHidden/>
                    </w:rPr>
                  </w:r>
                  <w:r>
                    <w:rPr>
                      <w:noProof/>
                      <w:webHidden/>
                    </w:rPr>
                    <w:fldChar w:fldCharType="separate"/>
                  </w:r>
                  <w:r w:rsidR="00F904F0">
                    <w:rPr>
                      <w:noProof/>
                      <w:webHidden/>
                    </w:rPr>
                    <w:t>20</w:t>
                  </w:r>
                  <w:r>
                    <w:rPr>
                      <w:noProof/>
                      <w:webHidden/>
                    </w:rPr>
                    <w:fldChar w:fldCharType="end"/>
                  </w:r>
                </w:hyperlink>
              </w:p>
              <w:p w14:paraId="2CF9D857" w14:textId="0957CA1F" w:rsidR="00CA17F3" w:rsidRDefault="00CA17F3">
                <w:pPr>
                  <w:pStyle w:val="TOC2"/>
                  <w:tabs>
                    <w:tab w:val="left" w:pos="960"/>
                    <w:tab w:val="right" w:leader="dot" w:pos="9016"/>
                  </w:tabs>
                  <w:rPr>
                    <w:rFonts w:eastAsiaTheme="minorEastAsia"/>
                    <w:noProof/>
                    <w:kern w:val="2"/>
                    <w:sz w:val="24"/>
                    <w:szCs w:val="24"/>
                    <w:lang w:eastAsia="en-GB"/>
                    <w14:ligatures w14:val="standardContextual"/>
                  </w:rPr>
                </w:pPr>
                <w:hyperlink w:anchor="_Toc228359247" w:history="1">
                  <w:r w:rsidRPr="00604A5D">
                    <w:rPr>
                      <w:rStyle w:val="Hyperlink"/>
                      <w:rFonts w:ascii="Arial" w:hAnsi="Arial" w:cs="Arial"/>
                      <w:noProof/>
                    </w:rPr>
                    <w:t>3.1</w:t>
                  </w:r>
                  <w:r>
                    <w:rPr>
                      <w:rFonts w:eastAsiaTheme="minorEastAsia"/>
                      <w:noProof/>
                      <w:kern w:val="2"/>
                      <w:sz w:val="24"/>
                      <w:szCs w:val="24"/>
                      <w:lang w:eastAsia="en-GB"/>
                      <w14:ligatures w14:val="standardContextual"/>
                    </w:rPr>
                    <w:tab/>
                  </w:r>
                  <w:r w:rsidRPr="00604A5D">
                    <w:rPr>
                      <w:rStyle w:val="Hyperlink"/>
                      <w:rFonts w:ascii="Arial" w:hAnsi="Arial" w:cs="Arial"/>
                      <w:noProof/>
                    </w:rPr>
                    <w:t>Purposive Case Study Selection &amp; Analysis</w:t>
                  </w:r>
                  <w:r>
                    <w:rPr>
                      <w:noProof/>
                      <w:webHidden/>
                    </w:rPr>
                    <w:tab/>
                  </w:r>
                  <w:r>
                    <w:rPr>
                      <w:noProof/>
                      <w:webHidden/>
                    </w:rPr>
                    <w:fldChar w:fldCharType="begin"/>
                  </w:r>
                  <w:r>
                    <w:rPr>
                      <w:noProof/>
                      <w:webHidden/>
                    </w:rPr>
                    <w:instrText xml:space="preserve"> PAGEREF _Toc228359247 \h </w:instrText>
                  </w:r>
                  <w:r>
                    <w:rPr>
                      <w:noProof/>
                      <w:webHidden/>
                    </w:rPr>
                  </w:r>
                  <w:r>
                    <w:rPr>
                      <w:noProof/>
                      <w:webHidden/>
                    </w:rPr>
                    <w:fldChar w:fldCharType="separate"/>
                  </w:r>
                  <w:r w:rsidR="00F904F0">
                    <w:rPr>
                      <w:noProof/>
                      <w:webHidden/>
                    </w:rPr>
                    <w:t>20</w:t>
                  </w:r>
                  <w:r>
                    <w:rPr>
                      <w:noProof/>
                      <w:webHidden/>
                    </w:rPr>
                    <w:fldChar w:fldCharType="end"/>
                  </w:r>
                </w:hyperlink>
              </w:p>
              <w:p w14:paraId="07ED3C94" w14:textId="6189DFD4" w:rsidR="00CA17F3" w:rsidRDefault="00CA17F3">
                <w:pPr>
                  <w:pStyle w:val="TOC2"/>
                  <w:tabs>
                    <w:tab w:val="left" w:pos="960"/>
                    <w:tab w:val="right" w:leader="dot" w:pos="9016"/>
                  </w:tabs>
                  <w:rPr>
                    <w:rFonts w:eastAsiaTheme="minorEastAsia"/>
                    <w:noProof/>
                    <w:kern w:val="2"/>
                    <w:sz w:val="24"/>
                    <w:szCs w:val="24"/>
                    <w:lang w:eastAsia="en-GB"/>
                    <w14:ligatures w14:val="standardContextual"/>
                  </w:rPr>
                </w:pPr>
                <w:hyperlink w:anchor="_Toc228359248" w:history="1">
                  <w:r w:rsidRPr="00604A5D">
                    <w:rPr>
                      <w:rStyle w:val="Hyperlink"/>
                      <w:rFonts w:ascii="Arial" w:hAnsi="Arial" w:cs="Arial"/>
                      <w:noProof/>
                    </w:rPr>
                    <w:t xml:space="preserve">3.2 </w:t>
                  </w:r>
                  <w:r>
                    <w:rPr>
                      <w:rFonts w:eastAsiaTheme="minorEastAsia"/>
                      <w:noProof/>
                      <w:kern w:val="2"/>
                      <w:sz w:val="24"/>
                      <w:szCs w:val="24"/>
                      <w:lang w:eastAsia="en-GB"/>
                      <w14:ligatures w14:val="standardContextual"/>
                    </w:rPr>
                    <w:tab/>
                  </w:r>
                  <w:r w:rsidRPr="00604A5D">
                    <w:rPr>
                      <w:rStyle w:val="Hyperlink"/>
                      <w:rFonts w:ascii="Arial" w:hAnsi="Arial" w:cs="Arial"/>
                      <w:noProof/>
                    </w:rPr>
                    <w:t>Site Audits (Primary Data)</w:t>
                  </w:r>
                  <w:r>
                    <w:rPr>
                      <w:noProof/>
                      <w:webHidden/>
                    </w:rPr>
                    <w:tab/>
                  </w:r>
                  <w:r>
                    <w:rPr>
                      <w:noProof/>
                      <w:webHidden/>
                    </w:rPr>
                    <w:fldChar w:fldCharType="begin"/>
                  </w:r>
                  <w:r>
                    <w:rPr>
                      <w:noProof/>
                      <w:webHidden/>
                    </w:rPr>
                    <w:instrText xml:space="preserve"> PAGEREF _Toc228359248 \h </w:instrText>
                  </w:r>
                  <w:r>
                    <w:rPr>
                      <w:noProof/>
                      <w:webHidden/>
                    </w:rPr>
                  </w:r>
                  <w:r>
                    <w:rPr>
                      <w:noProof/>
                      <w:webHidden/>
                    </w:rPr>
                    <w:fldChar w:fldCharType="separate"/>
                  </w:r>
                  <w:r w:rsidR="00F904F0">
                    <w:rPr>
                      <w:noProof/>
                      <w:webHidden/>
                    </w:rPr>
                    <w:t>21</w:t>
                  </w:r>
                  <w:r>
                    <w:rPr>
                      <w:noProof/>
                      <w:webHidden/>
                    </w:rPr>
                    <w:fldChar w:fldCharType="end"/>
                  </w:r>
                </w:hyperlink>
              </w:p>
              <w:p w14:paraId="3339AB5F" w14:textId="5B6F0C92" w:rsidR="00CA17F3" w:rsidRDefault="00CA17F3">
                <w:pPr>
                  <w:pStyle w:val="TOC2"/>
                  <w:tabs>
                    <w:tab w:val="left" w:pos="960"/>
                    <w:tab w:val="right" w:leader="dot" w:pos="9016"/>
                  </w:tabs>
                  <w:rPr>
                    <w:rFonts w:eastAsiaTheme="minorEastAsia"/>
                    <w:noProof/>
                    <w:kern w:val="2"/>
                    <w:sz w:val="24"/>
                    <w:szCs w:val="24"/>
                    <w:lang w:eastAsia="en-GB"/>
                    <w14:ligatures w14:val="standardContextual"/>
                  </w:rPr>
                </w:pPr>
                <w:hyperlink w:anchor="_Toc228359249" w:history="1">
                  <w:r w:rsidRPr="00604A5D">
                    <w:rPr>
                      <w:rStyle w:val="Hyperlink"/>
                      <w:rFonts w:ascii="Arial" w:hAnsi="Arial" w:cs="Arial"/>
                      <w:noProof/>
                    </w:rPr>
                    <w:t>3.3</w:t>
                  </w:r>
                  <w:r>
                    <w:rPr>
                      <w:rFonts w:eastAsiaTheme="minorEastAsia"/>
                      <w:noProof/>
                      <w:kern w:val="2"/>
                      <w:sz w:val="24"/>
                      <w:szCs w:val="24"/>
                      <w:lang w:eastAsia="en-GB"/>
                      <w14:ligatures w14:val="standardContextual"/>
                    </w:rPr>
                    <w:tab/>
                  </w:r>
                  <w:r w:rsidRPr="00604A5D">
                    <w:rPr>
                      <w:rStyle w:val="Hyperlink"/>
                      <w:rFonts w:ascii="Arial" w:hAnsi="Arial" w:cs="Arial"/>
                      <w:noProof/>
                    </w:rPr>
                    <w:t xml:space="preserve"> Comparative Analysis between primary and secondary data</w:t>
                  </w:r>
                  <w:r>
                    <w:rPr>
                      <w:noProof/>
                      <w:webHidden/>
                    </w:rPr>
                    <w:tab/>
                  </w:r>
                  <w:r>
                    <w:rPr>
                      <w:noProof/>
                      <w:webHidden/>
                    </w:rPr>
                    <w:fldChar w:fldCharType="begin"/>
                  </w:r>
                  <w:r>
                    <w:rPr>
                      <w:noProof/>
                      <w:webHidden/>
                    </w:rPr>
                    <w:instrText xml:space="preserve"> PAGEREF _Toc228359249 \h </w:instrText>
                  </w:r>
                  <w:r>
                    <w:rPr>
                      <w:noProof/>
                      <w:webHidden/>
                    </w:rPr>
                  </w:r>
                  <w:r>
                    <w:rPr>
                      <w:noProof/>
                      <w:webHidden/>
                    </w:rPr>
                    <w:fldChar w:fldCharType="separate"/>
                  </w:r>
                  <w:r w:rsidR="00F904F0">
                    <w:rPr>
                      <w:noProof/>
                      <w:webHidden/>
                    </w:rPr>
                    <w:t>21</w:t>
                  </w:r>
                  <w:r>
                    <w:rPr>
                      <w:noProof/>
                      <w:webHidden/>
                    </w:rPr>
                    <w:fldChar w:fldCharType="end"/>
                  </w:r>
                </w:hyperlink>
              </w:p>
              <w:p w14:paraId="4670186E" w14:textId="5C402729"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50" w:history="1">
                  <w:r w:rsidRPr="00604A5D">
                    <w:rPr>
                      <w:rStyle w:val="Hyperlink"/>
                      <w:rFonts w:ascii="Arial" w:hAnsi="Arial" w:cs="Arial"/>
                      <w:b/>
                      <w:bCs/>
                      <w:noProof/>
                    </w:rPr>
                    <w:t>Chapter 4: Case Study Findings</w:t>
                  </w:r>
                  <w:r>
                    <w:rPr>
                      <w:noProof/>
                      <w:webHidden/>
                    </w:rPr>
                    <w:tab/>
                  </w:r>
                  <w:r>
                    <w:rPr>
                      <w:noProof/>
                      <w:webHidden/>
                    </w:rPr>
                    <w:fldChar w:fldCharType="begin"/>
                  </w:r>
                  <w:r>
                    <w:rPr>
                      <w:noProof/>
                      <w:webHidden/>
                    </w:rPr>
                    <w:instrText xml:space="preserve"> PAGEREF _Toc228359250 \h </w:instrText>
                  </w:r>
                  <w:r>
                    <w:rPr>
                      <w:noProof/>
                      <w:webHidden/>
                    </w:rPr>
                  </w:r>
                  <w:r>
                    <w:rPr>
                      <w:noProof/>
                      <w:webHidden/>
                    </w:rPr>
                    <w:fldChar w:fldCharType="separate"/>
                  </w:r>
                  <w:r w:rsidR="00F904F0">
                    <w:rPr>
                      <w:noProof/>
                      <w:webHidden/>
                    </w:rPr>
                    <w:t>23</w:t>
                  </w:r>
                  <w:r>
                    <w:rPr>
                      <w:noProof/>
                      <w:webHidden/>
                    </w:rPr>
                    <w:fldChar w:fldCharType="end"/>
                  </w:r>
                </w:hyperlink>
              </w:p>
              <w:p w14:paraId="55660149" w14:textId="29A1A3CE"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51" w:history="1">
                  <w:r w:rsidRPr="00604A5D">
                    <w:rPr>
                      <w:rStyle w:val="Hyperlink"/>
                      <w:rFonts w:ascii="Arial" w:hAnsi="Arial" w:cs="Arial"/>
                      <w:noProof/>
                    </w:rPr>
                    <w:t>4.1: Case study 1 – Glynn Vivian Gallery</w:t>
                  </w:r>
                  <w:r>
                    <w:rPr>
                      <w:noProof/>
                      <w:webHidden/>
                    </w:rPr>
                    <w:tab/>
                  </w:r>
                  <w:r>
                    <w:rPr>
                      <w:noProof/>
                      <w:webHidden/>
                    </w:rPr>
                    <w:fldChar w:fldCharType="begin"/>
                  </w:r>
                  <w:r>
                    <w:rPr>
                      <w:noProof/>
                      <w:webHidden/>
                    </w:rPr>
                    <w:instrText xml:space="preserve"> PAGEREF _Toc228359251 \h </w:instrText>
                  </w:r>
                  <w:r>
                    <w:rPr>
                      <w:noProof/>
                      <w:webHidden/>
                    </w:rPr>
                  </w:r>
                  <w:r>
                    <w:rPr>
                      <w:noProof/>
                      <w:webHidden/>
                    </w:rPr>
                    <w:fldChar w:fldCharType="separate"/>
                  </w:r>
                  <w:r w:rsidR="00F904F0">
                    <w:rPr>
                      <w:noProof/>
                      <w:webHidden/>
                    </w:rPr>
                    <w:t>23</w:t>
                  </w:r>
                  <w:r>
                    <w:rPr>
                      <w:noProof/>
                      <w:webHidden/>
                    </w:rPr>
                    <w:fldChar w:fldCharType="end"/>
                  </w:r>
                </w:hyperlink>
              </w:p>
              <w:p w14:paraId="454C38BE" w14:textId="146B6D24"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2" w:history="1">
                  <w:r w:rsidRPr="00604A5D">
                    <w:rPr>
                      <w:rStyle w:val="Hyperlink"/>
                      <w:rFonts w:ascii="Arial" w:hAnsi="Arial" w:cs="Arial"/>
                      <w:noProof/>
                    </w:rPr>
                    <w:t>4.1.1: Project Profile and Historical Context</w:t>
                  </w:r>
                  <w:r>
                    <w:rPr>
                      <w:noProof/>
                      <w:webHidden/>
                    </w:rPr>
                    <w:tab/>
                  </w:r>
                  <w:r>
                    <w:rPr>
                      <w:noProof/>
                      <w:webHidden/>
                    </w:rPr>
                    <w:fldChar w:fldCharType="begin"/>
                  </w:r>
                  <w:r>
                    <w:rPr>
                      <w:noProof/>
                      <w:webHidden/>
                    </w:rPr>
                    <w:instrText xml:space="preserve"> PAGEREF _Toc228359252 \h </w:instrText>
                  </w:r>
                  <w:r>
                    <w:rPr>
                      <w:noProof/>
                      <w:webHidden/>
                    </w:rPr>
                  </w:r>
                  <w:r>
                    <w:rPr>
                      <w:noProof/>
                      <w:webHidden/>
                    </w:rPr>
                    <w:fldChar w:fldCharType="separate"/>
                  </w:r>
                  <w:r w:rsidR="00F904F0">
                    <w:rPr>
                      <w:noProof/>
                      <w:webHidden/>
                    </w:rPr>
                    <w:t>23</w:t>
                  </w:r>
                  <w:r>
                    <w:rPr>
                      <w:noProof/>
                      <w:webHidden/>
                    </w:rPr>
                    <w:fldChar w:fldCharType="end"/>
                  </w:r>
                </w:hyperlink>
              </w:p>
              <w:p w14:paraId="1829A818" w14:textId="4E04A481"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3" w:history="1">
                  <w:r w:rsidRPr="00604A5D">
                    <w:rPr>
                      <w:rStyle w:val="Hyperlink"/>
                      <w:rFonts w:ascii="Arial" w:hAnsi="Arial" w:cs="Arial"/>
                      <w:noProof/>
                    </w:rPr>
                    <w:t>4.1.2: Design Philosophy</w:t>
                  </w:r>
                  <w:r>
                    <w:rPr>
                      <w:noProof/>
                      <w:webHidden/>
                    </w:rPr>
                    <w:tab/>
                  </w:r>
                  <w:r>
                    <w:rPr>
                      <w:noProof/>
                      <w:webHidden/>
                    </w:rPr>
                    <w:fldChar w:fldCharType="begin"/>
                  </w:r>
                  <w:r>
                    <w:rPr>
                      <w:noProof/>
                      <w:webHidden/>
                    </w:rPr>
                    <w:instrText xml:space="preserve"> PAGEREF _Toc228359253 \h </w:instrText>
                  </w:r>
                  <w:r>
                    <w:rPr>
                      <w:noProof/>
                      <w:webHidden/>
                    </w:rPr>
                  </w:r>
                  <w:r>
                    <w:rPr>
                      <w:noProof/>
                      <w:webHidden/>
                    </w:rPr>
                    <w:fldChar w:fldCharType="separate"/>
                  </w:r>
                  <w:r w:rsidR="00F904F0">
                    <w:rPr>
                      <w:noProof/>
                      <w:webHidden/>
                    </w:rPr>
                    <w:t>24</w:t>
                  </w:r>
                  <w:r>
                    <w:rPr>
                      <w:noProof/>
                      <w:webHidden/>
                    </w:rPr>
                    <w:fldChar w:fldCharType="end"/>
                  </w:r>
                </w:hyperlink>
              </w:p>
              <w:p w14:paraId="112256BF" w14:textId="4720482B"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4" w:history="1">
                  <w:r w:rsidRPr="00604A5D">
                    <w:rPr>
                      <w:rStyle w:val="Hyperlink"/>
                      <w:rFonts w:ascii="Arial" w:hAnsi="Arial" w:cs="Arial"/>
                      <w:noProof/>
                    </w:rPr>
                    <w:t>4.1.3: Physical and Technical Analysis</w:t>
                  </w:r>
                  <w:r>
                    <w:rPr>
                      <w:noProof/>
                      <w:webHidden/>
                    </w:rPr>
                    <w:tab/>
                  </w:r>
                  <w:r>
                    <w:rPr>
                      <w:noProof/>
                      <w:webHidden/>
                    </w:rPr>
                    <w:fldChar w:fldCharType="begin"/>
                  </w:r>
                  <w:r>
                    <w:rPr>
                      <w:noProof/>
                      <w:webHidden/>
                    </w:rPr>
                    <w:instrText xml:space="preserve"> PAGEREF _Toc228359254 \h </w:instrText>
                  </w:r>
                  <w:r>
                    <w:rPr>
                      <w:noProof/>
                      <w:webHidden/>
                    </w:rPr>
                  </w:r>
                  <w:r>
                    <w:rPr>
                      <w:noProof/>
                      <w:webHidden/>
                    </w:rPr>
                    <w:fldChar w:fldCharType="separate"/>
                  </w:r>
                  <w:r w:rsidR="00F904F0">
                    <w:rPr>
                      <w:noProof/>
                      <w:webHidden/>
                    </w:rPr>
                    <w:t>25</w:t>
                  </w:r>
                  <w:r>
                    <w:rPr>
                      <w:noProof/>
                      <w:webHidden/>
                    </w:rPr>
                    <w:fldChar w:fldCharType="end"/>
                  </w:r>
                </w:hyperlink>
              </w:p>
              <w:p w14:paraId="6D668F70" w14:textId="31452440"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5" w:history="1">
                  <w:r w:rsidRPr="00604A5D">
                    <w:rPr>
                      <w:rStyle w:val="Hyperlink"/>
                      <w:rFonts w:ascii="Arial" w:hAnsi="Arial" w:cs="Arial"/>
                      <w:noProof/>
                    </w:rPr>
                    <w:t>4.1.4: Environmental and Sensory Performance</w:t>
                  </w:r>
                  <w:r>
                    <w:rPr>
                      <w:noProof/>
                      <w:webHidden/>
                    </w:rPr>
                    <w:tab/>
                  </w:r>
                  <w:r>
                    <w:rPr>
                      <w:noProof/>
                      <w:webHidden/>
                    </w:rPr>
                    <w:fldChar w:fldCharType="begin"/>
                  </w:r>
                  <w:r>
                    <w:rPr>
                      <w:noProof/>
                      <w:webHidden/>
                    </w:rPr>
                    <w:instrText xml:space="preserve"> PAGEREF _Toc228359255 \h </w:instrText>
                  </w:r>
                  <w:r>
                    <w:rPr>
                      <w:noProof/>
                      <w:webHidden/>
                    </w:rPr>
                  </w:r>
                  <w:r>
                    <w:rPr>
                      <w:noProof/>
                      <w:webHidden/>
                    </w:rPr>
                    <w:fldChar w:fldCharType="separate"/>
                  </w:r>
                  <w:r w:rsidR="00F904F0">
                    <w:rPr>
                      <w:noProof/>
                      <w:webHidden/>
                    </w:rPr>
                    <w:t>28</w:t>
                  </w:r>
                  <w:r>
                    <w:rPr>
                      <w:noProof/>
                      <w:webHidden/>
                    </w:rPr>
                    <w:fldChar w:fldCharType="end"/>
                  </w:r>
                </w:hyperlink>
              </w:p>
              <w:p w14:paraId="1299A26B" w14:textId="5CE91FE4"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6" w:history="1">
                  <w:r w:rsidRPr="00604A5D">
                    <w:rPr>
                      <w:rStyle w:val="Hyperlink"/>
                      <w:rFonts w:ascii="Arial" w:hAnsi="Arial" w:cs="Arial"/>
                      <w:noProof/>
                    </w:rPr>
                    <w:t>4.1.5: Evaluation</w:t>
                  </w:r>
                  <w:r>
                    <w:rPr>
                      <w:noProof/>
                      <w:webHidden/>
                    </w:rPr>
                    <w:tab/>
                  </w:r>
                  <w:r>
                    <w:rPr>
                      <w:noProof/>
                      <w:webHidden/>
                    </w:rPr>
                    <w:fldChar w:fldCharType="begin"/>
                  </w:r>
                  <w:r>
                    <w:rPr>
                      <w:noProof/>
                      <w:webHidden/>
                    </w:rPr>
                    <w:instrText xml:space="preserve"> PAGEREF _Toc228359256 \h </w:instrText>
                  </w:r>
                  <w:r>
                    <w:rPr>
                      <w:noProof/>
                      <w:webHidden/>
                    </w:rPr>
                  </w:r>
                  <w:r>
                    <w:rPr>
                      <w:noProof/>
                      <w:webHidden/>
                    </w:rPr>
                    <w:fldChar w:fldCharType="separate"/>
                  </w:r>
                  <w:r w:rsidR="00F904F0">
                    <w:rPr>
                      <w:noProof/>
                      <w:webHidden/>
                    </w:rPr>
                    <w:t>34</w:t>
                  </w:r>
                  <w:r>
                    <w:rPr>
                      <w:noProof/>
                      <w:webHidden/>
                    </w:rPr>
                    <w:fldChar w:fldCharType="end"/>
                  </w:r>
                </w:hyperlink>
              </w:p>
              <w:p w14:paraId="2AF8978C" w14:textId="25D07C05"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57" w:history="1">
                  <w:r w:rsidRPr="00604A5D">
                    <w:rPr>
                      <w:rStyle w:val="Hyperlink"/>
                      <w:rFonts w:ascii="Arial" w:hAnsi="Arial" w:cs="Arial"/>
                      <w:noProof/>
                    </w:rPr>
                    <w:t>4.2: Case Study 2 Swans Arena</w:t>
                  </w:r>
                  <w:r>
                    <w:rPr>
                      <w:noProof/>
                      <w:webHidden/>
                    </w:rPr>
                    <w:tab/>
                  </w:r>
                  <w:r>
                    <w:rPr>
                      <w:noProof/>
                      <w:webHidden/>
                    </w:rPr>
                    <w:fldChar w:fldCharType="begin"/>
                  </w:r>
                  <w:r>
                    <w:rPr>
                      <w:noProof/>
                      <w:webHidden/>
                    </w:rPr>
                    <w:instrText xml:space="preserve"> PAGEREF _Toc228359257 \h </w:instrText>
                  </w:r>
                  <w:r>
                    <w:rPr>
                      <w:noProof/>
                      <w:webHidden/>
                    </w:rPr>
                  </w:r>
                  <w:r>
                    <w:rPr>
                      <w:noProof/>
                      <w:webHidden/>
                    </w:rPr>
                    <w:fldChar w:fldCharType="separate"/>
                  </w:r>
                  <w:r w:rsidR="00F904F0">
                    <w:rPr>
                      <w:noProof/>
                      <w:webHidden/>
                    </w:rPr>
                    <w:t>36</w:t>
                  </w:r>
                  <w:r>
                    <w:rPr>
                      <w:noProof/>
                      <w:webHidden/>
                    </w:rPr>
                    <w:fldChar w:fldCharType="end"/>
                  </w:r>
                </w:hyperlink>
              </w:p>
              <w:p w14:paraId="1DDAA3F0" w14:textId="10441B29"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8" w:history="1">
                  <w:r w:rsidRPr="00604A5D">
                    <w:rPr>
                      <w:rStyle w:val="Hyperlink"/>
                      <w:rFonts w:ascii="Arial" w:hAnsi="Arial" w:cs="Arial"/>
                      <w:noProof/>
                    </w:rPr>
                    <w:t>4.2.1: Project Profile and Historical Context</w:t>
                  </w:r>
                  <w:r>
                    <w:rPr>
                      <w:noProof/>
                      <w:webHidden/>
                    </w:rPr>
                    <w:tab/>
                  </w:r>
                  <w:r>
                    <w:rPr>
                      <w:noProof/>
                      <w:webHidden/>
                    </w:rPr>
                    <w:fldChar w:fldCharType="begin"/>
                  </w:r>
                  <w:r>
                    <w:rPr>
                      <w:noProof/>
                      <w:webHidden/>
                    </w:rPr>
                    <w:instrText xml:space="preserve"> PAGEREF _Toc228359258 \h </w:instrText>
                  </w:r>
                  <w:r>
                    <w:rPr>
                      <w:noProof/>
                      <w:webHidden/>
                    </w:rPr>
                  </w:r>
                  <w:r>
                    <w:rPr>
                      <w:noProof/>
                      <w:webHidden/>
                    </w:rPr>
                    <w:fldChar w:fldCharType="separate"/>
                  </w:r>
                  <w:r w:rsidR="00F904F0">
                    <w:rPr>
                      <w:noProof/>
                      <w:webHidden/>
                    </w:rPr>
                    <w:t>36</w:t>
                  </w:r>
                  <w:r>
                    <w:rPr>
                      <w:noProof/>
                      <w:webHidden/>
                    </w:rPr>
                    <w:fldChar w:fldCharType="end"/>
                  </w:r>
                </w:hyperlink>
              </w:p>
              <w:p w14:paraId="67CFEC00" w14:textId="6FE473C0"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59" w:history="1">
                  <w:r w:rsidRPr="00604A5D">
                    <w:rPr>
                      <w:rStyle w:val="Hyperlink"/>
                      <w:rFonts w:ascii="Arial" w:hAnsi="Arial" w:cs="Arial"/>
                      <w:noProof/>
                    </w:rPr>
                    <w:t>4.2.2: Design Philosophy</w:t>
                  </w:r>
                  <w:r>
                    <w:rPr>
                      <w:noProof/>
                      <w:webHidden/>
                    </w:rPr>
                    <w:tab/>
                  </w:r>
                  <w:r>
                    <w:rPr>
                      <w:noProof/>
                      <w:webHidden/>
                    </w:rPr>
                    <w:fldChar w:fldCharType="begin"/>
                  </w:r>
                  <w:r>
                    <w:rPr>
                      <w:noProof/>
                      <w:webHidden/>
                    </w:rPr>
                    <w:instrText xml:space="preserve"> PAGEREF _Toc228359259 \h </w:instrText>
                  </w:r>
                  <w:r>
                    <w:rPr>
                      <w:noProof/>
                      <w:webHidden/>
                    </w:rPr>
                  </w:r>
                  <w:r>
                    <w:rPr>
                      <w:noProof/>
                      <w:webHidden/>
                    </w:rPr>
                    <w:fldChar w:fldCharType="separate"/>
                  </w:r>
                  <w:r w:rsidR="00F904F0">
                    <w:rPr>
                      <w:noProof/>
                      <w:webHidden/>
                    </w:rPr>
                    <w:t>38</w:t>
                  </w:r>
                  <w:r>
                    <w:rPr>
                      <w:noProof/>
                      <w:webHidden/>
                    </w:rPr>
                    <w:fldChar w:fldCharType="end"/>
                  </w:r>
                </w:hyperlink>
              </w:p>
              <w:p w14:paraId="2E9DB696" w14:textId="79DEE10B"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60" w:history="1">
                  <w:r w:rsidRPr="00604A5D">
                    <w:rPr>
                      <w:rStyle w:val="Hyperlink"/>
                      <w:rFonts w:ascii="Arial" w:hAnsi="Arial" w:cs="Arial"/>
                      <w:noProof/>
                    </w:rPr>
                    <w:t>4.2.3: Physical and Technical Analysis</w:t>
                  </w:r>
                  <w:r>
                    <w:rPr>
                      <w:noProof/>
                      <w:webHidden/>
                    </w:rPr>
                    <w:tab/>
                  </w:r>
                  <w:r>
                    <w:rPr>
                      <w:noProof/>
                      <w:webHidden/>
                    </w:rPr>
                    <w:fldChar w:fldCharType="begin"/>
                  </w:r>
                  <w:r>
                    <w:rPr>
                      <w:noProof/>
                      <w:webHidden/>
                    </w:rPr>
                    <w:instrText xml:space="preserve"> PAGEREF _Toc228359260 \h </w:instrText>
                  </w:r>
                  <w:r>
                    <w:rPr>
                      <w:noProof/>
                      <w:webHidden/>
                    </w:rPr>
                  </w:r>
                  <w:r>
                    <w:rPr>
                      <w:noProof/>
                      <w:webHidden/>
                    </w:rPr>
                    <w:fldChar w:fldCharType="separate"/>
                  </w:r>
                  <w:r w:rsidR="00F904F0">
                    <w:rPr>
                      <w:noProof/>
                      <w:webHidden/>
                    </w:rPr>
                    <w:t>38</w:t>
                  </w:r>
                  <w:r>
                    <w:rPr>
                      <w:noProof/>
                      <w:webHidden/>
                    </w:rPr>
                    <w:fldChar w:fldCharType="end"/>
                  </w:r>
                </w:hyperlink>
              </w:p>
              <w:p w14:paraId="73725242" w14:textId="36EA1011"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61" w:history="1">
                  <w:r w:rsidRPr="00604A5D">
                    <w:rPr>
                      <w:rStyle w:val="Hyperlink"/>
                      <w:rFonts w:ascii="Arial" w:hAnsi="Arial" w:cs="Arial"/>
                      <w:noProof/>
                    </w:rPr>
                    <w:t>4.2.4: Environmental and Sensory Performance</w:t>
                  </w:r>
                  <w:r>
                    <w:rPr>
                      <w:noProof/>
                      <w:webHidden/>
                    </w:rPr>
                    <w:tab/>
                  </w:r>
                  <w:r>
                    <w:rPr>
                      <w:noProof/>
                      <w:webHidden/>
                    </w:rPr>
                    <w:fldChar w:fldCharType="begin"/>
                  </w:r>
                  <w:r>
                    <w:rPr>
                      <w:noProof/>
                      <w:webHidden/>
                    </w:rPr>
                    <w:instrText xml:space="preserve"> PAGEREF _Toc228359261 \h </w:instrText>
                  </w:r>
                  <w:r>
                    <w:rPr>
                      <w:noProof/>
                      <w:webHidden/>
                    </w:rPr>
                  </w:r>
                  <w:r>
                    <w:rPr>
                      <w:noProof/>
                      <w:webHidden/>
                    </w:rPr>
                    <w:fldChar w:fldCharType="separate"/>
                  </w:r>
                  <w:r w:rsidR="00F904F0">
                    <w:rPr>
                      <w:noProof/>
                      <w:webHidden/>
                    </w:rPr>
                    <w:t>40</w:t>
                  </w:r>
                  <w:r>
                    <w:rPr>
                      <w:noProof/>
                      <w:webHidden/>
                    </w:rPr>
                    <w:fldChar w:fldCharType="end"/>
                  </w:r>
                </w:hyperlink>
              </w:p>
              <w:p w14:paraId="03CAAFE8" w14:textId="122122FE" w:rsidR="00CA17F3" w:rsidRDefault="00CA17F3">
                <w:pPr>
                  <w:pStyle w:val="TOC3"/>
                  <w:tabs>
                    <w:tab w:val="right" w:leader="dot" w:pos="9016"/>
                  </w:tabs>
                  <w:rPr>
                    <w:rFonts w:cstheme="minorBidi"/>
                    <w:noProof/>
                    <w:kern w:val="2"/>
                    <w:sz w:val="24"/>
                    <w:szCs w:val="24"/>
                    <w:lang w:val="en-GB" w:eastAsia="en-GB"/>
                    <w14:ligatures w14:val="standardContextual"/>
                  </w:rPr>
                </w:pPr>
                <w:hyperlink w:anchor="_Toc228359262" w:history="1">
                  <w:r w:rsidRPr="00604A5D">
                    <w:rPr>
                      <w:rStyle w:val="Hyperlink"/>
                      <w:rFonts w:ascii="Arial" w:hAnsi="Arial" w:cs="Arial"/>
                      <w:noProof/>
                    </w:rPr>
                    <w:t>4.2.5: Evaluation</w:t>
                  </w:r>
                  <w:r>
                    <w:rPr>
                      <w:noProof/>
                      <w:webHidden/>
                    </w:rPr>
                    <w:tab/>
                  </w:r>
                  <w:r>
                    <w:rPr>
                      <w:noProof/>
                      <w:webHidden/>
                    </w:rPr>
                    <w:fldChar w:fldCharType="begin"/>
                  </w:r>
                  <w:r>
                    <w:rPr>
                      <w:noProof/>
                      <w:webHidden/>
                    </w:rPr>
                    <w:instrText xml:space="preserve"> PAGEREF _Toc228359262 \h </w:instrText>
                  </w:r>
                  <w:r>
                    <w:rPr>
                      <w:noProof/>
                      <w:webHidden/>
                    </w:rPr>
                  </w:r>
                  <w:r>
                    <w:rPr>
                      <w:noProof/>
                      <w:webHidden/>
                    </w:rPr>
                    <w:fldChar w:fldCharType="separate"/>
                  </w:r>
                  <w:r w:rsidR="00F904F0">
                    <w:rPr>
                      <w:noProof/>
                      <w:webHidden/>
                    </w:rPr>
                    <w:t>41</w:t>
                  </w:r>
                  <w:r>
                    <w:rPr>
                      <w:noProof/>
                      <w:webHidden/>
                    </w:rPr>
                    <w:fldChar w:fldCharType="end"/>
                  </w:r>
                </w:hyperlink>
              </w:p>
              <w:p w14:paraId="11CB0990" w14:textId="1861C121"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63" w:history="1">
                  <w:r w:rsidRPr="00604A5D">
                    <w:rPr>
                      <w:rStyle w:val="Hyperlink"/>
                      <w:rFonts w:ascii="Arial" w:hAnsi="Arial" w:cs="Arial"/>
                      <w:b/>
                      <w:bCs/>
                      <w:noProof/>
                    </w:rPr>
                    <w:t>Chapter 5: Findings and Discussion</w:t>
                  </w:r>
                  <w:r>
                    <w:rPr>
                      <w:noProof/>
                      <w:webHidden/>
                    </w:rPr>
                    <w:tab/>
                  </w:r>
                  <w:r>
                    <w:rPr>
                      <w:noProof/>
                      <w:webHidden/>
                    </w:rPr>
                    <w:fldChar w:fldCharType="begin"/>
                  </w:r>
                  <w:r>
                    <w:rPr>
                      <w:noProof/>
                      <w:webHidden/>
                    </w:rPr>
                    <w:instrText xml:space="preserve"> PAGEREF _Toc228359263 \h </w:instrText>
                  </w:r>
                  <w:r>
                    <w:rPr>
                      <w:noProof/>
                      <w:webHidden/>
                    </w:rPr>
                  </w:r>
                  <w:r>
                    <w:rPr>
                      <w:noProof/>
                      <w:webHidden/>
                    </w:rPr>
                    <w:fldChar w:fldCharType="separate"/>
                  </w:r>
                  <w:r w:rsidR="00F904F0">
                    <w:rPr>
                      <w:noProof/>
                      <w:webHidden/>
                    </w:rPr>
                    <w:t>42</w:t>
                  </w:r>
                  <w:r>
                    <w:rPr>
                      <w:noProof/>
                      <w:webHidden/>
                    </w:rPr>
                    <w:fldChar w:fldCharType="end"/>
                  </w:r>
                </w:hyperlink>
              </w:p>
              <w:p w14:paraId="353A8838" w14:textId="5E37A16B"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64" w:history="1">
                  <w:r w:rsidRPr="00604A5D">
                    <w:rPr>
                      <w:rStyle w:val="Hyperlink"/>
                      <w:rFonts w:ascii="Arial" w:hAnsi="Arial" w:cs="Arial"/>
                      <w:noProof/>
                    </w:rPr>
                    <w:t>5.1: Theme 1: Dignity of Arrival and Threshold Equity</w:t>
                  </w:r>
                  <w:r>
                    <w:rPr>
                      <w:noProof/>
                      <w:webHidden/>
                    </w:rPr>
                    <w:tab/>
                  </w:r>
                  <w:r>
                    <w:rPr>
                      <w:noProof/>
                      <w:webHidden/>
                    </w:rPr>
                    <w:fldChar w:fldCharType="begin"/>
                  </w:r>
                  <w:r>
                    <w:rPr>
                      <w:noProof/>
                      <w:webHidden/>
                    </w:rPr>
                    <w:instrText xml:space="preserve"> PAGEREF _Toc228359264 \h </w:instrText>
                  </w:r>
                  <w:r>
                    <w:rPr>
                      <w:noProof/>
                      <w:webHidden/>
                    </w:rPr>
                  </w:r>
                  <w:r>
                    <w:rPr>
                      <w:noProof/>
                      <w:webHidden/>
                    </w:rPr>
                    <w:fldChar w:fldCharType="separate"/>
                  </w:r>
                  <w:r w:rsidR="00F904F0">
                    <w:rPr>
                      <w:noProof/>
                      <w:webHidden/>
                    </w:rPr>
                    <w:t>42</w:t>
                  </w:r>
                  <w:r>
                    <w:rPr>
                      <w:noProof/>
                      <w:webHidden/>
                    </w:rPr>
                    <w:fldChar w:fldCharType="end"/>
                  </w:r>
                </w:hyperlink>
              </w:p>
              <w:p w14:paraId="21889AF2" w14:textId="6B297EDA"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65" w:history="1">
                  <w:r w:rsidRPr="00604A5D">
                    <w:rPr>
                      <w:rStyle w:val="Hyperlink"/>
                      <w:rFonts w:ascii="Arial" w:hAnsi="Arial" w:cs="Arial"/>
                      <w:noProof/>
                    </w:rPr>
                    <w:t>5.1.1: Entry</w:t>
                  </w:r>
                  <w:r>
                    <w:rPr>
                      <w:noProof/>
                      <w:webHidden/>
                    </w:rPr>
                    <w:tab/>
                  </w:r>
                  <w:r>
                    <w:rPr>
                      <w:noProof/>
                      <w:webHidden/>
                    </w:rPr>
                    <w:fldChar w:fldCharType="begin"/>
                  </w:r>
                  <w:r>
                    <w:rPr>
                      <w:noProof/>
                      <w:webHidden/>
                    </w:rPr>
                    <w:instrText xml:space="preserve"> PAGEREF _Toc228359265 \h </w:instrText>
                  </w:r>
                  <w:r>
                    <w:rPr>
                      <w:noProof/>
                      <w:webHidden/>
                    </w:rPr>
                  </w:r>
                  <w:r>
                    <w:rPr>
                      <w:noProof/>
                      <w:webHidden/>
                    </w:rPr>
                    <w:fldChar w:fldCharType="separate"/>
                  </w:r>
                  <w:r w:rsidR="00F904F0">
                    <w:rPr>
                      <w:noProof/>
                      <w:webHidden/>
                    </w:rPr>
                    <w:t>42</w:t>
                  </w:r>
                  <w:r>
                    <w:rPr>
                      <w:noProof/>
                      <w:webHidden/>
                    </w:rPr>
                    <w:fldChar w:fldCharType="end"/>
                  </w:r>
                </w:hyperlink>
              </w:p>
              <w:p w14:paraId="10ACFE26" w14:textId="0872F608"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66" w:history="1">
                  <w:r w:rsidRPr="00604A5D">
                    <w:rPr>
                      <w:rStyle w:val="Hyperlink"/>
                      <w:rFonts w:ascii="Arial" w:hAnsi="Arial" w:cs="Arial"/>
                      <w:noProof/>
                    </w:rPr>
                    <w:t>5.1.2: Transition Into the Buildings</w:t>
                  </w:r>
                  <w:r>
                    <w:rPr>
                      <w:noProof/>
                      <w:webHidden/>
                    </w:rPr>
                    <w:tab/>
                  </w:r>
                  <w:r>
                    <w:rPr>
                      <w:noProof/>
                      <w:webHidden/>
                    </w:rPr>
                    <w:fldChar w:fldCharType="begin"/>
                  </w:r>
                  <w:r>
                    <w:rPr>
                      <w:noProof/>
                      <w:webHidden/>
                    </w:rPr>
                    <w:instrText xml:space="preserve"> PAGEREF _Toc228359266 \h </w:instrText>
                  </w:r>
                  <w:r>
                    <w:rPr>
                      <w:noProof/>
                      <w:webHidden/>
                    </w:rPr>
                  </w:r>
                  <w:r>
                    <w:rPr>
                      <w:noProof/>
                      <w:webHidden/>
                    </w:rPr>
                    <w:fldChar w:fldCharType="separate"/>
                  </w:r>
                  <w:r w:rsidR="00F904F0">
                    <w:rPr>
                      <w:noProof/>
                      <w:webHidden/>
                    </w:rPr>
                    <w:t>42</w:t>
                  </w:r>
                  <w:r>
                    <w:rPr>
                      <w:noProof/>
                      <w:webHidden/>
                    </w:rPr>
                    <w:fldChar w:fldCharType="end"/>
                  </w:r>
                </w:hyperlink>
              </w:p>
              <w:p w14:paraId="579EAF2D" w14:textId="0B19162F"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67" w:history="1">
                  <w:r w:rsidRPr="00604A5D">
                    <w:rPr>
                      <w:rStyle w:val="Hyperlink"/>
                      <w:rFonts w:ascii="Arial" w:hAnsi="Arial" w:cs="Arial"/>
                      <w:noProof/>
                    </w:rPr>
                    <w:t>5.1.3: Legibility of the Buildings</w:t>
                  </w:r>
                  <w:r>
                    <w:rPr>
                      <w:noProof/>
                      <w:webHidden/>
                    </w:rPr>
                    <w:tab/>
                  </w:r>
                  <w:r>
                    <w:rPr>
                      <w:noProof/>
                      <w:webHidden/>
                    </w:rPr>
                    <w:fldChar w:fldCharType="begin"/>
                  </w:r>
                  <w:r>
                    <w:rPr>
                      <w:noProof/>
                      <w:webHidden/>
                    </w:rPr>
                    <w:instrText xml:space="preserve"> PAGEREF _Toc228359267 \h </w:instrText>
                  </w:r>
                  <w:r>
                    <w:rPr>
                      <w:noProof/>
                      <w:webHidden/>
                    </w:rPr>
                  </w:r>
                  <w:r>
                    <w:rPr>
                      <w:noProof/>
                      <w:webHidden/>
                    </w:rPr>
                    <w:fldChar w:fldCharType="separate"/>
                  </w:r>
                  <w:r w:rsidR="00F904F0">
                    <w:rPr>
                      <w:noProof/>
                      <w:webHidden/>
                    </w:rPr>
                    <w:t>43</w:t>
                  </w:r>
                  <w:r>
                    <w:rPr>
                      <w:noProof/>
                      <w:webHidden/>
                    </w:rPr>
                    <w:fldChar w:fldCharType="end"/>
                  </w:r>
                </w:hyperlink>
              </w:p>
              <w:p w14:paraId="7DB3341A" w14:textId="03F3F019"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68" w:history="1">
                  <w:r w:rsidRPr="00604A5D">
                    <w:rPr>
                      <w:rStyle w:val="Hyperlink"/>
                      <w:rFonts w:ascii="Arial" w:hAnsi="Arial" w:cs="Arial"/>
                      <w:noProof/>
                    </w:rPr>
                    <w:t>5.2: Theme 2: Movement and Navigation</w:t>
                  </w:r>
                  <w:r>
                    <w:rPr>
                      <w:noProof/>
                      <w:webHidden/>
                    </w:rPr>
                    <w:tab/>
                  </w:r>
                  <w:r>
                    <w:rPr>
                      <w:noProof/>
                      <w:webHidden/>
                    </w:rPr>
                    <w:fldChar w:fldCharType="begin"/>
                  </w:r>
                  <w:r>
                    <w:rPr>
                      <w:noProof/>
                      <w:webHidden/>
                    </w:rPr>
                    <w:instrText xml:space="preserve"> PAGEREF _Toc228359268 \h </w:instrText>
                  </w:r>
                  <w:r>
                    <w:rPr>
                      <w:noProof/>
                      <w:webHidden/>
                    </w:rPr>
                  </w:r>
                  <w:r>
                    <w:rPr>
                      <w:noProof/>
                      <w:webHidden/>
                    </w:rPr>
                    <w:fldChar w:fldCharType="separate"/>
                  </w:r>
                  <w:r w:rsidR="00F904F0">
                    <w:rPr>
                      <w:noProof/>
                      <w:webHidden/>
                    </w:rPr>
                    <w:t>44</w:t>
                  </w:r>
                  <w:r>
                    <w:rPr>
                      <w:noProof/>
                      <w:webHidden/>
                    </w:rPr>
                    <w:fldChar w:fldCharType="end"/>
                  </w:r>
                </w:hyperlink>
              </w:p>
              <w:p w14:paraId="5EE2B2B8" w14:textId="25546763"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69" w:history="1">
                  <w:r w:rsidRPr="00604A5D">
                    <w:rPr>
                      <w:rStyle w:val="Hyperlink"/>
                      <w:rFonts w:ascii="Arial" w:hAnsi="Arial" w:cs="Arial"/>
                      <w:noProof/>
                    </w:rPr>
                    <w:t>5.2.1: Vertical Movement</w:t>
                  </w:r>
                  <w:r>
                    <w:rPr>
                      <w:noProof/>
                      <w:webHidden/>
                    </w:rPr>
                    <w:tab/>
                  </w:r>
                  <w:r>
                    <w:rPr>
                      <w:noProof/>
                      <w:webHidden/>
                    </w:rPr>
                    <w:fldChar w:fldCharType="begin"/>
                  </w:r>
                  <w:r>
                    <w:rPr>
                      <w:noProof/>
                      <w:webHidden/>
                    </w:rPr>
                    <w:instrText xml:space="preserve"> PAGEREF _Toc228359269 \h </w:instrText>
                  </w:r>
                  <w:r>
                    <w:rPr>
                      <w:noProof/>
                      <w:webHidden/>
                    </w:rPr>
                  </w:r>
                  <w:r>
                    <w:rPr>
                      <w:noProof/>
                      <w:webHidden/>
                    </w:rPr>
                    <w:fldChar w:fldCharType="separate"/>
                  </w:r>
                  <w:r w:rsidR="00F904F0">
                    <w:rPr>
                      <w:noProof/>
                      <w:webHidden/>
                    </w:rPr>
                    <w:t>44</w:t>
                  </w:r>
                  <w:r>
                    <w:rPr>
                      <w:noProof/>
                      <w:webHidden/>
                    </w:rPr>
                    <w:fldChar w:fldCharType="end"/>
                  </w:r>
                </w:hyperlink>
              </w:p>
              <w:p w14:paraId="39EF1EA0" w14:textId="079B4CFD"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70" w:history="1">
                  <w:r w:rsidRPr="00604A5D">
                    <w:rPr>
                      <w:rStyle w:val="Hyperlink"/>
                      <w:rFonts w:ascii="Arial" w:hAnsi="Arial" w:cs="Arial"/>
                      <w:noProof/>
                    </w:rPr>
                    <w:t>5.2.2: Horizontal Movement</w:t>
                  </w:r>
                  <w:r>
                    <w:rPr>
                      <w:noProof/>
                      <w:webHidden/>
                    </w:rPr>
                    <w:tab/>
                  </w:r>
                  <w:r>
                    <w:rPr>
                      <w:noProof/>
                      <w:webHidden/>
                    </w:rPr>
                    <w:fldChar w:fldCharType="begin"/>
                  </w:r>
                  <w:r>
                    <w:rPr>
                      <w:noProof/>
                      <w:webHidden/>
                    </w:rPr>
                    <w:instrText xml:space="preserve"> PAGEREF _Toc228359270 \h </w:instrText>
                  </w:r>
                  <w:r>
                    <w:rPr>
                      <w:noProof/>
                      <w:webHidden/>
                    </w:rPr>
                  </w:r>
                  <w:r>
                    <w:rPr>
                      <w:noProof/>
                      <w:webHidden/>
                    </w:rPr>
                    <w:fldChar w:fldCharType="separate"/>
                  </w:r>
                  <w:r w:rsidR="00F904F0">
                    <w:rPr>
                      <w:noProof/>
                      <w:webHidden/>
                    </w:rPr>
                    <w:t>45</w:t>
                  </w:r>
                  <w:r>
                    <w:rPr>
                      <w:noProof/>
                      <w:webHidden/>
                    </w:rPr>
                    <w:fldChar w:fldCharType="end"/>
                  </w:r>
                </w:hyperlink>
              </w:p>
              <w:p w14:paraId="2576BB8A" w14:textId="520E5133"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71" w:history="1">
                  <w:r w:rsidRPr="00604A5D">
                    <w:rPr>
                      <w:rStyle w:val="Hyperlink"/>
                      <w:rFonts w:ascii="Arial" w:hAnsi="Arial" w:cs="Arial"/>
                      <w:noProof/>
                    </w:rPr>
                    <w:t>5.2.3: Resting Points</w:t>
                  </w:r>
                  <w:r>
                    <w:rPr>
                      <w:noProof/>
                      <w:webHidden/>
                    </w:rPr>
                    <w:tab/>
                  </w:r>
                  <w:r>
                    <w:rPr>
                      <w:noProof/>
                      <w:webHidden/>
                    </w:rPr>
                    <w:fldChar w:fldCharType="begin"/>
                  </w:r>
                  <w:r>
                    <w:rPr>
                      <w:noProof/>
                      <w:webHidden/>
                    </w:rPr>
                    <w:instrText xml:space="preserve"> PAGEREF _Toc228359271 \h </w:instrText>
                  </w:r>
                  <w:r>
                    <w:rPr>
                      <w:noProof/>
                      <w:webHidden/>
                    </w:rPr>
                  </w:r>
                  <w:r>
                    <w:rPr>
                      <w:noProof/>
                      <w:webHidden/>
                    </w:rPr>
                    <w:fldChar w:fldCharType="separate"/>
                  </w:r>
                  <w:r w:rsidR="00F904F0">
                    <w:rPr>
                      <w:noProof/>
                      <w:webHidden/>
                    </w:rPr>
                    <w:t>46</w:t>
                  </w:r>
                  <w:r>
                    <w:rPr>
                      <w:noProof/>
                      <w:webHidden/>
                    </w:rPr>
                    <w:fldChar w:fldCharType="end"/>
                  </w:r>
                </w:hyperlink>
              </w:p>
              <w:p w14:paraId="570567AF" w14:textId="6AB2C22A"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72" w:history="1">
                  <w:r w:rsidRPr="00604A5D">
                    <w:rPr>
                      <w:rStyle w:val="Hyperlink"/>
                      <w:rFonts w:ascii="Arial" w:hAnsi="Arial" w:cs="Arial"/>
                      <w:noProof/>
                    </w:rPr>
                    <w:t>5.3: Theme 3: Sensory Legibility and Atmospheric Audit</w:t>
                  </w:r>
                  <w:r>
                    <w:rPr>
                      <w:noProof/>
                      <w:webHidden/>
                    </w:rPr>
                    <w:tab/>
                  </w:r>
                  <w:r>
                    <w:rPr>
                      <w:noProof/>
                      <w:webHidden/>
                    </w:rPr>
                    <w:fldChar w:fldCharType="begin"/>
                  </w:r>
                  <w:r>
                    <w:rPr>
                      <w:noProof/>
                      <w:webHidden/>
                    </w:rPr>
                    <w:instrText xml:space="preserve"> PAGEREF _Toc228359272 \h </w:instrText>
                  </w:r>
                  <w:r>
                    <w:rPr>
                      <w:noProof/>
                      <w:webHidden/>
                    </w:rPr>
                  </w:r>
                  <w:r>
                    <w:rPr>
                      <w:noProof/>
                      <w:webHidden/>
                    </w:rPr>
                    <w:fldChar w:fldCharType="separate"/>
                  </w:r>
                  <w:r w:rsidR="00F904F0">
                    <w:rPr>
                      <w:noProof/>
                      <w:webHidden/>
                    </w:rPr>
                    <w:t>47</w:t>
                  </w:r>
                  <w:r>
                    <w:rPr>
                      <w:noProof/>
                      <w:webHidden/>
                    </w:rPr>
                    <w:fldChar w:fldCharType="end"/>
                  </w:r>
                </w:hyperlink>
              </w:p>
              <w:p w14:paraId="05679A84" w14:textId="46C98BBC"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73" w:history="1">
                  <w:r w:rsidRPr="00604A5D">
                    <w:rPr>
                      <w:rStyle w:val="Hyperlink"/>
                      <w:rFonts w:ascii="Arial" w:hAnsi="Arial" w:cs="Arial"/>
                      <w:noProof/>
                    </w:rPr>
                    <w:t>5.3.1: Acoustic Performance</w:t>
                  </w:r>
                  <w:r>
                    <w:rPr>
                      <w:noProof/>
                      <w:webHidden/>
                    </w:rPr>
                    <w:tab/>
                  </w:r>
                  <w:r>
                    <w:rPr>
                      <w:noProof/>
                      <w:webHidden/>
                    </w:rPr>
                    <w:fldChar w:fldCharType="begin"/>
                  </w:r>
                  <w:r>
                    <w:rPr>
                      <w:noProof/>
                      <w:webHidden/>
                    </w:rPr>
                    <w:instrText xml:space="preserve"> PAGEREF _Toc228359273 \h </w:instrText>
                  </w:r>
                  <w:r>
                    <w:rPr>
                      <w:noProof/>
                      <w:webHidden/>
                    </w:rPr>
                  </w:r>
                  <w:r>
                    <w:rPr>
                      <w:noProof/>
                      <w:webHidden/>
                    </w:rPr>
                    <w:fldChar w:fldCharType="separate"/>
                  </w:r>
                  <w:r w:rsidR="00F904F0">
                    <w:rPr>
                      <w:noProof/>
                      <w:webHidden/>
                    </w:rPr>
                    <w:t>47</w:t>
                  </w:r>
                  <w:r>
                    <w:rPr>
                      <w:noProof/>
                      <w:webHidden/>
                    </w:rPr>
                    <w:fldChar w:fldCharType="end"/>
                  </w:r>
                </w:hyperlink>
              </w:p>
              <w:p w14:paraId="729F69AE" w14:textId="269D4BA9"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74" w:history="1">
                  <w:r w:rsidRPr="00604A5D">
                    <w:rPr>
                      <w:rStyle w:val="Hyperlink"/>
                      <w:rFonts w:ascii="Arial" w:hAnsi="Arial" w:cs="Arial"/>
                      <w:noProof/>
                    </w:rPr>
                    <w:t>5.3.2: Lighting</w:t>
                  </w:r>
                  <w:r>
                    <w:rPr>
                      <w:noProof/>
                      <w:webHidden/>
                    </w:rPr>
                    <w:tab/>
                  </w:r>
                  <w:r>
                    <w:rPr>
                      <w:noProof/>
                      <w:webHidden/>
                    </w:rPr>
                    <w:fldChar w:fldCharType="begin"/>
                  </w:r>
                  <w:r>
                    <w:rPr>
                      <w:noProof/>
                      <w:webHidden/>
                    </w:rPr>
                    <w:instrText xml:space="preserve"> PAGEREF _Toc228359274 \h </w:instrText>
                  </w:r>
                  <w:r>
                    <w:rPr>
                      <w:noProof/>
                      <w:webHidden/>
                    </w:rPr>
                  </w:r>
                  <w:r>
                    <w:rPr>
                      <w:noProof/>
                      <w:webHidden/>
                    </w:rPr>
                    <w:fldChar w:fldCharType="separate"/>
                  </w:r>
                  <w:r w:rsidR="00F904F0">
                    <w:rPr>
                      <w:noProof/>
                      <w:webHidden/>
                    </w:rPr>
                    <w:t>48</w:t>
                  </w:r>
                  <w:r>
                    <w:rPr>
                      <w:noProof/>
                      <w:webHidden/>
                    </w:rPr>
                    <w:fldChar w:fldCharType="end"/>
                  </w:r>
                </w:hyperlink>
              </w:p>
              <w:p w14:paraId="68A62D19" w14:textId="092ACF5A" w:rsidR="00CA17F3" w:rsidRDefault="00CA17F3">
                <w:pPr>
                  <w:pStyle w:val="TOC2"/>
                  <w:tabs>
                    <w:tab w:val="right" w:leader="dot" w:pos="9016"/>
                  </w:tabs>
                  <w:rPr>
                    <w:rFonts w:eastAsiaTheme="minorEastAsia"/>
                    <w:noProof/>
                    <w:kern w:val="2"/>
                    <w:sz w:val="24"/>
                    <w:szCs w:val="24"/>
                    <w:lang w:eastAsia="en-GB"/>
                    <w14:ligatures w14:val="standardContextual"/>
                  </w:rPr>
                </w:pPr>
                <w:hyperlink w:anchor="_Toc228359275" w:history="1">
                  <w:r w:rsidRPr="00604A5D">
                    <w:rPr>
                      <w:rStyle w:val="Hyperlink"/>
                      <w:rFonts w:ascii="Arial" w:hAnsi="Arial" w:cs="Arial"/>
                      <w:noProof/>
                    </w:rPr>
                    <w:t>5.3.3: Visual Contrasts</w:t>
                  </w:r>
                  <w:r>
                    <w:rPr>
                      <w:noProof/>
                      <w:webHidden/>
                    </w:rPr>
                    <w:tab/>
                  </w:r>
                  <w:r>
                    <w:rPr>
                      <w:noProof/>
                      <w:webHidden/>
                    </w:rPr>
                    <w:fldChar w:fldCharType="begin"/>
                  </w:r>
                  <w:r>
                    <w:rPr>
                      <w:noProof/>
                      <w:webHidden/>
                    </w:rPr>
                    <w:instrText xml:space="preserve"> PAGEREF _Toc228359275 \h </w:instrText>
                  </w:r>
                  <w:r>
                    <w:rPr>
                      <w:noProof/>
                      <w:webHidden/>
                    </w:rPr>
                  </w:r>
                  <w:r>
                    <w:rPr>
                      <w:noProof/>
                      <w:webHidden/>
                    </w:rPr>
                    <w:fldChar w:fldCharType="separate"/>
                  </w:r>
                  <w:r w:rsidR="00F904F0">
                    <w:rPr>
                      <w:noProof/>
                      <w:webHidden/>
                    </w:rPr>
                    <w:t>49</w:t>
                  </w:r>
                  <w:r>
                    <w:rPr>
                      <w:noProof/>
                      <w:webHidden/>
                    </w:rPr>
                    <w:fldChar w:fldCharType="end"/>
                  </w:r>
                </w:hyperlink>
              </w:p>
              <w:p w14:paraId="4A1CFFB5" w14:textId="165CD2B1" w:rsidR="00CA17F3" w:rsidRDefault="00CA17F3">
                <w:pPr>
                  <w:pStyle w:val="TOC1"/>
                  <w:tabs>
                    <w:tab w:val="right" w:leader="dot" w:pos="9016"/>
                  </w:tabs>
                  <w:rPr>
                    <w:rFonts w:eastAsiaTheme="minorEastAsia"/>
                    <w:noProof/>
                    <w:kern w:val="2"/>
                    <w:sz w:val="24"/>
                    <w:szCs w:val="24"/>
                    <w:lang w:eastAsia="en-GB"/>
                    <w14:ligatures w14:val="standardContextual"/>
                  </w:rPr>
                </w:pPr>
                <w:hyperlink w:anchor="_Toc228359276" w:history="1">
                  <w:r w:rsidRPr="00604A5D">
                    <w:rPr>
                      <w:rStyle w:val="Hyperlink"/>
                      <w:rFonts w:ascii="Arial" w:hAnsi="Arial" w:cs="Arial"/>
                      <w:b/>
                      <w:bCs/>
                      <w:noProof/>
                    </w:rPr>
                    <w:t>Chapter 6: Conclusion</w:t>
                  </w:r>
                  <w:r>
                    <w:rPr>
                      <w:noProof/>
                      <w:webHidden/>
                    </w:rPr>
                    <w:tab/>
                  </w:r>
                  <w:r>
                    <w:rPr>
                      <w:noProof/>
                      <w:webHidden/>
                    </w:rPr>
                    <w:fldChar w:fldCharType="begin"/>
                  </w:r>
                  <w:r>
                    <w:rPr>
                      <w:noProof/>
                      <w:webHidden/>
                    </w:rPr>
                    <w:instrText xml:space="preserve"> PAGEREF _Toc228359276 \h </w:instrText>
                  </w:r>
                  <w:r>
                    <w:rPr>
                      <w:noProof/>
                      <w:webHidden/>
                    </w:rPr>
                  </w:r>
                  <w:r>
                    <w:rPr>
                      <w:noProof/>
                      <w:webHidden/>
                    </w:rPr>
                    <w:fldChar w:fldCharType="separate"/>
                  </w:r>
                  <w:r w:rsidR="00F904F0">
                    <w:rPr>
                      <w:noProof/>
                      <w:webHidden/>
                    </w:rPr>
                    <w:t>50</w:t>
                  </w:r>
                  <w:r>
                    <w:rPr>
                      <w:noProof/>
                      <w:webHidden/>
                    </w:rPr>
                    <w:fldChar w:fldCharType="end"/>
                  </w:r>
                </w:hyperlink>
              </w:p>
              <w:p w14:paraId="53F7DF71" w14:textId="558AA49C" w:rsidR="008A2BFE" w:rsidRDefault="008A2BFE" w:rsidP="008A2BFE">
                <w:pPr>
                  <w:spacing w:after="120" w:line="360" w:lineRule="auto"/>
                  <w:jc w:val="both"/>
                  <w:rPr>
                    <w:noProof/>
                  </w:rPr>
                </w:pPr>
                <w:r w:rsidRPr="008B48E9">
                  <w:rPr>
                    <w:rFonts w:ascii="Arial" w:hAnsi="Arial" w:cs="Arial"/>
                  </w:rPr>
                  <w:fldChar w:fldCharType="end"/>
                </w:r>
              </w:p>
            </w:sdtContent>
          </w:sdt>
          <w:p w14:paraId="2E9BE76E" w14:textId="4789FE7E" w:rsidR="009438D0" w:rsidRPr="009438D0" w:rsidRDefault="009438D0">
            <w:pPr>
              <w:pStyle w:val="NoSpacing"/>
              <w:jc w:val="both"/>
              <w:rPr>
                <w:rFonts w:ascii="Arial" w:hAnsi="Arial" w:cs="Arial"/>
                <w:b/>
                <w:bCs/>
                <w:sz w:val="32"/>
                <w:szCs w:val="32"/>
              </w:rPr>
            </w:pPr>
          </w:p>
        </w:tc>
        <w:tc>
          <w:tcPr>
            <w:tcW w:w="1276" w:type="dxa"/>
          </w:tcPr>
          <w:p w14:paraId="2E0A223B" w14:textId="77777777" w:rsidR="009438D0" w:rsidRPr="009438D0" w:rsidRDefault="009438D0">
            <w:pPr>
              <w:pStyle w:val="NoSpacing"/>
              <w:jc w:val="both"/>
              <w:rPr>
                <w:rFonts w:ascii="Arial" w:hAnsi="Arial" w:cs="Arial"/>
                <w:b/>
                <w:bCs/>
                <w:sz w:val="32"/>
                <w:szCs w:val="32"/>
                <w:lang w:val="en-GB"/>
              </w:rPr>
            </w:pPr>
          </w:p>
        </w:tc>
      </w:tr>
      <w:tr w:rsidR="00735332" w:rsidRPr="00E366B0" w14:paraId="7E8E7282" w14:textId="77777777">
        <w:tc>
          <w:tcPr>
            <w:tcW w:w="7938" w:type="dxa"/>
          </w:tcPr>
          <w:p w14:paraId="27730371" w14:textId="5FC9C5AA" w:rsidR="009438D0" w:rsidRPr="00E366B0" w:rsidRDefault="009438D0" w:rsidP="00E91B75">
            <w:pPr>
              <w:spacing w:line="360" w:lineRule="auto"/>
              <w:jc w:val="both"/>
              <w:rPr>
                <w:rFonts w:ascii="Arial" w:hAnsi="Arial" w:cs="Arial"/>
                <w:b/>
                <w:bCs/>
              </w:rPr>
            </w:pPr>
          </w:p>
        </w:tc>
        <w:tc>
          <w:tcPr>
            <w:tcW w:w="1276" w:type="dxa"/>
          </w:tcPr>
          <w:p w14:paraId="0257D4E1" w14:textId="3214B753" w:rsidR="009438D0" w:rsidRPr="00E366B0" w:rsidRDefault="009438D0">
            <w:pPr>
              <w:pStyle w:val="NoSpacing"/>
              <w:jc w:val="both"/>
              <w:rPr>
                <w:rFonts w:ascii="Arial" w:hAnsi="Arial" w:cs="Arial"/>
                <w:b/>
                <w:bCs/>
              </w:rPr>
            </w:pPr>
          </w:p>
        </w:tc>
      </w:tr>
      <w:tr w:rsidR="00735332" w:rsidRPr="00BF73AB" w14:paraId="7EBFB90F" w14:textId="77777777">
        <w:tc>
          <w:tcPr>
            <w:tcW w:w="7938" w:type="dxa"/>
          </w:tcPr>
          <w:p w14:paraId="3C18A629" w14:textId="5AB0F4C8" w:rsidR="009438D0" w:rsidRPr="00BF73AB" w:rsidRDefault="009438D0">
            <w:pPr>
              <w:jc w:val="both"/>
              <w:rPr>
                <w:rFonts w:ascii="Arial" w:hAnsi="Arial" w:cs="Arial"/>
              </w:rPr>
            </w:pPr>
          </w:p>
        </w:tc>
        <w:tc>
          <w:tcPr>
            <w:tcW w:w="1276" w:type="dxa"/>
          </w:tcPr>
          <w:p w14:paraId="18AB4D43" w14:textId="0BCC2ABC" w:rsidR="009438D0" w:rsidRPr="00BF73AB" w:rsidRDefault="009438D0">
            <w:pPr>
              <w:pStyle w:val="NoSpacing"/>
              <w:jc w:val="both"/>
              <w:rPr>
                <w:rFonts w:ascii="Arial" w:hAnsi="Arial" w:cs="Arial"/>
              </w:rPr>
            </w:pPr>
          </w:p>
        </w:tc>
      </w:tr>
      <w:tr w:rsidR="00735332" w:rsidRPr="00BF73AB" w14:paraId="6A9E697C" w14:textId="77777777">
        <w:tc>
          <w:tcPr>
            <w:tcW w:w="7938" w:type="dxa"/>
          </w:tcPr>
          <w:p w14:paraId="2810E57D" w14:textId="51AB7752" w:rsidR="00B97139" w:rsidRPr="00BF73AB" w:rsidRDefault="00B97139">
            <w:pPr>
              <w:jc w:val="both"/>
              <w:rPr>
                <w:rFonts w:ascii="Arial" w:hAnsi="Arial" w:cs="Arial"/>
              </w:rPr>
            </w:pPr>
          </w:p>
        </w:tc>
        <w:tc>
          <w:tcPr>
            <w:tcW w:w="1276" w:type="dxa"/>
          </w:tcPr>
          <w:p w14:paraId="2B40A8F4" w14:textId="77777777" w:rsidR="00B97139" w:rsidRPr="00BF73AB" w:rsidRDefault="00B97139">
            <w:pPr>
              <w:pStyle w:val="NoSpacing"/>
              <w:jc w:val="both"/>
              <w:rPr>
                <w:rFonts w:ascii="Arial" w:hAnsi="Arial" w:cs="Arial"/>
              </w:rPr>
            </w:pPr>
          </w:p>
        </w:tc>
      </w:tr>
      <w:tr w:rsidR="00735332" w:rsidRPr="00BF73AB" w14:paraId="441C1729" w14:textId="77777777">
        <w:tc>
          <w:tcPr>
            <w:tcW w:w="7938" w:type="dxa"/>
          </w:tcPr>
          <w:p w14:paraId="5EDFE365" w14:textId="3A0D5663" w:rsidR="009438D0" w:rsidRPr="00BF73AB" w:rsidRDefault="009438D0">
            <w:pPr>
              <w:jc w:val="both"/>
              <w:rPr>
                <w:rFonts w:ascii="Arial" w:hAnsi="Arial" w:cs="Arial"/>
              </w:rPr>
            </w:pPr>
          </w:p>
        </w:tc>
        <w:tc>
          <w:tcPr>
            <w:tcW w:w="1276" w:type="dxa"/>
          </w:tcPr>
          <w:p w14:paraId="4E2387C3" w14:textId="5F4CB083" w:rsidR="009438D0" w:rsidRPr="00BF73AB" w:rsidRDefault="009438D0">
            <w:pPr>
              <w:pStyle w:val="NoSpacing"/>
              <w:jc w:val="both"/>
              <w:rPr>
                <w:rFonts w:ascii="Arial" w:hAnsi="Arial" w:cs="Arial"/>
              </w:rPr>
            </w:pPr>
          </w:p>
        </w:tc>
      </w:tr>
      <w:tr w:rsidR="00735332" w:rsidRPr="00BF73AB" w14:paraId="71C59F84" w14:textId="77777777">
        <w:tc>
          <w:tcPr>
            <w:tcW w:w="7938" w:type="dxa"/>
          </w:tcPr>
          <w:p w14:paraId="319D0EA7" w14:textId="2CB7E663" w:rsidR="007D6E23" w:rsidRPr="00BF73AB" w:rsidRDefault="007D6E23">
            <w:pPr>
              <w:jc w:val="both"/>
              <w:rPr>
                <w:rFonts w:ascii="Arial" w:hAnsi="Arial" w:cs="Arial"/>
              </w:rPr>
            </w:pPr>
          </w:p>
        </w:tc>
        <w:tc>
          <w:tcPr>
            <w:tcW w:w="1276" w:type="dxa"/>
          </w:tcPr>
          <w:p w14:paraId="7147FD19" w14:textId="77777777" w:rsidR="007D6E23" w:rsidRPr="00BF73AB" w:rsidRDefault="007D6E23">
            <w:pPr>
              <w:pStyle w:val="NoSpacing"/>
              <w:jc w:val="both"/>
              <w:rPr>
                <w:rFonts w:ascii="Arial" w:hAnsi="Arial" w:cs="Arial"/>
              </w:rPr>
            </w:pPr>
          </w:p>
        </w:tc>
      </w:tr>
      <w:tr w:rsidR="00735332" w:rsidRPr="00BF73AB" w14:paraId="21647E5C" w14:textId="77777777">
        <w:tc>
          <w:tcPr>
            <w:tcW w:w="7938" w:type="dxa"/>
          </w:tcPr>
          <w:p w14:paraId="04B15923" w14:textId="260E3650" w:rsidR="009438D0" w:rsidRPr="00BF73AB" w:rsidRDefault="009438D0">
            <w:pPr>
              <w:pStyle w:val="NoSpacing"/>
              <w:jc w:val="both"/>
              <w:rPr>
                <w:rFonts w:ascii="Arial" w:hAnsi="Arial" w:cs="Arial"/>
              </w:rPr>
            </w:pPr>
          </w:p>
        </w:tc>
        <w:tc>
          <w:tcPr>
            <w:tcW w:w="1276" w:type="dxa"/>
          </w:tcPr>
          <w:p w14:paraId="22B55401" w14:textId="1C1C82CF" w:rsidR="009438D0" w:rsidRPr="00BF73AB" w:rsidRDefault="009438D0">
            <w:pPr>
              <w:pStyle w:val="NoSpacing"/>
              <w:jc w:val="both"/>
              <w:rPr>
                <w:rFonts w:ascii="Arial" w:hAnsi="Arial" w:cs="Arial"/>
                <w:lang w:val="en-GB"/>
              </w:rPr>
            </w:pPr>
          </w:p>
        </w:tc>
      </w:tr>
      <w:tr w:rsidR="00735332" w:rsidRPr="00BF73AB" w14:paraId="6A0800CC" w14:textId="77777777">
        <w:tc>
          <w:tcPr>
            <w:tcW w:w="7938" w:type="dxa"/>
          </w:tcPr>
          <w:p w14:paraId="27505AA7" w14:textId="0A466672" w:rsidR="009438D0" w:rsidRPr="00E91B75" w:rsidRDefault="009438D0">
            <w:pPr>
              <w:pStyle w:val="NoSpacing"/>
              <w:jc w:val="both"/>
              <w:rPr>
                <w:rFonts w:ascii="Arial" w:hAnsi="Arial" w:cs="Arial"/>
                <w:b/>
                <w:bCs/>
              </w:rPr>
            </w:pPr>
          </w:p>
        </w:tc>
        <w:tc>
          <w:tcPr>
            <w:tcW w:w="1276" w:type="dxa"/>
          </w:tcPr>
          <w:p w14:paraId="50B27A3B" w14:textId="0CD30449" w:rsidR="009438D0" w:rsidRPr="00BF73AB" w:rsidRDefault="009438D0">
            <w:pPr>
              <w:pStyle w:val="NoSpacing"/>
              <w:jc w:val="both"/>
              <w:rPr>
                <w:rFonts w:ascii="Arial" w:hAnsi="Arial" w:cs="Arial"/>
                <w:lang w:val="en-GB"/>
              </w:rPr>
            </w:pPr>
          </w:p>
        </w:tc>
      </w:tr>
      <w:tr w:rsidR="00735332" w:rsidRPr="00E91B75" w14:paraId="38BFA547" w14:textId="77777777">
        <w:tc>
          <w:tcPr>
            <w:tcW w:w="7938" w:type="dxa"/>
          </w:tcPr>
          <w:p w14:paraId="50138A5E" w14:textId="49D4CC8D" w:rsidR="009438D0" w:rsidRPr="00E91B75" w:rsidRDefault="009438D0">
            <w:pPr>
              <w:pStyle w:val="NoSpacing"/>
              <w:jc w:val="both"/>
              <w:rPr>
                <w:rFonts w:ascii="Arial" w:hAnsi="Arial" w:cs="Arial"/>
                <w:b/>
                <w:bCs/>
              </w:rPr>
            </w:pPr>
          </w:p>
        </w:tc>
        <w:tc>
          <w:tcPr>
            <w:tcW w:w="1276" w:type="dxa"/>
          </w:tcPr>
          <w:p w14:paraId="18B02672" w14:textId="16582A21" w:rsidR="009438D0" w:rsidRPr="00E91B75" w:rsidRDefault="009438D0">
            <w:pPr>
              <w:pStyle w:val="NoSpacing"/>
              <w:jc w:val="both"/>
              <w:rPr>
                <w:rFonts w:ascii="Arial" w:hAnsi="Arial" w:cs="Arial"/>
                <w:b/>
                <w:bCs/>
                <w:lang w:val="en-GB"/>
              </w:rPr>
            </w:pPr>
          </w:p>
        </w:tc>
      </w:tr>
      <w:tr w:rsidR="00735332" w:rsidRPr="00E91B75" w14:paraId="74E7BD48" w14:textId="77777777">
        <w:tc>
          <w:tcPr>
            <w:tcW w:w="7938" w:type="dxa"/>
          </w:tcPr>
          <w:p w14:paraId="62F99B58" w14:textId="03B80C5A" w:rsidR="009438D0" w:rsidRPr="00EA4F76" w:rsidRDefault="009438D0">
            <w:pPr>
              <w:pStyle w:val="NoSpacing"/>
              <w:jc w:val="both"/>
              <w:rPr>
                <w:rFonts w:ascii="Arial" w:hAnsi="Arial" w:cs="Arial"/>
              </w:rPr>
            </w:pPr>
          </w:p>
        </w:tc>
        <w:tc>
          <w:tcPr>
            <w:tcW w:w="1276" w:type="dxa"/>
          </w:tcPr>
          <w:p w14:paraId="1CC96300" w14:textId="71F5BCA6" w:rsidR="009438D0" w:rsidRPr="00E91B75" w:rsidRDefault="009438D0">
            <w:pPr>
              <w:pStyle w:val="NoSpacing"/>
              <w:jc w:val="both"/>
              <w:rPr>
                <w:rFonts w:ascii="Arial" w:hAnsi="Arial" w:cs="Arial"/>
                <w:b/>
                <w:bCs/>
                <w:lang w:val="en-GB"/>
              </w:rPr>
            </w:pPr>
          </w:p>
        </w:tc>
      </w:tr>
      <w:tr w:rsidR="00735332" w:rsidRPr="00BF73AB" w14:paraId="124662D3" w14:textId="77777777">
        <w:tc>
          <w:tcPr>
            <w:tcW w:w="7938" w:type="dxa"/>
          </w:tcPr>
          <w:p w14:paraId="79555B87" w14:textId="46BE84FA" w:rsidR="009438D0" w:rsidRPr="00BF73AB" w:rsidRDefault="009438D0">
            <w:pPr>
              <w:pStyle w:val="NoSpacing"/>
              <w:jc w:val="both"/>
              <w:rPr>
                <w:rFonts w:ascii="Arial" w:hAnsi="Arial" w:cs="Arial"/>
                <w:lang w:val="en-GB"/>
              </w:rPr>
            </w:pPr>
          </w:p>
        </w:tc>
        <w:tc>
          <w:tcPr>
            <w:tcW w:w="1276" w:type="dxa"/>
          </w:tcPr>
          <w:p w14:paraId="5AA54B4B" w14:textId="7B53162D" w:rsidR="009438D0" w:rsidRPr="00BF73AB" w:rsidRDefault="009438D0">
            <w:pPr>
              <w:pStyle w:val="NoSpacing"/>
              <w:jc w:val="both"/>
              <w:rPr>
                <w:rFonts w:ascii="Arial" w:hAnsi="Arial" w:cs="Arial"/>
                <w:lang w:val="en-GB"/>
              </w:rPr>
            </w:pPr>
          </w:p>
        </w:tc>
      </w:tr>
      <w:tr w:rsidR="00735332" w:rsidRPr="00E91B75" w14:paraId="7465BE6E" w14:textId="77777777">
        <w:tc>
          <w:tcPr>
            <w:tcW w:w="7938" w:type="dxa"/>
          </w:tcPr>
          <w:p w14:paraId="1CF2758A" w14:textId="16005213" w:rsidR="00E23E5C" w:rsidRPr="00E91B75" w:rsidRDefault="00E23E5C" w:rsidP="00E23E5C">
            <w:pPr>
              <w:pStyle w:val="NoSpacing"/>
              <w:jc w:val="both"/>
              <w:rPr>
                <w:rFonts w:ascii="Arial" w:hAnsi="Arial" w:cs="Arial"/>
                <w:b/>
                <w:bCs/>
                <w:lang w:val="en-GB"/>
              </w:rPr>
            </w:pPr>
          </w:p>
        </w:tc>
        <w:tc>
          <w:tcPr>
            <w:tcW w:w="1276" w:type="dxa"/>
          </w:tcPr>
          <w:p w14:paraId="1C93FD36" w14:textId="73081578" w:rsidR="00E23E5C" w:rsidRPr="00E91B75" w:rsidRDefault="00E23E5C" w:rsidP="00E23E5C">
            <w:pPr>
              <w:pStyle w:val="NoSpacing"/>
              <w:jc w:val="both"/>
              <w:rPr>
                <w:rFonts w:ascii="Arial" w:hAnsi="Arial" w:cs="Arial"/>
                <w:b/>
                <w:bCs/>
                <w:lang w:val="en-GB"/>
              </w:rPr>
            </w:pPr>
          </w:p>
        </w:tc>
      </w:tr>
      <w:tr w:rsidR="00735332" w:rsidRPr="00E91B75" w14:paraId="67C7BC20" w14:textId="77777777">
        <w:tc>
          <w:tcPr>
            <w:tcW w:w="7938" w:type="dxa"/>
          </w:tcPr>
          <w:p w14:paraId="7E477C8A" w14:textId="255961EB" w:rsidR="00E23E5C" w:rsidRPr="00E91B75" w:rsidRDefault="00E23E5C" w:rsidP="00E23E5C">
            <w:pPr>
              <w:pStyle w:val="NoSpacing"/>
              <w:jc w:val="both"/>
              <w:rPr>
                <w:rFonts w:ascii="Arial" w:hAnsi="Arial" w:cs="Arial"/>
                <w:b/>
                <w:bCs/>
                <w:lang w:val="en-GB"/>
              </w:rPr>
            </w:pPr>
          </w:p>
        </w:tc>
        <w:tc>
          <w:tcPr>
            <w:tcW w:w="1276" w:type="dxa"/>
          </w:tcPr>
          <w:p w14:paraId="1781C0A2" w14:textId="182C977B" w:rsidR="00E23E5C" w:rsidRPr="00E91B75" w:rsidRDefault="00E23E5C" w:rsidP="00E23E5C">
            <w:pPr>
              <w:pStyle w:val="NoSpacing"/>
              <w:jc w:val="both"/>
              <w:rPr>
                <w:rFonts w:ascii="Arial" w:hAnsi="Arial" w:cs="Arial"/>
                <w:b/>
                <w:bCs/>
                <w:lang w:val="en-GB"/>
              </w:rPr>
            </w:pPr>
          </w:p>
        </w:tc>
      </w:tr>
      <w:tr w:rsidR="00735332" w:rsidRPr="00E91B75" w14:paraId="3909042F" w14:textId="77777777">
        <w:tc>
          <w:tcPr>
            <w:tcW w:w="7938" w:type="dxa"/>
          </w:tcPr>
          <w:p w14:paraId="7488F715" w14:textId="710E44FE" w:rsidR="00E23E5C" w:rsidRPr="00E91B75" w:rsidRDefault="00E23E5C" w:rsidP="00E23E5C">
            <w:pPr>
              <w:pStyle w:val="NoSpacing"/>
              <w:jc w:val="both"/>
              <w:rPr>
                <w:rFonts w:ascii="Arial" w:hAnsi="Arial" w:cs="Arial"/>
                <w:b/>
                <w:bCs/>
                <w:lang w:val="en-GB"/>
              </w:rPr>
            </w:pPr>
          </w:p>
        </w:tc>
        <w:tc>
          <w:tcPr>
            <w:tcW w:w="1276" w:type="dxa"/>
          </w:tcPr>
          <w:p w14:paraId="457BCA34" w14:textId="01BBF8F8" w:rsidR="00E23E5C" w:rsidRPr="00E91B75" w:rsidRDefault="00E23E5C" w:rsidP="00E23E5C">
            <w:pPr>
              <w:pStyle w:val="NoSpacing"/>
              <w:jc w:val="both"/>
              <w:rPr>
                <w:rFonts w:ascii="Arial" w:hAnsi="Arial" w:cs="Arial"/>
                <w:b/>
                <w:bCs/>
                <w:lang w:val="en-GB"/>
              </w:rPr>
            </w:pPr>
          </w:p>
        </w:tc>
      </w:tr>
      <w:tr w:rsidR="00735332" w:rsidRPr="00E91B75" w14:paraId="609ACE5B" w14:textId="77777777">
        <w:tc>
          <w:tcPr>
            <w:tcW w:w="7938" w:type="dxa"/>
          </w:tcPr>
          <w:p w14:paraId="29F24A01" w14:textId="4B79AF32" w:rsidR="00E23E5C" w:rsidRPr="00E91B75" w:rsidRDefault="00E23E5C" w:rsidP="00E23E5C">
            <w:pPr>
              <w:pStyle w:val="NoSpacing"/>
              <w:jc w:val="both"/>
              <w:rPr>
                <w:rFonts w:ascii="Arial" w:hAnsi="Arial" w:cs="Arial"/>
                <w:b/>
                <w:bCs/>
                <w:lang w:val="en-GB"/>
              </w:rPr>
            </w:pPr>
          </w:p>
        </w:tc>
        <w:tc>
          <w:tcPr>
            <w:tcW w:w="1276" w:type="dxa"/>
          </w:tcPr>
          <w:p w14:paraId="4F0DD46A" w14:textId="234AE6D0" w:rsidR="00E23E5C" w:rsidRPr="00E91B75" w:rsidRDefault="00E23E5C" w:rsidP="00E23E5C">
            <w:pPr>
              <w:pStyle w:val="NoSpacing"/>
              <w:jc w:val="both"/>
              <w:rPr>
                <w:rFonts w:ascii="Arial" w:hAnsi="Arial" w:cs="Arial"/>
                <w:b/>
                <w:bCs/>
                <w:lang w:val="en-GB"/>
              </w:rPr>
            </w:pPr>
          </w:p>
        </w:tc>
      </w:tr>
      <w:tr w:rsidR="00735332" w:rsidRPr="00E91B75" w14:paraId="3D921B42" w14:textId="77777777">
        <w:tc>
          <w:tcPr>
            <w:tcW w:w="7938" w:type="dxa"/>
          </w:tcPr>
          <w:p w14:paraId="2DEB6FD2" w14:textId="1642F2CC" w:rsidR="00E23E5C" w:rsidRPr="00E91B75" w:rsidRDefault="00E23E5C" w:rsidP="00E23E5C">
            <w:pPr>
              <w:pStyle w:val="NoSpacing"/>
              <w:jc w:val="both"/>
              <w:rPr>
                <w:rFonts w:ascii="Arial" w:hAnsi="Arial" w:cs="Arial"/>
                <w:b/>
                <w:bCs/>
              </w:rPr>
            </w:pPr>
          </w:p>
        </w:tc>
        <w:tc>
          <w:tcPr>
            <w:tcW w:w="1276" w:type="dxa"/>
          </w:tcPr>
          <w:p w14:paraId="3C2DA14F" w14:textId="0B856D32" w:rsidR="00E23E5C" w:rsidRPr="00E91B75" w:rsidRDefault="00E23E5C" w:rsidP="00E23E5C">
            <w:pPr>
              <w:pStyle w:val="NoSpacing"/>
              <w:jc w:val="both"/>
              <w:rPr>
                <w:rFonts w:ascii="Arial" w:hAnsi="Arial" w:cs="Arial"/>
                <w:b/>
                <w:bCs/>
                <w:lang w:val="en-GB"/>
              </w:rPr>
            </w:pPr>
          </w:p>
        </w:tc>
      </w:tr>
      <w:tr w:rsidR="00735332" w:rsidRPr="005E50CE" w14:paraId="199D7DD3" w14:textId="77777777">
        <w:tc>
          <w:tcPr>
            <w:tcW w:w="7938" w:type="dxa"/>
          </w:tcPr>
          <w:p w14:paraId="292C785D" w14:textId="21694996" w:rsidR="00E23E5C" w:rsidRPr="005E50CE" w:rsidRDefault="00E23E5C" w:rsidP="00E23E5C">
            <w:pPr>
              <w:pStyle w:val="NoSpacing"/>
              <w:jc w:val="both"/>
              <w:rPr>
                <w:rFonts w:ascii="Arial" w:hAnsi="Arial" w:cs="Arial"/>
              </w:rPr>
            </w:pPr>
          </w:p>
        </w:tc>
        <w:tc>
          <w:tcPr>
            <w:tcW w:w="1276" w:type="dxa"/>
          </w:tcPr>
          <w:p w14:paraId="2A1242E8" w14:textId="18BAC10D" w:rsidR="00E23E5C" w:rsidRPr="005E50CE" w:rsidRDefault="00E23E5C" w:rsidP="00E23E5C">
            <w:pPr>
              <w:pStyle w:val="NoSpacing"/>
              <w:jc w:val="both"/>
              <w:rPr>
                <w:rFonts w:ascii="Arial" w:hAnsi="Arial" w:cs="Arial"/>
                <w:lang w:val="en-GB"/>
              </w:rPr>
            </w:pPr>
          </w:p>
        </w:tc>
      </w:tr>
      <w:tr w:rsidR="00735332" w:rsidRPr="00D42472" w14:paraId="09691B25" w14:textId="77777777">
        <w:tc>
          <w:tcPr>
            <w:tcW w:w="7938" w:type="dxa"/>
          </w:tcPr>
          <w:p w14:paraId="3CFE5132" w14:textId="5F38D249" w:rsidR="00FE1DF0" w:rsidRPr="00D42472" w:rsidRDefault="00FE1DF0" w:rsidP="00FE1DF0">
            <w:pPr>
              <w:pStyle w:val="NoSpacing"/>
              <w:rPr>
                <w:rFonts w:ascii="Arial" w:hAnsi="Arial" w:cs="Arial"/>
                <w:lang w:val="en-GB"/>
              </w:rPr>
            </w:pPr>
          </w:p>
        </w:tc>
        <w:tc>
          <w:tcPr>
            <w:tcW w:w="1276" w:type="dxa"/>
          </w:tcPr>
          <w:p w14:paraId="037DBA84" w14:textId="77777777" w:rsidR="00FE1DF0" w:rsidRPr="00D42472" w:rsidRDefault="00FE1DF0" w:rsidP="00FE1DF0">
            <w:pPr>
              <w:pStyle w:val="NoSpacing"/>
              <w:jc w:val="both"/>
              <w:rPr>
                <w:rFonts w:ascii="Arial" w:hAnsi="Arial" w:cs="Arial"/>
                <w:lang w:val="en-GB"/>
              </w:rPr>
            </w:pPr>
          </w:p>
        </w:tc>
      </w:tr>
      <w:tr w:rsidR="00735332" w:rsidRPr="00D42472" w14:paraId="32779D0F" w14:textId="77777777">
        <w:tc>
          <w:tcPr>
            <w:tcW w:w="7938" w:type="dxa"/>
          </w:tcPr>
          <w:p w14:paraId="570AAE7D" w14:textId="21E82FB6" w:rsidR="00FE1DF0" w:rsidRPr="00D42472" w:rsidRDefault="00FE1DF0" w:rsidP="00FE1DF0">
            <w:pPr>
              <w:pStyle w:val="NoSpacing"/>
              <w:rPr>
                <w:rFonts w:ascii="Arial" w:hAnsi="Arial" w:cs="Arial"/>
                <w:lang w:val="en-GB"/>
              </w:rPr>
            </w:pPr>
          </w:p>
        </w:tc>
        <w:tc>
          <w:tcPr>
            <w:tcW w:w="1276" w:type="dxa"/>
          </w:tcPr>
          <w:p w14:paraId="4FD4D18B" w14:textId="693FC9A2" w:rsidR="00FE1DF0" w:rsidRPr="00D42472" w:rsidRDefault="00FE1DF0" w:rsidP="00FE1DF0">
            <w:pPr>
              <w:pStyle w:val="NoSpacing"/>
              <w:jc w:val="both"/>
              <w:rPr>
                <w:rFonts w:ascii="Arial" w:hAnsi="Arial" w:cs="Arial"/>
                <w:lang w:val="en-GB"/>
              </w:rPr>
            </w:pPr>
          </w:p>
        </w:tc>
      </w:tr>
      <w:tr w:rsidR="00735332" w:rsidRPr="00D42472" w14:paraId="1F9BA8F2" w14:textId="77777777">
        <w:tc>
          <w:tcPr>
            <w:tcW w:w="7938" w:type="dxa"/>
          </w:tcPr>
          <w:p w14:paraId="31D120F1" w14:textId="637B0FE3" w:rsidR="00FE1DF0" w:rsidRPr="00D42472" w:rsidRDefault="00FE1DF0" w:rsidP="00FE1DF0">
            <w:pPr>
              <w:pStyle w:val="NoSpacing"/>
              <w:rPr>
                <w:rFonts w:ascii="Arial" w:hAnsi="Arial" w:cs="Arial"/>
                <w:lang w:val="en-GB"/>
              </w:rPr>
            </w:pPr>
          </w:p>
        </w:tc>
        <w:tc>
          <w:tcPr>
            <w:tcW w:w="1276" w:type="dxa"/>
          </w:tcPr>
          <w:p w14:paraId="3EE984E2" w14:textId="4F2736D9" w:rsidR="00FE1DF0" w:rsidRPr="00D42472" w:rsidRDefault="00FE1DF0" w:rsidP="00FE1DF0">
            <w:pPr>
              <w:pStyle w:val="NoSpacing"/>
              <w:jc w:val="both"/>
              <w:rPr>
                <w:rFonts w:ascii="Arial" w:hAnsi="Arial" w:cs="Arial"/>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735332" w:rsidRPr="00DB3080" w14:paraId="7F1D6AAC" w14:textId="77777777">
        <w:tc>
          <w:tcPr>
            <w:tcW w:w="7938" w:type="dxa"/>
          </w:tcPr>
          <w:p w14:paraId="0DCB6E0C" w14:textId="3DC88E81" w:rsidR="00BC681C" w:rsidRPr="00DB3080" w:rsidRDefault="00BC681C">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pPr>
              <w:pStyle w:val="NoSpacing"/>
              <w:jc w:val="both"/>
              <w:rPr>
                <w:rFonts w:ascii="Arial" w:hAnsi="Arial" w:cs="Arial"/>
                <w:b/>
                <w:bCs/>
                <w:sz w:val="32"/>
                <w:szCs w:val="32"/>
              </w:rPr>
            </w:pPr>
          </w:p>
        </w:tc>
        <w:tc>
          <w:tcPr>
            <w:tcW w:w="1276" w:type="dxa"/>
          </w:tcPr>
          <w:p w14:paraId="2C882C6F" w14:textId="77777777" w:rsidR="00BC681C" w:rsidRPr="00DB3080" w:rsidRDefault="00BC681C">
            <w:pPr>
              <w:pStyle w:val="NoSpacing"/>
              <w:jc w:val="both"/>
              <w:rPr>
                <w:rFonts w:ascii="Arial" w:hAnsi="Arial" w:cs="Arial"/>
                <w:b/>
                <w:bCs/>
                <w:sz w:val="32"/>
                <w:szCs w:val="32"/>
                <w:lang w:val="en-GB"/>
              </w:rPr>
            </w:pPr>
          </w:p>
        </w:tc>
      </w:tr>
      <w:tr w:rsidR="00735332" w:rsidRPr="00E366B0" w14:paraId="089CBFAB" w14:textId="77777777">
        <w:tc>
          <w:tcPr>
            <w:tcW w:w="7938" w:type="dxa"/>
          </w:tcPr>
          <w:p w14:paraId="26924C36" w14:textId="520FC06E" w:rsidR="00BC681C" w:rsidRPr="00E366B0" w:rsidRDefault="00BC681C">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558273AE" w14:textId="77777777" w:rsidR="00BC681C" w:rsidRPr="00E366B0" w:rsidRDefault="00BC681C">
            <w:pPr>
              <w:pStyle w:val="NoSpacing"/>
              <w:jc w:val="both"/>
              <w:rPr>
                <w:rFonts w:ascii="Arial" w:hAnsi="Arial" w:cs="Arial"/>
                <w:b/>
                <w:bCs/>
              </w:rPr>
            </w:pPr>
            <w:r w:rsidRPr="00E366B0">
              <w:rPr>
                <w:rFonts w:ascii="Arial" w:hAnsi="Arial" w:cs="Arial"/>
                <w:b/>
                <w:bCs/>
              </w:rPr>
              <w:t>PAGE NO</w:t>
            </w:r>
          </w:p>
        </w:tc>
      </w:tr>
      <w:tr w:rsidR="00735332" w:rsidRPr="00BF73AB" w14:paraId="6FD27748" w14:textId="77777777">
        <w:tc>
          <w:tcPr>
            <w:tcW w:w="7938" w:type="dxa"/>
          </w:tcPr>
          <w:p w14:paraId="0071B45A" w14:textId="03B08792" w:rsidR="00BC681C" w:rsidRPr="00BF73AB" w:rsidRDefault="00BC681C">
            <w:pPr>
              <w:jc w:val="both"/>
              <w:rPr>
                <w:rFonts w:ascii="Arial" w:hAnsi="Arial" w:cs="Arial"/>
              </w:rPr>
            </w:pPr>
            <w:r>
              <w:rPr>
                <w:rFonts w:ascii="Arial" w:hAnsi="Arial" w:cs="Arial"/>
              </w:rPr>
              <w:t xml:space="preserve">Figure 1: </w:t>
            </w:r>
            <w:r w:rsidR="006F09CE">
              <w:rPr>
                <w:rFonts w:ascii="Arial" w:hAnsi="Arial" w:cs="Arial"/>
              </w:rPr>
              <w:t xml:space="preserve">Exterior view of the Glynn Vivian Art Gallery </w:t>
            </w:r>
          </w:p>
        </w:tc>
        <w:tc>
          <w:tcPr>
            <w:tcW w:w="1276" w:type="dxa"/>
          </w:tcPr>
          <w:p w14:paraId="2520A123" w14:textId="77777777" w:rsidR="00BC681C" w:rsidRPr="00BF73AB" w:rsidRDefault="00BC681C">
            <w:pPr>
              <w:pStyle w:val="NoSpacing"/>
              <w:jc w:val="both"/>
              <w:rPr>
                <w:rFonts w:ascii="Arial" w:hAnsi="Arial" w:cs="Arial"/>
              </w:rPr>
            </w:pPr>
          </w:p>
        </w:tc>
      </w:tr>
      <w:tr w:rsidR="00735332" w:rsidRPr="00BF73AB" w14:paraId="3C12A71E" w14:textId="77777777">
        <w:tc>
          <w:tcPr>
            <w:tcW w:w="7938" w:type="dxa"/>
          </w:tcPr>
          <w:p w14:paraId="1681713D" w14:textId="0DB26D1C" w:rsidR="00DB3080" w:rsidRPr="00BF73AB" w:rsidRDefault="00DB3080">
            <w:pPr>
              <w:jc w:val="both"/>
              <w:rPr>
                <w:rFonts w:ascii="Arial" w:hAnsi="Arial" w:cs="Arial"/>
              </w:rPr>
            </w:pPr>
            <w:r>
              <w:rPr>
                <w:rFonts w:ascii="Arial" w:hAnsi="Arial" w:cs="Arial"/>
              </w:rPr>
              <w:t xml:space="preserve">Figure 2: title of illustration </w:t>
            </w:r>
            <w:r w:rsidRPr="00E80B43">
              <w:rPr>
                <w:rFonts w:ascii="Arial" w:hAnsi="Arial" w:cs="Arial"/>
              </w:rPr>
              <w:t>Arial 11</w:t>
            </w:r>
          </w:p>
        </w:tc>
        <w:tc>
          <w:tcPr>
            <w:tcW w:w="1276" w:type="dxa"/>
          </w:tcPr>
          <w:p w14:paraId="7EE1EB73" w14:textId="77777777" w:rsidR="00DB3080" w:rsidRPr="00BF73AB" w:rsidRDefault="00DB3080">
            <w:pPr>
              <w:pStyle w:val="NoSpacing"/>
              <w:jc w:val="both"/>
              <w:rPr>
                <w:rFonts w:ascii="Arial" w:hAnsi="Arial" w:cs="Arial"/>
              </w:rPr>
            </w:pPr>
          </w:p>
        </w:tc>
      </w:tr>
      <w:tr w:rsidR="00735332" w:rsidRPr="00BF73AB" w14:paraId="649E1C73" w14:textId="77777777">
        <w:tc>
          <w:tcPr>
            <w:tcW w:w="7938" w:type="dxa"/>
          </w:tcPr>
          <w:p w14:paraId="5B7EF6AF" w14:textId="0DC33C42" w:rsidR="00DB3080" w:rsidRPr="00BF73AB" w:rsidRDefault="00DB3080">
            <w:pPr>
              <w:jc w:val="both"/>
              <w:rPr>
                <w:rFonts w:ascii="Arial" w:hAnsi="Arial" w:cs="Arial"/>
              </w:rPr>
            </w:pPr>
            <w:r>
              <w:rPr>
                <w:rFonts w:ascii="Arial" w:hAnsi="Arial" w:cs="Arial"/>
              </w:rPr>
              <w:t xml:space="preserve">Figure 3: title of illustration </w:t>
            </w:r>
            <w:r w:rsidRPr="00E80B43">
              <w:rPr>
                <w:rFonts w:ascii="Arial" w:hAnsi="Arial" w:cs="Arial"/>
              </w:rPr>
              <w:t>Arial 11</w:t>
            </w:r>
          </w:p>
        </w:tc>
        <w:tc>
          <w:tcPr>
            <w:tcW w:w="1276" w:type="dxa"/>
          </w:tcPr>
          <w:p w14:paraId="30CA86B2" w14:textId="77777777" w:rsidR="00DB3080" w:rsidRPr="00BF73AB" w:rsidRDefault="00DB3080">
            <w:pPr>
              <w:pStyle w:val="NoSpacing"/>
              <w:jc w:val="both"/>
              <w:rPr>
                <w:rFonts w:ascii="Arial" w:hAnsi="Arial" w:cs="Arial"/>
              </w:rPr>
            </w:pPr>
          </w:p>
        </w:tc>
      </w:tr>
    </w:tbl>
    <w:p w14:paraId="0EF61343" w14:textId="007EAF30" w:rsidR="001A4F0F" w:rsidRDefault="001A4F0F" w:rsidP="00643135">
      <w:pPr>
        <w:pStyle w:val="Heading1"/>
      </w:pPr>
      <w:bookmarkStart w:id="4" w:name="_Toc70545365"/>
    </w:p>
    <w:p w14:paraId="17136C27" w14:textId="374E213B" w:rsidR="001A4F0F" w:rsidRDefault="001A4F0F">
      <w:pPr>
        <w:rPr>
          <w:rFonts w:asciiTheme="majorHAnsi" w:eastAsiaTheme="majorEastAsia" w:hAnsiTheme="majorHAnsi" w:cstheme="majorBidi"/>
          <w:sz w:val="32"/>
          <w:szCs w:val="32"/>
        </w:rPr>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735332" w:rsidRPr="00DB3080" w14:paraId="2DB593CE" w14:textId="77777777">
        <w:tc>
          <w:tcPr>
            <w:tcW w:w="7938" w:type="dxa"/>
          </w:tcPr>
          <w:p w14:paraId="522A39D5" w14:textId="4156266F" w:rsidR="00DB3080" w:rsidRPr="00DB3080" w:rsidRDefault="00DB3080">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Tables </w:t>
            </w:r>
          </w:p>
          <w:p w14:paraId="38F98B61" w14:textId="77777777" w:rsidR="00DB3080" w:rsidRPr="00DB3080" w:rsidRDefault="00DB3080">
            <w:pPr>
              <w:pStyle w:val="NoSpacing"/>
              <w:jc w:val="both"/>
              <w:rPr>
                <w:rFonts w:ascii="Arial" w:hAnsi="Arial" w:cs="Arial"/>
                <w:b/>
                <w:bCs/>
                <w:sz w:val="32"/>
                <w:szCs w:val="32"/>
              </w:rPr>
            </w:pPr>
          </w:p>
        </w:tc>
        <w:tc>
          <w:tcPr>
            <w:tcW w:w="1276" w:type="dxa"/>
          </w:tcPr>
          <w:p w14:paraId="5864CA66" w14:textId="77777777" w:rsidR="00DB3080" w:rsidRPr="00DB3080" w:rsidRDefault="00DB3080">
            <w:pPr>
              <w:pStyle w:val="NoSpacing"/>
              <w:jc w:val="both"/>
              <w:rPr>
                <w:rFonts w:ascii="Arial" w:hAnsi="Arial" w:cs="Arial"/>
                <w:b/>
                <w:bCs/>
                <w:sz w:val="32"/>
                <w:szCs w:val="32"/>
                <w:lang w:val="en-GB"/>
              </w:rPr>
            </w:pPr>
          </w:p>
        </w:tc>
      </w:tr>
      <w:tr w:rsidR="00735332" w:rsidRPr="00E366B0" w14:paraId="5F9D146C" w14:textId="77777777">
        <w:tc>
          <w:tcPr>
            <w:tcW w:w="7938" w:type="dxa"/>
          </w:tcPr>
          <w:p w14:paraId="29F41D21" w14:textId="210D4E70" w:rsidR="00DB3080" w:rsidRPr="00E366B0" w:rsidRDefault="00DB3080">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150E45EB" w14:textId="77777777" w:rsidR="00DB3080" w:rsidRPr="00E366B0" w:rsidRDefault="00DB3080">
            <w:pPr>
              <w:pStyle w:val="NoSpacing"/>
              <w:jc w:val="both"/>
              <w:rPr>
                <w:rFonts w:ascii="Arial" w:hAnsi="Arial" w:cs="Arial"/>
                <w:b/>
                <w:bCs/>
              </w:rPr>
            </w:pPr>
            <w:r w:rsidRPr="00E366B0">
              <w:rPr>
                <w:rFonts w:ascii="Arial" w:hAnsi="Arial" w:cs="Arial"/>
                <w:b/>
                <w:bCs/>
              </w:rPr>
              <w:t>PAGE NO</w:t>
            </w:r>
          </w:p>
        </w:tc>
      </w:tr>
      <w:tr w:rsidR="00735332" w:rsidRPr="00BF73AB" w14:paraId="52A17158" w14:textId="77777777">
        <w:tc>
          <w:tcPr>
            <w:tcW w:w="7938" w:type="dxa"/>
          </w:tcPr>
          <w:p w14:paraId="28255B16" w14:textId="0D74868B" w:rsidR="00DB3080" w:rsidRPr="00BF73AB" w:rsidRDefault="00DB3080">
            <w:pPr>
              <w:jc w:val="both"/>
              <w:rPr>
                <w:rFonts w:ascii="Arial" w:hAnsi="Arial" w:cs="Arial"/>
              </w:rPr>
            </w:pPr>
            <w:r>
              <w:rPr>
                <w:rFonts w:ascii="Arial" w:hAnsi="Arial" w:cs="Arial"/>
              </w:rPr>
              <w:t xml:space="preserve">Figure </w:t>
            </w:r>
            <w:r w:rsidR="001A4F0F">
              <w:rPr>
                <w:rFonts w:ascii="Arial" w:hAnsi="Arial" w:cs="Arial"/>
              </w:rPr>
              <w:t>A</w:t>
            </w:r>
            <w:r>
              <w:rPr>
                <w:rFonts w:ascii="Arial" w:hAnsi="Arial" w:cs="Arial"/>
              </w:rPr>
              <w:t xml:space="preserve">: title of table </w:t>
            </w:r>
            <w:r w:rsidRPr="00E80B43">
              <w:rPr>
                <w:rFonts w:ascii="Arial" w:hAnsi="Arial" w:cs="Arial"/>
              </w:rPr>
              <w:t>Arial 11</w:t>
            </w:r>
          </w:p>
        </w:tc>
        <w:tc>
          <w:tcPr>
            <w:tcW w:w="1276" w:type="dxa"/>
          </w:tcPr>
          <w:p w14:paraId="3C242B64" w14:textId="77777777" w:rsidR="00DB3080" w:rsidRPr="00BF73AB" w:rsidRDefault="00DB3080">
            <w:pPr>
              <w:pStyle w:val="NoSpacing"/>
              <w:jc w:val="both"/>
              <w:rPr>
                <w:rFonts w:ascii="Arial" w:hAnsi="Arial" w:cs="Arial"/>
              </w:rPr>
            </w:pPr>
          </w:p>
        </w:tc>
      </w:tr>
      <w:tr w:rsidR="00735332" w:rsidRPr="00BF73AB" w14:paraId="051B231A" w14:textId="77777777">
        <w:tc>
          <w:tcPr>
            <w:tcW w:w="7938" w:type="dxa"/>
          </w:tcPr>
          <w:p w14:paraId="16862AE4" w14:textId="26E8048B" w:rsidR="00DB3080" w:rsidRPr="00BF73AB" w:rsidRDefault="00DB3080">
            <w:pPr>
              <w:jc w:val="both"/>
              <w:rPr>
                <w:rFonts w:ascii="Arial" w:hAnsi="Arial" w:cs="Arial"/>
              </w:rPr>
            </w:pPr>
            <w:r>
              <w:rPr>
                <w:rFonts w:ascii="Arial" w:hAnsi="Arial" w:cs="Arial"/>
              </w:rPr>
              <w:t xml:space="preserve">Figure </w:t>
            </w:r>
            <w:r w:rsidR="001A4F0F">
              <w:rPr>
                <w:rFonts w:ascii="Arial" w:hAnsi="Arial" w:cs="Arial"/>
              </w:rPr>
              <w:t>B</w:t>
            </w:r>
            <w:r>
              <w:rPr>
                <w:rFonts w:ascii="Arial" w:hAnsi="Arial" w:cs="Arial"/>
              </w:rPr>
              <w:t xml:space="preserve">: title of table </w:t>
            </w:r>
            <w:r w:rsidRPr="00E80B43">
              <w:rPr>
                <w:rFonts w:ascii="Arial" w:hAnsi="Arial" w:cs="Arial"/>
              </w:rPr>
              <w:t>Arial 11</w:t>
            </w:r>
          </w:p>
        </w:tc>
        <w:tc>
          <w:tcPr>
            <w:tcW w:w="1276" w:type="dxa"/>
          </w:tcPr>
          <w:p w14:paraId="34283236" w14:textId="77777777" w:rsidR="00DB3080" w:rsidRPr="00BF73AB" w:rsidRDefault="00DB3080">
            <w:pPr>
              <w:pStyle w:val="NoSpacing"/>
              <w:jc w:val="both"/>
              <w:rPr>
                <w:rFonts w:ascii="Arial" w:hAnsi="Arial" w:cs="Arial"/>
              </w:rPr>
            </w:pPr>
          </w:p>
        </w:tc>
      </w:tr>
      <w:tr w:rsidR="00735332" w:rsidRPr="00BF73AB" w14:paraId="0AFF21A5" w14:textId="77777777">
        <w:tc>
          <w:tcPr>
            <w:tcW w:w="7938" w:type="dxa"/>
          </w:tcPr>
          <w:p w14:paraId="7D1E5BFB" w14:textId="64629DBB" w:rsidR="00DB3080" w:rsidRPr="00BF73AB" w:rsidRDefault="00DB3080">
            <w:pPr>
              <w:jc w:val="both"/>
              <w:rPr>
                <w:rFonts w:ascii="Arial" w:hAnsi="Arial" w:cs="Arial"/>
              </w:rPr>
            </w:pPr>
            <w:r>
              <w:rPr>
                <w:rFonts w:ascii="Arial" w:hAnsi="Arial" w:cs="Arial"/>
              </w:rPr>
              <w:t xml:space="preserve">Figure </w:t>
            </w:r>
            <w:r w:rsidR="001A4F0F">
              <w:rPr>
                <w:rFonts w:ascii="Arial" w:hAnsi="Arial" w:cs="Arial"/>
              </w:rPr>
              <w:t>C</w:t>
            </w:r>
            <w:r>
              <w:rPr>
                <w:rFonts w:ascii="Arial" w:hAnsi="Arial" w:cs="Arial"/>
              </w:rPr>
              <w:t xml:space="preserve">: title of table </w:t>
            </w:r>
            <w:r w:rsidRPr="00E80B43">
              <w:rPr>
                <w:rFonts w:ascii="Arial" w:hAnsi="Arial" w:cs="Arial"/>
              </w:rPr>
              <w:t>Arial 11</w:t>
            </w:r>
          </w:p>
        </w:tc>
        <w:tc>
          <w:tcPr>
            <w:tcW w:w="1276" w:type="dxa"/>
          </w:tcPr>
          <w:p w14:paraId="10BBAD97" w14:textId="77777777" w:rsidR="00DB3080" w:rsidRPr="00BF73AB" w:rsidRDefault="00DB3080">
            <w:pPr>
              <w:pStyle w:val="NoSpacing"/>
              <w:jc w:val="both"/>
              <w:rPr>
                <w:rFonts w:ascii="Arial" w:hAnsi="Arial" w:cs="Arial"/>
              </w:rPr>
            </w:pPr>
          </w:p>
        </w:tc>
      </w:tr>
    </w:tbl>
    <w:p w14:paraId="4FC0AB63" w14:textId="2A7B9E57" w:rsidR="00410B6C" w:rsidRPr="00DB3080" w:rsidRDefault="00410B6C" w:rsidP="00DB3080"/>
    <w:p w14:paraId="6ABB9777" w14:textId="67EBDA25" w:rsidR="00410B6C" w:rsidRDefault="001A4F0F">
      <w:r>
        <w:br w:type="page"/>
      </w:r>
    </w:p>
    <w:p w14:paraId="6E66F0EF" w14:textId="02158369" w:rsidR="009328F8" w:rsidRPr="0090330A" w:rsidRDefault="0090330A" w:rsidP="00D51592">
      <w:pPr>
        <w:pStyle w:val="Heading1"/>
        <w:spacing w:line="360" w:lineRule="auto"/>
        <w:rPr>
          <w:rFonts w:ascii="Arial" w:hAnsi="Arial" w:cs="Arial"/>
        </w:rPr>
      </w:pPr>
      <w:bookmarkStart w:id="5" w:name="_Toc228359232"/>
      <w:r w:rsidRPr="0090330A">
        <w:rPr>
          <w:rFonts w:ascii="Arial" w:hAnsi="Arial" w:cs="Arial"/>
        </w:rPr>
        <w:lastRenderedPageBreak/>
        <w:t>Glossary of Terms</w:t>
      </w:r>
      <w:bookmarkEnd w:id="5"/>
    </w:p>
    <w:p w14:paraId="415D2CB4" w14:textId="77777777" w:rsidR="009328F8" w:rsidRDefault="009328F8" w:rsidP="00410B6C">
      <w:pPr>
        <w:spacing w:line="360" w:lineRule="auto"/>
        <w:rPr>
          <w:rFonts w:ascii="Arial" w:hAnsi="Arial" w:cs="Arial"/>
        </w:rPr>
      </w:pPr>
      <w:r>
        <w:rPr>
          <w:rFonts w:ascii="Arial" w:hAnsi="Arial" w:cs="Arial"/>
        </w:rPr>
        <w:t>DOA – Dignity of Arrival</w:t>
      </w:r>
    </w:p>
    <w:p w14:paraId="4DB0183C" w14:textId="77777777" w:rsidR="009328F8" w:rsidRDefault="009328F8" w:rsidP="00410B6C">
      <w:pPr>
        <w:spacing w:line="360" w:lineRule="auto"/>
        <w:rPr>
          <w:rFonts w:ascii="Arial" w:hAnsi="Arial" w:cs="Arial"/>
        </w:rPr>
      </w:pPr>
      <w:r>
        <w:rPr>
          <w:rFonts w:ascii="Arial" w:hAnsi="Arial" w:cs="Arial"/>
        </w:rPr>
        <w:t>UD – Universal Design</w:t>
      </w:r>
    </w:p>
    <w:p w14:paraId="4B234E3D" w14:textId="77777777" w:rsidR="009328F8" w:rsidRDefault="009328F8" w:rsidP="00410B6C">
      <w:pPr>
        <w:spacing w:line="360" w:lineRule="auto"/>
        <w:rPr>
          <w:rFonts w:ascii="Arial" w:hAnsi="Arial" w:cs="Arial"/>
        </w:rPr>
      </w:pPr>
      <w:r>
        <w:rPr>
          <w:rFonts w:ascii="Arial" w:hAnsi="Arial" w:cs="Arial"/>
        </w:rPr>
        <w:t>DAS – Design Access Statement</w:t>
      </w:r>
    </w:p>
    <w:p w14:paraId="258534F7" w14:textId="77777777" w:rsidR="000E6EDE" w:rsidRDefault="009B6DB6" w:rsidP="00410B6C">
      <w:pPr>
        <w:spacing w:line="360" w:lineRule="auto"/>
        <w:rPr>
          <w:rFonts w:ascii="Arial" w:hAnsi="Arial" w:cs="Arial"/>
        </w:rPr>
      </w:pPr>
      <w:r>
        <w:rPr>
          <w:rFonts w:ascii="Arial" w:hAnsi="Arial" w:cs="Arial"/>
        </w:rPr>
        <w:t xml:space="preserve">AOD </w:t>
      </w:r>
      <w:r w:rsidR="009C28D1">
        <w:rPr>
          <w:rFonts w:ascii="Arial" w:hAnsi="Arial" w:cs="Arial"/>
        </w:rPr>
        <w:t xml:space="preserve">– Above Ordnance Datum </w:t>
      </w:r>
    </w:p>
    <w:p w14:paraId="77F4F2B5" w14:textId="77777777" w:rsidR="00450E3C" w:rsidRDefault="000E6EDE" w:rsidP="00410B6C">
      <w:pPr>
        <w:spacing w:line="360" w:lineRule="auto"/>
        <w:rPr>
          <w:rFonts w:ascii="Arial" w:hAnsi="Arial" w:cs="Arial"/>
        </w:rPr>
      </w:pPr>
      <w:r>
        <w:rPr>
          <w:rFonts w:ascii="Arial" w:hAnsi="Arial" w:cs="Arial"/>
        </w:rPr>
        <w:t>BSL – British Sign Language</w:t>
      </w:r>
    </w:p>
    <w:p w14:paraId="5E1C9BED" w14:textId="426F8507" w:rsidR="00410B6C" w:rsidRPr="00410B6C" w:rsidRDefault="00450E3C" w:rsidP="00410B6C">
      <w:pPr>
        <w:spacing w:line="360" w:lineRule="auto"/>
        <w:rPr>
          <w:rFonts w:ascii="Arial" w:hAnsi="Arial" w:cs="Arial"/>
        </w:rPr>
      </w:pPr>
      <w:r w:rsidRPr="747FEFAD">
        <w:rPr>
          <w:rFonts w:ascii="Arial" w:hAnsi="Arial" w:cs="Arial"/>
        </w:rPr>
        <w:t>WFG</w:t>
      </w:r>
      <w:r w:rsidR="33CB4A67" w:rsidRPr="747FEFAD">
        <w:rPr>
          <w:rFonts w:ascii="Arial" w:hAnsi="Arial" w:cs="Arial"/>
        </w:rPr>
        <w:t>A</w:t>
      </w:r>
      <w:r w:rsidR="00F523E6">
        <w:rPr>
          <w:rFonts w:ascii="Arial" w:hAnsi="Arial" w:cs="Arial"/>
        </w:rPr>
        <w:t xml:space="preserve"> - </w:t>
      </w:r>
      <w:r w:rsidRPr="00450E3C">
        <w:rPr>
          <w:rFonts w:ascii="Arial" w:hAnsi="Arial" w:cs="Arial"/>
        </w:rPr>
        <w:t>Well-being of Future Generations (Wales) Act 2015</w:t>
      </w:r>
      <w:r w:rsidR="00410B6C" w:rsidRPr="00410B6C">
        <w:rPr>
          <w:rFonts w:ascii="Arial" w:hAnsi="Arial" w:cs="Arial"/>
        </w:rPr>
        <w:br w:type="page"/>
      </w:r>
    </w:p>
    <w:p w14:paraId="3D29B608" w14:textId="3D8EA39E" w:rsidR="0029053D" w:rsidRPr="0029053D" w:rsidRDefault="0029053D" w:rsidP="0029053D">
      <w:pPr>
        <w:pStyle w:val="Heading1"/>
        <w:rPr>
          <w:rFonts w:ascii="Arial" w:hAnsi="Arial" w:cs="Arial"/>
          <w:b/>
          <w:bCs/>
        </w:rPr>
      </w:pPr>
      <w:bookmarkStart w:id="6" w:name="_Toc228359233"/>
      <w:bookmarkEnd w:id="4"/>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sidR="002C4EF8">
        <w:rPr>
          <w:rFonts w:ascii="Arial" w:hAnsi="Arial" w:cs="Arial"/>
          <w:b/>
          <w:bCs/>
        </w:rPr>
        <w:t>Introduction</w:t>
      </w:r>
      <w:bookmarkEnd w:id="6"/>
    </w:p>
    <w:p w14:paraId="043928CD" w14:textId="77777777" w:rsidR="0029053D" w:rsidRPr="00E80B43" w:rsidRDefault="0029053D" w:rsidP="0029053D">
      <w:pPr>
        <w:rPr>
          <w:rFonts w:ascii="Arial" w:hAnsi="Arial" w:cs="Arial"/>
        </w:rPr>
      </w:pPr>
    </w:p>
    <w:p w14:paraId="6E8EA3BC" w14:textId="28C76B0D" w:rsidR="00E313BD" w:rsidRPr="00E313BD" w:rsidRDefault="00E313BD" w:rsidP="00E313BD">
      <w:pPr>
        <w:spacing w:line="360" w:lineRule="auto"/>
        <w:jc w:val="both"/>
        <w:rPr>
          <w:rFonts w:ascii="Arial" w:hAnsi="Arial" w:cs="Arial"/>
        </w:rPr>
      </w:pPr>
      <w:r w:rsidRPr="00E313BD">
        <w:rPr>
          <w:rFonts w:ascii="Arial" w:hAnsi="Arial" w:cs="Arial"/>
        </w:rPr>
        <w:t>In the contemporary built environment, the concept of accessibility has transitioned from a fringe regulatory requirement to a core pillar of architectural responsibility. However, a significant tension remains between compliant design—meeting the minimum legal standards set by Part M of the Building Regulations</w:t>
      </w:r>
      <w:r w:rsidR="0026758B">
        <w:rPr>
          <w:rFonts w:ascii="Arial" w:hAnsi="Arial" w:cs="Arial"/>
        </w:rPr>
        <w:t xml:space="preserve"> (Welsh Government, 2025) - </w:t>
      </w:r>
      <w:r w:rsidRPr="00E313BD">
        <w:rPr>
          <w:rFonts w:ascii="Arial" w:hAnsi="Arial" w:cs="Arial"/>
        </w:rPr>
        <w:t>and meaningful design, which seeks to provide a dignified</w:t>
      </w:r>
      <w:r w:rsidR="0063123A">
        <w:rPr>
          <w:rFonts w:ascii="Arial" w:hAnsi="Arial" w:cs="Arial"/>
        </w:rPr>
        <w:t xml:space="preserve"> and intuitive</w:t>
      </w:r>
      <w:r w:rsidRPr="00E313BD">
        <w:rPr>
          <w:rFonts w:ascii="Arial" w:hAnsi="Arial" w:cs="Arial"/>
        </w:rPr>
        <w:t xml:space="preserve"> experience for all users regardless of ability (Goldsmith, 2000). In the context of Wales, this shift is further emphasized by the Well-being of Future Generations (Wales) Act 2015</w:t>
      </w:r>
      <w:r w:rsidR="00114C8F">
        <w:rPr>
          <w:rFonts w:ascii="Arial" w:hAnsi="Arial" w:cs="Arial"/>
        </w:rPr>
        <w:t xml:space="preserve"> (WFGA)</w:t>
      </w:r>
      <w:r w:rsidRPr="00E313BD">
        <w:rPr>
          <w:rFonts w:ascii="Arial" w:hAnsi="Arial" w:cs="Arial"/>
        </w:rPr>
        <w:t xml:space="preserve">, which legally mandates public bodies to strive for a more </w:t>
      </w:r>
      <w:r w:rsidR="009B70F4">
        <w:rPr>
          <w:rFonts w:ascii="Arial" w:hAnsi="Arial" w:cs="Arial"/>
        </w:rPr>
        <w:t>equality</w:t>
      </w:r>
      <w:r w:rsidR="00F2782E">
        <w:rPr>
          <w:rFonts w:ascii="Arial" w:hAnsi="Arial" w:cs="Arial"/>
        </w:rPr>
        <w:t xml:space="preserve"> (Welsh Government, 2015).</w:t>
      </w:r>
    </w:p>
    <w:p w14:paraId="712C5ABB" w14:textId="5A7EE8B9" w:rsidR="00E313BD" w:rsidRDefault="00E313BD" w:rsidP="00E313BD">
      <w:pPr>
        <w:spacing w:line="360" w:lineRule="auto"/>
        <w:jc w:val="both"/>
        <w:rPr>
          <w:rFonts w:ascii="Arial" w:hAnsi="Arial" w:cs="Arial"/>
        </w:rPr>
      </w:pPr>
      <w:r w:rsidRPr="00E313BD">
        <w:rPr>
          <w:rFonts w:ascii="Arial" w:hAnsi="Arial" w:cs="Arial"/>
        </w:rPr>
        <w:t xml:space="preserve">Despite these legislative frameworks, the architectural profession often struggles to balance inclusive aspirations with the realities of heritage conservation, topography, and budget constraints. This </w:t>
      </w:r>
      <w:r w:rsidR="00CB048F">
        <w:rPr>
          <w:rFonts w:ascii="Arial" w:hAnsi="Arial" w:cs="Arial"/>
        </w:rPr>
        <w:t>research</w:t>
      </w:r>
      <w:r w:rsidRPr="00E313BD">
        <w:rPr>
          <w:rFonts w:ascii="Arial" w:hAnsi="Arial" w:cs="Arial"/>
        </w:rPr>
        <w:t xml:space="preserve"> investigates whether current architectural practice in Swansea achieves true Universal Design</w:t>
      </w:r>
      <w:r w:rsidR="00CF45AD">
        <w:rPr>
          <w:rFonts w:ascii="Arial" w:hAnsi="Arial" w:cs="Arial"/>
        </w:rPr>
        <w:t xml:space="preserve"> (UD)</w:t>
      </w:r>
      <w:r w:rsidRPr="00E313BD">
        <w:rPr>
          <w:rFonts w:ascii="Arial" w:hAnsi="Arial" w:cs="Arial"/>
        </w:rPr>
        <w:t xml:space="preserve"> or if it remains a "tick-box" exercise driven by the Equality Act 2010.</w:t>
      </w:r>
    </w:p>
    <w:p w14:paraId="0C6E760A" w14:textId="5897F53C" w:rsidR="00606095" w:rsidRDefault="001A7FA3" w:rsidP="0029053D">
      <w:pPr>
        <w:spacing w:line="360" w:lineRule="auto"/>
        <w:jc w:val="both"/>
        <w:rPr>
          <w:rFonts w:ascii="Arial" w:hAnsi="Arial" w:cs="Arial"/>
        </w:rPr>
      </w:pPr>
      <w:r>
        <w:rPr>
          <w:rFonts w:ascii="Arial" w:hAnsi="Arial" w:cs="Arial"/>
        </w:rPr>
        <w:t xml:space="preserve">This </w:t>
      </w:r>
      <w:r w:rsidR="00CB048F">
        <w:rPr>
          <w:rFonts w:ascii="Arial" w:hAnsi="Arial" w:cs="Arial"/>
        </w:rPr>
        <w:t>work</w:t>
      </w:r>
      <w:r w:rsidR="00F20E3C">
        <w:rPr>
          <w:rFonts w:ascii="Arial" w:hAnsi="Arial" w:cs="Arial"/>
        </w:rPr>
        <w:t xml:space="preserve"> adopts a multi-layered research strategy approach, prioritising the lived reality of the built environment over theoretical compliance.</w:t>
      </w:r>
      <w:r w:rsidR="00C917E0">
        <w:rPr>
          <w:rFonts w:ascii="Arial" w:hAnsi="Arial" w:cs="Arial"/>
        </w:rPr>
        <w:t xml:space="preserve"> By utilising </w:t>
      </w:r>
      <w:r>
        <w:rPr>
          <w:rFonts w:ascii="Arial" w:hAnsi="Arial" w:cs="Arial"/>
        </w:rPr>
        <w:t xml:space="preserve">a structured literature review as a foundation, the researcher establishes a comparative framework based on the </w:t>
      </w:r>
      <w:r w:rsidR="002411BD">
        <w:rPr>
          <w:rFonts w:ascii="Arial" w:hAnsi="Arial" w:cs="Arial"/>
        </w:rPr>
        <w:t>two-pillar</w:t>
      </w:r>
      <w:r>
        <w:rPr>
          <w:rFonts w:ascii="Arial" w:hAnsi="Arial" w:cs="Arial"/>
        </w:rPr>
        <w:t xml:space="preserve"> model of physical and sensory integration. </w:t>
      </w:r>
      <w:r w:rsidR="00350E06">
        <w:rPr>
          <w:rFonts w:ascii="Arial" w:hAnsi="Arial" w:cs="Arial"/>
        </w:rPr>
        <w:t xml:space="preserve">This framework is applied through in depth case studies and primary site audits of two contrasting Swansea landmarks: the historic Glynn Vivian Art Gallery, </w:t>
      </w:r>
      <w:r w:rsidR="003B2DB0">
        <w:rPr>
          <w:rFonts w:ascii="Arial" w:hAnsi="Arial" w:cs="Arial"/>
        </w:rPr>
        <w:t>and the Swansea Arena.</w:t>
      </w:r>
      <w:r w:rsidR="001B56B4">
        <w:rPr>
          <w:rFonts w:ascii="Arial" w:hAnsi="Arial" w:cs="Arial"/>
        </w:rPr>
        <w:t xml:space="preserve"> This mixed </w:t>
      </w:r>
      <w:r w:rsidR="00774DA6">
        <w:rPr>
          <w:rFonts w:ascii="Arial" w:hAnsi="Arial" w:cs="Arial"/>
        </w:rPr>
        <w:t xml:space="preserve">methodology aims to uncover the critical gap between architectural intent and the functional reality experienced by the user. Ultimately this comparative analysis seeks to determine how effectively Swansea’s public realm accommodates not only traditional physical mobility but also the complex </w:t>
      </w:r>
      <w:r w:rsidR="00BC716A">
        <w:rPr>
          <w:rFonts w:ascii="Arial" w:hAnsi="Arial" w:cs="Arial"/>
        </w:rPr>
        <w:t xml:space="preserve">sensory and cognitive requirements of </w:t>
      </w:r>
      <w:r w:rsidR="0010453A">
        <w:rPr>
          <w:rFonts w:ascii="Arial" w:hAnsi="Arial" w:cs="Arial"/>
        </w:rPr>
        <w:t xml:space="preserve">a neurodiverse population and the </w:t>
      </w:r>
      <w:r w:rsidR="0091302F">
        <w:rPr>
          <w:rFonts w:ascii="Arial" w:hAnsi="Arial" w:cs="Arial"/>
        </w:rPr>
        <w:t>public</w:t>
      </w:r>
      <w:r w:rsidR="0010453A">
        <w:rPr>
          <w:rFonts w:ascii="Arial" w:hAnsi="Arial" w:cs="Arial"/>
        </w:rPr>
        <w:t>.</w:t>
      </w:r>
    </w:p>
    <w:p w14:paraId="2C13F892" w14:textId="77777777" w:rsidR="004E0D88" w:rsidRDefault="004E0D88" w:rsidP="0029053D">
      <w:pPr>
        <w:spacing w:line="360" w:lineRule="auto"/>
        <w:jc w:val="both"/>
        <w:rPr>
          <w:rFonts w:ascii="Arial" w:hAnsi="Arial" w:cs="Arial"/>
        </w:rPr>
      </w:pPr>
    </w:p>
    <w:p w14:paraId="56CBE6B3" w14:textId="37376018" w:rsidR="00606095" w:rsidRPr="0029053D" w:rsidRDefault="00A7449B" w:rsidP="00606095">
      <w:pPr>
        <w:pStyle w:val="Heading2"/>
        <w:spacing w:line="360" w:lineRule="auto"/>
        <w:jc w:val="both"/>
        <w:rPr>
          <w:rFonts w:ascii="Arial" w:hAnsi="Arial" w:cs="Arial"/>
          <w:sz w:val="28"/>
          <w:szCs w:val="28"/>
        </w:rPr>
      </w:pPr>
      <w:bookmarkStart w:id="7" w:name="_Toc228359234"/>
      <w:r>
        <w:rPr>
          <w:rFonts w:ascii="Arial" w:hAnsi="Arial" w:cs="Arial"/>
          <w:sz w:val="28"/>
          <w:szCs w:val="28"/>
        </w:rPr>
        <w:t>1.2 Research Aims &amp; Objectives</w:t>
      </w:r>
      <w:bookmarkEnd w:id="7"/>
    </w:p>
    <w:p w14:paraId="64597434" w14:textId="78EADB4C" w:rsidR="00606095" w:rsidRPr="00E14BEE" w:rsidRDefault="00A7449B" w:rsidP="0029053D">
      <w:pPr>
        <w:spacing w:line="360" w:lineRule="auto"/>
        <w:jc w:val="both"/>
        <w:rPr>
          <w:rFonts w:ascii="Arial" w:hAnsi="Arial" w:cs="Arial"/>
        </w:rPr>
      </w:pPr>
      <w:r w:rsidRPr="00E14BEE">
        <w:rPr>
          <w:rFonts w:ascii="Arial" w:hAnsi="Arial" w:cs="Arial"/>
        </w:rPr>
        <w:t xml:space="preserve">This </w:t>
      </w:r>
      <w:r w:rsidR="00B46D1C" w:rsidRPr="00E14BEE">
        <w:rPr>
          <w:rFonts w:ascii="Arial" w:hAnsi="Arial" w:cs="Arial"/>
        </w:rPr>
        <w:t>work</w:t>
      </w:r>
      <w:r w:rsidRPr="00E14BEE">
        <w:rPr>
          <w:rFonts w:ascii="Arial" w:hAnsi="Arial" w:cs="Arial"/>
        </w:rPr>
        <w:t xml:space="preserve"> explores the extent to which Universal Design is meaningfully integrated into </w:t>
      </w:r>
      <w:r w:rsidR="003800BB" w:rsidRPr="00E14BEE">
        <w:rPr>
          <w:rFonts w:ascii="Arial" w:hAnsi="Arial" w:cs="Arial"/>
        </w:rPr>
        <w:t xml:space="preserve">Welsh public realm through a detailed comparative case study analysis of </w:t>
      </w:r>
      <w:r w:rsidR="004C4AD0" w:rsidRPr="00E14BEE">
        <w:rPr>
          <w:rFonts w:ascii="Arial" w:hAnsi="Arial" w:cs="Arial"/>
        </w:rPr>
        <w:t>two</w:t>
      </w:r>
      <w:r w:rsidR="003800BB" w:rsidRPr="00E14BEE">
        <w:rPr>
          <w:rFonts w:ascii="Arial" w:hAnsi="Arial" w:cs="Arial"/>
        </w:rPr>
        <w:t xml:space="preserve"> distinct architectural </w:t>
      </w:r>
      <w:r w:rsidR="007B477E" w:rsidRPr="00E14BEE">
        <w:rPr>
          <w:rFonts w:ascii="Arial" w:hAnsi="Arial" w:cs="Arial"/>
        </w:rPr>
        <w:t>buildings</w:t>
      </w:r>
      <w:r w:rsidR="003800BB" w:rsidRPr="00E14BEE">
        <w:rPr>
          <w:rFonts w:ascii="Arial" w:hAnsi="Arial" w:cs="Arial"/>
        </w:rPr>
        <w:t xml:space="preserve"> in Swansea.</w:t>
      </w:r>
      <w:r w:rsidR="00427AE9" w:rsidRPr="00E14BEE">
        <w:rPr>
          <w:rFonts w:ascii="Arial" w:hAnsi="Arial" w:cs="Arial"/>
        </w:rPr>
        <w:t xml:space="preserve"> The primary aim is to critically inve</w:t>
      </w:r>
      <w:r w:rsidR="005260F0" w:rsidRPr="00E14BEE">
        <w:rPr>
          <w:rFonts w:ascii="Arial" w:hAnsi="Arial" w:cs="Arial"/>
        </w:rPr>
        <w:t xml:space="preserve">stigate UD, examining whether architecture is moving beyond mere </w:t>
      </w:r>
      <w:r w:rsidR="00BC4E50" w:rsidRPr="00E14BEE">
        <w:rPr>
          <w:rFonts w:ascii="Arial" w:hAnsi="Arial" w:cs="Arial"/>
        </w:rPr>
        <w:t>statutory</w:t>
      </w:r>
      <w:r w:rsidR="005260F0" w:rsidRPr="00E14BEE">
        <w:rPr>
          <w:rFonts w:ascii="Arial" w:hAnsi="Arial" w:cs="Arial"/>
        </w:rPr>
        <w:t xml:space="preserve"> </w:t>
      </w:r>
      <w:r w:rsidR="00E14BEE" w:rsidRPr="00E14BEE">
        <w:rPr>
          <w:rFonts w:ascii="Arial" w:hAnsi="Arial" w:cs="Arial"/>
        </w:rPr>
        <w:t xml:space="preserve">compliance </w:t>
      </w:r>
      <w:r w:rsidR="005260F0" w:rsidRPr="00E14BEE">
        <w:rPr>
          <w:rFonts w:ascii="Arial" w:hAnsi="Arial" w:cs="Arial"/>
        </w:rPr>
        <w:t xml:space="preserve">to achieve truly inclusive environments. </w:t>
      </w:r>
      <w:r w:rsidR="00B46D1C" w:rsidRPr="00E14BEE">
        <w:rPr>
          <w:rFonts w:ascii="Arial" w:hAnsi="Arial" w:cs="Arial"/>
        </w:rPr>
        <w:t xml:space="preserve">Through a comparative </w:t>
      </w:r>
      <w:r w:rsidR="00BC4E50" w:rsidRPr="00E14BEE">
        <w:rPr>
          <w:rFonts w:ascii="Arial" w:hAnsi="Arial" w:cs="Arial"/>
        </w:rPr>
        <w:t>study</w:t>
      </w:r>
      <w:r w:rsidR="00B46D1C" w:rsidRPr="00E14BEE">
        <w:rPr>
          <w:rFonts w:ascii="Arial" w:hAnsi="Arial" w:cs="Arial"/>
        </w:rPr>
        <w:t xml:space="preserve"> of two key buildings, this work </w:t>
      </w:r>
      <w:r w:rsidR="00067B8A" w:rsidRPr="00E14BEE">
        <w:rPr>
          <w:rFonts w:ascii="Arial" w:hAnsi="Arial" w:cs="Arial"/>
        </w:rPr>
        <w:t xml:space="preserve">evaluates </w:t>
      </w:r>
      <w:r w:rsidR="00BC4E50" w:rsidRPr="00E14BEE">
        <w:rPr>
          <w:rFonts w:ascii="Arial" w:hAnsi="Arial" w:cs="Arial"/>
        </w:rPr>
        <w:t>the how</w:t>
      </w:r>
      <w:r w:rsidR="00067B8A" w:rsidRPr="00E14BEE">
        <w:rPr>
          <w:rFonts w:ascii="Arial" w:hAnsi="Arial" w:cs="Arial"/>
        </w:rPr>
        <w:t xml:space="preserve"> physical, sensory and cognitive barriers are mitigated to facilitate a dignified </w:t>
      </w:r>
      <w:r w:rsidR="00BC4E50" w:rsidRPr="00E14BEE">
        <w:rPr>
          <w:rFonts w:ascii="Arial" w:hAnsi="Arial" w:cs="Arial"/>
        </w:rPr>
        <w:t>user journey.</w:t>
      </w:r>
    </w:p>
    <w:p w14:paraId="17B238C1" w14:textId="77777777" w:rsidR="009D5353" w:rsidRPr="00E14BEE" w:rsidRDefault="009D5353">
      <w:pPr>
        <w:rPr>
          <w:rFonts w:ascii="Arial" w:hAnsi="Arial" w:cs="Arial"/>
        </w:rPr>
      </w:pPr>
      <w:r w:rsidRPr="00E14BEE">
        <w:rPr>
          <w:rFonts w:ascii="Arial" w:hAnsi="Arial" w:cs="Arial"/>
        </w:rPr>
        <w:br w:type="page"/>
      </w:r>
    </w:p>
    <w:p w14:paraId="42A5B80C" w14:textId="1D606FEA" w:rsidR="009779BD" w:rsidRPr="00E14BEE" w:rsidRDefault="009779BD" w:rsidP="0029053D">
      <w:pPr>
        <w:spacing w:line="360" w:lineRule="auto"/>
        <w:jc w:val="both"/>
        <w:rPr>
          <w:rFonts w:ascii="Arial" w:hAnsi="Arial" w:cs="Arial"/>
        </w:rPr>
      </w:pPr>
      <w:r w:rsidRPr="00E14BEE">
        <w:rPr>
          <w:rFonts w:ascii="Arial" w:hAnsi="Arial" w:cs="Arial"/>
        </w:rPr>
        <w:lastRenderedPageBreak/>
        <w:t>The research objectives are as follows:</w:t>
      </w:r>
    </w:p>
    <w:p w14:paraId="6C31C297" w14:textId="62FAAE20" w:rsidR="009779BD" w:rsidRPr="00E14BEE" w:rsidRDefault="002D5154" w:rsidP="009779BD">
      <w:pPr>
        <w:pStyle w:val="ListParagraph"/>
        <w:numPr>
          <w:ilvl w:val="0"/>
          <w:numId w:val="6"/>
        </w:numPr>
        <w:spacing w:line="360" w:lineRule="auto"/>
        <w:jc w:val="both"/>
        <w:rPr>
          <w:rFonts w:ascii="Arial" w:hAnsi="Arial" w:cs="Arial"/>
          <w:b/>
          <w:bCs/>
        </w:rPr>
      </w:pPr>
      <w:r w:rsidRPr="00E14BEE">
        <w:rPr>
          <w:rFonts w:ascii="Arial" w:hAnsi="Arial" w:cs="Arial"/>
        </w:rPr>
        <w:t xml:space="preserve">Conduct a literature review to define the </w:t>
      </w:r>
      <w:r w:rsidR="007C58E5" w:rsidRPr="00E14BEE">
        <w:rPr>
          <w:rFonts w:ascii="Arial" w:hAnsi="Arial" w:cs="Arial"/>
        </w:rPr>
        <w:t>Social Model of disabi</w:t>
      </w:r>
      <w:r w:rsidR="0099003E" w:rsidRPr="00E14BEE">
        <w:rPr>
          <w:rFonts w:ascii="Arial" w:hAnsi="Arial" w:cs="Arial"/>
        </w:rPr>
        <w:t xml:space="preserve">lity and establish </w:t>
      </w:r>
      <w:r w:rsidR="002341C4" w:rsidRPr="00E14BEE">
        <w:rPr>
          <w:rFonts w:ascii="Arial" w:hAnsi="Arial" w:cs="Arial"/>
        </w:rPr>
        <w:t xml:space="preserve">a framework for meaningful design by evaluating foundational theorists alongside contemporary perspectives on </w:t>
      </w:r>
      <w:r w:rsidR="005D69F8" w:rsidRPr="00E14BEE">
        <w:rPr>
          <w:rFonts w:ascii="Arial" w:hAnsi="Arial" w:cs="Arial"/>
        </w:rPr>
        <w:t>inclusion.</w:t>
      </w:r>
    </w:p>
    <w:p w14:paraId="75CEADA6" w14:textId="14EC441D" w:rsidR="0099003E" w:rsidRPr="00211B98" w:rsidRDefault="0099003E" w:rsidP="009779BD">
      <w:pPr>
        <w:pStyle w:val="ListParagraph"/>
        <w:numPr>
          <w:ilvl w:val="0"/>
          <w:numId w:val="6"/>
        </w:numPr>
        <w:spacing w:line="360" w:lineRule="auto"/>
        <w:jc w:val="both"/>
        <w:rPr>
          <w:rFonts w:ascii="Arial" w:hAnsi="Arial" w:cs="Arial"/>
          <w:b/>
          <w:bCs/>
        </w:rPr>
      </w:pPr>
      <w:r>
        <w:rPr>
          <w:rFonts w:ascii="Arial" w:hAnsi="Arial" w:cs="Arial"/>
        </w:rPr>
        <w:t xml:space="preserve">Analyse </w:t>
      </w:r>
      <w:r w:rsidR="00F06452">
        <w:rPr>
          <w:rFonts w:ascii="Arial" w:hAnsi="Arial" w:cs="Arial"/>
        </w:rPr>
        <w:t>two</w:t>
      </w:r>
      <w:r>
        <w:rPr>
          <w:rFonts w:ascii="Arial" w:hAnsi="Arial" w:cs="Arial"/>
        </w:rPr>
        <w:t xml:space="preserve"> case studies</w:t>
      </w:r>
      <w:r w:rsidR="00211B98">
        <w:rPr>
          <w:rFonts w:ascii="Arial" w:hAnsi="Arial" w:cs="Arial"/>
        </w:rPr>
        <w:t xml:space="preserve"> – the Glynn Vivian Art Gallery</w:t>
      </w:r>
      <w:r w:rsidR="004C4AD0">
        <w:rPr>
          <w:rFonts w:ascii="Arial" w:hAnsi="Arial" w:cs="Arial"/>
        </w:rPr>
        <w:t xml:space="preserve"> </w:t>
      </w:r>
      <w:r w:rsidR="00211B98">
        <w:rPr>
          <w:rFonts w:ascii="Arial" w:hAnsi="Arial" w:cs="Arial"/>
        </w:rPr>
        <w:t xml:space="preserve">and </w:t>
      </w:r>
      <w:r w:rsidR="004C4AD0">
        <w:rPr>
          <w:rFonts w:ascii="Arial" w:hAnsi="Arial" w:cs="Arial"/>
        </w:rPr>
        <w:t xml:space="preserve">the </w:t>
      </w:r>
      <w:r w:rsidR="00211B98">
        <w:rPr>
          <w:rFonts w:ascii="Arial" w:hAnsi="Arial" w:cs="Arial"/>
        </w:rPr>
        <w:t>Swansea Arena – using a set framework to assess their physical and sensory inclusivity.</w:t>
      </w:r>
    </w:p>
    <w:p w14:paraId="56A9FB05" w14:textId="3DB31507" w:rsidR="00211B98" w:rsidRPr="00A332A4" w:rsidRDefault="00282F1B" w:rsidP="009779BD">
      <w:pPr>
        <w:pStyle w:val="ListParagraph"/>
        <w:numPr>
          <w:ilvl w:val="0"/>
          <w:numId w:val="6"/>
        </w:numPr>
        <w:spacing w:line="360" w:lineRule="auto"/>
        <w:jc w:val="both"/>
        <w:rPr>
          <w:rFonts w:ascii="Arial" w:hAnsi="Arial" w:cs="Arial"/>
          <w:b/>
          <w:bCs/>
        </w:rPr>
      </w:pPr>
      <w:r>
        <w:rPr>
          <w:rFonts w:ascii="Arial" w:hAnsi="Arial" w:cs="Arial"/>
        </w:rPr>
        <w:t xml:space="preserve">Compare </w:t>
      </w:r>
      <w:r w:rsidR="00A332A4">
        <w:rPr>
          <w:rFonts w:ascii="Arial" w:hAnsi="Arial" w:cs="Arial"/>
        </w:rPr>
        <w:t>the architectural successes and failures of these buildings to determine if modern purpose-built architecture provides a more dignified experience than adapted heritage buildings.</w:t>
      </w:r>
    </w:p>
    <w:p w14:paraId="53D2BBFA" w14:textId="18C31E88" w:rsidR="00A332A4" w:rsidRPr="004F25DE" w:rsidRDefault="00A332A4" w:rsidP="009779BD">
      <w:pPr>
        <w:pStyle w:val="ListParagraph"/>
        <w:numPr>
          <w:ilvl w:val="0"/>
          <w:numId w:val="6"/>
        </w:numPr>
        <w:spacing w:line="360" w:lineRule="auto"/>
        <w:jc w:val="both"/>
        <w:rPr>
          <w:rFonts w:ascii="Arial" w:hAnsi="Arial" w:cs="Arial"/>
          <w:b/>
          <w:bCs/>
        </w:rPr>
      </w:pPr>
      <w:r>
        <w:rPr>
          <w:rFonts w:ascii="Arial" w:hAnsi="Arial" w:cs="Arial"/>
        </w:rPr>
        <w:t xml:space="preserve">Evaluate the impact of the </w:t>
      </w:r>
      <w:r w:rsidR="00F56B83">
        <w:rPr>
          <w:rFonts w:ascii="Arial" w:hAnsi="Arial" w:cs="Arial"/>
        </w:rPr>
        <w:t xml:space="preserve">WFGA </w:t>
      </w:r>
      <w:r>
        <w:rPr>
          <w:rFonts w:ascii="Arial" w:hAnsi="Arial" w:cs="Arial"/>
        </w:rPr>
        <w:t xml:space="preserve">on the design process through </w:t>
      </w:r>
      <w:r w:rsidR="00EA1322">
        <w:rPr>
          <w:rFonts w:ascii="Arial" w:hAnsi="Arial" w:cs="Arial"/>
        </w:rPr>
        <w:t>the</w:t>
      </w:r>
      <w:r w:rsidR="00F06452">
        <w:rPr>
          <w:rFonts w:ascii="Arial" w:hAnsi="Arial" w:cs="Arial"/>
        </w:rPr>
        <w:t xml:space="preserve"> assessment of buildings</w:t>
      </w:r>
      <w:r w:rsidR="008D433D">
        <w:rPr>
          <w:rFonts w:ascii="Arial" w:hAnsi="Arial" w:cs="Arial"/>
        </w:rPr>
        <w:t>, both through extensive research and site audits.</w:t>
      </w:r>
    </w:p>
    <w:p w14:paraId="0B4CF987" w14:textId="77777777" w:rsidR="004750FD" w:rsidRDefault="004750FD" w:rsidP="004F25DE">
      <w:pPr>
        <w:spacing w:line="360" w:lineRule="auto"/>
        <w:ind w:left="360"/>
        <w:jc w:val="both"/>
        <w:rPr>
          <w:rFonts w:ascii="Arial" w:hAnsi="Arial" w:cs="Arial"/>
        </w:rPr>
      </w:pPr>
    </w:p>
    <w:p w14:paraId="33947590" w14:textId="2D1211F6" w:rsidR="004F25DE" w:rsidRPr="004F25DE" w:rsidRDefault="004F25DE" w:rsidP="004F25DE">
      <w:pPr>
        <w:spacing w:line="360" w:lineRule="auto"/>
        <w:ind w:left="360"/>
        <w:jc w:val="both"/>
        <w:rPr>
          <w:rFonts w:ascii="Arial" w:hAnsi="Arial" w:cs="Arial"/>
        </w:rPr>
      </w:pPr>
      <w:r w:rsidRPr="004F25DE">
        <w:rPr>
          <w:rFonts w:ascii="Arial" w:hAnsi="Arial" w:cs="Arial"/>
        </w:rPr>
        <w:t>Despite the limitations of a localised study, the findings will offer valuable insights into the tension between heritage conservation and accessibility. This research will contribute to a growing body of evidence regarding the effectiveness of Welsh design policy in creating genuinely inclusive public spaces.</w:t>
      </w: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446A6695" w14:textId="3A5F10E4" w:rsidR="00606095" w:rsidRPr="0029053D" w:rsidRDefault="00606095" w:rsidP="00606095">
      <w:pPr>
        <w:pStyle w:val="Heading1"/>
        <w:rPr>
          <w:rFonts w:ascii="Arial" w:hAnsi="Arial" w:cs="Arial"/>
          <w:b/>
          <w:bCs/>
        </w:rPr>
      </w:pPr>
      <w:bookmarkStart w:id="8" w:name="_Toc228359235"/>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 xml:space="preserve">: </w:t>
      </w:r>
      <w:r w:rsidR="008F0CFA">
        <w:rPr>
          <w:rFonts w:ascii="Arial" w:hAnsi="Arial" w:cs="Arial"/>
          <w:b/>
          <w:bCs/>
        </w:rPr>
        <w:t>Literature Review</w:t>
      </w:r>
      <w:bookmarkEnd w:id="8"/>
    </w:p>
    <w:p w14:paraId="4AA82516" w14:textId="77777777" w:rsidR="00606095" w:rsidRDefault="00606095" w:rsidP="00606095">
      <w:pPr>
        <w:spacing w:line="360" w:lineRule="auto"/>
        <w:jc w:val="both"/>
        <w:rPr>
          <w:rFonts w:ascii="Arial" w:hAnsi="Arial" w:cs="Arial"/>
        </w:rPr>
      </w:pPr>
    </w:p>
    <w:p w14:paraId="054A1410" w14:textId="64EBE76C" w:rsidR="00343CCA" w:rsidRPr="00E14BEE" w:rsidRDefault="00343CCA" w:rsidP="00343CCA">
      <w:pPr>
        <w:pStyle w:val="Heading2"/>
        <w:spacing w:line="360" w:lineRule="auto"/>
        <w:jc w:val="both"/>
        <w:rPr>
          <w:rFonts w:ascii="Arial" w:hAnsi="Arial" w:cs="Arial"/>
          <w:b/>
          <w:bCs/>
          <w:i/>
          <w:iCs/>
          <w:sz w:val="28"/>
          <w:szCs w:val="28"/>
        </w:rPr>
      </w:pPr>
      <w:bookmarkStart w:id="9" w:name="_Toc228359236"/>
      <w:r w:rsidRPr="00E14BEE">
        <w:rPr>
          <w:rFonts w:ascii="Arial" w:hAnsi="Arial" w:cs="Arial"/>
          <w:sz w:val="28"/>
          <w:szCs w:val="28"/>
        </w:rPr>
        <w:t>2.1: Introduction</w:t>
      </w:r>
      <w:bookmarkEnd w:id="9"/>
      <w:r w:rsidR="00A46732" w:rsidRPr="00E14BEE">
        <w:rPr>
          <w:rFonts w:ascii="Arial" w:hAnsi="Arial" w:cs="Arial"/>
          <w:sz w:val="28"/>
          <w:szCs w:val="28"/>
        </w:rPr>
        <w:t xml:space="preserve"> </w:t>
      </w:r>
    </w:p>
    <w:p w14:paraId="6ABD6C53" w14:textId="469D9059" w:rsidR="007F2B7B" w:rsidRPr="00A93C5D" w:rsidRDefault="007F2B7B" w:rsidP="00E36D4C">
      <w:pPr>
        <w:spacing w:line="360" w:lineRule="auto"/>
        <w:rPr>
          <w:rFonts w:ascii="Arial" w:hAnsi="Arial" w:cs="Arial"/>
        </w:rPr>
      </w:pPr>
      <w:r w:rsidRPr="00A93C5D">
        <w:rPr>
          <w:rFonts w:ascii="Arial" w:hAnsi="Arial" w:cs="Arial"/>
        </w:rPr>
        <w:t>The evolution of inclusive design within the built environment represents a shift from a medical understanding of disability to a broader, socio-technical philosophy known as Universal Design (UD)</w:t>
      </w:r>
      <w:r w:rsidR="00F127BC" w:rsidRPr="00A93C5D">
        <w:rPr>
          <w:rFonts w:ascii="Arial" w:hAnsi="Arial" w:cs="Arial"/>
        </w:rPr>
        <w:t xml:space="preserve"> (</w:t>
      </w:r>
      <w:r w:rsidR="00E14BEE">
        <w:rPr>
          <w:rFonts w:ascii="Arial" w:hAnsi="Arial" w:cs="Arial"/>
        </w:rPr>
        <w:t>Preiser 2001; Mace, 1985)</w:t>
      </w:r>
      <w:r w:rsidR="00F127BC" w:rsidRPr="00A93C5D">
        <w:rPr>
          <w:rFonts w:ascii="Arial" w:hAnsi="Arial" w:cs="Arial"/>
        </w:rPr>
        <w:t>.</w:t>
      </w:r>
      <w:r w:rsidRPr="00A93C5D">
        <w:rPr>
          <w:rFonts w:ascii="Arial" w:hAnsi="Arial" w:cs="Arial"/>
        </w:rPr>
        <w:t xml:space="preserve"> While the legal landscape in the United Kingdom has become increasingly robust—codified primarily through Part M of the Building Regulations </w:t>
      </w:r>
      <w:r w:rsidR="00BC70B9" w:rsidRPr="00A93C5D">
        <w:rPr>
          <w:rFonts w:ascii="Arial" w:hAnsi="Arial" w:cs="Arial"/>
        </w:rPr>
        <w:t xml:space="preserve">(Welsh Government, 2025) </w:t>
      </w:r>
      <w:r w:rsidRPr="00A93C5D">
        <w:rPr>
          <w:rFonts w:ascii="Arial" w:hAnsi="Arial" w:cs="Arial"/>
        </w:rPr>
        <w:t xml:space="preserve">and the </w:t>
      </w:r>
      <w:commentRangeStart w:id="10"/>
      <w:r w:rsidRPr="00A93C5D">
        <w:rPr>
          <w:rFonts w:ascii="Arial" w:hAnsi="Arial" w:cs="Arial"/>
        </w:rPr>
        <w:t xml:space="preserve">Equality Act </w:t>
      </w:r>
      <w:r w:rsidR="00F742DA">
        <w:rPr>
          <w:rFonts w:ascii="Arial" w:hAnsi="Arial" w:cs="Arial"/>
        </w:rPr>
        <w:t>(</w:t>
      </w:r>
      <w:r w:rsidRPr="00A93C5D">
        <w:rPr>
          <w:rFonts w:ascii="Arial" w:hAnsi="Arial" w:cs="Arial"/>
        </w:rPr>
        <w:t>2010</w:t>
      </w:r>
      <w:commentRangeEnd w:id="10"/>
      <w:r w:rsidR="008E2F13">
        <w:rPr>
          <w:rStyle w:val="CommentReference"/>
          <w:rFonts w:ascii="Arial" w:hAnsi="Arial" w:cs="Arial"/>
          <w:sz w:val="22"/>
          <w:szCs w:val="22"/>
        </w:rPr>
        <w:commentReference w:id="10"/>
      </w:r>
      <w:r w:rsidR="00F742DA">
        <w:rPr>
          <w:rFonts w:ascii="Arial" w:hAnsi="Arial" w:cs="Arial"/>
        </w:rPr>
        <w:t>)</w:t>
      </w:r>
      <w:r w:rsidRPr="00A93C5D">
        <w:rPr>
          <w:rFonts w:ascii="Arial" w:hAnsi="Arial" w:cs="Arial"/>
        </w:rPr>
        <w:t>—a critical gap persists between regulatory compliance and the delivery of a truly dignified user experience</w:t>
      </w:r>
      <w:r w:rsidR="003E3799" w:rsidRPr="00A93C5D">
        <w:rPr>
          <w:rFonts w:ascii="Arial" w:hAnsi="Arial" w:cs="Arial"/>
        </w:rPr>
        <w:t xml:space="preserve"> </w:t>
      </w:r>
      <w:r w:rsidR="002975B7">
        <w:rPr>
          <w:rFonts w:ascii="Arial" w:hAnsi="Arial" w:cs="Arial"/>
        </w:rPr>
        <w:t xml:space="preserve">(Bright et al., 2004; Goldsmith, </w:t>
      </w:r>
      <w:r w:rsidR="00000FDF">
        <w:rPr>
          <w:rFonts w:ascii="Arial" w:hAnsi="Arial" w:cs="Arial"/>
        </w:rPr>
        <w:t>2000</w:t>
      </w:r>
      <w:r w:rsidR="002975B7">
        <w:rPr>
          <w:rFonts w:ascii="Arial" w:hAnsi="Arial" w:cs="Arial"/>
        </w:rPr>
        <w:t>)</w:t>
      </w:r>
      <w:r w:rsidR="003E3799" w:rsidRPr="00A93C5D">
        <w:rPr>
          <w:rFonts w:ascii="Arial" w:hAnsi="Arial" w:cs="Arial"/>
        </w:rPr>
        <w:t>.</w:t>
      </w:r>
      <w:r w:rsidR="0030724D" w:rsidRPr="00A93C5D">
        <w:rPr>
          <w:rFonts w:ascii="Arial" w:hAnsi="Arial" w:cs="Arial"/>
        </w:rPr>
        <w:t xml:space="preserve"> In the Welsh context, this gap is further scrutinised under the Well-being of Future Generations (Wales) Act 2015, which mandates a </w:t>
      </w:r>
      <w:r w:rsidR="002462E1" w:rsidRPr="00A93C5D">
        <w:rPr>
          <w:rFonts w:ascii="Arial" w:hAnsi="Arial" w:cs="Arial"/>
        </w:rPr>
        <w:t xml:space="preserve">“More Equal Wales” </w:t>
      </w:r>
      <w:r w:rsidR="007C27C5" w:rsidRPr="00A93C5D">
        <w:rPr>
          <w:rFonts w:ascii="Arial" w:hAnsi="Arial" w:cs="Arial"/>
        </w:rPr>
        <w:t>through</w:t>
      </w:r>
      <w:r w:rsidR="0010044A" w:rsidRPr="00A93C5D">
        <w:rPr>
          <w:rFonts w:ascii="Arial" w:hAnsi="Arial" w:cs="Arial"/>
        </w:rPr>
        <w:t xml:space="preserve"> the creation of inclusive </w:t>
      </w:r>
      <w:r w:rsidR="007C27C5" w:rsidRPr="00A93C5D">
        <w:rPr>
          <w:rFonts w:ascii="Arial" w:hAnsi="Arial" w:cs="Arial"/>
        </w:rPr>
        <w:t>infrastructure (Welsh Government, 2015).</w:t>
      </w:r>
      <w:r w:rsidRPr="00A93C5D">
        <w:rPr>
          <w:rFonts w:ascii="Arial" w:hAnsi="Arial" w:cs="Arial"/>
        </w:rPr>
        <w:t xml:space="preserve"> This literature review evaluates the theoretical foundations of inclusion, the legislative frameworks governing Welsh architecture, and the emerging discourse surrounding sensory and neurodivergent accessibility.</w:t>
      </w:r>
    </w:p>
    <w:p w14:paraId="7FF18A09" w14:textId="36D3BB8E" w:rsidR="007F2B7B" w:rsidRPr="00A93C5D" w:rsidRDefault="007F2B7B" w:rsidP="00E36D4C">
      <w:pPr>
        <w:spacing w:line="360" w:lineRule="auto"/>
        <w:rPr>
          <w:rFonts w:ascii="Arial" w:hAnsi="Arial" w:cs="Arial"/>
        </w:rPr>
      </w:pPr>
      <w:r w:rsidRPr="00A93C5D">
        <w:rPr>
          <w:rFonts w:ascii="Arial" w:hAnsi="Arial" w:cs="Arial"/>
        </w:rPr>
        <w:t>Central to this investigation is the distinction between compliant design—a reactive, tick-box approach to minimum standards</w:t>
      </w:r>
      <w:r w:rsidR="00DA3F17" w:rsidRPr="00A93C5D">
        <w:rPr>
          <w:rFonts w:ascii="Arial" w:hAnsi="Arial" w:cs="Arial"/>
        </w:rPr>
        <w:t xml:space="preserve"> (Bone, 1996) </w:t>
      </w:r>
      <w:r w:rsidRPr="00A93C5D">
        <w:rPr>
          <w:rFonts w:ascii="Arial" w:hAnsi="Arial" w:cs="Arial"/>
        </w:rPr>
        <w:t xml:space="preserve">—and meaningful design, which seeks to anticipate the diverse needs of all users from a project’s inception (Goldsmith, </w:t>
      </w:r>
      <w:r w:rsidR="00000FDF">
        <w:rPr>
          <w:rFonts w:ascii="Arial" w:hAnsi="Arial" w:cs="Arial"/>
        </w:rPr>
        <w:t>2000</w:t>
      </w:r>
      <w:r w:rsidR="00DA3F17" w:rsidRPr="00A93C5D">
        <w:rPr>
          <w:rFonts w:ascii="Arial" w:hAnsi="Arial" w:cs="Arial"/>
        </w:rPr>
        <w:t>; Mace,1985</w:t>
      </w:r>
      <w:r w:rsidRPr="00A93C5D">
        <w:rPr>
          <w:rFonts w:ascii="Arial" w:hAnsi="Arial" w:cs="Arial"/>
        </w:rPr>
        <w:t>). By examining the transition from the Medical Model, which views disability as an individual deficit, to the Social Model, which identifies societal and architectural barriers as the disabling factor (Oliver, 1990), this chapter establishes the framework for analysing Swansea’s public realm.</w:t>
      </w:r>
    </w:p>
    <w:p w14:paraId="70496BF6" w14:textId="4700EF6F" w:rsidR="007F2B7B" w:rsidRPr="00E36D4C" w:rsidRDefault="007F2B7B" w:rsidP="00E36D4C">
      <w:pPr>
        <w:spacing w:line="360" w:lineRule="auto"/>
        <w:rPr>
          <w:rFonts w:ascii="Arial" w:hAnsi="Arial" w:cs="Arial"/>
        </w:rPr>
      </w:pPr>
      <w:r w:rsidRPr="00A93C5D">
        <w:rPr>
          <w:rFonts w:ascii="Arial" w:hAnsi="Arial" w:cs="Arial"/>
        </w:rPr>
        <w:t>Furthermore, this review expands beyond traditional mobility-centric access to address the sensory turn in architecture. Utilising the theories of Pallasmaa (2005)</w:t>
      </w:r>
      <w:r w:rsidR="00902D26" w:rsidRPr="00A93C5D">
        <w:rPr>
          <w:rFonts w:ascii="Arial" w:hAnsi="Arial" w:cs="Arial"/>
        </w:rPr>
        <w:t xml:space="preserve">, who critiques the </w:t>
      </w:r>
      <w:r w:rsidR="0006770D" w:rsidRPr="00A93C5D">
        <w:rPr>
          <w:rFonts w:ascii="Arial" w:hAnsi="Arial" w:cs="Arial"/>
        </w:rPr>
        <w:t>ocular centrism</w:t>
      </w:r>
      <w:r w:rsidR="00902D26" w:rsidRPr="00A93C5D">
        <w:rPr>
          <w:rFonts w:ascii="Arial" w:hAnsi="Arial" w:cs="Arial"/>
        </w:rPr>
        <w:t xml:space="preserve"> of modern design,</w:t>
      </w:r>
      <w:r w:rsidRPr="00A93C5D">
        <w:rPr>
          <w:rFonts w:ascii="Arial" w:hAnsi="Arial" w:cs="Arial"/>
        </w:rPr>
        <w:t xml:space="preserve"> and </w:t>
      </w:r>
      <w:r w:rsidR="00293FA4" w:rsidRPr="00A93C5D">
        <w:rPr>
          <w:rFonts w:ascii="Arial" w:hAnsi="Arial" w:cs="Arial"/>
        </w:rPr>
        <w:t xml:space="preserve">mind friendly </w:t>
      </w:r>
      <w:r w:rsidR="0006770D" w:rsidRPr="00A93C5D">
        <w:rPr>
          <w:rFonts w:ascii="Arial" w:hAnsi="Arial" w:cs="Arial"/>
        </w:rPr>
        <w:t>frameworks</w:t>
      </w:r>
      <w:r w:rsidR="00293FA4" w:rsidRPr="00A93C5D">
        <w:rPr>
          <w:rFonts w:ascii="Arial" w:hAnsi="Arial" w:cs="Arial"/>
        </w:rPr>
        <w:t xml:space="preserve"> of </w:t>
      </w:r>
      <w:r w:rsidRPr="00A93C5D">
        <w:rPr>
          <w:rFonts w:ascii="Arial" w:hAnsi="Arial" w:cs="Arial"/>
        </w:rPr>
        <w:t>Maslin (</w:t>
      </w:r>
      <w:r w:rsidR="002E29E2">
        <w:rPr>
          <w:rFonts w:ascii="Arial" w:hAnsi="Arial" w:cs="Arial"/>
        </w:rPr>
        <w:t>2022</w:t>
      </w:r>
      <w:r w:rsidRPr="00A93C5D">
        <w:rPr>
          <w:rFonts w:ascii="Arial" w:hAnsi="Arial" w:cs="Arial"/>
        </w:rPr>
        <w:t xml:space="preserve">), the discussion justifies the comparative analysis of </w:t>
      </w:r>
      <w:r w:rsidR="0006770D" w:rsidRPr="00A93C5D">
        <w:rPr>
          <w:rFonts w:ascii="Arial" w:hAnsi="Arial" w:cs="Arial"/>
        </w:rPr>
        <w:t xml:space="preserve">the built </w:t>
      </w:r>
      <w:r w:rsidRPr="00A93C5D">
        <w:rPr>
          <w:rFonts w:ascii="Arial" w:hAnsi="Arial" w:cs="Arial"/>
        </w:rPr>
        <w:t>environment</w:t>
      </w:r>
      <w:r w:rsidR="00293FA4" w:rsidRPr="00A93C5D">
        <w:rPr>
          <w:rFonts w:ascii="Arial" w:hAnsi="Arial" w:cs="Arial"/>
        </w:rPr>
        <w:t xml:space="preserve">. </w:t>
      </w:r>
      <w:r w:rsidR="00F15908" w:rsidRPr="00A93C5D">
        <w:rPr>
          <w:rFonts w:ascii="Arial" w:hAnsi="Arial" w:cs="Arial"/>
        </w:rPr>
        <w:t xml:space="preserve">The evaluation includes the </w:t>
      </w:r>
      <w:r w:rsidR="0006770D" w:rsidRPr="00A93C5D">
        <w:rPr>
          <w:rFonts w:ascii="Arial" w:hAnsi="Arial" w:cs="Arial"/>
        </w:rPr>
        <w:t xml:space="preserve">high stimulus </w:t>
      </w:r>
      <w:r w:rsidR="00F15908" w:rsidRPr="00A93C5D">
        <w:rPr>
          <w:rFonts w:ascii="Arial" w:hAnsi="Arial" w:cs="Arial"/>
        </w:rPr>
        <w:t xml:space="preserve">Swansea Arena, </w:t>
      </w:r>
      <w:r w:rsidR="00AC2084" w:rsidRPr="00A93C5D">
        <w:rPr>
          <w:rFonts w:ascii="Arial" w:hAnsi="Arial" w:cs="Arial"/>
        </w:rPr>
        <w:t>against the restorative, heritage Glynn Vivian Art Gallery</w:t>
      </w:r>
      <w:r w:rsidR="00C5416A" w:rsidRPr="00A93C5D">
        <w:rPr>
          <w:rFonts w:ascii="Arial" w:hAnsi="Arial" w:cs="Arial"/>
        </w:rPr>
        <w:t xml:space="preserve">. </w:t>
      </w:r>
      <w:r w:rsidRPr="00A93C5D">
        <w:rPr>
          <w:rFonts w:ascii="Arial" w:hAnsi="Arial" w:cs="Arial"/>
        </w:rPr>
        <w:t xml:space="preserve"> Ultimately, this chapter argues that for Universal Design to be "meaningful," it must move beyond the visible ramp and address the invisible, sensory, and cognitive legibility of the built environment</w:t>
      </w:r>
      <w:r w:rsidR="005F4AD8">
        <w:rPr>
          <w:rFonts w:ascii="Arial" w:hAnsi="Arial" w:cs="Arial"/>
        </w:rPr>
        <w:t xml:space="preserve"> </w:t>
      </w:r>
      <w:r w:rsidR="00757B89">
        <w:rPr>
          <w:rFonts w:ascii="Arial" w:hAnsi="Arial" w:cs="Arial"/>
        </w:rPr>
        <w:t xml:space="preserve">(Maslin, </w:t>
      </w:r>
      <w:r w:rsidR="002E29E2">
        <w:rPr>
          <w:rFonts w:ascii="Arial" w:hAnsi="Arial" w:cs="Arial"/>
        </w:rPr>
        <w:t>2022</w:t>
      </w:r>
      <w:r w:rsidR="00757B89">
        <w:rPr>
          <w:rFonts w:ascii="Arial" w:hAnsi="Arial" w:cs="Arial"/>
        </w:rPr>
        <w:t>; Goldsmith, 2000).</w:t>
      </w:r>
    </w:p>
    <w:p w14:paraId="2E7DB637" w14:textId="2403ECE4" w:rsidR="00343CCA" w:rsidRPr="0029053D" w:rsidRDefault="00343CCA" w:rsidP="00343CCA">
      <w:pPr>
        <w:pStyle w:val="Heading2"/>
        <w:spacing w:line="360" w:lineRule="auto"/>
        <w:jc w:val="both"/>
        <w:rPr>
          <w:rFonts w:ascii="Arial" w:hAnsi="Arial" w:cs="Arial"/>
          <w:sz w:val="28"/>
          <w:szCs w:val="28"/>
        </w:rPr>
      </w:pPr>
      <w:bookmarkStart w:id="11" w:name="_Toc228359237"/>
      <w:r>
        <w:rPr>
          <w:rFonts w:ascii="Arial" w:hAnsi="Arial" w:cs="Arial"/>
          <w:sz w:val="28"/>
          <w:szCs w:val="28"/>
        </w:rPr>
        <w:t>2.</w:t>
      </w:r>
      <w:r w:rsidR="00A36B2A">
        <w:rPr>
          <w:rFonts w:ascii="Arial" w:hAnsi="Arial" w:cs="Arial"/>
          <w:sz w:val="28"/>
          <w:szCs w:val="28"/>
        </w:rPr>
        <w:t>2</w:t>
      </w:r>
      <w:r>
        <w:rPr>
          <w:rFonts w:ascii="Arial" w:hAnsi="Arial" w:cs="Arial"/>
          <w:sz w:val="28"/>
          <w:szCs w:val="28"/>
        </w:rPr>
        <w:t xml:space="preserve">: </w:t>
      </w:r>
      <w:r w:rsidR="001F747B">
        <w:rPr>
          <w:rFonts w:ascii="Arial" w:hAnsi="Arial" w:cs="Arial"/>
          <w:sz w:val="28"/>
          <w:szCs w:val="28"/>
        </w:rPr>
        <w:t>Legal</w:t>
      </w:r>
      <w:bookmarkEnd w:id="11"/>
    </w:p>
    <w:p w14:paraId="3832A591" w14:textId="570065F3" w:rsidR="00343CCA" w:rsidRDefault="008363B2" w:rsidP="00343CCA">
      <w:pPr>
        <w:spacing w:line="360" w:lineRule="auto"/>
        <w:jc w:val="both"/>
        <w:rPr>
          <w:rFonts w:ascii="Arial" w:hAnsi="Arial" w:cs="Arial"/>
        </w:rPr>
      </w:pPr>
      <w:r>
        <w:rPr>
          <w:rFonts w:ascii="Arial" w:hAnsi="Arial" w:cs="Arial"/>
        </w:rPr>
        <w:t xml:space="preserve">The legislative framework governing the built environment in the UK has undergone </w:t>
      </w:r>
      <w:r w:rsidR="00DE6718">
        <w:rPr>
          <w:rFonts w:ascii="Arial" w:hAnsi="Arial" w:cs="Arial"/>
        </w:rPr>
        <w:t>a significant transition over time. Historically, the</w:t>
      </w:r>
      <w:r w:rsidR="00372AA1">
        <w:rPr>
          <w:rFonts w:ascii="Arial" w:hAnsi="Arial" w:cs="Arial"/>
        </w:rPr>
        <w:t xml:space="preserve"> Chronically Sick and Disabled Persons Act 1970 served as the first </w:t>
      </w:r>
      <w:r w:rsidR="00E72526">
        <w:rPr>
          <w:rFonts w:ascii="Arial" w:hAnsi="Arial" w:cs="Arial"/>
        </w:rPr>
        <w:t xml:space="preserve">to recognise people with disabilities </w:t>
      </w:r>
      <w:r w:rsidR="005170A6">
        <w:rPr>
          <w:rFonts w:ascii="Arial" w:hAnsi="Arial" w:cs="Arial"/>
        </w:rPr>
        <w:t xml:space="preserve">and </w:t>
      </w:r>
      <w:r w:rsidR="00B77EE6">
        <w:rPr>
          <w:rFonts w:ascii="Arial" w:hAnsi="Arial" w:cs="Arial"/>
        </w:rPr>
        <w:t>provide them with rights</w:t>
      </w:r>
      <w:r w:rsidR="006465A4">
        <w:rPr>
          <w:rFonts w:ascii="Arial" w:hAnsi="Arial" w:cs="Arial"/>
        </w:rPr>
        <w:t xml:space="preserve">, </w:t>
      </w:r>
      <w:r w:rsidR="006465A4">
        <w:rPr>
          <w:rFonts w:ascii="Arial" w:hAnsi="Arial" w:cs="Arial"/>
        </w:rPr>
        <w:lastRenderedPageBreak/>
        <w:t>though it was often criticized for its lack of enforcement and reliance on the medical model of disability</w:t>
      </w:r>
      <w:r w:rsidR="006465A4" w:rsidRPr="006465A4">
        <w:rPr>
          <w:rFonts w:ascii="Arial" w:hAnsi="Arial" w:cs="Arial"/>
        </w:rPr>
        <w:t xml:space="preserve"> </w:t>
      </w:r>
      <w:r w:rsidR="006465A4">
        <w:rPr>
          <w:rFonts w:ascii="Arial" w:hAnsi="Arial" w:cs="Arial"/>
        </w:rPr>
        <w:t>(Oliver, 1990).</w:t>
      </w:r>
      <w:r w:rsidR="001929B5">
        <w:rPr>
          <w:rFonts w:ascii="Arial" w:hAnsi="Arial" w:cs="Arial"/>
        </w:rPr>
        <w:t xml:space="preserve"> This was later </w:t>
      </w:r>
      <w:commentRangeStart w:id="12"/>
      <w:r w:rsidR="001929B5">
        <w:rPr>
          <w:rFonts w:ascii="Arial" w:hAnsi="Arial" w:cs="Arial"/>
        </w:rPr>
        <w:t>s</w:t>
      </w:r>
      <w:r w:rsidR="00BE1A45">
        <w:rPr>
          <w:rFonts w:ascii="Arial" w:hAnsi="Arial" w:cs="Arial"/>
        </w:rPr>
        <w:t>uperseded</w:t>
      </w:r>
      <w:r w:rsidR="001929B5">
        <w:rPr>
          <w:rFonts w:ascii="Arial" w:hAnsi="Arial" w:cs="Arial"/>
        </w:rPr>
        <w:t xml:space="preserve"> </w:t>
      </w:r>
      <w:commentRangeEnd w:id="12"/>
      <w:r w:rsidR="002D27B5">
        <w:rPr>
          <w:rStyle w:val="CommentReference"/>
          <w:rFonts w:ascii="Arial" w:hAnsi="Arial" w:cs="Arial"/>
          <w:sz w:val="22"/>
          <w:szCs w:val="22"/>
        </w:rPr>
        <w:commentReference w:id="12"/>
      </w:r>
      <w:r w:rsidR="001929B5">
        <w:rPr>
          <w:rFonts w:ascii="Arial" w:hAnsi="Arial" w:cs="Arial"/>
        </w:rPr>
        <w:t xml:space="preserve">by the Disability Discrimination Act (DDA) 1995, which introduced the concept of reasonable </w:t>
      </w:r>
      <w:r w:rsidR="007A1630">
        <w:rPr>
          <w:rFonts w:ascii="Arial" w:hAnsi="Arial" w:cs="Arial"/>
        </w:rPr>
        <w:t xml:space="preserve">adjustments, </w:t>
      </w:r>
      <w:r w:rsidR="00725CA1">
        <w:rPr>
          <w:rFonts w:ascii="Arial" w:hAnsi="Arial" w:cs="Arial"/>
        </w:rPr>
        <w:t>making</w:t>
      </w:r>
      <w:r w:rsidR="00AE6C23">
        <w:rPr>
          <w:rFonts w:ascii="Arial" w:hAnsi="Arial" w:cs="Arial"/>
        </w:rPr>
        <w:t xml:space="preserve"> it unlawful to discriminate against disabled people </w:t>
      </w:r>
      <w:r w:rsidR="009730DF">
        <w:rPr>
          <w:rFonts w:ascii="Arial" w:hAnsi="Arial" w:cs="Arial"/>
        </w:rPr>
        <w:t>regarding</w:t>
      </w:r>
      <w:r w:rsidR="00AE6C23">
        <w:rPr>
          <w:rFonts w:ascii="Arial" w:hAnsi="Arial" w:cs="Arial"/>
        </w:rPr>
        <w:t xml:space="preserve"> </w:t>
      </w:r>
      <w:r w:rsidR="00FC4D61">
        <w:rPr>
          <w:rFonts w:ascii="Arial" w:hAnsi="Arial" w:cs="Arial"/>
        </w:rPr>
        <w:t xml:space="preserve">access to goods, facilities and services, management of properties and employment. </w:t>
      </w:r>
      <w:r w:rsidR="00FB0951">
        <w:rPr>
          <w:rFonts w:ascii="Arial" w:hAnsi="Arial" w:cs="Arial"/>
        </w:rPr>
        <w:t xml:space="preserve">However, as </w:t>
      </w:r>
      <w:r w:rsidR="009730DF">
        <w:rPr>
          <w:rFonts w:ascii="Arial" w:hAnsi="Arial" w:cs="Arial"/>
        </w:rPr>
        <w:t>reinforced</w:t>
      </w:r>
      <w:r w:rsidR="00FB0951">
        <w:rPr>
          <w:rFonts w:ascii="Arial" w:hAnsi="Arial" w:cs="Arial"/>
        </w:rPr>
        <w:t xml:space="preserve"> by </w:t>
      </w:r>
      <w:r w:rsidR="006366C4">
        <w:rPr>
          <w:rFonts w:ascii="Arial" w:hAnsi="Arial" w:cs="Arial"/>
        </w:rPr>
        <w:t>Bright (</w:t>
      </w:r>
      <w:r w:rsidR="00EA1A3A">
        <w:rPr>
          <w:rFonts w:ascii="Arial" w:hAnsi="Arial" w:cs="Arial"/>
        </w:rPr>
        <w:t>2004)</w:t>
      </w:r>
      <w:r w:rsidR="009730DF">
        <w:rPr>
          <w:rFonts w:ascii="Arial" w:hAnsi="Arial" w:cs="Arial"/>
        </w:rPr>
        <w:t xml:space="preserve">, the DDA did not directly require buildings to </w:t>
      </w:r>
      <w:r w:rsidR="009C09F9">
        <w:rPr>
          <w:rFonts w:ascii="Arial" w:hAnsi="Arial" w:cs="Arial"/>
        </w:rPr>
        <w:t>be accessible to all, and did not include the standards for accessible building design</w:t>
      </w:r>
      <w:r w:rsidR="00A7188A">
        <w:rPr>
          <w:rFonts w:ascii="Arial" w:hAnsi="Arial" w:cs="Arial"/>
        </w:rPr>
        <w:t>,</w:t>
      </w:r>
      <w:r w:rsidR="00EE3A3F">
        <w:rPr>
          <w:rFonts w:ascii="Arial" w:hAnsi="Arial" w:cs="Arial"/>
        </w:rPr>
        <w:t xml:space="preserve"> proving that it only covered people.</w:t>
      </w:r>
      <w:r w:rsidR="006910BE">
        <w:rPr>
          <w:rFonts w:ascii="Arial" w:hAnsi="Arial" w:cs="Arial"/>
        </w:rPr>
        <w:t xml:space="preserve"> The current gold standard for civil rights legislation in the UK is the </w:t>
      </w:r>
      <w:r w:rsidR="002726E4">
        <w:rPr>
          <w:rFonts w:ascii="Arial" w:hAnsi="Arial" w:cs="Arial"/>
        </w:rPr>
        <w:t xml:space="preserve">Equality Act </w:t>
      </w:r>
      <w:r w:rsidR="005C6F63">
        <w:rPr>
          <w:rFonts w:ascii="Arial" w:hAnsi="Arial" w:cs="Arial"/>
        </w:rPr>
        <w:t>(</w:t>
      </w:r>
      <w:r w:rsidR="002726E4">
        <w:rPr>
          <w:rFonts w:ascii="Arial" w:hAnsi="Arial" w:cs="Arial"/>
        </w:rPr>
        <w:t>2010</w:t>
      </w:r>
      <w:r w:rsidR="005C6F63">
        <w:rPr>
          <w:rFonts w:ascii="Arial" w:hAnsi="Arial" w:cs="Arial"/>
        </w:rPr>
        <w:t>)</w:t>
      </w:r>
      <w:r w:rsidR="002726E4">
        <w:rPr>
          <w:rFonts w:ascii="Arial" w:hAnsi="Arial" w:cs="Arial"/>
        </w:rPr>
        <w:t xml:space="preserve">. Unlike previous iteration of the law, the Equality Act </w:t>
      </w:r>
      <w:r w:rsidR="005C6F63">
        <w:rPr>
          <w:rFonts w:ascii="Arial" w:hAnsi="Arial" w:cs="Arial"/>
        </w:rPr>
        <w:t>(</w:t>
      </w:r>
      <w:r w:rsidR="002726E4">
        <w:rPr>
          <w:rFonts w:ascii="Arial" w:hAnsi="Arial" w:cs="Arial"/>
        </w:rPr>
        <w:t>2010</w:t>
      </w:r>
      <w:r w:rsidR="005C6F63">
        <w:rPr>
          <w:rFonts w:ascii="Arial" w:hAnsi="Arial" w:cs="Arial"/>
        </w:rPr>
        <w:t>)</w:t>
      </w:r>
      <w:r w:rsidR="002726E4">
        <w:rPr>
          <w:rFonts w:ascii="Arial" w:hAnsi="Arial" w:cs="Arial"/>
        </w:rPr>
        <w:t xml:space="preserve"> places a proactive duty on service providers to anticipate the needs of the disabled population. Under Section 20 of the Equality Act </w:t>
      </w:r>
      <w:r w:rsidR="005C6F63">
        <w:rPr>
          <w:rFonts w:ascii="Arial" w:hAnsi="Arial" w:cs="Arial"/>
        </w:rPr>
        <w:t>(</w:t>
      </w:r>
      <w:r w:rsidR="002726E4">
        <w:rPr>
          <w:rFonts w:ascii="Arial" w:hAnsi="Arial" w:cs="Arial"/>
        </w:rPr>
        <w:t>2010</w:t>
      </w:r>
      <w:r w:rsidR="005C6F63">
        <w:rPr>
          <w:rFonts w:ascii="Arial" w:hAnsi="Arial" w:cs="Arial"/>
        </w:rPr>
        <w:t>)</w:t>
      </w:r>
      <w:r w:rsidR="002726E4">
        <w:rPr>
          <w:rFonts w:ascii="Arial" w:hAnsi="Arial" w:cs="Arial"/>
        </w:rPr>
        <w:t xml:space="preserve">, there is a </w:t>
      </w:r>
      <w:r w:rsidR="00FA7C87">
        <w:rPr>
          <w:rFonts w:ascii="Arial" w:hAnsi="Arial" w:cs="Arial"/>
        </w:rPr>
        <w:t xml:space="preserve">legal requirement to make reasonable adjustments to physical features that put disabled persons at substantial disadvantage. </w:t>
      </w:r>
      <w:r w:rsidR="00EF483A">
        <w:rPr>
          <w:rFonts w:ascii="Arial" w:hAnsi="Arial" w:cs="Arial"/>
        </w:rPr>
        <w:t xml:space="preserve">For </w:t>
      </w:r>
      <w:r w:rsidR="00FD4776">
        <w:rPr>
          <w:rFonts w:ascii="Arial" w:hAnsi="Arial" w:cs="Arial"/>
        </w:rPr>
        <w:t>architecture</w:t>
      </w:r>
      <w:r w:rsidR="00EF483A">
        <w:rPr>
          <w:rFonts w:ascii="Arial" w:hAnsi="Arial" w:cs="Arial"/>
        </w:rPr>
        <w:t xml:space="preserve">, this means that inclusivity cannot be an afterthought or a reactive </w:t>
      </w:r>
      <w:r w:rsidR="00FD4776">
        <w:rPr>
          <w:rFonts w:ascii="Arial" w:hAnsi="Arial" w:cs="Arial"/>
        </w:rPr>
        <w:t>fix but</w:t>
      </w:r>
      <w:r w:rsidR="00EF483A">
        <w:rPr>
          <w:rFonts w:ascii="Arial" w:hAnsi="Arial" w:cs="Arial"/>
        </w:rPr>
        <w:t xml:space="preserve"> instead must be embedded into the design from the start of a project. As Goldsmith (</w:t>
      </w:r>
      <w:r w:rsidR="00000FDF">
        <w:rPr>
          <w:rFonts w:ascii="Arial" w:hAnsi="Arial" w:cs="Arial"/>
        </w:rPr>
        <w:t>2000</w:t>
      </w:r>
      <w:r w:rsidR="00EF483A">
        <w:rPr>
          <w:rFonts w:ascii="Arial" w:hAnsi="Arial" w:cs="Arial"/>
        </w:rPr>
        <w:t xml:space="preserve">) </w:t>
      </w:r>
      <w:r w:rsidR="002023A3">
        <w:rPr>
          <w:rFonts w:ascii="Arial" w:hAnsi="Arial" w:cs="Arial"/>
        </w:rPr>
        <w:t>suggests</w:t>
      </w:r>
      <w:r w:rsidR="00EF483A">
        <w:rPr>
          <w:rFonts w:ascii="Arial" w:hAnsi="Arial" w:cs="Arial"/>
        </w:rPr>
        <w:t xml:space="preserve">, while the law provides a baseline, </w:t>
      </w:r>
      <w:r w:rsidR="006818D8">
        <w:rPr>
          <w:rFonts w:ascii="Arial" w:hAnsi="Arial" w:cs="Arial"/>
        </w:rPr>
        <w:t xml:space="preserve">meaningful design only occurs when the architect views these legal requirements not as a burden, but as a fundamental responsibility. </w:t>
      </w:r>
    </w:p>
    <w:p w14:paraId="23AEC84F" w14:textId="30587372" w:rsidR="003758D2" w:rsidRDefault="003758D2" w:rsidP="00343CCA">
      <w:pPr>
        <w:spacing w:line="360" w:lineRule="auto"/>
        <w:jc w:val="both"/>
        <w:rPr>
          <w:rFonts w:ascii="Arial" w:hAnsi="Arial" w:cs="Arial"/>
        </w:rPr>
      </w:pPr>
      <w:r>
        <w:rPr>
          <w:rFonts w:ascii="Arial" w:hAnsi="Arial" w:cs="Arial"/>
        </w:rPr>
        <w:t xml:space="preserve">While the Equality Act </w:t>
      </w:r>
      <w:r w:rsidR="004556AB">
        <w:rPr>
          <w:rFonts w:ascii="Arial" w:hAnsi="Arial" w:cs="Arial"/>
        </w:rPr>
        <w:t>(</w:t>
      </w:r>
      <w:r>
        <w:rPr>
          <w:rFonts w:ascii="Arial" w:hAnsi="Arial" w:cs="Arial"/>
        </w:rPr>
        <w:t>2010</w:t>
      </w:r>
      <w:r w:rsidR="004556AB">
        <w:rPr>
          <w:rFonts w:ascii="Arial" w:hAnsi="Arial" w:cs="Arial"/>
        </w:rPr>
        <w:t>)</w:t>
      </w:r>
      <w:r>
        <w:rPr>
          <w:rFonts w:ascii="Arial" w:hAnsi="Arial" w:cs="Arial"/>
        </w:rPr>
        <w:t xml:space="preserve"> provides the legal “why”, Approved Document M (2015) provides the technical </w:t>
      </w:r>
      <w:r w:rsidR="005E7BAB">
        <w:rPr>
          <w:rFonts w:ascii="Arial" w:hAnsi="Arial" w:cs="Arial"/>
        </w:rPr>
        <w:t>“how”. The document sets out the minimum requirements for the “Access to and use of buildings.” However, architectural theorists often identify a compliance gap within this framework. As Bone (1996) argues, Approved Document M is frequently treated by develope</w:t>
      </w:r>
      <w:r w:rsidR="00B7234F">
        <w:rPr>
          <w:rFonts w:ascii="Arial" w:hAnsi="Arial" w:cs="Arial"/>
        </w:rPr>
        <w:t xml:space="preserve">rs as rules that cover </w:t>
      </w:r>
      <w:r w:rsidR="004868D7">
        <w:rPr>
          <w:rFonts w:ascii="Arial" w:hAnsi="Arial" w:cs="Arial"/>
        </w:rPr>
        <w:t>everything that is relevant to access for disabilities rather than the absolute minimum standard.</w:t>
      </w:r>
    </w:p>
    <w:p w14:paraId="1F0A25B8" w14:textId="383B3E8C" w:rsidR="001A0157" w:rsidRDefault="001A0157" w:rsidP="00343CCA">
      <w:pPr>
        <w:spacing w:line="360" w:lineRule="auto"/>
        <w:jc w:val="both"/>
        <w:rPr>
          <w:rFonts w:ascii="Arial" w:hAnsi="Arial" w:cs="Arial"/>
        </w:rPr>
      </w:pPr>
      <w:r>
        <w:rPr>
          <w:rFonts w:ascii="Arial" w:hAnsi="Arial" w:cs="Arial"/>
        </w:rPr>
        <w:t xml:space="preserve">What distinguishes the </w:t>
      </w:r>
      <w:r w:rsidR="00FB1A20">
        <w:rPr>
          <w:rFonts w:ascii="Arial" w:hAnsi="Arial" w:cs="Arial"/>
        </w:rPr>
        <w:t xml:space="preserve">Wales and therefore </w:t>
      </w:r>
      <w:commentRangeStart w:id="13"/>
      <w:r>
        <w:rPr>
          <w:rFonts w:ascii="Arial" w:hAnsi="Arial" w:cs="Arial"/>
        </w:rPr>
        <w:t xml:space="preserve">Swansea </w:t>
      </w:r>
      <w:commentRangeEnd w:id="13"/>
      <w:r w:rsidR="00796238">
        <w:rPr>
          <w:rStyle w:val="CommentReference"/>
          <w:rFonts w:ascii="Arial" w:hAnsi="Arial" w:cs="Arial"/>
          <w:sz w:val="22"/>
          <w:szCs w:val="22"/>
        </w:rPr>
        <w:commentReference w:id="13"/>
      </w:r>
      <w:r>
        <w:rPr>
          <w:rFonts w:ascii="Arial" w:hAnsi="Arial" w:cs="Arial"/>
        </w:rPr>
        <w:t xml:space="preserve">context from the rest of the UK is the </w:t>
      </w:r>
      <w:r w:rsidR="00470AD2">
        <w:rPr>
          <w:rFonts w:ascii="Arial" w:hAnsi="Arial" w:cs="Arial"/>
        </w:rPr>
        <w:t>WFGA</w:t>
      </w:r>
      <w:r w:rsidR="003F418B">
        <w:rPr>
          <w:rFonts w:ascii="Arial" w:hAnsi="Arial" w:cs="Arial"/>
        </w:rPr>
        <w:t xml:space="preserve"> 2015. This unique legislation places a duty on Welsh public bodies to improve the social, economic, environmental and cultural well-being of Wales</w:t>
      </w:r>
      <w:r w:rsidR="00403599">
        <w:rPr>
          <w:rFonts w:ascii="Arial" w:hAnsi="Arial" w:cs="Arial"/>
        </w:rPr>
        <w:t>. Specifically, it aims for a more equal Wales, defined as a society that enables people to fulfil their potential regardless of their background or circumstances (Welsh Government, 2025).</w:t>
      </w:r>
      <w:r w:rsidR="007A08B7">
        <w:rPr>
          <w:rFonts w:ascii="Arial" w:hAnsi="Arial" w:cs="Arial"/>
        </w:rPr>
        <w:t xml:space="preserve"> The integration of this act into Swansea’s £1bn regeneration strategy means that projects are legally bound to </w:t>
      </w:r>
      <w:r w:rsidR="00C81688">
        <w:rPr>
          <w:rFonts w:ascii="Arial" w:hAnsi="Arial" w:cs="Arial"/>
        </w:rPr>
        <w:t xml:space="preserve">a higher standard of social sustainability (Welsh Government, 2025). Inclusion is not just about a ramp, but about the goal of creating a resilient and cohesive community. </w:t>
      </w:r>
      <w:r w:rsidR="00CF777B">
        <w:rPr>
          <w:rFonts w:ascii="Arial" w:hAnsi="Arial" w:cs="Arial"/>
        </w:rPr>
        <w:t xml:space="preserve">This act suggests that meaningful design is not </w:t>
      </w:r>
      <w:r w:rsidR="00A641C2">
        <w:rPr>
          <w:rFonts w:ascii="Arial" w:hAnsi="Arial" w:cs="Arial"/>
        </w:rPr>
        <w:t xml:space="preserve">merely an architectural choice, </w:t>
      </w:r>
      <w:r w:rsidR="00666D3F">
        <w:rPr>
          <w:rFonts w:ascii="Arial" w:hAnsi="Arial" w:cs="Arial"/>
        </w:rPr>
        <w:t xml:space="preserve">but a </w:t>
      </w:r>
      <w:r w:rsidR="00EB44C4">
        <w:rPr>
          <w:rFonts w:ascii="Arial" w:hAnsi="Arial" w:cs="Arial"/>
        </w:rPr>
        <w:t>localised legislative mandate that proves to create a more inclusive city.</w:t>
      </w:r>
    </w:p>
    <w:p w14:paraId="4A133D4F" w14:textId="77777777" w:rsidR="00F65EF9" w:rsidRPr="00E80B43" w:rsidRDefault="00F65EF9" w:rsidP="00343CCA">
      <w:pPr>
        <w:spacing w:line="360" w:lineRule="auto"/>
        <w:jc w:val="both"/>
        <w:rPr>
          <w:rFonts w:ascii="Arial" w:hAnsi="Arial" w:cs="Arial"/>
        </w:rPr>
      </w:pPr>
    </w:p>
    <w:p w14:paraId="411067D9" w14:textId="2D740041" w:rsidR="00343CCA" w:rsidRDefault="00343CCA" w:rsidP="00343CCA">
      <w:pPr>
        <w:pStyle w:val="Heading2"/>
        <w:spacing w:line="360" w:lineRule="auto"/>
        <w:jc w:val="both"/>
        <w:rPr>
          <w:rFonts w:ascii="Arial" w:hAnsi="Arial" w:cs="Arial"/>
          <w:sz w:val="28"/>
          <w:szCs w:val="28"/>
        </w:rPr>
      </w:pPr>
      <w:bookmarkStart w:id="14" w:name="_Toc228359238"/>
      <w:r>
        <w:rPr>
          <w:rFonts w:ascii="Arial" w:hAnsi="Arial" w:cs="Arial"/>
          <w:sz w:val="28"/>
          <w:szCs w:val="28"/>
        </w:rPr>
        <w:lastRenderedPageBreak/>
        <w:t>2.</w:t>
      </w:r>
      <w:r w:rsidR="00A36B2A">
        <w:rPr>
          <w:rFonts w:ascii="Arial" w:hAnsi="Arial" w:cs="Arial"/>
          <w:sz w:val="28"/>
          <w:szCs w:val="28"/>
        </w:rPr>
        <w:t>3</w:t>
      </w:r>
      <w:r>
        <w:rPr>
          <w:rFonts w:ascii="Arial" w:hAnsi="Arial" w:cs="Arial"/>
          <w:sz w:val="28"/>
          <w:szCs w:val="28"/>
        </w:rPr>
        <w:t>:</w:t>
      </w:r>
      <w:r w:rsidR="0094760C">
        <w:rPr>
          <w:rFonts w:ascii="Arial" w:hAnsi="Arial" w:cs="Arial"/>
          <w:sz w:val="28"/>
          <w:szCs w:val="28"/>
        </w:rPr>
        <w:t xml:space="preserve"> </w:t>
      </w:r>
      <w:r w:rsidR="00FA2FD1" w:rsidRPr="00FA2FD1">
        <w:rPr>
          <w:rFonts w:ascii="Arial" w:hAnsi="Arial" w:cs="Arial"/>
          <w:sz w:val="28"/>
          <w:szCs w:val="28"/>
        </w:rPr>
        <w:t>Theoretical Frameworks</w:t>
      </w:r>
      <w:bookmarkEnd w:id="14"/>
    </w:p>
    <w:p w14:paraId="16312930" w14:textId="7B0BAFC8" w:rsidR="0032521C" w:rsidRPr="0032521C" w:rsidRDefault="0032521C" w:rsidP="0032521C">
      <w:pPr>
        <w:pStyle w:val="Heading2"/>
        <w:spacing w:line="360" w:lineRule="auto"/>
        <w:rPr>
          <w:rFonts w:ascii="Arial" w:hAnsi="Arial" w:cs="Arial"/>
        </w:rPr>
      </w:pPr>
      <w:bookmarkStart w:id="15" w:name="_Toc228359239"/>
      <w:r w:rsidRPr="0032521C">
        <w:rPr>
          <w:rFonts w:ascii="Arial" w:hAnsi="Arial" w:cs="Arial"/>
        </w:rPr>
        <w:t>2.3.1 – The Evolution of Universal Design</w:t>
      </w:r>
      <w:bookmarkEnd w:id="15"/>
    </w:p>
    <w:p w14:paraId="1BA82321" w14:textId="03A18B30" w:rsidR="00FC7750" w:rsidRDefault="001E152F" w:rsidP="00343CCA">
      <w:pPr>
        <w:spacing w:line="360" w:lineRule="auto"/>
        <w:jc w:val="both"/>
        <w:rPr>
          <w:rFonts w:ascii="Arial" w:hAnsi="Arial" w:cs="Arial"/>
        </w:rPr>
      </w:pPr>
      <w:r>
        <w:rPr>
          <w:rFonts w:ascii="Arial" w:hAnsi="Arial" w:cs="Arial"/>
        </w:rPr>
        <w:t>The term UD was coined by Mace</w:t>
      </w:r>
      <w:r w:rsidR="00AE36F0">
        <w:rPr>
          <w:rFonts w:ascii="Arial" w:hAnsi="Arial" w:cs="Arial"/>
        </w:rPr>
        <w:t xml:space="preserve"> </w:t>
      </w:r>
      <w:r w:rsidR="00A110D3">
        <w:rPr>
          <w:rFonts w:ascii="Arial" w:hAnsi="Arial" w:cs="Arial"/>
        </w:rPr>
        <w:t xml:space="preserve">in the 1980s, </w:t>
      </w:r>
      <w:r w:rsidR="0060131B">
        <w:rPr>
          <w:rFonts w:ascii="Arial" w:hAnsi="Arial" w:cs="Arial"/>
        </w:rPr>
        <w:t>who stated,</w:t>
      </w:r>
      <w:r w:rsidR="00A110D3">
        <w:rPr>
          <w:rFonts w:ascii="Arial" w:hAnsi="Arial" w:cs="Arial"/>
        </w:rPr>
        <w:t xml:space="preserve"> “</w:t>
      </w:r>
      <w:r w:rsidR="00BE1E6D">
        <w:rPr>
          <w:rFonts w:ascii="Arial" w:hAnsi="Arial" w:cs="Arial"/>
        </w:rPr>
        <w:t>Universal</w:t>
      </w:r>
      <w:r w:rsidR="00A110D3">
        <w:rPr>
          <w:rFonts w:ascii="Arial" w:hAnsi="Arial" w:cs="Arial"/>
        </w:rPr>
        <w:t xml:space="preserve"> design means simply designing all products, buildings and exterior spaces to be usable by all people to the greatest extent possible</w:t>
      </w:r>
      <w:r w:rsidR="00E272DB">
        <w:rPr>
          <w:rFonts w:ascii="Arial" w:hAnsi="Arial" w:cs="Arial"/>
        </w:rPr>
        <w:t>” (</w:t>
      </w:r>
      <w:commentRangeStart w:id="16"/>
      <w:r w:rsidR="00E272DB">
        <w:rPr>
          <w:rFonts w:ascii="Arial" w:hAnsi="Arial" w:cs="Arial"/>
        </w:rPr>
        <w:t>Mace, 198</w:t>
      </w:r>
      <w:r w:rsidR="00697241">
        <w:rPr>
          <w:rFonts w:ascii="Arial" w:hAnsi="Arial" w:cs="Arial"/>
        </w:rPr>
        <w:t>5</w:t>
      </w:r>
      <w:commentRangeEnd w:id="16"/>
      <w:r w:rsidR="0000679C">
        <w:rPr>
          <w:rStyle w:val="CommentReference"/>
          <w:rFonts w:ascii="Arial" w:hAnsi="Arial" w:cs="Arial"/>
          <w:sz w:val="22"/>
          <w:szCs w:val="22"/>
        </w:rPr>
        <w:commentReference w:id="16"/>
      </w:r>
      <w:r w:rsidR="005E0DDB">
        <w:rPr>
          <w:rFonts w:ascii="Arial" w:hAnsi="Arial" w:cs="Arial"/>
        </w:rPr>
        <w:t>, p.2</w:t>
      </w:r>
      <w:r w:rsidR="00E272DB">
        <w:rPr>
          <w:rFonts w:ascii="Arial" w:hAnsi="Arial" w:cs="Arial"/>
        </w:rPr>
        <w:t xml:space="preserve">). </w:t>
      </w:r>
      <w:r w:rsidR="00697241">
        <w:rPr>
          <w:rFonts w:ascii="Arial" w:hAnsi="Arial" w:cs="Arial"/>
        </w:rPr>
        <w:t>Since then, many authors have adapted Mace’s definition</w:t>
      </w:r>
      <w:r w:rsidR="003A70D1">
        <w:rPr>
          <w:rFonts w:ascii="Arial" w:hAnsi="Arial" w:cs="Arial"/>
        </w:rPr>
        <w:t xml:space="preserve"> of UD to </w:t>
      </w:r>
      <w:r w:rsidR="00CB3BAE">
        <w:rPr>
          <w:rFonts w:ascii="Arial" w:hAnsi="Arial" w:cs="Arial"/>
        </w:rPr>
        <w:t>adjust to the evolving population.</w:t>
      </w:r>
      <w:r w:rsidR="00B10707">
        <w:rPr>
          <w:rFonts w:ascii="Arial" w:hAnsi="Arial" w:cs="Arial"/>
        </w:rPr>
        <w:t xml:space="preserve"> </w:t>
      </w:r>
      <w:r w:rsidR="00FC7750">
        <w:rPr>
          <w:rFonts w:ascii="Arial" w:hAnsi="Arial" w:cs="Arial"/>
        </w:rPr>
        <w:t>According</w:t>
      </w:r>
      <w:r w:rsidR="005B795D">
        <w:rPr>
          <w:rFonts w:ascii="Arial" w:hAnsi="Arial" w:cs="Arial"/>
        </w:rPr>
        <w:t xml:space="preserve"> to the Universal Design Handbook, UD is a concept that </w:t>
      </w:r>
      <w:r w:rsidR="00FC7750">
        <w:rPr>
          <w:rFonts w:ascii="Arial" w:hAnsi="Arial" w:cs="Arial"/>
        </w:rPr>
        <w:t>extends</w:t>
      </w:r>
      <w:r w:rsidR="005B795D">
        <w:rPr>
          <w:rFonts w:ascii="Arial" w:hAnsi="Arial" w:cs="Arial"/>
        </w:rPr>
        <w:t xml:space="preserve"> beyond physical accessibility to address the social, cultural and economic factors that unite people of all physical and mental abilities</w:t>
      </w:r>
      <w:r w:rsidR="00402AF0">
        <w:rPr>
          <w:rFonts w:ascii="Arial" w:hAnsi="Arial" w:cs="Arial"/>
        </w:rPr>
        <w:t xml:space="preserve"> </w:t>
      </w:r>
      <w:r w:rsidR="00402AF0">
        <w:rPr>
          <w:rFonts w:ascii="Arial" w:hAnsi="Arial" w:cs="Arial"/>
        </w:rPr>
        <w:t>(Preiser and Smith, 2011)</w:t>
      </w:r>
      <w:r w:rsidR="00402AF0">
        <w:rPr>
          <w:rFonts w:ascii="Arial" w:hAnsi="Arial" w:cs="Arial"/>
        </w:rPr>
        <w:t>.</w:t>
      </w:r>
      <w:r w:rsidR="005B795D">
        <w:rPr>
          <w:rFonts w:ascii="Arial" w:hAnsi="Arial" w:cs="Arial"/>
        </w:rPr>
        <w:t xml:space="preserve"> It is an approach that seeks to strengthen </w:t>
      </w:r>
      <w:r w:rsidR="006D4045">
        <w:rPr>
          <w:rFonts w:ascii="Arial" w:hAnsi="Arial" w:cs="Arial"/>
        </w:rPr>
        <w:t>alleged weak components of society</w:t>
      </w:r>
      <w:r w:rsidR="00FC7750">
        <w:rPr>
          <w:rFonts w:ascii="Arial" w:hAnsi="Arial" w:cs="Arial"/>
        </w:rPr>
        <w:t xml:space="preserve"> by valuing and celebrating human diversity (Preiser and Smith, 2011).</w:t>
      </w:r>
      <w:r w:rsidR="002C697F">
        <w:rPr>
          <w:rFonts w:ascii="Arial" w:hAnsi="Arial" w:cs="Arial"/>
        </w:rPr>
        <w:t xml:space="preserve"> </w:t>
      </w:r>
    </w:p>
    <w:p w14:paraId="7F9B9E2D" w14:textId="2DB5FE68" w:rsidR="00D02190" w:rsidRDefault="00D02190" w:rsidP="00343CCA">
      <w:pPr>
        <w:spacing w:line="360" w:lineRule="auto"/>
        <w:jc w:val="both"/>
        <w:rPr>
          <w:rFonts w:ascii="Arial" w:hAnsi="Arial" w:cs="Arial"/>
        </w:rPr>
      </w:pPr>
      <w:r>
        <w:rPr>
          <w:rFonts w:ascii="Arial" w:hAnsi="Arial" w:cs="Arial"/>
        </w:rPr>
        <w:t xml:space="preserve">A key theoretical pillar of modern UD </w:t>
      </w:r>
      <w:r w:rsidR="00FB4EFC">
        <w:rPr>
          <w:rFonts w:ascii="Arial" w:hAnsi="Arial" w:cs="Arial"/>
        </w:rPr>
        <w:t>is the curb-cut effect (Blackwell, 2017). This principle suggests than an architectural intervention designed for those at the margins of physical and sensory ability ultimately provides a superior experience for the entire population (Blackwell, 2017). Rather than viewing accessibility as a burden for a specific minority, this theory frame inclusion as a catalyst for overall architectural quality</w:t>
      </w:r>
      <w:r w:rsidR="00235082">
        <w:rPr>
          <w:rFonts w:ascii="Arial" w:hAnsi="Arial" w:cs="Arial"/>
        </w:rPr>
        <w:t xml:space="preserve">. A </w:t>
      </w:r>
      <w:r w:rsidR="002744FA">
        <w:rPr>
          <w:rFonts w:ascii="Arial" w:hAnsi="Arial" w:cs="Arial"/>
        </w:rPr>
        <w:t>well-designed</w:t>
      </w:r>
      <w:r w:rsidR="00235082">
        <w:rPr>
          <w:rFonts w:ascii="Arial" w:hAnsi="Arial" w:cs="Arial"/>
        </w:rPr>
        <w:t xml:space="preserve"> ramp or </w:t>
      </w:r>
      <w:r w:rsidR="0058229F">
        <w:rPr>
          <w:rFonts w:ascii="Arial" w:hAnsi="Arial" w:cs="Arial"/>
        </w:rPr>
        <w:t xml:space="preserve">an intuitive floorplan does not merely assist a mobility aid user, but it facilitates the body </w:t>
      </w:r>
      <w:r w:rsidR="002744FA">
        <w:rPr>
          <w:rFonts w:ascii="Arial" w:hAnsi="Arial" w:cs="Arial"/>
        </w:rPr>
        <w:t xml:space="preserve">ballet (Seamon, 1979) of every user, from parents with prams to visitors experiencing navigational anxiety. As </w:t>
      </w:r>
      <w:r w:rsidR="00931299">
        <w:rPr>
          <w:rFonts w:ascii="Arial" w:hAnsi="Arial" w:cs="Arial"/>
        </w:rPr>
        <w:t>established by Seamon (1979), body ballet refers to the integrated behaviours and gestures that the body performs habitually in a space</w:t>
      </w:r>
      <w:r w:rsidR="009C52F7">
        <w:rPr>
          <w:rFonts w:ascii="Arial" w:hAnsi="Arial" w:cs="Arial"/>
        </w:rPr>
        <w:t>.</w:t>
      </w:r>
      <w:r w:rsidR="00C21396">
        <w:rPr>
          <w:rFonts w:ascii="Arial" w:hAnsi="Arial" w:cs="Arial"/>
        </w:rPr>
        <w:t xml:space="preserve"> </w:t>
      </w:r>
      <w:r w:rsidR="009C52F7">
        <w:rPr>
          <w:rFonts w:ascii="Arial" w:hAnsi="Arial" w:cs="Arial"/>
        </w:rPr>
        <w:t>I</w:t>
      </w:r>
      <w:r w:rsidR="00C21396">
        <w:rPr>
          <w:rFonts w:ascii="Arial" w:hAnsi="Arial" w:cs="Arial"/>
        </w:rPr>
        <w:t>t is not something the user has to think about</w:t>
      </w:r>
      <w:r w:rsidR="009C52F7">
        <w:rPr>
          <w:rFonts w:ascii="Arial" w:hAnsi="Arial" w:cs="Arial"/>
        </w:rPr>
        <w:t>, r</w:t>
      </w:r>
      <w:r w:rsidR="00C21396">
        <w:rPr>
          <w:rFonts w:ascii="Arial" w:hAnsi="Arial" w:cs="Arial"/>
        </w:rPr>
        <w:t xml:space="preserve">ather, it is a subconscious, rhythmic coordination of movement. </w:t>
      </w:r>
    </w:p>
    <w:p w14:paraId="6F1373D8" w14:textId="3D8441FE" w:rsidR="0032521C" w:rsidRDefault="0032521C" w:rsidP="0032521C">
      <w:pPr>
        <w:pStyle w:val="Heading2"/>
        <w:spacing w:line="360" w:lineRule="auto"/>
        <w:rPr>
          <w:rFonts w:ascii="Arial" w:hAnsi="Arial" w:cs="Arial"/>
        </w:rPr>
      </w:pPr>
      <w:bookmarkStart w:id="17" w:name="_Toc228359240"/>
      <w:r w:rsidRPr="0032521C">
        <w:rPr>
          <w:rFonts w:ascii="Arial" w:hAnsi="Arial" w:cs="Arial"/>
        </w:rPr>
        <w:t>2.3.</w:t>
      </w:r>
      <w:r>
        <w:rPr>
          <w:rFonts w:ascii="Arial" w:hAnsi="Arial" w:cs="Arial"/>
        </w:rPr>
        <w:t>2</w:t>
      </w:r>
      <w:r w:rsidRPr="0032521C">
        <w:rPr>
          <w:rFonts w:ascii="Arial" w:hAnsi="Arial" w:cs="Arial"/>
        </w:rPr>
        <w:t xml:space="preserve"> – </w:t>
      </w:r>
      <w:r>
        <w:rPr>
          <w:rFonts w:ascii="Arial" w:hAnsi="Arial" w:cs="Arial"/>
        </w:rPr>
        <w:t>From the Medical to the Social Model</w:t>
      </w:r>
      <w:bookmarkEnd w:id="17"/>
    </w:p>
    <w:p w14:paraId="22784CE0" w14:textId="3A75DF6F" w:rsidR="00136310" w:rsidRDefault="00136310" w:rsidP="00136310">
      <w:pPr>
        <w:spacing w:line="360" w:lineRule="auto"/>
        <w:rPr>
          <w:rFonts w:ascii="Arial" w:hAnsi="Arial" w:cs="Arial"/>
        </w:rPr>
      </w:pPr>
      <w:r>
        <w:rPr>
          <w:rFonts w:ascii="Arial" w:hAnsi="Arial" w:cs="Arial"/>
        </w:rPr>
        <w:t xml:space="preserve">To critically evaluate the inclusive performance of the built environment, one must distinguish between the </w:t>
      </w:r>
      <w:r w:rsidR="0073070A">
        <w:rPr>
          <w:rFonts w:ascii="Arial" w:hAnsi="Arial" w:cs="Arial"/>
        </w:rPr>
        <w:t>model</w:t>
      </w:r>
      <w:r w:rsidR="00272B39">
        <w:rPr>
          <w:rFonts w:ascii="Arial" w:hAnsi="Arial" w:cs="Arial"/>
        </w:rPr>
        <w:t>s</w:t>
      </w:r>
      <w:r w:rsidR="0073070A">
        <w:rPr>
          <w:rFonts w:ascii="Arial" w:hAnsi="Arial" w:cs="Arial"/>
        </w:rPr>
        <w:t xml:space="preserve"> of disability</w:t>
      </w:r>
      <w:r w:rsidR="008A0421">
        <w:rPr>
          <w:rFonts w:ascii="Arial" w:hAnsi="Arial" w:cs="Arial"/>
        </w:rPr>
        <w:t xml:space="preserve">. Traditionally, architecture was guided by the medical model, which views disability as an individual deficit or a biological problem to be managed through specialised, often segregated </w:t>
      </w:r>
      <w:r w:rsidR="009510D7">
        <w:rPr>
          <w:rFonts w:ascii="Arial" w:hAnsi="Arial" w:cs="Arial"/>
        </w:rPr>
        <w:t xml:space="preserve">facilities (Oliver, 2013). In contrast, the social model of disability was championed by Oliver (2013), </w:t>
      </w:r>
      <w:r w:rsidR="00657037">
        <w:rPr>
          <w:rFonts w:ascii="Arial" w:hAnsi="Arial" w:cs="Arial"/>
        </w:rPr>
        <w:t xml:space="preserve">who posits that people are not disabled by their physical or cognitive </w:t>
      </w:r>
      <w:r w:rsidR="00B14440">
        <w:rPr>
          <w:rFonts w:ascii="Arial" w:hAnsi="Arial" w:cs="Arial"/>
        </w:rPr>
        <w:t>impairments</w:t>
      </w:r>
      <w:r w:rsidR="00657037">
        <w:rPr>
          <w:rFonts w:ascii="Arial" w:hAnsi="Arial" w:cs="Arial"/>
        </w:rPr>
        <w:t>, but by the systematic barriers and exclusionary practices of the society in which they live</w:t>
      </w:r>
      <w:r w:rsidR="00BA14C4">
        <w:rPr>
          <w:rFonts w:ascii="Arial" w:hAnsi="Arial" w:cs="Arial"/>
        </w:rPr>
        <w:t xml:space="preserve">. Under this framework, a building is essentially disabling if it fails to account for the diverse ways in which humans interact with space. This theoretical shift moves the responsibility away from the user to adapt to the </w:t>
      </w:r>
      <w:r w:rsidR="00E85A28">
        <w:rPr>
          <w:rFonts w:ascii="Arial" w:hAnsi="Arial" w:cs="Arial"/>
        </w:rPr>
        <w:t>building and</w:t>
      </w:r>
      <w:r w:rsidR="00BA14C4">
        <w:rPr>
          <w:rFonts w:ascii="Arial" w:hAnsi="Arial" w:cs="Arial"/>
        </w:rPr>
        <w:t xml:space="preserve"> instead places the duty on the architect to remove </w:t>
      </w:r>
      <w:r w:rsidR="00B14440">
        <w:rPr>
          <w:rFonts w:ascii="Arial" w:hAnsi="Arial" w:cs="Arial"/>
        </w:rPr>
        <w:t>environmental disablers that prevent equal participation.</w:t>
      </w:r>
    </w:p>
    <w:p w14:paraId="335A3B40" w14:textId="29B8EBF7" w:rsidR="00E701E7" w:rsidRPr="00802BBB" w:rsidRDefault="00E701E7" w:rsidP="00E701E7">
      <w:pPr>
        <w:pStyle w:val="Heading2"/>
        <w:spacing w:line="360" w:lineRule="auto"/>
        <w:jc w:val="both"/>
        <w:rPr>
          <w:rFonts w:ascii="Arial" w:hAnsi="Arial" w:cs="Arial"/>
          <w:sz w:val="28"/>
          <w:szCs w:val="28"/>
        </w:rPr>
      </w:pPr>
      <w:bookmarkStart w:id="18" w:name="_Toc228359241"/>
      <w:r>
        <w:rPr>
          <w:rFonts w:ascii="Arial" w:hAnsi="Arial" w:cs="Arial"/>
          <w:sz w:val="28"/>
          <w:szCs w:val="28"/>
        </w:rPr>
        <w:lastRenderedPageBreak/>
        <w:t>2.</w:t>
      </w:r>
      <w:r>
        <w:rPr>
          <w:rFonts w:ascii="Arial" w:hAnsi="Arial" w:cs="Arial"/>
          <w:sz w:val="28"/>
          <w:szCs w:val="28"/>
        </w:rPr>
        <w:t>4</w:t>
      </w:r>
      <w:r>
        <w:rPr>
          <w:rFonts w:ascii="Arial" w:hAnsi="Arial" w:cs="Arial"/>
          <w:sz w:val="28"/>
          <w:szCs w:val="28"/>
        </w:rPr>
        <w:t>: Demographic Context</w:t>
      </w:r>
      <w:bookmarkEnd w:id="18"/>
    </w:p>
    <w:p w14:paraId="279FCC3C" w14:textId="77777777" w:rsidR="00E701E7" w:rsidRDefault="00E701E7" w:rsidP="00E701E7">
      <w:pPr>
        <w:spacing w:line="360" w:lineRule="auto"/>
        <w:jc w:val="both"/>
        <w:rPr>
          <w:rFonts w:ascii="Arial" w:hAnsi="Arial" w:cs="Arial"/>
        </w:rPr>
      </w:pPr>
      <w:r>
        <w:rPr>
          <w:rFonts w:ascii="Arial" w:hAnsi="Arial" w:cs="Arial"/>
        </w:rPr>
        <w:t xml:space="preserve">To understand the necessity of meaningful architecture, the built environment must be analysed alongside the demographic reality of its users. Disability is not a niche consideration; it is a significant characteristic of the contemporary UK population. According to the Office for National Statistics (2022), approximately 17.8% (10.4 million) of the population in England and Wales were identified as disabled under the Equality Act definition. Within the Welsh context, data from the 2021 Census reveals that 22.4% of Swansea’s population (53,500 people) are identified as disabled under the Equality Act (2010), comprising those whose daily activities are limited a lot (11.2%) or a little (11.2%) (Office for National Statistics, 2022). This figure is significantly higher than the 17.8% average for England and Wales, highlighting a heightened local requirement for meaningful architecture intervention.  </w:t>
      </w:r>
    </w:p>
    <w:p w14:paraId="386AE64D" w14:textId="6EC22D6A" w:rsidR="00E701E7" w:rsidRDefault="00E701E7" w:rsidP="00E701E7">
      <w:pPr>
        <w:spacing w:line="360" w:lineRule="auto"/>
        <w:jc w:val="both"/>
        <w:rPr>
          <w:rFonts w:ascii="Arial" w:hAnsi="Arial" w:cs="Arial"/>
        </w:rPr>
      </w:pPr>
      <w:r>
        <w:rPr>
          <w:rFonts w:ascii="Arial" w:hAnsi="Arial" w:cs="Arial"/>
        </w:rPr>
        <w:t xml:space="preserve">While Oliver’s (1990) Social Model of Disability identifies environmental barriers as the primary cause of exclusion, architectural practice has historically suffered from a mobility centric bias. This focus often prioritises visible physical disabilities, such as wheelchair use, at the expense of those who’s disabilities are invisible. Research indicates that globally 1 in 6 people live with a disability, with an estimate that 70% to 80% of disabilities are non-visible, including sensory processing disorders, chronic pain and neurodivergent conditions (Hidden Disabilities, 2026). By focusing on physical clearances, architects risk falling into what Hamraie (2017) describes as normative design, where the environment is built for a standard sensory profile, effectively excluding those with diverse cognitive and neurological needs. These statistics serve as a critical evaluation of the compliance gap in architecture. If almost one quarter of Swansea’s residents have a disability, yet only a small fraction utilises visible mobility aids, then a traditional tick box compliance like Approved Document M is statistically </w:t>
      </w:r>
      <w:r w:rsidR="00EB71BA">
        <w:rPr>
          <w:rFonts w:ascii="Arial" w:hAnsi="Arial" w:cs="Arial"/>
        </w:rPr>
        <w:t>insufficient.</w:t>
      </w:r>
      <w:r>
        <w:rPr>
          <w:rFonts w:ascii="Arial" w:hAnsi="Arial" w:cs="Arial"/>
        </w:rPr>
        <w:t xml:space="preserve"> Thus, the high prevalence of non-visible disability in Swansea acts as a mandate, it proves that sensory and cognitive performance is not a design extra but instead should be a fundamental requirement for the functional successes of civic buildings.</w:t>
      </w:r>
    </w:p>
    <w:p w14:paraId="193DB347" w14:textId="77777777" w:rsidR="0032521C" w:rsidRDefault="0032521C" w:rsidP="00343CCA">
      <w:pPr>
        <w:spacing w:line="360" w:lineRule="auto"/>
        <w:jc w:val="both"/>
        <w:rPr>
          <w:rFonts w:ascii="Arial" w:hAnsi="Arial" w:cs="Arial"/>
        </w:rPr>
      </w:pPr>
    </w:p>
    <w:p w14:paraId="3DF8FB19" w14:textId="741750BC" w:rsidR="00A36B2A" w:rsidRPr="0029053D" w:rsidRDefault="00A36B2A" w:rsidP="00A36B2A">
      <w:pPr>
        <w:pStyle w:val="Heading2"/>
        <w:spacing w:line="360" w:lineRule="auto"/>
        <w:jc w:val="both"/>
        <w:rPr>
          <w:rFonts w:ascii="Arial" w:hAnsi="Arial" w:cs="Arial"/>
          <w:sz w:val="28"/>
          <w:szCs w:val="28"/>
        </w:rPr>
      </w:pPr>
      <w:bookmarkStart w:id="19" w:name="_Toc228359242"/>
      <w:r>
        <w:rPr>
          <w:rFonts w:ascii="Arial" w:hAnsi="Arial" w:cs="Arial"/>
          <w:sz w:val="28"/>
          <w:szCs w:val="28"/>
        </w:rPr>
        <w:t>2.</w:t>
      </w:r>
      <w:r w:rsidR="00E701E7">
        <w:rPr>
          <w:rFonts w:ascii="Arial" w:hAnsi="Arial" w:cs="Arial"/>
          <w:sz w:val="28"/>
          <w:szCs w:val="28"/>
        </w:rPr>
        <w:t>5</w:t>
      </w:r>
      <w:r>
        <w:rPr>
          <w:rFonts w:ascii="Arial" w:hAnsi="Arial" w:cs="Arial"/>
          <w:sz w:val="28"/>
          <w:szCs w:val="28"/>
        </w:rPr>
        <w:t xml:space="preserve">: </w:t>
      </w:r>
      <w:r w:rsidR="00684F93">
        <w:rPr>
          <w:rFonts w:ascii="Arial" w:hAnsi="Arial" w:cs="Arial"/>
          <w:sz w:val="28"/>
          <w:szCs w:val="28"/>
        </w:rPr>
        <w:t>Sensory Turn and Cognitive Inclusion</w:t>
      </w:r>
      <w:bookmarkEnd w:id="19"/>
    </w:p>
    <w:p w14:paraId="68436972" w14:textId="6BBF53B0" w:rsidR="003E1F9E" w:rsidRDefault="00B12F5C" w:rsidP="00A36B2A">
      <w:pPr>
        <w:spacing w:line="360" w:lineRule="auto"/>
        <w:jc w:val="both"/>
        <w:rPr>
          <w:rFonts w:ascii="Arial" w:hAnsi="Arial" w:cs="Arial"/>
        </w:rPr>
      </w:pPr>
      <w:r>
        <w:rPr>
          <w:rFonts w:ascii="Arial" w:hAnsi="Arial" w:cs="Arial"/>
        </w:rPr>
        <w:t xml:space="preserve">While traditional accessibility discourse has focused heavily on physical mobility, contemporary theory has undergone a sensory turn that acknowledges the diversity of human perception. </w:t>
      </w:r>
      <w:r w:rsidR="00B121A2">
        <w:rPr>
          <w:rFonts w:ascii="Arial" w:hAnsi="Arial" w:cs="Arial"/>
        </w:rPr>
        <w:t>For a design to be meaningful, it must move beyond physical, visual qualities and address the invisible atmospheric qualities of a space, including acoustics, lighting and cognitive legibility.</w:t>
      </w:r>
      <w:r w:rsidR="00521648">
        <w:rPr>
          <w:rFonts w:ascii="Arial" w:hAnsi="Arial" w:cs="Arial"/>
        </w:rPr>
        <w:t xml:space="preserve"> </w:t>
      </w:r>
      <w:r w:rsidR="00D13E69">
        <w:rPr>
          <w:rFonts w:ascii="Arial" w:hAnsi="Arial" w:cs="Arial"/>
        </w:rPr>
        <w:t xml:space="preserve">A primary critique of modern architecture is its </w:t>
      </w:r>
      <w:r w:rsidR="004D0407">
        <w:rPr>
          <w:rFonts w:ascii="Arial" w:hAnsi="Arial" w:cs="Arial"/>
        </w:rPr>
        <w:t>ocular centric bias</w:t>
      </w:r>
      <w:r w:rsidR="00E8778C">
        <w:rPr>
          <w:rFonts w:ascii="Arial" w:hAnsi="Arial" w:cs="Arial"/>
        </w:rPr>
        <w:t xml:space="preserve">, the tendency to prioritise visual </w:t>
      </w:r>
      <w:r w:rsidR="00CF2907">
        <w:rPr>
          <w:rFonts w:ascii="Arial" w:hAnsi="Arial" w:cs="Arial"/>
        </w:rPr>
        <w:t>aesthetes</w:t>
      </w:r>
      <w:r w:rsidR="00E8778C">
        <w:rPr>
          <w:rFonts w:ascii="Arial" w:hAnsi="Arial" w:cs="Arial"/>
        </w:rPr>
        <w:t xml:space="preserve"> over all other senses (Pallasmaa, 2005). Pallasmaa (2005) argues in The Eyes of the Skin that </w:t>
      </w:r>
      <w:r w:rsidR="00D5688F">
        <w:rPr>
          <w:rFonts w:ascii="Arial" w:hAnsi="Arial" w:cs="Arial"/>
        </w:rPr>
        <w:t xml:space="preserve">the obsession with the visual image detaches the </w:t>
      </w:r>
      <w:r w:rsidR="00D5688F">
        <w:rPr>
          <w:rFonts w:ascii="Arial" w:hAnsi="Arial" w:cs="Arial"/>
        </w:rPr>
        <w:lastRenderedPageBreak/>
        <w:t xml:space="preserve">user form the environment. </w:t>
      </w:r>
      <w:r w:rsidR="00BA320E">
        <w:rPr>
          <w:rFonts w:ascii="Arial" w:hAnsi="Arial" w:cs="Arial"/>
        </w:rPr>
        <w:t>Th</w:t>
      </w:r>
      <w:r w:rsidR="00922380">
        <w:rPr>
          <w:rFonts w:ascii="Arial" w:hAnsi="Arial" w:cs="Arial"/>
        </w:rPr>
        <w:t xml:space="preserve">us, for individuals with visual impairments or sensory processing sensitivity, a building that only works visually can be exclusionary or even hostile. </w:t>
      </w:r>
      <w:r w:rsidR="00E43D24">
        <w:rPr>
          <w:rFonts w:ascii="Arial" w:hAnsi="Arial" w:cs="Arial"/>
        </w:rPr>
        <w:t xml:space="preserve"> Pallasmaa</w:t>
      </w:r>
      <w:r w:rsidR="0068343E">
        <w:rPr>
          <w:rFonts w:ascii="Arial" w:hAnsi="Arial" w:cs="Arial"/>
        </w:rPr>
        <w:t xml:space="preserve">’s (2005) theory suggests that architecture should be haptic and </w:t>
      </w:r>
      <w:r w:rsidR="00FA2007">
        <w:rPr>
          <w:rFonts w:ascii="Arial" w:hAnsi="Arial" w:cs="Arial"/>
        </w:rPr>
        <w:t>multi-sensory</w:t>
      </w:r>
      <w:r w:rsidR="005E309D">
        <w:rPr>
          <w:rFonts w:ascii="Arial" w:hAnsi="Arial" w:cs="Arial"/>
        </w:rPr>
        <w:t>.</w:t>
      </w:r>
      <w:r w:rsidR="00C8207B">
        <w:rPr>
          <w:rFonts w:ascii="Arial" w:hAnsi="Arial" w:cs="Arial"/>
        </w:rPr>
        <w:t xml:space="preserve"> </w:t>
      </w:r>
      <w:r w:rsidR="005256A4">
        <w:rPr>
          <w:rFonts w:ascii="Arial" w:hAnsi="Arial" w:cs="Arial"/>
        </w:rPr>
        <w:t>This detachment is specifically exclusionary for the 1,100 residents in Swans</w:t>
      </w:r>
      <w:r w:rsidR="00C4661B">
        <w:rPr>
          <w:rFonts w:ascii="Arial" w:hAnsi="Arial" w:cs="Arial"/>
        </w:rPr>
        <w:t xml:space="preserve">ea </w:t>
      </w:r>
      <w:r w:rsidR="00A31B26">
        <w:rPr>
          <w:rFonts w:ascii="Arial" w:hAnsi="Arial" w:cs="Arial"/>
        </w:rPr>
        <w:t xml:space="preserve">living with severe sight loss (RNIB, 2024), for whom architectural navigation relies on tactile and acoustic </w:t>
      </w:r>
      <w:r w:rsidR="00F922D6">
        <w:rPr>
          <w:rFonts w:ascii="Arial" w:hAnsi="Arial" w:cs="Arial"/>
        </w:rPr>
        <w:t>cues</w:t>
      </w:r>
      <w:r w:rsidR="00A31B26">
        <w:rPr>
          <w:rFonts w:ascii="Arial" w:hAnsi="Arial" w:cs="Arial"/>
        </w:rPr>
        <w:t xml:space="preserve"> rather than visual spectacle.</w:t>
      </w:r>
    </w:p>
    <w:p w14:paraId="08A8D2AF" w14:textId="687984A1" w:rsidR="00A36B2A" w:rsidRDefault="00BF6281" w:rsidP="00A36B2A">
      <w:pPr>
        <w:spacing w:line="360" w:lineRule="auto"/>
        <w:jc w:val="both"/>
        <w:rPr>
          <w:rFonts w:ascii="Arial" w:hAnsi="Arial" w:cs="Arial"/>
        </w:rPr>
      </w:pPr>
      <w:r>
        <w:rPr>
          <w:rFonts w:ascii="Arial" w:hAnsi="Arial" w:cs="Arial"/>
        </w:rPr>
        <w:t xml:space="preserve">Expanding on the sensory experience, the emerging field of neuro-inclusive design addresses the needs of </w:t>
      </w:r>
      <w:r w:rsidR="003E48CE">
        <w:rPr>
          <w:rFonts w:ascii="Arial" w:hAnsi="Arial" w:cs="Arial"/>
        </w:rPr>
        <w:t xml:space="preserve">the 15-20% of </w:t>
      </w:r>
      <w:r w:rsidR="00E03E91">
        <w:rPr>
          <w:rFonts w:ascii="Arial" w:hAnsi="Arial" w:cs="Arial"/>
        </w:rPr>
        <w:t xml:space="preserve">the </w:t>
      </w:r>
      <w:r w:rsidR="006C1BEA">
        <w:rPr>
          <w:rFonts w:ascii="Arial" w:hAnsi="Arial" w:cs="Arial"/>
        </w:rPr>
        <w:t xml:space="preserve">UK </w:t>
      </w:r>
      <w:r w:rsidR="00E03E91">
        <w:rPr>
          <w:rFonts w:ascii="Arial" w:hAnsi="Arial" w:cs="Arial"/>
        </w:rPr>
        <w:t>population</w:t>
      </w:r>
      <w:r w:rsidR="009901DF">
        <w:rPr>
          <w:rFonts w:ascii="Arial" w:hAnsi="Arial" w:cs="Arial"/>
        </w:rPr>
        <w:t xml:space="preserve"> who are neurodivergent (The Neurodiversity Directory, 2026)</w:t>
      </w:r>
      <w:r w:rsidR="00B372D1">
        <w:rPr>
          <w:rFonts w:ascii="Arial" w:hAnsi="Arial" w:cs="Arial"/>
        </w:rPr>
        <w:t>. Maslin (</w:t>
      </w:r>
      <w:r w:rsidR="002E29E2">
        <w:rPr>
          <w:rFonts w:ascii="Arial" w:hAnsi="Arial" w:cs="Arial"/>
        </w:rPr>
        <w:t>2022</w:t>
      </w:r>
      <w:r w:rsidR="00B372D1">
        <w:rPr>
          <w:rFonts w:ascii="Arial" w:hAnsi="Arial" w:cs="Arial"/>
        </w:rPr>
        <w:t>) introduces the concept of mind friendly environments, characterised by a reduction in cognitive load, which is the mental effort required to process complex or chaotic environments.</w:t>
      </w:r>
      <w:r w:rsidR="00302465">
        <w:rPr>
          <w:rFonts w:ascii="Arial" w:hAnsi="Arial" w:cs="Arial"/>
        </w:rPr>
        <w:t xml:space="preserve"> According to Maslin (</w:t>
      </w:r>
      <w:r w:rsidR="002E29E2">
        <w:rPr>
          <w:rFonts w:ascii="Arial" w:hAnsi="Arial" w:cs="Arial"/>
        </w:rPr>
        <w:t>2022</w:t>
      </w:r>
      <w:r w:rsidR="00302465">
        <w:rPr>
          <w:rFonts w:ascii="Arial" w:hAnsi="Arial" w:cs="Arial"/>
        </w:rPr>
        <w:t xml:space="preserve">), meaningful design must offer predictability and clarity. </w:t>
      </w:r>
      <w:r w:rsidR="0005556A">
        <w:rPr>
          <w:rFonts w:ascii="Arial" w:hAnsi="Arial" w:cs="Arial"/>
        </w:rPr>
        <w:t xml:space="preserve">High stimulus environments with excessive reverberation or harsh lighting transitions can trigger sensory overload, effectively </w:t>
      </w:r>
      <w:r w:rsidR="00DA559A">
        <w:rPr>
          <w:rFonts w:ascii="Arial" w:hAnsi="Arial" w:cs="Arial"/>
        </w:rPr>
        <w:t>disabling</w:t>
      </w:r>
      <w:r w:rsidR="008735F9">
        <w:rPr>
          <w:rFonts w:ascii="Arial" w:hAnsi="Arial" w:cs="Arial"/>
        </w:rPr>
        <w:t xml:space="preserve"> a neurodivergent user even if the building is physically accessible</w:t>
      </w:r>
      <w:r w:rsidR="00B31149">
        <w:rPr>
          <w:rFonts w:ascii="Arial" w:hAnsi="Arial" w:cs="Arial"/>
        </w:rPr>
        <w:t xml:space="preserve"> (</w:t>
      </w:r>
      <w:r w:rsidR="007A7154">
        <w:rPr>
          <w:rFonts w:ascii="Arial" w:hAnsi="Arial" w:cs="Arial"/>
        </w:rPr>
        <w:t>Hewitt</w:t>
      </w:r>
      <w:r w:rsidR="00FC3641">
        <w:rPr>
          <w:rFonts w:ascii="Arial" w:hAnsi="Arial" w:cs="Arial"/>
        </w:rPr>
        <w:t>, 2022</w:t>
      </w:r>
      <w:r w:rsidR="00B31149">
        <w:rPr>
          <w:rFonts w:ascii="Arial" w:hAnsi="Arial" w:cs="Arial"/>
        </w:rPr>
        <w:t>).</w:t>
      </w:r>
      <w:r w:rsidR="008735F9">
        <w:rPr>
          <w:rFonts w:ascii="Arial" w:hAnsi="Arial" w:cs="Arial"/>
        </w:rPr>
        <w:t xml:space="preserve"> </w:t>
      </w:r>
      <w:r w:rsidR="00634E9F">
        <w:rPr>
          <w:rFonts w:ascii="Arial" w:hAnsi="Arial" w:cs="Arial"/>
        </w:rPr>
        <w:t>This is a critical consideration for the 22.4% of Swansea’s population identified as disabled</w:t>
      </w:r>
      <w:r w:rsidR="00DB098F">
        <w:rPr>
          <w:rFonts w:ascii="Arial" w:hAnsi="Arial" w:cs="Arial"/>
        </w:rPr>
        <w:t xml:space="preserve"> (Office for National Statistics, 2022), many of whom navigate unseen sensory barriers. For example, </w:t>
      </w:r>
      <w:r w:rsidR="005968AD">
        <w:rPr>
          <w:rFonts w:ascii="Arial" w:hAnsi="Arial" w:cs="Arial"/>
        </w:rPr>
        <w:t>the approximate 5</w:t>
      </w:r>
      <w:r w:rsidR="009A42F7">
        <w:rPr>
          <w:rFonts w:ascii="Arial" w:hAnsi="Arial" w:cs="Arial"/>
        </w:rPr>
        <w:t>3</w:t>
      </w:r>
      <w:r w:rsidR="005968AD">
        <w:rPr>
          <w:rFonts w:ascii="Arial" w:hAnsi="Arial" w:cs="Arial"/>
        </w:rPr>
        <w:t>,</w:t>
      </w:r>
      <w:r w:rsidR="009A42F7">
        <w:rPr>
          <w:rFonts w:ascii="Arial" w:hAnsi="Arial" w:cs="Arial"/>
        </w:rPr>
        <w:t>5</w:t>
      </w:r>
      <w:r w:rsidR="005968AD">
        <w:rPr>
          <w:rFonts w:ascii="Arial" w:hAnsi="Arial" w:cs="Arial"/>
        </w:rPr>
        <w:t>00 disabled residents in Swansea include a significant demographic with hearing loss</w:t>
      </w:r>
      <w:r w:rsidR="00AF31CF">
        <w:rPr>
          <w:rFonts w:ascii="Arial" w:hAnsi="Arial" w:cs="Arial"/>
        </w:rPr>
        <w:t>, as the national average affects 1 in 5 people (RNID, 2026</w:t>
      </w:r>
      <w:r w:rsidR="000E5D40">
        <w:rPr>
          <w:rFonts w:ascii="Arial" w:hAnsi="Arial" w:cs="Arial"/>
        </w:rPr>
        <w:t xml:space="preserve">; </w:t>
      </w:r>
      <w:r w:rsidR="000E5D40">
        <w:rPr>
          <w:rFonts w:ascii="Arial" w:hAnsi="Arial" w:cs="Arial"/>
        </w:rPr>
        <w:t>Office for National Statistics, 2022</w:t>
      </w:r>
      <w:r w:rsidR="00AF31CF">
        <w:rPr>
          <w:rFonts w:ascii="Arial" w:hAnsi="Arial" w:cs="Arial"/>
        </w:rPr>
        <w:t xml:space="preserve">), for whom acoustic clutter and high reverberation times are major navigational obstacles. </w:t>
      </w:r>
      <w:r w:rsidR="00C8207B">
        <w:rPr>
          <w:rFonts w:ascii="Arial" w:hAnsi="Arial" w:cs="Arial"/>
        </w:rPr>
        <w:t xml:space="preserve">The technical benchmark for this is the recent </w:t>
      </w:r>
      <w:commentRangeStart w:id="20"/>
      <w:r w:rsidR="00C8207B">
        <w:rPr>
          <w:rFonts w:ascii="Arial" w:hAnsi="Arial" w:cs="Arial"/>
        </w:rPr>
        <w:t>PAS 6463:2022</w:t>
      </w:r>
      <w:commentRangeEnd w:id="20"/>
      <w:r w:rsidR="00C8207B">
        <w:rPr>
          <w:rStyle w:val="CommentReference"/>
          <w:rFonts w:ascii="Arial" w:hAnsi="Arial" w:cs="Arial"/>
          <w:sz w:val="22"/>
          <w:szCs w:val="22"/>
        </w:rPr>
        <w:commentReference w:id="20"/>
      </w:r>
      <w:r w:rsidR="00C8207B">
        <w:rPr>
          <w:rFonts w:ascii="Arial" w:hAnsi="Arial" w:cs="Arial"/>
        </w:rPr>
        <w:t xml:space="preserve"> </w:t>
      </w:r>
      <w:r w:rsidR="00C8207B" w:rsidRPr="00EE20C3">
        <w:rPr>
          <w:rFonts w:ascii="Arial" w:hAnsi="Arial" w:cs="Arial"/>
          <w:highlight w:val="yellow"/>
        </w:rPr>
        <w:t>(British Standard Institution, 2022)</w:t>
      </w:r>
      <w:r w:rsidR="00C8207B">
        <w:rPr>
          <w:rFonts w:ascii="Arial" w:hAnsi="Arial" w:cs="Arial"/>
        </w:rPr>
        <w:t>, which provides a standard for designing for neurodiversity. This code emphasizes the importance of both acoustic stillness and controlled lighting glare; two critical metrics used in sensory friendly architecture.</w:t>
      </w:r>
    </w:p>
    <w:p w14:paraId="31DCAB44" w14:textId="77777777" w:rsidR="00FB3A57" w:rsidRPr="00E80B43" w:rsidRDefault="00FB3A57" w:rsidP="005E3FDF">
      <w:pPr>
        <w:spacing w:line="360" w:lineRule="auto"/>
        <w:jc w:val="both"/>
        <w:rPr>
          <w:rFonts w:ascii="Arial" w:hAnsi="Arial" w:cs="Arial"/>
        </w:rPr>
      </w:pPr>
    </w:p>
    <w:p w14:paraId="383460D2" w14:textId="3D10E860" w:rsidR="00B93D0B" w:rsidRPr="0029053D" w:rsidRDefault="00B93D0B" w:rsidP="00B93D0B">
      <w:pPr>
        <w:pStyle w:val="Heading2"/>
        <w:spacing w:line="360" w:lineRule="auto"/>
        <w:jc w:val="both"/>
        <w:rPr>
          <w:rFonts w:ascii="Arial" w:hAnsi="Arial" w:cs="Arial"/>
          <w:sz w:val="28"/>
          <w:szCs w:val="28"/>
        </w:rPr>
      </w:pPr>
      <w:bookmarkStart w:id="21" w:name="_Toc228359243"/>
      <w:r>
        <w:rPr>
          <w:rFonts w:ascii="Arial" w:hAnsi="Arial" w:cs="Arial"/>
          <w:sz w:val="28"/>
          <w:szCs w:val="28"/>
        </w:rPr>
        <w:t>2.6: The Autoethnographic Lens in Architectural Research</w:t>
      </w:r>
      <w:bookmarkEnd w:id="21"/>
    </w:p>
    <w:p w14:paraId="3F28673B" w14:textId="6E327764" w:rsidR="00BA2047" w:rsidRDefault="003C4EA8" w:rsidP="00B93D0B">
      <w:pPr>
        <w:spacing w:line="360" w:lineRule="auto"/>
        <w:jc w:val="both"/>
        <w:rPr>
          <w:rFonts w:ascii="Arial" w:hAnsi="Arial" w:cs="Arial"/>
        </w:rPr>
      </w:pPr>
      <w:r>
        <w:rPr>
          <w:rFonts w:ascii="Arial" w:hAnsi="Arial" w:cs="Arial"/>
        </w:rPr>
        <w:t xml:space="preserve">In </w:t>
      </w:r>
      <w:r w:rsidR="00145DA4">
        <w:rPr>
          <w:rFonts w:ascii="Arial" w:hAnsi="Arial" w:cs="Arial"/>
        </w:rPr>
        <w:t>exploring the</w:t>
      </w:r>
      <w:r>
        <w:rPr>
          <w:rFonts w:ascii="Arial" w:hAnsi="Arial" w:cs="Arial"/>
        </w:rPr>
        <w:t xml:space="preserve"> intersection of human experience and the built environment, academic discourse has increasingly recognised the value of the autoethnographic lens</w:t>
      </w:r>
      <w:r w:rsidR="00A87800">
        <w:rPr>
          <w:rFonts w:ascii="Arial" w:hAnsi="Arial" w:cs="Arial"/>
        </w:rPr>
        <w:t xml:space="preserve">. Autoethnography is a qualitative research method that utilises the researcher’s personal experience to describe and critique cultural, social and spatial phenomena </w:t>
      </w:r>
      <w:r w:rsidR="000101D6">
        <w:rPr>
          <w:rFonts w:ascii="Arial" w:hAnsi="Arial" w:cs="Arial"/>
        </w:rPr>
        <w:t xml:space="preserve">(Ellis, Adams and Bochner, 2011). </w:t>
      </w:r>
      <w:r w:rsidR="006B080F">
        <w:rPr>
          <w:rFonts w:ascii="Arial" w:hAnsi="Arial" w:cs="Arial"/>
        </w:rPr>
        <w:t>T</w:t>
      </w:r>
      <w:r w:rsidR="000101D6">
        <w:rPr>
          <w:rFonts w:ascii="Arial" w:hAnsi="Arial" w:cs="Arial"/>
        </w:rPr>
        <w:t xml:space="preserve">his involves the researcher </w:t>
      </w:r>
      <w:r w:rsidR="00843AA7">
        <w:rPr>
          <w:rFonts w:ascii="Arial" w:hAnsi="Arial" w:cs="Arial"/>
        </w:rPr>
        <w:t xml:space="preserve">adopting their personal journey </w:t>
      </w:r>
      <w:r w:rsidR="0035286D">
        <w:rPr>
          <w:rFonts w:ascii="Arial" w:hAnsi="Arial" w:cs="Arial"/>
        </w:rPr>
        <w:t>through</w:t>
      </w:r>
      <w:r w:rsidR="00843AA7">
        <w:rPr>
          <w:rFonts w:ascii="Arial" w:hAnsi="Arial" w:cs="Arial"/>
        </w:rPr>
        <w:t xml:space="preserve"> a space and consider other people’s experience to uncover </w:t>
      </w:r>
      <w:r w:rsidR="00201D34">
        <w:rPr>
          <w:rFonts w:ascii="Arial" w:hAnsi="Arial" w:cs="Arial"/>
        </w:rPr>
        <w:t>its performance (Ellis, Adams and Bochner, 2011).</w:t>
      </w:r>
      <w:r w:rsidR="00574D7D">
        <w:rPr>
          <w:rFonts w:ascii="Arial" w:hAnsi="Arial" w:cs="Arial"/>
        </w:rPr>
        <w:t xml:space="preserve"> </w:t>
      </w:r>
      <w:r w:rsidR="006B080F">
        <w:rPr>
          <w:rFonts w:ascii="Arial" w:hAnsi="Arial" w:cs="Arial"/>
        </w:rPr>
        <w:t>Within architectural research, this approach provides a critical alternative to purely quantitative auditing, allowing for a deeper investigation into how physical structures translate into lived social realities.</w:t>
      </w:r>
    </w:p>
    <w:p w14:paraId="637A3F5A" w14:textId="2E29C40D" w:rsidR="003F4BD8" w:rsidRPr="003F4BD8" w:rsidRDefault="003F4BD8" w:rsidP="003F4BD8">
      <w:pPr>
        <w:pStyle w:val="Heading2"/>
        <w:spacing w:line="360" w:lineRule="auto"/>
        <w:jc w:val="both"/>
        <w:rPr>
          <w:rFonts w:ascii="Arial" w:hAnsi="Arial" w:cs="Arial"/>
          <w:sz w:val="28"/>
          <w:szCs w:val="28"/>
        </w:rPr>
      </w:pPr>
      <w:bookmarkStart w:id="22" w:name="_Toc228359244"/>
      <w:r>
        <w:rPr>
          <w:rFonts w:ascii="Arial" w:hAnsi="Arial" w:cs="Arial"/>
          <w:sz w:val="28"/>
          <w:szCs w:val="28"/>
        </w:rPr>
        <w:lastRenderedPageBreak/>
        <w:t>2.6.1: Challenging the Mechanical Audit</w:t>
      </w:r>
      <w:bookmarkEnd w:id="22"/>
    </w:p>
    <w:p w14:paraId="5F4FD8CE" w14:textId="4870E686" w:rsidR="006D0A54" w:rsidRDefault="00B66EDA" w:rsidP="00B93D0B">
      <w:pPr>
        <w:spacing w:line="360" w:lineRule="auto"/>
        <w:jc w:val="both"/>
        <w:rPr>
          <w:rFonts w:ascii="Arial" w:hAnsi="Arial" w:cs="Arial"/>
        </w:rPr>
      </w:pPr>
      <w:r>
        <w:rPr>
          <w:rFonts w:ascii="Arial" w:hAnsi="Arial" w:cs="Arial"/>
        </w:rPr>
        <w:t>While technical audits are common, Imrie (2003</w:t>
      </w:r>
      <w:r w:rsidR="00AB05DD">
        <w:rPr>
          <w:rFonts w:ascii="Arial" w:hAnsi="Arial" w:cs="Arial"/>
        </w:rPr>
        <w:t>, p.48</w:t>
      </w:r>
      <w:r>
        <w:rPr>
          <w:rFonts w:ascii="Arial" w:hAnsi="Arial" w:cs="Arial"/>
        </w:rPr>
        <w:t xml:space="preserve">) argues </w:t>
      </w:r>
      <w:r w:rsidR="00B66FBA">
        <w:rPr>
          <w:rFonts w:ascii="Arial" w:hAnsi="Arial" w:cs="Arial"/>
        </w:rPr>
        <w:t xml:space="preserve">that </w:t>
      </w:r>
      <w:r w:rsidR="00AB05DD">
        <w:rPr>
          <w:rFonts w:ascii="Arial" w:hAnsi="Arial" w:cs="Arial"/>
        </w:rPr>
        <w:t>“the technical standards of the building regulations tend to reduce the body to a set of inanimate, mechanical dimensions</w:t>
      </w:r>
      <w:r w:rsidR="004E7B9B">
        <w:rPr>
          <w:rFonts w:ascii="Arial" w:hAnsi="Arial" w:cs="Arial"/>
        </w:rPr>
        <w:t xml:space="preserve">.” </w:t>
      </w:r>
      <w:r w:rsidR="006606A3">
        <w:rPr>
          <w:rFonts w:ascii="Arial" w:hAnsi="Arial" w:cs="Arial"/>
        </w:rPr>
        <w:t>In this view, a pure technical audit – while necessary for legal compliance – frequently overlooks the sensory and psychological complexitie</w:t>
      </w:r>
      <w:r w:rsidR="002704BB">
        <w:rPr>
          <w:rFonts w:ascii="Arial" w:hAnsi="Arial" w:cs="Arial"/>
        </w:rPr>
        <w:t xml:space="preserve">s inherent in navigating space (Imrie, 2003). </w:t>
      </w:r>
    </w:p>
    <w:p w14:paraId="6E71D3CE" w14:textId="3BB7DB7B" w:rsidR="00B93D0B" w:rsidRPr="00E80B43" w:rsidRDefault="006D0A54" w:rsidP="00B93D0B">
      <w:pPr>
        <w:spacing w:line="360" w:lineRule="auto"/>
        <w:jc w:val="both"/>
        <w:rPr>
          <w:rFonts w:ascii="Arial" w:hAnsi="Arial" w:cs="Arial"/>
        </w:rPr>
      </w:pPr>
      <w:r>
        <w:rPr>
          <w:rFonts w:ascii="Arial" w:hAnsi="Arial" w:cs="Arial"/>
        </w:rPr>
        <w:t>In contrast, an autoethnographic audit allows for the documentation of atmosphere, a quality that Zumthor (2006)</w:t>
      </w:r>
      <w:r w:rsidR="004E7B9B">
        <w:rPr>
          <w:rFonts w:ascii="Arial" w:hAnsi="Arial" w:cs="Arial"/>
        </w:rPr>
        <w:t xml:space="preserve"> </w:t>
      </w:r>
      <w:r w:rsidR="000A75B1">
        <w:rPr>
          <w:rFonts w:ascii="Arial" w:hAnsi="Arial" w:cs="Arial"/>
        </w:rPr>
        <w:t>posits is the true measure of architectural success.</w:t>
      </w:r>
      <w:r w:rsidR="004540C9">
        <w:rPr>
          <w:rFonts w:ascii="Arial" w:hAnsi="Arial" w:cs="Arial"/>
        </w:rPr>
        <w:t xml:space="preserve"> </w:t>
      </w:r>
      <w:r w:rsidR="000A75B1">
        <w:rPr>
          <w:rFonts w:ascii="Arial" w:hAnsi="Arial" w:cs="Arial"/>
        </w:rPr>
        <w:t xml:space="preserve">According to Wall (2008), the researcher’s subjective sensory </w:t>
      </w:r>
      <w:r w:rsidR="00B4458B">
        <w:rPr>
          <w:rFonts w:ascii="Arial" w:hAnsi="Arial" w:cs="Arial"/>
        </w:rPr>
        <w:t xml:space="preserve">response is a legitimate source of academic data, especially when evaluating how a building feels to a user. This aligns with Duncan’s (2004) assertion that subjectivity is a strength in qualitative research, providing a depth of insight that a spirit </w:t>
      </w:r>
      <w:r w:rsidR="003D51B3">
        <w:rPr>
          <w:rFonts w:ascii="Arial" w:hAnsi="Arial" w:cs="Arial"/>
        </w:rPr>
        <w:t xml:space="preserve">level or laser measure cannot convey. By documenting specific points during </w:t>
      </w:r>
      <w:r w:rsidR="00DE6C40">
        <w:rPr>
          <w:rFonts w:ascii="Arial" w:hAnsi="Arial" w:cs="Arial"/>
        </w:rPr>
        <w:t>observations</w:t>
      </w:r>
      <w:r w:rsidR="003D51B3">
        <w:rPr>
          <w:rFonts w:ascii="Arial" w:hAnsi="Arial" w:cs="Arial"/>
        </w:rPr>
        <w:t xml:space="preserve">, the </w:t>
      </w:r>
      <w:r w:rsidR="00DE6C40">
        <w:rPr>
          <w:rFonts w:ascii="Arial" w:hAnsi="Arial" w:cs="Arial"/>
        </w:rPr>
        <w:t xml:space="preserve">researcher can bridge the gap between statutory accessibility and meaningful inclusion. </w:t>
      </w:r>
      <w:r w:rsidR="00374A38">
        <w:rPr>
          <w:rFonts w:ascii="Arial" w:hAnsi="Arial" w:cs="Arial"/>
        </w:rPr>
        <w:t>This theoretical background established that for a design to be truly inclusive, it must perform not just geometrically, but emotionally and sensorially.</w:t>
      </w:r>
    </w:p>
    <w:p w14:paraId="67E686C5" w14:textId="4D40298A" w:rsidR="008E3974" w:rsidRPr="0029053D" w:rsidRDefault="008E3974" w:rsidP="008E3974">
      <w:pPr>
        <w:pStyle w:val="Heading2"/>
        <w:spacing w:line="360" w:lineRule="auto"/>
        <w:jc w:val="both"/>
        <w:rPr>
          <w:rFonts w:ascii="Arial" w:hAnsi="Arial" w:cs="Arial"/>
          <w:sz w:val="28"/>
          <w:szCs w:val="28"/>
        </w:rPr>
      </w:pPr>
      <w:bookmarkStart w:id="23" w:name="_Toc228359245"/>
      <w:r>
        <w:rPr>
          <w:rFonts w:ascii="Arial" w:hAnsi="Arial" w:cs="Arial"/>
          <w:sz w:val="28"/>
          <w:szCs w:val="28"/>
        </w:rPr>
        <w:t>2.6.2: Phenomenological Links</w:t>
      </w:r>
      <w:bookmarkEnd w:id="23"/>
      <w:r>
        <w:rPr>
          <w:rFonts w:ascii="Arial" w:hAnsi="Arial" w:cs="Arial"/>
          <w:sz w:val="28"/>
          <w:szCs w:val="28"/>
        </w:rPr>
        <w:t xml:space="preserve"> </w:t>
      </w:r>
    </w:p>
    <w:p w14:paraId="1FD76E10" w14:textId="4C04FA67" w:rsidR="00B93D0B" w:rsidRDefault="008E3974" w:rsidP="00B93D0B">
      <w:pPr>
        <w:spacing w:line="360" w:lineRule="auto"/>
        <w:jc w:val="both"/>
        <w:rPr>
          <w:rFonts w:ascii="Arial" w:hAnsi="Arial" w:cs="Arial"/>
        </w:rPr>
      </w:pPr>
      <w:r>
        <w:rPr>
          <w:rFonts w:ascii="Arial" w:hAnsi="Arial" w:cs="Arial"/>
        </w:rPr>
        <w:t>Autoethnography in architecture is deeply rooted in phenomenology, the philosophical study of cons</w:t>
      </w:r>
      <w:r w:rsidR="00A60F49">
        <w:rPr>
          <w:rFonts w:ascii="Arial" w:hAnsi="Arial" w:cs="Arial"/>
        </w:rPr>
        <w:t>cious experience</w:t>
      </w:r>
      <w:r w:rsidR="00FD1553">
        <w:rPr>
          <w:rFonts w:ascii="Arial" w:hAnsi="Arial" w:cs="Arial"/>
        </w:rPr>
        <w:t xml:space="preserve">. </w:t>
      </w:r>
      <w:r w:rsidR="00FE74DD">
        <w:rPr>
          <w:rFonts w:ascii="Arial" w:hAnsi="Arial" w:cs="Arial"/>
        </w:rPr>
        <w:t xml:space="preserve">Adopting this lens aids in moving beyond </w:t>
      </w:r>
      <w:r w:rsidR="00244A35">
        <w:rPr>
          <w:rFonts w:ascii="Arial" w:hAnsi="Arial" w:cs="Arial"/>
        </w:rPr>
        <w:t>ocular centric</w:t>
      </w:r>
      <w:r w:rsidR="00FE74DD">
        <w:rPr>
          <w:rFonts w:ascii="Arial" w:hAnsi="Arial" w:cs="Arial"/>
        </w:rPr>
        <w:t xml:space="preserve"> tradition to explore the embodied experience of space</w:t>
      </w:r>
      <w:r w:rsidR="00D712A1">
        <w:rPr>
          <w:rFonts w:ascii="Arial" w:hAnsi="Arial" w:cs="Arial"/>
        </w:rPr>
        <w:t xml:space="preserve">, </w:t>
      </w:r>
      <w:r w:rsidR="00244A35">
        <w:rPr>
          <w:rFonts w:ascii="Arial" w:hAnsi="Arial" w:cs="Arial"/>
        </w:rPr>
        <w:t xml:space="preserve">aligning with Pallasmaa’s (2005) call for engagement with all the senses. </w:t>
      </w:r>
      <w:r w:rsidR="00EE24C1">
        <w:rPr>
          <w:rFonts w:ascii="Arial" w:hAnsi="Arial" w:cs="Arial"/>
        </w:rPr>
        <w:t xml:space="preserve">It also </w:t>
      </w:r>
      <w:r w:rsidR="001B3C4E">
        <w:rPr>
          <w:rFonts w:ascii="Arial" w:hAnsi="Arial" w:cs="Arial"/>
        </w:rPr>
        <w:t>associates</w:t>
      </w:r>
      <w:r w:rsidR="00EE24C1">
        <w:rPr>
          <w:rFonts w:ascii="Arial" w:hAnsi="Arial" w:cs="Arial"/>
        </w:rPr>
        <w:t xml:space="preserve"> with the foundational work of Merleau-Ponty (2012), who argued that the body is not just an object in space, but the very medium through which we know space. </w:t>
      </w:r>
      <w:r w:rsidR="00480EA9">
        <w:rPr>
          <w:rFonts w:ascii="Arial" w:hAnsi="Arial" w:cs="Arial"/>
        </w:rPr>
        <w:t>In this context, the researcher’s body becomes the primary tool for auditing, transforming a study from a detached observation of a building to a phenomenological state of experiencing the building.</w:t>
      </w:r>
    </w:p>
    <w:p w14:paraId="36DBCBC3" w14:textId="4A14BA6C" w:rsidR="0068003B" w:rsidRPr="00E80B43" w:rsidRDefault="0068003B" w:rsidP="00B93D0B">
      <w:pPr>
        <w:spacing w:line="360" w:lineRule="auto"/>
        <w:jc w:val="both"/>
        <w:rPr>
          <w:rFonts w:ascii="Arial" w:hAnsi="Arial" w:cs="Arial"/>
        </w:rPr>
      </w:pPr>
      <w:r>
        <w:rPr>
          <w:rFonts w:ascii="Arial" w:hAnsi="Arial" w:cs="Arial"/>
        </w:rPr>
        <w:t xml:space="preserve">This transition is further supported by Bachelard (1994), where he posits that architecture is not merely a structural shell, but a vessel for human emotion and memory. An autoethnographic audit allows the researcher to </w:t>
      </w:r>
      <w:r w:rsidR="00E03850">
        <w:rPr>
          <w:rFonts w:ascii="Arial" w:hAnsi="Arial" w:cs="Arial"/>
        </w:rPr>
        <w:t>capture what Bachelard (1994) describes as the psychological resonance of a space</w:t>
      </w:r>
      <w:r w:rsidR="00D15347">
        <w:rPr>
          <w:rFonts w:ascii="Arial" w:hAnsi="Arial" w:cs="Arial"/>
        </w:rPr>
        <w:t>, for instance, how grand scales of spaces might evoke a sense of awe.</w:t>
      </w:r>
      <w:r w:rsidR="00E0572F">
        <w:rPr>
          <w:rFonts w:ascii="Arial" w:hAnsi="Arial" w:cs="Arial"/>
        </w:rPr>
        <w:t xml:space="preserve"> </w:t>
      </w:r>
    </w:p>
    <w:p w14:paraId="5347F436" w14:textId="18D19EED" w:rsidR="005E3FDF" w:rsidRPr="00E80B43" w:rsidRDefault="005E3FDF" w:rsidP="00A36B2A">
      <w:pPr>
        <w:spacing w:line="360" w:lineRule="auto"/>
        <w:jc w:val="both"/>
        <w:rPr>
          <w:rFonts w:ascii="Arial" w:hAnsi="Arial" w:cs="Arial"/>
        </w:rPr>
      </w:pPr>
    </w:p>
    <w:p w14:paraId="56560B36" w14:textId="77777777" w:rsidR="00A36B2A" w:rsidRPr="00E80B43" w:rsidRDefault="00A36B2A" w:rsidP="00343CCA">
      <w:pPr>
        <w:spacing w:line="360" w:lineRule="auto"/>
        <w:jc w:val="both"/>
        <w:rPr>
          <w:rFonts w:ascii="Arial" w:hAnsi="Arial" w:cs="Arial"/>
        </w:rPr>
      </w:pPr>
    </w:p>
    <w:p w14:paraId="2289F28B" w14:textId="3E7DBC0E" w:rsidR="00606095" w:rsidRDefault="00606095">
      <w:pPr>
        <w:rPr>
          <w:rFonts w:cstheme="minorHAnsi"/>
        </w:rPr>
      </w:pPr>
      <w:r>
        <w:rPr>
          <w:rFonts w:cstheme="minorHAnsi"/>
        </w:rPr>
        <w:br w:type="page"/>
      </w:r>
    </w:p>
    <w:p w14:paraId="5DD0E557" w14:textId="24C5891C" w:rsidR="007E7755" w:rsidRDefault="007E7755" w:rsidP="00233937">
      <w:pPr>
        <w:pStyle w:val="Heading1"/>
        <w:spacing w:line="360" w:lineRule="auto"/>
        <w:rPr>
          <w:rFonts w:ascii="Arial" w:hAnsi="Arial" w:cs="Arial"/>
          <w:b/>
          <w:bCs/>
        </w:rPr>
      </w:pPr>
      <w:bookmarkStart w:id="24" w:name="_Toc228359246"/>
      <w:r w:rsidRPr="0029053D">
        <w:rPr>
          <w:rFonts w:ascii="Arial" w:hAnsi="Arial" w:cs="Arial"/>
          <w:b/>
          <w:bCs/>
        </w:rPr>
        <w:lastRenderedPageBreak/>
        <w:t xml:space="preserve">Chapter </w:t>
      </w:r>
      <w:r>
        <w:rPr>
          <w:rFonts w:ascii="Arial" w:hAnsi="Arial" w:cs="Arial"/>
          <w:b/>
          <w:bCs/>
        </w:rPr>
        <w:t>3</w:t>
      </w:r>
      <w:r w:rsidRPr="0029053D">
        <w:rPr>
          <w:rFonts w:ascii="Arial" w:hAnsi="Arial" w:cs="Arial"/>
          <w:b/>
          <w:bCs/>
        </w:rPr>
        <w:t xml:space="preserve">: </w:t>
      </w:r>
      <w:r>
        <w:rPr>
          <w:rFonts w:ascii="Arial" w:hAnsi="Arial" w:cs="Arial"/>
          <w:b/>
          <w:bCs/>
        </w:rPr>
        <w:t>Method</w:t>
      </w:r>
      <w:r w:rsidR="00EE3883">
        <w:rPr>
          <w:rFonts w:ascii="Arial" w:hAnsi="Arial" w:cs="Arial"/>
          <w:b/>
          <w:bCs/>
        </w:rPr>
        <w:t>ology</w:t>
      </w:r>
      <w:bookmarkEnd w:id="24"/>
    </w:p>
    <w:p w14:paraId="6F3A2903" w14:textId="11FDBD64" w:rsidR="000354FA" w:rsidRPr="000354FA" w:rsidRDefault="000354FA" w:rsidP="00233937">
      <w:pPr>
        <w:spacing w:line="360" w:lineRule="auto"/>
        <w:jc w:val="both"/>
        <w:rPr>
          <w:rFonts w:ascii="Arial" w:hAnsi="Arial" w:cs="Arial"/>
        </w:rPr>
      </w:pPr>
      <w:r w:rsidRPr="000354FA">
        <w:rPr>
          <w:rFonts w:ascii="Arial" w:hAnsi="Arial" w:cs="Arial"/>
        </w:rPr>
        <w:t>This dissertation employs a multi-layered research strategy to investigate the integration of Universal Design (UD) within Swansea’s public architecture. The research methodologies include:</w:t>
      </w:r>
    </w:p>
    <w:p w14:paraId="45479D1B" w14:textId="77777777" w:rsidR="000354FA" w:rsidRPr="000354FA" w:rsidRDefault="000354FA" w:rsidP="000354FA">
      <w:pPr>
        <w:numPr>
          <w:ilvl w:val="0"/>
          <w:numId w:val="17"/>
        </w:numPr>
        <w:spacing w:line="360" w:lineRule="auto"/>
        <w:jc w:val="both"/>
        <w:rPr>
          <w:rFonts w:ascii="Arial" w:hAnsi="Arial" w:cs="Arial"/>
        </w:rPr>
      </w:pPr>
      <w:r w:rsidRPr="000354FA">
        <w:rPr>
          <w:rFonts w:ascii="Arial" w:hAnsi="Arial" w:cs="Arial"/>
        </w:rPr>
        <w:t>Comparative Case Study Analysis</w:t>
      </w:r>
    </w:p>
    <w:p w14:paraId="269ADBB5" w14:textId="77777777" w:rsidR="001001CE" w:rsidRDefault="000354FA" w:rsidP="001001CE">
      <w:pPr>
        <w:numPr>
          <w:ilvl w:val="0"/>
          <w:numId w:val="17"/>
        </w:numPr>
        <w:spacing w:line="360" w:lineRule="auto"/>
        <w:jc w:val="both"/>
        <w:rPr>
          <w:rFonts w:ascii="Arial" w:hAnsi="Arial" w:cs="Arial"/>
        </w:rPr>
      </w:pPr>
      <w:r w:rsidRPr="000354FA">
        <w:rPr>
          <w:rFonts w:ascii="Arial" w:hAnsi="Arial" w:cs="Arial"/>
        </w:rPr>
        <w:t>Site Audits (Primary Data)</w:t>
      </w:r>
    </w:p>
    <w:p w14:paraId="68F4EFBD" w14:textId="2F40CD0C" w:rsidR="00D82544" w:rsidRPr="00D82544" w:rsidRDefault="00EA574D" w:rsidP="00D82544">
      <w:pPr>
        <w:numPr>
          <w:ilvl w:val="0"/>
          <w:numId w:val="17"/>
        </w:numPr>
        <w:spacing w:line="360" w:lineRule="auto"/>
        <w:jc w:val="both"/>
        <w:rPr>
          <w:rFonts w:ascii="Arial" w:hAnsi="Arial" w:cs="Arial"/>
        </w:rPr>
      </w:pPr>
      <w:r>
        <w:rPr>
          <w:rFonts w:ascii="Arial" w:hAnsi="Arial" w:cs="Arial"/>
        </w:rPr>
        <w:t>Synthesis and</w:t>
      </w:r>
      <w:r w:rsidR="00FF475F">
        <w:rPr>
          <w:rFonts w:ascii="Arial" w:hAnsi="Arial" w:cs="Arial"/>
        </w:rPr>
        <w:t xml:space="preserve"> Comparative Framework</w:t>
      </w:r>
    </w:p>
    <w:p w14:paraId="54CCE47B" w14:textId="5F078072" w:rsidR="00B86E93" w:rsidRPr="000074D1" w:rsidRDefault="00BD1541" w:rsidP="00E069A1">
      <w:pPr>
        <w:pStyle w:val="Heading2"/>
        <w:numPr>
          <w:ilvl w:val="1"/>
          <w:numId w:val="27"/>
        </w:numPr>
        <w:spacing w:line="360" w:lineRule="auto"/>
        <w:rPr>
          <w:rFonts w:ascii="Arial" w:hAnsi="Arial" w:cs="Arial"/>
          <w:sz w:val="28"/>
          <w:szCs w:val="28"/>
        </w:rPr>
      </w:pPr>
      <w:bookmarkStart w:id="25" w:name="_Toc228359247"/>
      <w:r w:rsidRPr="000074D1">
        <w:rPr>
          <w:rFonts w:ascii="Arial" w:hAnsi="Arial" w:cs="Arial"/>
          <w:sz w:val="28"/>
          <w:szCs w:val="28"/>
        </w:rPr>
        <w:t>Purposive Case Study Selection &amp; Analysis</w:t>
      </w:r>
      <w:bookmarkEnd w:id="25"/>
    </w:p>
    <w:p w14:paraId="60A98C6D" w14:textId="77777777" w:rsidR="004C082F" w:rsidRDefault="00D82544" w:rsidP="00E50654">
      <w:pPr>
        <w:spacing w:line="360" w:lineRule="auto"/>
        <w:rPr>
          <w:rFonts w:ascii="Arial" w:hAnsi="Arial" w:cs="Arial"/>
        </w:rPr>
      </w:pPr>
      <w:r w:rsidRPr="00C91ED1">
        <w:rPr>
          <w:rFonts w:ascii="Arial" w:hAnsi="Arial" w:cs="Arial"/>
        </w:rPr>
        <w:t>Initially, the research was set to include interviews with architects to capture their understanding on accessible architecture and how they incorporated accessibility into their designs. However, after initial enquiries were made, it quickly became apparent that this approach would not be fruitful in the time available. Therefore, a comparative case study analysis method was adopted as an alternative,</w:t>
      </w:r>
      <w:r w:rsidR="008069C2">
        <w:rPr>
          <w:rFonts w:ascii="Arial" w:hAnsi="Arial" w:cs="Arial"/>
        </w:rPr>
        <w:t xml:space="preserve"> a strategy supported by Yin (2018) for investigating contemporary phenomena within their </w:t>
      </w:r>
      <w:r w:rsidR="00A32E9B">
        <w:rPr>
          <w:rFonts w:ascii="Arial" w:hAnsi="Arial" w:cs="Arial"/>
        </w:rPr>
        <w:t>real-life</w:t>
      </w:r>
      <w:r w:rsidR="008069C2">
        <w:rPr>
          <w:rFonts w:ascii="Arial" w:hAnsi="Arial" w:cs="Arial"/>
        </w:rPr>
        <w:t xml:space="preserve"> context. </w:t>
      </w:r>
      <w:r w:rsidR="00A32E9B">
        <w:rPr>
          <w:rFonts w:ascii="Arial" w:hAnsi="Arial" w:cs="Arial"/>
        </w:rPr>
        <w:t>This</w:t>
      </w:r>
      <w:r w:rsidRPr="00C91ED1">
        <w:rPr>
          <w:rFonts w:ascii="Arial" w:hAnsi="Arial" w:cs="Arial"/>
        </w:rPr>
        <w:t xml:space="preserve"> includ</w:t>
      </w:r>
      <w:r w:rsidR="00A32E9B">
        <w:rPr>
          <w:rFonts w:ascii="Arial" w:hAnsi="Arial" w:cs="Arial"/>
        </w:rPr>
        <w:t>ed a</w:t>
      </w:r>
      <w:r w:rsidRPr="00C91ED1">
        <w:rPr>
          <w:rFonts w:ascii="Arial" w:hAnsi="Arial" w:cs="Arial"/>
        </w:rPr>
        <w:t xml:space="preserve"> thorough </w:t>
      </w:r>
      <w:r w:rsidR="0064373F">
        <w:rPr>
          <w:rFonts w:ascii="Arial" w:hAnsi="Arial" w:cs="Arial"/>
        </w:rPr>
        <w:t xml:space="preserve">a review </w:t>
      </w:r>
      <w:r w:rsidRPr="00C91ED1">
        <w:rPr>
          <w:rFonts w:ascii="Arial" w:hAnsi="Arial" w:cs="Arial"/>
        </w:rPr>
        <w:t>into the Design and Access Statements (DAS) of each building to support the primary findings.</w:t>
      </w:r>
      <w:r w:rsidR="002D5092">
        <w:rPr>
          <w:rFonts w:ascii="Arial" w:hAnsi="Arial" w:cs="Arial"/>
        </w:rPr>
        <w:t xml:space="preserve"> As stated by the Welsh Government (2017), a DAS is a </w:t>
      </w:r>
      <w:r w:rsidR="00097645">
        <w:rPr>
          <w:rFonts w:ascii="Arial" w:hAnsi="Arial" w:cs="Arial"/>
        </w:rPr>
        <w:t xml:space="preserve">formal </w:t>
      </w:r>
      <w:r w:rsidR="00B506E3">
        <w:rPr>
          <w:rFonts w:ascii="Arial" w:hAnsi="Arial" w:cs="Arial"/>
        </w:rPr>
        <w:t>document that addresses how the design responds to context</w:t>
      </w:r>
      <w:r w:rsidR="00FB422C">
        <w:rPr>
          <w:rFonts w:ascii="Arial" w:hAnsi="Arial" w:cs="Arial"/>
        </w:rPr>
        <w:t>, brief, vision and relevant policies</w:t>
      </w:r>
      <w:r w:rsidR="00097645">
        <w:rPr>
          <w:rFonts w:ascii="Arial" w:hAnsi="Arial" w:cs="Arial"/>
        </w:rPr>
        <w:t>, required by planning law.</w:t>
      </w:r>
    </w:p>
    <w:p w14:paraId="5417A0B7" w14:textId="77777777" w:rsidR="004C082F" w:rsidRDefault="00F446DF" w:rsidP="00E50654">
      <w:pPr>
        <w:spacing w:line="360" w:lineRule="auto"/>
        <w:rPr>
          <w:rFonts w:ascii="Arial" w:hAnsi="Arial" w:cs="Arial"/>
        </w:rPr>
      </w:pPr>
      <w:r>
        <w:rPr>
          <w:rFonts w:ascii="Arial" w:hAnsi="Arial" w:cs="Arial"/>
        </w:rPr>
        <w:t xml:space="preserve"> </w:t>
      </w:r>
      <w:r w:rsidR="00BB51AE" w:rsidRPr="00E50654">
        <w:rPr>
          <w:rFonts w:ascii="Arial" w:hAnsi="Arial" w:cs="Arial"/>
        </w:rPr>
        <w:t xml:space="preserve">The research </w:t>
      </w:r>
      <w:r w:rsidR="00C27943" w:rsidRPr="00E50654">
        <w:rPr>
          <w:rFonts w:ascii="Arial" w:hAnsi="Arial" w:cs="Arial"/>
        </w:rPr>
        <w:t>begins</w:t>
      </w:r>
      <w:r w:rsidR="00BB51AE" w:rsidRPr="00E50654">
        <w:rPr>
          <w:rFonts w:ascii="Arial" w:hAnsi="Arial" w:cs="Arial"/>
        </w:rPr>
        <w:t xml:space="preserve"> with a purposive case study selection, utilising Swansea as a controlled geographical locus due to its ongoing </w:t>
      </w:r>
      <w:commentRangeStart w:id="26"/>
      <w:r w:rsidR="00BB51AE" w:rsidRPr="00E50654">
        <w:rPr>
          <w:rFonts w:ascii="Arial" w:hAnsi="Arial" w:cs="Arial"/>
        </w:rPr>
        <w:t>£1bn urban regeneration scheme</w:t>
      </w:r>
      <w:commentRangeEnd w:id="26"/>
      <w:r w:rsidR="000626F8">
        <w:rPr>
          <w:rStyle w:val="CommentReference"/>
          <w:rFonts w:ascii="Arial" w:hAnsi="Arial" w:cs="Arial"/>
          <w:sz w:val="22"/>
          <w:szCs w:val="22"/>
        </w:rPr>
        <w:commentReference w:id="26"/>
      </w:r>
      <w:r w:rsidR="0003474D">
        <w:rPr>
          <w:rFonts w:ascii="Arial" w:hAnsi="Arial" w:cs="Arial"/>
        </w:rPr>
        <w:t xml:space="preserve"> (Swansea Council, 2025).</w:t>
      </w:r>
      <w:r w:rsidR="00BB51AE" w:rsidRPr="00E50654">
        <w:rPr>
          <w:rFonts w:ascii="Arial" w:hAnsi="Arial" w:cs="Arial"/>
        </w:rPr>
        <w:t xml:space="preserve"> Two sites were selected to represent a chronological and typological </w:t>
      </w:r>
      <w:r w:rsidR="00C27943" w:rsidRPr="00E50654">
        <w:rPr>
          <w:rFonts w:ascii="Arial" w:hAnsi="Arial" w:cs="Arial"/>
        </w:rPr>
        <w:t>contrast</w:t>
      </w:r>
      <w:r w:rsidR="00BB51AE" w:rsidRPr="00E50654">
        <w:rPr>
          <w:rFonts w:ascii="Arial" w:hAnsi="Arial" w:cs="Arial"/>
        </w:rPr>
        <w:t>: the Glynn Vivian Art Gallery, a Grade II listed heritage building representing restor</w:t>
      </w:r>
      <w:r w:rsidR="00700C64" w:rsidRPr="00E50654">
        <w:rPr>
          <w:rFonts w:ascii="Arial" w:hAnsi="Arial" w:cs="Arial"/>
        </w:rPr>
        <w:t>ation</w:t>
      </w:r>
      <w:r w:rsidR="00F50191" w:rsidRPr="00E50654">
        <w:rPr>
          <w:rFonts w:ascii="Arial" w:hAnsi="Arial" w:cs="Arial"/>
        </w:rPr>
        <w:t xml:space="preserve">, and the Swansea Arena, a 2022 </w:t>
      </w:r>
      <w:r w:rsidR="00C27943" w:rsidRPr="00E50654">
        <w:rPr>
          <w:rFonts w:ascii="Arial" w:hAnsi="Arial" w:cs="Arial"/>
        </w:rPr>
        <w:t>purpose-built</w:t>
      </w:r>
      <w:r w:rsidR="00F50191" w:rsidRPr="00E50654">
        <w:rPr>
          <w:rFonts w:ascii="Arial" w:hAnsi="Arial" w:cs="Arial"/>
        </w:rPr>
        <w:t xml:space="preserve"> assembly building representing contemporary complian</w:t>
      </w:r>
      <w:r w:rsidR="00F50191" w:rsidRPr="00BF5F11">
        <w:rPr>
          <w:rFonts w:ascii="Arial" w:hAnsi="Arial" w:cs="Arial"/>
        </w:rPr>
        <w:t>ce standards.</w:t>
      </w:r>
      <w:r w:rsidR="00BF5F11">
        <w:rPr>
          <w:rFonts w:ascii="Arial" w:hAnsi="Arial" w:cs="Arial"/>
        </w:rPr>
        <w:t xml:space="preserve"> </w:t>
      </w:r>
      <w:r w:rsidR="00E50654" w:rsidRPr="00BF5F11">
        <w:rPr>
          <w:rFonts w:ascii="Arial" w:hAnsi="Arial" w:cs="Arial"/>
        </w:rPr>
        <w:t>By comparing two sites within the same geographical and legislative framework of Swansea, the study ensures that socio-political variables remain constant. This allows the work to focus specifically on the evolution of architectural standards, contrasting heritage constraints with contemporary design.</w:t>
      </w:r>
      <w:r w:rsidR="00F50191" w:rsidRPr="00370695">
        <w:rPr>
          <w:rFonts w:ascii="Arial" w:hAnsi="Arial" w:cs="Arial"/>
        </w:rPr>
        <w:t xml:space="preserve"> </w:t>
      </w:r>
    </w:p>
    <w:p w14:paraId="51B61FCB" w14:textId="257D1C9D" w:rsidR="001001CE" w:rsidRPr="00E50654" w:rsidRDefault="00D06F91" w:rsidP="00E50654">
      <w:pPr>
        <w:spacing w:line="360" w:lineRule="auto"/>
        <w:rPr>
          <w:rFonts w:ascii="Arial" w:hAnsi="Arial" w:cs="Arial"/>
        </w:rPr>
      </w:pPr>
      <w:r w:rsidRPr="00370695">
        <w:rPr>
          <w:rFonts w:ascii="Arial" w:hAnsi="Arial" w:cs="Arial"/>
        </w:rPr>
        <w:t>To</w:t>
      </w:r>
      <w:r w:rsidR="00F527A8" w:rsidRPr="00370695">
        <w:rPr>
          <w:rFonts w:ascii="Arial" w:hAnsi="Arial" w:cs="Arial"/>
        </w:rPr>
        <w:t xml:space="preserve"> ensure a valid and consistent approach, a</w:t>
      </w:r>
      <w:commentRangeStart w:id="27"/>
      <w:r w:rsidR="00FF48D1" w:rsidRPr="00370695">
        <w:rPr>
          <w:rFonts w:ascii="Arial" w:hAnsi="Arial" w:cs="Arial"/>
        </w:rPr>
        <w:t xml:space="preserve"> comparative </w:t>
      </w:r>
      <w:r w:rsidR="00B940BC" w:rsidRPr="00370695">
        <w:rPr>
          <w:rFonts w:ascii="Arial" w:hAnsi="Arial" w:cs="Arial"/>
        </w:rPr>
        <w:t>framework</w:t>
      </w:r>
      <w:r w:rsidR="00FF48D1" w:rsidRPr="00370695">
        <w:rPr>
          <w:rFonts w:ascii="Arial" w:hAnsi="Arial" w:cs="Arial"/>
        </w:rPr>
        <w:t xml:space="preserve"> </w:t>
      </w:r>
      <w:commentRangeEnd w:id="27"/>
      <w:r w:rsidR="0025468C" w:rsidRPr="00370695">
        <w:rPr>
          <w:rStyle w:val="CommentReference"/>
          <w:rFonts w:ascii="Arial" w:hAnsi="Arial" w:cs="Arial"/>
          <w:sz w:val="22"/>
          <w:szCs w:val="22"/>
        </w:rPr>
        <w:commentReference w:id="27"/>
      </w:r>
      <w:r w:rsidR="00662369" w:rsidRPr="00370695">
        <w:rPr>
          <w:rFonts w:ascii="Arial" w:hAnsi="Arial" w:cs="Arial"/>
        </w:rPr>
        <w:t xml:space="preserve">was developed </w:t>
      </w:r>
      <w:r w:rsidR="00D21942" w:rsidRPr="00370695">
        <w:rPr>
          <w:rFonts w:ascii="Arial" w:hAnsi="Arial" w:cs="Arial"/>
        </w:rPr>
        <w:t xml:space="preserve">based on the </w:t>
      </w:r>
      <w:r w:rsidR="00B51FCF" w:rsidRPr="00370695">
        <w:rPr>
          <w:rFonts w:ascii="Arial" w:hAnsi="Arial" w:cs="Arial"/>
        </w:rPr>
        <w:t xml:space="preserve">key </w:t>
      </w:r>
      <w:r w:rsidR="00D21942" w:rsidRPr="00370695">
        <w:rPr>
          <w:rFonts w:ascii="Arial" w:hAnsi="Arial" w:cs="Arial"/>
        </w:rPr>
        <w:t>themes iden</w:t>
      </w:r>
      <w:r w:rsidR="00C04DF8" w:rsidRPr="00370695">
        <w:rPr>
          <w:rFonts w:ascii="Arial" w:hAnsi="Arial" w:cs="Arial"/>
        </w:rPr>
        <w:t>ti</w:t>
      </w:r>
      <w:r w:rsidR="00D21942" w:rsidRPr="00370695">
        <w:rPr>
          <w:rFonts w:ascii="Arial" w:hAnsi="Arial" w:cs="Arial"/>
        </w:rPr>
        <w:t>fied in the literature review</w:t>
      </w:r>
      <w:r w:rsidR="00B51FCF" w:rsidRPr="00370695">
        <w:rPr>
          <w:rFonts w:ascii="Arial" w:hAnsi="Arial" w:cs="Arial"/>
        </w:rPr>
        <w:t xml:space="preserve">: </w:t>
      </w:r>
      <w:r w:rsidR="00C74384" w:rsidRPr="00370695">
        <w:rPr>
          <w:rFonts w:ascii="Arial" w:hAnsi="Arial" w:cs="Arial"/>
        </w:rPr>
        <w:t>Dignity of Arrival (</w:t>
      </w:r>
      <w:r w:rsidR="00B51FCF" w:rsidRPr="00370695">
        <w:rPr>
          <w:rFonts w:ascii="Arial" w:hAnsi="Arial" w:cs="Arial"/>
        </w:rPr>
        <w:t>DOA</w:t>
      </w:r>
      <w:r w:rsidR="00C74384" w:rsidRPr="00370695">
        <w:rPr>
          <w:rFonts w:ascii="Arial" w:hAnsi="Arial" w:cs="Arial"/>
        </w:rPr>
        <w:t>),</w:t>
      </w:r>
      <w:r w:rsidR="00744B46">
        <w:rPr>
          <w:rFonts w:ascii="Arial" w:hAnsi="Arial" w:cs="Arial"/>
        </w:rPr>
        <w:t xml:space="preserve"> grounded in Pallasmaa’s (2005) theory of the sensory threshold;</w:t>
      </w:r>
      <w:r w:rsidR="00C74384" w:rsidRPr="00370695">
        <w:rPr>
          <w:rFonts w:ascii="Arial" w:hAnsi="Arial" w:cs="Arial"/>
        </w:rPr>
        <w:t xml:space="preserve"> </w:t>
      </w:r>
      <w:r w:rsidR="00042593" w:rsidRPr="00370695">
        <w:rPr>
          <w:rFonts w:ascii="Arial" w:hAnsi="Arial" w:cs="Arial"/>
        </w:rPr>
        <w:t>sensory and cognitive performance,</w:t>
      </w:r>
      <w:r w:rsidR="00744B46">
        <w:rPr>
          <w:rFonts w:ascii="Arial" w:hAnsi="Arial" w:cs="Arial"/>
        </w:rPr>
        <w:t xml:space="preserve"> utilising Maslin’s (2022) mind friendly frame</w:t>
      </w:r>
      <w:r w:rsidR="00CC4330">
        <w:rPr>
          <w:rFonts w:ascii="Arial" w:hAnsi="Arial" w:cs="Arial"/>
        </w:rPr>
        <w:t>work;</w:t>
      </w:r>
      <w:r w:rsidR="00042593" w:rsidRPr="00370695">
        <w:rPr>
          <w:rFonts w:ascii="Arial" w:hAnsi="Arial" w:cs="Arial"/>
        </w:rPr>
        <w:t xml:space="preserve"> and movement</w:t>
      </w:r>
      <w:r w:rsidR="00CC4330">
        <w:rPr>
          <w:rFonts w:ascii="Arial" w:hAnsi="Arial" w:cs="Arial"/>
        </w:rPr>
        <w:t>, applying Seamon’s (1979) concept of the body ballet</w:t>
      </w:r>
      <w:r w:rsidR="00042593" w:rsidRPr="00370695">
        <w:rPr>
          <w:rFonts w:ascii="Arial" w:hAnsi="Arial" w:cs="Arial"/>
        </w:rPr>
        <w:t xml:space="preserve">. </w:t>
      </w:r>
      <w:r w:rsidR="001366E6" w:rsidRPr="00370695">
        <w:rPr>
          <w:rFonts w:ascii="Arial" w:hAnsi="Arial" w:cs="Arial"/>
        </w:rPr>
        <w:t xml:space="preserve">These themes were structured into a table to provide a standardised protocol for data collection during the site audits. This table serves as the </w:t>
      </w:r>
      <w:r w:rsidR="001366E6" w:rsidRPr="00370695">
        <w:rPr>
          <w:rFonts w:ascii="Arial" w:hAnsi="Arial" w:cs="Arial"/>
        </w:rPr>
        <w:lastRenderedPageBreak/>
        <w:t xml:space="preserve">primary </w:t>
      </w:r>
      <w:r w:rsidR="00886D30" w:rsidRPr="00370695">
        <w:rPr>
          <w:rFonts w:ascii="Arial" w:hAnsi="Arial" w:cs="Arial"/>
        </w:rPr>
        <w:t xml:space="preserve">recipe for the comparison, ensuring that both the heritage and contemporary buildings are </w:t>
      </w:r>
      <w:r w:rsidR="00EC2428" w:rsidRPr="00370695">
        <w:rPr>
          <w:rFonts w:ascii="Arial" w:hAnsi="Arial" w:cs="Arial"/>
        </w:rPr>
        <w:t>judged</w:t>
      </w:r>
      <w:r w:rsidR="00886D30" w:rsidRPr="00370695">
        <w:rPr>
          <w:rFonts w:ascii="Arial" w:hAnsi="Arial" w:cs="Arial"/>
        </w:rPr>
        <w:t xml:space="preserve"> against the same criteria. Reiterating this consistency is important</w:t>
      </w:r>
      <w:r w:rsidR="002B020A" w:rsidRPr="00370695">
        <w:rPr>
          <w:rFonts w:ascii="Arial" w:hAnsi="Arial" w:cs="Arial"/>
        </w:rPr>
        <w:t xml:space="preserve">, as by using identical </w:t>
      </w:r>
      <w:r w:rsidR="00EC2428" w:rsidRPr="00370695">
        <w:rPr>
          <w:rFonts w:ascii="Arial" w:hAnsi="Arial" w:cs="Arial"/>
        </w:rPr>
        <w:t>benchmarks</w:t>
      </w:r>
      <w:r w:rsidR="002B020A" w:rsidRPr="00370695">
        <w:rPr>
          <w:rFonts w:ascii="Arial" w:hAnsi="Arial" w:cs="Arial"/>
        </w:rPr>
        <w:t xml:space="preserve">, the research avoids subjective bias and </w:t>
      </w:r>
      <w:r w:rsidR="000879B4" w:rsidRPr="00370695">
        <w:rPr>
          <w:rFonts w:ascii="Arial" w:hAnsi="Arial" w:cs="Arial"/>
        </w:rPr>
        <w:t xml:space="preserve">ensures that </w:t>
      </w:r>
      <w:r w:rsidR="00C76C57" w:rsidRPr="00370695">
        <w:rPr>
          <w:rFonts w:ascii="Arial" w:hAnsi="Arial" w:cs="Arial"/>
        </w:rPr>
        <w:t xml:space="preserve">the meaningful quality of the architecture is measured against </w:t>
      </w:r>
      <w:r w:rsidR="000649DD" w:rsidRPr="00370695">
        <w:rPr>
          <w:rFonts w:ascii="Arial" w:hAnsi="Arial" w:cs="Arial"/>
        </w:rPr>
        <w:t xml:space="preserve">the same </w:t>
      </w:r>
      <w:r w:rsidR="004A5C3C">
        <w:rPr>
          <w:rFonts w:ascii="Arial" w:hAnsi="Arial" w:cs="Arial"/>
        </w:rPr>
        <w:t>UD</w:t>
      </w:r>
      <w:r w:rsidR="005A7CE5">
        <w:rPr>
          <w:rFonts w:ascii="Arial" w:hAnsi="Arial" w:cs="Arial"/>
        </w:rPr>
        <w:t xml:space="preserve"> standards established by Mace (1985)</w:t>
      </w:r>
      <w:r w:rsidR="000649DD" w:rsidRPr="00370695">
        <w:rPr>
          <w:rFonts w:ascii="Arial" w:hAnsi="Arial" w:cs="Arial"/>
        </w:rPr>
        <w:t>. This approach ensures that the performance of the built environment is evaluated on the quality</w:t>
      </w:r>
      <w:r w:rsidR="004C4816" w:rsidRPr="00370695">
        <w:rPr>
          <w:rFonts w:ascii="Arial" w:hAnsi="Arial" w:cs="Arial"/>
        </w:rPr>
        <w:t xml:space="preserve"> of the user experience, regardless of the building’s age.</w:t>
      </w:r>
      <w:r w:rsidR="00733B68" w:rsidRPr="00B93680">
        <w:rPr>
          <w:rFonts w:ascii="Arial" w:hAnsi="Arial" w:cs="Arial"/>
          <w:color w:val="EE0000"/>
        </w:rPr>
        <w:t xml:space="preserve"> </w:t>
      </w:r>
    </w:p>
    <w:p w14:paraId="52EE96E5" w14:textId="7AB7175D" w:rsidR="001001CE" w:rsidRPr="000074D1" w:rsidRDefault="00F57A04" w:rsidP="00F57A04">
      <w:pPr>
        <w:pStyle w:val="Heading2"/>
        <w:spacing w:line="360" w:lineRule="auto"/>
        <w:rPr>
          <w:rFonts w:ascii="Arial" w:hAnsi="Arial" w:cs="Arial"/>
          <w:b/>
          <w:bCs/>
          <w:sz w:val="28"/>
          <w:szCs w:val="28"/>
        </w:rPr>
      </w:pPr>
      <w:bookmarkStart w:id="28" w:name="_Toc228359248"/>
      <w:r w:rsidRPr="000074D1">
        <w:rPr>
          <w:rFonts w:ascii="Arial" w:hAnsi="Arial" w:cs="Arial"/>
          <w:sz w:val="28"/>
          <w:szCs w:val="28"/>
        </w:rPr>
        <w:t>3.2</w:t>
      </w:r>
      <w:r w:rsidR="001001CE" w:rsidRPr="000074D1">
        <w:rPr>
          <w:rFonts w:ascii="Arial" w:hAnsi="Arial" w:cs="Arial"/>
          <w:sz w:val="28"/>
          <w:szCs w:val="28"/>
        </w:rPr>
        <w:t xml:space="preserve"> </w:t>
      </w:r>
      <w:r w:rsidRPr="000074D1">
        <w:rPr>
          <w:rFonts w:ascii="Arial" w:hAnsi="Arial" w:cs="Arial"/>
          <w:sz w:val="28"/>
          <w:szCs w:val="28"/>
        </w:rPr>
        <w:tab/>
      </w:r>
      <w:r w:rsidR="001001CE" w:rsidRPr="000074D1">
        <w:rPr>
          <w:rFonts w:ascii="Arial" w:hAnsi="Arial" w:cs="Arial"/>
          <w:sz w:val="28"/>
          <w:szCs w:val="28"/>
        </w:rPr>
        <w:t>Site Audits (Primary Data)</w:t>
      </w:r>
      <w:bookmarkEnd w:id="28"/>
    </w:p>
    <w:p w14:paraId="60AE725B" w14:textId="1E3B7174" w:rsidR="006627D7" w:rsidRDefault="006627D7" w:rsidP="00E36D4C">
      <w:pPr>
        <w:spacing w:line="360" w:lineRule="auto"/>
        <w:rPr>
          <w:rFonts w:ascii="Arial" w:hAnsi="Arial" w:cs="Arial"/>
        </w:rPr>
      </w:pPr>
      <w:r>
        <w:rPr>
          <w:rFonts w:ascii="Arial" w:hAnsi="Arial" w:cs="Arial"/>
        </w:rPr>
        <w:t xml:space="preserve">Primary data collection is executed through </w:t>
      </w:r>
      <w:r w:rsidR="0022449A">
        <w:rPr>
          <w:rFonts w:ascii="Arial" w:hAnsi="Arial" w:cs="Arial"/>
        </w:rPr>
        <w:t>structured site audits</w:t>
      </w:r>
      <w:r w:rsidR="005F172E">
        <w:rPr>
          <w:rFonts w:ascii="Arial" w:hAnsi="Arial" w:cs="Arial"/>
        </w:rPr>
        <w:t xml:space="preserve"> – specifically visual and observational – conducted </w:t>
      </w:r>
      <w:r w:rsidR="000C3823">
        <w:rPr>
          <w:rFonts w:ascii="Arial" w:hAnsi="Arial" w:cs="Arial"/>
        </w:rPr>
        <w:t xml:space="preserve">in January </w:t>
      </w:r>
      <w:r w:rsidR="0022449A">
        <w:rPr>
          <w:rFonts w:ascii="Arial" w:hAnsi="Arial" w:cs="Arial"/>
        </w:rPr>
        <w:t xml:space="preserve">and April 2026. These audits both follow a user journey, starting from the </w:t>
      </w:r>
      <w:r w:rsidR="00862742">
        <w:rPr>
          <w:rFonts w:ascii="Arial" w:hAnsi="Arial" w:cs="Arial"/>
        </w:rPr>
        <w:t>primary entrance</w:t>
      </w:r>
      <w:r w:rsidR="00501D54">
        <w:rPr>
          <w:rFonts w:ascii="Arial" w:hAnsi="Arial" w:cs="Arial"/>
        </w:rPr>
        <w:t xml:space="preserve"> and following the public circulation of buildings through the main spaces.</w:t>
      </w:r>
      <w:r w:rsidR="00493288">
        <w:rPr>
          <w:rFonts w:ascii="Arial" w:hAnsi="Arial" w:cs="Arial"/>
        </w:rPr>
        <w:t xml:space="preserve"> Rather than focusing on technical measurements, this phased utilised a systematic photographic survey to capture main </w:t>
      </w:r>
      <w:r w:rsidR="00204D6B">
        <w:rPr>
          <w:rFonts w:ascii="Arial" w:hAnsi="Arial" w:cs="Arial"/>
        </w:rPr>
        <w:t xml:space="preserve">points of the building connecting to the comparative framework, so that the analysis of data can be successfully linked to photographic evidence. </w:t>
      </w:r>
      <w:r w:rsidR="00691007">
        <w:rPr>
          <w:rFonts w:ascii="Arial" w:hAnsi="Arial" w:cs="Arial"/>
        </w:rPr>
        <w:t xml:space="preserve">The </w:t>
      </w:r>
      <w:r w:rsidR="00431D2C">
        <w:rPr>
          <w:rFonts w:ascii="Arial" w:hAnsi="Arial" w:cs="Arial"/>
        </w:rPr>
        <w:t xml:space="preserve">method also </w:t>
      </w:r>
      <w:r w:rsidR="00060F6B">
        <w:rPr>
          <w:rFonts w:ascii="Arial" w:hAnsi="Arial" w:cs="Arial"/>
        </w:rPr>
        <w:t xml:space="preserve">incorporated </w:t>
      </w:r>
      <w:r w:rsidR="00790105">
        <w:rPr>
          <w:rFonts w:ascii="Arial" w:hAnsi="Arial" w:cs="Arial"/>
        </w:rPr>
        <w:t xml:space="preserve">an </w:t>
      </w:r>
      <w:commentRangeStart w:id="29"/>
      <w:r w:rsidR="00790105">
        <w:rPr>
          <w:rFonts w:ascii="Arial" w:hAnsi="Arial" w:cs="Arial"/>
        </w:rPr>
        <w:t xml:space="preserve">autoethnographic </w:t>
      </w:r>
      <w:r w:rsidR="009A3F44">
        <w:rPr>
          <w:rFonts w:ascii="Arial" w:hAnsi="Arial" w:cs="Arial"/>
        </w:rPr>
        <w:t>study</w:t>
      </w:r>
      <w:r w:rsidR="0052158F">
        <w:rPr>
          <w:rFonts w:ascii="Arial" w:hAnsi="Arial" w:cs="Arial"/>
        </w:rPr>
        <w:t xml:space="preserve"> approach</w:t>
      </w:r>
      <w:commentRangeEnd w:id="29"/>
      <w:r w:rsidR="00474609">
        <w:rPr>
          <w:rStyle w:val="CommentReference"/>
          <w:rFonts w:ascii="Arial" w:hAnsi="Arial" w:cs="Arial"/>
          <w:sz w:val="22"/>
          <w:szCs w:val="22"/>
        </w:rPr>
        <w:commentReference w:id="29"/>
      </w:r>
      <w:r w:rsidR="000C6CE8">
        <w:rPr>
          <w:rFonts w:ascii="Arial" w:hAnsi="Arial" w:cs="Arial"/>
        </w:rPr>
        <w:t xml:space="preserve"> as explained in section 2.6,</w:t>
      </w:r>
      <w:r w:rsidR="009A3F44">
        <w:rPr>
          <w:rFonts w:ascii="Arial" w:hAnsi="Arial" w:cs="Arial"/>
        </w:rPr>
        <w:t xml:space="preserve"> </w:t>
      </w:r>
      <w:r w:rsidR="0052158F">
        <w:rPr>
          <w:rFonts w:ascii="Arial" w:hAnsi="Arial" w:cs="Arial"/>
        </w:rPr>
        <w:t xml:space="preserve">which involved </w:t>
      </w:r>
      <w:r w:rsidR="00A94794">
        <w:rPr>
          <w:rFonts w:ascii="Arial" w:hAnsi="Arial" w:cs="Arial"/>
        </w:rPr>
        <w:t xml:space="preserve">the researcher </w:t>
      </w:r>
      <w:r w:rsidR="00136766">
        <w:rPr>
          <w:rFonts w:ascii="Arial" w:hAnsi="Arial" w:cs="Arial"/>
        </w:rPr>
        <w:t xml:space="preserve">doing a careful observation of </w:t>
      </w:r>
      <w:r w:rsidR="0099437F">
        <w:rPr>
          <w:rFonts w:ascii="Arial" w:hAnsi="Arial" w:cs="Arial"/>
        </w:rPr>
        <w:t xml:space="preserve">the main spaces including the galleries in the Glynn Vivian and the auditorium and foyer in the Swansea Arena. </w:t>
      </w:r>
      <w:r w:rsidR="00315D51">
        <w:rPr>
          <w:rFonts w:ascii="Arial" w:hAnsi="Arial" w:cs="Arial"/>
        </w:rPr>
        <w:t xml:space="preserve">Following the sensory ethnography </w:t>
      </w:r>
      <w:r w:rsidR="00986839">
        <w:rPr>
          <w:rFonts w:ascii="Arial" w:hAnsi="Arial" w:cs="Arial"/>
        </w:rPr>
        <w:t>framework</w:t>
      </w:r>
      <w:r w:rsidR="00315D51">
        <w:rPr>
          <w:rFonts w:ascii="Arial" w:hAnsi="Arial" w:cs="Arial"/>
        </w:rPr>
        <w:t xml:space="preserve"> established by Pink (2015), the researcher</w:t>
      </w:r>
      <w:r w:rsidR="00352D55">
        <w:rPr>
          <w:rFonts w:ascii="Arial" w:hAnsi="Arial" w:cs="Arial"/>
        </w:rPr>
        <w:t xml:space="preserve"> </w:t>
      </w:r>
      <w:r w:rsidR="00315D51">
        <w:rPr>
          <w:rFonts w:ascii="Arial" w:hAnsi="Arial" w:cs="Arial"/>
        </w:rPr>
        <w:t>remained</w:t>
      </w:r>
      <w:r w:rsidR="00E36B63">
        <w:rPr>
          <w:rFonts w:ascii="Arial" w:hAnsi="Arial" w:cs="Arial"/>
        </w:rPr>
        <w:t xml:space="preserve"> stationary </w:t>
      </w:r>
      <w:r w:rsidR="001112AE">
        <w:rPr>
          <w:rFonts w:ascii="Arial" w:hAnsi="Arial" w:cs="Arial"/>
        </w:rPr>
        <w:t xml:space="preserve">for </w:t>
      </w:r>
      <w:r w:rsidR="00761FF1">
        <w:rPr>
          <w:rFonts w:ascii="Arial" w:hAnsi="Arial" w:cs="Arial"/>
        </w:rPr>
        <w:t>1</w:t>
      </w:r>
      <w:r w:rsidR="00F24A2E">
        <w:rPr>
          <w:rFonts w:ascii="Arial" w:hAnsi="Arial" w:cs="Arial"/>
        </w:rPr>
        <w:t>0</w:t>
      </w:r>
      <w:r w:rsidR="001A67F1">
        <w:rPr>
          <w:rFonts w:ascii="Arial" w:hAnsi="Arial" w:cs="Arial"/>
        </w:rPr>
        <w:t xml:space="preserve"> minutes </w:t>
      </w:r>
      <w:r w:rsidR="00E36B63">
        <w:rPr>
          <w:rFonts w:ascii="Arial" w:hAnsi="Arial" w:cs="Arial"/>
        </w:rPr>
        <w:t xml:space="preserve">to evaluate acoustic reverberation, lighting and intuitive legibility which were all recorded in the </w:t>
      </w:r>
      <w:r w:rsidR="00735332">
        <w:rPr>
          <w:rFonts w:ascii="Arial" w:hAnsi="Arial" w:cs="Arial"/>
        </w:rPr>
        <w:t>comparative framework based on the researcher’s experience.</w:t>
      </w:r>
      <w:r w:rsidR="008C1EA7">
        <w:rPr>
          <w:rFonts w:ascii="Arial" w:hAnsi="Arial" w:cs="Arial"/>
        </w:rPr>
        <w:t xml:space="preserve"> These audits allow the researcher to interview the building itself, comparing the architectural intentions stated in the Design and Access Statements </w:t>
      </w:r>
      <w:r w:rsidR="00911750">
        <w:rPr>
          <w:rFonts w:ascii="Arial" w:hAnsi="Arial" w:cs="Arial"/>
        </w:rPr>
        <w:t>(DAS)</w:t>
      </w:r>
      <w:r w:rsidR="00455097">
        <w:rPr>
          <w:rFonts w:ascii="Arial" w:hAnsi="Arial" w:cs="Arial"/>
        </w:rPr>
        <w:t xml:space="preserve"> with </w:t>
      </w:r>
      <w:r w:rsidR="00001B09">
        <w:rPr>
          <w:rFonts w:ascii="Arial" w:hAnsi="Arial" w:cs="Arial"/>
        </w:rPr>
        <w:t xml:space="preserve">the actual built environment </w:t>
      </w:r>
      <w:r w:rsidR="0077003C">
        <w:rPr>
          <w:rFonts w:ascii="Arial" w:hAnsi="Arial" w:cs="Arial"/>
        </w:rPr>
        <w:t>and how it works post occupancy</w:t>
      </w:r>
      <w:r w:rsidR="00986839">
        <w:rPr>
          <w:rFonts w:ascii="Arial" w:hAnsi="Arial" w:cs="Arial"/>
        </w:rPr>
        <w:t xml:space="preserve">. This approach is validated by Low (2016), who argues that </w:t>
      </w:r>
      <w:r w:rsidR="00E80680">
        <w:rPr>
          <w:rFonts w:ascii="Arial" w:hAnsi="Arial" w:cs="Arial"/>
        </w:rPr>
        <w:t xml:space="preserve">spatializing culture requires the </w:t>
      </w:r>
      <w:r w:rsidR="003D4184">
        <w:rPr>
          <w:rFonts w:ascii="Arial" w:hAnsi="Arial" w:cs="Arial"/>
        </w:rPr>
        <w:t>researcher</w:t>
      </w:r>
      <w:r w:rsidR="00E80680">
        <w:rPr>
          <w:rFonts w:ascii="Arial" w:hAnsi="Arial" w:cs="Arial"/>
        </w:rPr>
        <w:t xml:space="preserve"> to use their own body as a primary data collection to uncover sensory la</w:t>
      </w:r>
      <w:r w:rsidR="003D4184">
        <w:rPr>
          <w:rFonts w:ascii="Arial" w:hAnsi="Arial" w:cs="Arial"/>
        </w:rPr>
        <w:t>ndscapes that technical drawings often omit.</w:t>
      </w:r>
    </w:p>
    <w:p w14:paraId="34C826E8" w14:textId="77777777" w:rsidR="00D51CC5" w:rsidRDefault="00D51CC5" w:rsidP="00D51CC5">
      <w:pPr>
        <w:spacing w:line="360" w:lineRule="auto"/>
      </w:pPr>
    </w:p>
    <w:p w14:paraId="7D897003" w14:textId="7C095582" w:rsidR="00D51CC5" w:rsidRPr="000074D1" w:rsidRDefault="00952183" w:rsidP="00F57A04">
      <w:pPr>
        <w:pStyle w:val="Heading2"/>
        <w:spacing w:line="360" w:lineRule="auto"/>
        <w:rPr>
          <w:rFonts w:ascii="Arial" w:hAnsi="Arial" w:cs="Arial"/>
          <w:sz w:val="28"/>
          <w:szCs w:val="28"/>
        </w:rPr>
      </w:pPr>
      <w:bookmarkStart w:id="30" w:name="_Toc228359249"/>
      <w:r w:rsidRPr="000074D1">
        <w:rPr>
          <w:rFonts w:ascii="Arial" w:hAnsi="Arial" w:cs="Arial"/>
          <w:sz w:val="28"/>
          <w:szCs w:val="28"/>
        </w:rPr>
        <w:t>3</w:t>
      </w:r>
      <w:r w:rsidR="00D51CC5" w:rsidRPr="000074D1">
        <w:rPr>
          <w:rFonts w:ascii="Arial" w:hAnsi="Arial" w:cs="Arial"/>
          <w:sz w:val="28"/>
          <w:szCs w:val="28"/>
        </w:rPr>
        <w:t>.</w:t>
      </w:r>
      <w:r w:rsidR="00F57A04" w:rsidRPr="000074D1">
        <w:rPr>
          <w:rFonts w:ascii="Arial" w:hAnsi="Arial" w:cs="Arial"/>
          <w:sz w:val="28"/>
          <w:szCs w:val="28"/>
        </w:rPr>
        <w:t>3</w:t>
      </w:r>
      <w:r w:rsidR="00F57A04" w:rsidRPr="000074D1">
        <w:rPr>
          <w:rFonts w:ascii="Arial" w:hAnsi="Arial" w:cs="Arial"/>
          <w:sz w:val="28"/>
          <w:szCs w:val="28"/>
        </w:rPr>
        <w:tab/>
      </w:r>
      <w:r w:rsidR="00D51CC5" w:rsidRPr="000074D1">
        <w:rPr>
          <w:rFonts w:ascii="Arial" w:hAnsi="Arial" w:cs="Arial"/>
          <w:sz w:val="28"/>
          <w:szCs w:val="28"/>
        </w:rPr>
        <w:t xml:space="preserve"> </w:t>
      </w:r>
      <w:commentRangeStart w:id="31"/>
      <w:r w:rsidR="0054298D" w:rsidRPr="000074D1">
        <w:rPr>
          <w:rFonts w:ascii="Arial" w:hAnsi="Arial" w:cs="Arial"/>
          <w:sz w:val="28"/>
          <w:szCs w:val="28"/>
        </w:rPr>
        <w:t xml:space="preserve">Comparative </w:t>
      </w:r>
      <w:commentRangeEnd w:id="31"/>
      <w:r w:rsidR="00474609" w:rsidRPr="000074D1">
        <w:rPr>
          <w:rStyle w:val="CommentReference"/>
          <w:rFonts w:ascii="Arial" w:hAnsi="Arial" w:cs="Arial"/>
          <w:sz w:val="28"/>
          <w:szCs w:val="28"/>
        </w:rPr>
        <w:commentReference w:id="31"/>
      </w:r>
      <w:r w:rsidR="0054298D" w:rsidRPr="000074D1">
        <w:rPr>
          <w:rFonts w:ascii="Arial" w:hAnsi="Arial" w:cs="Arial"/>
          <w:sz w:val="28"/>
          <w:szCs w:val="28"/>
        </w:rPr>
        <w:t xml:space="preserve">Analysis between primary and </w:t>
      </w:r>
      <w:r w:rsidR="0077003C" w:rsidRPr="000074D1">
        <w:rPr>
          <w:rFonts w:ascii="Arial" w:hAnsi="Arial" w:cs="Arial"/>
          <w:sz w:val="28"/>
          <w:szCs w:val="28"/>
        </w:rPr>
        <w:t>secondary data</w:t>
      </w:r>
      <w:bookmarkEnd w:id="30"/>
    </w:p>
    <w:p w14:paraId="0DE2A280" w14:textId="27CF39E4" w:rsidR="00237DBD" w:rsidRDefault="00F7196A" w:rsidP="00237DBD">
      <w:pPr>
        <w:spacing w:line="360" w:lineRule="auto"/>
        <w:jc w:val="both"/>
        <w:rPr>
          <w:rFonts w:ascii="Arial" w:hAnsi="Arial" w:cs="Arial"/>
        </w:rPr>
      </w:pPr>
      <w:r>
        <w:rPr>
          <w:rFonts w:ascii="Arial" w:hAnsi="Arial" w:cs="Arial"/>
        </w:rPr>
        <w:t>The final stage of the method involves a comparative analysis between primary and secondary data</w:t>
      </w:r>
      <w:r w:rsidR="006F140C">
        <w:rPr>
          <w:rFonts w:ascii="Arial" w:hAnsi="Arial" w:cs="Arial"/>
        </w:rPr>
        <w:t>. The primary objective of this synthesis is to identify the compliance gap, specifically the disconnect between the theoretical in</w:t>
      </w:r>
      <w:r w:rsidR="00417F75">
        <w:rPr>
          <w:rFonts w:ascii="Arial" w:hAnsi="Arial" w:cs="Arial"/>
        </w:rPr>
        <w:t xml:space="preserve">clusive </w:t>
      </w:r>
      <w:r w:rsidR="00ED1C0E">
        <w:rPr>
          <w:rFonts w:ascii="Arial" w:hAnsi="Arial" w:cs="Arial"/>
        </w:rPr>
        <w:t>goals</w:t>
      </w:r>
      <w:r w:rsidR="00417F75">
        <w:rPr>
          <w:rFonts w:ascii="Arial" w:hAnsi="Arial" w:cs="Arial"/>
        </w:rPr>
        <w:t xml:space="preserve"> of a project and its practical, post occupancy performance. </w:t>
      </w:r>
    </w:p>
    <w:p w14:paraId="7C5C9484" w14:textId="159B19A6" w:rsidR="00AA05D8" w:rsidRDefault="006C02C9" w:rsidP="00AA05D8">
      <w:pPr>
        <w:spacing w:line="360" w:lineRule="auto"/>
        <w:rPr>
          <w:rFonts w:ascii="Arial" w:hAnsi="Arial" w:cs="Arial"/>
        </w:rPr>
      </w:pPr>
      <w:r>
        <w:rPr>
          <w:rFonts w:ascii="Arial" w:hAnsi="Arial" w:cs="Arial"/>
        </w:rPr>
        <w:t>The DAS are utilised as the theoretical base</w:t>
      </w:r>
      <w:r w:rsidR="002B48ED">
        <w:rPr>
          <w:rFonts w:ascii="Arial" w:hAnsi="Arial" w:cs="Arial"/>
        </w:rPr>
        <w:t>line for each site. These documents provide the blueprint for original design intent</w:t>
      </w:r>
      <w:r w:rsidR="00CB60B1">
        <w:rPr>
          <w:rFonts w:ascii="Arial" w:hAnsi="Arial" w:cs="Arial"/>
        </w:rPr>
        <w:t xml:space="preserve">, including detail on how inclusivity is </w:t>
      </w:r>
      <w:r w:rsidR="006D6D24">
        <w:rPr>
          <w:rFonts w:ascii="Arial" w:hAnsi="Arial" w:cs="Arial"/>
        </w:rPr>
        <w:t xml:space="preserve">included. These </w:t>
      </w:r>
      <w:r w:rsidR="006D6D24">
        <w:rPr>
          <w:rFonts w:ascii="Arial" w:hAnsi="Arial" w:cs="Arial"/>
        </w:rPr>
        <w:lastRenderedPageBreak/>
        <w:t xml:space="preserve">official commitments are then cross referenced with the visual audits and autoethnographic studies recorded during the site visits. </w:t>
      </w:r>
      <w:r w:rsidR="00171FC8">
        <w:rPr>
          <w:rFonts w:ascii="Arial" w:hAnsi="Arial" w:cs="Arial"/>
        </w:rPr>
        <w:t xml:space="preserve"> This method aligns with the principles of Post Occupancy Evaluation (POE), which Preiser, Nasar and White (2014) define as the process of evaluating buildings in a systematic manner after they have been occupied. </w:t>
      </w:r>
      <w:r w:rsidR="006D6D24">
        <w:rPr>
          <w:rFonts w:ascii="Arial" w:hAnsi="Arial" w:cs="Arial"/>
        </w:rPr>
        <w:t xml:space="preserve">The comparative framework acts as the mechanism for the synthesis as it allows for a direct, </w:t>
      </w:r>
      <w:r w:rsidR="00AA05D8">
        <w:rPr>
          <w:rFonts w:ascii="Arial" w:hAnsi="Arial" w:cs="Arial"/>
        </w:rPr>
        <w:t>parallel evaluation where the intent from the DAS is verified or challenged by the results observed in the site audits</w:t>
      </w:r>
      <w:r w:rsidR="00E05264">
        <w:rPr>
          <w:rFonts w:ascii="Arial" w:hAnsi="Arial" w:cs="Arial"/>
        </w:rPr>
        <w:t xml:space="preserve">. By judging both buildings against the same criteria of </w:t>
      </w:r>
      <w:r w:rsidR="001E2493">
        <w:rPr>
          <w:rFonts w:ascii="Arial" w:hAnsi="Arial" w:cs="Arial"/>
        </w:rPr>
        <w:t>DOA</w:t>
      </w:r>
      <w:r w:rsidR="00E05264">
        <w:rPr>
          <w:rFonts w:ascii="Arial" w:hAnsi="Arial" w:cs="Arial"/>
        </w:rPr>
        <w:t xml:space="preserve">, Sensory Performance and Movement, the analysis maintains a </w:t>
      </w:r>
      <w:r w:rsidR="00220051">
        <w:rPr>
          <w:rFonts w:ascii="Arial" w:hAnsi="Arial" w:cs="Arial"/>
        </w:rPr>
        <w:t>consistent</w:t>
      </w:r>
      <w:r w:rsidR="00E05264">
        <w:rPr>
          <w:rFonts w:ascii="Arial" w:hAnsi="Arial" w:cs="Arial"/>
        </w:rPr>
        <w:t xml:space="preserve"> and transparent </w:t>
      </w:r>
      <w:r w:rsidR="00220051">
        <w:rPr>
          <w:rFonts w:ascii="Arial" w:hAnsi="Arial" w:cs="Arial"/>
        </w:rPr>
        <w:t>standard.</w:t>
      </w:r>
    </w:p>
    <w:p w14:paraId="282CE81A" w14:textId="287521A5" w:rsidR="007E7755" w:rsidRDefault="007E7755">
      <w:pPr>
        <w:rPr>
          <w:rFonts w:ascii="Arial" w:eastAsiaTheme="majorEastAsia" w:hAnsi="Arial" w:cs="Arial"/>
          <w:b/>
          <w:bCs/>
          <w:sz w:val="32"/>
          <w:szCs w:val="32"/>
        </w:rPr>
      </w:pPr>
      <w:r>
        <w:rPr>
          <w:rFonts w:ascii="Arial" w:hAnsi="Arial" w:cs="Arial"/>
          <w:b/>
          <w:bCs/>
        </w:rPr>
        <w:br w:type="page"/>
      </w:r>
    </w:p>
    <w:p w14:paraId="76F4DA01" w14:textId="377D717E" w:rsidR="00094B95" w:rsidRPr="005C3A65" w:rsidRDefault="00606095" w:rsidP="005C3A65">
      <w:pPr>
        <w:pStyle w:val="Heading1"/>
        <w:rPr>
          <w:rFonts w:ascii="Arial" w:hAnsi="Arial" w:cs="Arial"/>
          <w:b/>
          <w:bCs/>
        </w:rPr>
      </w:pPr>
      <w:bookmarkStart w:id="32" w:name="_Toc228359250"/>
      <w:r w:rsidRPr="003C3741">
        <w:rPr>
          <w:rFonts w:ascii="Arial" w:hAnsi="Arial" w:cs="Arial"/>
          <w:b/>
          <w:bCs/>
        </w:rPr>
        <w:lastRenderedPageBreak/>
        <w:t xml:space="preserve">Chapter </w:t>
      </w:r>
      <w:r w:rsidR="007E7755" w:rsidRPr="003C3741">
        <w:rPr>
          <w:rFonts w:ascii="Arial" w:hAnsi="Arial" w:cs="Arial"/>
          <w:b/>
          <w:bCs/>
        </w:rPr>
        <w:t>4</w:t>
      </w:r>
      <w:r w:rsidRPr="003C3741">
        <w:rPr>
          <w:rFonts w:ascii="Arial" w:hAnsi="Arial" w:cs="Arial"/>
          <w:b/>
          <w:bCs/>
        </w:rPr>
        <w:t xml:space="preserve">: </w:t>
      </w:r>
      <w:r w:rsidR="003C3741">
        <w:rPr>
          <w:rFonts w:ascii="Arial" w:hAnsi="Arial" w:cs="Arial"/>
          <w:b/>
          <w:bCs/>
        </w:rPr>
        <w:t xml:space="preserve">Case Study </w:t>
      </w:r>
      <w:r w:rsidR="007E7755" w:rsidRPr="003C3741">
        <w:rPr>
          <w:rFonts w:ascii="Arial" w:hAnsi="Arial" w:cs="Arial"/>
          <w:b/>
          <w:bCs/>
        </w:rPr>
        <w:t>Findings</w:t>
      </w:r>
      <w:bookmarkStart w:id="33" w:name="_Hlk62472134"/>
      <w:bookmarkEnd w:id="32"/>
    </w:p>
    <w:p w14:paraId="153CDE46" w14:textId="77777777" w:rsidR="00DF7299" w:rsidRDefault="00DF7299" w:rsidP="00842C45">
      <w:pPr>
        <w:pStyle w:val="Heading2"/>
        <w:spacing w:line="360" w:lineRule="auto"/>
        <w:jc w:val="both"/>
        <w:rPr>
          <w:rFonts w:ascii="Arial" w:hAnsi="Arial" w:cs="Arial"/>
          <w:sz w:val="28"/>
          <w:szCs w:val="28"/>
        </w:rPr>
      </w:pPr>
    </w:p>
    <w:p w14:paraId="2C75F2B4" w14:textId="3AC81FDA" w:rsidR="00113772" w:rsidRDefault="00EB407D" w:rsidP="001025D6">
      <w:pPr>
        <w:pStyle w:val="Heading2"/>
        <w:spacing w:line="360" w:lineRule="auto"/>
        <w:jc w:val="both"/>
        <w:rPr>
          <w:rFonts w:ascii="Arial" w:hAnsi="Arial" w:cs="Arial"/>
          <w:sz w:val="28"/>
          <w:szCs w:val="28"/>
        </w:rPr>
      </w:pPr>
      <w:bookmarkStart w:id="34" w:name="_Toc228359251"/>
      <w:r>
        <w:rPr>
          <w:rFonts w:ascii="Arial" w:hAnsi="Arial" w:cs="Arial"/>
          <w:sz w:val="28"/>
          <w:szCs w:val="28"/>
        </w:rPr>
        <w:t>4</w:t>
      </w:r>
      <w:r w:rsidR="00842C45">
        <w:rPr>
          <w:rFonts w:ascii="Arial" w:hAnsi="Arial" w:cs="Arial"/>
          <w:sz w:val="28"/>
          <w:szCs w:val="28"/>
        </w:rPr>
        <w:t>.</w:t>
      </w:r>
      <w:r w:rsidR="005C3A65">
        <w:rPr>
          <w:rFonts w:ascii="Arial" w:hAnsi="Arial" w:cs="Arial"/>
          <w:sz w:val="28"/>
          <w:szCs w:val="28"/>
        </w:rPr>
        <w:t>1</w:t>
      </w:r>
      <w:r w:rsidR="00842C45">
        <w:rPr>
          <w:rFonts w:ascii="Arial" w:hAnsi="Arial" w:cs="Arial"/>
          <w:sz w:val="28"/>
          <w:szCs w:val="28"/>
        </w:rPr>
        <w:t xml:space="preserve">: </w:t>
      </w:r>
      <w:r w:rsidR="00DF7299">
        <w:rPr>
          <w:rFonts w:ascii="Arial" w:hAnsi="Arial" w:cs="Arial"/>
          <w:sz w:val="28"/>
          <w:szCs w:val="28"/>
        </w:rPr>
        <w:t>Case study 1</w:t>
      </w:r>
      <w:r w:rsidR="00A57986">
        <w:rPr>
          <w:rFonts w:ascii="Arial" w:hAnsi="Arial" w:cs="Arial"/>
          <w:sz w:val="28"/>
          <w:szCs w:val="28"/>
        </w:rPr>
        <w:t xml:space="preserve"> – Glynn V</w:t>
      </w:r>
      <w:r w:rsidR="0027204D">
        <w:rPr>
          <w:rFonts w:ascii="Arial" w:hAnsi="Arial" w:cs="Arial"/>
          <w:sz w:val="28"/>
          <w:szCs w:val="28"/>
        </w:rPr>
        <w:t>iv</w:t>
      </w:r>
      <w:r w:rsidR="00F93DB3">
        <w:rPr>
          <w:rFonts w:ascii="Arial" w:hAnsi="Arial" w:cs="Arial"/>
          <w:sz w:val="28"/>
          <w:szCs w:val="28"/>
        </w:rPr>
        <w:t>ian Gallery</w:t>
      </w:r>
      <w:bookmarkEnd w:id="34"/>
    </w:p>
    <w:p w14:paraId="268F2D91" w14:textId="0B583998" w:rsidR="001025D6" w:rsidRDefault="00126EF4" w:rsidP="001025D6">
      <w:r>
        <w:rPr>
          <w:noProof/>
        </w:rPr>
        <w:drawing>
          <wp:inline distT="0" distB="0" distL="0" distR="0" wp14:anchorId="51295905" wp14:editId="71AD59B2">
            <wp:extent cx="5731510" cy="3820795"/>
            <wp:effectExtent l="0" t="0" r="2540" b="8255"/>
            <wp:docPr id="202635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2DFBDC6" w14:textId="733C1B78" w:rsidR="00126EF4" w:rsidRPr="001025D6" w:rsidRDefault="00B249B6" w:rsidP="00B249B6">
      <w:pPr>
        <w:pStyle w:val="Caption"/>
      </w:pPr>
      <w:r>
        <w:t xml:space="preserve">Figure </w:t>
      </w:r>
      <w:fldSimple w:instr=" SEQ Figure \* ARABIC ">
        <w:r w:rsidR="00F904F0">
          <w:rPr>
            <w:noProof/>
          </w:rPr>
          <w:t>1</w:t>
        </w:r>
      </w:fldSimple>
      <w:r w:rsidR="005126AB">
        <w:t>:</w:t>
      </w:r>
      <w:r>
        <w:t xml:space="preserve"> </w:t>
      </w:r>
      <w:r w:rsidR="009555B8">
        <w:t>Exterior</w:t>
      </w:r>
      <w:r>
        <w:t xml:space="preserve"> </w:t>
      </w:r>
      <w:r w:rsidR="005126AB">
        <w:t>image</w:t>
      </w:r>
      <w:r>
        <w:t xml:space="preserve"> of the Glynn Vivian Art Gallery (</w:t>
      </w:r>
      <w:r w:rsidR="005126AB">
        <w:t xml:space="preserve">Glynn Vivian Art Gallery, </w:t>
      </w:r>
      <w:r>
        <w:t xml:space="preserve">2017) </w:t>
      </w:r>
    </w:p>
    <w:p w14:paraId="31F1F015" w14:textId="63DC310F" w:rsidR="00744CD0" w:rsidRPr="000074D1" w:rsidRDefault="00171093" w:rsidP="00171093">
      <w:pPr>
        <w:pStyle w:val="Heading3"/>
        <w:spacing w:line="360" w:lineRule="auto"/>
        <w:rPr>
          <w:rFonts w:ascii="Arial" w:hAnsi="Arial" w:cs="Arial"/>
          <w:color w:val="auto"/>
          <w:sz w:val="28"/>
          <w:szCs w:val="28"/>
        </w:rPr>
      </w:pPr>
      <w:bookmarkStart w:id="35" w:name="_Toc228359252"/>
      <w:r w:rsidRPr="000074D1">
        <w:rPr>
          <w:rFonts w:ascii="Arial" w:hAnsi="Arial" w:cs="Arial"/>
          <w:color w:val="auto"/>
          <w:sz w:val="28"/>
          <w:szCs w:val="28"/>
        </w:rPr>
        <w:t>4.1.1</w:t>
      </w:r>
      <w:r w:rsidR="001025D6" w:rsidRPr="000074D1">
        <w:rPr>
          <w:rFonts w:ascii="Arial" w:hAnsi="Arial" w:cs="Arial"/>
          <w:color w:val="auto"/>
          <w:sz w:val="28"/>
          <w:szCs w:val="28"/>
        </w:rPr>
        <w:t>: Project Profile and Historical Context</w:t>
      </w:r>
      <w:bookmarkEnd w:id="35"/>
    </w:p>
    <w:p w14:paraId="28712045" w14:textId="017512F8" w:rsidR="004C3CE8" w:rsidRDefault="00782E53" w:rsidP="00DD0779">
      <w:pPr>
        <w:spacing w:line="360" w:lineRule="auto"/>
        <w:rPr>
          <w:rFonts w:ascii="Arial" w:hAnsi="Arial" w:cs="Arial"/>
        </w:rPr>
      </w:pPr>
      <w:commentRangeStart w:id="36"/>
      <w:commentRangeStart w:id="37"/>
      <w:r>
        <w:rPr>
          <w:rFonts w:ascii="Arial" w:hAnsi="Arial" w:cs="Arial"/>
        </w:rPr>
        <w:t xml:space="preserve">The </w:t>
      </w:r>
      <w:commentRangeEnd w:id="36"/>
      <w:r w:rsidR="00341339">
        <w:rPr>
          <w:rStyle w:val="CommentReference"/>
          <w:rFonts w:ascii="Arial" w:hAnsi="Arial" w:cs="Arial"/>
          <w:sz w:val="22"/>
          <w:szCs w:val="22"/>
        </w:rPr>
        <w:commentReference w:id="36"/>
      </w:r>
      <w:commentRangeEnd w:id="37"/>
      <w:r w:rsidR="006212AD">
        <w:rPr>
          <w:rStyle w:val="CommentReference"/>
          <w:rFonts w:ascii="Arial" w:hAnsi="Arial" w:cs="Arial"/>
          <w:sz w:val="22"/>
          <w:szCs w:val="22"/>
        </w:rPr>
        <w:commentReference w:id="37"/>
      </w:r>
      <w:r>
        <w:rPr>
          <w:rFonts w:ascii="Arial" w:hAnsi="Arial" w:cs="Arial"/>
        </w:rPr>
        <w:t>Glynn Vivian Art Gallery is a central cultural landmark within Swansea. Originally founded by the philanthropist Richard Glynn Vivian and opened posthumously in 191</w:t>
      </w:r>
      <w:r w:rsidR="002A522C">
        <w:rPr>
          <w:rFonts w:ascii="Arial" w:hAnsi="Arial" w:cs="Arial"/>
        </w:rPr>
        <w:t xml:space="preserve">1 </w:t>
      </w:r>
      <w:r w:rsidR="004E51A8">
        <w:rPr>
          <w:rFonts w:ascii="Arial" w:hAnsi="Arial" w:cs="Arial"/>
        </w:rPr>
        <w:t xml:space="preserve">to house his </w:t>
      </w:r>
      <w:r w:rsidR="00C84506">
        <w:rPr>
          <w:rFonts w:ascii="Arial" w:hAnsi="Arial" w:cs="Arial"/>
        </w:rPr>
        <w:t xml:space="preserve">private collection of art </w:t>
      </w:r>
      <w:r w:rsidR="002A522C">
        <w:rPr>
          <w:rFonts w:ascii="Arial" w:hAnsi="Arial" w:cs="Arial"/>
        </w:rPr>
        <w:t>(</w:t>
      </w:r>
      <w:r w:rsidR="00C84506">
        <w:rPr>
          <w:rFonts w:ascii="Arial" w:hAnsi="Arial" w:cs="Arial"/>
        </w:rPr>
        <w:t>Glynn Vivian Art Gallery</w:t>
      </w:r>
      <w:r w:rsidR="002A522C">
        <w:rPr>
          <w:rFonts w:ascii="Arial" w:hAnsi="Arial" w:cs="Arial"/>
        </w:rPr>
        <w:t>, 20</w:t>
      </w:r>
      <w:r w:rsidR="00C84506">
        <w:rPr>
          <w:rFonts w:ascii="Arial" w:hAnsi="Arial" w:cs="Arial"/>
        </w:rPr>
        <w:t>1</w:t>
      </w:r>
      <w:r w:rsidR="002A522C">
        <w:rPr>
          <w:rFonts w:ascii="Arial" w:hAnsi="Arial" w:cs="Arial"/>
        </w:rPr>
        <w:t>6</w:t>
      </w:r>
      <w:r w:rsidR="002A522C" w:rsidRPr="00C8473E">
        <w:rPr>
          <w:rFonts w:ascii="Arial" w:hAnsi="Arial" w:cs="Arial"/>
        </w:rPr>
        <w:t>)</w:t>
      </w:r>
      <w:r w:rsidR="00310CF7">
        <w:rPr>
          <w:rFonts w:ascii="Arial" w:hAnsi="Arial" w:cs="Arial"/>
        </w:rPr>
        <w:t>.</w:t>
      </w:r>
      <w:r w:rsidR="006633F1">
        <w:rPr>
          <w:rFonts w:ascii="Arial" w:hAnsi="Arial" w:cs="Arial"/>
        </w:rPr>
        <w:t xml:space="preserve"> As a significant piece of Swansea’s architectural heritage, the building is designated as Grade II listed</w:t>
      </w:r>
      <w:r w:rsidR="00AF56E2">
        <w:rPr>
          <w:rFonts w:ascii="Arial" w:hAnsi="Arial" w:cs="Arial"/>
        </w:rPr>
        <w:t xml:space="preserve">. </w:t>
      </w:r>
      <w:r w:rsidR="004C3CE8">
        <w:rPr>
          <w:rFonts w:ascii="Arial" w:hAnsi="Arial" w:cs="Arial"/>
        </w:rPr>
        <w:t>After a period of closure for an extensive multi-million pound redevelopment</w:t>
      </w:r>
      <w:r w:rsidR="005F5D5C">
        <w:rPr>
          <w:rFonts w:ascii="Arial" w:hAnsi="Arial" w:cs="Arial"/>
        </w:rPr>
        <w:t xml:space="preserve"> led by Powell Dobson Architects</w:t>
      </w:r>
      <w:r w:rsidR="004C3CE8">
        <w:rPr>
          <w:rFonts w:ascii="Arial" w:hAnsi="Arial" w:cs="Arial"/>
        </w:rPr>
        <w:t>, the gallery reopened to the public in October 2016, marking a new chapter in its effort to serve 21</w:t>
      </w:r>
      <w:r w:rsidR="004C3CE8" w:rsidRPr="004C3CE8">
        <w:rPr>
          <w:rFonts w:ascii="Arial" w:hAnsi="Arial" w:cs="Arial"/>
          <w:vertAlign w:val="superscript"/>
        </w:rPr>
        <w:t>st</w:t>
      </w:r>
      <w:r w:rsidR="004C3CE8">
        <w:rPr>
          <w:rFonts w:ascii="Arial" w:hAnsi="Arial" w:cs="Arial"/>
        </w:rPr>
        <w:t xml:space="preserve"> century visitors (Glynn Vivian Art Gallery, 2016).</w:t>
      </w:r>
    </w:p>
    <w:p w14:paraId="4158D1EE" w14:textId="07E7B4AB" w:rsidR="006B6D9D" w:rsidRDefault="00CD1632" w:rsidP="009715E6">
      <w:pPr>
        <w:spacing w:line="360" w:lineRule="auto"/>
        <w:rPr>
          <w:rFonts w:ascii="Arial" w:hAnsi="Arial" w:cs="Arial"/>
        </w:rPr>
      </w:pPr>
      <w:r>
        <w:rPr>
          <w:rFonts w:ascii="Arial" w:hAnsi="Arial" w:cs="Arial"/>
        </w:rPr>
        <w:t xml:space="preserve">Architecturally, the original building reflects the Edwardian Baroque style, characterised by a monumental </w:t>
      </w:r>
      <w:r w:rsidR="006D4328">
        <w:rPr>
          <w:rFonts w:ascii="Arial" w:hAnsi="Arial" w:cs="Arial"/>
        </w:rPr>
        <w:t>approach th</w:t>
      </w:r>
      <w:r w:rsidR="00FF12A1">
        <w:rPr>
          <w:rFonts w:ascii="Arial" w:hAnsi="Arial" w:cs="Arial"/>
        </w:rPr>
        <w:t xml:space="preserve">at prioritised symmetry and grandeur. </w:t>
      </w:r>
      <w:r w:rsidR="0094601F">
        <w:rPr>
          <w:rFonts w:ascii="Arial" w:hAnsi="Arial" w:cs="Arial"/>
        </w:rPr>
        <w:t xml:space="preserve">However, </w:t>
      </w:r>
      <w:r w:rsidR="00570A04">
        <w:rPr>
          <w:rFonts w:ascii="Arial" w:hAnsi="Arial" w:cs="Arial"/>
        </w:rPr>
        <w:t>like many buildings of its era, the design was inherently exclusionary, focusing more on aesthetics</w:t>
      </w:r>
      <w:r w:rsidR="00935F4B">
        <w:rPr>
          <w:rFonts w:ascii="Arial" w:hAnsi="Arial" w:cs="Arial"/>
        </w:rPr>
        <w:t xml:space="preserve"> and utilising a stepped entrance that served as a physical and social barrier for users.</w:t>
      </w:r>
      <w:r w:rsidR="00DF08D0">
        <w:rPr>
          <w:rFonts w:ascii="Arial" w:hAnsi="Arial" w:cs="Arial"/>
        </w:rPr>
        <w:t xml:space="preserve"> The architectural language of the period </w:t>
      </w:r>
      <w:r w:rsidR="0070226A">
        <w:rPr>
          <w:rFonts w:ascii="Arial" w:hAnsi="Arial" w:cs="Arial"/>
        </w:rPr>
        <w:t>utilised these features as symbols of prestige and cultural importance</w:t>
      </w:r>
      <w:r w:rsidR="00B43DA7">
        <w:rPr>
          <w:rFonts w:ascii="Arial" w:hAnsi="Arial" w:cs="Arial"/>
        </w:rPr>
        <w:t xml:space="preserve">. </w:t>
      </w:r>
    </w:p>
    <w:p w14:paraId="64744567" w14:textId="31B329D6" w:rsidR="00171093" w:rsidRPr="000074D1" w:rsidRDefault="00171093" w:rsidP="00171093">
      <w:pPr>
        <w:pStyle w:val="Heading3"/>
        <w:spacing w:line="360" w:lineRule="auto"/>
        <w:rPr>
          <w:rFonts w:ascii="Arial" w:hAnsi="Arial" w:cs="Arial"/>
          <w:sz w:val="28"/>
          <w:szCs w:val="28"/>
        </w:rPr>
      </w:pPr>
      <w:bookmarkStart w:id="38" w:name="_Toc228359253"/>
      <w:r w:rsidRPr="000074D1">
        <w:rPr>
          <w:rFonts w:ascii="Arial" w:hAnsi="Arial" w:cs="Arial"/>
          <w:color w:val="auto"/>
          <w:sz w:val="28"/>
          <w:szCs w:val="28"/>
        </w:rPr>
        <w:lastRenderedPageBreak/>
        <w:t>4.1.2: Design Philosophy</w:t>
      </w:r>
      <w:bookmarkEnd w:id="38"/>
    </w:p>
    <w:p w14:paraId="53C318C9" w14:textId="772006FC" w:rsidR="001025D6" w:rsidRDefault="001025D6" w:rsidP="00DD0779">
      <w:pPr>
        <w:spacing w:line="360" w:lineRule="auto"/>
        <w:rPr>
          <w:rFonts w:ascii="Arial" w:hAnsi="Arial" w:cs="Arial"/>
        </w:rPr>
      </w:pPr>
      <w:r>
        <w:rPr>
          <w:rFonts w:ascii="Arial" w:hAnsi="Arial" w:cs="Arial"/>
        </w:rPr>
        <w:t>The design philosophy underpinning the 2016 re</w:t>
      </w:r>
      <w:r w:rsidR="00C13ECD">
        <w:rPr>
          <w:rFonts w:ascii="Arial" w:hAnsi="Arial" w:cs="Arial"/>
        </w:rPr>
        <w:t>development</w:t>
      </w:r>
      <w:r w:rsidR="00C729E4">
        <w:rPr>
          <w:rFonts w:ascii="Arial" w:hAnsi="Arial" w:cs="Arial"/>
        </w:rPr>
        <w:t xml:space="preserve"> was centred on the concept of </w:t>
      </w:r>
      <w:r w:rsidR="00BA0040">
        <w:rPr>
          <w:rFonts w:ascii="Arial" w:hAnsi="Arial" w:cs="Arial"/>
        </w:rPr>
        <w:t>inclusive heritage. The primary challenge was to reconcile a historic building</w:t>
      </w:r>
      <w:r w:rsidR="00A8703A">
        <w:rPr>
          <w:rFonts w:ascii="Arial" w:hAnsi="Arial" w:cs="Arial"/>
        </w:rPr>
        <w:t xml:space="preserve"> </w:t>
      </w:r>
      <w:r w:rsidR="003E18F1">
        <w:rPr>
          <w:rFonts w:ascii="Arial" w:hAnsi="Arial" w:cs="Arial"/>
        </w:rPr>
        <w:t>that was</w:t>
      </w:r>
      <w:r w:rsidR="00A8703A">
        <w:rPr>
          <w:rFonts w:ascii="Arial" w:hAnsi="Arial" w:cs="Arial"/>
        </w:rPr>
        <w:t xml:space="preserve"> designed during a period of institutional exclusion with a modern mandate for democratic, universal access.</w:t>
      </w:r>
      <w:r w:rsidR="00FF6722">
        <w:rPr>
          <w:rFonts w:ascii="Arial" w:hAnsi="Arial" w:cs="Arial"/>
        </w:rPr>
        <w:t xml:space="preserve"> This required a philosophy that viewed accessibility not as </w:t>
      </w:r>
      <w:r w:rsidR="002D3E72">
        <w:rPr>
          <w:rFonts w:ascii="Arial" w:hAnsi="Arial" w:cs="Arial"/>
        </w:rPr>
        <w:t>bolt on requirement, but as a fundamental architectural driver.</w:t>
      </w:r>
    </w:p>
    <w:p w14:paraId="4B0586C9" w14:textId="01F07E32" w:rsidR="002D3E72" w:rsidRDefault="002D3E72" w:rsidP="00DD0779">
      <w:pPr>
        <w:spacing w:line="360" w:lineRule="auto"/>
        <w:rPr>
          <w:rFonts w:ascii="Arial" w:hAnsi="Arial" w:cs="Arial"/>
        </w:rPr>
      </w:pPr>
      <w:r>
        <w:rPr>
          <w:rFonts w:ascii="Arial" w:hAnsi="Arial" w:cs="Arial"/>
        </w:rPr>
        <w:t xml:space="preserve">As identified in the project’s Design and Access Statement (DAS), the programming aimed to create a socially </w:t>
      </w:r>
      <w:r w:rsidR="00216A5A">
        <w:rPr>
          <w:rFonts w:ascii="Arial" w:hAnsi="Arial" w:cs="Arial"/>
        </w:rPr>
        <w:t>inclusive environment</w:t>
      </w:r>
      <w:r w:rsidR="00E91007">
        <w:rPr>
          <w:rFonts w:ascii="Arial" w:hAnsi="Arial" w:cs="Arial"/>
        </w:rPr>
        <w:t>, achieved through a philosophy of permeability, where the new extension acts as a connection between the three separate historic wings of the gallery. Rather than forcing a disabled user to take a conv</w:t>
      </w:r>
      <w:r w:rsidR="00A572EE">
        <w:rPr>
          <w:rFonts w:ascii="Arial" w:hAnsi="Arial" w:cs="Arial"/>
        </w:rPr>
        <w:t>oluted or secondary path</w:t>
      </w:r>
      <w:r w:rsidR="006F054E">
        <w:rPr>
          <w:rFonts w:ascii="Arial" w:hAnsi="Arial" w:cs="Arial"/>
        </w:rPr>
        <w:t>, the architects prioritised a</w:t>
      </w:r>
      <w:r w:rsidR="00D072A4">
        <w:rPr>
          <w:rFonts w:ascii="Arial" w:hAnsi="Arial" w:cs="Arial"/>
        </w:rPr>
        <w:t xml:space="preserve"> singular circulation loop, ensuring that the journey through the gallery is identical for all users</w:t>
      </w:r>
      <w:r w:rsidR="00DD1886">
        <w:rPr>
          <w:rFonts w:ascii="Arial" w:hAnsi="Arial" w:cs="Arial"/>
        </w:rPr>
        <w:t>, fulfilling the UD principle of equitable use (Mace, 1985).</w:t>
      </w:r>
    </w:p>
    <w:p w14:paraId="27CE56FC" w14:textId="2C6BD389" w:rsidR="00337318" w:rsidRDefault="00FD0C5A" w:rsidP="00DD0779">
      <w:pPr>
        <w:spacing w:line="360" w:lineRule="auto"/>
        <w:rPr>
          <w:rFonts w:ascii="Arial" w:hAnsi="Arial" w:cs="Arial"/>
        </w:rPr>
      </w:pPr>
      <w:r>
        <w:rPr>
          <w:rFonts w:ascii="Arial" w:hAnsi="Arial" w:cs="Arial"/>
        </w:rPr>
        <w:t xml:space="preserve">Moreover, </w:t>
      </w:r>
      <w:r w:rsidR="00F314CC">
        <w:rPr>
          <w:rFonts w:ascii="Arial" w:hAnsi="Arial" w:cs="Arial"/>
        </w:rPr>
        <w:t>relating to Goldsmith (</w:t>
      </w:r>
      <w:r w:rsidR="00000FDF">
        <w:rPr>
          <w:rFonts w:ascii="Arial" w:hAnsi="Arial" w:cs="Arial"/>
        </w:rPr>
        <w:t>2000</w:t>
      </w:r>
      <w:r w:rsidR="00F314CC">
        <w:rPr>
          <w:rFonts w:ascii="Arial" w:hAnsi="Arial" w:cs="Arial"/>
        </w:rPr>
        <w:t xml:space="preserve">), the design sought to address the </w:t>
      </w:r>
      <w:commentRangeStart w:id="39"/>
      <w:commentRangeStart w:id="40"/>
      <w:commentRangeStart w:id="41"/>
      <w:r w:rsidR="00F314CC">
        <w:rPr>
          <w:rFonts w:ascii="Arial" w:hAnsi="Arial" w:cs="Arial"/>
        </w:rPr>
        <w:t>DOA</w:t>
      </w:r>
      <w:commentRangeEnd w:id="39"/>
      <w:r w:rsidR="00341339">
        <w:rPr>
          <w:rStyle w:val="CommentReference"/>
          <w:rFonts w:ascii="Arial" w:hAnsi="Arial" w:cs="Arial"/>
          <w:sz w:val="22"/>
          <w:szCs w:val="22"/>
        </w:rPr>
        <w:commentReference w:id="39"/>
      </w:r>
      <w:commentRangeEnd w:id="40"/>
      <w:r w:rsidR="00AC5CE0">
        <w:rPr>
          <w:rStyle w:val="CommentReference"/>
          <w:rFonts w:ascii="Arial" w:hAnsi="Arial" w:cs="Arial"/>
          <w:sz w:val="22"/>
          <w:szCs w:val="22"/>
        </w:rPr>
        <w:commentReference w:id="40"/>
      </w:r>
      <w:commentRangeEnd w:id="41"/>
      <w:r w:rsidR="0061137F">
        <w:rPr>
          <w:rStyle w:val="CommentReference"/>
          <w:rFonts w:ascii="Arial" w:hAnsi="Arial" w:cs="Arial"/>
          <w:sz w:val="22"/>
          <w:szCs w:val="22"/>
        </w:rPr>
        <w:commentReference w:id="41"/>
      </w:r>
      <w:r w:rsidR="00F314CC">
        <w:rPr>
          <w:rFonts w:ascii="Arial" w:hAnsi="Arial" w:cs="Arial"/>
        </w:rPr>
        <w:t xml:space="preserve">. </w:t>
      </w:r>
      <w:r w:rsidR="00FC1D00">
        <w:rPr>
          <w:rFonts w:ascii="Arial" w:hAnsi="Arial" w:cs="Arial"/>
        </w:rPr>
        <w:t>Historically, the Edwardian entrance served as a grand but exclusionary threshold</w:t>
      </w:r>
      <w:r w:rsidR="001C793A">
        <w:rPr>
          <w:rFonts w:ascii="Arial" w:hAnsi="Arial" w:cs="Arial"/>
        </w:rPr>
        <w:t>, as shown by the</w:t>
      </w:r>
      <w:r w:rsidR="002F0725">
        <w:rPr>
          <w:rFonts w:ascii="Arial" w:hAnsi="Arial" w:cs="Arial"/>
        </w:rPr>
        <w:t xml:space="preserve"> </w:t>
      </w:r>
      <w:r w:rsidR="00337318">
        <w:rPr>
          <w:rFonts w:ascii="Arial" w:hAnsi="Arial" w:cs="Arial"/>
        </w:rPr>
        <w:t xml:space="preserve">red outline in figure </w:t>
      </w:r>
      <w:r w:rsidR="001C793A">
        <w:rPr>
          <w:rFonts w:ascii="Arial" w:hAnsi="Arial" w:cs="Arial"/>
        </w:rPr>
        <w:t xml:space="preserve"> </w:t>
      </w:r>
      <w:r w:rsidR="00FC1D00">
        <w:rPr>
          <w:rFonts w:ascii="Arial" w:hAnsi="Arial" w:cs="Arial"/>
        </w:rPr>
        <w:t>. Whereas, the 2016 philosophy inver</w:t>
      </w:r>
      <w:r w:rsidR="00350BA1">
        <w:rPr>
          <w:rFonts w:ascii="Arial" w:hAnsi="Arial" w:cs="Arial"/>
        </w:rPr>
        <w:t>ted this, moving the heart of the building to a transparent glass lobby at street level</w:t>
      </w:r>
      <w:r w:rsidR="009715E6">
        <w:rPr>
          <w:rFonts w:ascii="Arial" w:hAnsi="Arial" w:cs="Arial"/>
        </w:rPr>
        <w:t>, shown by the blue outline in figure.</w:t>
      </w:r>
    </w:p>
    <w:p w14:paraId="3242BC77" w14:textId="13E6B633" w:rsidR="009715E6" w:rsidRDefault="00534FAA" w:rsidP="009715E6">
      <w:pPr>
        <w:keepNext/>
        <w:spacing w:line="360" w:lineRule="auto"/>
      </w:pPr>
      <w:r>
        <w:rPr>
          <w:noProof/>
        </w:rPr>
        <mc:AlternateContent>
          <mc:Choice Requires="wps">
            <w:drawing>
              <wp:anchor distT="0" distB="0" distL="114300" distR="114300" simplePos="0" relativeHeight="251663360" behindDoc="0" locked="0" layoutInCell="1" allowOverlap="1" wp14:anchorId="14E88524" wp14:editId="4DDB88D3">
                <wp:simplePos x="0" y="0"/>
                <wp:positionH relativeFrom="margin">
                  <wp:posOffset>2588177</wp:posOffset>
                </wp:positionH>
                <wp:positionV relativeFrom="paragraph">
                  <wp:posOffset>1450340</wp:posOffset>
                </wp:positionV>
                <wp:extent cx="441739" cy="670919"/>
                <wp:effectExtent l="0" t="0" r="15875" b="15240"/>
                <wp:wrapNone/>
                <wp:docPr id="1683638578" name="Rectangle 5"/>
                <wp:cNvGraphicFramePr/>
                <a:graphic xmlns:a="http://schemas.openxmlformats.org/drawingml/2006/main">
                  <a:graphicData uri="http://schemas.microsoft.com/office/word/2010/wordprocessingShape">
                    <wps:wsp>
                      <wps:cNvSpPr/>
                      <wps:spPr>
                        <a:xfrm>
                          <a:off x="0" y="0"/>
                          <a:ext cx="441739" cy="670919"/>
                        </a:xfrm>
                        <a:prstGeom prst="rect">
                          <a:avLst/>
                        </a:prstGeom>
                        <a:noFill/>
                        <a:ln w="190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0809A" id="Rectangle 5" o:spid="_x0000_s1026" style="position:absolute;margin-left:203.8pt;margin-top:114.2pt;width:34.8pt;height:52.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" filled="f" strokecolor="#c00000" strokeweight="1.5pt">
                <w10:wrap anchorx="margin"/>
              </v:rect>
            </w:pict>
          </mc:Fallback>
        </mc:AlternateContent>
      </w:r>
      <w:r>
        <w:rPr>
          <w:noProof/>
        </w:rPr>
        <mc:AlternateContent>
          <mc:Choice Requires="wps">
            <w:drawing>
              <wp:anchor distT="0" distB="0" distL="114300" distR="114300" simplePos="0" relativeHeight="251656192" behindDoc="0" locked="0" layoutInCell="1" allowOverlap="1" wp14:anchorId="21845859" wp14:editId="0CD700A3">
                <wp:simplePos x="0" y="0"/>
                <wp:positionH relativeFrom="column">
                  <wp:posOffset>1219200</wp:posOffset>
                </wp:positionH>
                <wp:positionV relativeFrom="paragraph">
                  <wp:posOffset>1534353</wp:posOffset>
                </wp:positionV>
                <wp:extent cx="357809" cy="627270"/>
                <wp:effectExtent l="0" t="0" r="23495" b="20955"/>
                <wp:wrapNone/>
                <wp:docPr id="683019404" name="Rectangle 5"/>
                <wp:cNvGraphicFramePr/>
                <a:graphic xmlns:a="http://schemas.openxmlformats.org/drawingml/2006/main">
                  <a:graphicData uri="http://schemas.microsoft.com/office/word/2010/wordprocessingShape">
                    <wps:wsp>
                      <wps:cNvSpPr/>
                      <wps:spPr>
                        <a:xfrm>
                          <a:off x="0" y="0"/>
                          <a:ext cx="357809" cy="627270"/>
                        </a:xfrm>
                        <a:prstGeom prst="rect">
                          <a:avLst/>
                        </a:prstGeom>
                        <a:noFill/>
                        <a:ln w="19050">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AFB1AD" id="Rectangle 5" o:spid="_x0000_s1026" style="position:absolute;margin-left:96pt;margin-top:120.8pt;width:28.15pt;height:49.4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" filled="f" strokecolor="#4472c4 [3204]" strokeweight="1.5pt"/>
            </w:pict>
          </mc:Fallback>
        </mc:AlternateContent>
      </w:r>
      <w:r w:rsidRPr="00534FAA">
        <w:drawing>
          <wp:inline distT="0" distB="0" distL="0" distR="0" wp14:anchorId="23BFC17D" wp14:editId="36712A07">
            <wp:extent cx="6005423" cy="2522331"/>
            <wp:effectExtent l="0" t="0" r="0" b="0"/>
            <wp:docPr id="103369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99836" name=""/>
                    <pic:cNvPicPr/>
                  </pic:nvPicPr>
                  <pic:blipFill>
                    <a:blip r:embed="rId15"/>
                    <a:stretch>
                      <a:fillRect/>
                    </a:stretch>
                  </pic:blipFill>
                  <pic:spPr>
                    <a:xfrm>
                      <a:off x="0" y="0"/>
                      <a:ext cx="6016945" cy="2527170"/>
                    </a:xfrm>
                    <a:prstGeom prst="rect">
                      <a:avLst/>
                    </a:prstGeom>
                  </pic:spPr>
                </pic:pic>
              </a:graphicData>
            </a:graphic>
          </wp:inline>
        </w:drawing>
      </w:r>
    </w:p>
    <w:p w14:paraId="3E8BCAD0" w14:textId="05BE5144" w:rsidR="00337318" w:rsidRDefault="009715E6" w:rsidP="009715E6">
      <w:pPr>
        <w:pStyle w:val="Caption"/>
        <w:rPr>
          <w:rFonts w:ascii="Arial" w:hAnsi="Arial" w:cs="Arial"/>
        </w:rPr>
      </w:pPr>
      <w:r>
        <w:t xml:space="preserve">Figure </w:t>
      </w:r>
      <w:fldSimple w:instr=" SEQ Figure \* ARABIC ">
        <w:r w:rsidR="00F904F0">
          <w:rPr>
            <w:noProof/>
          </w:rPr>
          <w:t>2</w:t>
        </w:r>
      </w:fldSimple>
    </w:p>
    <w:p w14:paraId="0C86794C" w14:textId="7FB397AA" w:rsidR="00FD0C5A" w:rsidRDefault="00350BA1" w:rsidP="00DD0779">
      <w:pPr>
        <w:spacing w:line="360" w:lineRule="auto"/>
        <w:rPr>
          <w:rFonts w:ascii="Arial" w:hAnsi="Arial" w:cs="Arial"/>
        </w:rPr>
      </w:pPr>
      <w:r>
        <w:rPr>
          <w:rFonts w:ascii="Arial" w:hAnsi="Arial" w:cs="Arial"/>
        </w:rPr>
        <w:t xml:space="preserve">This transparency </w:t>
      </w:r>
      <w:r w:rsidR="00EE632B">
        <w:rPr>
          <w:rFonts w:ascii="Arial" w:hAnsi="Arial" w:cs="Arial"/>
        </w:rPr>
        <w:t xml:space="preserve">was a deliberate choice to make the gallery feel open to the diverse Swansea public, removing the psychological and physical barriers often associated with elite heritage </w:t>
      </w:r>
      <w:r w:rsidR="00F50C69">
        <w:rPr>
          <w:rFonts w:ascii="Arial" w:hAnsi="Arial" w:cs="Arial"/>
        </w:rPr>
        <w:t xml:space="preserve">structures. By doing so, the architecture actively contributes to the </w:t>
      </w:r>
      <w:r w:rsidR="005E5022">
        <w:rPr>
          <w:rFonts w:ascii="Arial" w:hAnsi="Arial" w:cs="Arial"/>
        </w:rPr>
        <w:t>WFGA.</w:t>
      </w:r>
      <w:r w:rsidR="00363F3C">
        <w:rPr>
          <w:rFonts w:ascii="Arial" w:hAnsi="Arial" w:cs="Arial"/>
        </w:rPr>
        <w:t xml:space="preserve"> </w:t>
      </w:r>
      <w:r w:rsidR="005E5022">
        <w:rPr>
          <w:rFonts w:ascii="Arial" w:hAnsi="Arial" w:cs="Arial"/>
        </w:rPr>
        <w:t xml:space="preserve">Specifically, it aligns with the goals of achieving </w:t>
      </w:r>
      <w:r w:rsidR="000702B4">
        <w:rPr>
          <w:rFonts w:ascii="Arial" w:hAnsi="Arial" w:cs="Arial"/>
        </w:rPr>
        <w:t>“</w:t>
      </w:r>
      <w:r w:rsidR="005E5022">
        <w:rPr>
          <w:rFonts w:ascii="Arial" w:hAnsi="Arial" w:cs="Arial"/>
        </w:rPr>
        <w:t xml:space="preserve">a </w:t>
      </w:r>
      <w:r w:rsidR="00A41213">
        <w:rPr>
          <w:rFonts w:ascii="Arial" w:hAnsi="Arial" w:cs="Arial"/>
        </w:rPr>
        <w:t>more equal Wales</w:t>
      </w:r>
      <w:r w:rsidR="000702B4">
        <w:rPr>
          <w:rFonts w:ascii="Arial" w:hAnsi="Arial" w:cs="Arial"/>
        </w:rPr>
        <w:t>”</w:t>
      </w:r>
      <w:r w:rsidR="00A41213">
        <w:rPr>
          <w:rFonts w:ascii="Arial" w:hAnsi="Arial" w:cs="Arial"/>
        </w:rPr>
        <w:t xml:space="preserve"> by removing barriers to participation and </w:t>
      </w:r>
      <w:r w:rsidR="000702B4">
        <w:rPr>
          <w:rFonts w:ascii="Arial" w:hAnsi="Arial" w:cs="Arial"/>
        </w:rPr>
        <w:t>“</w:t>
      </w:r>
      <w:r w:rsidR="00E521FD">
        <w:rPr>
          <w:rFonts w:ascii="Arial" w:hAnsi="Arial" w:cs="Arial"/>
        </w:rPr>
        <w:t>a Wales of vibrant culture and thriving Welsh language</w:t>
      </w:r>
      <w:r w:rsidR="000702B4">
        <w:rPr>
          <w:rFonts w:ascii="Arial" w:hAnsi="Arial" w:cs="Arial"/>
        </w:rPr>
        <w:t>”</w:t>
      </w:r>
      <w:r w:rsidR="00E521FD">
        <w:rPr>
          <w:rFonts w:ascii="Arial" w:hAnsi="Arial" w:cs="Arial"/>
        </w:rPr>
        <w:t xml:space="preserve"> by ensuring that Swansea’s artistic heritage is accessible to all</w:t>
      </w:r>
      <w:r w:rsidR="00DA4552">
        <w:rPr>
          <w:rFonts w:ascii="Arial" w:hAnsi="Arial" w:cs="Arial"/>
        </w:rPr>
        <w:t xml:space="preserve"> </w:t>
      </w:r>
      <w:r w:rsidR="00363F3C">
        <w:rPr>
          <w:rFonts w:ascii="Arial" w:hAnsi="Arial" w:cs="Arial"/>
        </w:rPr>
        <w:t>(Welsh Government, 2015).</w:t>
      </w:r>
    </w:p>
    <w:p w14:paraId="7FACC4E4" w14:textId="77777777" w:rsidR="006B6D9D" w:rsidRDefault="006B6D9D" w:rsidP="00171093">
      <w:pPr>
        <w:pStyle w:val="Heading3"/>
        <w:spacing w:line="360" w:lineRule="auto"/>
        <w:rPr>
          <w:rFonts w:ascii="Arial" w:hAnsi="Arial" w:cs="Arial"/>
        </w:rPr>
      </w:pPr>
    </w:p>
    <w:p w14:paraId="4842AA58" w14:textId="077A737A" w:rsidR="00171093" w:rsidRPr="000074D1" w:rsidRDefault="00171093" w:rsidP="00171093">
      <w:pPr>
        <w:pStyle w:val="Heading3"/>
        <w:spacing w:line="360" w:lineRule="auto"/>
        <w:rPr>
          <w:rFonts w:ascii="Arial" w:hAnsi="Arial" w:cs="Arial"/>
          <w:color w:val="auto"/>
          <w:sz w:val="28"/>
          <w:szCs w:val="28"/>
        </w:rPr>
      </w:pPr>
      <w:bookmarkStart w:id="42" w:name="_Toc228359254"/>
      <w:r w:rsidRPr="000074D1">
        <w:rPr>
          <w:rFonts w:ascii="Arial" w:hAnsi="Arial" w:cs="Arial"/>
          <w:color w:val="auto"/>
          <w:sz w:val="28"/>
          <w:szCs w:val="28"/>
        </w:rPr>
        <w:t>4.1.3: Physical and Technical Analysis</w:t>
      </w:r>
      <w:bookmarkEnd w:id="42"/>
    </w:p>
    <w:p w14:paraId="713FB8C5" w14:textId="0FBF5255" w:rsidR="00C726CF" w:rsidRDefault="003E0A57" w:rsidP="00C726CF">
      <w:pPr>
        <w:keepNext/>
        <w:spacing w:line="360" w:lineRule="auto"/>
      </w:pPr>
      <w:r>
        <w:rPr>
          <w:rFonts w:ascii="Arial" w:hAnsi="Arial" w:cs="Arial"/>
        </w:rPr>
        <w:t>From a technical perspective, the redevelopment is defined by a series of architectural intervention</w:t>
      </w:r>
      <w:r w:rsidR="00213FE3">
        <w:rPr>
          <w:rFonts w:ascii="Arial" w:hAnsi="Arial" w:cs="Arial"/>
        </w:rPr>
        <w:t xml:space="preserve">s designed to resolve the inherent physical barriers of the original </w:t>
      </w:r>
      <w:r w:rsidR="006732B6">
        <w:rPr>
          <w:rFonts w:ascii="Arial" w:hAnsi="Arial" w:cs="Arial"/>
        </w:rPr>
        <w:t>Edwardian floor plan</w:t>
      </w:r>
      <w:r w:rsidR="009B293E">
        <w:rPr>
          <w:rFonts w:ascii="Arial" w:hAnsi="Arial" w:cs="Arial"/>
        </w:rPr>
        <w:t xml:space="preserve">, as </w:t>
      </w:r>
      <w:r w:rsidR="008E4136">
        <w:rPr>
          <w:rFonts w:ascii="Arial" w:hAnsi="Arial" w:cs="Arial"/>
        </w:rPr>
        <w:t>shown in figure .</w:t>
      </w:r>
      <w:r w:rsidR="00593B90">
        <w:rPr>
          <w:rFonts w:ascii="Arial" w:hAnsi="Arial" w:cs="Arial"/>
          <w:noProof/>
        </w:rPr>
        <w:drawing>
          <wp:inline distT="0" distB="0" distL="0" distR="0" wp14:anchorId="20014289" wp14:editId="70D72940">
            <wp:extent cx="5731510" cy="4095750"/>
            <wp:effectExtent l="0" t="0" r="2540" b="0"/>
            <wp:docPr id="1796412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12077" name="Picture 179641207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inline>
        </w:drawing>
      </w:r>
    </w:p>
    <w:p w14:paraId="34A05587" w14:textId="72722A4F" w:rsidR="00C726CF" w:rsidRDefault="00C726CF" w:rsidP="00C726CF">
      <w:pPr>
        <w:pStyle w:val="Caption"/>
      </w:pPr>
      <w:r>
        <w:t xml:space="preserve">Figure </w:t>
      </w:r>
      <w:fldSimple w:instr=" SEQ Figure \* ARABIC ">
        <w:r w:rsidR="00F904F0">
          <w:rPr>
            <w:noProof/>
          </w:rPr>
          <w:t>3</w:t>
        </w:r>
      </w:fldSimple>
    </w:p>
    <w:p w14:paraId="70E9C9C5" w14:textId="77777777" w:rsidR="00CF6019" w:rsidRDefault="00213FE3" w:rsidP="00CF6019">
      <w:pPr>
        <w:keepNext/>
        <w:spacing w:line="360" w:lineRule="auto"/>
      </w:pPr>
      <w:r>
        <w:rPr>
          <w:rFonts w:ascii="Arial" w:hAnsi="Arial" w:cs="Arial"/>
        </w:rPr>
        <w:t xml:space="preserve">The most significant </w:t>
      </w:r>
      <w:r w:rsidR="00C826C0">
        <w:rPr>
          <w:rFonts w:ascii="Arial" w:hAnsi="Arial" w:cs="Arial"/>
        </w:rPr>
        <w:t xml:space="preserve">technical correction was the realignment of the primary threshold </w:t>
      </w:r>
      <w:r w:rsidR="000718CC">
        <w:rPr>
          <w:rFonts w:ascii="Arial" w:hAnsi="Arial" w:cs="Arial"/>
        </w:rPr>
        <w:t>to achieve a seamless transition from street level to the interior</w:t>
      </w:r>
      <w:r w:rsidR="003709F3">
        <w:rPr>
          <w:rFonts w:ascii="Arial" w:hAnsi="Arial" w:cs="Arial"/>
        </w:rPr>
        <w:t xml:space="preserve">. </w:t>
      </w:r>
      <w:r w:rsidR="00245CEF">
        <w:rPr>
          <w:rFonts w:ascii="Arial" w:hAnsi="Arial" w:cs="Arial"/>
        </w:rPr>
        <w:t xml:space="preserve">As seen in figure , </w:t>
      </w:r>
      <w:r w:rsidR="00DB5A3E">
        <w:rPr>
          <w:rFonts w:ascii="Arial" w:hAnsi="Arial" w:cs="Arial"/>
        </w:rPr>
        <w:t xml:space="preserve">the whole GF of the gallery was above street level, making it difficult for people with disabilities to access. </w:t>
      </w:r>
      <w:r w:rsidR="003709F3">
        <w:rPr>
          <w:rFonts w:ascii="Arial" w:hAnsi="Arial" w:cs="Arial"/>
        </w:rPr>
        <w:t>By establishing a new level</w:t>
      </w:r>
      <w:r w:rsidR="004E01DD">
        <w:rPr>
          <w:rFonts w:ascii="Arial" w:hAnsi="Arial" w:cs="Arial"/>
        </w:rPr>
        <w:t xml:space="preserve"> that meets the external pavement, the architects bypassed the historic, stepped entrance that had previously necessitated a segregated route for mobility impaired </w:t>
      </w:r>
      <w:r w:rsidR="004465F6">
        <w:rPr>
          <w:rFonts w:ascii="Arial" w:hAnsi="Arial" w:cs="Arial"/>
        </w:rPr>
        <w:t xml:space="preserve">visitors. This correction ensures that the building functions as a singular, unified volume from the moment of arrival, eliminating the need for external ramps which </w:t>
      </w:r>
      <w:r w:rsidR="000A004A">
        <w:rPr>
          <w:rFonts w:ascii="Arial" w:hAnsi="Arial" w:cs="Arial"/>
        </w:rPr>
        <w:t xml:space="preserve">often feel like an afterthought in heritage projects, and fulfilling the requirements for a </w:t>
      </w:r>
      <w:r w:rsidR="000A004A">
        <w:rPr>
          <w:rFonts w:ascii="Arial" w:hAnsi="Arial" w:cs="Arial"/>
        </w:rPr>
        <w:lastRenderedPageBreak/>
        <w:t xml:space="preserve">barrier free DOA (Goldsmith, </w:t>
      </w:r>
      <w:r w:rsidR="00000FDF">
        <w:rPr>
          <w:rFonts w:ascii="Arial" w:hAnsi="Arial" w:cs="Arial"/>
        </w:rPr>
        <w:t>2000</w:t>
      </w:r>
      <w:r w:rsidR="000A004A">
        <w:rPr>
          <w:rFonts w:ascii="Arial" w:hAnsi="Arial" w:cs="Arial"/>
        </w:rPr>
        <w:t>).</w:t>
      </w:r>
      <w:r w:rsidR="00CF6019" w:rsidRPr="00CF6019">
        <w:rPr>
          <w:rFonts w:ascii="Arial" w:hAnsi="Arial" w:cs="Arial"/>
        </w:rPr>
        <w:t xml:space="preserve"> </w:t>
      </w:r>
      <w:r w:rsidR="00CF6019" w:rsidRPr="00446C60">
        <w:rPr>
          <w:rFonts w:ascii="Arial" w:hAnsi="Arial" w:cs="Arial"/>
        </w:rPr>
        <w:drawing>
          <wp:inline distT="0" distB="0" distL="0" distR="0" wp14:anchorId="7D7EED65" wp14:editId="766B3F8B">
            <wp:extent cx="5731510" cy="4077335"/>
            <wp:effectExtent l="0" t="0" r="2540" b="0"/>
            <wp:docPr id="1070364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64952" name=""/>
                    <pic:cNvPicPr/>
                  </pic:nvPicPr>
                  <pic:blipFill>
                    <a:blip r:embed="rId17"/>
                    <a:stretch>
                      <a:fillRect/>
                    </a:stretch>
                  </pic:blipFill>
                  <pic:spPr>
                    <a:xfrm>
                      <a:off x="0" y="0"/>
                      <a:ext cx="5731510" cy="4077335"/>
                    </a:xfrm>
                    <a:prstGeom prst="rect">
                      <a:avLst/>
                    </a:prstGeom>
                  </pic:spPr>
                </pic:pic>
              </a:graphicData>
            </a:graphic>
          </wp:inline>
        </w:drawing>
      </w:r>
    </w:p>
    <w:p w14:paraId="33BE112E" w14:textId="3978CA85" w:rsidR="002A1DA6" w:rsidRPr="003E0A57" w:rsidRDefault="00CF6019" w:rsidP="00CF6019">
      <w:pPr>
        <w:pStyle w:val="Caption"/>
        <w:rPr>
          <w:rFonts w:ascii="Arial" w:hAnsi="Arial" w:cs="Arial"/>
        </w:rPr>
      </w:pPr>
      <w:r>
        <w:t xml:space="preserve">Figure </w:t>
      </w:r>
      <w:fldSimple w:instr=" SEQ Figure \* ARABIC ">
        <w:r w:rsidR="00F904F0">
          <w:rPr>
            <w:noProof/>
          </w:rPr>
          <w:t>4</w:t>
        </w:r>
      </w:fldSimple>
    </w:p>
    <w:p w14:paraId="06817540" w14:textId="11266B80" w:rsidR="00363F3C" w:rsidRPr="00CF6019" w:rsidRDefault="000A004A" w:rsidP="00CF6019">
      <w:pPr>
        <w:keepNext/>
        <w:spacing w:line="360" w:lineRule="auto"/>
      </w:pPr>
      <w:commentRangeStart w:id="43"/>
      <w:r>
        <w:rPr>
          <w:rFonts w:ascii="Arial" w:hAnsi="Arial" w:cs="Arial"/>
        </w:rPr>
        <w:t xml:space="preserve">Vertical permeability </w:t>
      </w:r>
      <w:commentRangeEnd w:id="43"/>
      <w:r w:rsidR="009715E6">
        <w:rPr>
          <w:rStyle w:val="CommentReference"/>
          <w:rFonts w:ascii="Arial" w:hAnsi="Arial" w:cs="Arial"/>
          <w:sz w:val="22"/>
          <w:szCs w:val="22"/>
        </w:rPr>
        <w:commentReference w:id="43"/>
      </w:r>
      <w:r>
        <w:rPr>
          <w:rFonts w:ascii="Arial" w:hAnsi="Arial" w:cs="Arial"/>
        </w:rPr>
        <w:t xml:space="preserve">within the building is managed </w:t>
      </w:r>
      <w:r w:rsidR="00B9254E">
        <w:rPr>
          <w:rFonts w:ascii="Arial" w:hAnsi="Arial" w:cs="Arial"/>
        </w:rPr>
        <w:t xml:space="preserve">through a centrally positioned, </w:t>
      </w:r>
      <w:r w:rsidR="004109C1">
        <w:rPr>
          <w:rFonts w:ascii="Arial" w:hAnsi="Arial" w:cs="Arial"/>
        </w:rPr>
        <w:t>high-capacity</w:t>
      </w:r>
      <w:r w:rsidR="00B9254E">
        <w:rPr>
          <w:rFonts w:ascii="Arial" w:hAnsi="Arial" w:cs="Arial"/>
        </w:rPr>
        <w:t xml:space="preserve"> passenger lift housed within the contemporary glass atrium. </w:t>
      </w:r>
      <w:r w:rsidR="008824AF">
        <w:rPr>
          <w:rFonts w:ascii="Arial" w:hAnsi="Arial" w:cs="Arial"/>
        </w:rPr>
        <w:t xml:space="preserve">A critical technical feature of this is its co-location, as it is situated directly adjacent to the main staircase, both of which </w:t>
      </w:r>
      <w:r w:rsidR="00721264">
        <w:rPr>
          <w:rFonts w:ascii="Arial" w:hAnsi="Arial" w:cs="Arial"/>
        </w:rPr>
        <w:t>sit</w:t>
      </w:r>
      <w:r w:rsidR="008824AF">
        <w:rPr>
          <w:rFonts w:ascii="Arial" w:hAnsi="Arial" w:cs="Arial"/>
        </w:rPr>
        <w:t xml:space="preserve"> opposite the </w:t>
      </w:r>
      <w:r w:rsidR="00721264">
        <w:rPr>
          <w:rFonts w:ascii="Arial" w:hAnsi="Arial" w:cs="Arial"/>
        </w:rPr>
        <w:t>reception desk</w:t>
      </w:r>
      <w:r w:rsidR="00E33B0C">
        <w:rPr>
          <w:rFonts w:ascii="Arial" w:hAnsi="Arial" w:cs="Arial"/>
        </w:rPr>
        <w:t>, as identified in figure 4.</w:t>
      </w:r>
      <w:r w:rsidR="00721264">
        <w:rPr>
          <w:rFonts w:ascii="Arial" w:hAnsi="Arial" w:cs="Arial"/>
        </w:rPr>
        <w:t xml:space="preserve"> In terms of UD programming, this proximity is vital as it prevents the spatial segregation of visitor groups, ensuring that the path of travel remains identical for </w:t>
      </w:r>
      <w:r w:rsidR="00063398">
        <w:rPr>
          <w:rFonts w:ascii="Arial" w:hAnsi="Arial" w:cs="Arial"/>
        </w:rPr>
        <w:t>both able-bodied and disabled users. The lift itself serves as a technical bridge between the new extension and the three historic wings, featuring</w:t>
      </w:r>
      <w:r w:rsidR="003C4F5E">
        <w:rPr>
          <w:rFonts w:ascii="Arial" w:hAnsi="Arial" w:cs="Arial"/>
        </w:rPr>
        <w:t xml:space="preserve"> a</w:t>
      </w:r>
      <w:r w:rsidR="00063398">
        <w:rPr>
          <w:rFonts w:ascii="Arial" w:hAnsi="Arial" w:cs="Arial"/>
        </w:rPr>
        <w:t xml:space="preserve"> </w:t>
      </w:r>
      <w:r w:rsidR="003C4F5E">
        <w:rPr>
          <w:rFonts w:ascii="Arial" w:hAnsi="Arial" w:cs="Arial"/>
        </w:rPr>
        <w:t>high contrast tactile interface and audible floor announcements that adhere to the rigo</w:t>
      </w:r>
      <w:r w:rsidR="00302DAD">
        <w:rPr>
          <w:rFonts w:ascii="Arial" w:hAnsi="Arial" w:cs="Arial"/>
        </w:rPr>
        <w:t>rous sensory standards of Approved Document M</w:t>
      </w:r>
      <w:r w:rsidR="004C0AE6">
        <w:rPr>
          <w:rFonts w:ascii="Arial" w:hAnsi="Arial" w:cs="Arial"/>
        </w:rPr>
        <w:t xml:space="preserve">, as enforced by the Welsh Government (2021). By </w:t>
      </w:r>
      <w:r w:rsidR="009E4D54">
        <w:rPr>
          <w:rFonts w:ascii="Arial" w:hAnsi="Arial" w:cs="Arial"/>
        </w:rPr>
        <w:t>determining the lift in a highly visible, bright area rather than hiding it away, the design celebrates the act of inclusivity for all.</w:t>
      </w:r>
    </w:p>
    <w:p w14:paraId="17DE547F" w14:textId="3525E0A9" w:rsidR="001126FB" w:rsidRDefault="00F3758D" w:rsidP="00DD0779">
      <w:pPr>
        <w:spacing w:line="360" w:lineRule="auto"/>
        <w:rPr>
          <w:rFonts w:ascii="Arial" w:hAnsi="Arial" w:cs="Arial"/>
        </w:rPr>
      </w:pPr>
      <w:r>
        <w:rPr>
          <w:rFonts w:ascii="Arial" w:hAnsi="Arial" w:cs="Arial"/>
        </w:rPr>
        <w:t xml:space="preserve">The technical continuity of the site is further expressed through a deliberate palette of materials that assist in navigation and </w:t>
      </w:r>
      <w:r w:rsidR="008E72DC">
        <w:rPr>
          <w:rFonts w:ascii="Arial" w:hAnsi="Arial" w:cs="Arial"/>
        </w:rPr>
        <w:t xml:space="preserve">kinaesthetic comfort. </w:t>
      </w:r>
      <w:r w:rsidR="00283647">
        <w:rPr>
          <w:rFonts w:ascii="Arial" w:hAnsi="Arial" w:cs="Arial"/>
        </w:rPr>
        <w:t xml:space="preserve">The extension utilises a polished concrete floor which provides a smooth, low </w:t>
      </w:r>
      <w:r w:rsidR="003F555F">
        <w:rPr>
          <w:rFonts w:ascii="Arial" w:hAnsi="Arial" w:cs="Arial"/>
        </w:rPr>
        <w:t>resistance surface for wheeled users, such as those using wheelchairs or strollers. Modern surfaces meet the original</w:t>
      </w:r>
      <w:r w:rsidR="00F5691F">
        <w:rPr>
          <w:rFonts w:ascii="Arial" w:hAnsi="Arial" w:cs="Arial"/>
        </w:rPr>
        <w:t xml:space="preserve"> </w:t>
      </w:r>
      <w:r w:rsidR="003F555F">
        <w:rPr>
          <w:rFonts w:ascii="Arial" w:hAnsi="Arial" w:cs="Arial"/>
        </w:rPr>
        <w:t xml:space="preserve">floors of the </w:t>
      </w:r>
      <w:r w:rsidR="00E72E47">
        <w:rPr>
          <w:rFonts w:ascii="Arial" w:hAnsi="Arial" w:cs="Arial"/>
        </w:rPr>
        <w:t xml:space="preserve">1911 </w:t>
      </w:r>
      <w:r w:rsidR="003F555F">
        <w:rPr>
          <w:rFonts w:ascii="Arial" w:hAnsi="Arial" w:cs="Arial"/>
        </w:rPr>
        <w:t>galleries with flush</w:t>
      </w:r>
      <w:r w:rsidR="0052158B">
        <w:rPr>
          <w:rFonts w:ascii="Arial" w:hAnsi="Arial" w:cs="Arial"/>
        </w:rPr>
        <w:t xml:space="preserve"> level thresholds, minimising trip hazards and ensuring a fluid transition </w:t>
      </w:r>
      <w:r w:rsidR="0052158B">
        <w:rPr>
          <w:rFonts w:ascii="Arial" w:hAnsi="Arial" w:cs="Arial"/>
        </w:rPr>
        <w:lastRenderedPageBreak/>
        <w:t>between the old and new architectural language</w:t>
      </w:r>
      <w:r w:rsidR="00F5691F">
        <w:rPr>
          <w:rFonts w:ascii="Arial" w:hAnsi="Arial" w:cs="Arial"/>
        </w:rPr>
        <w:t xml:space="preserve"> as pictured in figure 6</w:t>
      </w:r>
      <w:r w:rsidR="0052158B">
        <w:rPr>
          <w:rFonts w:ascii="Arial" w:hAnsi="Arial" w:cs="Arial"/>
        </w:rPr>
        <w:t xml:space="preserve">. Additionally, </w:t>
      </w:r>
      <w:r w:rsidR="00E72E47">
        <w:rPr>
          <w:rFonts w:ascii="Arial" w:hAnsi="Arial" w:cs="Arial"/>
        </w:rPr>
        <w:t xml:space="preserve">the </w:t>
      </w:r>
      <w:r w:rsidR="00F578D5">
        <w:rPr>
          <w:rFonts w:ascii="Arial" w:hAnsi="Arial" w:cs="Arial"/>
        </w:rPr>
        <w:t>substantial</w:t>
      </w:r>
      <w:r w:rsidR="00E72E47">
        <w:rPr>
          <w:rFonts w:ascii="Arial" w:hAnsi="Arial" w:cs="Arial"/>
        </w:rPr>
        <w:t xml:space="preserve"> use of </w:t>
      </w:r>
      <w:r w:rsidR="00F578D5">
        <w:rPr>
          <w:rFonts w:ascii="Arial" w:hAnsi="Arial" w:cs="Arial"/>
        </w:rPr>
        <w:t xml:space="preserve">glazed </w:t>
      </w:r>
      <w:r w:rsidR="00A51DF3">
        <w:rPr>
          <w:rFonts w:ascii="Arial" w:hAnsi="Arial" w:cs="Arial"/>
        </w:rPr>
        <w:t>curtain wall</w:t>
      </w:r>
      <w:r w:rsidR="00F578D5">
        <w:rPr>
          <w:rFonts w:ascii="Arial" w:hAnsi="Arial" w:cs="Arial"/>
        </w:rPr>
        <w:t>ing</w:t>
      </w:r>
      <w:r w:rsidR="00F630EC">
        <w:rPr>
          <w:rFonts w:ascii="Arial" w:hAnsi="Arial" w:cs="Arial"/>
        </w:rPr>
        <w:t xml:space="preserve"> in the extension allows natural </w:t>
      </w:r>
      <w:r w:rsidR="00212FE3">
        <w:rPr>
          <w:rFonts w:ascii="Arial" w:hAnsi="Arial" w:cs="Arial"/>
        </w:rPr>
        <w:t>light</w:t>
      </w:r>
      <w:r w:rsidR="00356388">
        <w:rPr>
          <w:rFonts w:ascii="Arial" w:hAnsi="Arial" w:cs="Arial"/>
        </w:rPr>
        <w:t xml:space="preserve"> to</w:t>
      </w:r>
      <w:r w:rsidR="00212FE3">
        <w:rPr>
          <w:rFonts w:ascii="Arial" w:hAnsi="Arial" w:cs="Arial"/>
        </w:rPr>
        <w:t xml:space="preserve"> penetrate through the reception, as well as some gallery spaces, assisting users with visual impairments by reducing the glare to shadow ratio, often found in </w:t>
      </w:r>
      <w:r w:rsidR="0086103D">
        <w:rPr>
          <w:rFonts w:ascii="Arial" w:hAnsi="Arial" w:cs="Arial"/>
        </w:rPr>
        <w:t xml:space="preserve">older buildings, creating a more legible and navigable environment that supports the principle of low physical effort </w:t>
      </w:r>
      <w:r w:rsidR="0094144E">
        <w:rPr>
          <w:rFonts w:ascii="Arial" w:hAnsi="Arial" w:cs="Arial"/>
        </w:rPr>
        <w:t>(Mace, 1985)</w:t>
      </w:r>
      <w:r w:rsidR="0025561E">
        <w:rPr>
          <w:rFonts w:ascii="Arial" w:hAnsi="Arial" w:cs="Arial"/>
        </w:rPr>
        <w:t xml:space="preserve"> and overall creating a brighter atmosphere in the gallery</w:t>
      </w:r>
      <w:r w:rsidR="0036515C">
        <w:rPr>
          <w:rFonts w:ascii="Arial" w:hAnsi="Arial" w:cs="Arial"/>
        </w:rPr>
        <w:t xml:space="preserve">, as </w:t>
      </w:r>
      <w:r w:rsidR="00902E1A">
        <w:rPr>
          <w:rFonts w:ascii="Arial" w:hAnsi="Arial" w:cs="Arial"/>
        </w:rPr>
        <w:t>seen in figure 5.</w:t>
      </w:r>
    </w:p>
    <w:tbl>
      <w:tblPr>
        <w:tblStyle w:val="TableGrid"/>
        <w:tblW w:w="0" w:type="auto"/>
        <w:tblLook w:val="04A0" w:firstRow="1" w:lastRow="0" w:firstColumn="1" w:lastColumn="0" w:noHBand="0" w:noVBand="1"/>
      </w:tblPr>
      <w:tblGrid>
        <w:gridCol w:w="4502"/>
        <w:gridCol w:w="4514"/>
      </w:tblGrid>
      <w:tr w:rsidR="001126FB" w14:paraId="34D58E03" w14:textId="77777777" w:rsidTr="001126FB">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117D6D8" w14:textId="77777777" w:rsidR="001126FB" w:rsidRDefault="001126FB" w:rsidP="001126FB">
            <w:pPr>
              <w:keepNext/>
              <w:spacing w:line="360" w:lineRule="auto"/>
            </w:pPr>
            <w:r w:rsidRPr="00B72EA5">
              <w:rPr>
                <w:rFonts w:ascii="Arial" w:hAnsi="Arial" w:cs="Arial"/>
              </w:rPr>
              <w:drawing>
                <wp:inline distT="0" distB="0" distL="0" distR="0" wp14:anchorId="77D92721" wp14:editId="46784F28">
                  <wp:extent cx="3210128" cy="4279577"/>
                  <wp:effectExtent l="0" t="0" r="0" b="6985"/>
                  <wp:docPr id="453283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283232" name=""/>
                          <pic:cNvPicPr/>
                        </pic:nvPicPr>
                        <pic:blipFill>
                          <a:blip r:embed="rId18"/>
                          <a:stretch>
                            <a:fillRect/>
                          </a:stretch>
                        </pic:blipFill>
                        <pic:spPr>
                          <a:xfrm>
                            <a:off x="0" y="0"/>
                            <a:ext cx="3254069" cy="4338157"/>
                          </a:xfrm>
                          <a:prstGeom prst="rect">
                            <a:avLst/>
                          </a:prstGeom>
                        </pic:spPr>
                      </pic:pic>
                    </a:graphicData>
                  </a:graphic>
                </wp:inline>
              </w:drawing>
            </w:r>
          </w:p>
          <w:p w14:paraId="06F7F867" w14:textId="2567C7DC" w:rsidR="001126FB" w:rsidRDefault="001126FB" w:rsidP="001126FB">
            <w:pPr>
              <w:pStyle w:val="Caption"/>
              <w:rPr>
                <w:rFonts w:ascii="Arial" w:hAnsi="Arial" w:cs="Arial"/>
              </w:rPr>
            </w:pPr>
            <w:r>
              <w:t xml:space="preserve">Figure </w:t>
            </w:r>
            <w:fldSimple w:instr=" SEQ Figure \* ARABIC ">
              <w:r w:rsidR="00F904F0">
                <w:rPr>
                  <w:noProof/>
                </w:rPr>
                <w:t>5</w:t>
              </w:r>
            </w:fldSimple>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37144BC" w14:textId="77777777" w:rsidR="001126FB" w:rsidRDefault="001126FB" w:rsidP="001126FB">
            <w:pPr>
              <w:keepNext/>
              <w:spacing w:line="360" w:lineRule="auto"/>
            </w:pPr>
            <w:r w:rsidRPr="00EF4C99">
              <w:rPr>
                <w:rFonts w:ascii="Arial" w:hAnsi="Arial" w:cs="Arial"/>
              </w:rPr>
              <w:drawing>
                <wp:inline distT="0" distB="0" distL="0" distR="0" wp14:anchorId="4FC3B8A8" wp14:editId="71AA2232">
                  <wp:extent cx="3210572" cy="4280170"/>
                  <wp:effectExtent l="0" t="0" r="8890" b="6350"/>
                  <wp:docPr id="194787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72356" name=""/>
                          <pic:cNvPicPr/>
                        </pic:nvPicPr>
                        <pic:blipFill>
                          <a:blip r:embed="rId19"/>
                          <a:stretch>
                            <a:fillRect/>
                          </a:stretch>
                        </pic:blipFill>
                        <pic:spPr>
                          <a:xfrm>
                            <a:off x="0" y="0"/>
                            <a:ext cx="3279980" cy="4372702"/>
                          </a:xfrm>
                          <a:prstGeom prst="rect">
                            <a:avLst/>
                          </a:prstGeom>
                        </pic:spPr>
                      </pic:pic>
                    </a:graphicData>
                  </a:graphic>
                </wp:inline>
              </w:drawing>
            </w:r>
          </w:p>
          <w:p w14:paraId="72013EDD" w14:textId="4129A34C" w:rsidR="001126FB" w:rsidRDefault="001126FB" w:rsidP="001126FB">
            <w:pPr>
              <w:pStyle w:val="Caption"/>
              <w:rPr>
                <w:rFonts w:ascii="Arial" w:hAnsi="Arial" w:cs="Arial"/>
              </w:rPr>
            </w:pPr>
            <w:r>
              <w:t xml:space="preserve">Figure </w:t>
            </w:r>
            <w:fldSimple w:instr=" SEQ Figure \* ARABIC ">
              <w:r w:rsidR="00F904F0">
                <w:rPr>
                  <w:noProof/>
                </w:rPr>
                <w:t>6</w:t>
              </w:r>
            </w:fldSimple>
          </w:p>
        </w:tc>
      </w:tr>
    </w:tbl>
    <w:p w14:paraId="7FD0379D" w14:textId="77777777" w:rsidR="006B6D9D" w:rsidRDefault="006B6D9D" w:rsidP="00171093">
      <w:pPr>
        <w:pStyle w:val="Heading3"/>
        <w:spacing w:line="360" w:lineRule="auto"/>
        <w:rPr>
          <w:rFonts w:ascii="Arial" w:hAnsi="Arial" w:cs="Arial"/>
        </w:rPr>
      </w:pPr>
    </w:p>
    <w:p w14:paraId="327375A9" w14:textId="77777777" w:rsidR="00DF1135" w:rsidRDefault="00DF1135">
      <w:pPr>
        <w:rPr>
          <w:rFonts w:ascii="Arial" w:eastAsiaTheme="majorEastAsia" w:hAnsi="Arial" w:cs="Arial"/>
          <w:sz w:val="28"/>
          <w:szCs w:val="28"/>
        </w:rPr>
      </w:pPr>
      <w:r>
        <w:rPr>
          <w:rFonts w:ascii="Arial" w:hAnsi="Arial" w:cs="Arial"/>
          <w:sz w:val="28"/>
          <w:szCs w:val="28"/>
        </w:rPr>
        <w:br w:type="page"/>
      </w:r>
    </w:p>
    <w:p w14:paraId="69BDF635" w14:textId="53BDC676" w:rsidR="00171093" w:rsidRPr="000074D1" w:rsidRDefault="00171093" w:rsidP="00171093">
      <w:pPr>
        <w:pStyle w:val="Heading3"/>
        <w:spacing w:line="360" w:lineRule="auto"/>
        <w:rPr>
          <w:rFonts w:ascii="Arial" w:hAnsi="Arial" w:cs="Arial"/>
          <w:color w:val="auto"/>
          <w:sz w:val="28"/>
          <w:szCs w:val="28"/>
        </w:rPr>
      </w:pPr>
      <w:bookmarkStart w:id="44" w:name="_Toc228359255"/>
      <w:r w:rsidRPr="000074D1">
        <w:rPr>
          <w:rFonts w:ascii="Arial" w:hAnsi="Arial" w:cs="Arial"/>
          <w:color w:val="auto"/>
          <w:sz w:val="28"/>
          <w:szCs w:val="28"/>
        </w:rPr>
        <w:lastRenderedPageBreak/>
        <w:t>4.1.4: Environmental and Sensory Performance</w:t>
      </w:r>
      <w:bookmarkEnd w:id="44"/>
    </w:p>
    <w:p w14:paraId="5D9E9DC7" w14:textId="0EE71FDB" w:rsidR="00275A19" w:rsidRDefault="00215620" w:rsidP="00DF1135">
      <w:pPr>
        <w:keepNext/>
        <w:spacing w:line="360" w:lineRule="auto"/>
        <w:rPr>
          <w:rFonts w:ascii="Arial" w:hAnsi="Arial" w:cs="Arial"/>
        </w:rPr>
      </w:pPr>
      <w:r>
        <w:rPr>
          <w:rFonts w:ascii="Arial" w:hAnsi="Arial" w:cs="Arial"/>
        </w:rPr>
        <w:t xml:space="preserve">The sensory landscape of the Glynn Vivian is characterised by a quiet legibility, </w:t>
      </w:r>
      <w:r w:rsidR="00AE4A5A">
        <w:rPr>
          <w:rFonts w:ascii="Arial" w:hAnsi="Arial" w:cs="Arial"/>
        </w:rPr>
        <w:t>where</w:t>
      </w:r>
      <w:r w:rsidR="00016A9A">
        <w:rPr>
          <w:rFonts w:ascii="Arial" w:hAnsi="Arial" w:cs="Arial"/>
        </w:rPr>
        <w:t xml:space="preserve"> the architectural transition from the urban exterior to the interior is managed through a gradual sensory </w:t>
      </w:r>
      <w:commentRangeStart w:id="45"/>
      <w:r w:rsidR="00016A9A">
        <w:rPr>
          <w:rFonts w:ascii="Arial" w:hAnsi="Arial" w:cs="Arial"/>
        </w:rPr>
        <w:t>decompression</w:t>
      </w:r>
      <w:commentRangeEnd w:id="45"/>
      <w:r w:rsidR="00341339">
        <w:rPr>
          <w:rStyle w:val="CommentReference"/>
          <w:rFonts w:ascii="Arial" w:hAnsi="Arial" w:cs="Arial"/>
          <w:sz w:val="22"/>
          <w:szCs w:val="22"/>
        </w:rPr>
        <w:commentReference w:id="45"/>
      </w:r>
      <w:r w:rsidR="00016A9A">
        <w:rPr>
          <w:rFonts w:ascii="Arial" w:hAnsi="Arial" w:cs="Arial"/>
        </w:rPr>
        <w:t>.</w:t>
      </w:r>
      <w:r w:rsidR="00BE2319" w:rsidRPr="00BE2319">
        <w:rPr>
          <w:rFonts w:ascii="Arial" w:hAnsi="Arial" w:cs="Arial"/>
        </w:rPr>
        <w:t xml:space="preserve"> </w:t>
      </w:r>
      <w:r w:rsidR="00BE2319">
        <w:rPr>
          <w:rFonts w:ascii="Arial" w:hAnsi="Arial" w:cs="Arial"/>
        </w:rPr>
        <w:t>While the main entrance is sheltered and stepped back from the primary façade and central point of the pavement, the clarity of the signage ensures that the building remains legible from the street, successfully signalling the point of arrival without overwhelming the visitor with visual noise.</w:t>
      </w:r>
      <w:r w:rsidR="00016A9A">
        <w:rPr>
          <w:rFonts w:ascii="Arial" w:hAnsi="Arial" w:cs="Arial"/>
        </w:rPr>
        <w:t xml:space="preserve"> </w:t>
      </w:r>
      <w:r w:rsidR="00955330">
        <w:rPr>
          <w:rFonts w:ascii="Arial" w:hAnsi="Arial" w:cs="Arial"/>
        </w:rPr>
        <w:t xml:space="preserve">This is </w:t>
      </w:r>
      <w:r w:rsidR="00CD3888">
        <w:rPr>
          <w:rFonts w:ascii="Arial" w:hAnsi="Arial" w:cs="Arial"/>
        </w:rPr>
        <w:t>shown in figure , where named signs and</w:t>
      </w:r>
      <w:r w:rsidR="002E4E01">
        <w:rPr>
          <w:rFonts w:ascii="Arial" w:hAnsi="Arial" w:cs="Arial"/>
        </w:rPr>
        <w:t xml:space="preserve"> </w:t>
      </w:r>
      <w:r w:rsidR="00CD3888">
        <w:rPr>
          <w:rFonts w:ascii="Arial" w:hAnsi="Arial" w:cs="Arial"/>
        </w:rPr>
        <w:t xml:space="preserve">arrows point toward the </w:t>
      </w:r>
      <w:r w:rsidR="00982022">
        <w:rPr>
          <w:rFonts w:ascii="Arial" w:hAnsi="Arial" w:cs="Arial"/>
        </w:rPr>
        <w:t>entrance.</w:t>
      </w:r>
    </w:p>
    <w:tbl>
      <w:tblPr>
        <w:tblStyle w:val="TableGrid"/>
        <w:tblW w:w="0" w:type="auto"/>
        <w:shd w:val="clear" w:color="auto" w:fill="FFFFFF" w:themeFill="background1"/>
        <w:tblLook w:val="04A0" w:firstRow="1" w:lastRow="0" w:firstColumn="1" w:lastColumn="0" w:noHBand="0" w:noVBand="1"/>
      </w:tblPr>
      <w:tblGrid>
        <w:gridCol w:w="9016"/>
      </w:tblGrid>
      <w:tr w:rsidR="00DF1135" w14:paraId="7B155D09" w14:textId="77777777" w:rsidTr="00DF1135">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FFFFF" w:themeFill="background1"/>
          </w:tcPr>
          <w:p w14:paraId="1756E17E" w14:textId="77777777" w:rsidR="00DF1135" w:rsidRDefault="00DF1135" w:rsidP="007E36E0">
            <w:pPr>
              <w:keepNext/>
              <w:spacing w:line="360" w:lineRule="auto"/>
              <w:rPr>
                <w:rFonts w:ascii="Arial" w:hAnsi="Arial" w:cs="Arial"/>
              </w:rPr>
            </w:pPr>
            <w:r w:rsidRPr="001E570C">
              <w:rPr>
                <w:rFonts w:ascii="Arial" w:hAnsi="Arial" w:cs="Arial"/>
              </w:rPr>
              <w:drawing>
                <wp:inline distT="0" distB="0" distL="0" distR="0" wp14:anchorId="2A05699B" wp14:editId="2CB12AD6">
                  <wp:extent cx="5279729" cy="5542308"/>
                  <wp:effectExtent l="0" t="0" r="0" b="1270"/>
                  <wp:docPr id="136637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76749" name=""/>
                          <pic:cNvPicPr/>
                        </pic:nvPicPr>
                        <pic:blipFill rotWithShape="1">
                          <a:blip r:embed="rId20"/>
                          <a:srcRect t="319" b="20941"/>
                          <a:stretch>
                            <a:fillRect/>
                          </a:stretch>
                        </pic:blipFill>
                        <pic:spPr bwMode="auto">
                          <a:xfrm>
                            <a:off x="0" y="0"/>
                            <a:ext cx="5289656" cy="5552728"/>
                          </a:xfrm>
                          <a:prstGeom prst="rect">
                            <a:avLst/>
                          </a:prstGeom>
                          <a:ln>
                            <a:noFill/>
                          </a:ln>
                          <a:extLst>
                            <a:ext uri="{53640926-AAD7-44D8-BBD7-CCE9431645EC}">
                              <a14:shadowObscured xmlns:a14="http://schemas.microsoft.com/office/drawing/2010/main"/>
                            </a:ext>
                          </a:extLst>
                        </pic:spPr>
                      </pic:pic>
                    </a:graphicData>
                  </a:graphic>
                </wp:inline>
              </w:drawing>
            </w:r>
          </w:p>
        </w:tc>
      </w:tr>
    </w:tbl>
    <w:p w14:paraId="43519785" w14:textId="25B1E900" w:rsidR="00DF1135" w:rsidRDefault="00DF1135" w:rsidP="00DF1135">
      <w:pPr>
        <w:pStyle w:val="Caption"/>
        <w:rPr>
          <w:rFonts w:ascii="Arial" w:hAnsi="Arial" w:cs="Arial"/>
        </w:rPr>
      </w:pPr>
      <w:r>
        <w:t xml:space="preserve">Figure </w:t>
      </w:r>
      <w:fldSimple w:instr=" SEQ Figure \* ARABIC ">
        <w:r w:rsidR="00F904F0">
          <w:rPr>
            <w:noProof/>
          </w:rPr>
          <w:t>7</w:t>
        </w:r>
      </w:fldSimple>
    </w:p>
    <w:p w14:paraId="54F0AB44" w14:textId="4EBC8A97" w:rsidR="007E36E0" w:rsidRDefault="00A02D66" w:rsidP="007E36E0">
      <w:pPr>
        <w:keepNext/>
        <w:spacing w:line="360" w:lineRule="auto"/>
        <w:rPr>
          <w:rFonts w:ascii="Arial" w:hAnsi="Arial" w:cs="Arial"/>
        </w:rPr>
      </w:pPr>
      <w:r>
        <w:rPr>
          <w:rFonts w:ascii="Arial" w:hAnsi="Arial" w:cs="Arial"/>
        </w:rPr>
        <w:t xml:space="preserve">Utilising an autoethnographic lens, the researcher observed that the move from the street through the automatic glass </w:t>
      </w:r>
      <w:r w:rsidR="008E3771">
        <w:rPr>
          <w:rFonts w:ascii="Arial" w:hAnsi="Arial" w:cs="Arial"/>
        </w:rPr>
        <w:t>double door is notably smooth, a</w:t>
      </w:r>
      <w:r w:rsidR="00F329B4">
        <w:rPr>
          <w:rFonts w:ascii="Arial" w:hAnsi="Arial" w:cs="Arial"/>
        </w:rPr>
        <w:t>voi</w:t>
      </w:r>
      <w:r w:rsidR="00E81BD1">
        <w:rPr>
          <w:rFonts w:ascii="Arial" w:hAnsi="Arial" w:cs="Arial"/>
        </w:rPr>
        <w:t>ding</w:t>
      </w:r>
      <w:r w:rsidR="00F329B4">
        <w:rPr>
          <w:rFonts w:ascii="Arial" w:hAnsi="Arial" w:cs="Arial"/>
        </w:rPr>
        <w:t xml:space="preserve"> the jarring atmospheric shifts often found in modern commercial venues</w:t>
      </w:r>
      <w:r w:rsidR="007E36E0">
        <w:rPr>
          <w:rFonts w:ascii="Arial" w:hAnsi="Arial" w:cs="Arial"/>
        </w:rPr>
        <w:t xml:space="preserve"> (see figure 8).</w:t>
      </w:r>
      <w:r w:rsidR="00E81BD1">
        <w:rPr>
          <w:rFonts w:ascii="Arial" w:hAnsi="Arial" w:cs="Arial"/>
        </w:rPr>
        <w:t xml:space="preserve"> </w:t>
      </w:r>
      <w:r w:rsidR="00DA729A">
        <w:rPr>
          <w:rFonts w:ascii="Arial" w:hAnsi="Arial" w:cs="Arial"/>
        </w:rPr>
        <w:t xml:space="preserve">The reception area serves as </w:t>
      </w:r>
      <w:r w:rsidR="00DA729A">
        <w:rPr>
          <w:rFonts w:ascii="Arial" w:hAnsi="Arial" w:cs="Arial"/>
        </w:rPr>
        <w:lastRenderedPageBreak/>
        <w:t xml:space="preserve">a calming transition space where natural light </w:t>
      </w:r>
      <w:r w:rsidR="00305246">
        <w:rPr>
          <w:rFonts w:ascii="Arial" w:hAnsi="Arial" w:cs="Arial"/>
        </w:rPr>
        <w:t>flows in from the glazed extension, preventing harsh visual contrast</w:t>
      </w:r>
      <w:r w:rsidR="00D05711">
        <w:rPr>
          <w:rFonts w:ascii="Arial" w:hAnsi="Arial" w:cs="Arial"/>
        </w:rPr>
        <w:t xml:space="preserve"> and</w:t>
      </w:r>
      <w:r w:rsidR="00305246">
        <w:rPr>
          <w:rFonts w:ascii="Arial" w:hAnsi="Arial" w:cs="Arial"/>
        </w:rPr>
        <w:t xml:space="preserve"> ensur</w:t>
      </w:r>
      <w:r w:rsidR="00D05711">
        <w:rPr>
          <w:rFonts w:ascii="Arial" w:hAnsi="Arial" w:cs="Arial"/>
        </w:rPr>
        <w:t>ing</w:t>
      </w:r>
      <w:r w:rsidR="00305246">
        <w:rPr>
          <w:rFonts w:ascii="Arial" w:hAnsi="Arial" w:cs="Arial"/>
        </w:rPr>
        <w:t xml:space="preserve"> that the entrance</w:t>
      </w:r>
      <w:r w:rsidR="006A01CE">
        <w:rPr>
          <w:rFonts w:ascii="Arial" w:hAnsi="Arial" w:cs="Arial"/>
        </w:rPr>
        <w:t xml:space="preserve"> is not only physically accessible but</w:t>
      </w:r>
      <w:r w:rsidR="002E4E01">
        <w:rPr>
          <w:rFonts w:ascii="Arial" w:hAnsi="Arial" w:cs="Arial"/>
        </w:rPr>
        <w:t xml:space="preserve"> </w:t>
      </w:r>
      <w:r w:rsidR="006A01CE">
        <w:rPr>
          <w:rFonts w:ascii="Arial" w:hAnsi="Arial" w:cs="Arial"/>
        </w:rPr>
        <w:t>cognitively welcomin</w:t>
      </w:r>
      <w:r w:rsidR="00253192">
        <w:rPr>
          <w:rFonts w:ascii="Arial" w:hAnsi="Arial" w:cs="Arial"/>
        </w:rPr>
        <w:t>g</w:t>
      </w:r>
      <w:r w:rsidR="008F4630">
        <w:rPr>
          <w:rFonts w:ascii="Arial" w:hAnsi="Arial" w:cs="Arial"/>
        </w:rPr>
        <w:t xml:space="preserve"> through the</w:t>
      </w:r>
      <w:r w:rsidR="00253192">
        <w:rPr>
          <w:rFonts w:ascii="Arial" w:hAnsi="Arial" w:cs="Arial"/>
        </w:rPr>
        <w:t xml:space="preserve"> </w:t>
      </w:r>
      <w:r w:rsidR="008F4630">
        <w:rPr>
          <w:rFonts w:ascii="Arial" w:hAnsi="Arial" w:cs="Arial"/>
        </w:rPr>
        <w:t>atmospheric softness.</w:t>
      </w:r>
      <w:r w:rsidR="00D05711">
        <w:rPr>
          <w:rFonts w:ascii="Arial" w:hAnsi="Arial" w:cs="Arial"/>
        </w:rPr>
        <w:t xml:space="preserve"> </w:t>
      </w:r>
    </w:p>
    <w:tbl>
      <w:tblPr>
        <w:tblStyle w:val="TableGrid"/>
        <w:tblW w:w="0" w:type="auto"/>
        <w:tblLook w:val="04A0" w:firstRow="1" w:lastRow="0" w:firstColumn="1" w:lastColumn="0" w:noHBand="0" w:noVBand="1"/>
      </w:tblPr>
      <w:tblGrid>
        <w:gridCol w:w="9016"/>
      </w:tblGrid>
      <w:tr w:rsidR="00DF1135" w14:paraId="24909E41" w14:textId="77777777" w:rsidTr="00DF1135">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27CF604" w14:textId="77777777" w:rsidR="00DF1135" w:rsidRDefault="00DF1135" w:rsidP="00DF1135">
            <w:pPr>
              <w:keepNext/>
              <w:spacing w:line="360" w:lineRule="auto"/>
            </w:pPr>
            <w:r w:rsidRPr="00C54BB5">
              <w:rPr>
                <w:rFonts w:ascii="Arial" w:hAnsi="Arial" w:cs="Arial"/>
              </w:rPr>
              <w:drawing>
                <wp:inline distT="0" distB="0" distL="0" distR="0" wp14:anchorId="6111CE1F" wp14:editId="031D7879">
                  <wp:extent cx="5311142" cy="6515652"/>
                  <wp:effectExtent l="0" t="0" r="3810" b="0"/>
                  <wp:docPr id="1806605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05912" name=""/>
                          <pic:cNvPicPr/>
                        </pic:nvPicPr>
                        <pic:blipFill rotWithShape="1">
                          <a:blip r:embed="rId21"/>
                          <a:srcRect t="7978"/>
                          <a:stretch>
                            <a:fillRect/>
                          </a:stretch>
                        </pic:blipFill>
                        <pic:spPr bwMode="auto">
                          <a:xfrm>
                            <a:off x="0" y="0"/>
                            <a:ext cx="5316016" cy="6521632"/>
                          </a:xfrm>
                          <a:prstGeom prst="rect">
                            <a:avLst/>
                          </a:prstGeom>
                          <a:ln>
                            <a:noFill/>
                          </a:ln>
                          <a:extLst>
                            <a:ext uri="{53640926-AAD7-44D8-BBD7-CCE9431645EC}">
                              <a14:shadowObscured xmlns:a14="http://schemas.microsoft.com/office/drawing/2010/main"/>
                            </a:ext>
                          </a:extLst>
                        </pic:spPr>
                      </pic:pic>
                    </a:graphicData>
                  </a:graphic>
                </wp:inline>
              </w:drawing>
            </w:r>
          </w:p>
          <w:p w14:paraId="2550B731" w14:textId="5A27B436" w:rsidR="00DF1135" w:rsidRDefault="00DF1135" w:rsidP="00DF1135">
            <w:pPr>
              <w:pStyle w:val="Caption"/>
            </w:pPr>
            <w:r>
              <w:t xml:space="preserve">Figure </w:t>
            </w:r>
            <w:fldSimple w:instr=" SEQ Figure \* ARABIC ">
              <w:r w:rsidR="00F904F0">
                <w:rPr>
                  <w:noProof/>
                </w:rPr>
                <w:t>8</w:t>
              </w:r>
            </w:fldSimple>
          </w:p>
        </w:tc>
      </w:tr>
    </w:tbl>
    <w:p w14:paraId="5649DF2E" w14:textId="0251C8BF" w:rsidR="006440E7" w:rsidRDefault="00D05711" w:rsidP="006440E7">
      <w:pPr>
        <w:keepNext/>
        <w:spacing w:line="360" w:lineRule="auto"/>
      </w:pPr>
      <w:r>
        <w:rPr>
          <w:rFonts w:ascii="Arial" w:hAnsi="Arial" w:cs="Arial"/>
        </w:rPr>
        <w:t xml:space="preserve">Throughout, the </w:t>
      </w:r>
      <w:r w:rsidR="00D5599E">
        <w:rPr>
          <w:rFonts w:ascii="Arial" w:hAnsi="Arial" w:cs="Arial"/>
        </w:rPr>
        <w:t xml:space="preserve">cognitive legibility is immediately established through clear, high contrast signage and strategic placement of </w:t>
      </w:r>
      <w:r w:rsidR="00E95184">
        <w:rPr>
          <w:rFonts w:ascii="Arial" w:hAnsi="Arial" w:cs="Arial"/>
        </w:rPr>
        <w:t xml:space="preserve">floor plan maps at decision points, a main </w:t>
      </w:r>
      <w:r w:rsidR="00E75670">
        <w:rPr>
          <w:rFonts w:ascii="Arial" w:hAnsi="Arial" w:cs="Arial"/>
        </w:rPr>
        <w:t>one being the base of the main staircase</w:t>
      </w:r>
      <w:r w:rsidR="000D302A">
        <w:rPr>
          <w:rFonts w:ascii="Arial" w:hAnsi="Arial" w:cs="Arial"/>
        </w:rPr>
        <w:t xml:space="preserve"> as </w:t>
      </w:r>
      <w:r w:rsidR="00CB1D46">
        <w:rPr>
          <w:rFonts w:ascii="Arial" w:hAnsi="Arial" w:cs="Arial"/>
        </w:rPr>
        <w:t>evidenced</w:t>
      </w:r>
      <w:r w:rsidR="000D302A">
        <w:rPr>
          <w:rFonts w:ascii="Arial" w:hAnsi="Arial" w:cs="Arial"/>
        </w:rPr>
        <w:t xml:space="preserve"> in figure 9</w:t>
      </w:r>
      <w:r w:rsidR="00E75670">
        <w:rPr>
          <w:rFonts w:ascii="Arial" w:hAnsi="Arial" w:cs="Arial"/>
        </w:rPr>
        <w:t xml:space="preserve">. </w:t>
      </w:r>
      <w:r w:rsidR="002C7121">
        <w:rPr>
          <w:rFonts w:ascii="Arial" w:hAnsi="Arial" w:cs="Arial"/>
        </w:rPr>
        <w:t>This provides visitors with a</w:t>
      </w:r>
      <w:r w:rsidR="00FD6CD3">
        <w:rPr>
          <w:rFonts w:ascii="Arial" w:hAnsi="Arial" w:cs="Arial"/>
        </w:rPr>
        <w:t xml:space="preserve"> mental map </w:t>
      </w:r>
      <w:r w:rsidR="00141D20">
        <w:rPr>
          <w:rFonts w:ascii="Arial" w:hAnsi="Arial" w:cs="Arial"/>
        </w:rPr>
        <w:lastRenderedPageBreak/>
        <w:t>o</w:t>
      </w:r>
      <w:r w:rsidR="00FD6CD3">
        <w:rPr>
          <w:rFonts w:ascii="Arial" w:hAnsi="Arial" w:cs="Arial"/>
        </w:rPr>
        <w:t>f the gallery, reducing navigational anxiety that often occurs in complex buildings, allowing people of all abilities to have a smooth experience.</w:t>
      </w:r>
      <w:r w:rsidR="004457CD" w:rsidRPr="004457CD">
        <w:t xml:space="preserve"> </w:t>
      </w:r>
    </w:p>
    <w:tbl>
      <w:tblPr>
        <w:tblStyle w:val="TableGrid"/>
        <w:tblW w:w="0" w:type="auto"/>
        <w:tblLook w:val="04A0" w:firstRow="1" w:lastRow="0" w:firstColumn="1" w:lastColumn="0" w:noHBand="0" w:noVBand="1"/>
      </w:tblPr>
      <w:tblGrid>
        <w:gridCol w:w="9016"/>
      </w:tblGrid>
      <w:tr w:rsidR="00DF1135" w14:paraId="3706432C" w14:textId="77777777" w:rsidTr="00DF1135">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33BEBBC" w14:textId="77777777" w:rsidR="00DF1135" w:rsidRDefault="00DF1135" w:rsidP="00DF1135">
            <w:pPr>
              <w:keepNext/>
              <w:spacing w:line="360" w:lineRule="auto"/>
            </w:pPr>
            <w:r>
              <w:rPr>
                <w:noProof/>
              </w:rPr>
              <w:drawing>
                <wp:inline distT="0" distB="0" distL="0" distR="0" wp14:anchorId="32F54E04" wp14:editId="07BEB79D">
                  <wp:extent cx="5731510" cy="4091940"/>
                  <wp:effectExtent l="0" t="0" r="2540" b="3810"/>
                  <wp:docPr id="694033122" name="Picture 6" descr="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cces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091940"/>
                          </a:xfrm>
                          <a:prstGeom prst="rect">
                            <a:avLst/>
                          </a:prstGeom>
                          <a:noFill/>
                          <a:ln>
                            <a:noFill/>
                          </a:ln>
                        </pic:spPr>
                      </pic:pic>
                    </a:graphicData>
                  </a:graphic>
                </wp:inline>
              </w:drawing>
            </w:r>
          </w:p>
          <w:p w14:paraId="66B4895B" w14:textId="70CF17F4" w:rsidR="00DF1135" w:rsidRDefault="00DF1135" w:rsidP="00DF1135">
            <w:pPr>
              <w:pStyle w:val="Caption"/>
            </w:pPr>
            <w:r>
              <w:t xml:space="preserve">Figure </w:t>
            </w:r>
            <w:fldSimple w:instr=" SEQ Figure \* ARABIC ">
              <w:r w:rsidR="00F904F0">
                <w:rPr>
                  <w:noProof/>
                </w:rPr>
                <w:t>9</w:t>
              </w:r>
            </w:fldSimple>
          </w:p>
        </w:tc>
      </w:tr>
    </w:tbl>
    <w:p w14:paraId="7733BDCA" w14:textId="32219277" w:rsidR="006440E7" w:rsidRDefault="00A9769A" w:rsidP="006440E7">
      <w:pPr>
        <w:keepNext/>
        <w:spacing w:line="360" w:lineRule="auto"/>
        <w:rPr>
          <w:noProof/>
        </w:rPr>
      </w:pPr>
      <w:r>
        <w:rPr>
          <w:rFonts w:ascii="Arial" w:hAnsi="Arial" w:cs="Arial"/>
        </w:rPr>
        <w:t xml:space="preserve">The lighting strategy </w:t>
      </w:r>
      <w:r w:rsidR="006B4230">
        <w:rPr>
          <w:rFonts w:ascii="Arial" w:hAnsi="Arial" w:cs="Arial"/>
        </w:rPr>
        <w:t xml:space="preserve">features </w:t>
      </w:r>
      <w:r>
        <w:rPr>
          <w:rFonts w:ascii="Arial" w:hAnsi="Arial" w:cs="Arial"/>
        </w:rPr>
        <w:t xml:space="preserve">a central rooflight in </w:t>
      </w:r>
      <w:r w:rsidR="00D34288">
        <w:rPr>
          <w:rFonts w:ascii="Arial" w:hAnsi="Arial" w:cs="Arial"/>
        </w:rPr>
        <w:t xml:space="preserve">the atrium which allows natural daylight to permeate the core gallery space, supplemented in </w:t>
      </w:r>
      <w:r w:rsidR="00093FC0">
        <w:rPr>
          <w:rFonts w:ascii="Arial" w:hAnsi="Arial" w:cs="Arial"/>
        </w:rPr>
        <w:t xml:space="preserve">windowless rooms by a neutral, soft </w:t>
      </w:r>
      <w:r w:rsidR="00093FC0">
        <w:rPr>
          <w:rFonts w:ascii="Arial" w:hAnsi="Arial" w:cs="Arial"/>
        </w:rPr>
        <w:lastRenderedPageBreak/>
        <w:t>artificial tone</w:t>
      </w:r>
      <w:r w:rsidR="00AC5E4A">
        <w:rPr>
          <w:rFonts w:ascii="Arial" w:hAnsi="Arial" w:cs="Arial"/>
        </w:rPr>
        <w:t xml:space="preserve"> of </w:t>
      </w:r>
      <w:r w:rsidR="006D61FF">
        <w:rPr>
          <w:rFonts w:ascii="Arial" w:hAnsi="Arial" w:cs="Arial"/>
        </w:rPr>
        <w:t>lighting</w:t>
      </w:r>
      <w:r w:rsidR="00093FC0">
        <w:rPr>
          <w:rFonts w:ascii="Arial" w:hAnsi="Arial" w:cs="Arial"/>
        </w:rPr>
        <w:t>. This avoids the stressful tone of harsh strip lighting, creating an inviting atmosphere that highlights the artwork without causing sensory fatigue.</w:t>
      </w:r>
      <w:r w:rsidR="00726DA1" w:rsidRPr="00726DA1">
        <w:rPr>
          <w:noProof/>
        </w:rPr>
        <w:t xml:space="preserve"> </w:t>
      </w:r>
    </w:p>
    <w:tbl>
      <w:tblPr>
        <w:tblStyle w:val="TableGrid"/>
        <w:tblW w:w="0" w:type="auto"/>
        <w:tblLook w:val="04A0" w:firstRow="1" w:lastRow="0" w:firstColumn="1" w:lastColumn="0" w:noHBand="0" w:noVBand="1"/>
      </w:tblPr>
      <w:tblGrid>
        <w:gridCol w:w="9016"/>
      </w:tblGrid>
      <w:tr w:rsidR="00DF1135" w14:paraId="5762680C" w14:textId="77777777" w:rsidTr="003005E9">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67A9B0A" w14:textId="77777777" w:rsidR="003005E9" w:rsidRDefault="00DF1135" w:rsidP="003005E9">
            <w:pPr>
              <w:keepNext/>
              <w:spacing w:line="360" w:lineRule="auto"/>
            </w:pPr>
            <w:r w:rsidRPr="00DF1135">
              <w:rPr>
                <w:rFonts w:ascii="Arial" w:hAnsi="Arial" w:cs="Arial"/>
              </w:rPr>
              <w:drawing>
                <wp:inline distT="0" distB="0" distL="0" distR="0" wp14:anchorId="71903832" wp14:editId="44C8D82A">
                  <wp:extent cx="5208104" cy="6943177"/>
                  <wp:effectExtent l="0" t="0" r="0" b="0"/>
                  <wp:docPr id="1129672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72362" name=""/>
                          <pic:cNvPicPr/>
                        </pic:nvPicPr>
                        <pic:blipFill>
                          <a:blip r:embed="rId23"/>
                          <a:stretch>
                            <a:fillRect/>
                          </a:stretch>
                        </pic:blipFill>
                        <pic:spPr>
                          <a:xfrm>
                            <a:off x="0" y="0"/>
                            <a:ext cx="5218950" cy="6957636"/>
                          </a:xfrm>
                          <a:prstGeom prst="rect">
                            <a:avLst/>
                          </a:prstGeom>
                        </pic:spPr>
                      </pic:pic>
                    </a:graphicData>
                  </a:graphic>
                </wp:inline>
              </w:drawing>
            </w:r>
          </w:p>
          <w:p w14:paraId="6567BA49" w14:textId="5C2F4ED7" w:rsidR="00DF1135" w:rsidRDefault="003005E9" w:rsidP="003005E9">
            <w:pPr>
              <w:pStyle w:val="Caption"/>
              <w:rPr>
                <w:rFonts w:ascii="Arial" w:hAnsi="Arial" w:cs="Arial"/>
              </w:rPr>
            </w:pPr>
            <w:r>
              <w:t xml:space="preserve">Figure </w:t>
            </w:r>
            <w:fldSimple w:instr=" SEQ Figure \* ARABIC ">
              <w:r w:rsidR="00F904F0">
                <w:rPr>
                  <w:noProof/>
                </w:rPr>
                <w:t>10</w:t>
              </w:r>
            </w:fldSimple>
          </w:p>
        </w:tc>
      </w:tr>
    </w:tbl>
    <w:p w14:paraId="4B4E1F3C" w14:textId="77777777" w:rsidR="00DF1135" w:rsidRDefault="00DF1135" w:rsidP="006440E7">
      <w:pPr>
        <w:keepNext/>
        <w:spacing w:line="360" w:lineRule="auto"/>
        <w:rPr>
          <w:rFonts w:ascii="Arial" w:hAnsi="Arial" w:cs="Arial"/>
        </w:rPr>
      </w:pPr>
    </w:p>
    <w:p w14:paraId="0DA67927" w14:textId="6E327985" w:rsidR="00685AF1" w:rsidRDefault="00093FC0" w:rsidP="00215620">
      <w:pPr>
        <w:spacing w:line="360" w:lineRule="auto"/>
        <w:rPr>
          <w:rFonts w:ascii="Arial" w:hAnsi="Arial" w:cs="Arial"/>
        </w:rPr>
      </w:pPr>
      <w:r>
        <w:rPr>
          <w:rFonts w:ascii="Arial" w:hAnsi="Arial" w:cs="Arial"/>
        </w:rPr>
        <w:t>Acoustically, the gallery maintains a “hush” that aligns with the sensory turn identifi</w:t>
      </w:r>
      <w:r w:rsidR="0062310C">
        <w:rPr>
          <w:rFonts w:ascii="Arial" w:hAnsi="Arial" w:cs="Arial"/>
        </w:rPr>
        <w:t>ed by Pallasmaa (2005); while a slight echo persists in the larger</w:t>
      </w:r>
      <w:r w:rsidR="00673785">
        <w:rPr>
          <w:rFonts w:ascii="Arial" w:hAnsi="Arial" w:cs="Arial"/>
        </w:rPr>
        <w:t xml:space="preserve"> rooms, the researcher noted that </w:t>
      </w:r>
      <w:r w:rsidR="00673785">
        <w:rPr>
          <w:rFonts w:ascii="Arial" w:hAnsi="Arial" w:cs="Arial"/>
        </w:rPr>
        <w:lastRenderedPageBreak/>
        <w:t xml:space="preserve">this was not overwhelming. </w:t>
      </w:r>
      <w:r w:rsidR="00E11633">
        <w:rPr>
          <w:rFonts w:ascii="Arial" w:hAnsi="Arial" w:cs="Arial"/>
        </w:rPr>
        <w:t xml:space="preserve">Instead, the audible </w:t>
      </w:r>
      <w:r w:rsidR="00A02A9F">
        <w:rPr>
          <w:rFonts w:ascii="Arial" w:hAnsi="Arial" w:cs="Arial"/>
        </w:rPr>
        <w:t>sound</w:t>
      </w:r>
      <w:r w:rsidR="00E11633">
        <w:rPr>
          <w:rFonts w:ascii="Arial" w:hAnsi="Arial" w:cs="Arial"/>
        </w:rPr>
        <w:t xml:space="preserve"> of footsteps throughout the space provided </w:t>
      </w:r>
      <w:r w:rsidR="004D54BD">
        <w:rPr>
          <w:rFonts w:ascii="Arial" w:hAnsi="Arial" w:cs="Arial"/>
        </w:rPr>
        <w:t>rhythmic feedback</w:t>
      </w:r>
      <w:r w:rsidR="00E11633">
        <w:rPr>
          <w:rFonts w:ascii="Arial" w:hAnsi="Arial" w:cs="Arial"/>
        </w:rPr>
        <w:t xml:space="preserve"> that enhanced the sense of stillness</w:t>
      </w:r>
      <w:r w:rsidR="00397DAC">
        <w:rPr>
          <w:rFonts w:ascii="Arial" w:hAnsi="Arial" w:cs="Arial"/>
        </w:rPr>
        <w:t>. The integration of quiet audio soundtracks in some rooms</w:t>
      </w:r>
      <w:r w:rsidR="00F91BE9">
        <w:rPr>
          <w:rFonts w:ascii="Arial" w:hAnsi="Arial" w:cs="Arial"/>
        </w:rPr>
        <w:t xml:space="preserve">, provided an immersive experience layer to the gallery without becoming intrusive, accompanied by the presence of digital screens featuring </w:t>
      </w:r>
      <w:r w:rsidR="004D54BD">
        <w:rPr>
          <w:rFonts w:ascii="Arial" w:hAnsi="Arial" w:cs="Arial"/>
        </w:rPr>
        <w:t xml:space="preserve">British Sign Language (BSL) interpretation throughout the gallery spaces. By </w:t>
      </w:r>
      <w:r w:rsidR="00977F76">
        <w:rPr>
          <w:rFonts w:ascii="Arial" w:hAnsi="Arial" w:cs="Arial"/>
        </w:rPr>
        <w:t>employing</w:t>
      </w:r>
      <w:r w:rsidR="00232FD2">
        <w:rPr>
          <w:rFonts w:ascii="Arial" w:hAnsi="Arial" w:cs="Arial"/>
        </w:rPr>
        <w:t xml:space="preserve"> these </w:t>
      </w:r>
      <w:r w:rsidR="00977F76">
        <w:rPr>
          <w:rFonts w:ascii="Arial" w:hAnsi="Arial" w:cs="Arial"/>
        </w:rPr>
        <w:t>multi-sensory</w:t>
      </w:r>
      <w:r w:rsidR="00232FD2">
        <w:rPr>
          <w:rFonts w:ascii="Arial" w:hAnsi="Arial" w:cs="Arial"/>
        </w:rPr>
        <w:t xml:space="preserve"> features within primary </w:t>
      </w:r>
      <w:r w:rsidR="00977F76">
        <w:rPr>
          <w:rFonts w:ascii="Arial" w:hAnsi="Arial" w:cs="Arial"/>
        </w:rPr>
        <w:t>areas</w:t>
      </w:r>
      <w:r w:rsidR="00232FD2">
        <w:rPr>
          <w:rFonts w:ascii="Arial" w:hAnsi="Arial" w:cs="Arial"/>
        </w:rPr>
        <w:t xml:space="preserve">, the Glynn Vivian moves beyond basic accessibility to provide a truly inclusive sensory landscape that respects </w:t>
      </w:r>
      <w:r w:rsidR="00977F76">
        <w:rPr>
          <w:rFonts w:ascii="Arial" w:hAnsi="Arial" w:cs="Arial"/>
        </w:rPr>
        <w:t>visitors.</w:t>
      </w:r>
    </w:p>
    <w:tbl>
      <w:tblPr>
        <w:tblStyle w:val="TableGrid"/>
        <w:tblW w:w="0" w:type="auto"/>
        <w:tblLook w:val="04A0" w:firstRow="1" w:lastRow="0" w:firstColumn="1" w:lastColumn="0" w:noHBand="0" w:noVBand="1"/>
      </w:tblPr>
      <w:tblGrid>
        <w:gridCol w:w="9016"/>
      </w:tblGrid>
      <w:tr w:rsidR="005229DB" w14:paraId="793FE2B2" w14:textId="77777777" w:rsidTr="005229DB">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FFB2021" w14:textId="77777777" w:rsidR="005229DB" w:rsidRDefault="005229DB" w:rsidP="005229DB">
            <w:pPr>
              <w:keepNext/>
              <w:spacing w:line="360" w:lineRule="auto"/>
            </w:pPr>
            <w:r w:rsidRPr="006440E7">
              <w:rPr>
                <w:rFonts w:ascii="Arial" w:hAnsi="Arial" w:cs="Arial"/>
              </w:rPr>
              <w:drawing>
                <wp:inline distT="0" distB="0" distL="0" distR="0" wp14:anchorId="1AC4EDFA" wp14:editId="0FEA41CD">
                  <wp:extent cx="5731510" cy="4764405"/>
                  <wp:effectExtent l="0" t="0" r="2540" b="0"/>
                  <wp:docPr id="827562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62552" name=""/>
                          <pic:cNvPicPr/>
                        </pic:nvPicPr>
                        <pic:blipFill>
                          <a:blip r:embed="rId24"/>
                          <a:stretch>
                            <a:fillRect/>
                          </a:stretch>
                        </pic:blipFill>
                        <pic:spPr>
                          <a:xfrm>
                            <a:off x="0" y="0"/>
                            <a:ext cx="5731510" cy="4764405"/>
                          </a:xfrm>
                          <a:prstGeom prst="rect">
                            <a:avLst/>
                          </a:prstGeom>
                        </pic:spPr>
                      </pic:pic>
                    </a:graphicData>
                  </a:graphic>
                </wp:inline>
              </w:drawing>
            </w:r>
          </w:p>
          <w:p w14:paraId="6C57A41D" w14:textId="3A517B04" w:rsidR="005229DB" w:rsidRDefault="005229DB" w:rsidP="005229DB">
            <w:pPr>
              <w:pStyle w:val="Caption"/>
            </w:pPr>
            <w:r>
              <w:t xml:space="preserve">Figure </w:t>
            </w:r>
            <w:fldSimple w:instr=" SEQ Figure \* ARABIC ">
              <w:r w:rsidR="00F904F0">
                <w:rPr>
                  <w:noProof/>
                </w:rPr>
                <w:t>11</w:t>
              </w:r>
            </w:fldSimple>
          </w:p>
        </w:tc>
      </w:tr>
    </w:tbl>
    <w:p w14:paraId="301D3908" w14:textId="34CB09CF" w:rsidR="006440E7" w:rsidRDefault="006440E7" w:rsidP="006440E7">
      <w:pPr>
        <w:keepNext/>
        <w:spacing w:line="360" w:lineRule="auto"/>
      </w:pPr>
    </w:p>
    <w:p w14:paraId="0EF05DED" w14:textId="01EB9F0C" w:rsidR="00BC03F7" w:rsidRDefault="00A02A9F" w:rsidP="00215620">
      <w:pPr>
        <w:spacing w:line="360" w:lineRule="auto"/>
        <w:rPr>
          <w:rFonts w:ascii="Arial" w:hAnsi="Arial" w:cs="Arial"/>
        </w:rPr>
      </w:pPr>
      <w:r>
        <w:rPr>
          <w:rFonts w:ascii="Arial" w:hAnsi="Arial" w:cs="Arial"/>
        </w:rPr>
        <w:t xml:space="preserve">However, the autoethnographic audit identified specific points of sensory friction </w:t>
      </w:r>
      <w:r w:rsidR="00394A74">
        <w:rPr>
          <w:rFonts w:ascii="Arial" w:hAnsi="Arial" w:cs="Arial"/>
        </w:rPr>
        <w:t xml:space="preserve">within the otherwise highly legible </w:t>
      </w:r>
      <w:r w:rsidR="00317929">
        <w:rPr>
          <w:rFonts w:ascii="Arial" w:hAnsi="Arial" w:cs="Arial"/>
        </w:rPr>
        <w:t>environment.</w:t>
      </w:r>
      <w:r w:rsidR="00E56158">
        <w:rPr>
          <w:rFonts w:ascii="Arial" w:hAnsi="Arial" w:cs="Arial"/>
        </w:rPr>
        <w:t xml:space="preserve"> </w:t>
      </w:r>
      <w:r w:rsidR="00317929">
        <w:rPr>
          <w:rFonts w:ascii="Arial" w:hAnsi="Arial" w:cs="Arial"/>
        </w:rPr>
        <w:t>A</w:t>
      </w:r>
      <w:r w:rsidR="00E56158">
        <w:rPr>
          <w:rFonts w:ascii="Arial" w:hAnsi="Arial" w:cs="Arial"/>
        </w:rPr>
        <w:t xml:space="preserve"> significant </w:t>
      </w:r>
      <w:r w:rsidR="00317929">
        <w:rPr>
          <w:rFonts w:ascii="Arial" w:hAnsi="Arial" w:cs="Arial"/>
        </w:rPr>
        <w:t>challenge</w:t>
      </w:r>
      <w:r w:rsidR="00E56158">
        <w:rPr>
          <w:rFonts w:ascii="Arial" w:hAnsi="Arial" w:cs="Arial"/>
        </w:rPr>
        <w:t xml:space="preserve"> in legibility was observed at the entrance to the </w:t>
      </w:r>
      <w:r w:rsidR="009E3CD5">
        <w:rPr>
          <w:rFonts w:ascii="Arial" w:hAnsi="Arial" w:cs="Arial"/>
        </w:rPr>
        <w:t xml:space="preserve">video display room. Here, the use of a heavy, black blackout curtain – unmarked and difficult to move – created a </w:t>
      </w:r>
      <w:r w:rsidR="004D3636">
        <w:rPr>
          <w:rFonts w:ascii="Arial" w:hAnsi="Arial" w:cs="Arial"/>
        </w:rPr>
        <w:t xml:space="preserve">significant </w:t>
      </w:r>
      <w:r w:rsidR="00C364E7">
        <w:rPr>
          <w:rFonts w:ascii="Arial" w:hAnsi="Arial" w:cs="Arial"/>
        </w:rPr>
        <w:t>moment of uncertainty.</w:t>
      </w:r>
      <w:r w:rsidR="004D3636">
        <w:rPr>
          <w:rFonts w:ascii="Arial" w:hAnsi="Arial" w:cs="Arial"/>
        </w:rPr>
        <w:t xml:space="preserve"> </w:t>
      </w:r>
      <w:r w:rsidR="00B265DB">
        <w:rPr>
          <w:rFonts w:ascii="Arial" w:hAnsi="Arial" w:cs="Arial"/>
        </w:rPr>
        <w:t>In an environment where signage is exceptionally clear</w:t>
      </w:r>
      <w:r w:rsidR="007A31A3">
        <w:rPr>
          <w:rFonts w:ascii="Arial" w:hAnsi="Arial" w:cs="Arial"/>
        </w:rPr>
        <w:t>, this unmarked threshold stood out as a barrier</w:t>
      </w:r>
      <w:r w:rsidR="006D020A">
        <w:rPr>
          <w:rFonts w:ascii="Arial" w:hAnsi="Arial" w:cs="Arial"/>
        </w:rPr>
        <w:t>, proving it difficult to identify the room as a public space</w:t>
      </w:r>
      <w:r w:rsidR="004D3636">
        <w:rPr>
          <w:rFonts w:ascii="Arial" w:hAnsi="Arial" w:cs="Arial"/>
        </w:rPr>
        <w:t xml:space="preserve">. This specific instance </w:t>
      </w:r>
      <w:r w:rsidR="004D3636">
        <w:rPr>
          <w:rFonts w:ascii="Arial" w:hAnsi="Arial" w:cs="Arial"/>
        </w:rPr>
        <w:lastRenderedPageBreak/>
        <w:t xml:space="preserve">highlights the heritage gap in sensory design, where the technical requirement for darkness in a digital display room overrides the </w:t>
      </w:r>
      <w:r w:rsidR="00056E14">
        <w:rPr>
          <w:rFonts w:ascii="Arial" w:hAnsi="Arial" w:cs="Arial"/>
        </w:rPr>
        <w:t>building’s UD logic</w:t>
      </w:r>
      <w:r w:rsidR="004D3636">
        <w:rPr>
          <w:rFonts w:ascii="Arial" w:hAnsi="Arial" w:cs="Arial"/>
        </w:rPr>
        <w:t>.</w:t>
      </w:r>
      <w:r w:rsidR="00A62439" w:rsidRPr="00A62439">
        <w:rPr>
          <w:noProof/>
        </w:rPr>
        <w:t xml:space="preserve"> </w:t>
      </w:r>
    </w:p>
    <w:tbl>
      <w:tblPr>
        <w:tblStyle w:val="TableGrid"/>
        <w:tblW w:w="0" w:type="auto"/>
        <w:tblLook w:val="04A0" w:firstRow="1" w:lastRow="0" w:firstColumn="1" w:lastColumn="0" w:noHBand="0" w:noVBand="1"/>
      </w:tblPr>
      <w:tblGrid>
        <w:gridCol w:w="9016"/>
      </w:tblGrid>
      <w:tr w:rsidR="005229DB" w14:paraId="518F1AC3" w14:textId="77777777" w:rsidTr="005229DB">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7C0F43C" w14:textId="77777777" w:rsidR="005229DB" w:rsidRDefault="005229DB" w:rsidP="005229DB">
            <w:pPr>
              <w:keepNext/>
              <w:spacing w:line="360" w:lineRule="auto"/>
            </w:pPr>
            <w:r w:rsidRPr="00A62439">
              <w:rPr>
                <w:rFonts w:ascii="Arial" w:hAnsi="Arial" w:cs="Arial"/>
              </w:rPr>
              <w:drawing>
                <wp:inline distT="0" distB="0" distL="0" distR="0" wp14:anchorId="006B1B10" wp14:editId="27F9F7BA">
                  <wp:extent cx="5503633" cy="6617252"/>
                  <wp:effectExtent l="0" t="0" r="1905" b="0"/>
                  <wp:docPr id="150533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36669" name=""/>
                          <pic:cNvPicPr/>
                        </pic:nvPicPr>
                        <pic:blipFill rotWithShape="1">
                          <a:blip r:embed="rId25">
                            <a:extLst>
                              <a:ext uri="{BEBA8EAE-BF5A-486C-A8C5-ECC9F3942E4B}">
                                <a14:imgProps xmlns:a14="http://schemas.microsoft.com/office/drawing/2010/main">
                                  <a14:imgLayer r:embed="rId26">
                                    <a14:imgEffect>
                                      <a14:brightnessContrast contrast="-20000"/>
                                    </a14:imgEffect>
                                  </a14:imgLayer>
                                </a14:imgProps>
                              </a:ext>
                            </a:extLst>
                          </a:blip>
                          <a:srcRect t="6880" b="2932"/>
                          <a:stretch>
                            <a:fillRect/>
                          </a:stretch>
                        </pic:blipFill>
                        <pic:spPr bwMode="auto">
                          <a:xfrm>
                            <a:off x="0" y="0"/>
                            <a:ext cx="5517528" cy="6633958"/>
                          </a:xfrm>
                          <a:prstGeom prst="rect">
                            <a:avLst/>
                          </a:prstGeom>
                          <a:ln>
                            <a:noFill/>
                          </a:ln>
                          <a:extLst>
                            <a:ext uri="{53640926-AAD7-44D8-BBD7-CCE9431645EC}">
                              <a14:shadowObscured xmlns:a14="http://schemas.microsoft.com/office/drawing/2010/main"/>
                            </a:ext>
                          </a:extLst>
                        </pic:spPr>
                      </pic:pic>
                    </a:graphicData>
                  </a:graphic>
                </wp:inline>
              </w:drawing>
            </w:r>
          </w:p>
          <w:p w14:paraId="0008180B" w14:textId="3786009D" w:rsidR="005229DB" w:rsidRDefault="005229DB" w:rsidP="005229DB">
            <w:pPr>
              <w:pStyle w:val="Caption"/>
              <w:rPr>
                <w:rFonts w:ascii="Arial" w:hAnsi="Arial" w:cs="Arial"/>
              </w:rPr>
            </w:pPr>
            <w:r>
              <w:t xml:space="preserve">Figure </w:t>
            </w:r>
            <w:fldSimple w:instr=" SEQ Figure \* ARABIC ">
              <w:r w:rsidR="00F904F0">
                <w:rPr>
                  <w:noProof/>
                </w:rPr>
                <w:t>12</w:t>
              </w:r>
            </w:fldSimple>
          </w:p>
        </w:tc>
      </w:tr>
    </w:tbl>
    <w:p w14:paraId="2D04450C" w14:textId="77777777" w:rsidR="005229DB" w:rsidRDefault="005229DB" w:rsidP="00215620">
      <w:pPr>
        <w:spacing w:line="360" w:lineRule="auto"/>
        <w:rPr>
          <w:rFonts w:ascii="Arial" w:hAnsi="Arial" w:cs="Arial"/>
        </w:rPr>
      </w:pPr>
    </w:p>
    <w:p w14:paraId="28CF1C25" w14:textId="140E2E41" w:rsidR="00A02A9F" w:rsidRDefault="00861B43" w:rsidP="00215620">
      <w:pPr>
        <w:spacing w:line="360" w:lineRule="auto"/>
        <w:rPr>
          <w:rFonts w:ascii="Arial" w:hAnsi="Arial" w:cs="Arial"/>
        </w:rPr>
      </w:pPr>
      <w:r>
        <w:rPr>
          <w:rFonts w:ascii="Arial" w:hAnsi="Arial" w:cs="Arial"/>
        </w:rPr>
        <w:t>Throughout,</w:t>
      </w:r>
      <w:r w:rsidR="00317929">
        <w:rPr>
          <w:rFonts w:ascii="Arial" w:hAnsi="Arial" w:cs="Arial"/>
        </w:rPr>
        <w:t xml:space="preserve"> the mix of light herringbone wooden flooring paired with cream walls provides a soft, aesthetically pleasing contrast in most spaces, </w:t>
      </w:r>
      <w:r w:rsidR="000666F3">
        <w:rPr>
          <w:rFonts w:ascii="Arial" w:hAnsi="Arial" w:cs="Arial"/>
        </w:rPr>
        <w:t>whereas</w:t>
      </w:r>
      <w:r w:rsidR="00BB6676">
        <w:rPr>
          <w:rFonts w:ascii="Arial" w:hAnsi="Arial" w:cs="Arial"/>
        </w:rPr>
        <w:t xml:space="preserve"> some rooms adopt </w:t>
      </w:r>
      <w:r w:rsidR="00317929">
        <w:rPr>
          <w:rFonts w:ascii="Arial" w:hAnsi="Arial" w:cs="Arial"/>
        </w:rPr>
        <w:t>the use of deep navy walls</w:t>
      </w:r>
      <w:r w:rsidR="00136298">
        <w:rPr>
          <w:rFonts w:ascii="Arial" w:hAnsi="Arial" w:cs="Arial"/>
        </w:rPr>
        <w:t xml:space="preserve">. While intended to create an atmospheric backdrop for artwork, darker </w:t>
      </w:r>
      <w:r w:rsidR="00136298">
        <w:rPr>
          <w:rFonts w:ascii="Arial" w:hAnsi="Arial" w:cs="Arial"/>
        </w:rPr>
        <w:lastRenderedPageBreak/>
        <w:t>surfaces c</w:t>
      </w:r>
      <w:r w:rsidR="006A59A8">
        <w:rPr>
          <w:rFonts w:ascii="Arial" w:hAnsi="Arial" w:cs="Arial"/>
        </w:rPr>
        <w:t>an appear dull or too heavy under controlled lighting, potentially reducing the visual definition of the room for users</w:t>
      </w:r>
      <w:r w:rsidR="000666F3">
        <w:rPr>
          <w:rFonts w:ascii="Arial" w:hAnsi="Arial" w:cs="Arial"/>
        </w:rPr>
        <w:t xml:space="preserve"> with low visual acuity.</w:t>
      </w:r>
    </w:p>
    <w:tbl>
      <w:tblPr>
        <w:tblStyle w:val="TableGrid"/>
        <w:tblW w:w="0" w:type="auto"/>
        <w:tblLook w:val="04A0" w:firstRow="1" w:lastRow="0" w:firstColumn="1" w:lastColumn="0" w:noHBand="0" w:noVBand="1"/>
      </w:tblPr>
      <w:tblGrid>
        <w:gridCol w:w="4519"/>
        <w:gridCol w:w="4497"/>
      </w:tblGrid>
      <w:tr w:rsidR="00664072" w14:paraId="41723616" w14:textId="77777777" w:rsidTr="005C1D43">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5F2C09E" w14:textId="77777777" w:rsidR="00D35CFE" w:rsidRDefault="00156B80" w:rsidP="00D35CFE">
            <w:pPr>
              <w:keepNext/>
              <w:spacing w:line="360" w:lineRule="auto"/>
            </w:pPr>
            <w:r w:rsidRPr="00156B80">
              <w:drawing>
                <wp:inline distT="0" distB="0" distL="0" distR="0" wp14:anchorId="37262F5C" wp14:editId="06F2BA83">
                  <wp:extent cx="3210370" cy="4279900"/>
                  <wp:effectExtent l="0" t="0" r="9525" b="6350"/>
                  <wp:docPr id="116599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96927" name=""/>
                          <pic:cNvPicPr/>
                        </pic:nvPicPr>
                        <pic:blipFill>
                          <a:blip r:embed="rId27"/>
                          <a:stretch>
                            <a:fillRect/>
                          </a:stretch>
                        </pic:blipFill>
                        <pic:spPr>
                          <a:xfrm>
                            <a:off x="0" y="0"/>
                            <a:ext cx="3245692" cy="4326989"/>
                          </a:xfrm>
                          <a:prstGeom prst="rect">
                            <a:avLst/>
                          </a:prstGeom>
                        </pic:spPr>
                      </pic:pic>
                    </a:graphicData>
                  </a:graphic>
                </wp:inline>
              </w:drawing>
            </w:r>
          </w:p>
          <w:p w14:paraId="03C3907D" w14:textId="4249163E" w:rsidR="00664072" w:rsidRDefault="00D35CFE" w:rsidP="00D35CFE">
            <w:pPr>
              <w:pStyle w:val="Caption"/>
            </w:pPr>
            <w:r>
              <w:t xml:space="preserve">Figure </w:t>
            </w:r>
            <w:fldSimple w:instr=" SEQ Figure \* ARABIC ">
              <w:r w:rsidR="00F904F0">
                <w:rPr>
                  <w:noProof/>
                </w:rPr>
                <w:t>13</w:t>
              </w:r>
            </w:fldSimple>
          </w:p>
          <w:p w14:paraId="008AC3D6" w14:textId="0AF43C91" w:rsidR="00664072" w:rsidRDefault="00664072" w:rsidP="005C1D43">
            <w:pPr>
              <w:pStyle w:val="Caption"/>
              <w:rPr>
                <w:rFonts w:ascii="Arial" w:hAnsi="Arial" w:cs="Arial"/>
              </w:rPr>
            </w:pPr>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F92D4BE" w14:textId="77777777" w:rsidR="00D35CFE" w:rsidRDefault="00D35CFE" w:rsidP="00D35CFE">
            <w:pPr>
              <w:keepNext/>
              <w:spacing w:line="360" w:lineRule="auto"/>
            </w:pPr>
            <w:r w:rsidRPr="00D35CFE">
              <w:drawing>
                <wp:inline distT="0" distB="0" distL="0" distR="0" wp14:anchorId="3A512BF9" wp14:editId="655F0FF6">
                  <wp:extent cx="3203105" cy="4270215"/>
                  <wp:effectExtent l="0" t="0" r="0" b="0"/>
                  <wp:docPr id="1393107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07553" name=""/>
                          <pic:cNvPicPr/>
                        </pic:nvPicPr>
                        <pic:blipFill>
                          <a:blip r:embed="rId28"/>
                          <a:stretch>
                            <a:fillRect/>
                          </a:stretch>
                        </pic:blipFill>
                        <pic:spPr>
                          <a:xfrm>
                            <a:off x="0" y="0"/>
                            <a:ext cx="3220856" cy="4293880"/>
                          </a:xfrm>
                          <a:prstGeom prst="rect">
                            <a:avLst/>
                          </a:prstGeom>
                        </pic:spPr>
                      </pic:pic>
                    </a:graphicData>
                  </a:graphic>
                </wp:inline>
              </w:drawing>
            </w:r>
          </w:p>
          <w:p w14:paraId="6687AA98" w14:textId="0626D37A" w:rsidR="00664072" w:rsidRDefault="00D35CFE" w:rsidP="00D35CFE">
            <w:pPr>
              <w:pStyle w:val="Caption"/>
            </w:pPr>
            <w:r>
              <w:t xml:space="preserve">Figure </w:t>
            </w:r>
            <w:fldSimple w:instr=" SEQ Figure \* ARABIC ">
              <w:r w:rsidR="00F904F0">
                <w:rPr>
                  <w:noProof/>
                </w:rPr>
                <w:t>14</w:t>
              </w:r>
            </w:fldSimple>
          </w:p>
          <w:p w14:paraId="7DA86D33" w14:textId="56C4453D" w:rsidR="00664072" w:rsidRDefault="00664072" w:rsidP="005C1D43">
            <w:pPr>
              <w:pStyle w:val="Caption"/>
              <w:rPr>
                <w:rFonts w:ascii="Arial" w:hAnsi="Arial" w:cs="Arial"/>
              </w:rPr>
            </w:pPr>
          </w:p>
        </w:tc>
      </w:tr>
    </w:tbl>
    <w:p w14:paraId="664A5D28" w14:textId="01DD1B40" w:rsidR="00171093" w:rsidRPr="000074D1" w:rsidRDefault="00171093" w:rsidP="00171093">
      <w:pPr>
        <w:pStyle w:val="Heading3"/>
        <w:spacing w:line="360" w:lineRule="auto"/>
        <w:rPr>
          <w:rFonts w:ascii="Arial" w:hAnsi="Arial" w:cs="Arial"/>
          <w:color w:val="auto"/>
          <w:sz w:val="28"/>
          <w:szCs w:val="28"/>
        </w:rPr>
      </w:pPr>
      <w:bookmarkStart w:id="46" w:name="_Toc228359256"/>
      <w:r w:rsidRPr="000074D1">
        <w:rPr>
          <w:rFonts w:ascii="Arial" w:hAnsi="Arial" w:cs="Arial"/>
          <w:color w:val="auto"/>
          <w:sz w:val="28"/>
          <w:szCs w:val="28"/>
        </w:rPr>
        <w:t>4.1.5: Evaluation</w:t>
      </w:r>
      <w:bookmarkEnd w:id="46"/>
    </w:p>
    <w:p w14:paraId="5488B6C6" w14:textId="6951116F" w:rsidR="00215620" w:rsidRDefault="000B76C7" w:rsidP="00DD0779">
      <w:pPr>
        <w:spacing w:line="360" w:lineRule="auto"/>
        <w:rPr>
          <w:rFonts w:ascii="Arial" w:hAnsi="Arial" w:cs="Arial"/>
        </w:rPr>
      </w:pPr>
      <w:r>
        <w:rPr>
          <w:rFonts w:ascii="Arial" w:hAnsi="Arial" w:cs="Arial"/>
        </w:rPr>
        <w:t xml:space="preserve">The evaluation of the </w:t>
      </w:r>
      <w:r w:rsidR="0001516B">
        <w:rPr>
          <w:rFonts w:ascii="Arial" w:hAnsi="Arial" w:cs="Arial"/>
        </w:rPr>
        <w:t xml:space="preserve">Glynn Vivian Art Gallery, conducted through a rigorous site audit and an autoethnographic lens, </w:t>
      </w:r>
      <w:r w:rsidR="0048109C">
        <w:rPr>
          <w:rFonts w:ascii="Arial" w:hAnsi="Arial" w:cs="Arial"/>
        </w:rPr>
        <w:t>positions it as a benchmark for meaningful UD in a heritage context</w:t>
      </w:r>
      <w:r w:rsidR="001823FF">
        <w:rPr>
          <w:rFonts w:ascii="Arial" w:hAnsi="Arial" w:cs="Arial"/>
        </w:rPr>
        <w:t>.</w:t>
      </w:r>
      <w:r w:rsidR="0048109C">
        <w:rPr>
          <w:rFonts w:ascii="Arial" w:hAnsi="Arial" w:cs="Arial"/>
        </w:rPr>
        <w:t xml:space="preserve"> </w:t>
      </w:r>
      <w:r w:rsidR="00843ADB">
        <w:rPr>
          <w:rFonts w:ascii="Arial" w:hAnsi="Arial" w:cs="Arial"/>
        </w:rPr>
        <w:t>The redevelopment has successfully transitioned the building from a state of exclusion to one of 21</w:t>
      </w:r>
      <w:r w:rsidR="00843ADB" w:rsidRPr="00843ADB">
        <w:rPr>
          <w:rFonts w:ascii="Arial" w:hAnsi="Arial" w:cs="Arial"/>
          <w:vertAlign w:val="superscript"/>
        </w:rPr>
        <w:t>st</w:t>
      </w:r>
      <w:r w:rsidR="00843ADB">
        <w:rPr>
          <w:rFonts w:ascii="Arial" w:hAnsi="Arial" w:cs="Arial"/>
        </w:rPr>
        <w:t xml:space="preserve"> century inclusion</w:t>
      </w:r>
      <w:r w:rsidR="00FB1DB3">
        <w:rPr>
          <w:rFonts w:ascii="Arial" w:hAnsi="Arial" w:cs="Arial"/>
        </w:rPr>
        <w:t>,</w:t>
      </w:r>
      <w:r w:rsidR="00FB1DB3" w:rsidRPr="00FB1DB3">
        <w:rPr>
          <w:rFonts w:ascii="Arial" w:hAnsi="Arial" w:cs="Arial"/>
        </w:rPr>
        <w:t xml:space="preserve"> </w:t>
      </w:r>
      <w:r w:rsidR="00FB1DB3">
        <w:rPr>
          <w:rFonts w:ascii="Arial" w:hAnsi="Arial" w:cs="Arial"/>
        </w:rPr>
        <w:t>not just in its adherence to Approved Document M, but in its commitment to principle of UD.</w:t>
      </w:r>
      <w:r w:rsidR="00CC4F8D">
        <w:rPr>
          <w:rFonts w:ascii="Arial" w:hAnsi="Arial" w:cs="Arial"/>
        </w:rPr>
        <w:t xml:space="preserve"> </w:t>
      </w:r>
      <w:r w:rsidR="003A1A5B">
        <w:rPr>
          <w:rFonts w:ascii="Arial" w:hAnsi="Arial" w:cs="Arial"/>
        </w:rPr>
        <w:t xml:space="preserve">The singular, street level entrance and the </w:t>
      </w:r>
      <w:r w:rsidR="008E21B8">
        <w:rPr>
          <w:rFonts w:ascii="Arial" w:hAnsi="Arial" w:cs="Arial"/>
        </w:rPr>
        <w:t xml:space="preserve">co-location of vertical circulation facilities ensure that the building functions as a unified environment where user journeys are neither secondary nor segregated, allowing everyone to experience the building </w:t>
      </w:r>
      <w:r w:rsidR="00E039FC">
        <w:rPr>
          <w:rFonts w:ascii="Arial" w:hAnsi="Arial" w:cs="Arial"/>
        </w:rPr>
        <w:t>equally.</w:t>
      </w:r>
      <w:r w:rsidR="00F25478">
        <w:rPr>
          <w:rFonts w:ascii="Arial" w:hAnsi="Arial" w:cs="Arial"/>
        </w:rPr>
        <w:t xml:space="preserve"> This approach embodies the principle of Equitable Use (Mace, 1985), proving that heritage constraints can be overcome to provide a dignified experience for all.</w:t>
      </w:r>
    </w:p>
    <w:p w14:paraId="6AE47012" w14:textId="750D6F6A" w:rsidR="00F25478" w:rsidRDefault="00775AD7" w:rsidP="00DD0779">
      <w:pPr>
        <w:spacing w:line="360" w:lineRule="auto"/>
        <w:rPr>
          <w:rFonts w:ascii="Arial" w:hAnsi="Arial" w:cs="Arial"/>
        </w:rPr>
      </w:pPr>
      <w:r>
        <w:rPr>
          <w:rFonts w:ascii="Arial" w:hAnsi="Arial" w:cs="Arial"/>
        </w:rPr>
        <w:t xml:space="preserve">Sensory inclusion is a standout feature of the building’s daily operations, representing a gold standard approach to neurodiversity and hearing impairment. The integration of quiet audio </w:t>
      </w:r>
      <w:r w:rsidR="000E6EDE">
        <w:rPr>
          <w:rFonts w:ascii="Arial" w:hAnsi="Arial" w:cs="Arial"/>
        </w:rPr>
        <w:lastRenderedPageBreak/>
        <w:t xml:space="preserve">soundtracks and dedicated screens featuring BSL in </w:t>
      </w:r>
      <w:r w:rsidR="00871AD3">
        <w:rPr>
          <w:rFonts w:ascii="Arial" w:hAnsi="Arial" w:cs="Arial"/>
        </w:rPr>
        <w:t>certain spaces ensures that the collection is mul</w:t>
      </w:r>
      <w:r w:rsidR="00485253">
        <w:rPr>
          <w:rFonts w:ascii="Arial" w:hAnsi="Arial" w:cs="Arial"/>
        </w:rPr>
        <w:t>ti</w:t>
      </w:r>
      <w:r w:rsidR="00871AD3">
        <w:rPr>
          <w:rFonts w:ascii="Arial" w:hAnsi="Arial" w:cs="Arial"/>
        </w:rPr>
        <w:t>-sensory and linguistically accessible</w:t>
      </w:r>
      <w:r w:rsidR="00485253">
        <w:rPr>
          <w:rFonts w:ascii="Arial" w:hAnsi="Arial" w:cs="Arial"/>
        </w:rPr>
        <w:t xml:space="preserve">. The proactive sensory features complement the “hush” of the galleries, creating a calm, predictable environment that supports the </w:t>
      </w:r>
      <w:r w:rsidR="00C2395C">
        <w:rPr>
          <w:rFonts w:ascii="Arial" w:hAnsi="Arial" w:cs="Arial"/>
        </w:rPr>
        <w:t>WFGA</w:t>
      </w:r>
      <w:commentRangeStart w:id="47"/>
      <w:r w:rsidR="00485253">
        <w:rPr>
          <w:rFonts w:ascii="Arial" w:hAnsi="Arial" w:cs="Arial"/>
        </w:rPr>
        <w:t xml:space="preserve"> </w:t>
      </w:r>
      <w:commentRangeEnd w:id="47"/>
      <w:r w:rsidR="00341339">
        <w:rPr>
          <w:rStyle w:val="CommentReference"/>
          <w:rFonts w:ascii="Arial" w:hAnsi="Arial" w:cs="Arial"/>
          <w:sz w:val="22"/>
          <w:szCs w:val="22"/>
        </w:rPr>
        <w:commentReference w:id="47"/>
      </w:r>
      <w:r w:rsidR="00485253">
        <w:rPr>
          <w:rFonts w:ascii="Arial" w:hAnsi="Arial" w:cs="Arial"/>
        </w:rPr>
        <w:t xml:space="preserve">goal of a </w:t>
      </w:r>
      <w:commentRangeStart w:id="48"/>
      <w:r w:rsidR="00485253">
        <w:rPr>
          <w:rFonts w:ascii="Arial" w:hAnsi="Arial" w:cs="Arial"/>
        </w:rPr>
        <w:t>more equal Wales</w:t>
      </w:r>
      <w:commentRangeEnd w:id="48"/>
      <w:r w:rsidR="00341339">
        <w:rPr>
          <w:rStyle w:val="CommentReference"/>
          <w:rFonts w:ascii="Arial" w:hAnsi="Arial" w:cs="Arial"/>
          <w:sz w:val="22"/>
          <w:szCs w:val="22"/>
        </w:rPr>
        <w:commentReference w:id="48"/>
      </w:r>
      <w:r w:rsidR="00F42E0F">
        <w:rPr>
          <w:rFonts w:ascii="Arial" w:hAnsi="Arial" w:cs="Arial"/>
        </w:rPr>
        <w:t xml:space="preserve"> (Welsh Government, 2015).</w:t>
      </w:r>
    </w:p>
    <w:p w14:paraId="3B259719" w14:textId="53592F26" w:rsidR="00B54CD9" w:rsidRDefault="00F95D62" w:rsidP="00DD0779">
      <w:pPr>
        <w:spacing w:line="360" w:lineRule="auto"/>
        <w:rPr>
          <w:rFonts w:ascii="Arial" w:hAnsi="Arial" w:cs="Arial"/>
        </w:rPr>
      </w:pPr>
      <w:r>
        <w:rPr>
          <w:rFonts w:ascii="Arial" w:hAnsi="Arial" w:cs="Arial"/>
        </w:rPr>
        <w:t>However,</w:t>
      </w:r>
      <w:r w:rsidR="004F339F">
        <w:rPr>
          <w:rFonts w:ascii="Arial" w:hAnsi="Arial" w:cs="Arial"/>
        </w:rPr>
        <w:t xml:space="preserve"> the audit identified a singular isolated point of sensory friction that serves as </w:t>
      </w:r>
      <w:r w:rsidR="003A0AB6">
        <w:rPr>
          <w:rFonts w:ascii="Arial" w:hAnsi="Arial" w:cs="Arial"/>
        </w:rPr>
        <w:t>a critique</w:t>
      </w:r>
      <w:r w:rsidR="00391CC1">
        <w:rPr>
          <w:rFonts w:ascii="Arial" w:hAnsi="Arial" w:cs="Arial"/>
        </w:rPr>
        <w:t>, the entry to the video display room</w:t>
      </w:r>
      <w:r w:rsidR="003C234F">
        <w:rPr>
          <w:rFonts w:ascii="Arial" w:hAnsi="Arial" w:cs="Arial"/>
        </w:rPr>
        <w:t xml:space="preserve"> – marked by an unlabelled curtain </w:t>
      </w:r>
      <w:r>
        <w:rPr>
          <w:rFonts w:ascii="Arial" w:hAnsi="Arial" w:cs="Arial"/>
        </w:rPr>
        <w:t>–</w:t>
      </w:r>
      <w:r w:rsidR="003C234F">
        <w:rPr>
          <w:rFonts w:ascii="Arial" w:hAnsi="Arial" w:cs="Arial"/>
        </w:rPr>
        <w:t xml:space="preserve"> pre</w:t>
      </w:r>
      <w:r>
        <w:rPr>
          <w:rFonts w:ascii="Arial" w:hAnsi="Arial" w:cs="Arial"/>
        </w:rPr>
        <w:t xml:space="preserve">senting uncertainty. This minor anomaly stands in stark contrast to the otherwise </w:t>
      </w:r>
      <w:r w:rsidR="00C30A69">
        <w:rPr>
          <w:rFonts w:ascii="Arial" w:hAnsi="Arial" w:cs="Arial"/>
        </w:rPr>
        <w:t>remarkable legibility found throughout the gallery. It highlights the ongoing need for fine tuning in UD, where even a well sighted building can encounter problems</w:t>
      </w:r>
      <w:r w:rsidR="0073721C">
        <w:rPr>
          <w:rFonts w:ascii="Arial" w:hAnsi="Arial" w:cs="Arial"/>
        </w:rPr>
        <w:t xml:space="preserve"> with design.</w:t>
      </w:r>
      <w:r w:rsidR="003C234F">
        <w:rPr>
          <w:rFonts w:ascii="Arial" w:hAnsi="Arial" w:cs="Arial"/>
        </w:rPr>
        <w:t xml:space="preserve"> </w:t>
      </w:r>
      <w:r w:rsidR="0073721C">
        <w:rPr>
          <w:rFonts w:ascii="Arial" w:hAnsi="Arial" w:cs="Arial"/>
        </w:rPr>
        <w:t>Though u</w:t>
      </w:r>
      <w:r w:rsidR="00B54CD9">
        <w:rPr>
          <w:rFonts w:ascii="Arial" w:hAnsi="Arial" w:cs="Arial"/>
        </w:rPr>
        <w:t xml:space="preserve">ltimately, the Glynn Vivian serves as a </w:t>
      </w:r>
      <w:r w:rsidR="00C06F5A">
        <w:rPr>
          <w:rFonts w:ascii="Arial" w:hAnsi="Arial" w:cs="Arial"/>
        </w:rPr>
        <w:t xml:space="preserve">triumphant example of </w:t>
      </w:r>
      <w:r w:rsidR="00266951">
        <w:rPr>
          <w:rFonts w:ascii="Arial" w:hAnsi="Arial" w:cs="Arial"/>
        </w:rPr>
        <w:t>architectural</w:t>
      </w:r>
      <w:r w:rsidR="00C06F5A">
        <w:rPr>
          <w:rFonts w:ascii="Arial" w:hAnsi="Arial" w:cs="Arial"/>
        </w:rPr>
        <w:t xml:space="preserve"> empathy</w:t>
      </w:r>
      <w:r w:rsidR="00B54CD9">
        <w:rPr>
          <w:rFonts w:ascii="Arial" w:hAnsi="Arial" w:cs="Arial"/>
        </w:rPr>
        <w:t xml:space="preserve"> within Swanse</w:t>
      </w:r>
      <w:r w:rsidR="00CA50A5">
        <w:rPr>
          <w:rFonts w:ascii="Arial" w:hAnsi="Arial" w:cs="Arial"/>
        </w:rPr>
        <w:t>a</w:t>
      </w:r>
      <w:r w:rsidR="00C06F5A">
        <w:rPr>
          <w:rFonts w:ascii="Arial" w:hAnsi="Arial" w:cs="Arial"/>
        </w:rPr>
        <w:t xml:space="preserve">, proving that when heritage </w:t>
      </w:r>
      <w:r w:rsidR="00266951">
        <w:rPr>
          <w:rFonts w:ascii="Arial" w:hAnsi="Arial" w:cs="Arial"/>
        </w:rPr>
        <w:t>is</w:t>
      </w:r>
      <w:r w:rsidR="00C06F5A">
        <w:rPr>
          <w:rFonts w:ascii="Arial" w:hAnsi="Arial" w:cs="Arial"/>
        </w:rPr>
        <w:t xml:space="preserve"> treated with creative inclusivity, it can become </w:t>
      </w:r>
      <w:r w:rsidR="00266951">
        <w:rPr>
          <w:rFonts w:ascii="Arial" w:hAnsi="Arial" w:cs="Arial"/>
        </w:rPr>
        <w:t>a successful, welcoming space</w:t>
      </w:r>
      <w:r w:rsidR="00897D55">
        <w:rPr>
          <w:rFonts w:ascii="Arial" w:hAnsi="Arial" w:cs="Arial"/>
        </w:rPr>
        <w:t>.</w:t>
      </w:r>
    </w:p>
    <w:p w14:paraId="17E10571" w14:textId="77777777" w:rsidR="009A6A68" w:rsidRDefault="009A6A68">
      <w:pPr>
        <w:rPr>
          <w:rFonts w:ascii="Arial" w:eastAsiaTheme="majorEastAsia" w:hAnsi="Arial" w:cs="Arial"/>
          <w:sz w:val="28"/>
          <w:szCs w:val="28"/>
        </w:rPr>
      </w:pPr>
      <w:r>
        <w:rPr>
          <w:rFonts w:ascii="Arial" w:hAnsi="Arial" w:cs="Arial"/>
          <w:sz w:val="28"/>
          <w:szCs w:val="28"/>
        </w:rPr>
        <w:br w:type="page"/>
      </w:r>
    </w:p>
    <w:p w14:paraId="0ABF0CE3" w14:textId="77F241F5" w:rsidR="00CE735A" w:rsidRDefault="00CE735A" w:rsidP="00CE735A">
      <w:pPr>
        <w:pStyle w:val="Heading2"/>
        <w:spacing w:line="360" w:lineRule="auto"/>
        <w:jc w:val="both"/>
        <w:rPr>
          <w:rFonts w:ascii="Arial" w:hAnsi="Arial" w:cs="Arial"/>
          <w:sz w:val="28"/>
          <w:szCs w:val="28"/>
        </w:rPr>
      </w:pPr>
      <w:bookmarkStart w:id="49" w:name="_Toc228359257"/>
      <w:r>
        <w:rPr>
          <w:rFonts w:ascii="Arial" w:hAnsi="Arial" w:cs="Arial"/>
          <w:sz w:val="28"/>
          <w:szCs w:val="28"/>
        </w:rPr>
        <w:lastRenderedPageBreak/>
        <w:t>4.</w:t>
      </w:r>
      <w:r w:rsidR="00171093">
        <w:rPr>
          <w:rFonts w:ascii="Arial" w:hAnsi="Arial" w:cs="Arial"/>
          <w:sz w:val="28"/>
          <w:szCs w:val="28"/>
        </w:rPr>
        <w:t>2</w:t>
      </w:r>
      <w:r>
        <w:rPr>
          <w:rFonts w:ascii="Arial" w:hAnsi="Arial" w:cs="Arial"/>
          <w:sz w:val="28"/>
          <w:szCs w:val="28"/>
        </w:rPr>
        <w:t>: C</w:t>
      </w:r>
      <w:r w:rsidR="00183908">
        <w:rPr>
          <w:rFonts w:ascii="Arial" w:hAnsi="Arial" w:cs="Arial"/>
          <w:sz w:val="28"/>
          <w:szCs w:val="28"/>
        </w:rPr>
        <w:t>ase Study 2 Swans Arena</w:t>
      </w:r>
      <w:bookmarkEnd w:id="49"/>
    </w:p>
    <w:tbl>
      <w:tblPr>
        <w:tblStyle w:val="TableGrid"/>
        <w:tblW w:w="0" w:type="auto"/>
        <w:tblLook w:val="04A0" w:firstRow="1" w:lastRow="0" w:firstColumn="1" w:lastColumn="0" w:noHBand="0" w:noVBand="1"/>
      </w:tblPr>
      <w:tblGrid>
        <w:gridCol w:w="9016"/>
      </w:tblGrid>
      <w:tr w:rsidR="009C68AA" w14:paraId="0F18C127" w14:textId="77777777" w:rsidTr="002002F2">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9A17FBB" w14:textId="77777777" w:rsidR="002002F2" w:rsidRDefault="002002F2" w:rsidP="002002F2">
            <w:pPr>
              <w:keepNext/>
            </w:pPr>
            <w:r>
              <w:rPr>
                <w:noProof/>
              </w:rPr>
              <w:drawing>
                <wp:inline distT="0" distB="0" distL="0" distR="0" wp14:anchorId="25A2EAE3" wp14:editId="4DD4111B">
                  <wp:extent cx="5617500" cy="3744170"/>
                  <wp:effectExtent l="0" t="0" r="2540" b="8890"/>
                  <wp:docPr id="825556361" name="Picture 8" descr="AFL Architects | Copr 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FL Architects | Copr Bay"/>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42683" cy="3760955"/>
                          </a:xfrm>
                          <a:prstGeom prst="rect">
                            <a:avLst/>
                          </a:prstGeom>
                          <a:noFill/>
                          <a:ln>
                            <a:noFill/>
                          </a:ln>
                        </pic:spPr>
                      </pic:pic>
                    </a:graphicData>
                  </a:graphic>
                </wp:inline>
              </w:drawing>
            </w:r>
          </w:p>
          <w:p w14:paraId="3F252567" w14:textId="593A3492" w:rsidR="009C68AA" w:rsidRDefault="002002F2" w:rsidP="002002F2">
            <w:pPr>
              <w:pStyle w:val="Caption"/>
            </w:pPr>
            <w:r>
              <w:t xml:space="preserve">Figure </w:t>
            </w:r>
            <w:fldSimple w:instr=" SEQ Figure \* ARABIC ">
              <w:r w:rsidR="00F904F0">
                <w:rPr>
                  <w:noProof/>
                </w:rPr>
                <w:t>15</w:t>
              </w:r>
            </w:fldSimple>
          </w:p>
        </w:tc>
      </w:tr>
    </w:tbl>
    <w:p w14:paraId="60CB833B" w14:textId="77777777" w:rsidR="009C68AA" w:rsidRPr="009C68AA" w:rsidRDefault="009C68AA" w:rsidP="009C68AA"/>
    <w:p w14:paraId="6378B968" w14:textId="7409B9FF" w:rsidR="00171093" w:rsidRPr="000074D1" w:rsidRDefault="00171093" w:rsidP="00171093">
      <w:pPr>
        <w:pStyle w:val="Heading3"/>
        <w:spacing w:line="360" w:lineRule="auto"/>
        <w:rPr>
          <w:rFonts w:ascii="Arial" w:hAnsi="Arial" w:cs="Arial"/>
          <w:color w:val="auto"/>
          <w:sz w:val="28"/>
          <w:szCs w:val="28"/>
        </w:rPr>
      </w:pPr>
      <w:bookmarkStart w:id="50" w:name="_Toc228359258"/>
      <w:r w:rsidRPr="000074D1">
        <w:rPr>
          <w:rFonts w:ascii="Arial" w:hAnsi="Arial" w:cs="Arial"/>
          <w:color w:val="auto"/>
          <w:sz w:val="28"/>
          <w:szCs w:val="28"/>
        </w:rPr>
        <w:t>4.2.1: Project Profile and Historical Context</w:t>
      </w:r>
      <w:bookmarkEnd w:id="50"/>
    </w:p>
    <w:p w14:paraId="482E04D0" w14:textId="779CDC9D" w:rsidR="00091C22" w:rsidRDefault="0010577F" w:rsidP="00091C22">
      <w:pPr>
        <w:spacing w:line="360" w:lineRule="auto"/>
        <w:rPr>
          <w:rFonts w:ascii="Arial" w:hAnsi="Arial" w:cs="Arial"/>
        </w:rPr>
      </w:pPr>
      <w:commentRangeStart w:id="51"/>
      <w:r>
        <w:rPr>
          <w:rFonts w:ascii="Arial" w:hAnsi="Arial" w:cs="Arial"/>
        </w:rPr>
        <w:t xml:space="preserve">Completed </w:t>
      </w:r>
      <w:commentRangeEnd w:id="51"/>
      <w:r w:rsidR="00341339">
        <w:rPr>
          <w:rStyle w:val="CommentReference"/>
          <w:rFonts w:ascii="Arial" w:hAnsi="Arial" w:cs="Arial"/>
          <w:sz w:val="22"/>
          <w:szCs w:val="22"/>
        </w:rPr>
        <w:commentReference w:id="51"/>
      </w:r>
      <w:r>
        <w:rPr>
          <w:rFonts w:ascii="Arial" w:hAnsi="Arial" w:cs="Arial"/>
        </w:rPr>
        <w:t xml:space="preserve">in 2022 as the </w:t>
      </w:r>
      <w:r w:rsidR="00485D32">
        <w:rPr>
          <w:rFonts w:ascii="Arial" w:hAnsi="Arial" w:cs="Arial"/>
        </w:rPr>
        <w:t>centrepiece</w:t>
      </w:r>
      <w:r>
        <w:rPr>
          <w:rFonts w:ascii="Arial" w:hAnsi="Arial" w:cs="Arial"/>
        </w:rPr>
        <w:t xml:space="preserve"> of the £135 million Copr Bay development, the Swansea Arena represents a pivotal shift in the city’s contemporary urban morpholo</w:t>
      </w:r>
      <w:r w:rsidR="002E4A53">
        <w:rPr>
          <w:rFonts w:ascii="Arial" w:hAnsi="Arial" w:cs="Arial"/>
        </w:rPr>
        <w:t xml:space="preserve">gy. The design is a result of a collaboration between ACME, who </w:t>
      </w:r>
      <w:r w:rsidR="00CB3CD8">
        <w:rPr>
          <w:rFonts w:ascii="Arial" w:hAnsi="Arial" w:cs="Arial"/>
        </w:rPr>
        <w:t xml:space="preserve">provided initial architectural concept and masterplan, and AFL Architects, who served as the lead architects for the projects technical delivery. </w:t>
      </w:r>
      <w:r w:rsidR="00FC592F">
        <w:rPr>
          <w:rFonts w:ascii="Arial" w:hAnsi="Arial" w:cs="Arial"/>
        </w:rPr>
        <w:t>Defined by its monolithic circular form, wrapped in a</w:t>
      </w:r>
      <w:r w:rsidR="009107B2">
        <w:rPr>
          <w:rFonts w:ascii="Arial" w:hAnsi="Arial" w:cs="Arial"/>
        </w:rPr>
        <w:t>pproximately 97,000</w:t>
      </w:r>
      <w:r w:rsidR="00FC592F">
        <w:rPr>
          <w:rFonts w:ascii="Arial" w:hAnsi="Arial" w:cs="Arial"/>
        </w:rPr>
        <w:t xml:space="preserve"> digital LED</w:t>
      </w:r>
      <w:r w:rsidR="009107B2">
        <w:rPr>
          <w:rFonts w:ascii="Arial" w:hAnsi="Arial" w:cs="Arial"/>
        </w:rPr>
        <w:t xml:space="preserve"> pixels, t</w:t>
      </w:r>
      <w:r w:rsidR="00955F29">
        <w:rPr>
          <w:rFonts w:ascii="Arial" w:hAnsi="Arial" w:cs="Arial"/>
        </w:rPr>
        <w:t>his façade acts as a canvas, establishing the building as a visual anchor in Swansea</w:t>
      </w:r>
      <w:r w:rsidR="009A6A68">
        <w:rPr>
          <w:rFonts w:ascii="Arial" w:hAnsi="Arial" w:cs="Arial"/>
        </w:rPr>
        <w:t>. Its construction marks a departure from the city’s post-industrial past, moving towards a master planned vision of a vibrant and viable urban core, as outlined in the Swansea Central () framework.</w:t>
      </w:r>
    </w:p>
    <w:p w14:paraId="02C60FB3" w14:textId="77777777" w:rsidR="00FB2368" w:rsidRDefault="00E400E8" w:rsidP="00091C22">
      <w:pPr>
        <w:spacing w:line="360" w:lineRule="auto"/>
        <w:rPr>
          <w:rFonts w:ascii="Arial" w:hAnsi="Arial" w:cs="Arial"/>
        </w:rPr>
      </w:pPr>
      <w:r>
        <w:rPr>
          <w:rFonts w:ascii="Arial" w:hAnsi="Arial" w:cs="Arial"/>
        </w:rPr>
        <w:t>The site’s context is defined by a significant topographical shift</w:t>
      </w:r>
      <w:r w:rsidR="00B7747F">
        <w:rPr>
          <w:rFonts w:ascii="Arial" w:hAnsi="Arial" w:cs="Arial"/>
        </w:rPr>
        <w:t>,</w:t>
      </w:r>
      <w:r w:rsidR="00B828DD">
        <w:rPr>
          <w:rFonts w:ascii="Arial" w:hAnsi="Arial" w:cs="Arial"/>
        </w:rPr>
        <w:t xml:space="preserve"> with the Arena situated on an elevated podium level approximately 12.50m Above Ordnance Datum (AOD). This elevation being a deliberate </w:t>
      </w:r>
      <w:r w:rsidR="00596E26">
        <w:rPr>
          <w:rFonts w:ascii="Arial" w:hAnsi="Arial" w:cs="Arial"/>
        </w:rPr>
        <w:t>master planning</w:t>
      </w:r>
      <w:r w:rsidR="00B828DD">
        <w:rPr>
          <w:rFonts w:ascii="Arial" w:hAnsi="Arial" w:cs="Arial"/>
        </w:rPr>
        <w:t xml:space="preserve"> choice by ACME to separate the pedestrian realm from the heavy traffic of Oystermouth Road below. </w:t>
      </w:r>
      <w:r w:rsidR="00E424D6">
        <w:rPr>
          <w:rFonts w:ascii="Arial" w:hAnsi="Arial" w:cs="Arial"/>
        </w:rPr>
        <w:t>Access to the Arena is facilitated by the Copr Bay Bridge, a pedestrian landmark that connects the city centre</w:t>
      </w:r>
      <w:r w:rsidR="001617F8">
        <w:rPr>
          <w:rFonts w:ascii="Arial" w:hAnsi="Arial" w:cs="Arial"/>
        </w:rPr>
        <w:t xml:space="preserve"> directly to the coastal park and arena’s </w:t>
      </w:r>
      <w:commentRangeStart w:id="52"/>
      <w:r w:rsidR="001617F8">
        <w:rPr>
          <w:rFonts w:ascii="Arial" w:hAnsi="Arial" w:cs="Arial"/>
        </w:rPr>
        <w:t>main plaza</w:t>
      </w:r>
      <w:commentRangeEnd w:id="52"/>
      <w:r w:rsidR="00341339">
        <w:rPr>
          <w:rStyle w:val="CommentReference"/>
          <w:rFonts w:ascii="Arial" w:hAnsi="Arial" w:cs="Arial"/>
          <w:sz w:val="22"/>
          <w:szCs w:val="22"/>
        </w:rPr>
        <w:commentReference w:id="52"/>
      </w:r>
      <w:r w:rsidR="001617F8">
        <w:rPr>
          <w:rFonts w:ascii="Arial" w:hAnsi="Arial" w:cs="Arial"/>
        </w:rPr>
        <w:t>.</w:t>
      </w:r>
    </w:p>
    <w:tbl>
      <w:tblPr>
        <w:tblStyle w:val="TableGrid"/>
        <w:tblW w:w="0" w:type="auto"/>
        <w:tblLook w:val="04A0" w:firstRow="1" w:lastRow="0" w:firstColumn="1" w:lastColumn="0" w:noHBand="0" w:noVBand="1"/>
      </w:tblPr>
      <w:tblGrid>
        <w:gridCol w:w="9016"/>
      </w:tblGrid>
      <w:tr w:rsidR="00203ACD" w14:paraId="624AE1B6" w14:textId="77777777" w:rsidTr="009C68AA">
        <w:tc>
          <w:tcPr>
            <w:tcW w:w="9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03002DB" w14:textId="77777777" w:rsidR="009C68AA" w:rsidRDefault="009C68AA" w:rsidP="009C68AA">
            <w:pPr>
              <w:keepNext/>
              <w:spacing w:line="360" w:lineRule="auto"/>
            </w:pPr>
            <w:r>
              <w:rPr>
                <w:noProof/>
              </w:rPr>
              <w:lastRenderedPageBreak/>
              <w:drawing>
                <wp:inline distT="0" distB="0" distL="0" distR="0" wp14:anchorId="05D1DC63" wp14:editId="3DAF9A72">
                  <wp:extent cx="5226689" cy="5226689"/>
                  <wp:effectExtent l="0" t="0" r="0" b="0"/>
                  <wp:docPr id="498163448" name="Picture 7" descr="Swansea Arena – ac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ansea Arena – acm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62781" cy="5262781"/>
                          </a:xfrm>
                          <a:prstGeom prst="rect">
                            <a:avLst/>
                          </a:prstGeom>
                          <a:noFill/>
                          <a:ln>
                            <a:noFill/>
                          </a:ln>
                        </pic:spPr>
                      </pic:pic>
                    </a:graphicData>
                  </a:graphic>
                </wp:inline>
              </w:drawing>
            </w:r>
          </w:p>
          <w:p w14:paraId="00CD6290" w14:textId="38E413A8" w:rsidR="00203ACD" w:rsidRDefault="009C68AA" w:rsidP="009C68AA">
            <w:pPr>
              <w:pStyle w:val="Caption"/>
              <w:rPr>
                <w:rFonts w:ascii="Arial" w:hAnsi="Arial" w:cs="Arial"/>
              </w:rPr>
            </w:pPr>
            <w:r>
              <w:t xml:space="preserve">Figure </w:t>
            </w:r>
            <w:fldSimple w:instr=" SEQ Figure \* ARABIC ">
              <w:r w:rsidR="00F904F0">
                <w:rPr>
                  <w:noProof/>
                </w:rPr>
                <w:t>16</w:t>
              </w:r>
            </w:fldSimple>
          </w:p>
        </w:tc>
      </w:tr>
    </w:tbl>
    <w:p w14:paraId="215C92DB" w14:textId="77777777" w:rsidR="00FB2368" w:rsidRDefault="00FB2368" w:rsidP="00091C22">
      <w:pPr>
        <w:spacing w:line="360" w:lineRule="auto"/>
        <w:rPr>
          <w:rFonts w:ascii="Arial" w:hAnsi="Arial" w:cs="Arial"/>
        </w:rPr>
      </w:pPr>
    </w:p>
    <w:p w14:paraId="58E168D8" w14:textId="6B5119ED" w:rsidR="009A6A68" w:rsidRDefault="00411BDE" w:rsidP="00091C22">
      <w:pPr>
        <w:spacing w:line="360" w:lineRule="auto"/>
        <w:rPr>
          <w:rFonts w:ascii="Arial" w:hAnsi="Arial" w:cs="Arial"/>
        </w:rPr>
      </w:pPr>
      <w:r>
        <w:rPr>
          <w:rFonts w:ascii="Arial" w:hAnsi="Arial" w:cs="Arial"/>
        </w:rPr>
        <w:t xml:space="preserve">Consequently, </w:t>
      </w:r>
      <w:r w:rsidR="00596E26">
        <w:rPr>
          <w:rFonts w:ascii="Arial" w:hAnsi="Arial" w:cs="Arial"/>
        </w:rPr>
        <w:t>the complex, multi-level context dictates that the building functions as a bridge between the diverse urban environments of Swansea.</w:t>
      </w:r>
    </w:p>
    <w:p w14:paraId="687AAC6B" w14:textId="04CDBA3C" w:rsidR="0002393E" w:rsidRDefault="0002393E" w:rsidP="00091C22">
      <w:pPr>
        <w:spacing w:line="360" w:lineRule="auto"/>
        <w:rPr>
          <w:rFonts w:ascii="Arial" w:hAnsi="Arial" w:cs="Arial"/>
        </w:rPr>
      </w:pPr>
      <w:r>
        <w:rPr>
          <w:rFonts w:ascii="Arial" w:hAnsi="Arial" w:cs="Arial"/>
        </w:rPr>
        <w:t>With a capacity of 3,500, the Arena is programmed as a st</w:t>
      </w:r>
      <w:r w:rsidR="00667513">
        <w:rPr>
          <w:rFonts w:ascii="Arial" w:hAnsi="Arial" w:cs="Arial"/>
        </w:rPr>
        <w:t>at</w:t>
      </w:r>
      <w:r>
        <w:rPr>
          <w:rFonts w:ascii="Arial" w:hAnsi="Arial" w:cs="Arial"/>
        </w:rPr>
        <w:t xml:space="preserve">e of the art, multipurpose venue designed to host a range </w:t>
      </w:r>
      <w:r w:rsidR="00667513">
        <w:rPr>
          <w:rFonts w:ascii="Arial" w:hAnsi="Arial" w:cs="Arial"/>
        </w:rPr>
        <w:t>of activities</w:t>
      </w:r>
      <w:r w:rsidR="009C0D06">
        <w:rPr>
          <w:rFonts w:ascii="Arial" w:hAnsi="Arial" w:cs="Arial"/>
        </w:rPr>
        <w:t xml:space="preserve">, from large scale productions to conferences and exhibitions. Its profile is </w:t>
      </w:r>
      <w:r w:rsidR="00667513">
        <w:rPr>
          <w:rFonts w:ascii="Arial" w:hAnsi="Arial" w:cs="Arial"/>
        </w:rPr>
        <w:t>shaped by</w:t>
      </w:r>
      <w:r w:rsidR="009C0D06">
        <w:rPr>
          <w:rFonts w:ascii="Arial" w:hAnsi="Arial" w:cs="Arial"/>
        </w:rPr>
        <w:t xml:space="preserve"> the </w:t>
      </w:r>
      <w:r w:rsidR="00B46E8F">
        <w:rPr>
          <w:rFonts w:ascii="Arial" w:hAnsi="Arial" w:cs="Arial"/>
        </w:rPr>
        <w:t xml:space="preserve">logistical demands of a </w:t>
      </w:r>
      <w:r w:rsidR="009E20DA">
        <w:rPr>
          <w:rFonts w:ascii="Arial" w:hAnsi="Arial" w:cs="Arial"/>
        </w:rPr>
        <w:t>high-capacity</w:t>
      </w:r>
      <w:r w:rsidR="00B46E8F">
        <w:rPr>
          <w:rFonts w:ascii="Arial" w:hAnsi="Arial" w:cs="Arial"/>
        </w:rPr>
        <w:t xml:space="preserve"> entertainment hub, requiring large interior volumes and robust public spaces</w:t>
      </w:r>
      <w:r w:rsidR="00667513">
        <w:rPr>
          <w:rFonts w:ascii="Arial" w:hAnsi="Arial" w:cs="Arial"/>
        </w:rPr>
        <w:t>.</w:t>
      </w:r>
      <w:r w:rsidR="00363459">
        <w:rPr>
          <w:rFonts w:ascii="Arial" w:hAnsi="Arial" w:cs="Arial"/>
        </w:rPr>
        <w:t xml:space="preserve"> The building sits as a functional </w:t>
      </w:r>
      <w:r w:rsidR="00FD36BE">
        <w:rPr>
          <w:rFonts w:ascii="Arial" w:hAnsi="Arial" w:cs="Arial"/>
        </w:rPr>
        <w:t>gateway</w:t>
      </w:r>
      <w:r w:rsidR="00363459">
        <w:rPr>
          <w:rFonts w:ascii="Arial" w:hAnsi="Arial" w:cs="Arial"/>
        </w:rPr>
        <w:t xml:space="preserve"> within the masterplan, acting as a physical and cultural anchor </w:t>
      </w:r>
      <w:r w:rsidR="003A4460">
        <w:rPr>
          <w:rFonts w:ascii="Arial" w:hAnsi="Arial" w:cs="Arial"/>
        </w:rPr>
        <w:t xml:space="preserve">for the </w:t>
      </w:r>
      <w:r w:rsidR="00FD36BE">
        <w:rPr>
          <w:rFonts w:ascii="Arial" w:hAnsi="Arial" w:cs="Arial"/>
        </w:rPr>
        <w:t>city’s</w:t>
      </w:r>
      <w:r w:rsidR="003A4460">
        <w:rPr>
          <w:rFonts w:ascii="Arial" w:hAnsi="Arial" w:cs="Arial"/>
        </w:rPr>
        <w:t xml:space="preserve"> regeneration. </w:t>
      </w:r>
    </w:p>
    <w:p w14:paraId="1BAE654A" w14:textId="77777777" w:rsidR="00510068" w:rsidRDefault="00510068" w:rsidP="00171093">
      <w:pPr>
        <w:pStyle w:val="Heading3"/>
        <w:spacing w:line="360" w:lineRule="auto"/>
        <w:rPr>
          <w:rFonts w:ascii="Arial" w:hAnsi="Arial" w:cs="Arial"/>
        </w:rPr>
      </w:pPr>
    </w:p>
    <w:p w14:paraId="17689502" w14:textId="77A53AA7" w:rsidR="00171093" w:rsidRPr="000074D1" w:rsidRDefault="00171093" w:rsidP="00171093">
      <w:pPr>
        <w:pStyle w:val="Heading3"/>
        <w:spacing w:line="360" w:lineRule="auto"/>
        <w:rPr>
          <w:rFonts w:ascii="Arial" w:hAnsi="Arial" w:cs="Arial"/>
          <w:color w:val="auto"/>
          <w:sz w:val="28"/>
          <w:szCs w:val="28"/>
        </w:rPr>
      </w:pPr>
      <w:bookmarkStart w:id="53" w:name="_Toc228359259"/>
      <w:r w:rsidRPr="000074D1">
        <w:rPr>
          <w:rFonts w:ascii="Arial" w:hAnsi="Arial" w:cs="Arial"/>
          <w:color w:val="auto"/>
          <w:sz w:val="28"/>
          <w:szCs w:val="28"/>
        </w:rPr>
        <w:t xml:space="preserve">4.2.2: </w:t>
      </w:r>
      <w:r w:rsidR="00CC25B4" w:rsidRPr="000074D1">
        <w:rPr>
          <w:rFonts w:ascii="Arial" w:hAnsi="Arial" w:cs="Arial"/>
          <w:color w:val="auto"/>
          <w:sz w:val="28"/>
          <w:szCs w:val="28"/>
        </w:rPr>
        <w:t>Design</w:t>
      </w:r>
      <w:r w:rsidRPr="000074D1">
        <w:rPr>
          <w:rFonts w:ascii="Arial" w:hAnsi="Arial" w:cs="Arial"/>
          <w:color w:val="auto"/>
          <w:sz w:val="28"/>
          <w:szCs w:val="28"/>
        </w:rPr>
        <w:t xml:space="preserve"> Philosophy</w:t>
      </w:r>
      <w:bookmarkEnd w:id="53"/>
      <w:r w:rsidRPr="000074D1">
        <w:rPr>
          <w:rFonts w:ascii="Arial" w:hAnsi="Arial" w:cs="Arial"/>
          <w:color w:val="auto"/>
          <w:sz w:val="28"/>
          <w:szCs w:val="28"/>
        </w:rPr>
        <w:t xml:space="preserve"> </w:t>
      </w:r>
    </w:p>
    <w:p w14:paraId="6EAD137C" w14:textId="6B80138F" w:rsidR="00AF458E" w:rsidRDefault="007C13C6" w:rsidP="00334893">
      <w:pPr>
        <w:spacing w:line="360" w:lineRule="auto"/>
        <w:rPr>
          <w:rFonts w:ascii="Arial" w:hAnsi="Arial" w:cs="Arial"/>
        </w:rPr>
      </w:pPr>
      <w:r>
        <w:rPr>
          <w:rFonts w:ascii="Arial" w:hAnsi="Arial" w:cs="Arial"/>
        </w:rPr>
        <w:t xml:space="preserve">The design philosophy of the Swansea Arena is rooted in </w:t>
      </w:r>
      <w:r w:rsidR="00917205">
        <w:rPr>
          <w:rFonts w:ascii="Arial" w:hAnsi="Arial" w:cs="Arial"/>
        </w:rPr>
        <w:t xml:space="preserve">the concept of urban </w:t>
      </w:r>
      <w:r w:rsidR="00021EC9">
        <w:rPr>
          <w:rFonts w:ascii="Arial" w:hAnsi="Arial" w:cs="Arial"/>
        </w:rPr>
        <w:t>porosity</w:t>
      </w:r>
      <w:r w:rsidR="00917205">
        <w:rPr>
          <w:rFonts w:ascii="Arial" w:hAnsi="Arial" w:cs="Arial"/>
        </w:rPr>
        <w:t>, s vision developed by ACME to reconnect the city with its waterfront.</w:t>
      </w:r>
      <w:r w:rsidR="0085726F">
        <w:rPr>
          <w:rFonts w:ascii="Arial" w:hAnsi="Arial" w:cs="Arial"/>
        </w:rPr>
        <w:t xml:space="preserve"> </w:t>
      </w:r>
      <w:r w:rsidR="00B30661">
        <w:rPr>
          <w:rFonts w:ascii="Arial" w:hAnsi="Arial" w:cs="Arial"/>
        </w:rPr>
        <w:t xml:space="preserve">This is physically manifested in the podium strategy, which elevates the public district </w:t>
      </w:r>
      <w:r w:rsidR="00AA19AD">
        <w:rPr>
          <w:rFonts w:ascii="Arial" w:hAnsi="Arial" w:cs="Arial"/>
        </w:rPr>
        <w:t>to create a vehicle free sanctuary</w:t>
      </w:r>
      <w:r w:rsidR="00D604A0">
        <w:rPr>
          <w:rFonts w:ascii="Arial" w:hAnsi="Arial" w:cs="Arial"/>
        </w:rPr>
        <w:t xml:space="preserve">. The programming intent was to provide a safe and expansive pedestrian district that </w:t>
      </w:r>
      <w:r w:rsidR="002C591F">
        <w:rPr>
          <w:rFonts w:ascii="Arial" w:hAnsi="Arial" w:cs="Arial"/>
        </w:rPr>
        <w:t xml:space="preserve">prioritises the comfort of the public, ensuring that the Arena’s exterior and the surrounding park function as a </w:t>
      </w:r>
      <w:r w:rsidR="00CA6B59">
        <w:rPr>
          <w:rFonts w:ascii="Arial" w:hAnsi="Arial" w:cs="Arial"/>
        </w:rPr>
        <w:t>space accessible to all, regardless of the venue’s event schedule.</w:t>
      </w:r>
    </w:p>
    <w:p w14:paraId="351CCF50" w14:textId="56A49315" w:rsidR="00CA6B59" w:rsidRDefault="00D0727A" w:rsidP="00334893">
      <w:pPr>
        <w:spacing w:line="360" w:lineRule="auto"/>
        <w:rPr>
          <w:rFonts w:ascii="Arial" w:hAnsi="Arial" w:cs="Arial"/>
        </w:rPr>
      </w:pPr>
      <w:r>
        <w:rPr>
          <w:rFonts w:ascii="Arial" w:hAnsi="Arial" w:cs="Arial"/>
        </w:rPr>
        <w:t xml:space="preserve">Inclusive design was </w:t>
      </w:r>
      <w:r w:rsidR="000376D9">
        <w:rPr>
          <w:rFonts w:ascii="Arial" w:hAnsi="Arial" w:cs="Arial"/>
        </w:rPr>
        <w:t xml:space="preserve">drafted as a core architectural driver by AFL </w:t>
      </w:r>
      <w:r w:rsidR="000516BC">
        <w:rPr>
          <w:rFonts w:ascii="Arial" w:hAnsi="Arial" w:cs="Arial"/>
        </w:rPr>
        <w:t>Architects</w:t>
      </w:r>
      <w:r w:rsidR="000376D9">
        <w:rPr>
          <w:rFonts w:ascii="Arial" w:hAnsi="Arial" w:cs="Arial"/>
        </w:rPr>
        <w:t xml:space="preserve">, moving beyond </w:t>
      </w:r>
      <w:r w:rsidR="00271E40">
        <w:rPr>
          <w:rFonts w:ascii="Arial" w:hAnsi="Arial" w:cs="Arial"/>
        </w:rPr>
        <w:t>statuary</w:t>
      </w:r>
      <w:r w:rsidR="000376D9">
        <w:rPr>
          <w:rFonts w:ascii="Arial" w:hAnsi="Arial" w:cs="Arial"/>
        </w:rPr>
        <w:t xml:space="preserve"> minimums to establish a </w:t>
      </w:r>
      <w:commentRangeStart w:id="54"/>
      <w:r w:rsidR="000376D9">
        <w:rPr>
          <w:rFonts w:ascii="Arial" w:hAnsi="Arial" w:cs="Arial"/>
        </w:rPr>
        <w:t>gold standard for modern public design</w:t>
      </w:r>
      <w:commentRangeEnd w:id="54"/>
      <w:r w:rsidR="00341339">
        <w:rPr>
          <w:rStyle w:val="CommentReference"/>
          <w:rFonts w:ascii="Arial" w:hAnsi="Arial" w:cs="Arial"/>
          <w:sz w:val="22"/>
          <w:szCs w:val="22"/>
        </w:rPr>
        <w:commentReference w:id="54"/>
      </w:r>
      <w:r w:rsidR="000376D9">
        <w:rPr>
          <w:rFonts w:ascii="Arial" w:hAnsi="Arial" w:cs="Arial"/>
        </w:rPr>
        <w:t xml:space="preserve">. The philosophy </w:t>
      </w:r>
      <w:r w:rsidR="00271E40">
        <w:rPr>
          <w:rFonts w:ascii="Arial" w:hAnsi="Arial" w:cs="Arial"/>
        </w:rPr>
        <w:t>emphasises</w:t>
      </w:r>
      <w:r w:rsidR="000376D9">
        <w:rPr>
          <w:rFonts w:ascii="Arial" w:hAnsi="Arial" w:cs="Arial"/>
        </w:rPr>
        <w:t xml:space="preserve"> a seamless </w:t>
      </w:r>
      <w:r w:rsidR="00844E15">
        <w:rPr>
          <w:rFonts w:ascii="Arial" w:hAnsi="Arial" w:cs="Arial"/>
        </w:rPr>
        <w:t xml:space="preserve">and intuitive user journey, characterised by cognitive legibility. This is reflected in the design of the </w:t>
      </w:r>
      <w:r w:rsidR="00B35DA1">
        <w:rPr>
          <w:rFonts w:ascii="Arial" w:hAnsi="Arial" w:cs="Arial"/>
        </w:rPr>
        <w:t xml:space="preserve">main entry foyer, which utilises extensive glazing to provide natural lighting </w:t>
      </w:r>
      <w:r w:rsidR="003B3A9F">
        <w:rPr>
          <w:rFonts w:ascii="Arial" w:hAnsi="Arial" w:cs="Arial"/>
        </w:rPr>
        <w:t xml:space="preserve">and clear internal sightlines. This design </w:t>
      </w:r>
      <w:r w:rsidR="000516BC">
        <w:rPr>
          <w:rFonts w:ascii="Arial" w:hAnsi="Arial" w:cs="Arial"/>
        </w:rPr>
        <w:t>intent</w:t>
      </w:r>
      <w:r w:rsidR="003B3A9F">
        <w:rPr>
          <w:rFonts w:ascii="Arial" w:hAnsi="Arial" w:cs="Arial"/>
        </w:rPr>
        <w:t xml:space="preserve"> was to minimise anxiety and allow visitors to orient </w:t>
      </w:r>
      <w:r w:rsidR="000516BC">
        <w:rPr>
          <w:rFonts w:ascii="Arial" w:hAnsi="Arial" w:cs="Arial"/>
        </w:rPr>
        <w:t>themselves spatially from the point of arrival. By prioritising transparency and ease of movement, the design seeks to create a welcoming atmosphere that supports the psychological and physical safety of the visitor.</w:t>
      </w:r>
    </w:p>
    <w:p w14:paraId="17A240F8" w14:textId="56813206" w:rsidR="000516BC" w:rsidRPr="00AF458E" w:rsidRDefault="002941EC" w:rsidP="00334893">
      <w:pPr>
        <w:spacing w:line="360" w:lineRule="auto"/>
        <w:rPr>
          <w:rFonts w:ascii="Arial" w:hAnsi="Arial" w:cs="Arial"/>
        </w:rPr>
      </w:pPr>
      <w:r>
        <w:rPr>
          <w:rFonts w:ascii="Arial" w:hAnsi="Arial" w:cs="Arial"/>
        </w:rPr>
        <w:t xml:space="preserve">Unlike older venues where accessible facilities </w:t>
      </w:r>
      <w:r w:rsidR="00E42460">
        <w:rPr>
          <w:rFonts w:ascii="Arial" w:hAnsi="Arial" w:cs="Arial"/>
        </w:rPr>
        <w:t>may not have been prioritised, the goal was to integrate inclusive features into the primary architectural layout</w:t>
      </w:r>
      <w:r w:rsidR="000C3977">
        <w:rPr>
          <w:rFonts w:ascii="Arial" w:hAnsi="Arial" w:cs="Arial"/>
        </w:rPr>
        <w:t xml:space="preserve"> meaningfully, </w:t>
      </w:r>
      <w:r w:rsidR="00207522">
        <w:rPr>
          <w:rFonts w:ascii="Arial" w:hAnsi="Arial" w:cs="Arial"/>
        </w:rPr>
        <w:t xml:space="preserve">looking past the bare minimum of building regulations. This is evidenced in the distribution of accessible seating across the auditorium, </w:t>
      </w:r>
      <w:r w:rsidR="006D2E20">
        <w:rPr>
          <w:rFonts w:ascii="Arial" w:hAnsi="Arial" w:cs="Arial"/>
        </w:rPr>
        <w:t xml:space="preserve">within </w:t>
      </w:r>
      <w:r w:rsidR="004C0300">
        <w:rPr>
          <w:rFonts w:ascii="Arial" w:hAnsi="Arial" w:cs="Arial"/>
        </w:rPr>
        <w:t>proximity</w:t>
      </w:r>
      <w:r w:rsidR="006D2E20">
        <w:rPr>
          <w:rFonts w:ascii="Arial" w:hAnsi="Arial" w:cs="Arial"/>
        </w:rPr>
        <w:t xml:space="preserve"> to exits ensuring that various sightlines are available to all. The inclusion of specialised facilities, such as the changing places room, was a</w:t>
      </w:r>
      <w:r w:rsidR="00780EBD">
        <w:rPr>
          <w:rFonts w:ascii="Arial" w:hAnsi="Arial" w:cs="Arial"/>
        </w:rPr>
        <w:t xml:space="preserve"> foundational requirement of the brief, marking the Arena as the only building in Swansea with this feature. </w:t>
      </w:r>
      <w:r w:rsidR="00920AAB">
        <w:rPr>
          <w:rFonts w:ascii="Arial" w:hAnsi="Arial" w:cs="Arial"/>
        </w:rPr>
        <w:t>This</w:t>
      </w:r>
      <w:r w:rsidR="00DA7187">
        <w:rPr>
          <w:rFonts w:ascii="Arial" w:hAnsi="Arial" w:cs="Arial"/>
        </w:rPr>
        <w:t xml:space="preserve"> views meaningful design and access as a prerequisite for 21</w:t>
      </w:r>
      <w:r w:rsidR="00DA7187" w:rsidRPr="00DA7187">
        <w:rPr>
          <w:rFonts w:ascii="Arial" w:hAnsi="Arial" w:cs="Arial"/>
          <w:vertAlign w:val="superscript"/>
        </w:rPr>
        <w:t>st</w:t>
      </w:r>
      <w:r w:rsidR="00DA7187">
        <w:rPr>
          <w:rFonts w:ascii="Arial" w:hAnsi="Arial" w:cs="Arial"/>
        </w:rPr>
        <w:t xml:space="preserve"> century architecture, ensuring the Arena serves as a truly universal platform for the diverse population of Swansea and beyond.</w:t>
      </w:r>
      <w:r w:rsidR="00303ED5">
        <w:rPr>
          <w:rFonts w:ascii="Arial" w:hAnsi="Arial" w:cs="Arial"/>
        </w:rPr>
        <w:t xml:space="preserve"> </w:t>
      </w:r>
    </w:p>
    <w:p w14:paraId="5C307B7D" w14:textId="77777777" w:rsidR="00510068" w:rsidRDefault="00510068" w:rsidP="00171093">
      <w:pPr>
        <w:pStyle w:val="Heading3"/>
        <w:spacing w:line="360" w:lineRule="auto"/>
        <w:rPr>
          <w:rFonts w:ascii="Arial" w:hAnsi="Arial" w:cs="Arial"/>
        </w:rPr>
      </w:pPr>
    </w:p>
    <w:p w14:paraId="30A405C1" w14:textId="5AED49AE" w:rsidR="00171093" w:rsidRPr="000074D1" w:rsidRDefault="00171093" w:rsidP="00171093">
      <w:pPr>
        <w:pStyle w:val="Heading3"/>
        <w:spacing w:line="360" w:lineRule="auto"/>
        <w:rPr>
          <w:rFonts w:ascii="Arial" w:hAnsi="Arial" w:cs="Arial"/>
          <w:color w:val="auto"/>
          <w:sz w:val="28"/>
          <w:szCs w:val="28"/>
        </w:rPr>
      </w:pPr>
      <w:bookmarkStart w:id="55" w:name="_Toc228359260"/>
      <w:r w:rsidRPr="000074D1">
        <w:rPr>
          <w:rFonts w:ascii="Arial" w:hAnsi="Arial" w:cs="Arial"/>
          <w:color w:val="auto"/>
          <w:sz w:val="28"/>
          <w:szCs w:val="28"/>
        </w:rPr>
        <w:t>4.2.3: Physical and Technical Analysis</w:t>
      </w:r>
      <w:bookmarkEnd w:id="55"/>
    </w:p>
    <w:p w14:paraId="5FB0B63C" w14:textId="69961492" w:rsidR="00334893" w:rsidRDefault="00B50947" w:rsidP="00091C22">
      <w:pPr>
        <w:spacing w:line="360" w:lineRule="auto"/>
        <w:rPr>
          <w:rFonts w:ascii="Arial" w:hAnsi="Arial" w:cs="Arial"/>
        </w:rPr>
      </w:pPr>
      <w:r>
        <w:rPr>
          <w:rFonts w:ascii="Arial" w:hAnsi="Arial" w:cs="Arial"/>
        </w:rPr>
        <w:t>From a tech</w:t>
      </w:r>
      <w:r w:rsidR="008A25B4">
        <w:rPr>
          <w:rFonts w:ascii="Arial" w:hAnsi="Arial" w:cs="Arial"/>
        </w:rPr>
        <w:t xml:space="preserve">nical perspective, the </w:t>
      </w:r>
      <w:r w:rsidR="001F6F28">
        <w:rPr>
          <w:rFonts w:ascii="Arial" w:hAnsi="Arial" w:cs="Arial"/>
        </w:rPr>
        <w:t>Swansea</w:t>
      </w:r>
      <w:r w:rsidR="008A25B4">
        <w:rPr>
          <w:rFonts w:ascii="Arial" w:hAnsi="Arial" w:cs="Arial"/>
        </w:rPr>
        <w:t xml:space="preserve"> Arena is </w:t>
      </w:r>
      <w:r w:rsidR="001F6F28">
        <w:rPr>
          <w:rFonts w:ascii="Arial" w:hAnsi="Arial" w:cs="Arial"/>
        </w:rPr>
        <w:t>engineered</w:t>
      </w:r>
      <w:r w:rsidR="008A25B4">
        <w:rPr>
          <w:rFonts w:ascii="Arial" w:hAnsi="Arial" w:cs="Arial"/>
        </w:rPr>
        <w:t xml:space="preserve"> to facilitate </w:t>
      </w:r>
      <w:r w:rsidR="00CD3D88">
        <w:rPr>
          <w:rFonts w:ascii="Arial" w:hAnsi="Arial" w:cs="Arial"/>
        </w:rPr>
        <w:t>high-capacity</w:t>
      </w:r>
      <w:r w:rsidR="008A25B4">
        <w:rPr>
          <w:rFonts w:ascii="Arial" w:hAnsi="Arial" w:cs="Arial"/>
        </w:rPr>
        <w:t xml:space="preserve"> flow, </w:t>
      </w:r>
      <w:r w:rsidR="001F6F28">
        <w:rPr>
          <w:rFonts w:ascii="Arial" w:hAnsi="Arial" w:cs="Arial"/>
        </w:rPr>
        <w:t>utilising</w:t>
      </w:r>
      <w:r w:rsidR="008A25B4">
        <w:rPr>
          <w:rFonts w:ascii="Arial" w:hAnsi="Arial" w:cs="Arial"/>
        </w:rPr>
        <w:t xml:space="preserve"> </w:t>
      </w:r>
      <w:r w:rsidR="00A20107">
        <w:rPr>
          <w:rFonts w:ascii="Arial" w:hAnsi="Arial" w:cs="Arial"/>
        </w:rPr>
        <w:t xml:space="preserve">a singular threshold strategy that ensures a seamless transition from the exterior to the interior public concourse. The primary </w:t>
      </w:r>
      <w:r w:rsidR="00B65FD6">
        <w:rPr>
          <w:rFonts w:ascii="Arial" w:hAnsi="Arial" w:cs="Arial"/>
        </w:rPr>
        <w:t>entran</w:t>
      </w:r>
      <w:r w:rsidR="00325817">
        <w:rPr>
          <w:rFonts w:ascii="Arial" w:hAnsi="Arial" w:cs="Arial"/>
        </w:rPr>
        <w:t xml:space="preserve">ce features wide span, automatic glass doors as a standard </w:t>
      </w:r>
      <w:r w:rsidR="00454B0E">
        <w:rPr>
          <w:rFonts w:ascii="Arial" w:hAnsi="Arial" w:cs="Arial"/>
        </w:rPr>
        <w:t>entry, accompanied with manual push bar doors</w:t>
      </w:r>
      <w:r w:rsidR="001F6F28">
        <w:rPr>
          <w:rFonts w:ascii="Arial" w:hAnsi="Arial" w:cs="Arial"/>
        </w:rPr>
        <w:t>.</w:t>
      </w:r>
      <w:r w:rsidR="00D775DF">
        <w:rPr>
          <w:rFonts w:ascii="Arial" w:hAnsi="Arial" w:cs="Arial"/>
        </w:rPr>
        <w:t xml:space="preserve"> </w:t>
      </w:r>
      <w:r w:rsidR="00104867">
        <w:rPr>
          <w:rFonts w:ascii="Arial" w:hAnsi="Arial" w:cs="Arial"/>
        </w:rPr>
        <w:t>Although</w:t>
      </w:r>
      <w:r w:rsidR="00D775DF">
        <w:rPr>
          <w:rFonts w:ascii="Arial" w:hAnsi="Arial" w:cs="Arial"/>
        </w:rPr>
        <w:t xml:space="preserve"> </w:t>
      </w:r>
      <w:r w:rsidR="00097915">
        <w:rPr>
          <w:rFonts w:ascii="Arial" w:hAnsi="Arial" w:cs="Arial"/>
        </w:rPr>
        <w:t xml:space="preserve">the primary barrier free entry removes the </w:t>
      </w:r>
      <w:r w:rsidR="00104867">
        <w:rPr>
          <w:rFonts w:ascii="Arial" w:hAnsi="Arial" w:cs="Arial"/>
        </w:rPr>
        <w:t>physical</w:t>
      </w:r>
      <w:r w:rsidR="00097915">
        <w:rPr>
          <w:rFonts w:ascii="Arial" w:hAnsi="Arial" w:cs="Arial"/>
        </w:rPr>
        <w:t xml:space="preserve"> resistance of manual doors, adhering to the UD principle of Low Physical Effort (Mace, 1985), the need for </w:t>
      </w:r>
      <w:r w:rsidR="00104867">
        <w:rPr>
          <w:rFonts w:ascii="Arial" w:hAnsi="Arial" w:cs="Arial"/>
        </w:rPr>
        <w:t xml:space="preserve">push doors is </w:t>
      </w:r>
      <w:r w:rsidR="00671100">
        <w:rPr>
          <w:rFonts w:ascii="Arial" w:hAnsi="Arial" w:cs="Arial"/>
        </w:rPr>
        <w:t>essential</w:t>
      </w:r>
      <w:r w:rsidR="00104867">
        <w:rPr>
          <w:rFonts w:ascii="Arial" w:hAnsi="Arial" w:cs="Arial"/>
        </w:rPr>
        <w:t xml:space="preserve"> during </w:t>
      </w:r>
      <w:r w:rsidR="00222F85">
        <w:rPr>
          <w:rFonts w:ascii="Arial" w:hAnsi="Arial" w:cs="Arial"/>
        </w:rPr>
        <w:lastRenderedPageBreak/>
        <w:t xml:space="preserve">events </w:t>
      </w:r>
      <w:r w:rsidR="005E7867">
        <w:rPr>
          <w:rFonts w:ascii="Arial" w:hAnsi="Arial" w:cs="Arial"/>
        </w:rPr>
        <w:t>to ensure people leave and enter the arena safely</w:t>
      </w:r>
      <w:r w:rsidR="00264017">
        <w:rPr>
          <w:rFonts w:ascii="Arial" w:hAnsi="Arial" w:cs="Arial"/>
        </w:rPr>
        <w:t>.</w:t>
      </w:r>
      <w:r w:rsidR="00474179">
        <w:rPr>
          <w:rFonts w:ascii="Arial" w:hAnsi="Arial" w:cs="Arial"/>
        </w:rPr>
        <w:t xml:space="preserve"> Once, inside, the foyer opens into a vast, double height space </w:t>
      </w:r>
      <w:r w:rsidR="00A11CC5">
        <w:rPr>
          <w:rFonts w:ascii="Arial" w:hAnsi="Arial" w:cs="Arial"/>
        </w:rPr>
        <w:t xml:space="preserve">with a wide span concourse that provides ample </w:t>
      </w:r>
      <w:r w:rsidR="00E2608E">
        <w:rPr>
          <w:rFonts w:ascii="Arial" w:hAnsi="Arial" w:cs="Arial"/>
        </w:rPr>
        <w:t>manoeuvring</w:t>
      </w:r>
      <w:r w:rsidR="00A11CC5">
        <w:rPr>
          <w:rFonts w:ascii="Arial" w:hAnsi="Arial" w:cs="Arial"/>
        </w:rPr>
        <w:t xml:space="preserve"> space for all types of users</w:t>
      </w:r>
      <w:r w:rsidR="00E2608E">
        <w:rPr>
          <w:rFonts w:ascii="Arial" w:hAnsi="Arial" w:cs="Arial"/>
        </w:rPr>
        <w:t>, exceeding the minimum width requirement of Approved Document M</w:t>
      </w:r>
      <w:r w:rsidR="0068325A">
        <w:rPr>
          <w:rFonts w:ascii="Arial" w:hAnsi="Arial" w:cs="Arial"/>
        </w:rPr>
        <w:t xml:space="preserve">. The generosity of the space is designed to prevent </w:t>
      </w:r>
      <w:r w:rsidR="004A4CE6">
        <w:rPr>
          <w:rFonts w:ascii="Arial" w:hAnsi="Arial" w:cs="Arial"/>
        </w:rPr>
        <w:t>crowding, ensuring that the experience of the building remains fluid even during peak event times.</w:t>
      </w:r>
    </w:p>
    <w:p w14:paraId="409CB168" w14:textId="5FD6B97E" w:rsidR="004A4CE6" w:rsidRDefault="005D4D40" w:rsidP="00091C22">
      <w:pPr>
        <w:spacing w:line="360" w:lineRule="auto"/>
        <w:rPr>
          <w:rFonts w:ascii="Arial" w:hAnsi="Arial" w:cs="Arial"/>
          <w:color w:val="EE0000"/>
        </w:rPr>
      </w:pPr>
      <w:r>
        <w:rPr>
          <w:rFonts w:ascii="Arial" w:hAnsi="Arial" w:cs="Arial"/>
        </w:rPr>
        <w:t xml:space="preserve">Vertical circulation is managed by </w:t>
      </w:r>
      <w:r w:rsidR="00907546">
        <w:rPr>
          <w:rFonts w:ascii="Arial" w:hAnsi="Arial" w:cs="Arial"/>
        </w:rPr>
        <w:t>high-capacity</w:t>
      </w:r>
      <w:r>
        <w:rPr>
          <w:rFonts w:ascii="Arial" w:hAnsi="Arial" w:cs="Arial"/>
        </w:rPr>
        <w:t xml:space="preserve"> passenger lif</w:t>
      </w:r>
      <w:r w:rsidR="00DC0137">
        <w:rPr>
          <w:rFonts w:ascii="Arial" w:hAnsi="Arial" w:cs="Arial"/>
        </w:rPr>
        <w:t xml:space="preserve">ts that are strategically </w:t>
      </w:r>
      <w:r w:rsidR="00A53E45">
        <w:rPr>
          <w:rFonts w:ascii="Arial" w:hAnsi="Arial" w:cs="Arial"/>
        </w:rPr>
        <w:t xml:space="preserve">located near to the primary staircases to maintain a unified path of </w:t>
      </w:r>
      <w:r w:rsidR="00907546">
        <w:rPr>
          <w:rFonts w:ascii="Arial" w:hAnsi="Arial" w:cs="Arial"/>
        </w:rPr>
        <w:t>travel</w:t>
      </w:r>
      <w:r w:rsidR="00A53E45">
        <w:rPr>
          <w:rFonts w:ascii="Arial" w:hAnsi="Arial" w:cs="Arial"/>
        </w:rPr>
        <w:t>.  As observed during the site audit, thes</w:t>
      </w:r>
      <w:r w:rsidR="00522AA4">
        <w:rPr>
          <w:rFonts w:ascii="Arial" w:hAnsi="Arial" w:cs="Arial"/>
        </w:rPr>
        <w:t xml:space="preserve">e lifts are centralised to ensure that </w:t>
      </w:r>
      <w:r w:rsidR="0025519F">
        <w:rPr>
          <w:rFonts w:ascii="Arial" w:hAnsi="Arial" w:cs="Arial"/>
        </w:rPr>
        <w:t>visitors who require to use the lift are not diverted to secondary or back of house routes, thereby upholding the dignity of arrival and ensuring social integration within the venue.</w:t>
      </w:r>
      <w:r w:rsidR="00605D19">
        <w:rPr>
          <w:rFonts w:ascii="Arial" w:hAnsi="Arial" w:cs="Arial"/>
        </w:rPr>
        <w:t xml:space="preserve"> </w:t>
      </w:r>
      <w:r w:rsidR="003155B4">
        <w:rPr>
          <w:rFonts w:ascii="Arial" w:hAnsi="Arial" w:cs="Arial"/>
        </w:rPr>
        <w:t xml:space="preserve">Furthermore, the design of the auditorium incorporates integrated wheelchair platforms as well as removable seating </w:t>
      </w:r>
      <w:r w:rsidR="00D65FD4">
        <w:rPr>
          <w:rFonts w:ascii="Arial" w:hAnsi="Arial" w:cs="Arial"/>
        </w:rPr>
        <w:t>distribute across multiple tiers. By embedding these features into various levels, the design provides a variety of sightlines, technically fulfilling the principle of Equitable Use</w:t>
      </w:r>
      <w:r w:rsidR="00CE199F">
        <w:rPr>
          <w:rFonts w:ascii="Arial" w:hAnsi="Arial" w:cs="Arial"/>
        </w:rPr>
        <w:t xml:space="preserve"> (Mace, 1985)</w:t>
      </w:r>
      <w:r w:rsidR="00D65FD4">
        <w:rPr>
          <w:rFonts w:ascii="Arial" w:hAnsi="Arial" w:cs="Arial"/>
        </w:rPr>
        <w:t xml:space="preserve"> by ensuring the inclusive seating is an integrated, rather than segregated, component of the architectural layout.</w:t>
      </w:r>
      <w:r w:rsidR="00BD2CB0">
        <w:rPr>
          <w:rFonts w:ascii="Arial" w:hAnsi="Arial" w:cs="Arial"/>
        </w:rPr>
        <w:t xml:space="preserve"> </w:t>
      </w:r>
      <w:r w:rsidR="00BD2CB0" w:rsidRPr="00303ED5">
        <w:rPr>
          <w:rFonts w:ascii="Arial" w:hAnsi="Arial" w:cs="Arial"/>
          <w:color w:val="EE0000"/>
        </w:rPr>
        <w:t>+more from architect website about seating and sightlines</w:t>
      </w:r>
      <w:r w:rsidR="002F2E30">
        <w:rPr>
          <w:rFonts w:ascii="Arial" w:hAnsi="Arial" w:cs="Arial"/>
          <w:color w:val="EE0000"/>
        </w:rPr>
        <w:t xml:space="preserve"> ALSO covo with arena guide: seats at very top they took out as they acknowledged that people with disabilities wouldn’t want to feel like theyre pushed to the back</w:t>
      </w:r>
    </w:p>
    <w:tbl>
      <w:tblPr>
        <w:tblStyle w:val="TableGrid"/>
        <w:tblW w:w="0" w:type="auto"/>
        <w:tblLook w:val="04A0" w:firstRow="1" w:lastRow="0" w:firstColumn="1" w:lastColumn="0" w:noHBand="0" w:noVBand="1"/>
      </w:tblPr>
      <w:tblGrid>
        <w:gridCol w:w="4390"/>
        <w:gridCol w:w="4626"/>
      </w:tblGrid>
      <w:tr w:rsidR="00A94794" w14:paraId="2C4CB0DC" w14:textId="4699C02C" w:rsidTr="002F2E30">
        <w:tc>
          <w:tcPr>
            <w:tcW w:w="4390" w:type="dxa"/>
          </w:tcPr>
          <w:p w14:paraId="6BBC27B8" w14:textId="0D69560E" w:rsidR="002F2E30" w:rsidRDefault="002F2E30" w:rsidP="00A76284">
            <w:pPr>
              <w:spacing w:line="360" w:lineRule="auto"/>
              <w:jc w:val="center"/>
              <w:rPr>
                <w:rFonts w:ascii="Arial" w:hAnsi="Arial" w:cs="Arial"/>
              </w:rPr>
            </w:pPr>
            <w:r w:rsidRPr="002F2E30">
              <w:rPr>
                <w:rFonts w:ascii="Arial" w:hAnsi="Arial" w:cs="Arial"/>
                <w:noProof/>
              </w:rPr>
              <w:drawing>
                <wp:inline distT="0" distB="0" distL="0" distR="0" wp14:anchorId="1D171C3F" wp14:editId="74613275">
                  <wp:extent cx="2484208" cy="2484208"/>
                  <wp:effectExtent l="0" t="0" r="0" b="0"/>
                  <wp:docPr id="741930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30431" name=""/>
                          <pic:cNvPicPr/>
                        </pic:nvPicPr>
                        <pic:blipFill>
                          <a:blip r:embed="rId31"/>
                          <a:stretch>
                            <a:fillRect/>
                          </a:stretch>
                        </pic:blipFill>
                        <pic:spPr>
                          <a:xfrm>
                            <a:off x="0" y="0"/>
                            <a:ext cx="2500801" cy="2500801"/>
                          </a:xfrm>
                          <a:prstGeom prst="rect">
                            <a:avLst/>
                          </a:prstGeom>
                        </pic:spPr>
                      </pic:pic>
                    </a:graphicData>
                  </a:graphic>
                </wp:inline>
              </w:drawing>
            </w:r>
          </w:p>
        </w:tc>
        <w:tc>
          <w:tcPr>
            <w:tcW w:w="4626" w:type="dxa"/>
          </w:tcPr>
          <w:p w14:paraId="136E2C82" w14:textId="297F0CB9" w:rsidR="002F2E30" w:rsidRPr="002F2E30" w:rsidRDefault="00A76284" w:rsidP="00A76284">
            <w:pPr>
              <w:spacing w:line="360" w:lineRule="auto"/>
              <w:jc w:val="center"/>
              <w:rPr>
                <w:rFonts w:ascii="Arial" w:hAnsi="Arial" w:cs="Arial"/>
              </w:rPr>
            </w:pPr>
            <w:r w:rsidRPr="00A76284">
              <w:rPr>
                <w:rFonts w:ascii="Arial" w:hAnsi="Arial" w:cs="Arial"/>
                <w:noProof/>
              </w:rPr>
              <w:drawing>
                <wp:inline distT="0" distB="0" distL="0" distR="0" wp14:anchorId="0A17D0C7" wp14:editId="6756FD3C">
                  <wp:extent cx="2475612" cy="2475612"/>
                  <wp:effectExtent l="0" t="0" r="1270" b="1270"/>
                  <wp:docPr id="139325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5563" name=""/>
                          <pic:cNvPicPr/>
                        </pic:nvPicPr>
                        <pic:blipFill>
                          <a:blip r:embed="rId32"/>
                          <a:stretch>
                            <a:fillRect/>
                          </a:stretch>
                        </pic:blipFill>
                        <pic:spPr>
                          <a:xfrm>
                            <a:off x="0" y="0"/>
                            <a:ext cx="2493638" cy="2493638"/>
                          </a:xfrm>
                          <a:prstGeom prst="rect">
                            <a:avLst/>
                          </a:prstGeom>
                        </pic:spPr>
                      </pic:pic>
                    </a:graphicData>
                  </a:graphic>
                </wp:inline>
              </w:drawing>
            </w:r>
          </w:p>
        </w:tc>
      </w:tr>
      <w:tr w:rsidR="00A94794" w14:paraId="7CF2B368" w14:textId="58FFCE53" w:rsidTr="002F2E30">
        <w:tc>
          <w:tcPr>
            <w:tcW w:w="4390" w:type="dxa"/>
          </w:tcPr>
          <w:p w14:paraId="1529BADF" w14:textId="5DA19EFD" w:rsidR="002F2E30" w:rsidRDefault="00411A88" w:rsidP="00091C22">
            <w:pPr>
              <w:spacing w:line="360" w:lineRule="auto"/>
              <w:rPr>
                <w:rFonts w:ascii="Arial" w:hAnsi="Arial" w:cs="Arial"/>
              </w:rPr>
            </w:pPr>
            <w:commentRangeStart w:id="56"/>
            <w:r>
              <w:rPr>
                <w:rFonts w:ascii="Arial" w:hAnsi="Arial" w:cs="Arial"/>
              </w:rPr>
              <w:t xml:space="preserve">Figure </w:t>
            </w:r>
            <w:commentRangeEnd w:id="56"/>
            <w:r w:rsidR="00341339">
              <w:rPr>
                <w:rStyle w:val="CommentReference"/>
                <w:rFonts w:ascii="Arial" w:hAnsi="Arial" w:cs="Arial"/>
                <w:sz w:val="22"/>
                <w:szCs w:val="22"/>
              </w:rPr>
              <w:commentReference w:id="56"/>
            </w:r>
            <w:r>
              <w:rPr>
                <w:rFonts w:ascii="Arial" w:hAnsi="Arial" w:cs="Arial"/>
              </w:rPr>
              <w:t xml:space="preserve">#: </w:t>
            </w:r>
            <w:r w:rsidR="00E32F0D">
              <w:rPr>
                <w:rFonts w:ascii="Arial" w:hAnsi="Arial" w:cs="Arial"/>
              </w:rPr>
              <w:t>Accessible seating platform in the Swansea Arena auditorium</w:t>
            </w:r>
            <w:r w:rsidR="00AC3303">
              <w:rPr>
                <w:rFonts w:ascii="Arial" w:hAnsi="Arial" w:cs="Arial"/>
              </w:rPr>
              <w:t xml:space="preserve"> showing space for wheelchairs (</w:t>
            </w:r>
            <w:r w:rsidR="00B1300D">
              <w:rPr>
                <w:rFonts w:ascii="Arial" w:hAnsi="Arial" w:cs="Arial"/>
              </w:rPr>
              <w:t>Author</w:t>
            </w:r>
            <w:r w:rsidR="00EF025A">
              <w:rPr>
                <w:rFonts w:ascii="Arial" w:hAnsi="Arial" w:cs="Arial"/>
              </w:rPr>
              <w:t>’s own, 2026).</w:t>
            </w:r>
          </w:p>
        </w:tc>
        <w:tc>
          <w:tcPr>
            <w:tcW w:w="4626" w:type="dxa"/>
          </w:tcPr>
          <w:p w14:paraId="689B25C2" w14:textId="03A365E1" w:rsidR="002F2E30" w:rsidRDefault="00411A88" w:rsidP="00091C22">
            <w:pPr>
              <w:spacing w:line="360" w:lineRule="auto"/>
              <w:rPr>
                <w:rFonts w:ascii="Arial" w:hAnsi="Arial" w:cs="Arial"/>
              </w:rPr>
            </w:pPr>
            <w:r>
              <w:rPr>
                <w:rFonts w:ascii="Arial" w:hAnsi="Arial" w:cs="Arial"/>
              </w:rPr>
              <w:t>F</w:t>
            </w:r>
          </w:p>
        </w:tc>
      </w:tr>
    </w:tbl>
    <w:p w14:paraId="2DB59FBF" w14:textId="77777777" w:rsidR="00B90352" w:rsidRPr="003D693F" w:rsidRDefault="00B90352" w:rsidP="00091C22">
      <w:pPr>
        <w:spacing w:line="360" w:lineRule="auto"/>
        <w:rPr>
          <w:rFonts w:ascii="Arial" w:hAnsi="Arial" w:cs="Arial"/>
        </w:rPr>
      </w:pPr>
    </w:p>
    <w:p w14:paraId="45B248CA" w14:textId="3D24246C" w:rsidR="00C36AC6" w:rsidRDefault="00916378" w:rsidP="00091C22">
      <w:pPr>
        <w:spacing w:line="360" w:lineRule="auto"/>
        <w:rPr>
          <w:rFonts w:ascii="Arial" w:hAnsi="Arial" w:cs="Arial"/>
        </w:rPr>
      </w:pPr>
      <w:r>
        <w:rPr>
          <w:rFonts w:ascii="Arial" w:hAnsi="Arial" w:cs="Arial"/>
        </w:rPr>
        <w:t xml:space="preserve">The most </w:t>
      </w:r>
      <w:r w:rsidR="00CE199F">
        <w:rPr>
          <w:rFonts w:ascii="Arial" w:hAnsi="Arial" w:cs="Arial"/>
        </w:rPr>
        <w:t>substantia</w:t>
      </w:r>
      <w:r w:rsidR="00AE0482">
        <w:rPr>
          <w:rFonts w:ascii="Arial" w:hAnsi="Arial" w:cs="Arial"/>
        </w:rPr>
        <w:t xml:space="preserve">l intervention for inclusivity within the site is the provision of a dedicated Changing Places facility, </w:t>
      </w:r>
      <w:r w:rsidR="009114D7">
        <w:rPr>
          <w:rFonts w:ascii="Arial" w:hAnsi="Arial" w:cs="Arial"/>
        </w:rPr>
        <w:t xml:space="preserve">being the only one available in Swansea. </w:t>
      </w:r>
      <w:r w:rsidR="00C977E6">
        <w:rPr>
          <w:rFonts w:ascii="Arial" w:hAnsi="Arial" w:cs="Arial"/>
        </w:rPr>
        <w:t xml:space="preserve">Unlike standard accessible WC’s, </w:t>
      </w:r>
      <w:r w:rsidR="00B51AB9">
        <w:rPr>
          <w:rFonts w:ascii="Arial" w:hAnsi="Arial" w:cs="Arial"/>
        </w:rPr>
        <w:t xml:space="preserve">this room is technically specified to accommodate user with complex care </w:t>
      </w:r>
      <w:r w:rsidR="00B51AB9">
        <w:rPr>
          <w:rFonts w:ascii="Arial" w:hAnsi="Arial" w:cs="Arial"/>
        </w:rPr>
        <w:lastRenderedPageBreak/>
        <w:t>needs, featuring a ceiling hois</w:t>
      </w:r>
      <w:r w:rsidR="00FB69E1">
        <w:rPr>
          <w:rFonts w:ascii="Arial" w:hAnsi="Arial" w:cs="Arial"/>
        </w:rPr>
        <w:t>t</w:t>
      </w:r>
      <w:r w:rsidR="00B51AB9">
        <w:rPr>
          <w:rFonts w:ascii="Arial" w:hAnsi="Arial" w:cs="Arial"/>
        </w:rPr>
        <w:t xml:space="preserve"> system, a height adjustable adult sized changing bench and a </w:t>
      </w:r>
      <w:r w:rsidR="00FB69E1">
        <w:rPr>
          <w:rFonts w:ascii="Arial" w:hAnsi="Arial" w:cs="Arial"/>
        </w:rPr>
        <w:t>peninsular</w:t>
      </w:r>
      <w:r w:rsidR="00B51AB9">
        <w:rPr>
          <w:rFonts w:ascii="Arial" w:hAnsi="Arial" w:cs="Arial"/>
        </w:rPr>
        <w:t xml:space="preserve"> toilet with sufficient space for assistance on both sides. </w:t>
      </w:r>
      <w:r w:rsidR="00FB7843">
        <w:rPr>
          <w:rFonts w:ascii="Arial" w:hAnsi="Arial" w:cs="Arial"/>
        </w:rPr>
        <w:t xml:space="preserve">The facility also includes </w:t>
      </w:r>
      <w:r w:rsidR="002C2BF3">
        <w:rPr>
          <w:rFonts w:ascii="Arial" w:hAnsi="Arial" w:cs="Arial"/>
        </w:rPr>
        <w:t xml:space="preserve">a height adjustable washbasin </w:t>
      </w:r>
      <w:r w:rsidR="0058729F">
        <w:rPr>
          <w:rFonts w:ascii="Arial" w:hAnsi="Arial" w:cs="Arial"/>
        </w:rPr>
        <w:t>and non-slip</w:t>
      </w:r>
      <w:r w:rsidR="002C2BF3">
        <w:rPr>
          <w:rFonts w:ascii="Arial" w:hAnsi="Arial" w:cs="Arial"/>
        </w:rPr>
        <w:t xml:space="preserve"> safety flooring, meeting the technical standards of </w:t>
      </w:r>
      <w:commentRangeStart w:id="57"/>
      <w:r w:rsidR="00D145E7">
        <w:rPr>
          <w:rFonts w:ascii="Arial" w:hAnsi="Arial" w:cs="Arial"/>
        </w:rPr>
        <w:t>BS 8300</w:t>
      </w:r>
      <w:commentRangeEnd w:id="57"/>
      <w:r w:rsidR="00341339">
        <w:rPr>
          <w:rStyle w:val="CommentReference"/>
          <w:rFonts w:ascii="Arial" w:hAnsi="Arial" w:cs="Arial"/>
          <w:sz w:val="22"/>
          <w:szCs w:val="22"/>
        </w:rPr>
        <w:commentReference w:id="57"/>
      </w:r>
      <w:r w:rsidR="00D145E7">
        <w:rPr>
          <w:rFonts w:ascii="Arial" w:hAnsi="Arial" w:cs="Arial"/>
        </w:rPr>
        <w:t xml:space="preserve">. </w:t>
      </w:r>
      <w:r w:rsidR="00526918">
        <w:rPr>
          <w:rFonts w:ascii="Arial" w:hAnsi="Arial" w:cs="Arial"/>
        </w:rPr>
        <w:t xml:space="preserve">This commitment to high level technical </w:t>
      </w:r>
      <w:r w:rsidR="00FC2687">
        <w:rPr>
          <w:rFonts w:ascii="Arial" w:hAnsi="Arial" w:cs="Arial"/>
        </w:rPr>
        <w:t>provision</w:t>
      </w:r>
      <w:r w:rsidR="00526918">
        <w:rPr>
          <w:rFonts w:ascii="Arial" w:hAnsi="Arial" w:cs="Arial"/>
        </w:rPr>
        <w:t xml:space="preserve"> ensures that the venue can support long duration </w:t>
      </w:r>
      <w:r w:rsidR="00FC2687">
        <w:rPr>
          <w:rFonts w:ascii="Arial" w:hAnsi="Arial" w:cs="Arial"/>
        </w:rPr>
        <w:t>visits</w:t>
      </w:r>
      <w:r w:rsidR="00526918">
        <w:rPr>
          <w:rFonts w:ascii="Arial" w:hAnsi="Arial" w:cs="Arial"/>
        </w:rPr>
        <w:t xml:space="preserve"> for all patrons, movin</w:t>
      </w:r>
      <w:r w:rsidR="00FC2687">
        <w:rPr>
          <w:rFonts w:ascii="Arial" w:hAnsi="Arial" w:cs="Arial"/>
        </w:rPr>
        <w:t xml:space="preserve">g </w:t>
      </w:r>
      <w:r w:rsidR="00526918">
        <w:rPr>
          <w:rFonts w:ascii="Arial" w:hAnsi="Arial" w:cs="Arial"/>
        </w:rPr>
        <w:t xml:space="preserve">beyond </w:t>
      </w:r>
      <w:r w:rsidR="00FC2687">
        <w:rPr>
          <w:rFonts w:ascii="Arial" w:hAnsi="Arial" w:cs="Arial"/>
        </w:rPr>
        <w:t>basic</w:t>
      </w:r>
      <w:r w:rsidR="00526918">
        <w:rPr>
          <w:rFonts w:ascii="Arial" w:hAnsi="Arial" w:cs="Arial"/>
        </w:rPr>
        <w:t xml:space="preserve"> </w:t>
      </w:r>
      <w:r w:rsidR="00FC2687">
        <w:rPr>
          <w:rFonts w:ascii="Arial" w:hAnsi="Arial" w:cs="Arial"/>
        </w:rPr>
        <w:t>legislative</w:t>
      </w:r>
      <w:r w:rsidR="00526918">
        <w:rPr>
          <w:rFonts w:ascii="Arial" w:hAnsi="Arial" w:cs="Arial"/>
        </w:rPr>
        <w:t xml:space="preserve"> </w:t>
      </w:r>
      <w:r w:rsidR="00FC2687">
        <w:rPr>
          <w:rFonts w:ascii="Arial" w:hAnsi="Arial" w:cs="Arial"/>
        </w:rPr>
        <w:t>compliance</w:t>
      </w:r>
      <w:r w:rsidR="00526918">
        <w:rPr>
          <w:rFonts w:ascii="Arial" w:hAnsi="Arial" w:cs="Arial"/>
        </w:rPr>
        <w:t xml:space="preserve"> toward a </w:t>
      </w:r>
      <w:r w:rsidR="00FC2687">
        <w:rPr>
          <w:rFonts w:ascii="Arial" w:hAnsi="Arial" w:cs="Arial"/>
        </w:rPr>
        <w:t>robust</w:t>
      </w:r>
      <w:r w:rsidR="00526918">
        <w:rPr>
          <w:rFonts w:ascii="Arial" w:hAnsi="Arial" w:cs="Arial"/>
        </w:rPr>
        <w:t xml:space="preserve"> and </w:t>
      </w:r>
      <w:r w:rsidR="00FC2687">
        <w:rPr>
          <w:rFonts w:ascii="Arial" w:hAnsi="Arial" w:cs="Arial"/>
        </w:rPr>
        <w:t>functional</w:t>
      </w:r>
      <w:r w:rsidR="00526918">
        <w:rPr>
          <w:rFonts w:ascii="Arial" w:hAnsi="Arial" w:cs="Arial"/>
        </w:rPr>
        <w:t xml:space="preserve"> model of universal </w:t>
      </w:r>
      <w:r w:rsidR="00FC2687">
        <w:rPr>
          <w:rFonts w:ascii="Arial" w:hAnsi="Arial" w:cs="Arial"/>
        </w:rPr>
        <w:t>accessibility.</w:t>
      </w:r>
    </w:p>
    <w:p w14:paraId="7FFB911F" w14:textId="77777777" w:rsidR="00510068" w:rsidRDefault="00510068" w:rsidP="00171093">
      <w:pPr>
        <w:pStyle w:val="Heading3"/>
        <w:spacing w:line="360" w:lineRule="auto"/>
        <w:rPr>
          <w:rFonts w:ascii="Arial" w:hAnsi="Arial" w:cs="Arial"/>
        </w:rPr>
      </w:pPr>
    </w:p>
    <w:p w14:paraId="2EBB5D2B" w14:textId="6A52A7C8" w:rsidR="00171093" w:rsidRPr="004C0BF5" w:rsidRDefault="00171093" w:rsidP="00171093">
      <w:pPr>
        <w:pStyle w:val="Heading3"/>
        <w:spacing w:line="360" w:lineRule="auto"/>
        <w:rPr>
          <w:rFonts w:ascii="Arial" w:hAnsi="Arial" w:cs="Arial"/>
          <w:color w:val="auto"/>
          <w:sz w:val="28"/>
          <w:szCs w:val="28"/>
        </w:rPr>
      </w:pPr>
      <w:bookmarkStart w:id="58" w:name="_Toc228359261"/>
      <w:r w:rsidRPr="004C0BF5">
        <w:rPr>
          <w:rFonts w:ascii="Arial" w:hAnsi="Arial" w:cs="Arial"/>
          <w:color w:val="auto"/>
          <w:sz w:val="28"/>
          <w:szCs w:val="28"/>
        </w:rPr>
        <w:t xml:space="preserve">4.2.4: </w:t>
      </w:r>
      <w:r w:rsidR="00B71A56" w:rsidRPr="004C0BF5">
        <w:rPr>
          <w:rFonts w:ascii="Arial" w:hAnsi="Arial" w:cs="Arial"/>
          <w:color w:val="auto"/>
          <w:sz w:val="28"/>
          <w:szCs w:val="28"/>
        </w:rPr>
        <w:t>Environmental and Sensory Performance</w:t>
      </w:r>
      <w:bookmarkEnd w:id="58"/>
    </w:p>
    <w:p w14:paraId="48EA032D" w14:textId="1785BAA0" w:rsidR="00271E40" w:rsidRDefault="00271E40" w:rsidP="00271E40">
      <w:pPr>
        <w:spacing w:line="360" w:lineRule="auto"/>
        <w:rPr>
          <w:rFonts w:ascii="Arial" w:hAnsi="Arial" w:cs="Arial"/>
        </w:rPr>
      </w:pPr>
      <w:r>
        <w:rPr>
          <w:rFonts w:ascii="Arial" w:hAnsi="Arial" w:cs="Arial"/>
        </w:rPr>
        <w:t xml:space="preserve">The sensory atmosphere of the Swansea Arena is </w:t>
      </w:r>
      <w:r w:rsidR="001F3EA1">
        <w:rPr>
          <w:rFonts w:ascii="Arial" w:hAnsi="Arial" w:cs="Arial"/>
        </w:rPr>
        <w:t xml:space="preserve">defined by high energy </w:t>
      </w:r>
      <w:r w:rsidR="00767CD6">
        <w:rPr>
          <w:rFonts w:ascii="Arial" w:hAnsi="Arial" w:cs="Arial"/>
        </w:rPr>
        <w:t xml:space="preserve">approach, adopting an autoethnographic lens, the researcher observed </w:t>
      </w:r>
      <w:r w:rsidR="00812E1C">
        <w:rPr>
          <w:rFonts w:ascii="Arial" w:hAnsi="Arial" w:cs="Arial"/>
        </w:rPr>
        <w:t>that the sensory journey begins with an exceptionally legible arrival</w:t>
      </w:r>
      <w:r w:rsidR="00ED203D">
        <w:rPr>
          <w:rFonts w:ascii="Arial" w:hAnsi="Arial" w:cs="Arial"/>
        </w:rPr>
        <w:t xml:space="preserve">. The primary </w:t>
      </w:r>
      <w:r w:rsidR="00AA5318">
        <w:rPr>
          <w:rFonts w:ascii="Arial" w:hAnsi="Arial" w:cs="Arial"/>
        </w:rPr>
        <w:t xml:space="preserve">entrance is highly visible from the surrounding plaza, bolstered by the bilingual “Croeso/Welcome” branding directly into the glazing adjacent to the main door. This provides immediate cognitive reassurance and a clear sense of orientation before the visitor even crosses the threshold. </w:t>
      </w:r>
      <w:r w:rsidR="00607AF8">
        <w:rPr>
          <w:rFonts w:ascii="Arial" w:hAnsi="Arial" w:cs="Arial"/>
        </w:rPr>
        <w:t>The tr</w:t>
      </w:r>
      <w:r w:rsidR="00DD6D8C">
        <w:rPr>
          <w:rFonts w:ascii="Arial" w:hAnsi="Arial" w:cs="Arial"/>
        </w:rPr>
        <w:t xml:space="preserve">ansition is mediated by a wide span glass façade that allows </w:t>
      </w:r>
      <w:r w:rsidR="004C44BE">
        <w:rPr>
          <w:rFonts w:ascii="Arial" w:hAnsi="Arial" w:cs="Arial"/>
        </w:rPr>
        <w:t>significant</w:t>
      </w:r>
      <w:r w:rsidR="00DD6D8C">
        <w:rPr>
          <w:rFonts w:ascii="Arial" w:hAnsi="Arial" w:cs="Arial"/>
        </w:rPr>
        <w:t xml:space="preserve"> natural light to permeate the </w:t>
      </w:r>
      <w:r w:rsidR="004C44BE">
        <w:rPr>
          <w:rFonts w:ascii="Arial" w:hAnsi="Arial" w:cs="Arial"/>
        </w:rPr>
        <w:t>foyer</w:t>
      </w:r>
      <w:r w:rsidR="00DD6D8C">
        <w:rPr>
          <w:rFonts w:ascii="Arial" w:hAnsi="Arial" w:cs="Arial"/>
        </w:rPr>
        <w:t xml:space="preserve"> during the day, </w:t>
      </w:r>
      <w:r w:rsidR="00F143F7">
        <w:rPr>
          <w:rFonts w:ascii="Arial" w:hAnsi="Arial" w:cs="Arial"/>
        </w:rPr>
        <w:t>while the interior corridors utilise soft white LED lighting to</w:t>
      </w:r>
      <w:r w:rsidR="004779DF">
        <w:rPr>
          <w:rFonts w:ascii="Arial" w:hAnsi="Arial" w:cs="Arial"/>
        </w:rPr>
        <w:t xml:space="preserve"> mimic the natural tone where daylight can’t reach, reducing harshness often associated with bright lighting. This lighting strategy ensures that the transition </w:t>
      </w:r>
      <w:r w:rsidR="00E1459F">
        <w:rPr>
          <w:rFonts w:ascii="Arial" w:hAnsi="Arial" w:cs="Arial"/>
        </w:rPr>
        <w:t xml:space="preserve">from the bright exterior to the atmospheric interior remains visually smooth; the juxtaposition of light is aesthetically balanced rather than </w:t>
      </w:r>
      <w:r w:rsidR="004C44BE">
        <w:rPr>
          <w:rFonts w:ascii="Arial" w:hAnsi="Arial" w:cs="Arial"/>
        </w:rPr>
        <w:t>startling</w:t>
      </w:r>
      <w:r w:rsidR="00E1459F">
        <w:rPr>
          <w:rFonts w:ascii="Arial" w:hAnsi="Arial" w:cs="Arial"/>
        </w:rPr>
        <w:t xml:space="preserve">, </w:t>
      </w:r>
      <w:r w:rsidR="004C44BE">
        <w:rPr>
          <w:rFonts w:ascii="Arial" w:hAnsi="Arial" w:cs="Arial"/>
        </w:rPr>
        <w:t>creating</w:t>
      </w:r>
      <w:r w:rsidR="00E1459F">
        <w:rPr>
          <w:rFonts w:ascii="Arial" w:hAnsi="Arial" w:cs="Arial"/>
        </w:rPr>
        <w:t xml:space="preserve"> a seamless experience for visitors </w:t>
      </w:r>
      <w:r w:rsidR="004C44BE">
        <w:rPr>
          <w:rFonts w:ascii="Arial" w:hAnsi="Arial" w:cs="Arial"/>
        </w:rPr>
        <w:t>with sensory or visual sensitivities in both nighttime and daytime conditions.</w:t>
      </w:r>
    </w:p>
    <w:p w14:paraId="30DA33D9" w14:textId="3D8821ED" w:rsidR="00016D36" w:rsidRDefault="00F92B7A" w:rsidP="00271E40">
      <w:pPr>
        <w:spacing w:line="360" w:lineRule="auto"/>
        <w:rPr>
          <w:rFonts w:ascii="Arial" w:hAnsi="Arial" w:cs="Arial"/>
        </w:rPr>
      </w:pPr>
      <w:r>
        <w:rPr>
          <w:rFonts w:ascii="Arial" w:hAnsi="Arial" w:cs="Arial"/>
        </w:rPr>
        <w:t xml:space="preserve">Internally, the Arena’s acoustic and material </w:t>
      </w:r>
      <w:r w:rsidR="00612EF6">
        <w:rPr>
          <w:rFonts w:ascii="Arial" w:hAnsi="Arial" w:cs="Arial"/>
        </w:rPr>
        <w:t>profile is defined by a sophisticated management of auditory comfort</w:t>
      </w:r>
      <w:r w:rsidR="00380E1E">
        <w:rPr>
          <w:rFonts w:ascii="Arial" w:hAnsi="Arial" w:cs="Arial"/>
        </w:rPr>
        <w:t xml:space="preserve"> that defies the building’s immense volume. While foyers often suffer from reverberation, the researcher noted a lack of echo within the Arena’s foyer</w:t>
      </w:r>
      <w:r w:rsidR="00B1208E">
        <w:rPr>
          <w:rFonts w:ascii="Arial" w:hAnsi="Arial" w:cs="Arial"/>
        </w:rPr>
        <w:t xml:space="preserve">, technically </w:t>
      </w:r>
      <w:r w:rsidR="00075576">
        <w:rPr>
          <w:rFonts w:ascii="Arial" w:hAnsi="Arial" w:cs="Arial"/>
        </w:rPr>
        <w:t>achieved</w:t>
      </w:r>
      <w:r w:rsidR="00B1208E">
        <w:rPr>
          <w:rFonts w:ascii="Arial" w:hAnsi="Arial" w:cs="Arial"/>
        </w:rPr>
        <w:t xml:space="preserve"> through the installation of a Kriskadecor ceiling, composed of thousands of suspended aluminium chains. Beyond its decorative impact, this installat</w:t>
      </w:r>
      <w:r w:rsidR="00075576">
        <w:rPr>
          <w:rFonts w:ascii="Arial" w:hAnsi="Arial" w:cs="Arial"/>
        </w:rPr>
        <w:t xml:space="preserve">ion </w:t>
      </w:r>
      <w:r w:rsidR="00100ABA">
        <w:rPr>
          <w:rFonts w:ascii="Arial" w:hAnsi="Arial" w:cs="Arial"/>
        </w:rPr>
        <w:t xml:space="preserve">serves an important acoustic function by </w:t>
      </w:r>
      <w:commentRangeStart w:id="59"/>
      <w:r w:rsidR="00100ABA">
        <w:rPr>
          <w:rFonts w:ascii="Arial" w:hAnsi="Arial" w:cs="Arial"/>
        </w:rPr>
        <w:t>diffusing soun</w:t>
      </w:r>
      <w:r w:rsidR="005E2B6C">
        <w:rPr>
          <w:rFonts w:ascii="Arial" w:hAnsi="Arial" w:cs="Arial"/>
        </w:rPr>
        <w:t>d waves</w:t>
      </w:r>
      <w:commentRangeEnd w:id="59"/>
      <w:r w:rsidR="00341339">
        <w:rPr>
          <w:rStyle w:val="CommentReference"/>
          <w:rFonts w:ascii="Arial" w:hAnsi="Arial" w:cs="Arial"/>
          <w:sz w:val="22"/>
          <w:szCs w:val="22"/>
        </w:rPr>
        <w:commentReference w:id="59"/>
      </w:r>
      <w:r w:rsidR="005E2B6C">
        <w:rPr>
          <w:rFonts w:ascii="Arial" w:hAnsi="Arial" w:cs="Arial"/>
        </w:rPr>
        <w:t xml:space="preserve">. Furthermore, the moving nature of the chains prevents the accumulation of dust, a practical, hygienic </w:t>
      </w:r>
      <w:r w:rsidR="00782005">
        <w:rPr>
          <w:rFonts w:ascii="Arial" w:hAnsi="Arial" w:cs="Arial"/>
        </w:rPr>
        <w:t xml:space="preserve">benefit that supports long term air quality and maintenance. This acoustic stillness is anchored by a high contrast material </w:t>
      </w:r>
      <w:r w:rsidR="00682570">
        <w:rPr>
          <w:rFonts w:ascii="Arial" w:hAnsi="Arial" w:cs="Arial"/>
        </w:rPr>
        <w:t>palette</w:t>
      </w:r>
      <w:r w:rsidR="00FB42E2">
        <w:rPr>
          <w:rFonts w:ascii="Arial" w:hAnsi="Arial" w:cs="Arial"/>
        </w:rPr>
        <w:t xml:space="preserve">, the use </w:t>
      </w:r>
      <w:r w:rsidR="00D631C9">
        <w:rPr>
          <w:rFonts w:ascii="Arial" w:hAnsi="Arial" w:cs="Arial"/>
        </w:rPr>
        <w:t>of brown flooring against the dark wall finishes provides a clear visual grounding, assisting in depth perception and spatial definition for all users.</w:t>
      </w:r>
    </w:p>
    <w:p w14:paraId="2752C398" w14:textId="24F3324A" w:rsidR="00D469B4" w:rsidRPr="0013496F" w:rsidRDefault="00D469B4" w:rsidP="00271E40">
      <w:pPr>
        <w:spacing w:line="360" w:lineRule="auto"/>
        <w:rPr>
          <w:rFonts w:ascii="Arial" w:hAnsi="Arial" w:cs="Arial"/>
          <w:color w:val="EE0000"/>
        </w:rPr>
      </w:pPr>
      <w:r w:rsidRPr="0013496F">
        <w:rPr>
          <w:rFonts w:ascii="Arial" w:hAnsi="Arial" w:cs="Arial"/>
          <w:color w:val="EE0000"/>
        </w:rPr>
        <w:t xml:space="preserve">+add on about sound panels in the </w:t>
      </w:r>
      <w:r w:rsidR="0013496F" w:rsidRPr="0013496F">
        <w:rPr>
          <w:rFonts w:ascii="Arial" w:hAnsi="Arial" w:cs="Arial"/>
          <w:color w:val="EE0000"/>
        </w:rPr>
        <w:t xml:space="preserve">auditorim </w:t>
      </w:r>
    </w:p>
    <w:p w14:paraId="57D9F4E7" w14:textId="6E67AB00" w:rsidR="009F2037" w:rsidRDefault="009F2037" w:rsidP="00271E40">
      <w:pPr>
        <w:spacing w:line="360" w:lineRule="auto"/>
        <w:rPr>
          <w:rFonts w:ascii="Arial" w:hAnsi="Arial" w:cs="Arial"/>
          <w:color w:val="EE0000"/>
        </w:rPr>
      </w:pPr>
      <w:r w:rsidRPr="00575685">
        <w:rPr>
          <w:rFonts w:ascii="Arial" w:hAnsi="Arial" w:cs="Arial"/>
          <w:color w:val="EE0000"/>
        </w:rPr>
        <w:t xml:space="preserve">+ a bit on </w:t>
      </w:r>
      <w:r w:rsidR="009F5918" w:rsidRPr="00575685">
        <w:rPr>
          <w:rFonts w:ascii="Arial" w:hAnsi="Arial" w:cs="Arial"/>
          <w:color w:val="EE0000"/>
        </w:rPr>
        <w:t xml:space="preserve">about </w:t>
      </w:r>
      <w:r w:rsidR="00575685" w:rsidRPr="00575685">
        <w:rPr>
          <w:rFonts w:ascii="Arial" w:hAnsi="Arial" w:cs="Arial"/>
          <w:color w:val="EE0000"/>
        </w:rPr>
        <w:t>InclusAbility group work with arena</w:t>
      </w:r>
      <w:r w:rsidR="00D469B4">
        <w:rPr>
          <w:rFonts w:ascii="Arial" w:hAnsi="Arial" w:cs="Arial"/>
          <w:color w:val="EE0000"/>
        </w:rPr>
        <w:t xml:space="preserve"> </w:t>
      </w:r>
    </w:p>
    <w:tbl>
      <w:tblPr>
        <w:tblStyle w:val="TableGrid"/>
        <w:tblW w:w="0" w:type="auto"/>
        <w:tblLook w:val="04A0" w:firstRow="1" w:lastRow="0" w:firstColumn="1" w:lastColumn="0" w:noHBand="0" w:noVBand="1"/>
      </w:tblPr>
      <w:tblGrid>
        <w:gridCol w:w="4508"/>
        <w:gridCol w:w="4508"/>
      </w:tblGrid>
      <w:tr w:rsidR="008C1EA7" w14:paraId="6FC66F41" w14:textId="77777777" w:rsidTr="00C8267E">
        <w:tc>
          <w:tcPr>
            <w:tcW w:w="4508" w:type="dxa"/>
          </w:tcPr>
          <w:p w14:paraId="03091031" w14:textId="54024C1B" w:rsidR="00C8267E" w:rsidRDefault="005A083A" w:rsidP="00271E40">
            <w:pPr>
              <w:spacing w:line="360" w:lineRule="auto"/>
              <w:rPr>
                <w:rFonts w:ascii="Arial" w:hAnsi="Arial" w:cs="Arial"/>
                <w:color w:val="EE0000"/>
              </w:rPr>
            </w:pPr>
            <w:r w:rsidRPr="005A083A">
              <w:rPr>
                <w:rFonts w:ascii="Arial" w:hAnsi="Arial" w:cs="Arial"/>
                <w:noProof/>
                <w:color w:val="EE0000"/>
              </w:rPr>
              <w:lastRenderedPageBreak/>
              <w:drawing>
                <wp:inline distT="0" distB="0" distL="0" distR="0" wp14:anchorId="772E92BA" wp14:editId="370E6AD1">
                  <wp:extent cx="2552920" cy="2552920"/>
                  <wp:effectExtent l="0" t="0" r="0" b="0"/>
                  <wp:docPr id="1828454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54340" name=""/>
                          <pic:cNvPicPr/>
                        </pic:nvPicPr>
                        <pic:blipFill>
                          <a:blip r:embed="rId33"/>
                          <a:stretch>
                            <a:fillRect/>
                          </a:stretch>
                        </pic:blipFill>
                        <pic:spPr>
                          <a:xfrm>
                            <a:off x="0" y="0"/>
                            <a:ext cx="2563625" cy="2563625"/>
                          </a:xfrm>
                          <a:prstGeom prst="rect">
                            <a:avLst/>
                          </a:prstGeom>
                        </pic:spPr>
                      </pic:pic>
                    </a:graphicData>
                  </a:graphic>
                </wp:inline>
              </w:drawing>
            </w:r>
          </w:p>
        </w:tc>
        <w:tc>
          <w:tcPr>
            <w:tcW w:w="4508" w:type="dxa"/>
          </w:tcPr>
          <w:p w14:paraId="0DBEE791" w14:textId="77777777" w:rsidR="00C8267E" w:rsidRDefault="00C8267E" w:rsidP="00271E40">
            <w:pPr>
              <w:spacing w:line="360" w:lineRule="auto"/>
              <w:rPr>
                <w:rFonts w:ascii="Arial" w:hAnsi="Arial" w:cs="Arial"/>
                <w:color w:val="EE0000"/>
              </w:rPr>
            </w:pPr>
          </w:p>
        </w:tc>
      </w:tr>
      <w:tr w:rsidR="008C1EA7" w14:paraId="5539D99C" w14:textId="77777777" w:rsidTr="00C8267E">
        <w:tc>
          <w:tcPr>
            <w:tcW w:w="4508" w:type="dxa"/>
          </w:tcPr>
          <w:p w14:paraId="2AA70FB1" w14:textId="5630A7B6" w:rsidR="00C8267E" w:rsidRDefault="00995B62" w:rsidP="00271E40">
            <w:pPr>
              <w:spacing w:line="360" w:lineRule="auto"/>
              <w:rPr>
                <w:rFonts w:ascii="Arial" w:hAnsi="Arial" w:cs="Arial"/>
                <w:color w:val="EE0000"/>
              </w:rPr>
            </w:pPr>
            <w:r w:rsidRPr="00995B62">
              <w:rPr>
                <w:rFonts w:ascii="Arial" w:hAnsi="Arial" w:cs="Arial"/>
                <w:color w:val="000000" w:themeColor="text1"/>
              </w:rPr>
              <w:t>Figure #: Acoustic ceiling detail at Swansea Arena (Author’s own, 2026).</w:t>
            </w:r>
          </w:p>
        </w:tc>
        <w:tc>
          <w:tcPr>
            <w:tcW w:w="4508" w:type="dxa"/>
          </w:tcPr>
          <w:p w14:paraId="6611D589" w14:textId="77777777" w:rsidR="00C8267E" w:rsidRDefault="00C8267E" w:rsidP="00271E40">
            <w:pPr>
              <w:spacing w:line="360" w:lineRule="auto"/>
              <w:rPr>
                <w:rFonts w:ascii="Arial" w:hAnsi="Arial" w:cs="Arial"/>
                <w:color w:val="EE0000"/>
              </w:rPr>
            </w:pPr>
          </w:p>
        </w:tc>
      </w:tr>
    </w:tbl>
    <w:p w14:paraId="30F253B0" w14:textId="77777777" w:rsidR="00315B07" w:rsidRPr="00575685" w:rsidRDefault="00315B07" w:rsidP="00271E40">
      <w:pPr>
        <w:spacing w:line="360" w:lineRule="auto"/>
        <w:rPr>
          <w:rFonts w:ascii="Arial" w:hAnsi="Arial" w:cs="Arial"/>
          <w:color w:val="EE0000"/>
        </w:rPr>
      </w:pPr>
    </w:p>
    <w:p w14:paraId="098D37AE" w14:textId="77777777" w:rsidR="00510068" w:rsidRDefault="00510068" w:rsidP="00B71A56">
      <w:pPr>
        <w:pStyle w:val="Heading3"/>
        <w:spacing w:line="360" w:lineRule="auto"/>
        <w:rPr>
          <w:rFonts w:ascii="Arial" w:hAnsi="Arial" w:cs="Arial"/>
          <w:color w:val="auto"/>
        </w:rPr>
      </w:pPr>
    </w:p>
    <w:p w14:paraId="3B6B38FF" w14:textId="5DAB23E7" w:rsidR="00B71A56" w:rsidRPr="004C0BF5" w:rsidRDefault="00B71A56" w:rsidP="00B71A56">
      <w:pPr>
        <w:pStyle w:val="Heading3"/>
        <w:spacing w:line="360" w:lineRule="auto"/>
        <w:rPr>
          <w:rFonts w:ascii="Arial" w:hAnsi="Arial" w:cs="Arial"/>
          <w:color w:val="auto"/>
          <w:sz w:val="28"/>
          <w:szCs w:val="28"/>
        </w:rPr>
      </w:pPr>
      <w:bookmarkStart w:id="60" w:name="_Toc228359262"/>
      <w:r w:rsidRPr="004C0BF5">
        <w:rPr>
          <w:rFonts w:ascii="Arial" w:hAnsi="Arial" w:cs="Arial"/>
          <w:color w:val="auto"/>
          <w:sz w:val="28"/>
          <w:szCs w:val="28"/>
        </w:rPr>
        <w:t>4.2.5: Evaluation</w:t>
      </w:r>
      <w:bookmarkEnd w:id="60"/>
    </w:p>
    <w:p w14:paraId="160F2C5F" w14:textId="1BD367DE" w:rsidR="00305137" w:rsidRDefault="00305137" w:rsidP="00271E40">
      <w:pPr>
        <w:spacing w:line="360" w:lineRule="auto"/>
        <w:rPr>
          <w:rFonts w:ascii="Arial" w:hAnsi="Arial" w:cs="Arial"/>
        </w:rPr>
      </w:pPr>
      <w:r>
        <w:rPr>
          <w:rFonts w:ascii="Arial" w:hAnsi="Arial" w:cs="Arial"/>
        </w:rPr>
        <w:t xml:space="preserve">As a </w:t>
      </w:r>
      <w:r w:rsidR="007D1C52">
        <w:rPr>
          <w:rFonts w:ascii="Arial" w:hAnsi="Arial" w:cs="Arial"/>
        </w:rPr>
        <w:t>purpose-built</w:t>
      </w:r>
      <w:r>
        <w:rPr>
          <w:rFonts w:ascii="Arial" w:hAnsi="Arial" w:cs="Arial"/>
        </w:rPr>
        <w:t xml:space="preserve"> </w:t>
      </w:r>
      <w:r w:rsidR="007B46EC">
        <w:rPr>
          <w:rFonts w:ascii="Arial" w:hAnsi="Arial" w:cs="Arial"/>
        </w:rPr>
        <w:t xml:space="preserve">space, the arena succeeds in integrating high level accessibility into its foundational architectural DNA, moving beyond just Building </w:t>
      </w:r>
      <w:commentRangeStart w:id="61"/>
      <w:r w:rsidR="007B46EC">
        <w:rPr>
          <w:rFonts w:ascii="Arial" w:hAnsi="Arial" w:cs="Arial"/>
        </w:rPr>
        <w:t>Regulations</w:t>
      </w:r>
      <w:commentRangeEnd w:id="61"/>
      <w:r w:rsidR="00341339">
        <w:rPr>
          <w:rStyle w:val="CommentReference"/>
          <w:rFonts w:ascii="Arial" w:hAnsi="Arial" w:cs="Arial"/>
          <w:sz w:val="22"/>
          <w:szCs w:val="22"/>
        </w:rPr>
        <w:commentReference w:id="61"/>
      </w:r>
      <w:r w:rsidR="007B46EC">
        <w:rPr>
          <w:rFonts w:ascii="Arial" w:hAnsi="Arial" w:cs="Arial"/>
        </w:rPr>
        <w:t xml:space="preserve">. The success of the site </w:t>
      </w:r>
      <w:r w:rsidR="004D70FC">
        <w:rPr>
          <w:rFonts w:ascii="Arial" w:hAnsi="Arial" w:cs="Arial"/>
        </w:rPr>
        <w:t xml:space="preserve">is evidenced </w:t>
      </w:r>
      <w:r w:rsidR="00E12B86">
        <w:rPr>
          <w:rFonts w:ascii="Arial" w:hAnsi="Arial" w:cs="Arial"/>
        </w:rPr>
        <w:t xml:space="preserve">by its singular threshold, which facilitates a seamless transition from the ACME designed park into </w:t>
      </w:r>
      <w:r w:rsidR="005E3DCB">
        <w:rPr>
          <w:rFonts w:ascii="Arial" w:hAnsi="Arial" w:cs="Arial"/>
        </w:rPr>
        <w:t xml:space="preserve">the AFL delivered venue. By providing features such as a Changing Places facility and integrating high capacity, centrally located vertical circulation – both inside and outside – the arena </w:t>
      </w:r>
      <w:r w:rsidR="00F926D8">
        <w:rPr>
          <w:rFonts w:ascii="Arial" w:hAnsi="Arial" w:cs="Arial"/>
        </w:rPr>
        <w:t xml:space="preserve">moves beyond the tick box requirements of Approved Document M and reaches </w:t>
      </w:r>
      <w:r w:rsidR="00197C0E">
        <w:rPr>
          <w:rFonts w:ascii="Arial" w:hAnsi="Arial" w:cs="Arial"/>
        </w:rPr>
        <w:t>for a gold standard of UD. This commitment ensures that the venue can accommodate a truly diverse public, fulfilling the principles of Equitable Use (Mace, 1985) by ensuring that</w:t>
      </w:r>
      <w:r w:rsidR="002E304F">
        <w:rPr>
          <w:rFonts w:ascii="Arial" w:hAnsi="Arial" w:cs="Arial"/>
        </w:rPr>
        <w:t xml:space="preserve"> its accessible to all people without physical, social or sensory segregation.</w:t>
      </w:r>
    </w:p>
    <w:p w14:paraId="1610EC78" w14:textId="3F12C154" w:rsidR="007A5B4D" w:rsidRPr="00305137" w:rsidRDefault="007A5B4D" w:rsidP="00271E40">
      <w:pPr>
        <w:spacing w:line="360" w:lineRule="auto"/>
        <w:rPr>
          <w:rFonts w:ascii="Arial" w:hAnsi="Arial" w:cs="Arial"/>
        </w:rPr>
      </w:pPr>
      <w:r>
        <w:rPr>
          <w:rFonts w:ascii="Arial" w:hAnsi="Arial" w:cs="Arial"/>
        </w:rPr>
        <w:t xml:space="preserve">In conclusion, </w:t>
      </w:r>
      <w:r w:rsidR="00EB3350">
        <w:rPr>
          <w:rFonts w:ascii="Arial" w:hAnsi="Arial" w:cs="Arial"/>
        </w:rPr>
        <w:t xml:space="preserve">the Swansea Arena serves as a </w:t>
      </w:r>
      <w:commentRangeStart w:id="62"/>
      <w:r w:rsidR="00DA7B02">
        <w:rPr>
          <w:rFonts w:ascii="Arial" w:hAnsi="Arial" w:cs="Arial"/>
        </w:rPr>
        <w:t xml:space="preserve">stellar </w:t>
      </w:r>
      <w:commentRangeEnd w:id="62"/>
      <w:r w:rsidR="00341339">
        <w:rPr>
          <w:rStyle w:val="CommentReference"/>
          <w:rFonts w:ascii="Arial" w:hAnsi="Arial" w:cs="Arial"/>
          <w:sz w:val="22"/>
          <w:szCs w:val="22"/>
        </w:rPr>
        <w:commentReference w:id="62"/>
      </w:r>
      <w:r w:rsidR="00DA7B02">
        <w:rPr>
          <w:rFonts w:ascii="Arial" w:hAnsi="Arial" w:cs="Arial"/>
        </w:rPr>
        <w:t xml:space="preserve">model for </w:t>
      </w:r>
      <w:r w:rsidR="001A1E1D">
        <w:rPr>
          <w:rFonts w:ascii="Arial" w:hAnsi="Arial" w:cs="Arial"/>
        </w:rPr>
        <w:t>meaningful desig</w:t>
      </w:r>
      <w:r w:rsidR="0091799D">
        <w:rPr>
          <w:rFonts w:ascii="Arial" w:hAnsi="Arial" w:cs="Arial"/>
        </w:rPr>
        <w:t xml:space="preserve">n, demonstrating that grand architectural ambition and inclusive detail are not mutually exclusive. Its performance as a gold standard </w:t>
      </w:r>
      <w:r w:rsidR="00F71984">
        <w:rPr>
          <w:rFonts w:ascii="Arial" w:hAnsi="Arial" w:cs="Arial"/>
        </w:rPr>
        <w:t>ven</w:t>
      </w:r>
      <w:r w:rsidR="00DA05D3">
        <w:rPr>
          <w:rFonts w:ascii="Arial" w:hAnsi="Arial" w:cs="Arial"/>
        </w:rPr>
        <w:t xml:space="preserve">ue is rooted in its ability </w:t>
      </w:r>
      <w:r w:rsidR="00652BC6">
        <w:rPr>
          <w:rFonts w:ascii="Arial" w:hAnsi="Arial" w:cs="Arial"/>
        </w:rPr>
        <w:t xml:space="preserve">to provide a predicable and safe environment for all visitors, regardless of time of day or </w:t>
      </w:r>
      <w:commentRangeStart w:id="63"/>
      <w:r w:rsidR="00652BC6">
        <w:rPr>
          <w:rFonts w:ascii="Arial" w:hAnsi="Arial" w:cs="Arial"/>
        </w:rPr>
        <w:t>crowd density</w:t>
      </w:r>
      <w:commentRangeEnd w:id="63"/>
      <w:r w:rsidR="00341339">
        <w:rPr>
          <w:rStyle w:val="CommentReference"/>
          <w:rFonts w:ascii="Arial" w:hAnsi="Arial" w:cs="Arial"/>
          <w:sz w:val="22"/>
          <w:szCs w:val="22"/>
        </w:rPr>
        <w:commentReference w:id="63"/>
      </w:r>
      <w:r w:rsidR="00652BC6">
        <w:rPr>
          <w:rFonts w:ascii="Arial" w:hAnsi="Arial" w:cs="Arial"/>
        </w:rPr>
        <w:t xml:space="preserve">. </w:t>
      </w:r>
    </w:p>
    <w:p w14:paraId="1475DC2A" w14:textId="77777777" w:rsidR="000736A1" w:rsidRPr="00091C22" w:rsidRDefault="000736A1" w:rsidP="00091C22">
      <w:pPr>
        <w:spacing w:line="360" w:lineRule="auto"/>
        <w:rPr>
          <w:rFonts w:ascii="Arial" w:hAnsi="Arial" w:cs="Arial"/>
        </w:rPr>
      </w:pPr>
    </w:p>
    <w:p w14:paraId="0CCA9611" w14:textId="77777777" w:rsidR="00091C22" w:rsidRPr="00091C22" w:rsidRDefault="00091C22" w:rsidP="00091C22"/>
    <w:p w14:paraId="63F89E3D" w14:textId="77777777" w:rsidR="00606B59" w:rsidRDefault="00606B59">
      <w:pPr>
        <w:rPr>
          <w:rFonts w:ascii="Arial" w:hAnsi="Arial" w:cs="Arial"/>
        </w:rPr>
      </w:pPr>
      <w:r>
        <w:rPr>
          <w:rFonts w:ascii="Arial" w:hAnsi="Arial" w:cs="Arial"/>
        </w:rPr>
        <w:br w:type="page"/>
      </w:r>
    </w:p>
    <w:p w14:paraId="1CC3A8EA" w14:textId="5A46EAE7" w:rsidR="00C87FB3" w:rsidRDefault="00C87FB3" w:rsidP="00C87FB3">
      <w:pPr>
        <w:pStyle w:val="Heading1"/>
        <w:rPr>
          <w:rFonts w:ascii="Arial" w:hAnsi="Arial" w:cs="Arial"/>
          <w:b/>
          <w:bCs/>
        </w:rPr>
      </w:pPr>
      <w:bookmarkStart w:id="64" w:name="_Toc228359263"/>
      <w:r w:rsidRPr="0029053D">
        <w:rPr>
          <w:rFonts w:ascii="Arial" w:hAnsi="Arial" w:cs="Arial"/>
          <w:b/>
          <w:bCs/>
        </w:rPr>
        <w:lastRenderedPageBreak/>
        <w:t xml:space="preserve">Chapter </w:t>
      </w:r>
      <w:r w:rsidR="00A3750A">
        <w:rPr>
          <w:rFonts w:ascii="Arial" w:hAnsi="Arial" w:cs="Arial"/>
          <w:b/>
          <w:bCs/>
        </w:rPr>
        <w:t>5</w:t>
      </w:r>
      <w:r w:rsidRPr="0029053D">
        <w:rPr>
          <w:rFonts w:ascii="Arial" w:hAnsi="Arial" w:cs="Arial"/>
          <w:b/>
          <w:bCs/>
        </w:rPr>
        <w:t xml:space="preserve">: </w:t>
      </w:r>
      <w:r w:rsidR="002E44C1">
        <w:rPr>
          <w:rFonts w:ascii="Arial" w:hAnsi="Arial" w:cs="Arial"/>
          <w:b/>
          <w:bCs/>
        </w:rPr>
        <w:t>Findings and Discussion</w:t>
      </w:r>
      <w:bookmarkEnd w:id="64"/>
    </w:p>
    <w:p w14:paraId="1933D2EE" w14:textId="77777777" w:rsidR="00C87FB3" w:rsidRDefault="00C87FB3" w:rsidP="00C87FB3">
      <w:pPr>
        <w:spacing w:line="360" w:lineRule="auto"/>
        <w:jc w:val="both"/>
        <w:rPr>
          <w:rFonts w:ascii="Arial" w:hAnsi="Arial" w:cs="Arial"/>
        </w:rPr>
      </w:pPr>
    </w:p>
    <w:p w14:paraId="4965B04E" w14:textId="77777777" w:rsidR="004937D6" w:rsidRDefault="004937D6" w:rsidP="00C87FB3">
      <w:pPr>
        <w:spacing w:line="360" w:lineRule="auto"/>
        <w:jc w:val="both"/>
        <w:rPr>
          <w:rFonts w:ascii="Arial" w:hAnsi="Arial" w:cs="Arial"/>
        </w:rPr>
      </w:pPr>
    </w:p>
    <w:p w14:paraId="742FB798" w14:textId="066B04BB" w:rsidR="00C87FB3" w:rsidRDefault="005B7FAA" w:rsidP="00C87FB3">
      <w:pPr>
        <w:pStyle w:val="Heading2"/>
        <w:spacing w:line="360" w:lineRule="auto"/>
        <w:jc w:val="both"/>
        <w:rPr>
          <w:rFonts w:ascii="Arial" w:hAnsi="Arial" w:cs="Arial"/>
          <w:sz w:val="28"/>
          <w:szCs w:val="28"/>
        </w:rPr>
      </w:pPr>
      <w:bookmarkStart w:id="65" w:name="_Toc228359264"/>
      <w:r>
        <w:rPr>
          <w:rFonts w:ascii="Arial" w:hAnsi="Arial" w:cs="Arial"/>
          <w:sz w:val="28"/>
          <w:szCs w:val="28"/>
        </w:rPr>
        <w:t>5</w:t>
      </w:r>
      <w:r w:rsidR="00C87FB3">
        <w:rPr>
          <w:rFonts w:ascii="Arial" w:hAnsi="Arial" w:cs="Arial"/>
          <w:sz w:val="28"/>
          <w:szCs w:val="28"/>
        </w:rPr>
        <w:t>.1:</w:t>
      </w:r>
      <w:r w:rsidR="000F0EAF">
        <w:rPr>
          <w:rFonts w:ascii="Arial" w:hAnsi="Arial" w:cs="Arial"/>
          <w:sz w:val="28"/>
          <w:szCs w:val="28"/>
        </w:rPr>
        <w:t xml:space="preserve"> Theme 1:</w:t>
      </w:r>
      <w:r w:rsidR="00A36E36">
        <w:rPr>
          <w:rFonts w:ascii="Arial" w:hAnsi="Arial" w:cs="Arial"/>
          <w:sz w:val="28"/>
          <w:szCs w:val="28"/>
        </w:rPr>
        <w:t xml:space="preserve"> Dignity of Arrival and Threshold Equity</w:t>
      </w:r>
      <w:bookmarkEnd w:id="65"/>
    </w:p>
    <w:p w14:paraId="0C242926" w14:textId="4E902497" w:rsidR="00A71421" w:rsidRDefault="00A71421" w:rsidP="00A71421">
      <w:pPr>
        <w:pStyle w:val="Heading2"/>
        <w:spacing w:line="360" w:lineRule="auto"/>
        <w:rPr>
          <w:rFonts w:ascii="Arial" w:hAnsi="Arial" w:cs="Arial"/>
        </w:rPr>
      </w:pPr>
      <w:bookmarkStart w:id="66" w:name="_Toc228359265"/>
      <w:r>
        <w:rPr>
          <w:rFonts w:ascii="Arial" w:hAnsi="Arial" w:cs="Arial"/>
        </w:rPr>
        <w:t>5.1.1: Entry</w:t>
      </w:r>
      <w:bookmarkEnd w:id="66"/>
    </w:p>
    <w:p w14:paraId="21FDF044" w14:textId="05C34852" w:rsidR="000D00E6" w:rsidRDefault="00CF7842" w:rsidP="00BC0C9F">
      <w:pPr>
        <w:spacing w:line="360" w:lineRule="auto"/>
        <w:rPr>
          <w:rFonts w:ascii="Arial" w:hAnsi="Arial" w:cs="Arial"/>
        </w:rPr>
      </w:pPr>
      <w:r>
        <w:rPr>
          <w:rFonts w:ascii="Arial" w:hAnsi="Arial" w:cs="Arial"/>
        </w:rPr>
        <w:t xml:space="preserve">Following Goldsmith’s (2000) principle of DOA, the Swansea Arena achieves a high degree of threshold equity through its integrated plaza design. The entry is not a specific point </w:t>
      </w:r>
      <w:r w:rsidR="00C03AA5">
        <w:rPr>
          <w:rFonts w:ascii="Arial" w:hAnsi="Arial" w:cs="Arial"/>
        </w:rPr>
        <w:t xml:space="preserve">but a gradual, level access transition that eliminates the need for separate </w:t>
      </w:r>
      <w:r w:rsidR="009308CB">
        <w:rPr>
          <w:rFonts w:ascii="Arial" w:hAnsi="Arial" w:cs="Arial"/>
        </w:rPr>
        <w:t xml:space="preserve">ramps, lifts or isolated entrances. This invisible accessibility ensures that all </w:t>
      </w:r>
      <w:r w:rsidR="00BC0C9F">
        <w:rPr>
          <w:rFonts w:ascii="Arial" w:hAnsi="Arial" w:cs="Arial"/>
        </w:rPr>
        <w:t>users enter via a singular, shared path, reinforcing the WFGA goal of a more equal Wales (Welsh Government, 2015).</w:t>
      </w:r>
    </w:p>
    <w:p w14:paraId="4967C366" w14:textId="18E5F95E" w:rsidR="008A4149" w:rsidRPr="008A4149" w:rsidRDefault="00BC0C9F" w:rsidP="00BC0C9F">
      <w:pPr>
        <w:spacing w:line="360" w:lineRule="auto"/>
        <w:rPr>
          <w:rFonts w:ascii="Arial" w:hAnsi="Arial" w:cs="Arial"/>
        </w:rPr>
      </w:pPr>
      <w:r>
        <w:rPr>
          <w:rFonts w:ascii="Arial" w:hAnsi="Arial" w:cs="Arial"/>
        </w:rPr>
        <w:t xml:space="preserve">In contrast, the Glynn Vivian </w:t>
      </w:r>
      <w:r w:rsidR="005D65A8">
        <w:rPr>
          <w:rFonts w:ascii="Arial" w:hAnsi="Arial" w:cs="Arial"/>
        </w:rPr>
        <w:t xml:space="preserve">provides a compelling example </w:t>
      </w:r>
      <w:r w:rsidR="0020026F">
        <w:rPr>
          <w:rFonts w:ascii="Arial" w:hAnsi="Arial" w:cs="Arial"/>
        </w:rPr>
        <w:t>of</w:t>
      </w:r>
      <w:r w:rsidR="005D65A8">
        <w:rPr>
          <w:rFonts w:ascii="Arial" w:hAnsi="Arial" w:cs="Arial"/>
        </w:rPr>
        <w:t xml:space="preserve"> adaptive access</w:t>
      </w:r>
      <w:r w:rsidR="001C152A">
        <w:rPr>
          <w:rFonts w:ascii="Arial" w:hAnsi="Arial" w:cs="Arial"/>
        </w:rPr>
        <w:t xml:space="preserve">. </w:t>
      </w:r>
      <w:r w:rsidR="00CD5AB7">
        <w:rPr>
          <w:rFonts w:ascii="Arial" w:hAnsi="Arial" w:cs="Arial"/>
        </w:rPr>
        <w:t xml:space="preserve">Primary audits revealed that </w:t>
      </w:r>
      <w:r w:rsidR="00FE679A">
        <w:rPr>
          <w:rFonts w:ascii="Arial" w:hAnsi="Arial" w:cs="Arial"/>
        </w:rPr>
        <w:t>while</w:t>
      </w:r>
      <w:r w:rsidR="00CD5AB7">
        <w:rPr>
          <w:rFonts w:ascii="Arial" w:hAnsi="Arial" w:cs="Arial"/>
        </w:rPr>
        <w:t xml:space="preserve"> the original 1911 grand entrance is no longer in functional use (serving only as an emergency exit), it remains the building’s dominant visual landmark. The monumental stone stairs and ornate doors still pose an aura of prestige on </w:t>
      </w:r>
      <w:r w:rsidR="006B36AD">
        <w:rPr>
          <w:rFonts w:ascii="Arial" w:hAnsi="Arial" w:cs="Arial"/>
        </w:rPr>
        <w:t xml:space="preserve">the street, yet they only function as a decorative barrier now. </w:t>
      </w:r>
      <w:r w:rsidR="00622B3C">
        <w:rPr>
          <w:rFonts w:ascii="Arial" w:hAnsi="Arial" w:cs="Arial"/>
        </w:rPr>
        <w:t>However, t</w:t>
      </w:r>
      <w:r w:rsidR="001035D9">
        <w:rPr>
          <w:rFonts w:ascii="Arial" w:hAnsi="Arial" w:cs="Arial"/>
        </w:rPr>
        <w:t xml:space="preserve">he decision to shift the primary entry point was a functional necessity to achieve universal access. </w:t>
      </w:r>
      <w:r w:rsidR="00E77836">
        <w:rPr>
          <w:rFonts w:ascii="Arial" w:hAnsi="Arial" w:cs="Arial"/>
        </w:rPr>
        <w:t>The new entrance is far from a bolt on addition</w:t>
      </w:r>
      <w:r w:rsidR="00E92F87">
        <w:rPr>
          <w:rFonts w:ascii="Arial" w:hAnsi="Arial" w:cs="Arial"/>
        </w:rPr>
        <w:t>, instead, it is a successful intervention that works in dialogue with the historic shell. By stepping the new entrance back, the architects allowed the original Edwardian Baroque façade to retain its monumental character, while still providing a modern, street level hub that is far more welcoming to the diverse Swansea public.</w:t>
      </w:r>
      <w:r w:rsidR="008A4149">
        <w:rPr>
          <w:rFonts w:ascii="Arial" w:hAnsi="Arial" w:cs="Arial"/>
        </w:rPr>
        <w:t xml:space="preserve"> Rather than feeling like a secondary route, the 2016 entrance feels like a natural evolution of the site, </w:t>
      </w:r>
      <w:r w:rsidR="00AF5F20">
        <w:rPr>
          <w:rFonts w:ascii="Arial" w:hAnsi="Arial" w:cs="Arial"/>
        </w:rPr>
        <w:t>reconciling</w:t>
      </w:r>
      <w:r w:rsidR="008A4149">
        <w:rPr>
          <w:rFonts w:ascii="Arial" w:hAnsi="Arial" w:cs="Arial"/>
        </w:rPr>
        <w:t xml:space="preserve"> the heroic but exclusionary past of the 1911 building with the inclusive requirements of the present. As Fletcher (2022) suggests, meaningful architecture in heritage context isn’t about erasing the past, but about mediating it. In this sense, the Glynn </w:t>
      </w:r>
      <w:r w:rsidR="00AF5F20">
        <w:rPr>
          <w:rFonts w:ascii="Arial" w:hAnsi="Arial" w:cs="Arial"/>
        </w:rPr>
        <w:t>Vivian</w:t>
      </w:r>
      <w:r w:rsidR="008A4149">
        <w:rPr>
          <w:rFonts w:ascii="Arial" w:hAnsi="Arial" w:cs="Arial"/>
        </w:rPr>
        <w:t xml:space="preserve"> succeeds where many heritage buildings </w:t>
      </w:r>
      <w:r w:rsidR="00BC4172">
        <w:rPr>
          <w:rFonts w:ascii="Arial" w:hAnsi="Arial" w:cs="Arial"/>
        </w:rPr>
        <w:t>fail</w:t>
      </w:r>
      <w:r w:rsidR="00A8092B">
        <w:rPr>
          <w:rFonts w:ascii="Arial" w:hAnsi="Arial" w:cs="Arial"/>
        </w:rPr>
        <w:t xml:space="preserve">, </w:t>
      </w:r>
      <w:r w:rsidR="008A4149">
        <w:rPr>
          <w:rFonts w:ascii="Arial" w:hAnsi="Arial" w:cs="Arial"/>
        </w:rPr>
        <w:t xml:space="preserve">it maintains the spirit of place (Norberg-Schulz, 1980) while ensuring that the </w:t>
      </w:r>
      <w:r w:rsidR="00AF5F20">
        <w:rPr>
          <w:rFonts w:ascii="Arial" w:hAnsi="Arial" w:cs="Arial"/>
        </w:rPr>
        <w:t xml:space="preserve">percentage of disabled residents </w:t>
      </w:r>
      <w:r w:rsidR="00852153">
        <w:rPr>
          <w:rFonts w:ascii="Arial" w:hAnsi="Arial" w:cs="Arial"/>
        </w:rPr>
        <w:t>i</w:t>
      </w:r>
      <w:r w:rsidR="00AF5F20">
        <w:rPr>
          <w:rFonts w:ascii="Arial" w:hAnsi="Arial" w:cs="Arial"/>
        </w:rPr>
        <w:t xml:space="preserve">n Swansea are not just allowed in but are </w:t>
      </w:r>
      <w:r w:rsidR="00A8092B">
        <w:rPr>
          <w:rFonts w:ascii="Arial" w:hAnsi="Arial" w:cs="Arial"/>
        </w:rPr>
        <w:t>invited</w:t>
      </w:r>
      <w:r w:rsidR="00AF5F20">
        <w:rPr>
          <w:rFonts w:ascii="Arial" w:hAnsi="Arial" w:cs="Arial"/>
        </w:rPr>
        <w:t xml:space="preserve"> through a space that feels intentional and architecturally improved.</w:t>
      </w:r>
    </w:p>
    <w:p w14:paraId="1EAE664F" w14:textId="1B04E87E" w:rsidR="006679F7" w:rsidRDefault="0023702C" w:rsidP="006679F7">
      <w:pPr>
        <w:pStyle w:val="Heading2"/>
        <w:spacing w:line="360" w:lineRule="auto"/>
        <w:rPr>
          <w:rFonts w:ascii="Arial" w:hAnsi="Arial" w:cs="Arial"/>
        </w:rPr>
      </w:pPr>
      <w:bookmarkStart w:id="67" w:name="_Toc228359266"/>
      <w:r>
        <w:rPr>
          <w:rFonts w:ascii="Arial" w:hAnsi="Arial" w:cs="Arial"/>
        </w:rPr>
        <w:t xml:space="preserve">5.1.2: </w:t>
      </w:r>
      <w:r w:rsidR="00E0270B">
        <w:rPr>
          <w:rFonts w:ascii="Arial" w:hAnsi="Arial" w:cs="Arial"/>
        </w:rPr>
        <w:t>Transition Into the Buildings</w:t>
      </w:r>
      <w:bookmarkEnd w:id="67"/>
    </w:p>
    <w:p w14:paraId="20F7E165" w14:textId="0639F019" w:rsidR="00C97303" w:rsidRDefault="00C97303" w:rsidP="00711D72">
      <w:pPr>
        <w:spacing w:line="360" w:lineRule="auto"/>
        <w:rPr>
          <w:rFonts w:ascii="Arial" w:hAnsi="Arial" w:cs="Arial"/>
        </w:rPr>
      </w:pPr>
      <w:r>
        <w:rPr>
          <w:rFonts w:ascii="Arial" w:hAnsi="Arial" w:cs="Arial"/>
        </w:rPr>
        <w:t>T</w:t>
      </w:r>
      <w:r>
        <w:rPr>
          <w:rFonts w:ascii="Arial" w:hAnsi="Arial" w:cs="Arial"/>
        </w:rPr>
        <w:t xml:space="preserve">he </w:t>
      </w:r>
      <w:r>
        <w:rPr>
          <w:rFonts w:ascii="Arial" w:hAnsi="Arial" w:cs="Arial"/>
        </w:rPr>
        <w:t xml:space="preserve">transition from </w:t>
      </w:r>
      <w:r w:rsidR="00711D72">
        <w:rPr>
          <w:rFonts w:ascii="Arial" w:hAnsi="Arial" w:cs="Arial"/>
        </w:rPr>
        <w:t>external</w:t>
      </w:r>
      <w:r>
        <w:rPr>
          <w:rFonts w:ascii="Arial" w:hAnsi="Arial" w:cs="Arial"/>
        </w:rPr>
        <w:t xml:space="preserve"> public spaces to the internal controlled environment is a critical psych</w:t>
      </w:r>
      <w:r w:rsidR="00711D72">
        <w:rPr>
          <w:rFonts w:ascii="Arial" w:hAnsi="Arial" w:cs="Arial"/>
        </w:rPr>
        <w:t>ological and physiological junction. Following Merleau-Ponty’s (2012) theory of embodiment, the body does not simply enter a space, it knows and adapts to it through a complex sensory process.</w:t>
      </w:r>
      <w:r w:rsidR="00820C1A">
        <w:rPr>
          <w:rFonts w:ascii="Arial" w:hAnsi="Arial" w:cs="Arial"/>
        </w:rPr>
        <w:t xml:space="preserve"> At the arena, this transition is characterised by a high glare, high volume threshold. </w:t>
      </w:r>
      <w:r w:rsidR="00381444">
        <w:rPr>
          <w:rFonts w:ascii="Arial" w:hAnsi="Arial" w:cs="Arial"/>
        </w:rPr>
        <w:t>…..</w:t>
      </w:r>
    </w:p>
    <w:p w14:paraId="19030D27" w14:textId="7714819E" w:rsidR="00381444" w:rsidRDefault="00381444" w:rsidP="00711D72">
      <w:pPr>
        <w:spacing w:line="360" w:lineRule="auto"/>
        <w:rPr>
          <w:rFonts w:ascii="Arial" w:hAnsi="Arial" w:cs="Arial"/>
        </w:rPr>
      </w:pPr>
      <w:r>
        <w:rPr>
          <w:rFonts w:ascii="Arial" w:hAnsi="Arial" w:cs="Arial"/>
        </w:rPr>
        <w:lastRenderedPageBreak/>
        <w:t>From a phenomenological perspective, this transition aligns with Pallasmaa’s (2005) critique of ocular centric architecture. While the arena’s foyer is visually stunning and physically frictionless, it prioritises the image of arrival over the sensory comfort of the user. For the 15-20% of the neurodivergent population in Swansea (The Neurodivergent Directory, 2026), this transition lacks the sensory refuge required to recalibrate from the external street noise</w:t>
      </w:r>
      <w:r w:rsidR="008C72EC">
        <w:rPr>
          <w:rFonts w:ascii="Arial" w:hAnsi="Arial" w:cs="Arial"/>
        </w:rPr>
        <w:t>. As Maslin (</w:t>
      </w:r>
      <w:r w:rsidR="002E29E2">
        <w:rPr>
          <w:rFonts w:ascii="Arial" w:hAnsi="Arial" w:cs="Arial"/>
        </w:rPr>
        <w:t>2022</w:t>
      </w:r>
      <w:r w:rsidR="008C72EC">
        <w:rPr>
          <w:rFonts w:ascii="Arial" w:hAnsi="Arial" w:cs="Arial"/>
        </w:rPr>
        <w:t xml:space="preserve">) posits in the </w:t>
      </w:r>
      <w:r w:rsidR="00177AE4">
        <w:rPr>
          <w:rFonts w:ascii="Arial" w:hAnsi="Arial" w:cs="Arial"/>
        </w:rPr>
        <w:t>framework</w:t>
      </w:r>
      <w:r w:rsidR="008C72EC">
        <w:rPr>
          <w:rFonts w:ascii="Arial" w:hAnsi="Arial" w:cs="Arial"/>
        </w:rPr>
        <w:t xml:space="preserve"> for mind friendly design, a successful transition should provide a gradual reduction in sensory stimuli. The arena’s transition, </w:t>
      </w:r>
      <w:r w:rsidR="00177AE4">
        <w:rPr>
          <w:rFonts w:ascii="Arial" w:hAnsi="Arial" w:cs="Arial"/>
        </w:rPr>
        <w:t>therefore</w:t>
      </w:r>
      <w:r w:rsidR="008C72EC">
        <w:rPr>
          <w:rFonts w:ascii="Arial" w:hAnsi="Arial" w:cs="Arial"/>
        </w:rPr>
        <w:t xml:space="preserve">, succeeds as </w:t>
      </w:r>
      <w:r w:rsidR="00D719AC">
        <w:rPr>
          <w:rFonts w:ascii="Arial" w:hAnsi="Arial" w:cs="Arial"/>
        </w:rPr>
        <w:t xml:space="preserve">for the </w:t>
      </w:r>
      <w:r w:rsidR="00F37BC7">
        <w:rPr>
          <w:rFonts w:ascii="Arial" w:hAnsi="Arial" w:cs="Arial"/>
        </w:rPr>
        <w:t>able-bodied</w:t>
      </w:r>
      <w:r w:rsidR="00D719AC">
        <w:rPr>
          <w:rFonts w:ascii="Arial" w:hAnsi="Arial" w:cs="Arial"/>
        </w:rPr>
        <w:t xml:space="preserve"> user, but risks being a site of sensory overload for the invisible majority, as discussed in </w:t>
      </w:r>
      <w:r w:rsidR="004F6012" w:rsidRPr="00C85623">
        <w:rPr>
          <w:rFonts w:ascii="Arial" w:hAnsi="Arial" w:cs="Arial"/>
          <w:highlight w:val="cyan"/>
        </w:rPr>
        <w:t>section 2.</w:t>
      </w:r>
      <w:r w:rsidR="00F37BC7" w:rsidRPr="00C85623">
        <w:rPr>
          <w:rFonts w:ascii="Arial" w:hAnsi="Arial" w:cs="Arial"/>
          <w:highlight w:val="cyan"/>
        </w:rPr>
        <w:t>6?</w:t>
      </w:r>
    </w:p>
    <w:p w14:paraId="4241D2DD" w14:textId="0E50B07D" w:rsidR="00F37BC7" w:rsidRDefault="004B1FDD" w:rsidP="00711D72">
      <w:pPr>
        <w:spacing w:line="360" w:lineRule="auto"/>
        <w:rPr>
          <w:rFonts w:ascii="Arial" w:hAnsi="Arial" w:cs="Arial"/>
        </w:rPr>
      </w:pPr>
      <w:r>
        <w:rPr>
          <w:rFonts w:ascii="Arial" w:hAnsi="Arial" w:cs="Arial"/>
        </w:rPr>
        <w:t>On the contrary</w:t>
      </w:r>
      <w:r w:rsidR="00F37BC7">
        <w:rPr>
          <w:rFonts w:ascii="Arial" w:hAnsi="Arial" w:cs="Arial"/>
        </w:rPr>
        <w:t>, the Glynn Vivian</w:t>
      </w:r>
      <w:r>
        <w:rPr>
          <w:rFonts w:ascii="Arial" w:hAnsi="Arial" w:cs="Arial"/>
        </w:rPr>
        <w:t xml:space="preserve">’s modern extension functions almost as a recalibration zone, rather than an abrupt shift, the transition into the space provides a tempered environment that mediates between the street and historic galleries. </w:t>
      </w:r>
      <w:r w:rsidR="00653686">
        <w:rPr>
          <w:rFonts w:ascii="Arial" w:hAnsi="Arial" w:cs="Arial"/>
        </w:rPr>
        <w:t xml:space="preserve">Primary audits noted the </w:t>
      </w:r>
      <w:r w:rsidR="00692560">
        <w:rPr>
          <w:rFonts w:ascii="Arial" w:hAnsi="Arial" w:cs="Arial"/>
        </w:rPr>
        <w:t xml:space="preserve">bright elements and diffused lighting </w:t>
      </w:r>
      <w:r w:rsidR="00381BAF">
        <w:rPr>
          <w:rFonts w:ascii="Arial" w:hAnsi="Arial" w:cs="Arial"/>
        </w:rPr>
        <w:t>within</w:t>
      </w:r>
      <w:r w:rsidR="00692560">
        <w:rPr>
          <w:rFonts w:ascii="Arial" w:hAnsi="Arial" w:cs="Arial"/>
        </w:rPr>
        <w:t xml:space="preserve"> the reception. This architectural buffering aligns with Zumthor’s (2006) concept of atmosphere, where the quality of a space is defined by its </w:t>
      </w:r>
      <w:r w:rsidR="00381BAF">
        <w:rPr>
          <w:rFonts w:ascii="Arial" w:hAnsi="Arial" w:cs="Arial"/>
        </w:rPr>
        <w:t>ability</w:t>
      </w:r>
      <w:r w:rsidR="00692560">
        <w:rPr>
          <w:rFonts w:ascii="Arial" w:hAnsi="Arial" w:cs="Arial"/>
        </w:rPr>
        <w:t xml:space="preserve"> to hold the tension between the interior and exterior.</w:t>
      </w:r>
    </w:p>
    <w:p w14:paraId="03A08CB9" w14:textId="663EF5FB" w:rsidR="00113443" w:rsidRPr="00C97303" w:rsidRDefault="00113443" w:rsidP="00711D72">
      <w:pPr>
        <w:spacing w:line="360" w:lineRule="auto"/>
      </w:pPr>
      <w:r>
        <w:rPr>
          <w:rFonts w:ascii="Arial" w:hAnsi="Arial" w:cs="Arial"/>
        </w:rPr>
        <w:t>By providing a quieter transition, the galley accommodates the sensory and psychological complexities that Imrie (2003) argues are often stripped away by standard building regulations. This thoughtful mediation of the threshold directly contributes to the WFGA</w:t>
      </w:r>
      <w:r w:rsidR="00590E85">
        <w:rPr>
          <w:rFonts w:ascii="Arial" w:hAnsi="Arial" w:cs="Arial"/>
        </w:rPr>
        <w:t xml:space="preserve"> (</w:t>
      </w:r>
      <w:r w:rsidR="00683848">
        <w:rPr>
          <w:rFonts w:ascii="Arial" w:hAnsi="Arial" w:cs="Arial"/>
        </w:rPr>
        <w:t>2015)</w:t>
      </w:r>
      <w:r>
        <w:rPr>
          <w:rFonts w:ascii="Arial" w:hAnsi="Arial" w:cs="Arial"/>
        </w:rPr>
        <w:t xml:space="preserve"> </w:t>
      </w:r>
      <w:r w:rsidR="00590E85">
        <w:rPr>
          <w:rFonts w:ascii="Arial" w:hAnsi="Arial" w:cs="Arial"/>
        </w:rPr>
        <w:t>goal of a more equal Wales</w:t>
      </w:r>
      <w:r w:rsidR="00683848">
        <w:rPr>
          <w:rFonts w:ascii="Arial" w:hAnsi="Arial" w:cs="Arial"/>
        </w:rPr>
        <w:t xml:space="preserve">, as it proactively designs for sensory diversity rather than just physical clearance. While the arena offers a high energy transition, where the user </w:t>
      </w:r>
      <w:r w:rsidR="00F102B2">
        <w:rPr>
          <w:rFonts w:ascii="Arial" w:hAnsi="Arial" w:cs="Arial"/>
        </w:rPr>
        <w:t xml:space="preserve">moves through a </w:t>
      </w:r>
      <w:r w:rsidR="00381BAF">
        <w:rPr>
          <w:rFonts w:ascii="Arial" w:hAnsi="Arial" w:cs="Arial"/>
        </w:rPr>
        <w:t>busy</w:t>
      </w:r>
      <w:r w:rsidR="00F102B2">
        <w:rPr>
          <w:rFonts w:ascii="Arial" w:hAnsi="Arial" w:cs="Arial"/>
        </w:rPr>
        <w:t xml:space="preserve"> exterior to a both physically and visually busy interior, the gallery offers a much more dignified one</w:t>
      </w:r>
      <w:r w:rsidR="0026223A">
        <w:rPr>
          <w:rFonts w:ascii="Arial" w:hAnsi="Arial" w:cs="Arial"/>
        </w:rPr>
        <w:t xml:space="preserve">. This suggests that in heritage buildings where </w:t>
      </w:r>
      <w:r w:rsidR="00B018BF">
        <w:rPr>
          <w:rFonts w:ascii="Arial" w:hAnsi="Arial" w:cs="Arial"/>
        </w:rPr>
        <w:t xml:space="preserve">the design has been reconsidered, the meaningful quality of a building is often found in its ability to slow down the user’s sensory journey, providing the ease of movement and cognitive clarity, necessary for </w:t>
      </w:r>
      <w:r w:rsidR="00381BAF">
        <w:rPr>
          <w:rFonts w:ascii="Arial" w:hAnsi="Arial" w:cs="Arial"/>
        </w:rPr>
        <w:t>all users to feel truly included.</w:t>
      </w:r>
    </w:p>
    <w:p w14:paraId="493150F8" w14:textId="453A3764" w:rsidR="0023702C" w:rsidRPr="00A71421" w:rsidRDefault="0023702C" w:rsidP="00A71421">
      <w:pPr>
        <w:pStyle w:val="Heading2"/>
        <w:spacing w:line="360" w:lineRule="auto"/>
        <w:rPr>
          <w:rFonts w:ascii="Arial" w:hAnsi="Arial" w:cs="Arial"/>
        </w:rPr>
      </w:pPr>
      <w:bookmarkStart w:id="68" w:name="_Toc228359267"/>
      <w:r>
        <w:rPr>
          <w:rFonts w:ascii="Arial" w:hAnsi="Arial" w:cs="Arial"/>
        </w:rPr>
        <w:t>5.1.</w:t>
      </w:r>
      <w:r>
        <w:rPr>
          <w:rFonts w:ascii="Arial" w:hAnsi="Arial" w:cs="Arial"/>
        </w:rPr>
        <w:t>3</w:t>
      </w:r>
      <w:r>
        <w:rPr>
          <w:rFonts w:ascii="Arial" w:hAnsi="Arial" w:cs="Arial"/>
        </w:rPr>
        <w:t xml:space="preserve">: </w:t>
      </w:r>
      <w:r w:rsidR="00E0270B">
        <w:rPr>
          <w:rFonts w:ascii="Arial" w:hAnsi="Arial" w:cs="Arial"/>
        </w:rPr>
        <w:t>Legibility of the Buildings</w:t>
      </w:r>
      <w:bookmarkEnd w:id="68"/>
    </w:p>
    <w:p w14:paraId="4E4017A8" w14:textId="445012E7" w:rsidR="00151986" w:rsidRDefault="00054118" w:rsidP="00381BAF">
      <w:pPr>
        <w:spacing w:line="360" w:lineRule="auto"/>
        <w:rPr>
          <w:rFonts w:ascii="Arial" w:hAnsi="Arial" w:cs="Arial"/>
        </w:rPr>
      </w:pPr>
      <w:r>
        <w:rPr>
          <w:rFonts w:ascii="Arial" w:hAnsi="Arial" w:cs="Arial"/>
        </w:rPr>
        <w:t xml:space="preserve">According </w:t>
      </w:r>
      <w:r w:rsidR="00005C5A">
        <w:rPr>
          <w:rFonts w:ascii="Arial" w:hAnsi="Arial" w:cs="Arial"/>
        </w:rPr>
        <w:t>to Lynch</w:t>
      </w:r>
      <w:r w:rsidR="006226D8">
        <w:rPr>
          <w:rFonts w:ascii="Arial" w:hAnsi="Arial" w:cs="Arial"/>
        </w:rPr>
        <w:t xml:space="preserve"> (19</w:t>
      </w:r>
      <w:r w:rsidR="00C93A75">
        <w:rPr>
          <w:rFonts w:ascii="Arial" w:hAnsi="Arial" w:cs="Arial"/>
        </w:rPr>
        <w:t xml:space="preserve">60), a </w:t>
      </w:r>
      <w:r w:rsidR="0008391F">
        <w:rPr>
          <w:rFonts w:ascii="Arial" w:hAnsi="Arial" w:cs="Arial"/>
        </w:rPr>
        <w:t>legible environment is imageable, it offers a recogn</w:t>
      </w:r>
      <w:r w:rsidR="00842701">
        <w:rPr>
          <w:rFonts w:ascii="Arial" w:hAnsi="Arial" w:cs="Arial"/>
        </w:rPr>
        <w:t>isable pattern of landmarks and paths.</w:t>
      </w:r>
      <w:r w:rsidR="00D37EFA">
        <w:rPr>
          <w:rFonts w:ascii="Arial" w:hAnsi="Arial" w:cs="Arial"/>
        </w:rPr>
        <w:t xml:space="preserve"> The arena achieves high legibility through its LED digital skin, functioning as a beacon in the urban landscape (ACME and Swansea Council, 2019). However, primary audits revealed a micro </w:t>
      </w:r>
      <w:r w:rsidR="008D0EC2">
        <w:rPr>
          <w:rFonts w:ascii="Arial" w:hAnsi="Arial" w:cs="Arial"/>
        </w:rPr>
        <w:t>legibility challenge non event periods, as on quiet days, the sheer number of uniform doors around the perimeter can make the primary entry point difficult to distinguish.</w:t>
      </w:r>
      <w:r w:rsidR="00B16DA2">
        <w:rPr>
          <w:rFonts w:ascii="Arial" w:hAnsi="Arial" w:cs="Arial"/>
        </w:rPr>
        <w:t xml:space="preserve"> </w:t>
      </w:r>
      <w:r w:rsidR="00DB4955">
        <w:rPr>
          <w:rFonts w:ascii="Arial" w:hAnsi="Arial" w:cs="Arial"/>
        </w:rPr>
        <w:t xml:space="preserve">Despite this, the arena utilises specific navigational cues to bridge the gap. The audit noted </w:t>
      </w:r>
      <w:r w:rsidR="00967DE5">
        <w:rPr>
          <w:rFonts w:ascii="Arial" w:hAnsi="Arial" w:cs="Arial"/>
        </w:rPr>
        <w:t xml:space="preserve">that </w:t>
      </w:r>
      <w:r w:rsidR="009D2FF7">
        <w:rPr>
          <w:rFonts w:ascii="Arial" w:hAnsi="Arial" w:cs="Arial"/>
        </w:rPr>
        <w:t>the main entran</w:t>
      </w:r>
      <w:r w:rsidR="00FC6D4E">
        <w:rPr>
          <w:rFonts w:ascii="Arial" w:hAnsi="Arial" w:cs="Arial"/>
        </w:rPr>
        <w:t>ce is clearly demonstrated with a “Croeso/Welcome” sign</w:t>
      </w:r>
      <w:r w:rsidR="00ED5D64">
        <w:rPr>
          <w:rFonts w:ascii="Arial" w:hAnsi="Arial" w:cs="Arial"/>
        </w:rPr>
        <w:t xml:space="preserve"> and, crucially, a dedicated </w:t>
      </w:r>
      <w:r w:rsidR="004D23E2">
        <w:rPr>
          <w:rFonts w:ascii="Arial" w:hAnsi="Arial" w:cs="Arial"/>
        </w:rPr>
        <w:t>automatic</w:t>
      </w:r>
      <w:r w:rsidR="00ED5D64">
        <w:rPr>
          <w:rFonts w:ascii="Arial" w:hAnsi="Arial" w:cs="Arial"/>
        </w:rPr>
        <w:t xml:space="preserve"> door operated via a push </w:t>
      </w:r>
      <w:r w:rsidR="00B16DA2">
        <w:rPr>
          <w:rFonts w:ascii="Arial" w:hAnsi="Arial" w:cs="Arial"/>
        </w:rPr>
        <w:t>button.</w:t>
      </w:r>
      <w:r w:rsidR="00060FC0">
        <w:rPr>
          <w:rFonts w:ascii="Arial" w:hAnsi="Arial" w:cs="Arial"/>
        </w:rPr>
        <w:t xml:space="preserve"> This feature is a significant meaningful inclusion as it provides functional autonomy </w:t>
      </w:r>
      <w:r w:rsidR="00060FC0">
        <w:rPr>
          <w:rFonts w:ascii="Arial" w:hAnsi="Arial" w:cs="Arial"/>
        </w:rPr>
        <w:lastRenderedPageBreak/>
        <w:t>for users with limited mobility or stamina</w:t>
      </w:r>
      <w:r w:rsidR="0031532E">
        <w:rPr>
          <w:rFonts w:ascii="Arial" w:hAnsi="Arial" w:cs="Arial"/>
        </w:rPr>
        <w:t xml:space="preserve">, allowing them to enter independently rather than relying on a heavy manual door. </w:t>
      </w:r>
    </w:p>
    <w:p w14:paraId="74FDC666" w14:textId="0D4447C0" w:rsidR="00DB4955" w:rsidRDefault="0031532E" w:rsidP="00381BAF">
      <w:pPr>
        <w:spacing w:line="360" w:lineRule="auto"/>
        <w:rPr>
          <w:rFonts w:ascii="Arial" w:hAnsi="Arial" w:cs="Arial"/>
        </w:rPr>
      </w:pPr>
      <w:r>
        <w:rPr>
          <w:rFonts w:ascii="Arial" w:hAnsi="Arial" w:cs="Arial"/>
        </w:rPr>
        <w:t>Internally, the Arena’s navigation remains consistent and effective, with clear signage for essential facilities such as lifts and WC’S, facilitating what Seamon (2000) des</w:t>
      </w:r>
      <w:r w:rsidR="004D23E2">
        <w:rPr>
          <w:rFonts w:ascii="Arial" w:hAnsi="Arial" w:cs="Arial"/>
        </w:rPr>
        <w:t xml:space="preserve">cribes as the body ballet of intuitive movement. </w:t>
      </w:r>
      <w:r w:rsidR="00E97854">
        <w:rPr>
          <w:rFonts w:ascii="Arial" w:hAnsi="Arial" w:cs="Arial"/>
        </w:rPr>
        <w:t>Throughout</w:t>
      </w:r>
      <w:r w:rsidR="00151986">
        <w:rPr>
          <w:rFonts w:ascii="Arial" w:hAnsi="Arial" w:cs="Arial"/>
        </w:rPr>
        <w:t xml:space="preserve">, there is consistent </w:t>
      </w:r>
      <w:r w:rsidR="00F113B3">
        <w:rPr>
          <w:rFonts w:ascii="Arial" w:hAnsi="Arial" w:cs="Arial"/>
        </w:rPr>
        <w:t>signage in the public spaces, making it easy to navigate towards the auditorium, lifts and acc</w:t>
      </w:r>
      <w:r w:rsidR="000C6591">
        <w:rPr>
          <w:rFonts w:ascii="Arial" w:hAnsi="Arial" w:cs="Arial"/>
        </w:rPr>
        <w:t xml:space="preserve">essible facilities. </w:t>
      </w:r>
      <w:r w:rsidR="00CF57E1">
        <w:rPr>
          <w:rFonts w:ascii="Arial" w:hAnsi="Arial" w:cs="Arial"/>
        </w:rPr>
        <w:t>Importantly</w:t>
      </w:r>
      <w:r w:rsidR="000C6591">
        <w:rPr>
          <w:rFonts w:ascii="Arial" w:hAnsi="Arial" w:cs="Arial"/>
        </w:rPr>
        <w:t xml:space="preserve">, the building exhibits what Newman (1972) describes as successful zoning. </w:t>
      </w:r>
      <w:r w:rsidR="001B4103">
        <w:rPr>
          <w:rFonts w:ascii="Arial" w:hAnsi="Arial" w:cs="Arial"/>
        </w:rPr>
        <w:t>Using</w:t>
      </w:r>
      <w:r w:rsidR="000C6591">
        <w:rPr>
          <w:rFonts w:ascii="Arial" w:hAnsi="Arial" w:cs="Arial"/>
        </w:rPr>
        <w:t xml:space="preserve"> </w:t>
      </w:r>
      <w:r w:rsidR="004A4872">
        <w:rPr>
          <w:rFonts w:ascii="Arial" w:hAnsi="Arial" w:cs="Arial"/>
        </w:rPr>
        <w:t xml:space="preserve">signage </w:t>
      </w:r>
      <w:r w:rsidR="001B030D">
        <w:rPr>
          <w:rFonts w:ascii="Arial" w:hAnsi="Arial" w:cs="Arial"/>
        </w:rPr>
        <w:t>complement</w:t>
      </w:r>
      <w:r w:rsidR="0007614F">
        <w:rPr>
          <w:rFonts w:ascii="Arial" w:hAnsi="Arial" w:cs="Arial"/>
        </w:rPr>
        <w:t xml:space="preserve">ed by the </w:t>
      </w:r>
      <w:r w:rsidR="00A269AA">
        <w:rPr>
          <w:rFonts w:ascii="Arial" w:hAnsi="Arial" w:cs="Arial"/>
        </w:rPr>
        <w:t>orientation of the floor plan, the arena creates a clear distinction between public</w:t>
      </w:r>
      <w:r w:rsidR="0034286B">
        <w:rPr>
          <w:rFonts w:ascii="Arial" w:hAnsi="Arial" w:cs="Arial"/>
        </w:rPr>
        <w:t xml:space="preserve"> facing areas and restricted back of house zones, allowing users to </w:t>
      </w:r>
      <w:r w:rsidR="00E97854">
        <w:rPr>
          <w:rFonts w:ascii="Arial" w:hAnsi="Arial" w:cs="Arial"/>
        </w:rPr>
        <w:t>pilot through the building with ease</w:t>
      </w:r>
      <w:r w:rsidR="00E52A92">
        <w:rPr>
          <w:rFonts w:ascii="Arial" w:hAnsi="Arial" w:cs="Arial"/>
        </w:rPr>
        <w:t>, eliminating the worry of accidentally entering somewhere they shouldn’t be.</w:t>
      </w:r>
    </w:p>
    <w:p w14:paraId="70ECF5E0" w14:textId="4AA43584" w:rsidR="00F62229" w:rsidRDefault="00F0282E" w:rsidP="00381BAF">
      <w:pPr>
        <w:spacing w:line="360" w:lineRule="auto"/>
        <w:rPr>
          <w:rFonts w:ascii="Arial" w:hAnsi="Arial" w:cs="Arial"/>
        </w:rPr>
      </w:pPr>
      <w:r>
        <w:rPr>
          <w:rFonts w:ascii="Arial" w:hAnsi="Arial" w:cs="Arial"/>
        </w:rPr>
        <w:t xml:space="preserve">The Glynn Vivian, by contrast, relies on a more nuanced architectural legibility. As </w:t>
      </w:r>
      <w:r w:rsidR="00631724">
        <w:rPr>
          <w:rFonts w:ascii="Arial" w:hAnsi="Arial" w:cs="Arial"/>
        </w:rPr>
        <w:t>discussed</w:t>
      </w:r>
      <w:r>
        <w:rPr>
          <w:rFonts w:ascii="Arial" w:hAnsi="Arial" w:cs="Arial"/>
        </w:rPr>
        <w:t xml:space="preserve"> in</w:t>
      </w:r>
      <w:r w:rsidR="00F572BD">
        <w:rPr>
          <w:rFonts w:ascii="Arial" w:hAnsi="Arial" w:cs="Arial"/>
        </w:rPr>
        <w:t xml:space="preserve"> 5.1.1</w:t>
      </w:r>
      <w:r w:rsidR="00D31059">
        <w:rPr>
          <w:rFonts w:ascii="Arial" w:hAnsi="Arial" w:cs="Arial"/>
        </w:rPr>
        <w:t xml:space="preserve">, the 2016 entrance is stepped back from the primary </w:t>
      </w:r>
      <w:r w:rsidR="00A757AE">
        <w:rPr>
          <w:rFonts w:ascii="Arial" w:hAnsi="Arial" w:cs="Arial"/>
        </w:rPr>
        <w:t>Edwardian</w:t>
      </w:r>
      <w:r w:rsidR="00D31059">
        <w:rPr>
          <w:rFonts w:ascii="Arial" w:hAnsi="Arial" w:cs="Arial"/>
        </w:rPr>
        <w:t xml:space="preserve"> façade. While the recessed </w:t>
      </w:r>
      <w:r w:rsidR="00830357">
        <w:rPr>
          <w:rFonts w:ascii="Arial" w:hAnsi="Arial" w:cs="Arial"/>
        </w:rPr>
        <w:t xml:space="preserve">position could potentially make the entry easy to miss, the audit found that the architects utilised a sympathetic contrast in materials and extensive signage to make the </w:t>
      </w:r>
      <w:r w:rsidR="00F572BD">
        <w:rPr>
          <w:rFonts w:ascii="Arial" w:hAnsi="Arial" w:cs="Arial"/>
        </w:rPr>
        <w:t>entry</w:t>
      </w:r>
      <w:r w:rsidR="00830357">
        <w:rPr>
          <w:rFonts w:ascii="Arial" w:hAnsi="Arial" w:cs="Arial"/>
        </w:rPr>
        <w:t xml:space="preserve"> stand out. </w:t>
      </w:r>
      <w:r w:rsidR="00CD522B">
        <w:rPr>
          <w:rFonts w:ascii="Arial" w:hAnsi="Arial" w:cs="Arial"/>
        </w:rPr>
        <w:t>The fact that the entrance is sheltered serves a dual purpose</w:t>
      </w:r>
      <w:r w:rsidR="00A757AE">
        <w:rPr>
          <w:rFonts w:ascii="Arial" w:hAnsi="Arial" w:cs="Arial"/>
        </w:rPr>
        <w:t>, it provides physical protection from the elements and a sensory buffer for the user before they engage with the interior.</w:t>
      </w:r>
    </w:p>
    <w:p w14:paraId="48A53E6A" w14:textId="52DAC5CA" w:rsidR="005526FC" w:rsidRDefault="00F62229" w:rsidP="00381BAF">
      <w:pPr>
        <w:spacing w:line="360" w:lineRule="auto"/>
        <w:rPr>
          <w:rFonts w:ascii="Arial" w:hAnsi="Arial" w:cs="Arial"/>
        </w:rPr>
      </w:pPr>
      <w:r>
        <w:rPr>
          <w:rFonts w:ascii="Arial" w:hAnsi="Arial" w:cs="Arial"/>
        </w:rPr>
        <w:t>Internally, the gallery’s legibility is supported by a system of maps and signs</w:t>
      </w:r>
      <w:r w:rsidR="00501D70">
        <w:rPr>
          <w:rFonts w:ascii="Arial" w:hAnsi="Arial" w:cs="Arial"/>
        </w:rPr>
        <w:t xml:space="preserve"> located at the main staircase and every room. While the building’s stitched together history </w:t>
      </w:r>
      <w:r w:rsidR="003610B1">
        <w:rPr>
          <w:rFonts w:ascii="Arial" w:hAnsi="Arial" w:cs="Arial"/>
        </w:rPr>
        <w:t xml:space="preserve">from 1911, 1974 and the 2016 </w:t>
      </w:r>
      <w:r w:rsidR="00745CD8">
        <w:rPr>
          <w:rFonts w:ascii="Arial" w:hAnsi="Arial" w:cs="Arial"/>
        </w:rPr>
        <w:t>extension</w:t>
      </w:r>
      <w:r w:rsidR="00A757AE">
        <w:rPr>
          <w:rFonts w:ascii="Arial" w:hAnsi="Arial" w:cs="Arial"/>
        </w:rPr>
        <w:t xml:space="preserve"> </w:t>
      </w:r>
      <w:r w:rsidR="00745CD8">
        <w:rPr>
          <w:rFonts w:ascii="Arial" w:hAnsi="Arial" w:cs="Arial"/>
        </w:rPr>
        <w:t xml:space="preserve">creates a more fragmented floorplan than the arena’s </w:t>
      </w:r>
      <w:r w:rsidR="00D65BFA">
        <w:rPr>
          <w:rFonts w:ascii="Arial" w:hAnsi="Arial" w:cs="Arial"/>
        </w:rPr>
        <w:t>purpose-built</w:t>
      </w:r>
      <w:r w:rsidR="00745CD8">
        <w:rPr>
          <w:rFonts w:ascii="Arial" w:hAnsi="Arial" w:cs="Arial"/>
        </w:rPr>
        <w:t xml:space="preserve"> core, the comprehensive signage </w:t>
      </w:r>
      <w:r w:rsidR="00D65BFA">
        <w:rPr>
          <w:rFonts w:ascii="Arial" w:hAnsi="Arial" w:cs="Arial"/>
        </w:rPr>
        <w:t>identified</w:t>
      </w:r>
      <w:r w:rsidR="00745CD8">
        <w:rPr>
          <w:rFonts w:ascii="Arial" w:hAnsi="Arial" w:cs="Arial"/>
        </w:rPr>
        <w:t xml:space="preserve"> mitigates the risk of disorientation. As Maslin (</w:t>
      </w:r>
      <w:r w:rsidR="002E29E2">
        <w:rPr>
          <w:rFonts w:ascii="Arial" w:hAnsi="Arial" w:cs="Arial"/>
        </w:rPr>
        <w:t>2022</w:t>
      </w:r>
      <w:r w:rsidR="00745CD8">
        <w:rPr>
          <w:rFonts w:ascii="Arial" w:hAnsi="Arial" w:cs="Arial"/>
        </w:rPr>
        <w:t xml:space="preserve">) suggest, a mind friendly building must provide multiple ways to understand space, both through </w:t>
      </w:r>
      <w:r w:rsidR="00D65BFA">
        <w:rPr>
          <w:rFonts w:ascii="Arial" w:hAnsi="Arial" w:cs="Arial"/>
        </w:rPr>
        <w:t>physical layout and visual cues</w:t>
      </w:r>
      <w:r w:rsidR="000719E7">
        <w:rPr>
          <w:rFonts w:ascii="Arial" w:hAnsi="Arial" w:cs="Arial"/>
        </w:rPr>
        <w:t xml:space="preserve">. This theory is exceptionally </w:t>
      </w:r>
      <w:r w:rsidR="00BE31D5">
        <w:rPr>
          <w:rFonts w:ascii="Arial" w:hAnsi="Arial" w:cs="Arial"/>
        </w:rPr>
        <w:t>valuable</w:t>
      </w:r>
      <w:r w:rsidR="000719E7">
        <w:rPr>
          <w:rFonts w:ascii="Arial" w:hAnsi="Arial" w:cs="Arial"/>
        </w:rPr>
        <w:t xml:space="preserve"> in heritage buildings, </w:t>
      </w:r>
      <w:r w:rsidR="00536AC9">
        <w:rPr>
          <w:rFonts w:ascii="Arial" w:hAnsi="Arial" w:cs="Arial"/>
        </w:rPr>
        <w:t xml:space="preserve">as it can be difficult to create a </w:t>
      </w:r>
      <w:r w:rsidR="00BE31D5">
        <w:rPr>
          <w:rFonts w:ascii="Arial" w:hAnsi="Arial" w:cs="Arial"/>
        </w:rPr>
        <w:t>logical</w:t>
      </w:r>
      <w:r w:rsidR="00536AC9">
        <w:rPr>
          <w:rFonts w:ascii="Arial" w:hAnsi="Arial" w:cs="Arial"/>
        </w:rPr>
        <w:t xml:space="preserve"> </w:t>
      </w:r>
      <w:r w:rsidR="00BE31D5">
        <w:rPr>
          <w:rFonts w:ascii="Arial" w:hAnsi="Arial" w:cs="Arial"/>
        </w:rPr>
        <w:t xml:space="preserve">flow between different era’s of the building, </w:t>
      </w:r>
      <w:r w:rsidR="00E45EFF">
        <w:rPr>
          <w:rFonts w:ascii="Arial" w:hAnsi="Arial" w:cs="Arial"/>
        </w:rPr>
        <w:t>still</w:t>
      </w:r>
      <w:r w:rsidR="00BE31D5">
        <w:rPr>
          <w:rFonts w:ascii="Arial" w:hAnsi="Arial" w:cs="Arial"/>
        </w:rPr>
        <w:t xml:space="preserve"> the</w:t>
      </w:r>
      <w:r w:rsidR="00FB5845">
        <w:rPr>
          <w:rFonts w:ascii="Arial" w:hAnsi="Arial" w:cs="Arial"/>
        </w:rPr>
        <w:t xml:space="preserve"> gallery proves that </w:t>
      </w:r>
      <w:r w:rsidR="005526FC">
        <w:rPr>
          <w:rFonts w:ascii="Arial" w:hAnsi="Arial" w:cs="Arial"/>
        </w:rPr>
        <w:t>adaptations can be done effectively.</w:t>
      </w:r>
    </w:p>
    <w:p w14:paraId="09A529D6" w14:textId="799022B0" w:rsidR="00811B28" w:rsidRDefault="00811B28" w:rsidP="00811B28">
      <w:pPr>
        <w:pStyle w:val="Heading2"/>
        <w:spacing w:line="360" w:lineRule="auto"/>
        <w:jc w:val="both"/>
        <w:rPr>
          <w:rFonts w:ascii="Arial" w:hAnsi="Arial" w:cs="Arial"/>
          <w:sz w:val="28"/>
          <w:szCs w:val="28"/>
        </w:rPr>
      </w:pPr>
      <w:bookmarkStart w:id="69" w:name="_Toc228359268"/>
      <w:r>
        <w:rPr>
          <w:rFonts w:ascii="Arial" w:hAnsi="Arial" w:cs="Arial"/>
          <w:sz w:val="28"/>
          <w:szCs w:val="28"/>
        </w:rPr>
        <w:t>5.</w:t>
      </w:r>
      <w:r>
        <w:rPr>
          <w:rFonts w:ascii="Arial" w:hAnsi="Arial" w:cs="Arial"/>
          <w:sz w:val="28"/>
          <w:szCs w:val="28"/>
        </w:rPr>
        <w:t>2</w:t>
      </w:r>
      <w:r>
        <w:rPr>
          <w:rFonts w:ascii="Arial" w:hAnsi="Arial" w:cs="Arial"/>
          <w:sz w:val="28"/>
          <w:szCs w:val="28"/>
        </w:rPr>
        <w:t xml:space="preserve">: Theme </w:t>
      </w:r>
      <w:r>
        <w:rPr>
          <w:rFonts w:ascii="Arial" w:hAnsi="Arial" w:cs="Arial"/>
          <w:sz w:val="28"/>
          <w:szCs w:val="28"/>
        </w:rPr>
        <w:t>2</w:t>
      </w:r>
      <w:r>
        <w:rPr>
          <w:rFonts w:ascii="Arial" w:hAnsi="Arial" w:cs="Arial"/>
          <w:sz w:val="28"/>
          <w:szCs w:val="28"/>
        </w:rPr>
        <w:t xml:space="preserve">: </w:t>
      </w:r>
      <w:r w:rsidR="00FC7652">
        <w:rPr>
          <w:rFonts w:ascii="Arial" w:hAnsi="Arial" w:cs="Arial"/>
          <w:sz w:val="28"/>
          <w:szCs w:val="28"/>
        </w:rPr>
        <w:t>Movement and Navigation</w:t>
      </w:r>
      <w:bookmarkEnd w:id="69"/>
    </w:p>
    <w:p w14:paraId="22E319D0" w14:textId="1C73A676" w:rsidR="00F82D34" w:rsidRDefault="00F82D34" w:rsidP="00F82D34">
      <w:pPr>
        <w:pStyle w:val="Heading2"/>
        <w:spacing w:line="360" w:lineRule="auto"/>
        <w:rPr>
          <w:rFonts w:ascii="Arial" w:hAnsi="Arial" w:cs="Arial"/>
        </w:rPr>
      </w:pPr>
      <w:bookmarkStart w:id="70" w:name="_Toc228359269"/>
      <w:r>
        <w:rPr>
          <w:rFonts w:ascii="Arial" w:hAnsi="Arial" w:cs="Arial"/>
        </w:rPr>
        <w:t>5.</w:t>
      </w:r>
      <w:r>
        <w:rPr>
          <w:rFonts w:ascii="Arial" w:hAnsi="Arial" w:cs="Arial"/>
        </w:rPr>
        <w:t>2</w:t>
      </w:r>
      <w:r>
        <w:rPr>
          <w:rFonts w:ascii="Arial" w:hAnsi="Arial" w:cs="Arial"/>
        </w:rPr>
        <w:t xml:space="preserve">.1: </w:t>
      </w:r>
      <w:r w:rsidR="00573528">
        <w:rPr>
          <w:rFonts w:ascii="Arial" w:hAnsi="Arial" w:cs="Arial"/>
        </w:rPr>
        <w:t>Vertical Movement</w:t>
      </w:r>
      <w:bookmarkEnd w:id="70"/>
    </w:p>
    <w:p w14:paraId="590BF11B" w14:textId="3BB6BFA2" w:rsidR="00710F92" w:rsidRDefault="0017706D" w:rsidP="002B727A">
      <w:pPr>
        <w:spacing w:line="360" w:lineRule="auto"/>
        <w:rPr>
          <w:rFonts w:ascii="Arial" w:hAnsi="Arial" w:cs="Arial"/>
        </w:rPr>
      </w:pPr>
      <w:r>
        <w:rPr>
          <w:rFonts w:ascii="Arial" w:hAnsi="Arial" w:cs="Arial"/>
        </w:rPr>
        <w:t>For the 22.4% of Swansea’s disabled pop</w:t>
      </w:r>
      <w:r w:rsidR="002B727A">
        <w:rPr>
          <w:rFonts w:ascii="Arial" w:hAnsi="Arial" w:cs="Arial"/>
        </w:rPr>
        <w:t xml:space="preserve">ulation, the placement and status of a lift dictate whether their movement through a space is treated with dignity or relegated to a service function. The </w:t>
      </w:r>
      <w:r w:rsidR="00366136">
        <w:rPr>
          <w:rFonts w:ascii="Arial" w:hAnsi="Arial" w:cs="Arial"/>
        </w:rPr>
        <w:t xml:space="preserve">arena presents a </w:t>
      </w:r>
      <w:r w:rsidR="009512D6">
        <w:rPr>
          <w:rFonts w:ascii="Arial" w:hAnsi="Arial" w:cs="Arial"/>
        </w:rPr>
        <w:t xml:space="preserve">slight contradiction in this regard as </w:t>
      </w:r>
      <w:r w:rsidR="00F25938">
        <w:rPr>
          <w:rFonts w:ascii="Arial" w:hAnsi="Arial" w:cs="Arial"/>
        </w:rPr>
        <w:t>externally;</w:t>
      </w:r>
      <w:r w:rsidR="009512D6">
        <w:rPr>
          <w:rFonts w:ascii="Arial" w:hAnsi="Arial" w:cs="Arial"/>
        </w:rPr>
        <w:t xml:space="preserve"> the vertical access is celebrated through a glass lift</w:t>
      </w:r>
      <w:r w:rsidR="0051304E">
        <w:rPr>
          <w:rFonts w:ascii="Arial" w:hAnsi="Arial" w:cs="Arial"/>
        </w:rPr>
        <w:t xml:space="preserve">. This lift is located on street level below the arena and takes users straight up to the front, main entrance </w:t>
      </w:r>
      <w:r w:rsidR="00D061EE">
        <w:rPr>
          <w:rFonts w:ascii="Arial" w:hAnsi="Arial" w:cs="Arial"/>
        </w:rPr>
        <w:t xml:space="preserve">12.50m AOD. By placing </w:t>
      </w:r>
      <w:r w:rsidR="003B77A9">
        <w:rPr>
          <w:rFonts w:ascii="Arial" w:hAnsi="Arial" w:cs="Arial"/>
        </w:rPr>
        <w:t xml:space="preserve">the lift alongside the large spiral staircase (FIGURE), the design avoids what Goldsmith (2000) </w:t>
      </w:r>
      <w:r w:rsidR="003B77A9">
        <w:rPr>
          <w:rFonts w:ascii="Arial" w:hAnsi="Arial" w:cs="Arial"/>
        </w:rPr>
        <w:lastRenderedPageBreak/>
        <w:t xml:space="preserve">describes as </w:t>
      </w:r>
      <w:r w:rsidR="00A472A9">
        <w:rPr>
          <w:rFonts w:ascii="Arial" w:hAnsi="Arial" w:cs="Arial"/>
        </w:rPr>
        <w:t>segregated convenience, meaning that the lift is not a hidden necessity but a prominent part of the vibrant identity of the arena as promised in the ACME and Swansea Council (2019) DAS.</w:t>
      </w:r>
    </w:p>
    <w:p w14:paraId="46B827EF" w14:textId="0191181E" w:rsidR="00A472A9" w:rsidRDefault="00C75979" w:rsidP="002B727A">
      <w:pPr>
        <w:spacing w:line="360" w:lineRule="auto"/>
        <w:rPr>
          <w:rFonts w:ascii="Arial" w:hAnsi="Arial" w:cs="Arial"/>
        </w:rPr>
      </w:pPr>
      <w:r>
        <w:rPr>
          <w:rFonts w:ascii="Arial" w:hAnsi="Arial" w:cs="Arial"/>
        </w:rPr>
        <w:t>While the exterior lift is celebrated, the internal lifts are located behind staff only doors. Although these are unlocked during events</w:t>
      </w:r>
      <w:r w:rsidR="0097047D">
        <w:rPr>
          <w:rFonts w:ascii="Arial" w:hAnsi="Arial" w:cs="Arial"/>
        </w:rPr>
        <w:t>, they are monitored by staff which creates a barrier of permission</w:t>
      </w:r>
      <w:r w:rsidR="006947CA">
        <w:rPr>
          <w:rFonts w:ascii="Arial" w:hAnsi="Arial" w:cs="Arial"/>
        </w:rPr>
        <w:t xml:space="preserve">, </w:t>
      </w:r>
      <w:r w:rsidR="0097047D">
        <w:rPr>
          <w:rFonts w:ascii="Arial" w:hAnsi="Arial" w:cs="Arial"/>
        </w:rPr>
        <w:t>contradict</w:t>
      </w:r>
      <w:r w:rsidR="006947CA">
        <w:rPr>
          <w:rFonts w:ascii="Arial" w:hAnsi="Arial" w:cs="Arial"/>
        </w:rPr>
        <w:t>ing</w:t>
      </w:r>
      <w:r w:rsidR="0097047D">
        <w:rPr>
          <w:rFonts w:ascii="Arial" w:hAnsi="Arial" w:cs="Arial"/>
        </w:rPr>
        <w:t xml:space="preserve"> the UD goal of navigational independence. As Imrie (2003) argues, when a disabled user is pointed toward a lift or must wait for a door to be monitored, their movement is reduced to a mechanical manoeuvre rather than the natural </w:t>
      </w:r>
      <w:r w:rsidR="006C4DC0">
        <w:rPr>
          <w:rFonts w:ascii="Arial" w:hAnsi="Arial" w:cs="Arial"/>
        </w:rPr>
        <w:t>ease of movement</w:t>
      </w:r>
      <w:r w:rsidR="00BD61F9">
        <w:rPr>
          <w:rFonts w:ascii="Arial" w:hAnsi="Arial" w:cs="Arial"/>
        </w:rPr>
        <w:t>. This highlights a tension in the arena’s design</w:t>
      </w:r>
      <w:r w:rsidR="0090129E">
        <w:rPr>
          <w:rFonts w:ascii="Arial" w:hAnsi="Arial" w:cs="Arial"/>
        </w:rPr>
        <w:t xml:space="preserve">, while it Is physically </w:t>
      </w:r>
      <w:r w:rsidR="00CA2345">
        <w:rPr>
          <w:rFonts w:ascii="Arial" w:hAnsi="Arial" w:cs="Arial"/>
        </w:rPr>
        <w:t>compliant, yet it period</w:t>
      </w:r>
      <w:r w:rsidR="00686B0D">
        <w:rPr>
          <w:rFonts w:ascii="Arial" w:hAnsi="Arial" w:cs="Arial"/>
        </w:rPr>
        <w:t>ic</w:t>
      </w:r>
      <w:r w:rsidR="00CA2345">
        <w:rPr>
          <w:rFonts w:ascii="Arial" w:hAnsi="Arial" w:cs="Arial"/>
        </w:rPr>
        <w:t xml:space="preserve">ally relies on assisted access, which can induce </w:t>
      </w:r>
      <w:r w:rsidR="00686B0D">
        <w:rPr>
          <w:rFonts w:ascii="Arial" w:hAnsi="Arial" w:cs="Arial"/>
        </w:rPr>
        <w:t>boundary anxiety in users with disabilities (Maslin, 2022).</w:t>
      </w:r>
    </w:p>
    <w:p w14:paraId="1304F333" w14:textId="169C6265" w:rsidR="00E64794" w:rsidRPr="00E64794" w:rsidRDefault="002129AB" w:rsidP="002B727A">
      <w:pPr>
        <w:spacing w:line="360" w:lineRule="auto"/>
        <w:rPr>
          <w:rFonts w:ascii="Arial" w:hAnsi="Arial" w:cs="Arial"/>
        </w:rPr>
      </w:pPr>
      <w:r>
        <w:rPr>
          <w:rFonts w:ascii="Arial" w:hAnsi="Arial" w:cs="Arial"/>
        </w:rPr>
        <w:t xml:space="preserve">In contrast, </w:t>
      </w:r>
      <w:r w:rsidR="00605D66">
        <w:rPr>
          <w:rFonts w:ascii="Arial" w:hAnsi="Arial" w:cs="Arial"/>
        </w:rPr>
        <w:t>the Glynn Vivian utilises the lift a</w:t>
      </w:r>
      <w:r w:rsidR="00E24490">
        <w:rPr>
          <w:rFonts w:ascii="Arial" w:hAnsi="Arial" w:cs="Arial"/>
        </w:rPr>
        <w:t>s an integrated feature to navigate its compelx, multip level heritage footprint. The audit found the primary lift is loc</w:t>
      </w:r>
      <w:r w:rsidR="002679DD">
        <w:rPr>
          <w:rFonts w:ascii="Arial" w:hAnsi="Arial" w:cs="Arial"/>
        </w:rPr>
        <w:t>ated opposite the reception desk</w:t>
      </w:r>
      <w:r w:rsidR="00C14B06">
        <w:rPr>
          <w:rFonts w:ascii="Arial" w:hAnsi="Arial" w:cs="Arial"/>
        </w:rPr>
        <w:t xml:space="preserve"> and directly adjacent to the the staircase. </w:t>
      </w:r>
      <w:r w:rsidR="00E73F63">
        <w:rPr>
          <w:rFonts w:ascii="Arial" w:hAnsi="Arial" w:cs="Arial"/>
        </w:rPr>
        <w:t xml:space="preserve">This provides visitors with a direct path from the entrance, making it easy to find and navigate the gallery. </w:t>
      </w:r>
      <w:r w:rsidR="008600A3">
        <w:rPr>
          <w:rFonts w:ascii="Arial" w:hAnsi="Arial" w:cs="Arial"/>
        </w:rPr>
        <w:t xml:space="preserve">Nonetheless, the meaningful success of the gallery’s vertical movement lies in its consistency, as the lift is of significant scale and provides reliable access to every floor of the </w:t>
      </w:r>
      <w:r w:rsidR="00702A53">
        <w:rPr>
          <w:rFonts w:ascii="Arial" w:hAnsi="Arial" w:cs="Arial"/>
        </w:rPr>
        <w:t>split-level</w:t>
      </w:r>
      <w:r w:rsidR="008600A3">
        <w:rPr>
          <w:rFonts w:ascii="Arial" w:hAnsi="Arial" w:cs="Arial"/>
        </w:rPr>
        <w:t xml:space="preserve"> site. </w:t>
      </w:r>
      <w:r w:rsidR="009F3203">
        <w:rPr>
          <w:rFonts w:ascii="Arial" w:hAnsi="Arial" w:cs="Arial"/>
        </w:rPr>
        <w:t xml:space="preserve">While the building contains various incremental level changes (small sets of stairs), the </w:t>
      </w:r>
      <w:r w:rsidR="001F1D01">
        <w:rPr>
          <w:rFonts w:ascii="Arial" w:hAnsi="Arial" w:cs="Arial"/>
        </w:rPr>
        <w:t xml:space="preserve">comprehensive signage and central location of the lift help mitigate potential disorientation. While </w:t>
      </w:r>
      <w:r w:rsidR="00C47BCF">
        <w:rPr>
          <w:rFonts w:ascii="Arial" w:hAnsi="Arial" w:cs="Arial"/>
        </w:rPr>
        <w:t xml:space="preserve">the arena prioritises its prominent exterior lift, the gallery provides a more consistent </w:t>
      </w:r>
      <w:r w:rsidR="00702A53">
        <w:rPr>
          <w:rFonts w:ascii="Arial" w:hAnsi="Arial" w:cs="Arial"/>
        </w:rPr>
        <w:t>one. This highlighs</w:t>
      </w:r>
    </w:p>
    <w:p w14:paraId="7D620F75" w14:textId="65F1CB0F" w:rsidR="00F82D34" w:rsidRDefault="00F82D34" w:rsidP="00F82D34">
      <w:pPr>
        <w:pStyle w:val="Heading2"/>
        <w:spacing w:line="360" w:lineRule="auto"/>
        <w:rPr>
          <w:rFonts w:ascii="Arial" w:hAnsi="Arial" w:cs="Arial"/>
        </w:rPr>
      </w:pPr>
      <w:bookmarkStart w:id="71" w:name="_Toc228359270"/>
      <w:r>
        <w:rPr>
          <w:rFonts w:ascii="Arial" w:hAnsi="Arial" w:cs="Arial"/>
        </w:rPr>
        <w:t>5.</w:t>
      </w:r>
      <w:r>
        <w:rPr>
          <w:rFonts w:ascii="Arial" w:hAnsi="Arial" w:cs="Arial"/>
        </w:rPr>
        <w:t>2</w:t>
      </w:r>
      <w:r>
        <w:rPr>
          <w:rFonts w:ascii="Arial" w:hAnsi="Arial" w:cs="Arial"/>
        </w:rPr>
        <w:t xml:space="preserve">.2: </w:t>
      </w:r>
      <w:r w:rsidR="00573528">
        <w:rPr>
          <w:rFonts w:ascii="Arial" w:hAnsi="Arial" w:cs="Arial"/>
        </w:rPr>
        <w:t>Horizontal Movement</w:t>
      </w:r>
      <w:bookmarkEnd w:id="71"/>
    </w:p>
    <w:p w14:paraId="3375A990" w14:textId="187ACADB" w:rsidR="002E140D" w:rsidRDefault="00B81F8B" w:rsidP="00B60FBA">
      <w:pPr>
        <w:spacing w:line="360" w:lineRule="auto"/>
        <w:rPr>
          <w:rFonts w:ascii="Arial" w:hAnsi="Arial" w:cs="Arial"/>
        </w:rPr>
      </w:pPr>
      <w:r>
        <w:rPr>
          <w:rFonts w:ascii="Arial" w:hAnsi="Arial" w:cs="Arial"/>
        </w:rPr>
        <w:t xml:space="preserve">Horizontal movement is the primary way a user experiences the tempo of a building and for movement to be inclusive, it must facilitate a body </w:t>
      </w:r>
      <w:r w:rsidR="00717D04">
        <w:rPr>
          <w:rFonts w:ascii="Arial" w:hAnsi="Arial" w:cs="Arial"/>
        </w:rPr>
        <w:t>ballet as discussed in section 2.3</w:t>
      </w:r>
      <w:r w:rsidR="00161126">
        <w:rPr>
          <w:rFonts w:ascii="Arial" w:hAnsi="Arial" w:cs="Arial"/>
        </w:rPr>
        <w:t xml:space="preserve">, a natural rhythm </w:t>
      </w:r>
      <w:r w:rsidR="00B60FBA">
        <w:rPr>
          <w:rFonts w:ascii="Arial" w:hAnsi="Arial" w:cs="Arial"/>
        </w:rPr>
        <w:t>where</w:t>
      </w:r>
      <w:r w:rsidR="00161126">
        <w:rPr>
          <w:rFonts w:ascii="Arial" w:hAnsi="Arial" w:cs="Arial"/>
        </w:rPr>
        <w:t xml:space="preserve"> the user does not have to consciously plan every step.</w:t>
      </w:r>
    </w:p>
    <w:p w14:paraId="57D67758" w14:textId="5B335EA3" w:rsidR="00B60FBA" w:rsidRDefault="00B60FBA" w:rsidP="00B60FBA">
      <w:pPr>
        <w:spacing w:line="360" w:lineRule="auto"/>
        <w:rPr>
          <w:rFonts w:ascii="Arial" w:hAnsi="Arial" w:cs="Arial"/>
        </w:rPr>
      </w:pPr>
      <w:r>
        <w:rPr>
          <w:rFonts w:ascii="Arial" w:hAnsi="Arial" w:cs="Arial"/>
        </w:rPr>
        <w:t>The Swansea Arena demonstrates what Maslin (2022) describes as navigational clarity</w:t>
      </w:r>
      <w:r w:rsidR="00A77EE6">
        <w:rPr>
          <w:rFonts w:ascii="Arial" w:hAnsi="Arial" w:cs="Arial"/>
        </w:rPr>
        <w:t xml:space="preserve">. The audit recorded that corridors are plenty wide, providing sufficient clearance for multiple </w:t>
      </w:r>
      <w:r w:rsidR="00200C81">
        <w:rPr>
          <w:rFonts w:ascii="Arial" w:hAnsi="Arial" w:cs="Arial"/>
        </w:rPr>
        <w:t>mobility aid users to pass through comfortably</w:t>
      </w:r>
      <w:r w:rsidR="00A11310">
        <w:rPr>
          <w:rFonts w:ascii="Arial" w:hAnsi="Arial" w:cs="Arial"/>
        </w:rPr>
        <w:t>. This</w:t>
      </w:r>
      <w:r w:rsidR="005518B2">
        <w:rPr>
          <w:rFonts w:ascii="Arial" w:hAnsi="Arial" w:cs="Arial"/>
        </w:rPr>
        <w:t xml:space="preserve"> </w:t>
      </w:r>
      <w:r w:rsidR="00A11310">
        <w:rPr>
          <w:rFonts w:ascii="Arial" w:hAnsi="Arial" w:cs="Arial"/>
        </w:rPr>
        <w:t xml:space="preserve">spatial generosity exceeds </w:t>
      </w:r>
      <w:r w:rsidR="00371D1E">
        <w:rPr>
          <w:rFonts w:ascii="Arial" w:hAnsi="Arial" w:cs="Arial"/>
        </w:rPr>
        <w:t xml:space="preserve">the </w:t>
      </w:r>
      <w:r w:rsidR="00A11310">
        <w:rPr>
          <w:rFonts w:ascii="Arial" w:hAnsi="Arial" w:cs="Arial"/>
        </w:rPr>
        <w:t xml:space="preserve">minimum </w:t>
      </w:r>
      <w:r w:rsidR="00371D1E">
        <w:rPr>
          <w:rFonts w:ascii="Arial" w:hAnsi="Arial" w:cs="Arial"/>
        </w:rPr>
        <w:t xml:space="preserve">requirements </w:t>
      </w:r>
      <w:r w:rsidR="00A11310">
        <w:rPr>
          <w:rFonts w:ascii="Arial" w:hAnsi="Arial" w:cs="Arial"/>
        </w:rPr>
        <w:t xml:space="preserve">set out in </w:t>
      </w:r>
      <w:r w:rsidR="0032093B">
        <w:rPr>
          <w:rFonts w:ascii="Arial" w:hAnsi="Arial" w:cs="Arial"/>
        </w:rPr>
        <w:t>Approved Document M, Section 3.10</w:t>
      </w:r>
      <w:r w:rsidR="00646A6E">
        <w:rPr>
          <w:rFonts w:ascii="Arial" w:hAnsi="Arial" w:cs="Arial"/>
        </w:rPr>
        <w:t xml:space="preserve"> (Welsh Government, 202</w:t>
      </w:r>
      <w:r w:rsidR="00BE3556">
        <w:rPr>
          <w:rFonts w:ascii="Arial" w:hAnsi="Arial" w:cs="Arial"/>
        </w:rPr>
        <w:t>4),</w:t>
      </w:r>
      <w:r w:rsidR="0032093B">
        <w:rPr>
          <w:rFonts w:ascii="Arial" w:hAnsi="Arial" w:cs="Arial"/>
        </w:rPr>
        <w:t xml:space="preserve"> which mandates a minimum corridor </w:t>
      </w:r>
      <w:r w:rsidR="00ED4F56">
        <w:rPr>
          <w:rFonts w:ascii="Arial" w:hAnsi="Arial" w:cs="Arial"/>
        </w:rPr>
        <w:t>width of 1200mm but recommends 1800mm to allow two wheelchair users to pass one another. Furthermore, the arena’s horizontal layout is strictly destination</w:t>
      </w:r>
      <w:r w:rsidR="00484115">
        <w:rPr>
          <w:rFonts w:ascii="Arial" w:hAnsi="Arial" w:cs="Arial"/>
        </w:rPr>
        <w:t xml:space="preserve"> oriented. Every public corridor leads directly to public areas, such as the aud</w:t>
      </w:r>
      <w:r w:rsidR="007636B1">
        <w:rPr>
          <w:rFonts w:ascii="Arial" w:hAnsi="Arial" w:cs="Arial"/>
        </w:rPr>
        <w:t xml:space="preserve">itorium, toilets, bar, ensuring that the cognitive load of navigation is kept to a minimum. </w:t>
      </w:r>
      <w:r w:rsidR="0074195C">
        <w:rPr>
          <w:rFonts w:ascii="Arial" w:hAnsi="Arial" w:cs="Arial"/>
        </w:rPr>
        <w:t xml:space="preserve">The </w:t>
      </w:r>
      <w:r w:rsidR="00BE3556">
        <w:rPr>
          <w:rFonts w:ascii="Arial" w:hAnsi="Arial" w:cs="Arial"/>
        </w:rPr>
        <w:t>purpose-built</w:t>
      </w:r>
      <w:r w:rsidR="0074195C">
        <w:rPr>
          <w:rFonts w:ascii="Arial" w:hAnsi="Arial" w:cs="Arial"/>
        </w:rPr>
        <w:t xml:space="preserve"> logic requires a predictable environment that supports the independence </w:t>
      </w:r>
      <w:r w:rsidR="000051F5">
        <w:rPr>
          <w:rFonts w:ascii="Arial" w:hAnsi="Arial" w:cs="Arial"/>
        </w:rPr>
        <w:t xml:space="preserve">of users, fulfilling Requirement </w:t>
      </w:r>
      <w:r w:rsidR="00371D1E">
        <w:rPr>
          <w:rFonts w:ascii="Arial" w:hAnsi="Arial" w:cs="Arial"/>
        </w:rPr>
        <w:t>M1</w:t>
      </w:r>
      <w:r w:rsidR="00FB59B1">
        <w:rPr>
          <w:rFonts w:ascii="Arial" w:hAnsi="Arial" w:cs="Arial"/>
        </w:rPr>
        <w:t xml:space="preserve"> </w:t>
      </w:r>
      <w:r w:rsidR="000051F5">
        <w:rPr>
          <w:rFonts w:ascii="Arial" w:hAnsi="Arial" w:cs="Arial"/>
        </w:rPr>
        <w:t>of the Building Regulations</w:t>
      </w:r>
      <w:r w:rsidR="00FB59B1">
        <w:rPr>
          <w:rFonts w:ascii="Arial" w:hAnsi="Arial" w:cs="Arial"/>
        </w:rPr>
        <w:t xml:space="preserve"> (Welsh Government, 2024)</w:t>
      </w:r>
      <w:r w:rsidR="000051F5">
        <w:rPr>
          <w:rFonts w:ascii="Arial" w:hAnsi="Arial" w:cs="Arial"/>
        </w:rPr>
        <w:t xml:space="preserve">, </w:t>
      </w:r>
      <w:r w:rsidR="000051F5">
        <w:rPr>
          <w:rFonts w:ascii="Arial" w:hAnsi="Arial" w:cs="Arial"/>
        </w:rPr>
        <w:lastRenderedPageBreak/>
        <w:t>which stipulates that people should be able to gain access to and use the building and its facilities independently.</w:t>
      </w:r>
    </w:p>
    <w:p w14:paraId="2AECB79A" w14:textId="726136CF" w:rsidR="000051F5" w:rsidRDefault="000051F5" w:rsidP="00B60FBA">
      <w:pPr>
        <w:spacing w:line="360" w:lineRule="auto"/>
        <w:rPr>
          <w:rFonts w:ascii="Arial" w:hAnsi="Arial" w:cs="Arial"/>
        </w:rPr>
      </w:pPr>
      <w:r>
        <w:rPr>
          <w:rFonts w:ascii="Arial" w:hAnsi="Arial" w:cs="Arial"/>
        </w:rPr>
        <w:t>The Glynn Vivian achieves a similar level of meaningful flow through a different architectural strategy. Despite its heritage constraints, the audit found that the corridors remain wide enough for multiple users to pass in most areas, and the routes follow a sequential logic. Rooms are either directly linked by doors or follow in a clear order, creating a loop that facilitates an easy flow of visitors. This arrangement aligns with Lynch’s (1960) concpe tof a legible path, where the user can intuitively understand the sequence of building without constant reliance on maps, as well as reinforcement of Seamon’s (</w:t>
      </w:r>
      <w:r w:rsidR="0005310D">
        <w:rPr>
          <w:rFonts w:ascii="Arial" w:hAnsi="Arial" w:cs="Arial"/>
        </w:rPr>
        <w:t>1979)</w:t>
      </w:r>
      <w:r w:rsidR="00DD5D94">
        <w:rPr>
          <w:rFonts w:ascii="Arial" w:hAnsi="Arial" w:cs="Arial"/>
        </w:rPr>
        <w:t xml:space="preserve"> body ballet theory, which allows people to flow through the gallery habitually. </w:t>
      </w:r>
      <w:r w:rsidR="008D5D10">
        <w:rPr>
          <w:rFonts w:ascii="Arial" w:hAnsi="Arial" w:cs="Arial"/>
        </w:rPr>
        <w:t xml:space="preserve"> While the gallery’s footprint is stitched together across three sistinct erass, the internal horizontal flow bridges these periods effectively. By maintaining unobstructed corridor widths that facilitate autonomous movement, the gallery ensures it meets the reasonable provision standards required under Section 3.10 of the Buidling Regulations (</w:t>
      </w:r>
      <w:r w:rsidR="00EF2B78">
        <w:rPr>
          <w:rFonts w:ascii="Arial" w:hAnsi="Arial" w:cs="Arial"/>
        </w:rPr>
        <w:t>Welsh Government, 2024).</w:t>
      </w:r>
    </w:p>
    <w:p w14:paraId="5DD051C5" w14:textId="2405A708" w:rsidR="00EF2B78" w:rsidRPr="002E140D" w:rsidRDefault="00EF2B78" w:rsidP="00B60FBA">
      <w:pPr>
        <w:spacing w:line="360" w:lineRule="auto"/>
      </w:pPr>
      <w:r>
        <w:rPr>
          <w:rFonts w:ascii="Arial" w:hAnsi="Arial" w:cs="Arial"/>
        </w:rPr>
        <w:t xml:space="preserve">Ultimately, both buildings prioritise spatial equity within horizontal design. By providing wide, logical routes that avoid spatial friction, both </w:t>
      </w:r>
      <w:r w:rsidR="00C520FE">
        <w:rPr>
          <w:rFonts w:ascii="Arial" w:hAnsi="Arial" w:cs="Arial"/>
        </w:rPr>
        <w:t>move beyond basic compliance. They create environments where movement is a social and dignified experience rather than a series of navigational obstacles</w:t>
      </w:r>
      <w:r w:rsidR="00EF68D2">
        <w:rPr>
          <w:rFonts w:ascii="Arial" w:hAnsi="Arial" w:cs="Arial"/>
        </w:rPr>
        <w:t xml:space="preserve">, with the gallery proving that heritage sites can be adapted to </w:t>
      </w:r>
      <w:r w:rsidR="00507C85">
        <w:rPr>
          <w:rFonts w:ascii="Arial" w:hAnsi="Arial" w:cs="Arial"/>
        </w:rPr>
        <w:t>meet UD principles.</w:t>
      </w:r>
    </w:p>
    <w:p w14:paraId="35F805F9" w14:textId="3255B0B1" w:rsidR="00F82D34" w:rsidRPr="00A71421" w:rsidRDefault="00F82D34" w:rsidP="00F82D34">
      <w:pPr>
        <w:pStyle w:val="Heading2"/>
        <w:spacing w:line="360" w:lineRule="auto"/>
        <w:rPr>
          <w:rFonts w:ascii="Arial" w:hAnsi="Arial" w:cs="Arial"/>
        </w:rPr>
      </w:pPr>
      <w:bookmarkStart w:id="72" w:name="_Toc228359271"/>
      <w:r>
        <w:rPr>
          <w:rFonts w:ascii="Arial" w:hAnsi="Arial" w:cs="Arial"/>
        </w:rPr>
        <w:t>5.</w:t>
      </w:r>
      <w:r>
        <w:rPr>
          <w:rFonts w:ascii="Arial" w:hAnsi="Arial" w:cs="Arial"/>
        </w:rPr>
        <w:t>2</w:t>
      </w:r>
      <w:r>
        <w:rPr>
          <w:rFonts w:ascii="Arial" w:hAnsi="Arial" w:cs="Arial"/>
        </w:rPr>
        <w:t xml:space="preserve">.3: </w:t>
      </w:r>
      <w:r w:rsidR="00573528">
        <w:rPr>
          <w:rFonts w:ascii="Arial" w:hAnsi="Arial" w:cs="Arial"/>
        </w:rPr>
        <w:t>Resting Points</w:t>
      </w:r>
      <w:bookmarkEnd w:id="72"/>
    </w:p>
    <w:p w14:paraId="550E5BC3" w14:textId="11866E8E" w:rsidR="00F82D34" w:rsidRDefault="00373199" w:rsidP="009C320E">
      <w:pPr>
        <w:spacing w:line="360" w:lineRule="auto"/>
        <w:rPr>
          <w:rFonts w:ascii="Arial" w:hAnsi="Arial" w:cs="Arial"/>
        </w:rPr>
      </w:pPr>
      <w:r w:rsidRPr="009C320E">
        <w:rPr>
          <w:rFonts w:ascii="Arial" w:hAnsi="Arial" w:cs="Arial"/>
        </w:rPr>
        <w:t xml:space="preserve">For individuals with mobility </w:t>
      </w:r>
      <w:r w:rsidR="009C320E" w:rsidRPr="009C320E">
        <w:rPr>
          <w:rFonts w:ascii="Arial" w:hAnsi="Arial" w:cs="Arial"/>
        </w:rPr>
        <w:t>impairments</w:t>
      </w:r>
      <w:r w:rsidRPr="009C320E">
        <w:rPr>
          <w:rFonts w:ascii="Arial" w:hAnsi="Arial" w:cs="Arial"/>
        </w:rPr>
        <w:t xml:space="preserve">, chronic </w:t>
      </w:r>
      <w:r w:rsidR="009C320E" w:rsidRPr="009C320E">
        <w:rPr>
          <w:rFonts w:ascii="Arial" w:hAnsi="Arial" w:cs="Arial"/>
        </w:rPr>
        <w:t>fatigue</w:t>
      </w:r>
      <w:r w:rsidRPr="009C320E">
        <w:rPr>
          <w:rFonts w:ascii="Arial" w:hAnsi="Arial" w:cs="Arial"/>
        </w:rPr>
        <w:t xml:space="preserve"> or neuro</w:t>
      </w:r>
      <w:r w:rsidR="009C320E" w:rsidRPr="009C320E">
        <w:rPr>
          <w:rFonts w:ascii="Arial" w:hAnsi="Arial" w:cs="Arial"/>
        </w:rPr>
        <w:t>developmental conditions, the availability of rest points is a fundamental requirement for functional autonomy. As argued by Maslin (2022), resting points act as sensory refuges, allowing users to recalibrate and manage the cognitive load of navigating complex environments.</w:t>
      </w:r>
    </w:p>
    <w:p w14:paraId="2789A8CB" w14:textId="0BB7B9DC" w:rsidR="005E1E97" w:rsidRDefault="005E1E97" w:rsidP="009C320E">
      <w:pPr>
        <w:spacing w:line="360" w:lineRule="auto"/>
        <w:rPr>
          <w:rFonts w:ascii="Arial" w:hAnsi="Arial" w:cs="Arial"/>
        </w:rPr>
      </w:pPr>
      <w:r>
        <w:rPr>
          <w:rFonts w:ascii="Arial" w:hAnsi="Arial" w:cs="Arial"/>
        </w:rPr>
        <w:t xml:space="preserve">The audit of the Glynn Vivian </w:t>
      </w:r>
      <w:r w:rsidR="004A61BD">
        <w:rPr>
          <w:rFonts w:ascii="Arial" w:hAnsi="Arial" w:cs="Arial"/>
        </w:rPr>
        <w:t>revealed</w:t>
      </w:r>
      <w:r>
        <w:rPr>
          <w:rFonts w:ascii="Arial" w:hAnsi="Arial" w:cs="Arial"/>
        </w:rPr>
        <w:t xml:space="preserve"> a consistent level of provision, with seating located in every gallery space. This integrated approach ensures that the visitors journey is not a test of </w:t>
      </w:r>
      <w:r w:rsidR="004A61BD">
        <w:rPr>
          <w:rFonts w:ascii="Arial" w:hAnsi="Arial" w:cs="Arial"/>
        </w:rPr>
        <w:t>physical</w:t>
      </w:r>
      <w:r>
        <w:rPr>
          <w:rFonts w:ascii="Arial" w:hAnsi="Arial" w:cs="Arial"/>
        </w:rPr>
        <w:t xml:space="preserve"> endurance, </w:t>
      </w:r>
      <w:r w:rsidR="004A61BD">
        <w:rPr>
          <w:rFonts w:ascii="Arial" w:hAnsi="Arial" w:cs="Arial"/>
        </w:rPr>
        <w:t>aligning</w:t>
      </w:r>
      <w:r>
        <w:rPr>
          <w:rFonts w:ascii="Arial" w:hAnsi="Arial" w:cs="Arial"/>
        </w:rPr>
        <w:t xml:space="preserve"> with the UD philosophy of accommodating diverse physical needs. </w:t>
      </w:r>
      <w:r w:rsidR="004A61BD">
        <w:rPr>
          <w:rFonts w:ascii="Arial" w:hAnsi="Arial" w:cs="Arial"/>
        </w:rPr>
        <w:t>However</w:t>
      </w:r>
      <w:r>
        <w:rPr>
          <w:rFonts w:ascii="Arial" w:hAnsi="Arial" w:cs="Arial"/>
        </w:rPr>
        <w:t xml:space="preserve">, a specific challenge was noted in the video/audio room, while </w:t>
      </w:r>
      <w:r w:rsidR="004A61BD">
        <w:rPr>
          <w:rFonts w:ascii="Arial" w:hAnsi="Arial" w:cs="Arial"/>
        </w:rPr>
        <w:t xml:space="preserve">a small </w:t>
      </w:r>
      <w:r>
        <w:rPr>
          <w:rFonts w:ascii="Arial" w:hAnsi="Arial" w:cs="Arial"/>
        </w:rPr>
        <w:t>bench is provided, its positioning means that standing visitors can easily obstruct the view of those sitting.</w:t>
      </w:r>
      <w:r w:rsidR="005F13DE">
        <w:rPr>
          <w:rFonts w:ascii="Arial" w:hAnsi="Arial" w:cs="Arial"/>
        </w:rPr>
        <w:t xml:space="preserve"> This creates a spatial conflict where the seated user, who may rely on the rest point due to mobility or fatigue issues, is excluded from the primary visual experience of the exhibit.</w:t>
      </w:r>
    </w:p>
    <w:p w14:paraId="20A83231" w14:textId="68795490" w:rsidR="005F13DE" w:rsidRPr="009C320E" w:rsidRDefault="005F13DE" w:rsidP="009C320E">
      <w:pPr>
        <w:spacing w:line="360" w:lineRule="auto"/>
        <w:rPr>
          <w:rFonts w:ascii="Arial" w:hAnsi="Arial" w:cs="Arial"/>
        </w:rPr>
      </w:pPr>
      <w:r>
        <w:rPr>
          <w:rFonts w:ascii="Arial" w:hAnsi="Arial" w:cs="Arial"/>
        </w:rPr>
        <w:t xml:space="preserve">In the arena, resting points are concentrated in the main foyer </w:t>
      </w:r>
      <w:r w:rsidR="00AD3376">
        <w:rPr>
          <w:rFonts w:ascii="Arial" w:hAnsi="Arial" w:cs="Arial"/>
        </w:rPr>
        <w:t xml:space="preserve">and bar areas, with seating provided across various levels. This provision aligns with the guidance in Approved </w:t>
      </w:r>
      <w:r w:rsidR="00AD3376">
        <w:rPr>
          <w:rFonts w:ascii="Arial" w:hAnsi="Arial" w:cs="Arial"/>
        </w:rPr>
        <w:lastRenderedPageBreak/>
        <w:t xml:space="preserve">Document M, Section 4.7, which stipulates that seating should be provided in entrance halls for people </w:t>
      </w:r>
      <w:r w:rsidR="002A65C1">
        <w:rPr>
          <w:rFonts w:ascii="Arial" w:hAnsi="Arial" w:cs="Arial"/>
        </w:rPr>
        <w:t xml:space="preserve">who may have difficulty standing for long periods. </w:t>
      </w:r>
      <w:r w:rsidR="00875E22">
        <w:rPr>
          <w:rFonts w:ascii="Arial" w:hAnsi="Arial" w:cs="Arial"/>
        </w:rPr>
        <w:t xml:space="preserve">The audit noted that while there is no seating in corridors, mainly not to block up </w:t>
      </w:r>
      <w:r w:rsidR="00D42987">
        <w:rPr>
          <w:rFonts w:ascii="Arial" w:hAnsi="Arial" w:cs="Arial"/>
        </w:rPr>
        <w:t xml:space="preserve">access, the routes from the main foyer to the auditorium are designed to be simple, allowing guests to reach their seats </w:t>
      </w:r>
      <w:r w:rsidR="007D42D6">
        <w:rPr>
          <w:rFonts w:ascii="Arial" w:hAnsi="Arial" w:cs="Arial"/>
        </w:rPr>
        <w:t>quickly and easily.</w:t>
      </w:r>
    </w:p>
    <w:p w14:paraId="5D03C7BD" w14:textId="739752B9" w:rsidR="007D42D6" w:rsidRPr="007D42D6" w:rsidRDefault="00573528" w:rsidP="007D42D6">
      <w:pPr>
        <w:pStyle w:val="Heading2"/>
        <w:spacing w:line="360" w:lineRule="auto"/>
        <w:jc w:val="both"/>
        <w:rPr>
          <w:rFonts w:ascii="Arial" w:hAnsi="Arial" w:cs="Arial"/>
          <w:sz w:val="28"/>
          <w:szCs w:val="28"/>
        </w:rPr>
      </w:pPr>
      <w:bookmarkStart w:id="73" w:name="_Toc228359272"/>
      <w:r>
        <w:rPr>
          <w:rFonts w:ascii="Arial" w:hAnsi="Arial" w:cs="Arial"/>
          <w:sz w:val="28"/>
          <w:szCs w:val="28"/>
        </w:rPr>
        <w:t>5.</w:t>
      </w:r>
      <w:r>
        <w:rPr>
          <w:rFonts w:ascii="Arial" w:hAnsi="Arial" w:cs="Arial"/>
          <w:sz w:val="28"/>
          <w:szCs w:val="28"/>
        </w:rPr>
        <w:t>3</w:t>
      </w:r>
      <w:r>
        <w:rPr>
          <w:rFonts w:ascii="Arial" w:hAnsi="Arial" w:cs="Arial"/>
          <w:sz w:val="28"/>
          <w:szCs w:val="28"/>
        </w:rPr>
        <w:t xml:space="preserve">: Theme </w:t>
      </w:r>
      <w:r>
        <w:rPr>
          <w:rFonts w:ascii="Arial" w:hAnsi="Arial" w:cs="Arial"/>
          <w:sz w:val="28"/>
          <w:szCs w:val="28"/>
        </w:rPr>
        <w:t>3</w:t>
      </w:r>
      <w:r>
        <w:rPr>
          <w:rFonts w:ascii="Arial" w:hAnsi="Arial" w:cs="Arial"/>
          <w:sz w:val="28"/>
          <w:szCs w:val="28"/>
        </w:rPr>
        <w:t xml:space="preserve">: Sensory Legibility and </w:t>
      </w:r>
      <w:bookmarkEnd w:id="73"/>
      <w:r w:rsidR="00282458">
        <w:rPr>
          <w:rFonts w:ascii="Arial" w:hAnsi="Arial" w:cs="Arial"/>
          <w:sz w:val="28"/>
          <w:szCs w:val="28"/>
        </w:rPr>
        <w:t>Cognitive Performance</w:t>
      </w:r>
    </w:p>
    <w:p w14:paraId="676B817A" w14:textId="548C3772" w:rsidR="00573528" w:rsidRDefault="00573528" w:rsidP="00573528">
      <w:pPr>
        <w:pStyle w:val="Heading2"/>
        <w:spacing w:line="360" w:lineRule="auto"/>
        <w:rPr>
          <w:rFonts w:ascii="Arial" w:hAnsi="Arial" w:cs="Arial"/>
        </w:rPr>
      </w:pPr>
      <w:bookmarkStart w:id="74" w:name="_Toc228359273"/>
      <w:r>
        <w:rPr>
          <w:rFonts w:ascii="Arial" w:hAnsi="Arial" w:cs="Arial"/>
        </w:rPr>
        <w:t>5.</w:t>
      </w:r>
      <w:r w:rsidR="0003268C">
        <w:rPr>
          <w:rFonts w:ascii="Arial" w:hAnsi="Arial" w:cs="Arial"/>
        </w:rPr>
        <w:t>3</w:t>
      </w:r>
      <w:r>
        <w:rPr>
          <w:rFonts w:ascii="Arial" w:hAnsi="Arial" w:cs="Arial"/>
        </w:rPr>
        <w:t xml:space="preserve">.1: </w:t>
      </w:r>
      <w:r w:rsidR="008E2F41">
        <w:rPr>
          <w:rFonts w:ascii="Arial" w:hAnsi="Arial" w:cs="Arial"/>
        </w:rPr>
        <w:t>Acoustic Performance</w:t>
      </w:r>
      <w:bookmarkEnd w:id="74"/>
    </w:p>
    <w:p w14:paraId="2EF51207" w14:textId="77777777" w:rsidR="000F6478" w:rsidRDefault="00D822B1" w:rsidP="00465F4B">
      <w:pPr>
        <w:spacing w:line="360" w:lineRule="auto"/>
        <w:rPr>
          <w:rFonts w:ascii="Arial" w:hAnsi="Arial" w:cs="Arial"/>
        </w:rPr>
      </w:pPr>
      <w:r>
        <w:rPr>
          <w:rFonts w:ascii="Arial" w:hAnsi="Arial" w:cs="Arial"/>
        </w:rPr>
        <w:t xml:space="preserve">The arena manages a complex acoustic profile necessitated by its function as a </w:t>
      </w:r>
      <w:r w:rsidR="00641926">
        <w:rPr>
          <w:rFonts w:ascii="Arial" w:hAnsi="Arial" w:cs="Arial"/>
        </w:rPr>
        <w:t>high-capacity</w:t>
      </w:r>
      <w:r>
        <w:rPr>
          <w:rFonts w:ascii="Arial" w:hAnsi="Arial" w:cs="Arial"/>
        </w:rPr>
        <w:t xml:space="preserve"> performance venue. </w:t>
      </w:r>
      <w:r w:rsidR="0087201C">
        <w:rPr>
          <w:rFonts w:ascii="Arial" w:hAnsi="Arial" w:cs="Arial"/>
        </w:rPr>
        <w:t xml:space="preserve">As noted by </w:t>
      </w:r>
      <w:r w:rsidR="00055D17">
        <w:rPr>
          <w:rFonts w:ascii="Arial" w:hAnsi="Arial" w:cs="Arial"/>
        </w:rPr>
        <w:t xml:space="preserve">Long (2014), the acoustic properties required to make a room ideal for music are often those that make it poor for speech intelligibility. Consequently, buildings of this type, including auditoria, are among the “most </w:t>
      </w:r>
      <w:r w:rsidR="00C4192C">
        <w:rPr>
          <w:rFonts w:ascii="Arial" w:hAnsi="Arial" w:cs="Arial"/>
        </w:rPr>
        <w:t xml:space="preserve">architecturally diverse of all spaces and the most challenging to design” (Long, 2014 p.779). </w:t>
      </w:r>
    </w:p>
    <w:p w14:paraId="149217DE" w14:textId="1BB0C524" w:rsidR="0087201C" w:rsidRDefault="00C4192C" w:rsidP="00465F4B">
      <w:pPr>
        <w:spacing w:line="360" w:lineRule="auto"/>
        <w:rPr>
          <w:rFonts w:ascii="Arial" w:hAnsi="Arial" w:cs="Arial"/>
        </w:rPr>
      </w:pPr>
      <w:r>
        <w:rPr>
          <w:rFonts w:ascii="Arial" w:hAnsi="Arial" w:cs="Arial"/>
        </w:rPr>
        <w:t>The audit found that the auditorium utilises tiered, colour coordinated soundproofing panels designed to eliminate echo and improve sound quality.</w:t>
      </w:r>
      <w:r w:rsidR="00B378EB">
        <w:rPr>
          <w:rFonts w:ascii="Arial" w:hAnsi="Arial" w:cs="Arial"/>
        </w:rPr>
        <w:t xml:space="preserve"> Technically, these function as porous absorbers; as sound waves enter the material, the air molecules vibrate within the pores, converting kinetic energy into thermal energy through viscous losses and friction. This process effectively reduces reverberation time, prev</w:t>
      </w:r>
      <w:r w:rsidR="008C3A3A">
        <w:rPr>
          <w:rFonts w:ascii="Arial" w:hAnsi="Arial" w:cs="Arial"/>
        </w:rPr>
        <w:t>enting the effect of where overlapping reflections create a chaotic wall of sound that masks clear communication. This leve</w:t>
      </w:r>
      <w:r w:rsidR="00190FE2">
        <w:rPr>
          <w:rFonts w:ascii="Arial" w:hAnsi="Arial" w:cs="Arial"/>
        </w:rPr>
        <w:t xml:space="preserve">l of control is essential for ensuring that the experience is high quality for all visitors, particularly those with hearing impairments or sensory processing sensitivities. </w:t>
      </w:r>
    </w:p>
    <w:p w14:paraId="3F7574D1" w14:textId="102C06E6" w:rsidR="00465F4B" w:rsidRDefault="00465F4B" w:rsidP="00465F4B">
      <w:pPr>
        <w:spacing w:line="360" w:lineRule="auto"/>
        <w:rPr>
          <w:rFonts w:ascii="Arial" w:hAnsi="Arial" w:cs="Arial"/>
        </w:rPr>
      </w:pPr>
      <w:r>
        <w:rPr>
          <w:rFonts w:ascii="Arial" w:hAnsi="Arial" w:cs="Arial"/>
        </w:rPr>
        <w:t>In the foyer, the audit found good sound control with barely any echo</w:t>
      </w:r>
      <w:r w:rsidR="00C90F5D">
        <w:rPr>
          <w:rFonts w:ascii="Arial" w:hAnsi="Arial" w:cs="Arial"/>
        </w:rPr>
        <w:t xml:space="preserve"> creating a comfortable space, significantly aided by</w:t>
      </w:r>
      <w:r w:rsidR="00E56FE6">
        <w:rPr>
          <w:rFonts w:ascii="Arial" w:hAnsi="Arial" w:cs="Arial"/>
        </w:rPr>
        <w:t xml:space="preserve"> the mesh ceiling</w:t>
      </w:r>
      <w:r w:rsidR="003526B8">
        <w:rPr>
          <w:rFonts w:ascii="Arial" w:hAnsi="Arial" w:cs="Arial"/>
        </w:rPr>
        <w:t xml:space="preserve">, which act as acoustic diffusers. Their open wave structure allows sound to pass through while </w:t>
      </w:r>
      <w:r w:rsidR="00FF41F8">
        <w:rPr>
          <w:rFonts w:ascii="Arial" w:hAnsi="Arial" w:cs="Arial"/>
        </w:rPr>
        <w:t>simultaneously</w:t>
      </w:r>
      <w:r w:rsidR="003526B8">
        <w:rPr>
          <w:rFonts w:ascii="Arial" w:hAnsi="Arial" w:cs="Arial"/>
        </w:rPr>
        <w:t xml:space="preserve"> scattering waves in multiple directions, breaking yp the reflections from large surfaces. </w:t>
      </w:r>
      <w:r w:rsidR="00532590">
        <w:rPr>
          <w:rFonts w:ascii="Arial" w:hAnsi="Arial" w:cs="Arial"/>
        </w:rPr>
        <w:t>Of course, as the arena hosts large shows, the auditorium can get loud</w:t>
      </w:r>
      <w:r w:rsidR="00FB2EF1">
        <w:rPr>
          <w:rFonts w:ascii="Arial" w:hAnsi="Arial" w:cs="Arial"/>
        </w:rPr>
        <w:t xml:space="preserve"> and can become uncomfortable for users who have sensory processing sensitivities. </w:t>
      </w:r>
      <w:r w:rsidR="00C37C40">
        <w:rPr>
          <w:rFonts w:ascii="Arial" w:hAnsi="Arial" w:cs="Arial"/>
        </w:rPr>
        <w:t xml:space="preserve">As stated by the technical manager, </w:t>
      </w:r>
      <w:r w:rsidR="004B408A">
        <w:rPr>
          <w:rFonts w:ascii="Arial" w:hAnsi="Arial" w:cs="Arial"/>
        </w:rPr>
        <w:t xml:space="preserve">to mitigate the sensory overload the </w:t>
      </w:r>
      <w:r w:rsidR="00D60467">
        <w:rPr>
          <w:rFonts w:ascii="Arial" w:hAnsi="Arial" w:cs="Arial"/>
        </w:rPr>
        <w:t>arena partners with the InclusAbiltiy charity to provide quiet rooms equipped with TV screens and connected to the main audi</w:t>
      </w:r>
      <w:r w:rsidR="00183CCF">
        <w:rPr>
          <w:rFonts w:ascii="Arial" w:hAnsi="Arial" w:cs="Arial"/>
        </w:rPr>
        <w:t xml:space="preserve">o. These private spaces allow </w:t>
      </w:r>
      <w:r w:rsidR="00FF41F8">
        <w:rPr>
          <w:rFonts w:ascii="Arial" w:hAnsi="Arial" w:cs="Arial"/>
        </w:rPr>
        <w:t>overwhelmed</w:t>
      </w:r>
      <w:r w:rsidR="00183CCF">
        <w:rPr>
          <w:rFonts w:ascii="Arial" w:hAnsi="Arial" w:cs="Arial"/>
        </w:rPr>
        <w:t xml:space="preserve"> users to watch the performance in a controlled, low stimulus environment, directly fulfilling the PAS 6463:2022 standards for providing recalibration zones in neuro inclusive design.</w:t>
      </w:r>
    </w:p>
    <w:p w14:paraId="7FA0CB43" w14:textId="5CA664E5" w:rsidR="00183CCF" w:rsidRDefault="00CC05BB" w:rsidP="00465F4B">
      <w:pPr>
        <w:spacing w:line="360" w:lineRule="auto"/>
        <w:rPr>
          <w:rFonts w:ascii="Arial" w:hAnsi="Arial" w:cs="Arial"/>
        </w:rPr>
      </w:pPr>
      <w:r>
        <w:rPr>
          <w:rFonts w:ascii="Arial" w:hAnsi="Arial" w:cs="Arial"/>
        </w:rPr>
        <w:t>On the contrary, the gallery offers a more traditional acoustic stillness. While the audit recorded slight echo in the main gallery spaces due to low soundproofing supplem</w:t>
      </w:r>
      <w:r w:rsidR="00B96357">
        <w:rPr>
          <w:rFonts w:ascii="Arial" w:hAnsi="Arial" w:cs="Arial"/>
        </w:rPr>
        <w:t xml:space="preserve">ented by the grand, high ceilings, this was described as almost calming as it allowed for the sound of </w:t>
      </w:r>
      <w:r w:rsidR="00B96357">
        <w:rPr>
          <w:rFonts w:ascii="Arial" w:hAnsi="Arial" w:cs="Arial"/>
        </w:rPr>
        <w:lastRenderedPageBreak/>
        <w:t>footsteps through the space. This al</w:t>
      </w:r>
      <w:r w:rsidR="005D237D">
        <w:rPr>
          <w:rFonts w:ascii="Arial" w:hAnsi="Arial" w:cs="Arial"/>
        </w:rPr>
        <w:t xml:space="preserve">igns with Seamon’s (1979) </w:t>
      </w:r>
      <w:r w:rsidR="00FF41F8">
        <w:rPr>
          <w:rFonts w:ascii="Arial" w:hAnsi="Arial" w:cs="Arial"/>
        </w:rPr>
        <w:t>concept</w:t>
      </w:r>
      <w:r w:rsidR="005D237D">
        <w:rPr>
          <w:rFonts w:ascii="Arial" w:hAnsi="Arial" w:cs="Arial"/>
        </w:rPr>
        <w:t xml:space="preserve"> of body ballet, where the sound of o</w:t>
      </w:r>
      <w:r w:rsidR="00FF41F8">
        <w:rPr>
          <w:rFonts w:ascii="Arial" w:hAnsi="Arial" w:cs="Arial"/>
        </w:rPr>
        <w:t>ne’s own movement provides a rhythmic cue for spatial awareness</w:t>
      </w:r>
      <w:r w:rsidR="004D47B5">
        <w:rPr>
          <w:rFonts w:ascii="Arial" w:hAnsi="Arial" w:cs="Arial"/>
        </w:rPr>
        <w:t xml:space="preserve">, providing a comfortable environment for all. </w:t>
      </w:r>
      <w:r w:rsidR="00D857F6">
        <w:rPr>
          <w:rFonts w:ascii="Arial" w:hAnsi="Arial" w:cs="Arial"/>
        </w:rPr>
        <w:t>The gallery remains a calm and quiet environment, with audio visual exhibits kept at comfortable volumes, supplemented by BSL on screens to ensure meaningful inclusion for the deaf community.</w:t>
      </w:r>
    </w:p>
    <w:p w14:paraId="5C48985A" w14:textId="19A48DC9" w:rsidR="00EB72C2" w:rsidRDefault="00EB72C2" w:rsidP="00465F4B">
      <w:pPr>
        <w:spacing w:line="360" w:lineRule="auto"/>
        <w:rPr>
          <w:rFonts w:ascii="Arial" w:hAnsi="Arial" w:cs="Arial"/>
        </w:rPr>
      </w:pPr>
      <w:r>
        <w:rPr>
          <w:rFonts w:ascii="Arial" w:hAnsi="Arial" w:cs="Arial"/>
        </w:rPr>
        <w:t xml:space="preserve">Ultimately, the acoustic performance of each building reflects their typological needs. The arena utilises advanced absorptive and diffusive technology to manage its high stimulus function, while the gallery relies on its inherent stillness to support quiet contemplation. Both </w:t>
      </w:r>
      <w:r w:rsidR="00F31F97">
        <w:rPr>
          <w:rFonts w:ascii="Arial" w:hAnsi="Arial" w:cs="Arial"/>
        </w:rPr>
        <w:t>sites,</w:t>
      </w:r>
      <w:r>
        <w:rPr>
          <w:rFonts w:ascii="Arial" w:hAnsi="Arial" w:cs="Arial"/>
        </w:rPr>
        <w:t xml:space="preserve"> however, demonstrate an awareness of the social model of disability by providing spaces that reduce the mental effort required for auditory processing.</w:t>
      </w:r>
    </w:p>
    <w:p w14:paraId="22530E12" w14:textId="03037857" w:rsidR="00573528" w:rsidRDefault="00573528" w:rsidP="00573528">
      <w:pPr>
        <w:pStyle w:val="Heading2"/>
        <w:spacing w:line="360" w:lineRule="auto"/>
        <w:rPr>
          <w:rFonts w:ascii="Arial" w:hAnsi="Arial" w:cs="Arial"/>
        </w:rPr>
      </w:pPr>
      <w:bookmarkStart w:id="75" w:name="_Toc228359274"/>
      <w:r>
        <w:rPr>
          <w:rFonts w:ascii="Arial" w:hAnsi="Arial" w:cs="Arial"/>
        </w:rPr>
        <w:t>5.</w:t>
      </w:r>
      <w:r w:rsidR="0003268C">
        <w:rPr>
          <w:rFonts w:ascii="Arial" w:hAnsi="Arial" w:cs="Arial"/>
        </w:rPr>
        <w:t>3</w:t>
      </w:r>
      <w:r>
        <w:rPr>
          <w:rFonts w:ascii="Arial" w:hAnsi="Arial" w:cs="Arial"/>
        </w:rPr>
        <w:t xml:space="preserve">.2: </w:t>
      </w:r>
      <w:r w:rsidR="008E2F41">
        <w:rPr>
          <w:rFonts w:ascii="Arial" w:hAnsi="Arial" w:cs="Arial"/>
        </w:rPr>
        <w:t>Lighting</w:t>
      </w:r>
      <w:bookmarkEnd w:id="75"/>
    </w:p>
    <w:p w14:paraId="4DE094D0" w14:textId="4811D67E" w:rsidR="00A03FFC" w:rsidRPr="00995711" w:rsidRDefault="008E2DC8" w:rsidP="00995711">
      <w:pPr>
        <w:spacing w:line="360" w:lineRule="auto"/>
        <w:rPr>
          <w:rFonts w:ascii="Arial" w:hAnsi="Arial" w:cs="Arial"/>
        </w:rPr>
      </w:pPr>
      <w:r w:rsidRPr="00995711">
        <w:rPr>
          <w:rFonts w:ascii="Arial" w:hAnsi="Arial" w:cs="Arial"/>
        </w:rPr>
        <w:t xml:space="preserve">The arena manages the transition between its bright, digital exterior and dark interior through a balanced lighting strategy. The audits noted that while the transition into the foyer feels like it would be harsh, the presence </w:t>
      </w:r>
      <w:r w:rsidR="00BD35EA" w:rsidRPr="00995711">
        <w:rPr>
          <w:rFonts w:ascii="Arial" w:hAnsi="Arial" w:cs="Arial"/>
        </w:rPr>
        <w:t>of natural lighting flooding through the glazing mitigates this, creating a bright, calming atmosphere. Throughout the corridors and lower levels</w:t>
      </w:r>
      <w:r w:rsidR="00760C19" w:rsidRPr="00995711">
        <w:rPr>
          <w:rFonts w:ascii="Arial" w:hAnsi="Arial" w:cs="Arial"/>
        </w:rPr>
        <w:t>, the arena utilises a bright white tone of artificial lighting. This brightness is balances well with the dark walls and high ceiling</w:t>
      </w:r>
      <w:r w:rsidR="005A4D8C" w:rsidRPr="00995711">
        <w:rPr>
          <w:rFonts w:ascii="Arial" w:hAnsi="Arial" w:cs="Arial"/>
        </w:rPr>
        <w:t>, vital for fulfilling PAS 6463:2022 standards, which emphasize the control of lighting glare and high contrast shadows to support neuro inclusive navigation and reduce visual noise for visitors with sensory processing sensitivities.</w:t>
      </w:r>
    </w:p>
    <w:p w14:paraId="13DA0B53" w14:textId="450A6907" w:rsidR="005A4D8C" w:rsidRPr="00995711" w:rsidRDefault="00585F21" w:rsidP="00995711">
      <w:pPr>
        <w:spacing w:line="360" w:lineRule="auto"/>
        <w:rPr>
          <w:rFonts w:ascii="Arial" w:hAnsi="Arial" w:cs="Arial"/>
        </w:rPr>
      </w:pPr>
      <w:r w:rsidRPr="00995711">
        <w:rPr>
          <w:rFonts w:ascii="Arial" w:hAnsi="Arial" w:cs="Arial"/>
        </w:rPr>
        <w:t xml:space="preserve">The Glynn Vivian utilises a different strategy, blending historic architectural features with modern, softer lighting. The audit recorded </w:t>
      </w:r>
      <w:r w:rsidR="009B44FD" w:rsidRPr="00995711">
        <w:rPr>
          <w:rFonts w:ascii="Arial" w:hAnsi="Arial" w:cs="Arial"/>
        </w:rPr>
        <w:t>natural lighting flowing through the mezzanine and some gallery rooms, which provide an organic</w:t>
      </w:r>
      <w:r w:rsidR="00263AFF" w:rsidRPr="00995711">
        <w:rPr>
          <w:rFonts w:ascii="Arial" w:hAnsi="Arial" w:cs="Arial"/>
        </w:rPr>
        <w:t xml:space="preserve">, </w:t>
      </w:r>
      <w:r w:rsidR="00995711" w:rsidRPr="00995711">
        <w:rPr>
          <w:rFonts w:ascii="Arial" w:hAnsi="Arial" w:cs="Arial"/>
        </w:rPr>
        <w:t>changing</w:t>
      </w:r>
      <w:r w:rsidR="00263AFF" w:rsidRPr="00995711">
        <w:rPr>
          <w:rFonts w:ascii="Arial" w:hAnsi="Arial" w:cs="Arial"/>
        </w:rPr>
        <w:t xml:space="preserve"> </w:t>
      </w:r>
      <w:r w:rsidR="00995711" w:rsidRPr="00995711">
        <w:rPr>
          <w:rFonts w:ascii="Arial" w:hAnsi="Arial" w:cs="Arial"/>
        </w:rPr>
        <w:t>quality</w:t>
      </w:r>
      <w:r w:rsidR="00263AFF" w:rsidRPr="00995711">
        <w:rPr>
          <w:rFonts w:ascii="Arial" w:hAnsi="Arial" w:cs="Arial"/>
        </w:rPr>
        <w:t xml:space="preserve"> of light that connects the user to the passage of time, a key element in Seamon’s (2000) </w:t>
      </w:r>
      <w:r w:rsidR="00995711" w:rsidRPr="00995711">
        <w:rPr>
          <w:rFonts w:ascii="Arial" w:hAnsi="Arial" w:cs="Arial"/>
        </w:rPr>
        <w:t>phenomenology</w:t>
      </w:r>
      <w:r w:rsidR="00263AFF" w:rsidRPr="00995711">
        <w:rPr>
          <w:rFonts w:ascii="Arial" w:hAnsi="Arial" w:cs="Arial"/>
        </w:rPr>
        <w:t xml:space="preserve"> of space. In areas without windows, </w:t>
      </w:r>
      <w:r w:rsidR="00995711" w:rsidRPr="00995711">
        <w:rPr>
          <w:rFonts w:ascii="Arial" w:hAnsi="Arial" w:cs="Arial"/>
        </w:rPr>
        <w:t>the</w:t>
      </w:r>
      <w:r w:rsidR="00263AFF" w:rsidRPr="00995711">
        <w:rPr>
          <w:rFonts w:ascii="Arial" w:hAnsi="Arial" w:cs="Arial"/>
        </w:rPr>
        <w:t xml:space="preserve"> lighting tone remains </w:t>
      </w:r>
      <w:r w:rsidR="00B30F79" w:rsidRPr="00995711">
        <w:rPr>
          <w:rFonts w:ascii="Arial" w:hAnsi="Arial" w:cs="Arial"/>
        </w:rPr>
        <w:t xml:space="preserve">soft and </w:t>
      </w:r>
      <w:r w:rsidR="00995711" w:rsidRPr="00995711">
        <w:rPr>
          <w:rFonts w:ascii="Arial" w:hAnsi="Arial" w:cs="Arial"/>
        </w:rPr>
        <w:t>neutral</w:t>
      </w:r>
      <w:r w:rsidR="00B30F79" w:rsidRPr="00995711">
        <w:rPr>
          <w:rFonts w:ascii="Arial" w:hAnsi="Arial" w:cs="Arial"/>
        </w:rPr>
        <w:t xml:space="preserve">, which not only complements the artwork, but also creates an inviting atmosphere that avoids the ocular centric bias criticised by Pallasmaa (2005). </w:t>
      </w:r>
    </w:p>
    <w:p w14:paraId="30E76231" w14:textId="1AC09511" w:rsidR="00A9117C" w:rsidRPr="00995711" w:rsidRDefault="00A9117C" w:rsidP="00995711">
      <w:pPr>
        <w:spacing w:line="360" w:lineRule="auto"/>
        <w:rPr>
          <w:rFonts w:ascii="Arial" w:hAnsi="Arial" w:cs="Arial"/>
        </w:rPr>
      </w:pPr>
      <w:r w:rsidRPr="00995711">
        <w:rPr>
          <w:rFonts w:ascii="Arial" w:hAnsi="Arial" w:cs="Arial"/>
        </w:rPr>
        <w:t xml:space="preserve">Ultimately, both sites demonstrate that meaningful lighting is about predictability and comfort. The arena uses its dark palette to absorb and balance bright functional lighting, while the gallery uses its rooflights to ground the visitor in a natural environment. In </w:t>
      </w:r>
      <w:r w:rsidR="00BC19E3" w:rsidRPr="00995711">
        <w:rPr>
          <w:rFonts w:ascii="Arial" w:hAnsi="Arial" w:cs="Arial"/>
        </w:rPr>
        <w:t>both cases, the intentional avoidance of harshness ensures that the built environment does not become a sensory barrier, allowing for a more inclusive and dignified experience for all users.</w:t>
      </w:r>
    </w:p>
    <w:p w14:paraId="674F9FD4" w14:textId="10DB0B25" w:rsidR="00573528" w:rsidRPr="00A71421" w:rsidRDefault="00573528" w:rsidP="00573528">
      <w:pPr>
        <w:pStyle w:val="Heading2"/>
        <w:spacing w:line="360" w:lineRule="auto"/>
        <w:rPr>
          <w:rFonts w:ascii="Arial" w:hAnsi="Arial" w:cs="Arial"/>
        </w:rPr>
      </w:pPr>
      <w:bookmarkStart w:id="76" w:name="_Toc228359275"/>
      <w:r>
        <w:rPr>
          <w:rFonts w:ascii="Arial" w:hAnsi="Arial" w:cs="Arial"/>
        </w:rPr>
        <w:lastRenderedPageBreak/>
        <w:t>5.</w:t>
      </w:r>
      <w:r w:rsidR="0003268C">
        <w:rPr>
          <w:rFonts w:ascii="Arial" w:hAnsi="Arial" w:cs="Arial"/>
        </w:rPr>
        <w:t>3</w:t>
      </w:r>
      <w:r>
        <w:rPr>
          <w:rFonts w:ascii="Arial" w:hAnsi="Arial" w:cs="Arial"/>
        </w:rPr>
        <w:t xml:space="preserve">.3: </w:t>
      </w:r>
      <w:r w:rsidR="008E2F41">
        <w:rPr>
          <w:rFonts w:ascii="Arial" w:hAnsi="Arial" w:cs="Arial"/>
        </w:rPr>
        <w:t>Visual Contrasts</w:t>
      </w:r>
      <w:bookmarkEnd w:id="76"/>
    </w:p>
    <w:p w14:paraId="7AD1506B" w14:textId="75C781D2" w:rsidR="00573528" w:rsidRDefault="00CA415E" w:rsidP="00811B28">
      <w:pPr>
        <w:spacing w:line="360" w:lineRule="auto"/>
        <w:rPr>
          <w:rFonts w:ascii="Arial" w:hAnsi="Arial" w:cs="Arial"/>
        </w:rPr>
      </w:pPr>
      <w:r>
        <w:rPr>
          <w:rFonts w:ascii="Arial" w:hAnsi="Arial" w:cs="Arial"/>
        </w:rPr>
        <w:t xml:space="preserve">Visual </w:t>
      </w:r>
      <w:r w:rsidR="003E295D">
        <w:rPr>
          <w:rFonts w:ascii="Arial" w:hAnsi="Arial" w:cs="Arial"/>
        </w:rPr>
        <w:t>contrast</w:t>
      </w:r>
      <w:r>
        <w:rPr>
          <w:rFonts w:ascii="Arial" w:hAnsi="Arial" w:cs="Arial"/>
        </w:rPr>
        <w:t xml:space="preserve"> is more than an aesthetic choice, it is a critical navigational tool that enables users to distinguish between different architectural planes, such as the transition from floor to wall. </w:t>
      </w:r>
      <w:r w:rsidR="0015340A">
        <w:rPr>
          <w:rFonts w:ascii="Arial" w:hAnsi="Arial" w:cs="Arial"/>
        </w:rPr>
        <w:t xml:space="preserve">As Mace (1985) emphasised in his original definition of UD, products and environments must be usable by all people without the need for specialised adaptation, and in this context, contrast serves as the primary visual map of a building. </w:t>
      </w:r>
    </w:p>
    <w:p w14:paraId="0E3BB601" w14:textId="77777777" w:rsidR="00A9350D" w:rsidRDefault="00B41849" w:rsidP="00A9350D">
      <w:pPr>
        <w:spacing w:line="360" w:lineRule="auto"/>
        <w:rPr>
          <w:rFonts w:ascii="Arial" w:hAnsi="Arial" w:cs="Arial"/>
        </w:rPr>
      </w:pPr>
      <w:r>
        <w:rPr>
          <w:rFonts w:ascii="Arial" w:hAnsi="Arial" w:cs="Arial"/>
        </w:rPr>
        <w:t xml:space="preserve">The audit of the arena highlighted a tension between its contemporary dark aesthetic and </w:t>
      </w:r>
      <w:r w:rsidR="003E295D">
        <w:rPr>
          <w:rFonts w:ascii="Arial" w:hAnsi="Arial" w:cs="Arial"/>
        </w:rPr>
        <w:t>the</w:t>
      </w:r>
      <w:r>
        <w:rPr>
          <w:rFonts w:ascii="Arial" w:hAnsi="Arial" w:cs="Arial"/>
        </w:rPr>
        <w:t xml:space="preserve"> requirements for inclusive navigation. The interior is characterised by a dark palette, with floors </w:t>
      </w:r>
      <w:r w:rsidR="009B5436">
        <w:rPr>
          <w:rFonts w:ascii="Arial" w:hAnsi="Arial" w:cs="Arial"/>
        </w:rPr>
        <w:t xml:space="preserve">being grey and wall finished in black. While this creates a high contrast relationship between the two planes, </w:t>
      </w:r>
      <w:r w:rsidR="006106C5">
        <w:rPr>
          <w:rFonts w:ascii="Arial" w:hAnsi="Arial" w:cs="Arial"/>
        </w:rPr>
        <w:t xml:space="preserve">(required under Approved Document M, Section 3.10), the overall low light environment may present a challenge during peak times when crowds </w:t>
      </w:r>
      <w:r w:rsidR="0071113D">
        <w:rPr>
          <w:rFonts w:ascii="Arial" w:hAnsi="Arial" w:cs="Arial"/>
        </w:rPr>
        <w:t xml:space="preserve">are dense. However, the arena demonstrates great compliance within the auditorium and main </w:t>
      </w:r>
      <w:r w:rsidR="003E295D">
        <w:rPr>
          <w:rFonts w:ascii="Arial" w:hAnsi="Arial" w:cs="Arial"/>
        </w:rPr>
        <w:t>staircases</w:t>
      </w:r>
      <w:r w:rsidR="0071113D">
        <w:rPr>
          <w:rFonts w:ascii="Arial" w:hAnsi="Arial" w:cs="Arial"/>
        </w:rPr>
        <w:t xml:space="preserve">, where </w:t>
      </w:r>
      <w:r w:rsidR="003E295D">
        <w:rPr>
          <w:rFonts w:ascii="Arial" w:hAnsi="Arial" w:cs="Arial"/>
        </w:rPr>
        <w:t>bright</w:t>
      </w:r>
      <w:r w:rsidR="0071113D">
        <w:rPr>
          <w:rFonts w:ascii="Arial" w:hAnsi="Arial" w:cs="Arial"/>
        </w:rPr>
        <w:t xml:space="preserve"> stair nosing is utilised to make steps easy to distinguish. This satisfies Section 3.51 of Approved Document M (), which stipulates that all </w:t>
      </w:r>
      <w:r w:rsidR="003E295D">
        <w:rPr>
          <w:rFonts w:ascii="Arial" w:hAnsi="Arial" w:cs="Arial"/>
        </w:rPr>
        <w:t>nosing</w:t>
      </w:r>
      <w:r w:rsidR="0071113D">
        <w:rPr>
          <w:rFonts w:ascii="Arial" w:hAnsi="Arial" w:cs="Arial"/>
        </w:rPr>
        <w:t xml:space="preserve"> must be made apparent through permanent contrasting material to </w:t>
      </w:r>
      <w:r w:rsidR="003E295D">
        <w:rPr>
          <w:rFonts w:ascii="Arial" w:hAnsi="Arial" w:cs="Arial"/>
        </w:rPr>
        <w:t xml:space="preserve">prevent missteps for those with residual vision. </w:t>
      </w:r>
    </w:p>
    <w:p w14:paraId="003F2583" w14:textId="77777777" w:rsidR="006A7524" w:rsidRDefault="00E81B91" w:rsidP="00A9350D">
      <w:pPr>
        <w:spacing w:line="360" w:lineRule="auto"/>
        <w:rPr>
          <w:rFonts w:ascii="Arial" w:hAnsi="Arial" w:cs="Arial"/>
        </w:rPr>
      </w:pPr>
      <w:r>
        <w:rPr>
          <w:rFonts w:ascii="Arial" w:hAnsi="Arial" w:cs="Arial"/>
        </w:rPr>
        <w:t>Conversely</w:t>
      </w:r>
      <w:r w:rsidR="00A9350D">
        <w:rPr>
          <w:rFonts w:ascii="Arial" w:hAnsi="Arial" w:cs="Arial"/>
        </w:rPr>
        <w:t>, the gallery utilises soft contrasts that align with its heritage character</w:t>
      </w:r>
      <w:r w:rsidR="00F25D47">
        <w:rPr>
          <w:rFonts w:ascii="Arial" w:hAnsi="Arial" w:cs="Arial"/>
        </w:rPr>
        <w:t>. The audit recorded a mix of light and medium shades of herringbone wooden flooring against w</w:t>
      </w:r>
      <w:r w:rsidR="009D4FBE">
        <w:rPr>
          <w:rFonts w:ascii="Arial" w:hAnsi="Arial" w:cs="Arial"/>
        </w:rPr>
        <w:t xml:space="preserve">hite walls in most gallery spaces. While this creates a calm atmosphere that avoids the ocular centric bias criticised by Pallasmaa (2005), it </w:t>
      </w:r>
      <w:r w:rsidR="00702B3C">
        <w:rPr>
          <w:rFonts w:ascii="Arial" w:hAnsi="Arial" w:cs="Arial"/>
        </w:rPr>
        <w:t>relies</w:t>
      </w:r>
      <w:r w:rsidR="009D4FBE">
        <w:rPr>
          <w:rFonts w:ascii="Arial" w:hAnsi="Arial" w:cs="Arial"/>
        </w:rPr>
        <w:t xml:space="preserve"> </w:t>
      </w:r>
      <w:r w:rsidR="00AE2147">
        <w:rPr>
          <w:rFonts w:ascii="Arial" w:hAnsi="Arial" w:cs="Arial"/>
        </w:rPr>
        <w:t xml:space="preserve">on a subtler range of light reflectance values. </w:t>
      </w:r>
      <w:r w:rsidR="00181A06">
        <w:rPr>
          <w:rFonts w:ascii="Arial" w:hAnsi="Arial" w:cs="Arial"/>
        </w:rPr>
        <w:t xml:space="preserve">The RNIB (2023) </w:t>
      </w:r>
      <w:r w:rsidR="0044061D">
        <w:rPr>
          <w:rFonts w:ascii="Arial" w:hAnsi="Arial" w:cs="Arial"/>
        </w:rPr>
        <w:t xml:space="preserve">recommends a minimum of 30 points of LRV </w:t>
      </w:r>
      <w:r w:rsidR="006A7524">
        <w:rPr>
          <w:rFonts w:ascii="Arial" w:hAnsi="Arial" w:cs="Arial"/>
        </w:rPr>
        <w:t>difference</w:t>
      </w:r>
      <w:r w:rsidR="0044061D">
        <w:rPr>
          <w:rFonts w:ascii="Arial" w:hAnsi="Arial" w:cs="Arial"/>
        </w:rPr>
        <w:t xml:space="preserve"> between adjacent surfaces to ensure they are distinguishable. </w:t>
      </w:r>
      <w:r w:rsidR="00EF0313">
        <w:rPr>
          <w:rFonts w:ascii="Arial" w:hAnsi="Arial" w:cs="Arial"/>
        </w:rPr>
        <w:t>While the main galleries achieve this through high contrast planes, the audio/video room presents a significant sensory barrier as the entrance is obscured by a black heavy curtain, which was not clearly signed or identifiable, making it difficult to see and move.</w:t>
      </w:r>
    </w:p>
    <w:p w14:paraId="127B3C44" w14:textId="72C30C59" w:rsidR="00C87FB3" w:rsidRPr="00A9350D" w:rsidRDefault="006A7524" w:rsidP="00A9350D">
      <w:pPr>
        <w:spacing w:line="360" w:lineRule="auto"/>
        <w:rPr>
          <w:rFonts w:ascii="Arial" w:hAnsi="Arial" w:cs="Arial"/>
        </w:rPr>
      </w:pPr>
      <w:r>
        <w:rPr>
          <w:rFonts w:ascii="Arial" w:hAnsi="Arial" w:cs="Arial"/>
        </w:rPr>
        <w:t>From the perspective of neuro i</w:t>
      </w:r>
      <w:r w:rsidR="00A82D44">
        <w:rPr>
          <w:rFonts w:ascii="Arial" w:hAnsi="Arial" w:cs="Arial"/>
        </w:rPr>
        <w:t xml:space="preserve">nclusive design, </w:t>
      </w:r>
      <w:r w:rsidR="00041780">
        <w:rPr>
          <w:rFonts w:ascii="Arial" w:hAnsi="Arial" w:cs="Arial"/>
        </w:rPr>
        <w:t>this lack</w:t>
      </w:r>
      <w:r w:rsidR="00A82D44">
        <w:rPr>
          <w:rFonts w:ascii="Arial" w:hAnsi="Arial" w:cs="Arial"/>
        </w:rPr>
        <w:t xml:space="preserve"> of </w:t>
      </w:r>
      <w:r w:rsidR="00930C47">
        <w:rPr>
          <w:rFonts w:ascii="Arial" w:hAnsi="Arial" w:cs="Arial"/>
        </w:rPr>
        <w:t>visual clarity increases the cognitive load on the user, as if they cannot intuitively identify whether a room is open to the public due to a lack of visual cues, the environment becomes exclusionary (Maslin, 2022). As Maslin (2022) argues, meaningful design must offer pre</w:t>
      </w:r>
      <w:r w:rsidR="00C87FB3">
        <w:rPr>
          <w:rFonts w:ascii="Arial" w:hAnsi="Arial" w:cs="Arial"/>
          <w:b/>
          <w:bCs/>
        </w:rPr>
        <w:br w:type="page"/>
      </w:r>
    </w:p>
    <w:p w14:paraId="4434CB1C" w14:textId="48C1EE72" w:rsidR="00C3467F" w:rsidRDefault="00C3467F" w:rsidP="00E90E7A">
      <w:pPr>
        <w:pStyle w:val="Heading1"/>
        <w:spacing w:line="360" w:lineRule="auto"/>
        <w:rPr>
          <w:rFonts w:ascii="Arial" w:hAnsi="Arial" w:cs="Arial"/>
          <w:b/>
          <w:bCs/>
        </w:rPr>
      </w:pPr>
      <w:bookmarkStart w:id="77" w:name="_Toc228359276"/>
      <w:r w:rsidRPr="0029053D">
        <w:rPr>
          <w:rFonts w:ascii="Arial" w:hAnsi="Arial" w:cs="Arial"/>
          <w:b/>
          <w:bCs/>
        </w:rPr>
        <w:lastRenderedPageBreak/>
        <w:t xml:space="preserve">Chapter </w:t>
      </w:r>
      <w:r>
        <w:rPr>
          <w:rFonts w:ascii="Arial" w:hAnsi="Arial" w:cs="Arial"/>
          <w:b/>
          <w:bCs/>
        </w:rPr>
        <w:t>6</w:t>
      </w:r>
      <w:r w:rsidRPr="0029053D">
        <w:rPr>
          <w:rFonts w:ascii="Arial" w:hAnsi="Arial" w:cs="Arial"/>
          <w:b/>
          <w:bCs/>
        </w:rPr>
        <w:t xml:space="preserve">: </w:t>
      </w:r>
      <w:r w:rsidR="00BC2860">
        <w:rPr>
          <w:rFonts w:ascii="Arial" w:hAnsi="Arial" w:cs="Arial"/>
          <w:b/>
          <w:bCs/>
        </w:rPr>
        <w:t>Conclusion</w:t>
      </w:r>
      <w:bookmarkEnd w:id="77"/>
    </w:p>
    <w:p w14:paraId="53F62F11" w14:textId="64E8042B" w:rsidR="00985C71" w:rsidRDefault="007E03D4" w:rsidP="00E90E7A">
      <w:pPr>
        <w:pStyle w:val="Heading2"/>
        <w:spacing w:line="360" w:lineRule="auto"/>
        <w:rPr>
          <w:rFonts w:ascii="Arial" w:hAnsi="Arial" w:cs="Arial"/>
        </w:rPr>
      </w:pPr>
      <w:r>
        <w:rPr>
          <w:rFonts w:ascii="Arial" w:hAnsi="Arial" w:cs="Arial"/>
        </w:rPr>
        <w:t>6.1 Summary of Key Findings</w:t>
      </w:r>
    </w:p>
    <w:p w14:paraId="42506AE3" w14:textId="277CFBBB" w:rsidR="00EA019A" w:rsidRDefault="00EA019A" w:rsidP="00EA019A">
      <w:pPr>
        <w:spacing w:line="360" w:lineRule="auto"/>
        <w:rPr>
          <w:rFonts w:ascii="Arial" w:hAnsi="Arial" w:cs="Arial"/>
        </w:rPr>
      </w:pPr>
      <w:r>
        <w:rPr>
          <w:rFonts w:ascii="Arial" w:hAnsi="Arial" w:cs="Arial"/>
        </w:rPr>
        <w:t>The comparative analysis of the Swansea Arena and the Glynn Vivian Art Gallery demonstrates that while the legislative floor for accessibility is rising</w:t>
      </w:r>
      <w:r w:rsidR="00434F37">
        <w:rPr>
          <w:rFonts w:ascii="Arial" w:hAnsi="Arial" w:cs="Arial"/>
        </w:rPr>
        <w:t xml:space="preserve">, the ceiling for truly inclusive design remains uneven in some </w:t>
      </w:r>
      <w:r w:rsidR="00A4060D">
        <w:rPr>
          <w:rFonts w:ascii="Arial" w:hAnsi="Arial" w:cs="Arial"/>
        </w:rPr>
        <w:t>respects</w:t>
      </w:r>
      <w:r w:rsidR="00434F37">
        <w:rPr>
          <w:rFonts w:ascii="Arial" w:hAnsi="Arial" w:cs="Arial"/>
        </w:rPr>
        <w:t>. The central finding of this work is that physical compliance</w:t>
      </w:r>
      <w:r w:rsidR="00A4060D">
        <w:rPr>
          <w:rFonts w:ascii="Arial" w:hAnsi="Arial" w:cs="Arial"/>
        </w:rPr>
        <w:t xml:space="preserve"> does not always translate to sensory or cognitive equity.</w:t>
      </w:r>
    </w:p>
    <w:p w14:paraId="43EBE3BB" w14:textId="03150906" w:rsidR="00A4060D" w:rsidRDefault="00A4060D" w:rsidP="00EA019A">
      <w:pPr>
        <w:spacing w:line="360" w:lineRule="auto"/>
        <w:rPr>
          <w:rFonts w:ascii="Arial" w:hAnsi="Arial" w:cs="Arial"/>
        </w:rPr>
      </w:pPr>
      <w:r>
        <w:rPr>
          <w:rFonts w:ascii="Arial" w:hAnsi="Arial" w:cs="Arial"/>
        </w:rPr>
        <w:t>In evaluating DOA, the Swansea Arena successfully challen</w:t>
      </w:r>
      <w:r w:rsidR="003E0B5C">
        <w:rPr>
          <w:rFonts w:ascii="Arial" w:hAnsi="Arial" w:cs="Arial"/>
        </w:rPr>
        <w:t>ges Pallasmaa</w:t>
      </w:r>
      <w:r w:rsidR="00D25D9E">
        <w:rPr>
          <w:rFonts w:ascii="Arial" w:hAnsi="Arial" w:cs="Arial"/>
        </w:rPr>
        <w:t>’s</w:t>
      </w:r>
      <w:r w:rsidR="003E0B5C">
        <w:rPr>
          <w:rFonts w:ascii="Arial" w:hAnsi="Arial" w:cs="Arial"/>
        </w:rPr>
        <w:t xml:space="preserve"> (2005) </w:t>
      </w:r>
      <w:r w:rsidR="00D25D9E">
        <w:rPr>
          <w:rFonts w:ascii="Arial" w:hAnsi="Arial" w:cs="Arial"/>
        </w:rPr>
        <w:t>theory</w:t>
      </w:r>
      <w:r w:rsidR="003E0B5C">
        <w:rPr>
          <w:rFonts w:ascii="Arial" w:hAnsi="Arial" w:cs="Arial"/>
        </w:rPr>
        <w:t xml:space="preserve"> </w:t>
      </w:r>
      <w:r w:rsidR="00D25D9E">
        <w:rPr>
          <w:rFonts w:ascii="Arial" w:hAnsi="Arial" w:cs="Arial"/>
        </w:rPr>
        <w:t>of</w:t>
      </w:r>
      <w:r w:rsidR="003E0B5C">
        <w:rPr>
          <w:rFonts w:ascii="Arial" w:hAnsi="Arial" w:cs="Arial"/>
        </w:rPr>
        <w:t xml:space="preserve"> ocular centrism, the tendency to prioritise </w:t>
      </w:r>
      <w:r w:rsidR="000211B8">
        <w:rPr>
          <w:rFonts w:ascii="Arial" w:hAnsi="Arial" w:cs="Arial"/>
        </w:rPr>
        <w:t xml:space="preserve">visual spectacle over haptic experience. By balancing bright functional lgithign with dark walls, the arena foyer moves away from a purely visual condition toward a multisensory one that provides a sense of enclosure and security. Contrariwise, the Glynn Vivian utilises soft and neutral lighting tones to create an inviting atmosphere that avoids the harshness of modern </w:t>
      </w:r>
      <w:r w:rsidR="006079B0">
        <w:rPr>
          <w:rFonts w:ascii="Arial" w:hAnsi="Arial" w:cs="Arial"/>
        </w:rPr>
        <w:t>design, complementing the historic shell. This illustrates Imrie’s (2003) assertion that the lived experience of a building is shaped by these invisible atmospheric choices as much as physical dimensions.</w:t>
      </w:r>
    </w:p>
    <w:p w14:paraId="1E549770" w14:textId="5F32B457" w:rsidR="006079B0" w:rsidRPr="00EA019A" w:rsidRDefault="006079B0" w:rsidP="00EA019A">
      <w:pPr>
        <w:spacing w:line="360" w:lineRule="auto"/>
        <w:rPr>
          <w:rFonts w:ascii="Arial" w:hAnsi="Arial" w:cs="Arial"/>
        </w:rPr>
      </w:pPr>
      <w:r>
        <w:rPr>
          <w:rFonts w:ascii="Arial" w:hAnsi="Arial" w:cs="Arial"/>
        </w:rPr>
        <w:t xml:space="preserve">The audit of movement and flow highlighted the success of both sites in facilitating Seamon’s (1979) concept of body ballet, for movement to be meaningful, it must be </w:t>
      </w:r>
      <w:r w:rsidR="00343EE9">
        <w:rPr>
          <w:rFonts w:ascii="Arial" w:hAnsi="Arial" w:cs="Arial"/>
        </w:rPr>
        <w:t xml:space="preserve">habitual and intuitive. The wide corridors obserbed in both sites, exceeding the minimum 1200mm </w:t>
      </w:r>
      <w:r w:rsidR="006F691A">
        <w:rPr>
          <w:rFonts w:ascii="Arial" w:hAnsi="Arial" w:cs="Arial"/>
        </w:rPr>
        <w:t xml:space="preserve">recommendation </w:t>
      </w:r>
    </w:p>
    <w:p w14:paraId="2372E170" w14:textId="4A1D4479" w:rsidR="00E90E7A" w:rsidRPr="00985C71" w:rsidRDefault="00E90E7A" w:rsidP="00E90E7A">
      <w:pPr>
        <w:pStyle w:val="Heading2"/>
        <w:spacing w:line="360" w:lineRule="auto"/>
        <w:rPr>
          <w:rFonts w:ascii="Arial" w:hAnsi="Arial" w:cs="Arial"/>
        </w:rPr>
      </w:pPr>
      <w:r>
        <w:rPr>
          <w:rFonts w:ascii="Arial" w:hAnsi="Arial" w:cs="Arial"/>
        </w:rPr>
        <w:t>6.</w:t>
      </w:r>
      <w:r w:rsidR="00C85536">
        <w:rPr>
          <w:rFonts w:ascii="Arial" w:hAnsi="Arial" w:cs="Arial"/>
        </w:rPr>
        <w:t>2 Recommendations for Architects</w:t>
      </w:r>
    </w:p>
    <w:p w14:paraId="5BEDB5FE" w14:textId="57F1B464" w:rsidR="00E90E7A" w:rsidRPr="00985C71" w:rsidRDefault="00E90E7A" w:rsidP="00E90E7A">
      <w:pPr>
        <w:pStyle w:val="Heading2"/>
        <w:spacing w:line="360" w:lineRule="auto"/>
        <w:rPr>
          <w:rFonts w:ascii="Arial" w:hAnsi="Arial" w:cs="Arial"/>
        </w:rPr>
      </w:pPr>
      <w:r>
        <w:rPr>
          <w:rFonts w:ascii="Arial" w:hAnsi="Arial" w:cs="Arial"/>
        </w:rPr>
        <w:t>6.</w:t>
      </w:r>
      <w:r w:rsidR="00C85536">
        <w:rPr>
          <w:rFonts w:ascii="Arial" w:hAnsi="Arial" w:cs="Arial"/>
        </w:rPr>
        <w:t>3 Future Research</w:t>
      </w:r>
    </w:p>
    <w:p w14:paraId="3860C89D" w14:textId="5E548E38" w:rsidR="00C3467F" w:rsidRDefault="00E90E7A" w:rsidP="00E90E7A">
      <w:pPr>
        <w:pStyle w:val="Heading2"/>
        <w:spacing w:line="360" w:lineRule="auto"/>
        <w:rPr>
          <w:rFonts w:ascii="Arial" w:hAnsi="Arial" w:cs="Arial"/>
        </w:rPr>
      </w:pPr>
      <w:r>
        <w:rPr>
          <w:rFonts w:ascii="Arial" w:hAnsi="Arial" w:cs="Arial"/>
        </w:rPr>
        <w:t>6.</w:t>
      </w:r>
      <w:r>
        <w:rPr>
          <w:rFonts w:ascii="Arial" w:hAnsi="Arial" w:cs="Arial"/>
        </w:rPr>
        <w:t>4</w:t>
      </w:r>
      <w:r>
        <w:rPr>
          <w:rFonts w:ascii="Arial" w:hAnsi="Arial" w:cs="Arial"/>
        </w:rPr>
        <w:t xml:space="preserve"> </w:t>
      </w:r>
      <w:r>
        <w:rPr>
          <w:rFonts w:ascii="Arial" w:hAnsi="Arial" w:cs="Arial"/>
        </w:rPr>
        <w:t>F</w:t>
      </w:r>
      <w:r w:rsidR="00C85536">
        <w:rPr>
          <w:rFonts w:ascii="Arial" w:hAnsi="Arial" w:cs="Arial"/>
        </w:rPr>
        <w:t>inal Thoughts – The Trajectory of Universal Design in Swansea</w:t>
      </w:r>
    </w:p>
    <w:bookmarkEnd w:id="33"/>
    <w:p w14:paraId="00A07928" w14:textId="536320A9" w:rsidR="001E2888" w:rsidRPr="00EA78F9" w:rsidRDefault="00A25A49" w:rsidP="007D5F59">
      <w:pPr>
        <w:rPr>
          <w:rFonts w:cstheme="minorHAnsi"/>
        </w:rPr>
      </w:pPr>
      <w:r>
        <w:rPr>
          <w:rFonts w:cstheme="minorHAnsi"/>
          <w:highlight w:val="yellow"/>
        </w:rPr>
        <w:br w:type="page"/>
      </w:r>
      <w:bookmarkStart w:id="78" w:name="_Hlk57978122"/>
    </w:p>
    <w:bookmarkEnd w:id="78"/>
    <w:p w14:paraId="28A5FE79" w14:textId="029CCEDD" w:rsidR="002C075E" w:rsidRPr="00EA78F9" w:rsidRDefault="002C075E" w:rsidP="00EA78F9">
      <w:pPr>
        <w:spacing w:line="360" w:lineRule="auto"/>
        <w:jc w:val="both"/>
        <w:rPr>
          <w:rFonts w:cstheme="minorHAnsi"/>
        </w:rPr>
      </w:pPr>
      <w:r w:rsidRPr="00EA78F9">
        <w:rPr>
          <w:rFonts w:cstheme="minorHAnsi"/>
        </w:rPr>
        <w:lastRenderedPageBreak/>
        <w:br w:type="page"/>
      </w:r>
    </w:p>
    <w:p w14:paraId="37852D30" w14:textId="1BC56B7C" w:rsidR="00C37480" w:rsidRDefault="00153575" w:rsidP="007F5C24">
      <w:pPr>
        <w:spacing w:line="240" w:lineRule="auto"/>
        <w:jc w:val="both"/>
        <w:rPr>
          <w:rFonts w:ascii="Arial" w:hAnsi="Arial" w:cs="Arial"/>
          <w:b/>
          <w:bCs/>
          <w:sz w:val="32"/>
          <w:szCs w:val="32"/>
        </w:rPr>
      </w:pPr>
      <w:r w:rsidRPr="00153575">
        <w:rPr>
          <w:rFonts w:ascii="Arial" w:hAnsi="Arial" w:cs="Arial"/>
          <w:b/>
          <w:bCs/>
          <w:sz w:val="32"/>
          <w:szCs w:val="32"/>
        </w:rPr>
        <w:lastRenderedPageBreak/>
        <w:t xml:space="preserve">Reference List </w:t>
      </w:r>
    </w:p>
    <w:p w14:paraId="015B613F" w14:textId="77777777" w:rsidR="005229DB" w:rsidRPr="005229DB" w:rsidRDefault="005229DB" w:rsidP="007F5C24">
      <w:pPr>
        <w:spacing w:line="240" w:lineRule="auto"/>
        <w:jc w:val="both"/>
        <w:rPr>
          <w:rFonts w:ascii="Arial" w:hAnsi="Arial" w:cs="Arial"/>
          <w:b/>
          <w:bCs/>
          <w:sz w:val="32"/>
          <w:szCs w:val="32"/>
        </w:rPr>
      </w:pPr>
    </w:p>
    <w:p w14:paraId="00A4E540" w14:textId="77777777" w:rsidR="004E4D4C" w:rsidRDefault="004E4D4C" w:rsidP="00A8159F">
      <w:pPr>
        <w:spacing w:line="360" w:lineRule="auto"/>
        <w:jc w:val="both"/>
        <w:rPr>
          <w:rFonts w:ascii="Arial" w:hAnsi="Arial" w:cs="Arial"/>
        </w:rPr>
      </w:pPr>
      <w:r w:rsidRPr="009349A0">
        <w:rPr>
          <w:rFonts w:ascii="Arial" w:hAnsi="Arial" w:cs="Arial"/>
        </w:rPr>
        <w:t xml:space="preserve">Bone, S. (1996) Buildings for all to use: </w:t>
      </w:r>
      <w:r w:rsidRPr="00D7281E">
        <w:rPr>
          <w:rFonts w:ascii="Arial" w:hAnsi="Arial" w:cs="Arial"/>
          <w:i/>
          <w:iCs/>
        </w:rPr>
        <w:t>Good Practice Guidance on Improving Existing Public Buildings for People with Disabilities</w:t>
      </w:r>
      <w:r w:rsidRPr="009349A0">
        <w:rPr>
          <w:rFonts w:ascii="Arial" w:hAnsi="Arial" w:cs="Arial"/>
        </w:rPr>
        <w:t>.</w:t>
      </w:r>
      <w:r>
        <w:rPr>
          <w:rFonts w:ascii="Arial" w:hAnsi="Arial" w:cs="Arial"/>
        </w:rPr>
        <w:t xml:space="preserve"> London: CIRIA.</w:t>
      </w:r>
    </w:p>
    <w:p w14:paraId="50FB6B17" w14:textId="77777777" w:rsidR="004E4D4C" w:rsidRDefault="004E4D4C" w:rsidP="00A8159F">
      <w:pPr>
        <w:spacing w:line="360" w:lineRule="auto"/>
        <w:jc w:val="both"/>
        <w:rPr>
          <w:rFonts w:ascii="Arial" w:hAnsi="Arial" w:cs="Arial"/>
        </w:rPr>
      </w:pPr>
      <w:r w:rsidRPr="00AF3F65">
        <w:rPr>
          <w:rFonts w:ascii="Arial" w:hAnsi="Arial" w:cs="Arial"/>
        </w:rPr>
        <w:t xml:space="preserve">Bright, K. (2004) </w:t>
      </w:r>
      <w:r w:rsidRPr="00AF3F65">
        <w:rPr>
          <w:rFonts w:ascii="Arial" w:hAnsi="Arial" w:cs="Arial"/>
          <w:i/>
          <w:iCs/>
        </w:rPr>
        <w:t>Buildings for all to use 2: Improving the Accessibility of Public Buildings and Environments</w:t>
      </w:r>
      <w:r w:rsidRPr="00AF3F65">
        <w:rPr>
          <w:rFonts w:ascii="Arial" w:hAnsi="Arial" w:cs="Arial"/>
        </w:rPr>
        <w:t>.</w:t>
      </w:r>
    </w:p>
    <w:p w14:paraId="58483CF4" w14:textId="77777777" w:rsidR="004E4D4C" w:rsidRPr="003234A9" w:rsidRDefault="004E4D4C" w:rsidP="003234A9">
      <w:pPr>
        <w:spacing w:line="360" w:lineRule="auto"/>
        <w:jc w:val="both"/>
        <w:rPr>
          <w:rFonts w:ascii="Arial" w:hAnsi="Arial" w:cs="Arial"/>
        </w:rPr>
      </w:pPr>
      <w:r w:rsidRPr="00893E68">
        <w:rPr>
          <w:rFonts w:ascii="Arial" w:hAnsi="Arial" w:cs="Arial"/>
        </w:rPr>
        <w:t xml:space="preserve">British Standards Institution (2022) </w:t>
      </w:r>
      <w:r w:rsidRPr="002D3F70">
        <w:rPr>
          <w:rFonts w:ascii="Arial" w:hAnsi="Arial" w:cs="Arial"/>
          <w:i/>
          <w:iCs/>
        </w:rPr>
        <w:t>PAS 6463:2022 Design for the mind – Neurodiversity and the built environment – Guide</w:t>
      </w:r>
      <w:r w:rsidRPr="00893E68">
        <w:rPr>
          <w:rFonts w:ascii="Arial" w:hAnsi="Arial" w:cs="Arial"/>
        </w:rPr>
        <w:t>. London: BSI Standards Limited.</w:t>
      </w:r>
    </w:p>
    <w:p w14:paraId="66573BA6" w14:textId="77777777" w:rsidR="004E4D4C" w:rsidRPr="00A77FA1" w:rsidRDefault="004E4D4C" w:rsidP="009A0C1A">
      <w:pPr>
        <w:spacing w:line="360" w:lineRule="auto"/>
        <w:jc w:val="both"/>
        <w:rPr>
          <w:rFonts w:ascii="Arial" w:hAnsi="Arial" w:cs="Arial"/>
        </w:rPr>
      </w:pPr>
      <w:r w:rsidRPr="006F1376">
        <w:rPr>
          <w:rFonts w:ascii="Arial" w:hAnsi="Arial" w:cs="Arial"/>
          <w:i/>
          <w:iCs/>
        </w:rPr>
        <w:t>Disability Discrimination Act 1995, c. 50</w:t>
      </w:r>
      <w:r w:rsidRPr="006F1376">
        <w:rPr>
          <w:rFonts w:ascii="Arial" w:hAnsi="Arial" w:cs="Arial"/>
        </w:rPr>
        <w:t>. London: HMSO.</w:t>
      </w:r>
      <w:r>
        <w:rPr>
          <w:rFonts w:ascii="Arial" w:hAnsi="Arial" w:cs="Arial"/>
        </w:rPr>
        <w:t xml:space="preserve"> Available at: </w:t>
      </w:r>
      <w:hyperlink r:id="rId34" w:history="1">
        <w:r w:rsidRPr="008932A4">
          <w:rPr>
            <w:rStyle w:val="Hyperlink"/>
            <w:rFonts w:ascii="Arial" w:hAnsi="Arial" w:cs="Arial"/>
          </w:rPr>
          <w:t>https://www.legislation.gov.uk/ukpga/1995/50/contents</w:t>
        </w:r>
      </w:hyperlink>
      <w:r>
        <w:rPr>
          <w:rFonts w:ascii="Arial" w:hAnsi="Arial" w:cs="Arial"/>
        </w:rPr>
        <w:t xml:space="preserve"> </w:t>
      </w:r>
      <w:r w:rsidRPr="0005349D">
        <w:rPr>
          <w:rFonts w:ascii="Arial" w:hAnsi="Arial" w:cs="Arial"/>
        </w:rPr>
        <w:t xml:space="preserve">(Accessed: 22 </w:t>
      </w:r>
      <w:r>
        <w:rPr>
          <w:rFonts w:ascii="Arial" w:hAnsi="Arial" w:cs="Arial"/>
        </w:rPr>
        <w:t>March</w:t>
      </w:r>
      <w:r w:rsidRPr="0005349D">
        <w:rPr>
          <w:rFonts w:ascii="Arial" w:hAnsi="Arial" w:cs="Arial"/>
        </w:rPr>
        <w:t xml:space="preserve"> 2026)</w:t>
      </w:r>
      <w:r>
        <w:rPr>
          <w:rFonts w:ascii="Arial" w:hAnsi="Arial" w:cs="Arial"/>
        </w:rPr>
        <w:t>.</w:t>
      </w:r>
    </w:p>
    <w:p w14:paraId="3B98356F" w14:textId="77777777" w:rsidR="004E4D4C" w:rsidRDefault="004E4D4C" w:rsidP="0018587B">
      <w:pPr>
        <w:spacing w:line="360" w:lineRule="auto"/>
        <w:jc w:val="both"/>
        <w:rPr>
          <w:rFonts w:ascii="Arial" w:hAnsi="Arial" w:cs="Arial"/>
        </w:rPr>
      </w:pPr>
      <w:r w:rsidRPr="0018587B">
        <w:rPr>
          <w:rFonts w:ascii="Arial" w:hAnsi="Arial" w:cs="Arial"/>
        </w:rPr>
        <w:t>Duncan, M. (2004). Autoethnography: Critical Appreciation of an Emerging Art. </w:t>
      </w:r>
      <w:r w:rsidRPr="0018587B">
        <w:rPr>
          <w:rFonts w:ascii="Arial" w:hAnsi="Arial" w:cs="Arial"/>
          <w:i/>
          <w:iCs/>
        </w:rPr>
        <w:t>International Journal of Qualitative Methods</w:t>
      </w:r>
      <w:r w:rsidRPr="0018587B">
        <w:rPr>
          <w:rFonts w:ascii="Arial" w:hAnsi="Arial" w:cs="Arial"/>
        </w:rPr>
        <w:t xml:space="preserve">, [online] 3(4), pp.28–39. </w:t>
      </w:r>
      <w:r>
        <w:rPr>
          <w:rFonts w:ascii="Arial" w:hAnsi="Arial" w:cs="Arial"/>
        </w:rPr>
        <w:t>Available at</w:t>
      </w:r>
      <w:r w:rsidRPr="0018587B">
        <w:rPr>
          <w:rFonts w:ascii="Arial" w:hAnsi="Arial" w:cs="Arial"/>
        </w:rPr>
        <w:t xml:space="preserve">: </w:t>
      </w:r>
      <w:hyperlink r:id="rId35" w:history="1">
        <w:r w:rsidRPr="0003319F">
          <w:rPr>
            <w:rStyle w:val="Hyperlink"/>
            <w:rFonts w:ascii="Arial" w:hAnsi="Arial" w:cs="Arial"/>
          </w:rPr>
          <w:t>https://doi.org/10.1177/160940690400300403</w:t>
        </w:r>
      </w:hyperlink>
      <w:r w:rsidRPr="0018587B">
        <w:rPr>
          <w:rFonts w:ascii="Arial" w:hAnsi="Arial" w:cs="Arial"/>
        </w:rPr>
        <w:t>.</w:t>
      </w:r>
    </w:p>
    <w:p w14:paraId="5946ACE7" w14:textId="77777777" w:rsidR="004E4D4C" w:rsidRDefault="004E4D4C" w:rsidP="00C06376">
      <w:pPr>
        <w:spacing w:line="360" w:lineRule="auto"/>
        <w:jc w:val="both"/>
        <w:rPr>
          <w:rFonts w:ascii="Arial" w:hAnsi="Arial" w:cs="Arial"/>
        </w:rPr>
      </w:pPr>
      <w:r w:rsidRPr="00C06376">
        <w:rPr>
          <w:rFonts w:ascii="Arial" w:hAnsi="Arial" w:cs="Arial"/>
        </w:rPr>
        <w:t>Ellis, C., Adams, T.E. and Bochner, A.P. (201</w:t>
      </w:r>
      <w:r>
        <w:rPr>
          <w:rFonts w:ascii="Arial" w:hAnsi="Arial" w:cs="Arial"/>
        </w:rPr>
        <w:t>1</w:t>
      </w:r>
      <w:r w:rsidRPr="00C06376">
        <w:rPr>
          <w:rFonts w:ascii="Arial" w:hAnsi="Arial" w:cs="Arial"/>
        </w:rPr>
        <w:t xml:space="preserve">) 'Autoethnography: An Overview,' </w:t>
      </w:r>
      <w:r w:rsidRPr="00C06376">
        <w:rPr>
          <w:rFonts w:ascii="Arial" w:hAnsi="Arial" w:cs="Arial"/>
          <w:i/>
          <w:iCs/>
        </w:rPr>
        <w:t>Social Science Open Access Repository (GESIS – Leibniz Institute for the Social Sciences)</w:t>
      </w:r>
      <w:r w:rsidRPr="00C06376">
        <w:rPr>
          <w:rFonts w:ascii="Arial" w:hAnsi="Arial" w:cs="Arial"/>
        </w:rPr>
        <w:t xml:space="preserve"> [Preprint]. </w:t>
      </w:r>
      <w:hyperlink r:id="rId36" w:history="1">
        <w:r w:rsidRPr="0003319F">
          <w:rPr>
            <w:rStyle w:val="Hyperlink"/>
            <w:rFonts w:ascii="Arial" w:hAnsi="Arial" w:cs="Arial"/>
          </w:rPr>
          <w:t>https://doi.org/10.12759/hsr.36.2011.4.273-290</w:t>
        </w:r>
      </w:hyperlink>
      <w:r w:rsidRPr="00C06376">
        <w:rPr>
          <w:rFonts w:ascii="Arial" w:hAnsi="Arial" w:cs="Arial"/>
        </w:rPr>
        <w:t>.</w:t>
      </w:r>
    </w:p>
    <w:p w14:paraId="076401FF" w14:textId="77777777" w:rsidR="004E4D4C" w:rsidRDefault="004E4D4C" w:rsidP="009A0C1A">
      <w:pPr>
        <w:spacing w:line="360" w:lineRule="auto"/>
        <w:jc w:val="both"/>
        <w:rPr>
          <w:rFonts w:ascii="Arial" w:hAnsi="Arial" w:cs="Arial"/>
        </w:rPr>
      </w:pPr>
      <w:r w:rsidRPr="009A0C1A">
        <w:rPr>
          <w:rFonts w:ascii="Arial" w:hAnsi="Arial" w:cs="Arial"/>
        </w:rPr>
        <w:t>‌</w:t>
      </w:r>
      <w:r w:rsidRPr="0005349D">
        <w:rPr>
          <w:rFonts w:ascii="Arial" w:hAnsi="Arial" w:cs="Arial"/>
          <w:i/>
          <w:iCs/>
        </w:rPr>
        <w:t>Equality Act 2010</w:t>
      </w:r>
      <w:r w:rsidRPr="0005349D">
        <w:rPr>
          <w:rFonts w:ascii="Arial" w:hAnsi="Arial" w:cs="Arial"/>
        </w:rPr>
        <w:t xml:space="preserve">, c. 15. Available at: </w:t>
      </w:r>
      <w:hyperlink r:id="rId37" w:tgtFrame="_blank" w:history="1">
        <w:r w:rsidRPr="0005349D">
          <w:rPr>
            <w:rStyle w:val="Hyperlink"/>
            <w:rFonts w:ascii="Arial" w:hAnsi="Arial" w:cs="Arial"/>
          </w:rPr>
          <w:t>https://www.legislation.gov.uk/ukpga/2010/15/contents</w:t>
        </w:r>
      </w:hyperlink>
      <w:r w:rsidRPr="0005349D">
        <w:rPr>
          <w:rFonts w:ascii="Arial" w:hAnsi="Arial" w:cs="Arial"/>
        </w:rPr>
        <w:t xml:space="preserve"> (Accessed: 22 </w:t>
      </w:r>
      <w:r>
        <w:rPr>
          <w:rFonts w:ascii="Arial" w:hAnsi="Arial" w:cs="Arial"/>
        </w:rPr>
        <w:t>March</w:t>
      </w:r>
      <w:r w:rsidRPr="0005349D">
        <w:rPr>
          <w:rFonts w:ascii="Arial" w:hAnsi="Arial" w:cs="Arial"/>
        </w:rPr>
        <w:t xml:space="preserve"> 2026).</w:t>
      </w:r>
    </w:p>
    <w:p w14:paraId="22AD5294" w14:textId="77777777" w:rsidR="004E4D4C" w:rsidRDefault="004E4D4C" w:rsidP="00A8159F">
      <w:pPr>
        <w:spacing w:line="360" w:lineRule="auto"/>
        <w:jc w:val="both"/>
        <w:rPr>
          <w:rFonts w:ascii="Arial" w:hAnsi="Arial" w:cs="Arial"/>
        </w:rPr>
      </w:pPr>
      <w:r w:rsidRPr="00336343">
        <w:rPr>
          <w:rFonts w:ascii="Arial" w:hAnsi="Arial" w:cs="Arial"/>
        </w:rPr>
        <w:t>Glynn Vivian Art Gallery</w:t>
      </w:r>
      <w:r>
        <w:rPr>
          <w:rFonts w:ascii="Arial" w:hAnsi="Arial" w:cs="Arial"/>
        </w:rPr>
        <w:t xml:space="preserve">. </w:t>
      </w:r>
      <w:r w:rsidRPr="00A72CDB">
        <w:rPr>
          <w:rFonts w:ascii="Arial" w:hAnsi="Arial" w:cs="Arial"/>
        </w:rPr>
        <w:t>(2016). </w:t>
      </w:r>
      <w:r w:rsidRPr="00A72CDB">
        <w:rPr>
          <w:rFonts w:ascii="Arial" w:hAnsi="Arial" w:cs="Arial"/>
          <w:i/>
          <w:iCs/>
        </w:rPr>
        <w:t>History of the Gallery</w:t>
      </w:r>
      <w:r w:rsidRPr="00A72CDB">
        <w:rPr>
          <w:rFonts w:ascii="Arial" w:hAnsi="Arial" w:cs="Arial"/>
        </w:rPr>
        <w:t>. [</w:t>
      </w:r>
      <w:r>
        <w:rPr>
          <w:rFonts w:ascii="Arial" w:hAnsi="Arial" w:cs="Arial"/>
        </w:rPr>
        <w:t>o</w:t>
      </w:r>
      <w:r w:rsidRPr="00A72CDB">
        <w:rPr>
          <w:rFonts w:ascii="Arial" w:hAnsi="Arial" w:cs="Arial"/>
        </w:rPr>
        <w:t xml:space="preserve">nline] Available at: </w:t>
      </w:r>
      <w:hyperlink r:id="rId38" w:history="1">
        <w:r w:rsidRPr="00015E79">
          <w:rPr>
            <w:rStyle w:val="Hyperlink"/>
            <w:rFonts w:ascii="Arial" w:hAnsi="Arial" w:cs="Arial"/>
          </w:rPr>
          <w:t>https://www.glynnvivian.co.uk/about/history-of-the-gallery/</w:t>
        </w:r>
      </w:hyperlink>
      <w:r>
        <w:rPr>
          <w:rFonts w:ascii="Arial" w:hAnsi="Arial" w:cs="Arial"/>
        </w:rPr>
        <w:t xml:space="preserve"> (Accessed: 10 March 2026).</w:t>
      </w:r>
    </w:p>
    <w:p w14:paraId="6E45C16B" w14:textId="77777777" w:rsidR="004E4D4C" w:rsidRPr="00346D71" w:rsidRDefault="004E4D4C" w:rsidP="00C8473E">
      <w:pPr>
        <w:spacing w:line="360" w:lineRule="auto"/>
        <w:jc w:val="both"/>
        <w:rPr>
          <w:rFonts w:ascii="Arial" w:hAnsi="Arial" w:cs="Arial"/>
        </w:rPr>
      </w:pPr>
      <w:r w:rsidRPr="00346D71">
        <w:rPr>
          <w:rFonts w:ascii="Arial" w:hAnsi="Arial" w:cs="Arial"/>
        </w:rPr>
        <w:t xml:space="preserve">Glynn Vivian Art Gallery. (n.d.) </w:t>
      </w:r>
      <w:r w:rsidRPr="00346D71">
        <w:rPr>
          <w:rFonts w:ascii="Arial" w:hAnsi="Arial" w:cs="Arial"/>
          <w:i/>
          <w:iCs/>
        </w:rPr>
        <w:t>Richard Glynn Vivian.</w:t>
      </w:r>
      <w:r w:rsidRPr="00346D71">
        <w:rPr>
          <w:rFonts w:ascii="Arial" w:hAnsi="Arial" w:cs="Arial"/>
        </w:rPr>
        <w:t xml:space="preserve"> [online] Available at: </w:t>
      </w:r>
      <w:hyperlink r:id="rId39" w:history="1">
        <w:r w:rsidRPr="00346D71">
          <w:rPr>
            <w:rStyle w:val="Hyperlink"/>
            <w:rFonts w:ascii="Arial" w:hAnsi="Arial" w:cs="Arial"/>
            <w:color w:val="auto"/>
          </w:rPr>
          <w:t>https://www.glynnvivian.co.uk/collections/richard-glynn-vivian/</w:t>
        </w:r>
      </w:hyperlink>
      <w:r w:rsidRPr="00346D71">
        <w:rPr>
          <w:rFonts w:ascii="Arial" w:hAnsi="Arial" w:cs="Arial"/>
        </w:rPr>
        <w:t>. (Accessed: 18 March 2026).</w:t>
      </w:r>
    </w:p>
    <w:p w14:paraId="3E015D11" w14:textId="287F0D22" w:rsidR="00967315" w:rsidRPr="00967315" w:rsidRDefault="00967315" w:rsidP="00C8473E">
      <w:pPr>
        <w:spacing w:line="360" w:lineRule="auto"/>
        <w:jc w:val="both"/>
        <w:rPr>
          <w:rFonts w:ascii="Arial" w:hAnsi="Arial" w:cs="Arial"/>
        </w:rPr>
      </w:pPr>
      <w:r w:rsidRPr="00967315">
        <w:rPr>
          <w:rFonts w:ascii="Arial" w:hAnsi="Arial" w:cs="Arial"/>
        </w:rPr>
        <w:t>Glynn Vivian Art Gallery.</w:t>
      </w:r>
      <w:r w:rsidRPr="00967315">
        <w:rPr>
          <w:rFonts w:ascii="Arial" w:hAnsi="Arial" w:cs="Arial"/>
        </w:rPr>
        <w:t xml:space="preserve"> (2017). </w:t>
      </w:r>
      <w:r w:rsidRPr="00967315">
        <w:rPr>
          <w:rFonts w:ascii="Arial" w:hAnsi="Arial" w:cs="Arial"/>
          <w:i/>
          <w:iCs/>
        </w:rPr>
        <w:t>Access</w:t>
      </w:r>
      <w:r w:rsidRPr="00967315">
        <w:rPr>
          <w:rFonts w:ascii="Arial" w:hAnsi="Arial" w:cs="Arial"/>
        </w:rPr>
        <w:t xml:space="preserve">. [online] Available at: </w:t>
      </w:r>
      <w:hyperlink r:id="rId40" w:history="1">
        <w:r w:rsidRPr="00967315">
          <w:rPr>
            <w:rStyle w:val="Hyperlink"/>
            <w:rFonts w:ascii="Arial" w:hAnsi="Arial" w:cs="Arial"/>
            <w:color w:val="auto"/>
          </w:rPr>
          <w:t>https://www.glynnvivian.co.uk/visit/access/</w:t>
        </w:r>
      </w:hyperlink>
      <w:r>
        <w:rPr>
          <w:rFonts w:ascii="Arial" w:hAnsi="Arial" w:cs="Arial"/>
        </w:rPr>
        <w:t xml:space="preserve"> (</w:t>
      </w:r>
      <w:r w:rsidRPr="00967315">
        <w:rPr>
          <w:rFonts w:ascii="Arial" w:hAnsi="Arial" w:cs="Arial"/>
        </w:rPr>
        <w:t>Accessed</w:t>
      </w:r>
      <w:r>
        <w:rPr>
          <w:rFonts w:ascii="Arial" w:hAnsi="Arial" w:cs="Arial"/>
        </w:rPr>
        <w:t>:</w:t>
      </w:r>
      <w:r w:rsidRPr="00967315">
        <w:rPr>
          <w:rFonts w:ascii="Arial" w:hAnsi="Arial" w:cs="Arial"/>
        </w:rPr>
        <w:t xml:space="preserve"> 26 Apr</w:t>
      </w:r>
      <w:r>
        <w:rPr>
          <w:rFonts w:ascii="Arial" w:hAnsi="Arial" w:cs="Arial"/>
        </w:rPr>
        <w:t>il</w:t>
      </w:r>
      <w:r w:rsidRPr="00967315">
        <w:rPr>
          <w:rFonts w:ascii="Arial" w:hAnsi="Arial" w:cs="Arial"/>
        </w:rPr>
        <w:t xml:space="preserve"> 2026</w:t>
      </w:r>
      <w:r>
        <w:rPr>
          <w:rFonts w:ascii="Arial" w:hAnsi="Arial" w:cs="Arial"/>
        </w:rPr>
        <w:t>).</w:t>
      </w:r>
    </w:p>
    <w:p w14:paraId="051A14EB" w14:textId="77777777" w:rsidR="004E4D4C" w:rsidRDefault="004E4D4C" w:rsidP="00A8159F">
      <w:pPr>
        <w:spacing w:line="360" w:lineRule="auto"/>
        <w:jc w:val="both"/>
        <w:rPr>
          <w:rFonts w:ascii="Arial" w:hAnsi="Arial" w:cs="Arial"/>
        </w:rPr>
      </w:pPr>
      <w:r w:rsidRPr="00290C23">
        <w:rPr>
          <w:rFonts w:ascii="Arial" w:hAnsi="Arial" w:cs="Arial"/>
        </w:rPr>
        <w:t>Goldsmith</w:t>
      </w:r>
      <w:r>
        <w:rPr>
          <w:rFonts w:ascii="Arial" w:hAnsi="Arial" w:cs="Arial"/>
        </w:rPr>
        <w:t>, S</w:t>
      </w:r>
      <w:r w:rsidRPr="00290C23">
        <w:rPr>
          <w:rFonts w:ascii="Arial" w:hAnsi="Arial" w:cs="Arial"/>
        </w:rPr>
        <w:t xml:space="preserve"> and </w:t>
      </w:r>
      <w:r>
        <w:rPr>
          <w:rFonts w:ascii="Arial" w:hAnsi="Arial" w:cs="Arial"/>
        </w:rPr>
        <w:t>PRP</w:t>
      </w:r>
      <w:r w:rsidRPr="00290C23">
        <w:rPr>
          <w:rFonts w:ascii="Arial" w:hAnsi="Arial" w:cs="Arial"/>
        </w:rPr>
        <w:t xml:space="preserve"> Architects (Firm (20</w:t>
      </w:r>
      <w:r>
        <w:rPr>
          <w:rFonts w:ascii="Arial" w:hAnsi="Arial" w:cs="Arial"/>
        </w:rPr>
        <w:t>00</w:t>
      </w:r>
      <w:r w:rsidRPr="00290C23">
        <w:rPr>
          <w:rFonts w:ascii="Arial" w:hAnsi="Arial" w:cs="Arial"/>
        </w:rPr>
        <w:t>). </w:t>
      </w:r>
      <w:r w:rsidRPr="00290C23">
        <w:rPr>
          <w:rFonts w:ascii="Arial" w:hAnsi="Arial" w:cs="Arial"/>
          <w:i/>
          <w:iCs/>
        </w:rPr>
        <w:t>Universal design: a manual of practical guidance for architects</w:t>
      </w:r>
      <w:r w:rsidRPr="00290C23">
        <w:rPr>
          <w:rFonts w:ascii="Arial" w:hAnsi="Arial" w:cs="Arial"/>
        </w:rPr>
        <w:t>. Abingdon; New York: Architectural Press, Imprint Of Routledge.</w:t>
      </w:r>
    </w:p>
    <w:p w14:paraId="61C7770F" w14:textId="78717B65" w:rsidR="00585E5B" w:rsidRDefault="00585E5B" w:rsidP="00A8159F">
      <w:pPr>
        <w:spacing w:line="360" w:lineRule="auto"/>
        <w:jc w:val="both"/>
        <w:rPr>
          <w:rFonts w:ascii="Arial" w:hAnsi="Arial" w:cs="Arial"/>
        </w:rPr>
      </w:pPr>
      <w:r w:rsidRPr="00585E5B">
        <w:rPr>
          <w:rFonts w:ascii="Arial" w:hAnsi="Arial" w:cs="Arial"/>
        </w:rPr>
        <w:t xml:space="preserve">Guffey, E. (2018) </w:t>
      </w:r>
      <w:r w:rsidRPr="00585E5B">
        <w:rPr>
          <w:rFonts w:ascii="Arial" w:hAnsi="Arial" w:cs="Arial"/>
          <w:i/>
          <w:iCs/>
        </w:rPr>
        <w:t>Designing for Disability: Symbols, Space, and Society</w:t>
      </w:r>
      <w:r w:rsidRPr="00585E5B">
        <w:rPr>
          <w:rFonts w:ascii="Arial" w:hAnsi="Arial" w:cs="Arial"/>
        </w:rPr>
        <w:t>. London: Bloomsbury Visual Arts.</w:t>
      </w:r>
    </w:p>
    <w:p w14:paraId="54A13657" w14:textId="77777777" w:rsidR="004E4D4C" w:rsidRDefault="004E4D4C" w:rsidP="003234A9">
      <w:pPr>
        <w:spacing w:line="360" w:lineRule="auto"/>
        <w:jc w:val="both"/>
        <w:rPr>
          <w:rFonts w:ascii="Arial" w:hAnsi="Arial" w:cs="Arial"/>
        </w:rPr>
      </w:pPr>
      <w:r w:rsidRPr="00F8395E">
        <w:rPr>
          <w:rFonts w:ascii="Arial" w:hAnsi="Arial" w:cs="Arial"/>
        </w:rPr>
        <w:t xml:space="preserve">Hewitt, J. (2022) </w:t>
      </w:r>
      <w:r w:rsidRPr="00F8395E">
        <w:rPr>
          <w:rFonts w:ascii="Arial" w:hAnsi="Arial" w:cs="Arial"/>
          <w:i/>
          <w:iCs/>
        </w:rPr>
        <w:t>‘Designing for the mind</w:t>
      </w:r>
      <w:r w:rsidRPr="00F8395E">
        <w:rPr>
          <w:rFonts w:ascii="Arial" w:hAnsi="Arial" w:cs="Arial"/>
        </w:rPr>
        <w:t>’, Journal of the Chartered Institution of Building Services Engineers (CIBSE).</w:t>
      </w:r>
    </w:p>
    <w:p w14:paraId="22FD3593" w14:textId="633997CE" w:rsidR="00DA5807" w:rsidRDefault="00DA5807" w:rsidP="003234A9">
      <w:pPr>
        <w:spacing w:line="360" w:lineRule="auto"/>
        <w:jc w:val="both"/>
        <w:rPr>
          <w:rFonts w:ascii="Arial" w:hAnsi="Arial" w:cs="Arial"/>
        </w:rPr>
      </w:pPr>
      <w:r w:rsidRPr="00DA5807">
        <w:rPr>
          <w:rFonts w:ascii="Arial" w:hAnsi="Arial" w:cs="Arial"/>
        </w:rPr>
        <w:lastRenderedPageBreak/>
        <w:t xml:space="preserve">Imrie, R. (1996) </w:t>
      </w:r>
      <w:r w:rsidRPr="00DA5807">
        <w:rPr>
          <w:rFonts w:ascii="Arial" w:hAnsi="Arial" w:cs="Arial"/>
          <w:i/>
          <w:iCs/>
        </w:rPr>
        <w:t>Disability and the City: International Perspectives</w:t>
      </w:r>
      <w:r w:rsidRPr="00DA5807">
        <w:rPr>
          <w:rFonts w:ascii="Arial" w:hAnsi="Arial" w:cs="Arial"/>
        </w:rPr>
        <w:t>. London: Paul Chapman Publishing.</w:t>
      </w:r>
    </w:p>
    <w:p w14:paraId="47AE7F92" w14:textId="77777777" w:rsidR="004E4D4C" w:rsidRPr="007B17D1" w:rsidRDefault="004E4D4C" w:rsidP="007B17D1">
      <w:pPr>
        <w:spacing w:line="360" w:lineRule="auto"/>
        <w:jc w:val="both"/>
        <w:rPr>
          <w:rFonts w:ascii="Arial" w:hAnsi="Arial" w:cs="Arial"/>
        </w:rPr>
      </w:pPr>
      <w:r w:rsidRPr="007B17D1">
        <w:rPr>
          <w:rFonts w:ascii="Arial" w:hAnsi="Arial" w:cs="Arial"/>
        </w:rPr>
        <w:t>‌</w:t>
      </w:r>
      <w:r w:rsidRPr="004E4D4C">
        <w:rPr>
          <w:rFonts w:ascii="Arial" w:hAnsi="Arial" w:cs="Arial"/>
        </w:rPr>
        <w:t>Imrie, R. (2003). Architects’ Conceptions of the Human Body. </w:t>
      </w:r>
      <w:r w:rsidRPr="004E4D4C">
        <w:rPr>
          <w:rFonts w:ascii="Arial" w:hAnsi="Arial" w:cs="Arial"/>
          <w:i/>
          <w:iCs/>
        </w:rPr>
        <w:t>Environment and Planning D: Society and Space</w:t>
      </w:r>
      <w:r w:rsidRPr="004E4D4C">
        <w:rPr>
          <w:rFonts w:ascii="Arial" w:hAnsi="Arial" w:cs="Arial"/>
        </w:rPr>
        <w:t xml:space="preserve">, 21(1), pp.47–65. </w:t>
      </w:r>
      <w:r>
        <w:rPr>
          <w:rFonts w:ascii="Arial" w:hAnsi="Arial" w:cs="Arial"/>
        </w:rPr>
        <w:t>Available at</w:t>
      </w:r>
      <w:r w:rsidRPr="004E4D4C">
        <w:rPr>
          <w:rFonts w:ascii="Arial" w:hAnsi="Arial" w:cs="Arial"/>
        </w:rPr>
        <w:t xml:space="preserve">: </w:t>
      </w:r>
      <w:hyperlink r:id="rId41" w:history="1">
        <w:r w:rsidRPr="0003319F">
          <w:rPr>
            <w:rStyle w:val="Hyperlink"/>
            <w:rFonts w:ascii="Arial" w:hAnsi="Arial" w:cs="Arial"/>
          </w:rPr>
          <w:t>https://doi.org/10.1068/d271t</w:t>
        </w:r>
      </w:hyperlink>
      <w:r w:rsidRPr="004E4D4C">
        <w:rPr>
          <w:rFonts w:ascii="Arial" w:hAnsi="Arial" w:cs="Arial"/>
        </w:rPr>
        <w:t>.</w:t>
      </w:r>
    </w:p>
    <w:p w14:paraId="0C60E753" w14:textId="77777777" w:rsidR="004E4D4C" w:rsidRPr="003234A9" w:rsidRDefault="004E4D4C" w:rsidP="003234A9">
      <w:pPr>
        <w:spacing w:line="360" w:lineRule="auto"/>
        <w:jc w:val="both"/>
        <w:rPr>
          <w:rFonts w:ascii="Arial" w:hAnsi="Arial" w:cs="Arial"/>
        </w:rPr>
      </w:pPr>
      <w:r w:rsidRPr="00B55A67">
        <w:rPr>
          <w:rFonts w:ascii="Arial" w:hAnsi="Arial" w:cs="Arial"/>
        </w:rPr>
        <w:t xml:space="preserve">Imrie, R. (2006) </w:t>
      </w:r>
      <w:r w:rsidRPr="00B55A67">
        <w:rPr>
          <w:rFonts w:ascii="Arial" w:hAnsi="Arial" w:cs="Arial"/>
          <w:i/>
          <w:iCs/>
        </w:rPr>
        <w:t>Accessible Housing: Quality, Disability and Design</w:t>
      </w:r>
      <w:r w:rsidRPr="00B55A67">
        <w:rPr>
          <w:rFonts w:ascii="Arial" w:hAnsi="Arial" w:cs="Arial"/>
        </w:rPr>
        <w:t>. London: Routledge.</w:t>
      </w:r>
    </w:p>
    <w:p w14:paraId="7C97021D" w14:textId="77777777" w:rsidR="004E4D4C" w:rsidRPr="000C0624" w:rsidRDefault="004E4D4C" w:rsidP="00A8159F">
      <w:pPr>
        <w:spacing w:line="360" w:lineRule="auto"/>
        <w:jc w:val="both"/>
        <w:rPr>
          <w:rFonts w:ascii="Arial" w:hAnsi="Arial" w:cs="Arial"/>
        </w:rPr>
      </w:pPr>
      <w:r w:rsidRPr="000A38A6">
        <w:rPr>
          <w:rFonts w:ascii="Arial" w:hAnsi="Arial" w:cs="Arial"/>
        </w:rPr>
        <w:t>‌</w:t>
      </w:r>
      <w:r w:rsidRPr="000C0624">
        <w:rPr>
          <w:rFonts w:ascii="Arial" w:hAnsi="Arial" w:cs="Arial"/>
        </w:rPr>
        <w:t>Juhani Pallasmaa and Holl, S. (2009). </w:t>
      </w:r>
      <w:r w:rsidRPr="000C0624">
        <w:rPr>
          <w:rFonts w:ascii="Arial" w:hAnsi="Arial" w:cs="Arial"/>
          <w:i/>
          <w:iCs/>
        </w:rPr>
        <w:t>The eyes of the skin: architecture and the senses</w:t>
      </w:r>
      <w:r w:rsidRPr="000C0624">
        <w:rPr>
          <w:rFonts w:ascii="Arial" w:hAnsi="Arial" w:cs="Arial"/>
        </w:rPr>
        <w:t>. Chichester: John Wiley-Son Ltd.</w:t>
      </w:r>
    </w:p>
    <w:p w14:paraId="4838FDC2" w14:textId="77777777" w:rsidR="004E4D4C" w:rsidRDefault="004E4D4C" w:rsidP="00FF01F9">
      <w:pPr>
        <w:spacing w:line="360" w:lineRule="auto"/>
        <w:jc w:val="both"/>
        <w:rPr>
          <w:rFonts w:ascii="Arial" w:hAnsi="Arial" w:cs="Arial"/>
        </w:rPr>
      </w:pPr>
      <w:r w:rsidRPr="00FF01F9">
        <w:rPr>
          <w:rFonts w:ascii="Arial" w:hAnsi="Arial" w:cs="Arial"/>
        </w:rPr>
        <w:t xml:space="preserve">Mace, R.L., Hardie, G.J. and Place, J.P. (1991) </w:t>
      </w:r>
      <w:r w:rsidRPr="00FF01F9">
        <w:rPr>
          <w:rFonts w:ascii="Arial" w:hAnsi="Arial" w:cs="Arial"/>
          <w:i/>
          <w:iCs/>
        </w:rPr>
        <w:t>Accessible environments: Toward universal design</w:t>
      </w:r>
      <w:r w:rsidRPr="00FF01F9">
        <w:rPr>
          <w:rFonts w:ascii="Arial" w:hAnsi="Arial" w:cs="Arial"/>
        </w:rPr>
        <w:t xml:space="preserve">. Raleigh, NC: Center for Universal Design, North Carolina State University. </w:t>
      </w:r>
    </w:p>
    <w:p w14:paraId="4D6BD29E" w14:textId="53A0C11A" w:rsidR="004E4D4C" w:rsidRPr="00617E10" w:rsidRDefault="004E4D4C" w:rsidP="00A8159F">
      <w:pPr>
        <w:spacing w:line="360" w:lineRule="auto"/>
        <w:jc w:val="both"/>
        <w:rPr>
          <w:rFonts w:ascii="Arial" w:hAnsi="Arial" w:cs="Arial"/>
        </w:rPr>
      </w:pPr>
      <w:r w:rsidRPr="00617E10">
        <w:rPr>
          <w:rFonts w:ascii="Arial" w:hAnsi="Arial" w:cs="Arial"/>
        </w:rPr>
        <w:t>Maslin, S.</w:t>
      </w:r>
      <w:r w:rsidR="00BF77D7">
        <w:rPr>
          <w:rFonts w:ascii="Arial" w:hAnsi="Arial" w:cs="Arial"/>
        </w:rPr>
        <w:t xml:space="preserve"> </w:t>
      </w:r>
      <w:r w:rsidRPr="00617E10">
        <w:rPr>
          <w:rFonts w:ascii="Arial" w:hAnsi="Arial" w:cs="Arial"/>
        </w:rPr>
        <w:t>(202</w:t>
      </w:r>
      <w:r>
        <w:rPr>
          <w:rFonts w:ascii="Arial" w:hAnsi="Arial" w:cs="Arial"/>
        </w:rPr>
        <w:t>2</w:t>
      </w:r>
      <w:r w:rsidRPr="00617E10">
        <w:rPr>
          <w:rFonts w:ascii="Arial" w:hAnsi="Arial" w:cs="Arial"/>
        </w:rPr>
        <w:t>). </w:t>
      </w:r>
      <w:r w:rsidRPr="00617E10">
        <w:rPr>
          <w:rFonts w:ascii="Arial" w:hAnsi="Arial" w:cs="Arial"/>
          <w:i/>
          <w:iCs/>
        </w:rPr>
        <w:t>Designing Mind-Friendly Environments Architecture and Design for Everyone</w:t>
      </w:r>
      <w:r w:rsidRPr="00617E10">
        <w:rPr>
          <w:rFonts w:ascii="Arial" w:hAnsi="Arial" w:cs="Arial"/>
        </w:rPr>
        <w:t>. London: Jessica Kingsley Publishers.</w:t>
      </w:r>
    </w:p>
    <w:p w14:paraId="3C7BDAC1" w14:textId="77777777" w:rsidR="004E4D4C" w:rsidRDefault="004E4D4C" w:rsidP="00A8159F">
      <w:pPr>
        <w:spacing w:line="360" w:lineRule="auto"/>
        <w:jc w:val="both"/>
        <w:rPr>
          <w:rFonts w:ascii="Arial" w:hAnsi="Arial" w:cs="Arial"/>
        </w:rPr>
      </w:pPr>
      <w:r w:rsidRPr="00176398">
        <w:rPr>
          <w:rFonts w:ascii="Arial" w:hAnsi="Arial" w:cs="Arial"/>
        </w:rPr>
        <w:t>Office for National Statistics (2023). </w:t>
      </w:r>
      <w:r w:rsidRPr="00176398">
        <w:rPr>
          <w:rFonts w:ascii="Arial" w:hAnsi="Arial" w:cs="Arial"/>
          <w:i/>
          <w:iCs/>
        </w:rPr>
        <w:t>Disability, England and Wales - Office for National Statistics</w:t>
      </w:r>
      <w:r w:rsidRPr="00176398">
        <w:rPr>
          <w:rFonts w:ascii="Arial" w:hAnsi="Arial" w:cs="Arial"/>
        </w:rPr>
        <w:t xml:space="preserve">. [online] Office for National Statistics. Available at: </w:t>
      </w:r>
      <w:hyperlink r:id="rId42" w:history="1">
        <w:r w:rsidRPr="00176398">
          <w:rPr>
            <w:rStyle w:val="Hyperlink"/>
            <w:rFonts w:ascii="Arial" w:hAnsi="Arial" w:cs="Arial"/>
          </w:rPr>
          <w:t>https://www.ons.gov.uk/peoplepopulationandcommunity/healthandsocialcare/healthandwellbeing/bulletins/disabilityenglandandwales/census2021</w:t>
        </w:r>
      </w:hyperlink>
      <w:r w:rsidRPr="00176398">
        <w:rPr>
          <w:rFonts w:ascii="Arial" w:hAnsi="Arial" w:cs="Arial"/>
        </w:rPr>
        <w:t>.</w:t>
      </w:r>
      <w:r>
        <w:rPr>
          <w:rFonts w:ascii="Arial" w:hAnsi="Arial" w:cs="Arial"/>
        </w:rPr>
        <w:t xml:space="preserve"> (Accessed: 21 March 2026)</w:t>
      </w:r>
    </w:p>
    <w:p w14:paraId="7683F268" w14:textId="77777777" w:rsidR="004E4D4C" w:rsidRPr="006A4AF6" w:rsidRDefault="004E4D4C" w:rsidP="00A8159F">
      <w:pPr>
        <w:spacing w:line="360" w:lineRule="auto"/>
        <w:jc w:val="both"/>
        <w:rPr>
          <w:rFonts w:ascii="Arial" w:hAnsi="Arial" w:cs="Arial"/>
        </w:rPr>
      </w:pPr>
      <w:r w:rsidRPr="000C0624">
        <w:rPr>
          <w:rFonts w:ascii="Arial" w:hAnsi="Arial" w:cs="Arial"/>
        </w:rPr>
        <w:t>‌</w:t>
      </w:r>
      <w:r w:rsidRPr="006A4AF6">
        <w:rPr>
          <w:rFonts w:ascii="Arial" w:hAnsi="Arial" w:cs="Arial"/>
        </w:rPr>
        <w:t>Oliver, M. (1990). </w:t>
      </w:r>
      <w:r w:rsidRPr="006A4AF6">
        <w:rPr>
          <w:rFonts w:ascii="Arial" w:hAnsi="Arial" w:cs="Arial"/>
          <w:i/>
          <w:iCs/>
        </w:rPr>
        <w:t>The politics of disablement</w:t>
      </w:r>
      <w:r w:rsidRPr="006A4AF6">
        <w:rPr>
          <w:rFonts w:ascii="Arial" w:hAnsi="Arial" w:cs="Arial"/>
        </w:rPr>
        <w:t>. Basingstoke, Hampshire, Etc.: Macmillan.</w:t>
      </w:r>
    </w:p>
    <w:p w14:paraId="3EF766E2" w14:textId="77777777" w:rsidR="004E4D4C" w:rsidRDefault="004E4D4C" w:rsidP="00FF01F9">
      <w:pPr>
        <w:spacing w:line="360" w:lineRule="auto"/>
        <w:jc w:val="both"/>
        <w:rPr>
          <w:rFonts w:ascii="Arial" w:hAnsi="Arial" w:cs="Arial"/>
        </w:rPr>
      </w:pPr>
      <w:r w:rsidRPr="00BA0C2B">
        <w:rPr>
          <w:rFonts w:ascii="Arial" w:hAnsi="Arial" w:cs="Arial"/>
        </w:rPr>
        <w:t xml:space="preserve">Pickersgill, C. (2001) </w:t>
      </w:r>
      <w:r w:rsidRPr="00BA0C2B">
        <w:rPr>
          <w:rFonts w:ascii="Arial" w:hAnsi="Arial" w:cs="Arial"/>
          <w:i/>
          <w:iCs/>
        </w:rPr>
        <w:t>Designing to enable: Improving access through consultation</w:t>
      </w:r>
      <w:r w:rsidRPr="00BA0C2B">
        <w:rPr>
          <w:rFonts w:ascii="Arial" w:hAnsi="Arial" w:cs="Arial"/>
        </w:rPr>
        <w:t xml:space="preserve">. Gateshead: Gateshead Access Panel. </w:t>
      </w:r>
    </w:p>
    <w:p w14:paraId="3432C38B" w14:textId="77777777" w:rsidR="004E4D4C" w:rsidRPr="007B17D1" w:rsidRDefault="004E4D4C" w:rsidP="007B17D1">
      <w:pPr>
        <w:spacing w:line="360" w:lineRule="auto"/>
        <w:jc w:val="both"/>
        <w:rPr>
          <w:rFonts w:ascii="Arial" w:hAnsi="Arial" w:cs="Arial"/>
        </w:rPr>
      </w:pPr>
      <w:r w:rsidRPr="007B17D1">
        <w:rPr>
          <w:rFonts w:ascii="Arial" w:hAnsi="Arial" w:cs="Arial"/>
        </w:rPr>
        <w:t>Pinto, J.C., Ljiljana Čavić, Farias, H.L. and Ginja, L.M. (2025). </w:t>
      </w:r>
      <w:r w:rsidRPr="007B17D1">
        <w:rPr>
          <w:rFonts w:ascii="Arial" w:hAnsi="Arial" w:cs="Arial"/>
          <w:i/>
          <w:iCs/>
        </w:rPr>
        <w:t>Designing in Times of Crisis</w:t>
      </w:r>
      <w:r>
        <w:rPr>
          <w:rFonts w:ascii="Arial" w:hAnsi="Arial" w:cs="Arial"/>
        </w:rPr>
        <w:t xml:space="preserve">: </w:t>
      </w:r>
      <w:r w:rsidRPr="00AA46CE">
        <w:rPr>
          <w:rFonts w:ascii="Arial" w:hAnsi="Arial" w:cs="Arial"/>
          <w:i/>
          <w:iCs/>
        </w:rPr>
        <w:t>Envisioning and applying</w:t>
      </w:r>
      <w:r w:rsidRPr="00AA46CE">
        <w:rPr>
          <w:rFonts w:ascii="Arial" w:hAnsi="Arial" w:cs="Arial"/>
        </w:rPr>
        <w:t xml:space="preserve">. </w:t>
      </w:r>
      <w:r w:rsidRPr="007B17D1">
        <w:rPr>
          <w:rFonts w:ascii="Arial" w:hAnsi="Arial" w:cs="Arial"/>
        </w:rPr>
        <w:t>Routledge.</w:t>
      </w:r>
      <w:r>
        <w:rPr>
          <w:rFonts w:ascii="Arial" w:hAnsi="Arial" w:cs="Arial"/>
        </w:rPr>
        <w:t xml:space="preserve"> </w:t>
      </w:r>
      <w:r w:rsidRPr="00AA46CE">
        <w:rPr>
          <w:rFonts w:ascii="Arial" w:hAnsi="Arial" w:cs="Arial"/>
        </w:rPr>
        <w:t>Oxford: Taylor &amp; Francis Group.</w:t>
      </w:r>
    </w:p>
    <w:p w14:paraId="1A84845D" w14:textId="77777777" w:rsidR="004E4D4C" w:rsidRDefault="004E4D4C" w:rsidP="00A8159F">
      <w:pPr>
        <w:spacing w:line="360" w:lineRule="auto"/>
        <w:jc w:val="both"/>
        <w:rPr>
          <w:rFonts w:ascii="Arial" w:hAnsi="Arial" w:cs="Arial"/>
        </w:rPr>
      </w:pPr>
      <w:r>
        <w:rPr>
          <w:rFonts w:ascii="Arial" w:hAnsi="Arial" w:cs="Arial"/>
        </w:rPr>
        <w:t>Preiser, W.</w:t>
      </w:r>
      <w:r w:rsidRPr="000A38A6">
        <w:rPr>
          <w:rFonts w:ascii="Arial" w:hAnsi="Arial" w:cs="Arial"/>
        </w:rPr>
        <w:t>F</w:t>
      </w:r>
      <w:r>
        <w:rPr>
          <w:rFonts w:ascii="Arial" w:hAnsi="Arial" w:cs="Arial"/>
        </w:rPr>
        <w:t>.</w:t>
      </w:r>
      <w:r w:rsidRPr="000A38A6">
        <w:rPr>
          <w:rFonts w:ascii="Arial" w:hAnsi="Arial" w:cs="Arial"/>
        </w:rPr>
        <w:t>E</w:t>
      </w:r>
      <w:r>
        <w:rPr>
          <w:rFonts w:ascii="Arial" w:hAnsi="Arial" w:cs="Arial"/>
        </w:rPr>
        <w:t>.</w:t>
      </w:r>
      <w:r w:rsidRPr="000A38A6">
        <w:rPr>
          <w:rFonts w:ascii="Arial" w:hAnsi="Arial" w:cs="Arial"/>
        </w:rPr>
        <w:t xml:space="preserve"> Preiser and Smith, K.H. (2011). </w:t>
      </w:r>
      <w:r w:rsidRPr="000A38A6">
        <w:rPr>
          <w:rFonts w:ascii="Arial" w:hAnsi="Arial" w:cs="Arial"/>
          <w:i/>
          <w:iCs/>
        </w:rPr>
        <w:t>Universal design handbook</w:t>
      </w:r>
      <w:r w:rsidRPr="000A38A6">
        <w:rPr>
          <w:rFonts w:ascii="Arial" w:hAnsi="Arial" w:cs="Arial"/>
        </w:rPr>
        <w:t>. New York McGraw Hill Professional.</w:t>
      </w:r>
    </w:p>
    <w:p w14:paraId="68D6A798" w14:textId="77777777" w:rsidR="004E4D4C" w:rsidRDefault="004E4D4C" w:rsidP="00B43F5D">
      <w:pPr>
        <w:spacing w:line="360" w:lineRule="auto"/>
        <w:jc w:val="both"/>
        <w:rPr>
          <w:rFonts w:ascii="Arial" w:hAnsi="Arial" w:cs="Arial"/>
        </w:rPr>
      </w:pPr>
      <w:r w:rsidRPr="00B43F5D">
        <w:rPr>
          <w:rFonts w:ascii="Arial" w:hAnsi="Arial" w:cs="Arial"/>
        </w:rPr>
        <w:t>Wall, S. (2008). Easier Said than Done: Writing an Autoethnography. </w:t>
      </w:r>
      <w:r w:rsidRPr="00B43F5D">
        <w:rPr>
          <w:rFonts w:ascii="Arial" w:hAnsi="Arial" w:cs="Arial"/>
          <w:i/>
          <w:iCs/>
        </w:rPr>
        <w:t>International Journal of Qualitative Methods</w:t>
      </w:r>
      <w:r w:rsidRPr="00B43F5D">
        <w:rPr>
          <w:rFonts w:ascii="Arial" w:hAnsi="Arial" w:cs="Arial"/>
        </w:rPr>
        <w:t xml:space="preserve">, [online] 7(1), pp.38–53. Available at: </w:t>
      </w:r>
      <w:hyperlink r:id="rId43" w:history="1">
        <w:r w:rsidRPr="0003319F">
          <w:rPr>
            <w:rStyle w:val="Hyperlink"/>
            <w:rFonts w:ascii="Arial" w:hAnsi="Arial" w:cs="Arial"/>
          </w:rPr>
          <w:t>https://journals.sagepub.com/doi/pdf/10.1177/160940690800700103</w:t>
        </w:r>
      </w:hyperlink>
      <w:r w:rsidRPr="00B43F5D">
        <w:rPr>
          <w:rFonts w:ascii="Arial" w:hAnsi="Arial" w:cs="Arial"/>
        </w:rPr>
        <w:t>.</w:t>
      </w:r>
    </w:p>
    <w:p w14:paraId="0DE85AD2" w14:textId="77777777" w:rsidR="004E4D4C" w:rsidRDefault="004E4D4C" w:rsidP="009A0C1A">
      <w:pPr>
        <w:spacing w:line="360" w:lineRule="auto"/>
        <w:jc w:val="both"/>
        <w:rPr>
          <w:rFonts w:ascii="Arial" w:hAnsi="Arial" w:cs="Arial"/>
        </w:rPr>
      </w:pPr>
      <w:r w:rsidRPr="00586679">
        <w:rPr>
          <w:rFonts w:ascii="Arial" w:hAnsi="Arial" w:cs="Arial"/>
          <w:i/>
          <w:iCs/>
        </w:rPr>
        <w:t>Well-being of Future Generations (Wales) Act 2015</w:t>
      </w:r>
      <w:r w:rsidRPr="00586679">
        <w:rPr>
          <w:rFonts w:ascii="Arial" w:hAnsi="Arial" w:cs="Arial"/>
        </w:rPr>
        <w:t xml:space="preserve">, anaw 2. Available at: </w:t>
      </w:r>
      <w:hyperlink r:id="rId44" w:tgtFrame="_blank" w:history="1">
        <w:r w:rsidRPr="00586679">
          <w:rPr>
            <w:rStyle w:val="Hyperlink"/>
            <w:rFonts w:ascii="Arial" w:hAnsi="Arial" w:cs="Arial"/>
          </w:rPr>
          <w:t>https://www.legislation.gov.uk/anaw/2015/2/contents</w:t>
        </w:r>
      </w:hyperlink>
      <w:r w:rsidRPr="00586679">
        <w:rPr>
          <w:rFonts w:ascii="Arial" w:hAnsi="Arial" w:cs="Arial"/>
        </w:rPr>
        <w:t xml:space="preserve"> (Accessed: 18 March 2026).</w:t>
      </w:r>
    </w:p>
    <w:p w14:paraId="25F0F3A5" w14:textId="77777777" w:rsidR="004E4D4C" w:rsidRPr="00586679" w:rsidRDefault="004E4D4C" w:rsidP="009A0C1A">
      <w:pPr>
        <w:spacing w:line="360" w:lineRule="auto"/>
        <w:jc w:val="both"/>
        <w:rPr>
          <w:rFonts w:ascii="Arial" w:hAnsi="Arial" w:cs="Arial"/>
        </w:rPr>
      </w:pPr>
      <w:r w:rsidRPr="00586679">
        <w:rPr>
          <w:rFonts w:ascii="Arial" w:hAnsi="Arial" w:cs="Arial"/>
        </w:rPr>
        <w:t>Welsh Government (2015). </w:t>
      </w:r>
      <w:r w:rsidRPr="00586679">
        <w:rPr>
          <w:rFonts w:ascii="Arial" w:hAnsi="Arial" w:cs="Arial"/>
          <w:i/>
          <w:iCs/>
        </w:rPr>
        <w:t>The Well-being of Future Generations</w:t>
      </w:r>
      <w:r w:rsidRPr="00586679">
        <w:rPr>
          <w:rFonts w:ascii="Arial" w:hAnsi="Arial" w:cs="Arial"/>
        </w:rPr>
        <w:t xml:space="preserve">. [online] GOV.WALES. Available at: </w:t>
      </w:r>
      <w:hyperlink r:id="rId45" w:history="1">
        <w:r w:rsidRPr="00586679">
          <w:rPr>
            <w:rStyle w:val="Hyperlink"/>
            <w:rFonts w:ascii="Arial" w:hAnsi="Arial" w:cs="Arial"/>
          </w:rPr>
          <w:t>https://www.gov.wales/well-being-of-future-generations-wales</w:t>
        </w:r>
      </w:hyperlink>
      <w:r w:rsidRPr="00586679">
        <w:rPr>
          <w:rFonts w:ascii="Arial" w:hAnsi="Arial" w:cs="Arial"/>
        </w:rPr>
        <w:t>. (Accessed: 18 March 2026).</w:t>
      </w:r>
    </w:p>
    <w:p w14:paraId="27BFD41D" w14:textId="77777777" w:rsidR="004E4D4C" w:rsidRDefault="004E4D4C" w:rsidP="00A8159F">
      <w:pPr>
        <w:spacing w:line="360" w:lineRule="auto"/>
        <w:jc w:val="both"/>
        <w:rPr>
          <w:rFonts w:ascii="Arial" w:hAnsi="Arial" w:cs="Arial"/>
        </w:rPr>
      </w:pPr>
      <w:r w:rsidRPr="006A4AF6">
        <w:rPr>
          <w:rFonts w:ascii="Arial" w:hAnsi="Arial" w:cs="Arial"/>
        </w:rPr>
        <w:lastRenderedPageBreak/>
        <w:t>‌</w:t>
      </w:r>
      <w:r w:rsidRPr="00BD1D50">
        <w:rPr>
          <w:rFonts w:ascii="Arial" w:hAnsi="Arial" w:cs="Arial"/>
        </w:rPr>
        <w:t>Welsh Government. (202</w:t>
      </w:r>
      <w:r>
        <w:rPr>
          <w:rFonts w:ascii="Arial" w:hAnsi="Arial" w:cs="Arial"/>
        </w:rPr>
        <w:t>5</w:t>
      </w:r>
      <w:r w:rsidRPr="00BD1D50">
        <w:rPr>
          <w:rFonts w:ascii="Arial" w:hAnsi="Arial" w:cs="Arial"/>
        </w:rPr>
        <w:t xml:space="preserve">). </w:t>
      </w:r>
      <w:r w:rsidRPr="00BD1D50">
        <w:rPr>
          <w:rFonts w:ascii="Arial" w:hAnsi="Arial" w:cs="Arial"/>
          <w:i/>
          <w:iCs/>
        </w:rPr>
        <w:t>The Building Regulations 2010: Approved Document M: Access to and use of buildings, Volume 2 – Buildings other than dwellings.</w:t>
      </w:r>
      <w:r w:rsidRPr="00BD1D50">
        <w:rPr>
          <w:rFonts w:ascii="Arial" w:hAnsi="Arial" w:cs="Arial"/>
        </w:rPr>
        <w:t xml:space="preserve"> [Online]. Available at: </w:t>
      </w:r>
      <w:hyperlink r:id="rId46" w:tgtFrame="_blank" w:history="1">
        <w:r w:rsidRPr="00BD1D50">
          <w:rPr>
            <w:rStyle w:val="Hyperlink"/>
            <w:rFonts w:ascii="Arial" w:hAnsi="Arial" w:cs="Arial"/>
          </w:rPr>
          <w:t>https://www.gov.wales/building-regulations-approved-document-m-access-and-use-buildings</w:t>
        </w:r>
      </w:hyperlink>
      <w:r w:rsidRPr="00BD1D50">
        <w:rPr>
          <w:rFonts w:ascii="Arial" w:hAnsi="Arial" w:cs="Arial"/>
        </w:rPr>
        <w:t xml:space="preserve"> (Accessed: 4 March 2026).</w:t>
      </w:r>
    </w:p>
    <w:p w14:paraId="053927D8" w14:textId="77777777" w:rsidR="004E4D4C" w:rsidRDefault="004E4D4C" w:rsidP="0077714F">
      <w:pPr>
        <w:spacing w:line="360" w:lineRule="auto"/>
        <w:jc w:val="both"/>
        <w:rPr>
          <w:rFonts w:ascii="Arial" w:hAnsi="Arial" w:cs="Arial"/>
        </w:rPr>
      </w:pPr>
      <w:r w:rsidRPr="0077714F">
        <w:rPr>
          <w:rFonts w:ascii="Arial" w:hAnsi="Arial" w:cs="Arial"/>
        </w:rPr>
        <w:t xml:space="preserve">Weston, R. (2020) </w:t>
      </w:r>
      <w:r w:rsidRPr="0077714F">
        <w:rPr>
          <w:rFonts w:ascii="Arial" w:hAnsi="Arial" w:cs="Arial"/>
          <w:i/>
          <w:iCs/>
        </w:rPr>
        <w:t>100 Ideas that Changed Architecture</w:t>
      </w:r>
      <w:r w:rsidRPr="0077714F">
        <w:rPr>
          <w:rFonts w:ascii="Arial" w:hAnsi="Arial" w:cs="Arial"/>
        </w:rPr>
        <w:t>. Laurence King Publishing.</w:t>
      </w:r>
    </w:p>
    <w:p w14:paraId="58AC00C3" w14:textId="65EFAD7F" w:rsidR="006A4694" w:rsidRPr="006A4694" w:rsidRDefault="006A4694" w:rsidP="006A4694">
      <w:pPr>
        <w:spacing w:line="360" w:lineRule="auto"/>
        <w:jc w:val="both"/>
        <w:rPr>
          <w:rFonts w:ascii="Arial" w:hAnsi="Arial" w:cs="Arial"/>
        </w:rPr>
      </w:pPr>
      <w:r w:rsidRPr="006A4694">
        <w:rPr>
          <w:rFonts w:ascii="Arial" w:hAnsi="Arial" w:cs="Arial"/>
        </w:rPr>
        <w:t>Zumthor, P. (2006). </w:t>
      </w:r>
      <w:r w:rsidRPr="006A4694">
        <w:rPr>
          <w:rFonts w:ascii="Arial" w:hAnsi="Arial" w:cs="Arial"/>
          <w:i/>
          <w:iCs/>
        </w:rPr>
        <w:t>Atmospheres: architectural environments, surrounding objects</w:t>
      </w:r>
      <w:r w:rsidRPr="006A4694">
        <w:rPr>
          <w:rFonts w:ascii="Arial" w:hAnsi="Arial" w:cs="Arial"/>
        </w:rPr>
        <w:t>. Basel ; Boston ; Berlin: Birkhäuser, , Cop.</w:t>
      </w:r>
    </w:p>
    <w:p w14:paraId="59A63093" w14:textId="76A9F91D" w:rsidR="006A4694" w:rsidRDefault="006A4694" w:rsidP="006A4694">
      <w:pPr>
        <w:spacing w:line="360" w:lineRule="auto"/>
        <w:jc w:val="both"/>
        <w:rPr>
          <w:rFonts w:ascii="Arial" w:hAnsi="Arial" w:cs="Arial"/>
        </w:rPr>
      </w:pPr>
      <w:r w:rsidRPr="006A4694">
        <w:rPr>
          <w:rFonts w:ascii="Arial" w:hAnsi="Arial" w:cs="Arial"/>
        </w:rPr>
        <w:t>‌</w:t>
      </w:r>
      <w:r w:rsidR="00EA2DEF" w:rsidRPr="00EA2DEF">
        <w:rPr>
          <w:rFonts w:ascii="Arial" w:hAnsi="Arial" w:cs="Arial"/>
        </w:rPr>
        <w:t xml:space="preserve">Bachelard, G. (1994) </w:t>
      </w:r>
      <w:r w:rsidR="00EA2DEF" w:rsidRPr="00EA2DEF">
        <w:rPr>
          <w:rFonts w:ascii="Arial" w:hAnsi="Arial" w:cs="Arial"/>
          <w:i/>
          <w:iCs/>
        </w:rPr>
        <w:t>The Poetics of Space.</w:t>
      </w:r>
      <w:r w:rsidR="00EA2DEF" w:rsidRPr="00EA2DEF">
        <w:rPr>
          <w:rFonts w:ascii="Arial" w:hAnsi="Arial" w:cs="Arial"/>
        </w:rPr>
        <w:t xml:space="preserve"> Translated by M. Jolas. Boston: Beacon Press.</w:t>
      </w:r>
    </w:p>
    <w:p w14:paraId="7126308B" w14:textId="1CAD6905" w:rsidR="00EA2DEF" w:rsidRPr="006A4694" w:rsidRDefault="00A35500" w:rsidP="006A4694">
      <w:pPr>
        <w:spacing w:line="360" w:lineRule="auto"/>
        <w:jc w:val="both"/>
        <w:rPr>
          <w:rFonts w:ascii="Arial" w:hAnsi="Arial" w:cs="Arial"/>
        </w:rPr>
      </w:pPr>
      <w:r w:rsidRPr="00A35500">
        <w:rPr>
          <w:rFonts w:ascii="Arial" w:hAnsi="Arial" w:cs="Arial"/>
        </w:rPr>
        <w:t xml:space="preserve">Merleau-Ponty, M. (2012) </w:t>
      </w:r>
      <w:r w:rsidRPr="00A35500">
        <w:rPr>
          <w:rFonts w:ascii="Arial" w:hAnsi="Arial" w:cs="Arial"/>
          <w:i/>
          <w:iCs/>
        </w:rPr>
        <w:t>Phenomenology of Perception.</w:t>
      </w:r>
      <w:r w:rsidRPr="00A35500">
        <w:rPr>
          <w:rFonts w:ascii="Arial" w:hAnsi="Arial" w:cs="Arial"/>
        </w:rPr>
        <w:t xml:space="preserve"> Translated by D. Landes. London: Routledge.</w:t>
      </w:r>
    </w:p>
    <w:p w14:paraId="6D94108E" w14:textId="5158EDA2" w:rsidR="006A4694" w:rsidRDefault="005853D4" w:rsidP="0077714F">
      <w:pPr>
        <w:spacing w:line="360" w:lineRule="auto"/>
        <w:jc w:val="both"/>
        <w:rPr>
          <w:rFonts w:ascii="Arial" w:hAnsi="Arial" w:cs="Arial"/>
        </w:rPr>
      </w:pPr>
      <w:r w:rsidRPr="005853D4">
        <w:rPr>
          <w:rFonts w:ascii="Arial" w:hAnsi="Arial" w:cs="Arial"/>
        </w:rPr>
        <w:t xml:space="preserve">Office for National Statistics (2022) </w:t>
      </w:r>
      <w:r w:rsidRPr="005853D4">
        <w:rPr>
          <w:rFonts w:ascii="Arial" w:hAnsi="Arial" w:cs="Arial"/>
          <w:i/>
          <w:iCs/>
        </w:rPr>
        <w:t>Disability, England and Wales: Census 2021</w:t>
      </w:r>
      <w:r w:rsidRPr="005853D4">
        <w:rPr>
          <w:rFonts w:ascii="Arial" w:hAnsi="Arial" w:cs="Arial"/>
        </w:rPr>
        <w:t xml:space="preserve">. </w:t>
      </w:r>
      <w:r w:rsidRPr="005853D4">
        <w:rPr>
          <w:rFonts w:ascii="Arial" w:hAnsi="Arial" w:cs="Arial"/>
        </w:rPr>
        <w:t>Available at:</w:t>
      </w:r>
      <w:r w:rsidR="00D22B81">
        <w:rPr>
          <w:rFonts w:ascii="Arial" w:hAnsi="Arial" w:cs="Arial"/>
        </w:rPr>
        <w:t xml:space="preserve"> </w:t>
      </w:r>
      <w:hyperlink r:id="rId47" w:history="1">
        <w:r w:rsidR="00D22B81" w:rsidRPr="00355755">
          <w:rPr>
            <w:rStyle w:val="Hyperlink"/>
            <w:rFonts w:ascii="Arial" w:hAnsi="Arial" w:cs="Arial"/>
          </w:rPr>
          <w:t>https://www.ons.gov.uk/peoplepopulationandcommunity/healthandsocialcare/healthandwellbeing/bulletins/disabilityenglandandwales/census2021</w:t>
        </w:r>
      </w:hyperlink>
      <w:r w:rsidR="00D22B81">
        <w:rPr>
          <w:rFonts w:ascii="Arial" w:hAnsi="Arial" w:cs="Arial"/>
        </w:rPr>
        <w:t xml:space="preserve"> (Accessed: 23 April 2026)</w:t>
      </w:r>
    </w:p>
    <w:p w14:paraId="6695EAFB" w14:textId="3CB20E8D" w:rsidR="005853D4" w:rsidRPr="00D22B81" w:rsidRDefault="00D22B81" w:rsidP="0077714F">
      <w:pPr>
        <w:spacing w:line="360" w:lineRule="auto"/>
        <w:jc w:val="both"/>
      </w:pPr>
      <w:r>
        <w:rPr>
          <w:rFonts w:ascii="Arial" w:hAnsi="Arial" w:cs="Arial"/>
        </w:rPr>
        <w:t xml:space="preserve">Office for National Statistics (2022) </w:t>
      </w:r>
      <w:r>
        <w:rPr>
          <w:rFonts w:ascii="Arial" w:hAnsi="Arial" w:cs="Arial"/>
          <w:i/>
          <w:iCs/>
        </w:rPr>
        <w:t xml:space="preserve">How life has changed in Swansea: Census 2021. </w:t>
      </w:r>
      <w:r>
        <w:rPr>
          <w:rFonts w:ascii="Arial" w:hAnsi="Arial" w:cs="Arial"/>
        </w:rPr>
        <w:t xml:space="preserve">Available at: </w:t>
      </w:r>
      <w:hyperlink r:id="rId48" w:history="1">
        <w:r w:rsidRPr="00355755">
          <w:rPr>
            <w:rStyle w:val="Hyperlink"/>
            <w:rFonts w:ascii="Arial" w:hAnsi="Arial" w:cs="Arial"/>
          </w:rPr>
          <w:t>https://www.ons.gov.uk/visualisations/censusareachanges/W06000011/</w:t>
        </w:r>
      </w:hyperlink>
      <w:r>
        <w:t xml:space="preserve"> </w:t>
      </w:r>
      <w:r>
        <w:rPr>
          <w:rFonts w:ascii="Arial" w:hAnsi="Arial" w:cs="Arial"/>
        </w:rPr>
        <w:t>(Accessed: 23 April 2026)</w:t>
      </w:r>
    </w:p>
    <w:p w14:paraId="1775A293" w14:textId="47A5BF50" w:rsidR="008B0519" w:rsidRDefault="008B0519" w:rsidP="008B0519">
      <w:pPr>
        <w:spacing w:line="360" w:lineRule="auto"/>
        <w:jc w:val="both"/>
        <w:rPr>
          <w:rFonts w:ascii="Arial" w:hAnsi="Arial" w:cs="Arial"/>
        </w:rPr>
      </w:pPr>
      <w:r>
        <w:rPr>
          <w:rFonts w:ascii="Arial" w:hAnsi="Arial" w:cs="Arial"/>
        </w:rPr>
        <w:t>Hidden Disabilities</w:t>
      </w:r>
      <w:r w:rsidRPr="008B0519">
        <w:rPr>
          <w:rFonts w:ascii="Arial" w:hAnsi="Arial" w:cs="Arial"/>
        </w:rPr>
        <w:t xml:space="preserve"> (2026) </w:t>
      </w:r>
      <w:r w:rsidRPr="008B0519">
        <w:rPr>
          <w:rFonts w:ascii="Arial" w:hAnsi="Arial" w:cs="Arial"/>
          <w:i/>
          <w:iCs/>
        </w:rPr>
        <w:t>What is a hidden disability?</w:t>
      </w:r>
      <w:r w:rsidRPr="008B0519">
        <w:rPr>
          <w:rFonts w:ascii="Arial" w:hAnsi="Arial" w:cs="Arial"/>
        </w:rPr>
        <w:t xml:space="preserve">, </w:t>
      </w:r>
      <w:r w:rsidRPr="008B0519">
        <w:rPr>
          <w:rFonts w:ascii="Arial" w:hAnsi="Arial" w:cs="Arial"/>
          <w:i/>
          <w:iCs/>
        </w:rPr>
        <w:t>HDS</w:t>
      </w:r>
      <w:r w:rsidRPr="008B0519">
        <w:rPr>
          <w:rFonts w:ascii="Arial" w:hAnsi="Arial" w:cs="Arial"/>
        </w:rPr>
        <w:t xml:space="preserve">. </w:t>
      </w:r>
      <w:r w:rsidRPr="008B0519">
        <w:rPr>
          <w:rFonts w:ascii="Arial" w:hAnsi="Arial" w:cs="Arial"/>
        </w:rPr>
        <w:t xml:space="preserve">Available at: </w:t>
      </w:r>
      <w:hyperlink r:id="rId49" w:history="1">
        <w:r w:rsidRPr="00355755">
          <w:rPr>
            <w:rStyle w:val="Hyperlink"/>
            <w:rFonts w:ascii="Arial" w:hAnsi="Arial" w:cs="Arial"/>
          </w:rPr>
          <w:t>https://hdsunflower.com/uk/insights/post/what-is-a-hidden-disability</w:t>
        </w:r>
      </w:hyperlink>
      <w:r>
        <w:rPr>
          <w:rFonts w:ascii="Arial" w:hAnsi="Arial" w:cs="Arial"/>
        </w:rPr>
        <w:t xml:space="preserve"> </w:t>
      </w:r>
      <w:r w:rsidRPr="008B0519">
        <w:rPr>
          <w:rFonts w:ascii="Arial" w:hAnsi="Arial" w:cs="Arial"/>
        </w:rPr>
        <w:t>(Accessed: 2</w:t>
      </w:r>
      <w:r>
        <w:rPr>
          <w:rFonts w:ascii="Arial" w:hAnsi="Arial" w:cs="Arial"/>
        </w:rPr>
        <w:t>4</w:t>
      </w:r>
      <w:r w:rsidRPr="008B0519">
        <w:rPr>
          <w:rFonts w:ascii="Arial" w:hAnsi="Arial" w:cs="Arial"/>
        </w:rPr>
        <w:t xml:space="preserve"> April 2026). </w:t>
      </w:r>
    </w:p>
    <w:p w14:paraId="2B40A923" w14:textId="71C5A452" w:rsidR="002556B1" w:rsidRDefault="00FF52DC" w:rsidP="002556B1">
      <w:pPr>
        <w:spacing w:line="360" w:lineRule="auto"/>
        <w:jc w:val="both"/>
        <w:rPr>
          <w:rFonts w:ascii="Arial" w:hAnsi="Arial" w:cs="Arial"/>
        </w:rPr>
      </w:pPr>
      <w:r>
        <w:rPr>
          <w:rFonts w:ascii="Arial" w:hAnsi="Arial" w:cs="Arial"/>
        </w:rPr>
        <w:t>Welsh Government</w:t>
      </w:r>
      <w:r w:rsidR="00F74316">
        <w:rPr>
          <w:rFonts w:ascii="Arial" w:hAnsi="Arial" w:cs="Arial"/>
        </w:rPr>
        <w:t>.</w:t>
      </w:r>
      <w:r>
        <w:rPr>
          <w:rFonts w:ascii="Arial" w:hAnsi="Arial" w:cs="Arial"/>
        </w:rPr>
        <w:t xml:space="preserve"> (2017)</w:t>
      </w:r>
      <w:r w:rsidR="00F74316">
        <w:rPr>
          <w:rFonts w:ascii="Arial" w:hAnsi="Arial" w:cs="Arial"/>
        </w:rPr>
        <w:t xml:space="preserve"> </w:t>
      </w:r>
      <w:r w:rsidR="00F74316">
        <w:rPr>
          <w:rFonts w:ascii="Arial" w:hAnsi="Arial" w:cs="Arial"/>
          <w:i/>
          <w:iCs/>
        </w:rPr>
        <w:t>Design and Access Statements in Wales</w:t>
      </w:r>
      <w:r w:rsidR="000D50FB">
        <w:rPr>
          <w:rFonts w:ascii="Arial" w:hAnsi="Arial" w:cs="Arial"/>
          <w:i/>
          <w:iCs/>
        </w:rPr>
        <w:t>: Why, What and How</w:t>
      </w:r>
      <w:r w:rsidR="002556B1">
        <w:rPr>
          <w:rFonts w:ascii="Arial" w:hAnsi="Arial" w:cs="Arial"/>
          <w:i/>
          <w:iCs/>
        </w:rPr>
        <w:t xml:space="preserve">. </w:t>
      </w:r>
      <w:r w:rsidR="002556B1">
        <w:rPr>
          <w:rFonts w:ascii="Arial" w:hAnsi="Arial" w:cs="Arial"/>
        </w:rPr>
        <w:t xml:space="preserve">Available at: </w:t>
      </w:r>
      <w:hyperlink r:id="rId50" w:history="1">
        <w:r w:rsidR="002556B1" w:rsidRPr="00355755">
          <w:rPr>
            <w:rStyle w:val="Hyperlink"/>
            <w:rFonts w:ascii="Arial" w:hAnsi="Arial" w:cs="Arial"/>
          </w:rPr>
          <w:t>https://www.gov.wales/sites/default/files/publications/2018-09/design-and-access-statements.pdf</w:t>
        </w:r>
      </w:hyperlink>
      <w:r w:rsidR="002556B1">
        <w:rPr>
          <w:rFonts w:ascii="Arial" w:hAnsi="Arial" w:cs="Arial"/>
        </w:rPr>
        <w:t xml:space="preserve"> </w:t>
      </w:r>
      <w:r w:rsidR="002556B1" w:rsidRPr="008B0519">
        <w:rPr>
          <w:rFonts w:ascii="Arial" w:hAnsi="Arial" w:cs="Arial"/>
        </w:rPr>
        <w:t>(Accessed: 2</w:t>
      </w:r>
      <w:r w:rsidR="002556B1">
        <w:rPr>
          <w:rFonts w:ascii="Arial" w:hAnsi="Arial" w:cs="Arial"/>
        </w:rPr>
        <w:t>4</w:t>
      </w:r>
      <w:r w:rsidR="002556B1" w:rsidRPr="008B0519">
        <w:rPr>
          <w:rFonts w:ascii="Arial" w:hAnsi="Arial" w:cs="Arial"/>
        </w:rPr>
        <w:t xml:space="preserve"> April 2026). </w:t>
      </w:r>
    </w:p>
    <w:p w14:paraId="15389A77" w14:textId="754114FB" w:rsidR="001C2B29" w:rsidRDefault="001C2B29" w:rsidP="001C2B29">
      <w:pPr>
        <w:spacing w:line="360" w:lineRule="auto"/>
        <w:jc w:val="both"/>
        <w:rPr>
          <w:rFonts w:ascii="Arial" w:hAnsi="Arial" w:cs="Arial"/>
        </w:rPr>
      </w:pPr>
      <w:r w:rsidRPr="001C2B29">
        <w:rPr>
          <w:rFonts w:ascii="Arial" w:hAnsi="Arial" w:cs="Arial"/>
        </w:rPr>
        <w:t>Swansea</w:t>
      </w:r>
      <w:r>
        <w:rPr>
          <w:rFonts w:ascii="Arial" w:hAnsi="Arial" w:cs="Arial"/>
        </w:rPr>
        <w:t xml:space="preserve"> Council. </w:t>
      </w:r>
      <w:r w:rsidRPr="001C2B29">
        <w:rPr>
          <w:rFonts w:ascii="Arial" w:hAnsi="Arial" w:cs="Arial"/>
        </w:rPr>
        <w:t>(20</w:t>
      </w:r>
      <w:r w:rsidR="0003474D">
        <w:rPr>
          <w:rFonts w:ascii="Arial" w:hAnsi="Arial" w:cs="Arial"/>
        </w:rPr>
        <w:t>25</w:t>
      </w:r>
      <w:r w:rsidRPr="001C2B29">
        <w:rPr>
          <w:rFonts w:ascii="Arial" w:hAnsi="Arial" w:cs="Arial"/>
        </w:rPr>
        <w:t>). </w:t>
      </w:r>
      <w:r w:rsidRPr="001C2B29">
        <w:rPr>
          <w:rFonts w:ascii="Arial" w:hAnsi="Arial" w:cs="Arial"/>
          <w:i/>
          <w:iCs/>
        </w:rPr>
        <w:t>Swansea city centre repurposing strategy - Swansea</w:t>
      </w:r>
      <w:r w:rsidRPr="001C2B29">
        <w:rPr>
          <w:rFonts w:ascii="Arial" w:hAnsi="Arial" w:cs="Arial"/>
        </w:rPr>
        <w:t xml:space="preserve">. [online] Available at: </w:t>
      </w:r>
      <w:hyperlink r:id="rId51" w:history="1">
        <w:r w:rsidRPr="00355755">
          <w:rPr>
            <w:rStyle w:val="Hyperlink"/>
            <w:rFonts w:ascii="Arial" w:hAnsi="Arial" w:cs="Arial"/>
          </w:rPr>
          <w:t>https://www.swansea.gov.uk/repurposingstrategy</w:t>
        </w:r>
      </w:hyperlink>
      <w:r w:rsidR="0003474D">
        <w:rPr>
          <w:rFonts w:ascii="Arial" w:hAnsi="Arial" w:cs="Arial"/>
        </w:rPr>
        <w:t xml:space="preserve"> </w:t>
      </w:r>
      <w:r w:rsidR="0003474D" w:rsidRPr="008B0519">
        <w:rPr>
          <w:rFonts w:ascii="Arial" w:hAnsi="Arial" w:cs="Arial"/>
        </w:rPr>
        <w:t>(Accessed: 2</w:t>
      </w:r>
      <w:r w:rsidR="0003474D">
        <w:rPr>
          <w:rFonts w:ascii="Arial" w:hAnsi="Arial" w:cs="Arial"/>
        </w:rPr>
        <w:t>4</w:t>
      </w:r>
      <w:r w:rsidR="0003474D" w:rsidRPr="008B0519">
        <w:rPr>
          <w:rFonts w:ascii="Arial" w:hAnsi="Arial" w:cs="Arial"/>
        </w:rPr>
        <w:t xml:space="preserve"> April 2026).</w:t>
      </w:r>
    </w:p>
    <w:p w14:paraId="775D418F" w14:textId="004DC4B2" w:rsidR="001C2B29" w:rsidRPr="001C2B29" w:rsidRDefault="00620577" w:rsidP="001C2B29">
      <w:pPr>
        <w:spacing w:line="360" w:lineRule="auto"/>
        <w:jc w:val="both"/>
        <w:rPr>
          <w:rFonts w:ascii="Arial" w:hAnsi="Arial" w:cs="Arial"/>
        </w:rPr>
      </w:pPr>
      <w:r w:rsidRPr="00620577">
        <w:rPr>
          <w:rFonts w:ascii="Arial" w:hAnsi="Arial" w:cs="Arial"/>
        </w:rPr>
        <w:t xml:space="preserve">Pink, S. (2015) </w:t>
      </w:r>
      <w:r w:rsidRPr="00620577">
        <w:rPr>
          <w:rFonts w:ascii="Arial" w:hAnsi="Arial" w:cs="Arial"/>
          <w:i/>
          <w:iCs/>
        </w:rPr>
        <w:t>Doing Sensory Ethnography</w:t>
      </w:r>
      <w:r w:rsidRPr="00620577">
        <w:rPr>
          <w:rFonts w:ascii="Arial" w:hAnsi="Arial" w:cs="Arial"/>
        </w:rPr>
        <w:t>. 2nd edn. London: Sage.</w:t>
      </w:r>
    </w:p>
    <w:p w14:paraId="378A898B" w14:textId="0B5E3224" w:rsidR="001C2B29" w:rsidRPr="001C2B29" w:rsidRDefault="001C2B29" w:rsidP="001C2B29">
      <w:pPr>
        <w:spacing w:line="360" w:lineRule="auto"/>
        <w:jc w:val="both"/>
        <w:rPr>
          <w:rFonts w:ascii="Arial" w:hAnsi="Arial" w:cs="Arial"/>
          <w:b/>
          <w:bCs/>
        </w:rPr>
      </w:pPr>
      <w:r w:rsidRPr="001C2B29">
        <w:rPr>
          <w:rFonts w:ascii="Arial" w:hAnsi="Arial" w:cs="Arial"/>
          <w:b/>
          <w:bCs/>
        </w:rPr>
        <w:t>‌</w:t>
      </w:r>
      <w:r w:rsidR="006F198E" w:rsidRPr="006F198E">
        <w:rPr>
          <w:rFonts w:ascii="Arial" w:hAnsi="Arial" w:cs="Arial"/>
        </w:rPr>
        <w:t>Low, S. (2016)</w:t>
      </w:r>
      <w:r w:rsidR="006F198E" w:rsidRPr="006F198E">
        <w:rPr>
          <w:rFonts w:ascii="Arial" w:hAnsi="Arial" w:cs="Arial"/>
          <w:i/>
          <w:iCs/>
        </w:rPr>
        <w:t xml:space="preserve"> Spatializing Culture: The Ethnography of Space and Place.</w:t>
      </w:r>
      <w:r w:rsidR="006F198E" w:rsidRPr="006F198E">
        <w:rPr>
          <w:rFonts w:ascii="Arial" w:hAnsi="Arial" w:cs="Arial"/>
        </w:rPr>
        <w:t xml:space="preserve"> London: Routledge.</w:t>
      </w:r>
    </w:p>
    <w:p w14:paraId="369D831A" w14:textId="67617A35" w:rsidR="00FF52DC" w:rsidRDefault="001105EA" w:rsidP="008B0519">
      <w:pPr>
        <w:spacing w:line="360" w:lineRule="auto"/>
        <w:jc w:val="both"/>
        <w:rPr>
          <w:rFonts w:ascii="Arial" w:hAnsi="Arial" w:cs="Arial"/>
        </w:rPr>
      </w:pPr>
      <w:r w:rsidRPr="001105EA">
        <w:rPr>
          <w:rFonts w:ascii="Arial" w:hAnsi="Arial" w:cs="Arial"/>
        </w:rPr>
        <w:t xml:space="preserve">Preiser, W. F., Nasar, J. L. and White, E. I. (2014) </w:t>
      </w:r>
      <w:r w:rsidRPr="001105EA">
        <w:rPr>
          <w:rFonts w:ascii="Arial" w:hAnsi="Arial" w:cs="Arial"/>
          <w:i/>
          <w:iCs/>
        </w:rPr>
        <w:t>Post-Occupancy Evaluation.</w:t>
      </w:r>
      <w:r w:rsidRPr="001105EA">
        <w:rPr>
          <w:rFonts w:ascii="Arial" w:hAnsi="Arial" w:cs="Arial"/>
        </w:rPr>
        <w:t xml:space="preserve"> London: Routledge.</w:t>
      </w:r>
    </w:p>
    <w:p w14:paraId="54E90ED1" w14:textId="77777777" w:rsidR="005168A7" w:rsidRDefault="005168A7" w:rsidP="005168A7">
      <w:pPr>
        <w:spacing w:line="360" w:lineRule="auto"/>
        <w:jc w:val="both"/>
        <w:rPr>
          <w:rFonts w:ascii="Arial" w:hAnsi="Arial" w:cs="Arial"/>
        </w:rPr>
      </w:pPr>
      <w:r w:rsidRPr="005168A7">
        <w:rPr>
          <w:rFonts w:ascii="Arial" w:hAnsi="Arial" w:cs="Arial"/>
        </w:rPr>
        <w:t xml:space="preserve">Norberg-Schulz, C. (1980) </w:t>
      </w:r>
      <w:r w:rsidRPr="005168A7">
        <w:rPr>
          <w:rFonts w:ascii="Arial" w:hAnsi="Arial" w:cs="Arial"/>
          <w:i/>
          <w:iCs/>
        </w:rPr>
        <w:t>Genius Loci: Towards a Phenomenology of Architecture</w:t>
      </w:r>
      <w:r w:rsidRPr="005168A7">
        <w:rPr>
          <w:rFonts w:ascii="Arial" w:hAnsi="Arial" w:cs="Arial"/>
        </w:rPr>
        <w:t>. New York : Rizzoli.</w:t>
      </w:r>
    </w:p>
    <w:p w14:paraId="2B7E4A4F" w14:textId="6801D8B8" w:rsidR="007E1AAD" w:rsidRPr="005168A7" w:rsidRDefault="0095491E" w:rsidP="005168A7">
      <w:pPr>
        <w:spacing w:line="360" w:lineRule="auto"/>
        <w:jc w:val="both"/>
        <w:rPr>
          <w:rFonts w:ascii="Arial" w:hAnsi="Arial" w:cs="Arial"/>
        </w:rPr>
      </w:pPr>
      <w:r w:rsidRPr="0095491E">
        <w:rPr>
          <w:rFonts w:ascii="Arial" w:hAnsi="Arial" w:cs="Arial"/>
        </w:rPr>
        <w:lastRenderedPageBreak/>
        <w:t>ACME and Swansea Council (201</w:t>
      </w:r>
      <w:r w:rsidR="00E55B87">
        <w:rPr>
          <w:rFonts w:ascii="Arial" w:hAnsi="Arial" w:cs="Arial"/>
        </w:rPr>
        <w:t>8</w:t>
      </w:r>
      <w:r w:rsidRPr="0095491E">
        <w:rPr>
          <w:rFonts w:ascii="Arial" w:hAnsi="Arial" w:cs="Arial"/>
        </w:rPr>
        <w:t xml:space="preserve">) </w:t>
      </w:r>
      <w:r w:rsidRPr="0095491E">
        <w:rPr>
          <w:rFonts w:ascii="Arial" w:hAnsi="Arial" w:cs="Arial"/>
          <w:i/>
          <w:iCs/>
        </w:rPr>
        <w:t>Design and Access Statement: Swansea Central Phase 1 (Swansea Arena)</w:t>
      </w:r>
      <w:r w:rsidRPr="0095491E">
        <w:rPr>
          <w:rFonts w:ascii="Arial" w:hAnsi="Arial" w:cs="Arial"/>
        </w:rPr>
        <w:t>. Swansea: Swansea Council Planning Portal.</w:t>
      </w:r>
      <w:r w:rsidR="007E1AAD">
        <w:rPr>
          <w:rFonts w:ascii="Arial" w:hAnsi="Arial" w:cs="Arial"/>
        </w:rPr>
        <w:t xml:space="preserve"> Available at: </w:t>
      </w:r>
      <w:hyperlink r:id="rId52" w:history="1">
        <w:r w:rsidR="007E1AAD" w:rsidRPr="00355755">
          <w:rPr>
            <w:rStyle w:val="Hyperlink"/>
            <w:rFonts w:ascii="Arial" w:hAnsi="Arial" w:cs="Arial"/>
          </w:rPr>
          <w:t>https://property.swansea.gov.uk/online-applications/applicationDetails.do?activeTab=documents&amp;keyVal=PCGX5TEVJED00</w:t>
        </w:r>
      </w:hyperlink>
      <w:r w:rsidR="007E1AAD">
        <w:rPr>
          <w:rFonts w:ascii="Arial" w:hAnsi="Arial" w:cs="Arial"/>
        </w:rPr>
        <w:t xml:space="preserve"> (Accessed:</w:t>
      </w:r>
      <w:r w:rsidR="004335D3">
        <w:rPr>
          <w:rFonts w:ascii="Arial" w:hAnsi="Arial" w:cs="Arial"/>
        </w:rPr>
        <w:t xml:space="preserve"> 17 April 2026)</w:t>
      </w:r>
    </w:p>
    <w:p w14:paraId="0F933F6F" w14:textId="51DDA157" w:rsidR="005168A7" w:rsidRDefault="0095491E" w:rsidP="008B0519">
      <w:pPr>
        <w:spacing w:line="360" w:lineRule="auto"/>
        <w:jc w:val="both"/>
        <w:rPr>
          <w:rFonts w:ascii="Arial" w:hAnsi="Arial" w:cs="Arial"/>
        </w:rPr>
      </w:pPr>
      <w:r w:rsidRPr="0095491E">
        <w:rPr>
          <w:rFonts w:ascii="Arial" w:hAnsi="Arial" w:cs="Arial"/>
        </w:rPr>
        <w:t>Powell Dobson Architects (201</w:t>
      </w:r>
      <w:r w:rsidR="006E5788">
        <w:rPr>
          <w:rFonts w:ascii="Arial" w:hAnsi="Arial" w:cs="Arial"/>
        </w:rPr>
        <w:t>1</w:t>
      </w:r>
      <w:r w:rsidRPr="0095491E">
        <w:rPr>
          <w:rFonts w:ascii="Arial" w:hAnsi="Arial" w:cs="Arial"/>
        </w:rPr>
        <w:t xml:space="preserve">) </w:t>
      </w:r>
      <w:r w:rsidRPr="0095491E">
        <w:rPr>
          <w:rFonts w:ascii="Arial" w:hAnsi="Arial" w:cs="Arial"/>
          <w:i/>
          <w:iCs/>
        </w:rPr>
        <w:t>Design and Access Statement: Glynn Vivian Art Gallery Redevelopment</w:t>
      </w:r>
      <w:r w:rsidRPr="0095491E">
        <w:rPr>
          <w:rFonts w:ascii="Arial" w:hAnsi="Arial" w:cs="Arial"/>
        </w:rPr>
        <w:t>. Swansea: Swansea Council Planning Portal.</w:t>
      </w:r>
      <w:r w:rsidR="007E1AAD">
        <w:rPr>
          <w:rFonts w:ascii="Arial" w:hAnsi="Arial" w:cs="Arial"/>
        </w:rPr>
        <w:t xml:space="preserve"> Available at: </w:t>
      </w:r>
      <w:hyperlink r:id="rId53" w:history="1">
        <w:r w:rsidR="007E1AAD" w:rsidRPr="00355755">
          <w:rPr>
            <w:rStyle w:val="Hyperlink"/>
            <w:rFonts w:ascii="Arial" w:hAnsi="Arial" w:cs="Arial"/>
          </w:rPr>
          <w:t>https://property.swansea.gov.uk/online-applications/applicationDetails.do?activeTab=documents&amp;keyVal=ZZZZRTEVXB503</w:t>
        </w:r>
      </w:hyperlink>
      <w:r w:rsidR="004335D3">
        <w:rPr>
          <w:rFonts w:ascii="Arial" w:hAnsi="Arial" w:cs="Arial"/>
        </w:rPr>
        <w:t xml:space="preserve"> (Accessed: 17 April 2026)</w:t>
      </w:r>
    </w:p>
    <w:p w14:paraId="3E7C7F7E" w14:textId="7F3BFD07" w:rsidR="007E1AAD" w:rsidRPr="001105EA" w:rsidRDefault="007B52C4" w:rsidP="008B0519">
      <w:pPr>
        <w:spacing w:line="360" w:lineRule="auto"/>
        <w:jc w:val="both"/>
        <w:rPr>
          <w:rFonts w:ascii="Arial" w:hAnsi="Arial" w:cs="Arial"/>
        </w:rPr>
      </w:pPr>
      <w:r w:rsidRPr="007B52C4">
        <w:rPr>
          <w:rFonts w:ascii="Arial" w:hAnsi="Arial" w:cs="Arial"/>
        </w:rPr>
        <w:t xml:space="preserve">Newman, O. (1972) </w:t>
      </w:r>
      <w:r w:rsidRPr="007B52C4">
        <w:rPr>
          <w:rFonts w:ascii="Arial" w:hAnsi="Arial" w:cs="Arial"/>
          <w:i/>
          <w:iCs/>
        </w:rPr>
        <w:t>Defensible Space: Crime Prevention Through Urban Design</w:t>
      </w:r>
      <w:r w:rsidRPr="007B52C4">
        <w:rPr>
          <w:rFonts w:ascii="Arial" w:hAnsi="Arial" w:cs="Arial"/>
        </w:rPr>
        <w:t>. New York: Macmillan.</w:t>
      </w:r>
    </w:p>
    <w:p w14:paraId="52EA3672" w14:textId="08BF13D8" w:rsidR="002556B1" w:rsidRPr="002556B1" w:rsidRDefault="00701016" w:rsidP="008B0519">
      <w:pPr>
        <w:spacing w:line="360" w:lineRule="auto"/>
        <w:jc w:val="both"/>
        <w:rPr>
          <w:rFonts w:ascii="Arial" w:hAnsi="Arial" w:cs="Arial"/>
        </w:rPr>
      </w:pPr>
      <w:r w:rsidRPr="00701016">
        <w:rPr>
          <w:rFonts w:ascii="Arial" w:hAnsi="Arial" w:cs="Arial"/>
        </w:rPr>
        <w:t xml:space="preserve">Seamon, D. (1979) </w:t>
      </w:r>
      <w:r w:rsidRPr="00701016">
        <w:rPr>
          <w:rFonts w:ascii="Arial" w:hAnsi="Arial" w:cs="Arial"/>
          <w:i/>
          <w:iCs/>
        </w:rPr>
        <w:t>A Geography of the Lifeworld: Movement, Rest, and Encounter</w:t>
      </w:r>
      <w:r w:rsidRPr="00701016">
        <w:rPr>
          <w:rFonts w:ascii="Arial" w:hAnsi="Arial" w:cs="Arial"/>
        </w:rPr>
        <w:t>. London: Croom Helm.</w:t>
      </w:r>
    </w:p>
    <w:p w14:paraId="6600149D" w14:textId="1494F9FB" w:rsidR="00D22B81" w:rsidRPr="00D22B81" w:rsidRDefault="00A1702E" w:rsidP="0077714F">
      <w:pPr>
        <w:spacing w:line="360" w:lineRule="auto"/>
        <w:jc w:val="both"/>
        <w:rPr>
          <w:rFonts w:ascii="Arial" w:hAnsi="Arial" w:cs="Arial"/>
        </w:rPr>
      </w:pPr>
      <w:r w:rsidRPr="00A1702E">
        <w:rPr>
          <w:rFonts w:ascii="Arial" w:hAnsi="Arial" w:cs="Arial"/>
        </w:rPr>
        <w:t xml:space="preserve">Seamon, D. (2000) ‘A Way of Seeing People and Place: Phenomenology in Social Science Research’, in Wapner, S., Demick, J., Yamamoto, T. and Minami, H. (eds) </w:t>
      </w:r>
      <w:r w:rsidRPr="00A1702E">
        <w:rPr>
          <w:rFonts w:ascii="Arial" w:hAnsi="Arial" w:cs="Arial"/>
          <w:i/>
          <w:iCs/>
        </w:rPr>
        <w:t>Theoretical Perspectives in Environment-Behavior Research</w:t>
      </w:r>
      <w:r w:rsidRPr="00A1702E">
        <w:rPr>
          <w:rFonts w:ascii="Arial" w:hAnsi="Arial" w:cs="Arial"/>
        </w:rPr>
        <w:t>. New York: Kluwer Academic/Plenum, pp. 157-178.</w:t>
      </w:r>
    </w:p>
    <w:p w14:paraId="799459E9" w14:textId="77777777" w:rsidR="00B43F5D" w:rsidRPr="00B43F5D" w:rsidRDefault="00B43F5D" w:rsidP="00B43F5D">
      <w:pPr>
        <w:spacing w:line="360" w:lineRule="auto"/>
        <w:jc w:val="both"/>
        <w:rPr>
          <w:rFonts w:ascii="Arial" w:hAnsi="Arial" w:cs="Arial"/>
        </w:rPr>
      </w:pPr>
    </w:p>
    <w:p w14:paraId="50503105" w14:textId="77777777" w:rsidR="00B43F5D" w:rsidRPr="00B43F5D" w:rsidRDefault="00B43F5D" w:rsidP="00B43F5D">
      <w:pPr>
        <w:spacing w:line="360" w:lineRule="auto"/>
        <w:jc w:val="both"/>
        <w:rPr>
          <w:rFonts w:ascii="Arial" w:hAnsi="Arial" w:cs="Arial"/>
        </w:rPr>
      </w:pPr>
      <w:r w:rsidRPr="00B43F5D">
        <w:rPr>
          <w:rFonts w:ascii="Arial" w:hAnsi="Arial" w:cs="Arial"/>
        </w:rPr>
        <w:t>‌</w:t>
      </w:r>
    </w:p>
    <w:p w14:paraId="15CE0C4C" w14:textId="77777777" w:rsidR="0018587B" w:rsidRPr="0018587B" w:rsidRDefault="0018587B" w:rsidP="0018587B">
      <w:pPr>
        <w:spacing w:line="360" w:lineRule="auto"/>
        <w:jc w:val="both"/>
        <w:rPr>
          <w:rFonts w:ascii="Arial" w:hAnsi="Arial" w:cs="Arial"/>
        </w:rPr>
      </w:pPr>
    </w:p>
    <w:p w14:paraId="0370CF71" w14:textId="77777777" w:rsidR="0018587B" w:rsidRPr="0018587B" w:rsidRDefault="0018587B" w:rsidP="0018587B">
      <w:pPr>
        <w:spacing w:line="360" w:lineRule="auto"/>
        <w:jc w:val="both"/>
        <w:rPr>
          <w:rFonts w:ascii="Arial" w:hAnsi="Arial" w:cs="Arial"/>
        </w:rPr>
      </w:pPr>
      <w:r w:rsidRPr="0018587B">
        <w:rPr>
          <w:rFonts w:ascii="Arial" w:hAnsi="Arial" w:cs="Arial"/>
        </w:rPr>
        <w:t>‌</w:t>
      </w:r>
    </w:p>
    <w:p w14:paraId="680F4FA9" w14:textId="77777777" w:rsidR="00C06376" w:rsidRPr="00C06376" w:rsidRDefault="00C06376" w:rsidP="00C06376">
      <w:pPr>
        <w:spacing w:line="360" w:lineRule="auto"/>
        <w:jc w:val="both"/>
        <w:rPr>
          <w:rFonts w:ascii="Arial" w:hAnsi="Arial" w:cs="Arial"/>
        </w:rPr>
      </w:pPr>
    </w:p>
    <w:p w14:paraId="383A884E" w14:textId="77777777" w:rsidR="003234A9" w:rsidRPr="009A0C1A" w:rsidRDefault="003234A9" w:rsidP="009A0C1A">
      <w:pPr>
        <w:spacing w:line="360" w:lineRule="auto"/>
        <w:jc w:val="both"/>
        <w:rPr>
          <w:rFonts w:ascii="Arial" w:hAnsi="Arial" w:cs="Arial"/>
        </w:rPr>
      </w:pPr>
    </w:p>
    <w:p w14:paraId="10634977" w14:textId="77777777" w:rsidR="009A0C1A" w:rsidRPr="00FF01F9" w:rsidRDefault="009A0C1A" w:rsidP="00FF01F9">
      <w:pPr>
        <w:spacing w:line="360" w:lineRule="auto"/>
        <w:jc w:val="both"/>
        <w:rPr>
          <w:rFonts w:ascii="Arial" w:hAnsi="Arial" w:cs="Arial"/>
        </w:rPr>
      </w:pPr>
    </w:p>
    <w:p w14:paraId="25DFF6C0" w14:textId="77777777" w:rsidR="00FF01F9" w:rsidRDefault="00FF01F9" w:rsidP="00C8473E">
      <w:pPr>
        <w:spacing w:line="360" w:lineRule="auto"/>
        <w:jc w:val="both"/>
        <w:rPr>
          <w:rFonts w:ascii="Arial" w:hAnsi="Arial" w:cs="Arial"/>
        </w:rPr>
      </w:pPr>
    </w:p>
    <w:p w14:paraId="502FAF11" w14:textId="77777777" w:rsidR="00674C1F" w:rsidRPr="00C8473E" w:rsidRDefault="00674C1F" w:rsidP="00C8473E">
      <w:pPr>
        <w:spacing w:line="360" w:lineRule="auto"/>
        <w:jc w:val="both"/>
        <w:rPr>
          <w:rFonts w:ascii="Arial" w:hAnsi="Arial" w:cs="Arial"/>
        </w:rPr>
      </w:pPr>
    </w:p>
    <w:p w14:paraId="31C76B56" w14:textId="77777777" w:rsidR="00C8473E" w:rsidRPr="000A38A6" w:rsidRDefault="00C8473E" w:rsidP="00A8159F">
      <w:pPr>
        <w:spacing w:line="360" w:lineRule="auto"/>
        <w:jc w:val="both"/>
        <w:rPr>
          <w:rFonts w:ascii="Arial" w:hAnsi="Arial" w:cs="Arial"/>
        </w:rPr>
      </w:pPr>
    </w:p>
    <w:p w14:paraId="270831D4" w14:textId="3B7A35FA" w:rsidR="000C0624" w:rsidRPr="000C0624" w:rsidRDefault="000C0624" w:rsidP="00A8159F">
      <w:pPr>
        <w:spacing w:line="360" w:lineRule="auto"/>
        <w:jc w:val="both"/>
        <w:rPr>
          <w:rFonts w:ascii="Arial" w:hAnsi="Arial" w:cs="Arial"/>
        </w:rPr>
      </w:pPr>
    </w:p>
    <w:p w14:paraId="6918EBE4" w14:textId="006C66FD" w:rsidR="000A38A6" w:rsidRPr="000A38A6" w:rsidRDefault="000A38A6" w:rsidP="000A38A6">
      <w:pPr>
        <w:spacing w:line="360" w:lineRule="auto"/>
        <w:jc w:val="both"/>
        <w:rPr>
          <w:rFonts w:ascii="Arial" w:hAnsi="Arial" w:cs="Arial"/>
        </w:rPr>
      </w:pPr>
    </w:p>
    <w:p w14:paraId="5C7F65F8" w14:textId="6E3B142E" w:rsidR="000A38A6" w:rsidRDefault="001534FF" w:rsidP="00290C23">
      <w:pPr>
        <w:spacing w:line="360" w:lineRule="auto"/>
        <w:jc w:val="both"/>
        <w:rPr>
          <w:rFonts w:ascii="Arial" w:hAnsi="Arial" w:cs="Arial"/>
        </w:rPr>
      </w:pPr>
      <w:r>
        <w:rPr>
          <w:rFonts w:ascii="Arial" w:hAnsi="Arial" w:cs="Arial"/>
        </w:rPr>
        <w:lastRenderedPageBreak/>
        <w:t>Potential sources (just for me to go back to)</w:t>
      </w:r>
    </w:p>
    <w:p w14:paraId="7A76F59D" w14:textId="05C66429" w:rsidR="001534FF" w:rsidRDefault="00B93FEC" w:rsidP="00290C23">
      <w:pPr>
        <w:spacing w:line="360" w:lineRule="auto"/>
        <w:jc w:val="both"/>
        <w:rPr>
          <w:rFonts w:ascii="Arial" w:hAnsi="Arial" w:cs="Arial"/>
        </w:rPr>
      </w:pPr>
      <w:hyperlink r:id="rId54" w:history="1">
        <w:r w:rsidRPr="00652F3B">
          <w:rPr>
            <w:rStyle w:val="Hyperlink"/>
            <w:rFonts w:ascii="Arial" w:hAnsi="Arial" w:cs="Arial"/>
          </w:rPr>
          <w:t>https://www.afl-architects.com/projects/swansea-central</w:t>
        </w:r>
      </w:hyperlink>
    </w:p>
    <w:p w14:paraId="63F7B84B" w14:textId="276D6480" w:rsidR="00B93FEC" w:rsidRDefault="007B1DD5" w:rsidP="00290C23">
      <w:pPr>
        <w:spacing w:line="360" w:lineRule="auto"/>
        <w:jc w:val="both"/>
        <w:rPr>
          <w:rFonts w:ascii="Arial" w:hAnsi="Arial" w:cs="Arial"/>
        </w:rPr>
      </w:pPr>
      <w:hyperlink r:id="rId55" w:history="1">
        <w:r w:rsidRPr="00652F3B">
          <w:rPr>
            <w:rStyle w:val="Hyperlink"/>
            <w:rFonts w:ascii="Arial" w:hAnsi="Arial" w:cs="Arial"/>
          </w:rPr>
          <w:t>https://www.burohappold.com/projects/swansea-arena/</w:t>
        </w:r>
      </w:hyperlink>
    </w:p>
    <w:p w14:paraId="4E355F37" w14:textId="4404E716" w:rsidR="007B1DD5" w:rsidRDefault="007B1DD5" w:rsidP="00290C23">
      <w:pPr>
        <w:spacing w:line="360" w:lineRule="auto"/>
        <w:jc w:val="both"/>
        <w:rPr>
          <w:rFonts w:ascii="Arial" w:hAnsi="Arial" w:cs="Arial"/>
        </w:rPr>
      </w:pPr>
      <w:hyperlink r:id="rId56" w:history="1">
        <w:r w:rsidRPr="00652F3B">
          <w:rPr>
            <w:rStyle w:val="Hyperlink"/>
            <w:rFonts w:ascii="Arial" w:hAnsi="Arial" w:cs="Arial"/>
          </w:rPr>
          <w:t>https://acme.ac/blogs/projects/swansea-arena?srsltid=AfmBOorYO244uwd_-OeNhchZlJ4Zmja_FyTH4unN95nAWDb1yke7CTRB</w:t>
        </w:r>
      </w:hyperlink>
    </w:p>
    <w:p w14:paraId="7ACE2217" w14:textId="4680731B" w:rsidR="007B1DD5" w:rsidRDefault="00823980" w:rsidP="00290C23">
      <w:pPr>
        <w:spacing w:line="360" w:lineRule="auto"/>
        <w:jc w:val="both"/>
        <w:rPr>
          <w:rFonts w:ascii="Arial" w:hAnsi="Arial" w:cs="Arial"/>
        </w:rPr>
      </w:pPr>
      <w:hyperlink r:id="rId57" w:history="1">
        <w:r w:rsidRPr="00652F3B">
          <w:rPr>
            <w:rStyle w:val="Hyperlink"/>
            <w:rFonts w:ascii="Arial" w:hAnsi="Arial" w:cs="Arial"/>
          </w:rPr>
          <w:t>https://www.meetinwales.com/venue/attraction-venue/swansea-building-society-arena-578221</w:t>
        </w:r>
      </w:hyperlink>
    </w:p>
    <w:p w14:paraId="0B925FBA" w14:textId="1BF8CB37" w:rsidR="00823980" w:rsidRDefault="00886D8D" w:rsidP="00290C23">
      <w:pPr>
        <w:spacing w:line="360" w:lineRule="auto"/>
        <w:jc w:val="both"/>
        <w:rPr>
          <w:rFonts w:ascii="Arial" w:hAnsi="Arial" w:cs="Arial"/>
        </w:rPr>
      </w:pPr>
      <w:r w:rsidRPr="00886D8D">
        <w:rPr>
          <w:rFonts w:ascii="Arial" w:hAnsi="Arial" w:cs="Arial"/>
        </w:rPr>
        <w:t>GALLERIES. 2016. </w:t>
      </w:r>
      <w:r w:rsidRPr="00886D8D">
        <w:rPr>
          <w:rFonts w:ascii="Arial" w:hAnsi="Arial" w:cs="Arial"/>
          <w:i/>
          <w:iCs/>
        </w:rPr>
        <w:t>Art Monthly, </w:t>
      </w:r>
      <w:r w:rsidRPr="00886D8D">
        <w:rPr>
          <w:rFonts w:ascii="Arial" w:hAnsi="Arial" w:cs="Arial"/>
        </w:rPr>
        <w:t>(400), pp. 20-21.</w:t>
      </w:r>
    </w:p>
    <w:p w14:paraId="1943EE7F" w14:textId="0FB450BF" w:rsidR="00886D8D" w:rsidRDefault="008A45FD" w:rsidP="00290C23">
      <w:pPr>
        <w:spacing w:line="360" w:lineRule="auto"/>
        <w:jc w:val="both"/>
        <w:rPr>
          <w:rFonts w:ascii="Arial" w:hAnsi="Arial" w:cs="Arial"/>
        </w:rPr>
      </w:pPr>
      <w:hyperlink r:id="rId58" w:history="1">
        <w:r w:rsidRPr="00355755">
          <w:rPr>
            <w:rStyle w:val="Hyperlink"/>
            <w:rFonts w:ascii="Arial" w:hAnsi="Arial" w:cs="Arial"/>
          </w:rPr>
          <w:t>https://ahmarra.co.uk/doorset-specification/light-reflectance-values-lrv/</w:t>
        </w:r>
      </w:hyperlink>
    </w:p>
    <w:p w14:paraId="3D9F6FE9" w14:textId="77777777" w:rsidR="008A45FD" w:rsidRDefault="008A45FD" w:rsidP="00290C23">
      <w:pPr>
        <w:spacing w:line="360" w:lineRule="auto"/>
        <w:jc w:val="both"/>
        <w:rPr>
          <w:rFonts w:ascii="Arial" w:hAnsi="Arial" w:cs="Arial"/>
        </w:rPr>
      </w:pPr>
    </w:p>
    <w:p w14:paraId="454CA015" w14:textId="77777777" w:rsidR="00AF4565" w:rsidRPr="00290C23" w:rsidRDefault="00AF4565" w:rsidP="00290C23">
      <w:pPr>
        <w:spacing w:line="360" w:lineRule="auto"/>
        <w:jc w:val="both"/>
        <w:rPr>
          <w:rFonts w:ascii="Arial" w:hAnsi="Arial" w:cs="Arial"/>
        </w:rPr>
      </w:pPr>
    </w:p>
    <w:p w14:paraId="54ADE04D" w14:textId="77777777" w:rsidR="00290C23" w:rsidRPr="00290C23" w:rsidRDefault="00290C23" w:rsidP="00290C23">
      <w:pPr>
        <w:spacing w:line="360" w:lineRule="auto"/>
        <w:jc w:val="both"/>
        <w:rPr>
          <w:rFonts w:ascii="Arial" w:hAnsi="Arial" w:cs="Arial"/>
        </w:rPr>
      </w:pPr>
      <w:r w:rsidRPr="00290C23">
        <w:rPr>
          <w:rFonts w:ascii="Arial" w:hAnsi="Arial" w:cs="Arial"/>
        </w:rPr>
        <w:t>‌</w:t>
      </w:r>
    </w:p>
    <w:p w14:paraId="56D3CB30" w14:textId="77777777" w:rsidR="001F155F" w:rsidRDefault="001F155F" w:rsidP="00617E10">
      <w:pPr>
        <w:spacing w:line="360" w:lineRule="auto"/>
        <w:jc w:val="both"/>
        <w:rPr>
          <w:rFonts w:ascii="Arial" w:hAnsi="Arial" w:cs="Arial"/>
          <w:b/>
          <w:bCs/>
        </w:rPr>
      </w:pPr>
    </w:p>
    <w:p w14:paraId="6A4A4A88" w14:textId="77777777" w:rsidR="001F155F" w:rsidRDefault="001F155F">
      <w:pPr>
        <w:rPr>
          <w:rFonts w:ascii="Arial" w:hAnsi="Arial" w:cs="Arial"/>
          <w:b/>
          <w:bCs/>
        </w:rPr>
      </w:pPr>
      <w:r>
        <w:rPr>
          <w:rFonts w:ascii="Arial" w:hAnsi="Arial" w:cs="Arial"/>
          <w:b/>
          <w:bCs/>
        </w:rPr>
        <w:br w:type="page"/>
      </w:r>
    </w:p>
    <w:p w14:paraId="782FFA47" w14:textId="36EDB2B0" w:rsidR="001F155F" w:rsidRPr="00C74450" w:rsidRDefault="001F155F" w:rsidP="00D01C0C">
      <w:pPr>
        <w:pStyle w:val="NoSpacing"/>
        <w:tabs>
          <w:tab w:val="left" w:pos="8046"/>
        </w:tabs>
        <w:spacing w:line="360" w:lineRule="auto"/>
        <w:rPr>
          <w:rFonts w:ascii="Arial" w:hAnsi="Arial" w:cs="Arial"/>
          <w:b/>
          <w:bCs/>
          <w:sz w:val="32"/>
          <w:szCs w:val="32"/>
          <w:lang w:val="en-GB"/>
        </w:rPr>
      </w:pPr>
      <w:r>
        <w:rPr>
          <w:rFonts w:ascii="Arial" w:hAnsi="Arial" w:cs="Arial"/>
          <w:b/>
          <w:bCs/>
          <w:sz w:val="32"/>
          <w:szCs w:val="32"/>
          <w:lang w:val="en-GB"/>
        </w:rPr>
        <w:lastRenderedPageBreak/>
        <w:t>Bibliography</w:t>
      </w:r>
    </w:p>
    <w:p w14:paraId="7D89E867" w14:textId="7AA164F5" w:rsidR="00D01C0C" w:rsidRDefault="00D01C0C" w:rsidP="00D01C0C">
      <w:pPr>
        <w:spacing w:line="360" w:lineRule="auto"/>
        <w:jc w:val="both"/>
        <w:rPr>
          <w:rFonts w:ascii="Arial" w:hAnsi="Arial" w:cs="Arial"/>
        </w:rPr>
      </w:pPr>
      <w:r w:rsidRPr="003234A9">
        <w:rPr>
          <w:rFonts w:ascii="Arial" w:hAnsi="Arial" w:cs="Arial"/>
        </w:rPr>
        <w:t>Rescare (2016). </w:t>
      </w:r>
      <w:r w:rsidRPr="003234A9">
        <w:rPr>
          <w:rFonts w:ascii="Arial" w:hAnsi="Arial" w:cs="Arial"/>
          <w:i/>
          <w:iCs/>
        </w:rPr>
        <w:t>History of Legislation on Disability</w:t>
      </w:r>
      <w:r w:rsidRPr="003234A9">
        <w:rPr>
          <w:rFonts w:ascii="Arial" w:hAnsi="Arial" w:cs="Arial"/>
        </w:rPr>
        <w:t xml:space="preserve">. [online] Rescare. Available at: </w:t>
      </w:r>
      <w:hyperlink r:id="rId59" w:history="1">
        <w:r w:rsidRPr="003234A9">
          <w:rPr>
            <w:rStyle w:val="Hyperlink"/>
            <w:rFonts w:ascii="Arial" w:hAnsi="Arial" w:cs="Arial"/>
          </w:rPr>
          <w:t>https://www.rescare.org.uk/history-of-legislation-on-disability-2/</w:t>
        </w:r>
      </w:hyperlink>
      <w:r w:rsidRPr="003234A9">
        <w:rPr>
          <w:rFonts w:ascii="Arial" w:hAnsi="Arial" w:cs="Arial"/>
        </w:rPr>
        <w:t>.</w:t>
      </w:r>
      <w:r>
        <w:rPr>
          <w:rFonts w:ascii="Arial" w:hAnsi="Arial" w:cs="Arial"/>
        </w:rPr>
        <w:t xml:space="preserve"> (Accessed: 20 March 2026).</w:t>
      </w:r>
    </w:p>
    <w:p w14:paraId="1C3E0F7C" w14:textId="7CCF840B" w:rsidR="00575EA3" w:rsidRDefault="00575EA3" w:rsidP="00D01C0C">
      <w:pPr>
        <w:spacing w:line="360" w:lineRule="auto"/>
        <w:jc w:val="both"/>
        <w:rPr>
          <w:rFonts w:ascii="Arial" w:hAnsi="Arial" w:cs="Arial"/>
        </w:rPr>
      </w:pPr>
      <w:r w:rsidRPr="00575EA3">
        <w:rPr>
          <w:rFonts w:ascii="Arial" w:hAnsi="Arial" w:cs="Arial"/>
        </w:rPr>
        <w:t>Doan, T. and Darcy, S. (2024). Autoethnographic Disability-Related Research in Hospitality and Tourism Journals: Empowering Marginalized Identity Scholars’ Voices. </w:t>
      </w:r>
      <w:r w:rsidRPr="00575EA3">
        <w:rPr>
          <w:rFonts w:ascii="Arial" w:hAnsi="Arial" w:cs="Arial"/>
          <w:i/>
          <w:iCs/>
        </w:rPr>
        <w:t>Journal of Travel Research</w:t>
      </w:r>
      <w:r w:rsidRPr="00575EA3">
        <w:rPr>
          <w:rFonts w:ascii="Arial" w:hAnsi="Arial" w:cs="Arial"/>
        </w:rPr>
        <w:t>.</w:t>
      </w:r>
      <w:r>
        <w:rPr>
          <w:rFonts w:ascii="Arial" w:hAnsi="Arial" w:cs="Arial"/>
        </w:rPr>
        <w:t xml:space="preserve"> Available at:</w:t>
      </w:r>
      <w:r w:rsidRPr="00575EA3">
        <w:rPr>
          <w:rFonts w:ascii="Arial" w:hAnsi="Arial" w:cs="Arial"/>
        </w:rPr>
        <w:t xml:space="preserve"> </w:t>
      </w:r>
      <w:hyperlink r:id="rId60" w:history="1">
        <w:r w:rsidRPr="0003319F">
          <w:rPr>
            <w:rStyle w:val="Hyperlink"/>
            <w:rFonts w:ascii="Arial" w:hAnsi="Arial" w:cs="Arial"/>
          </w:rPr>
          <w:t>https://journals.sagepub.com/doi/10.1177/00472875241257270</w:t>
        </w:r>
      </w:hyperlink>
      <w:r>
        <w:rPr>
          <w:rFonts w:ascii="Arial" w:hAnsi="Arial" w:cs="Arial"/>
        </w:rPr>
        <w:t xml:space="preserve"> (Accessed: 26 April 2026)</w:t>
      </w:r>
    </w:p>
    <w:p w14:paraId="157B3147" w14:textId="5D66DDB2" w:rsidR="0083095D" w:rsidRDefault="0083095D" w:rsidP="0083095D">
      <w:pPr>
        <w:spacing w:line="360" w:lineRule="auto"/>
        <w:jc w:val="both"/>
        <w:rPr>
          <w:rFonts w:ascii="Arial" w:hAnsi="Arial" w:cs="Arial"/>
        </w:rPr>
      </w:pPr>
      <w:r w:rsidRPr="0083095D">
        <w:rPr>
          <w:rFonts w:ascii="Arial" w:hAnsi="Arial" w:cs="Arial"/>
        </w:rPr>
        <w:t>Le Roux, C.S. (2016). Exploring rigour in autoethnographic research. </w:t>
      </w:r>
      <w:r w:rsidRPr="0083095D">
        <w:rPr>
          <w:rFonts w:ascii="Arial" w:hAnsi="Arial" w:cs="Arial"/>
          <w:i/>
          <w:iCs/>
        </w:rPr>
        <w:t>International Journal of Social Research Methodology</w:t>
      </w:r>
      <w:r w:rsidRPr="0083095D">
        <w:rPr>
          <w:rFonts w:ascii="Arial" w:hAnsi="Arial" w:cs="Arial"/>
        </w:rPr>
        <w:t>, 20(2), pp.195–207.</w:t>
      </w:r>
      <w:r w:rsidR="00B50E98">
        <w:rPr>
          <w:rFonts w:ascii="Arial" w:hAnsi="Arial" w:cs="Arial"/>
        </w:rPr>
        <w:t xml:space="preserve"> Available at:</w:t>
      </w:r>
      <w:r w:rsidRPr="0083095D">
        <w:rPr>
          <w:rFonts w:ascii="Arial" w:hAnsi="Arial" w:cs="Arial"/>
        </w:rPr>
        <w:t xml:space="preserve"> doi: </w:t>
      </w:r>
      <w:hyperlink r:id="rId61" w:history="1">
        <w:r w:rsidRPr="0003319F">
          <w:rPr>
            <w:rStyle w:val="Hyperlink"/>
            <w:rFonts w:ascii="Arial" w:hAnsi="Arial" w:cs="Arial"/>
          </w:rPr>
          <w:t>https://doi.org/10.1080/13645579.2016.1140965</w:t>
        </w:r>
      </w:hyperlink>
      <w:r w:rsidRPr="0083095D">
        <w:rPr>
          <w:rFonts w:ascii="Arial" w:hAnsi="Arial" w:cs="Arial"/>
        </w:rPr>
        <w:t>.</w:t>
      </w:r>
      <w:r w:rsidR="00B50E98">
        <w:rPr>
          <w:rFonts w:ascii="Arial" w:hAnsi="Arial" w:cs="Arial"/>
        </w:rPr>
        <w:t xml:space="preserve"> (Accessed: 26 April 2026)</w:t>
      </w:r>
    </w:p>
    <w:p w14:paraId="39BC3ACC" w14:textId="41CFC739" w:rsidR="0083095D" w:rsidRDefault="00B14A09" w:rsidP="0083095D">
      <w:pPr>
        <w:spacing w:line="360" w:lineRule="auto"/>
        <w:jc w:val="both"/>
        <w:rPr>
          <w:rFonts w:ascii="Arial" w:hAnsi="Arial" w:cs="Arial"/>
        </w:rPr>
      </w:pPr>
      <w:hyperlink r:id="rId62" w:history="1">
        <w:r w:rsidRPr="00355755">
          <w:rPr>
            <w:rStyle w:val="Hyperlink"/>
            <w:rFonts w:ascii="Arial" w:hAnsi="Arial" w:cs="Arial"/>
          </w:rPr>
          <w:t>https://www.swansea.gov.uk/article/22503/2021-Census-population-characteristics</w:t>
        </w:r>
      </w:hyperlink>
    </w:p>
    <w:p w14:paraId="39765B8C" w14:textId="30CAF21B" w:rsidR="00C1145E" w:rsidRDefault="00C1145E" w:rsidP="00C1145E">
      <w:pPr>
        <w:spacing w:line="360" w:lineRule="auto"/>
        <w:jc w:val="both"/>
        <w:rPr>
          <w:rFonts w:ascii="Arial" w:hAnsi="Arial" w:cs="Arial"/>
        </w:rPr>
      </w:pPr>
      <w:r>
        <w:rPr>
          <w:rFonts w:ascii="Arial" w:hAnsi="Arial" w:cs="Arial"/>
        </w:rPr>
        <w:t>P</w:t>
      </w:r>
      <w:r w:rsidRPr="00C1145E">
        <w:rPr>
          <w:rFonts w:ascii="Arial" w:hAnsi="Arial" w:cs="Arial"/>
        </w:rPr>
        <w:t xml:space="preserve">lanning </w:t>
      </w:r>
      <w:r>
        <w:rPr>
          <w:rFonts w:ascii="Arial" w:hAnsi="Arial" w:cs="Arial"/>
        </w:rPr>
        <w:t>P</w:t>
      </w:r>
      <w:r w:rsidRPr="00C1145E">
        <w:rPr>
          <w:rFonts w:ascii="Arial" w:hAnsi="Arial" w:cs="Arial"/>
        </w:rPr>
        <w:t>ortal (2013). </w:t>
      </w:r>
      <w:r w:rsidRPr="00C1145E">
        <w:rPr>
          <w:rFonts w:ascii="Arial" w:hAnsi="Arial" w:cs="Arial"/>
          <w:i/>
          <w:iCs/>
        </w:rPr>
        <w:t>What is a Design and Access Statement? - Planning Portal</w:t>
      </w:r>
      <w:r w:rsidRPr="00C1145E">
        <w:rPr>
          <w:rFonts w:ascii="Arial" w:hAnsi="Arial" w:cs="Arial"/>
        </w:rPr>
        <w:t xml:space="preserve">. [online] Available at: </w:t>
      </w:r>
      <w:hyperlink r:id="rId63" w:history="1">
        <w:r w:rsidRPr="00355755">
          <w:rPr>
            <w:rStyle w:val="Hyperlink"/>
            <w:rFonts w:ascii="Arial" w:hAnsi="Arial" w:cs="Arial"/>
          </w:rPr>
          <w:t>https://www.planningportal.co.uk/services/help/faq/planning/about-the-planning-system/what-is-a-design-and-access-statement</w:t>
        </w:r>
      </w:hyperlink>
      <w:r w:rsidRPr="00C1145E">
        <w:rPr>
          <w:rFonts w:ascii="Arial" w:hAnsi="Arial" w:cs="Arial"/>
        </w:rPr>
        <w:t>.</w:t>
      </w:r>
      <w:r>
        <w:rPr>
          <w:rFonts w:ascii="Arial" w:hAnsi="Arial" w:cs="Arial"/>
        </w:rPr>
        <w:t xml:space="preserve"> </w:t>
      </w:r>
    </w:p>
    <w:p w14:paraId="24B38D3A" w14:textId="77777777" w:rsidR="00C1145E" w:rsidRPr="00C1145E" w:rsidRDefault="00C1145E" w:rsidP="00C1145E">
      <w:pPr>
        <w:spacing w:line="360" w:lineRule="auto"/>
        <w:jc w:val="both"/>
        <w:rPr>
          <w:rFonts w:ascii="Arial" w:hAnsi="Arial" w:cs="Arial"/>
        </w:rPr>
      </w:pPr>
    </w:p>
    <w:p w14:paraId="0CA2DC82" w14:textId="77777777" w:rsidR="00C1145E" w:rsidRPr="00C1145E" w:rsidRDefault="00C1145E" w:rsidP="00C1145E">
      <w:pPr>
        <w:spacing w:line="360" w:lineRule="auto"/>
        <w:jc w:val="both"/>
        <w:rPr>
          <w:rFonts w:ascii="Arial" w:hAnsi="Arial" w:cs="Arial"/>
        </w:rPr>
      </w:pPr>
      <w:r w:rsidRPr="00C1145E">
        <w:rPr>
          <w:rFonts w:ascii="Arial" w:hAnsi="Arial" w:cs="Arial"/>
        </w:rPr>
        <w:t>‌</w:t>
      </w:r>
    </w:p>
    <w:p w14:paraId="7679F73A" w14:textId="77777777" w:rsidR="00B14A09" w:rsidRPr="0083095D" w:rsidRDefault="00B14A09" w:rsidP="0083095D">
      <w:pPr>
        <w:spacing w:line="360" w:lineRule="auto"/>
        <w:jc w:val="both"/>
        <w:rPr>
          <w:rFonts w:ascii="Arial" w:hAnsi="Arial" w:cs="Arial"/>
        </w:rPr>
      </w:pPr>
    </w:p>
    <w:p w14:paraId="321E3FFE" w14:textId="77777777" w:rsidR="0083095D" w:rsidRPr="0083095D" w:rsidRDefault="0083095D" w:rsidP="0083095D">
      <w:pPr>
        <w:spacing w:line="360" w:lineRule="auto"/>
        <w:jc w:val="both"/>
        <w:rPr>
          <w:rFonts w:ascii="Arial" w:hAnsi="Arial" w:cs="Arial"/>
        </w:rPr>
      </w:pPr>
      <w:r w:rsidRPr="0083095D">
        <w:rPr>
          <w:rFonts w:ascii="Arial" w:hAnsi="Arial" w:cs="Arial"/>
        </w:rPr>
        <w:t>‌</w:t>
      </w:r>
    </w:p>
    <w:p w14:paraId="5FFCBE5D" w14:textId="67F4250B" w:rsidR="007F5C24" w:rsidRPr="00575EA3" w:rsidRDefault="007F5C24" w:rsidP="00D01C0C">
      <w:pPr>
        <w:spacing w:line="360" w:lineRule="auto"/>
        <w:jc w:val="both"/>
        <w:rPr>
          <w:rFonts w:ascii="Arial" w:hAnsi="Arial" w:cs="Arial"/>
        </w:rPr>
      </w:pPr>
      <w:r w:rsidRPr="00575EA3">
        <w:rPr>
          <w:rFonts w:ascii="Arial" w:hAnsi="Arial" w:cs="Arial"/>
        </w:rPr>
        <w:br w:type="page"/>
      </w:r>
    </w:p>
    <w:p w14:paraId="4853E0B2" w14:textId="22480D2A" w:rsidR="00F56A80" w:rsidRPr="00C74450" w:rsidRDefault="00F56A80" w:rsidP="00F56A80">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A: Title </w:t>
      </w:r>
      <w:r w:rsidRPr="00C74450">
        <w:rPr>
          <w:rFonts w:ascii="Arial" w:hAnsi="Arial" w:cs="Arial"/>
          <w:b/>
          <w:bCs/>
          <w:sz w:val="32"/>
          <w:szCs w:val="32"/>
        </w:rPr>
        <w:t>Arial 1</w:t>
      </w:r>
      <w:r w:rsidR="00C74450" w:rsidRPr="00C74450">
        <w:rPr>
          <w:rFonts w:ascii="Arial" w:hAnsi="Arial" w:cs="Arial"/>
          <w:b/>
          <w:bCs/>
          <w:sz w:val="32"/>
          <w:szCs w:val="32"/>
        </w:rPr>
        <w:t>6</w:t>
      </w:r>
      <w:r w:rsidRPr="00C74450">
        <w:rPr>
          <w:rFonts w:ascii="Arial" w:hAnsi="Arial" w:cs="Arial"/>
          <w:b/>
          <w:bCs/>
          <w:sz w:val="32"/>
          <w:szCs w:val="32"/>
        </w:rPr>
        <w:t xml:space="preserve"> Bold</w:t>
      </w:r>
    </w:p>
    <w:p w14:paraId="412DC85E" w14:textId="146C9C43" w:rsidR="00C74450" w:rsidRDefault="00C74450" w:rsidP="00F56A80">
      <w:pPr>
        <w:pStyle w:val="NoSpacing"/>
        <w:tabs>
          <w:tab w:val="left" w:pos="8046"/>
        </w:tabs>
        <w:rPr>
          <w:rFonts w:ascii="Arial" w:hAnsi="Arial" w:cs="Arial"/>
          <w:b/>
          <w:bCs/>
          <w:lang w:val="en-GB"/>
        </w:rPr>
      </w:pPr>
    </w:p>
    <w:p w14:paraId="6FBE3F49" w14:textId="77777777" w:rsidR="00C74450" w:rsidRPr="00E80B43" w:rsidRDefault="00C74450" w:rsidP="00C74450">
      <w:pPr>
        <w:spacing w:line="360" w:lineRule="auto"/>
        <w:jc w:val="both"/>
        <w:rPr>
          <w:rFonts w:ascii="Arial" w:hAnsi="Arial" w:cs="Arial"/>
        </w:rPr>
      </w:pPr>
      <w:r w:rsidRPr="00E80B43">
        <w:rPr>
          <w:rFonts w:ascii="Arial" w:hAnsi="Arial" w:cs="Arial"/>
        </w:rPr>
        <w:t>[Insert text in here] Arial 11</w:t>
      </w:r>
    </w:p>
    <w:p w14:paraId="708EB719" w14:textId="77777777" w:rsidR="00C74450" w:rsidRPr="00E80B43" w:rsidRDefault="00C74450" w:rsidP="00C74450">
      <w:pPr>
        <w:spacing w:line="360" w:lineRule="auto"/>
        <w:jc w:val="both"/>
        <w:rPr>
          <w:rFonts w:ascii="Arial" w:hAnsi="Arial" w:cs="Arial"/>
        </w:rPr>
      </w:pPr>
      <w:r w:rsidRPr="00E80B43">
        <w:rPr>
          <w:rFonts w:ascii="Arial" w:hAnsi="Arial" w:cs="Arial"/>
        </w:rPr>
        <w:t>Paragraph spacing: 1.5</w:t>
      </w:r>
    </w:p>
    <w:p w14:paraId="2E13235C" w14:textId="73A48657" w:rsidR="00C74450" w:rsidRDefault="00C74450" w:rsidP="00C74450">
      <w:pPr>
        <w:spacing w:line="360" w:lineRule="auto"/>
        <w:jc w:val="both"/>
        <w:rPr>
          <w:rFonts w:ascii="Arial" w:hAnsi="Arial" w:cs="Arial"/>
        </w:rPr>
      </w:pPr>
      <w:r w:rsidRPr="00E80B43">
        <w:rPr>
          <w:rFonts w:ascii="Arial" w:hAnsi="Arial" w:cs="Arial"/>
        </w:rPr>
        <w:t xml:space="preserve">Justified text </w:t>
      </w:r>
    </w:p>
    <w:p w14:paraId="09C29D10" w14:textId="2CC0AAA2" w:rsidR="00C74450" w:rsidRDefault="00C74450" w:rsidP="00C74450">
      <w:pPr>
        <w:spacing w:line="360" w:lineRule="auto"/>
        <w:jc w:val="both"/>
        <w:rPr>
          <w:rFonts w:ascii="Arial" w:hAnsi="Arial" w:cs="Arial"/>
        </w:rPr>
      </w:pPr>
    </w:p>
    <w:p w14:paraId="765EE5E9" w14:textId="75E887B4" w:rsidR="0032473F" w:rsidRDefault="0032473F">
      <w:pPr>
        <w:rPr>
          <w:rFonts w:ascii="Arial" w:hAnsi="Arial" w:cs="Arial"/>
        </w:rPr>
      </w:pPr>
      <w:r>
        <w:rPr>
          <w:rFonts w:ascii="Arial" w:hAnsi="Arial" w:cs="Arial"/>
        </w:rPr>
        <w:br w:type="page"/>
      </w:r>
    </w:p>
    <w:p w14:paraId="5F71B1D3" w14:textId="3BAE3AF0"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B</w:t>
      </w:r>
      <w:r w:rsidRPr="00C74450">
        <w:rPr>
          <w:rFonts w:ascii="Arial" w:hAnsi="Arial" w:cs="Arial"/>
          <w:b/>
          <w:bCs/>
          <w:sz w:val="32"/>
          <w:szCs w:val="32"/>
          <w:lang w:val="en-GB"/>
        </w:rPr>
        <w:t xml:space="preserve">: Title </w:t>
      </w:r>
      <w:r w:rsidRPr="00C74450">
        <w:rPr>
          <w:rFonts w:ascii="Arial" w:hAnsi="Arial" w:cs="Arial"/>
          <w:b/>
          <w:bCs/>
          <w:sz w:val="32"/>
          <w:szCs w:val="32"/>
        </w:rPr>
        <w:t>Arial 16 Bold</w:t>
      </w:r>
    </w:p>
    <w:p w14:paraId="27BFD215" w14:textId="77777777" w:rsidR="0032473F" w:rsidRDefault="0032473F" w:rsidP="0032473F">
      <w:pPr>
        <w:pStyle w:val="NoSpacing"/>
        <w:tabs>
          <w:tab w:val="left" w:pos="8046"/>
        </w:tabs>
        <w:rPr>
          <w:rFonts w:ascii="Arial" w:hAnsi="Arial" w:cs="Arial"/>
          <w:b/>
          <w:bCs/>
          <w:lang w:val="en-GB"/>
        </w:rPr>
      </w:pPr>
    </w:p>
    <w:p w14:paraId="04EB2EB9" w14:textId="77777777" w:rsidR="0032473F" w:rsidRPr="00E80B43" w:rsidRDefault="0032473F" w:rsidP="0032473F">
      <w:pPr>
        <w:spacing w:line="360" w:lineRule="auto"/>
        <w:jc w:val="both"/>
        <w:rPr>
          <w:rFonts w:ascii="Arial" w:hAnsi="Arial" w:cs="Arial"/>
        </w:rPr>
      </w:pPr>
      <w:r w:rsidRPr="00E80B43">
        <w:rPr>
          <w:rFonts w:ascii="Arial" w:hAnsi="Arial" w:cs="Arial"/>
        </w:rPr>
        <w:t>[Insert text in here] Arial 11</w:t>
      </w:r>
    </w:p>
    <w:p w14:paraId="4D6C206F" w14:textId="77777777" w:rsidR="0032473F" w:rsidRPr="00E80B43" w:rsidRDefault="0032473F" w:rsidP="0032473F">
      <w:pPr>
        <w:spacing w:line="360" w:lineRule="auto"/>
        <w:jc w:val="both"/>
        <w:rPr>
          <w:rFonts w:ascii="Arial" w:hAnsi="Arial" w:cs="Arial"/>
        </w:rPr>
      </w:pPr>
      <w:r w:rsidRPr="00E80B43">
        <w:rPr>
          <w:rFonts w:ascii="Arial" w:hAnsi="Arial" w:cs="Arial"/>
        </w:rPr>
        <w:t>Paragraph spacing: 1.5</w:t>
      </w:r>
    </w:p>
    <w:p w14:paraId="48252920" w14:textId="77777777" w:rsidR="0032473F" w:rsidRDefault="0032473F" w:rsidP="0032473F">
      <w:pPr>
        <w:spacing w:line="360" w:lineRule="auto"/>
        <w:jc w:val="both"/>
        <w:rPr>
          <w:rFonts w:ascii="Arial" w:hAnsi="Arial" w:cs="Arial"/>
        </w:rPr>
      </w:pPr>
      <w:r w:rsidRPr="00E80B43">
        <w:rPr>
          <w:rFonts w:ascii="Arial" w:hAnsi="Arial" w:cs="Arial"/>
        </w:rPr>
        <w:t xml:space="preserve">Justified text </w:t>
      </w:r>
    </w:p>
    <w:p w14:paraId="74AB01D1" w14:textId="2617CB80" w:rsidR="00C74450" w:rsidRDefault="00C74450" w:rsidP="00C74450">
      <w:pPr>
        <w:spacing w:line="360" w:lineRule="auto"/>
        <w:jc w:val="both"/>
        <w:rPr>
          <w:rFonts w:ascii="Arial" w:hAnsi="Arial" w:cs="Arial"/>
        </w:rPr>
      </w:pPr>
    </w:p>
    <w:p w14:paraId="79E6BDD2" w14:textId="240D16B4" w:rsidR="0032473F" w:rsidRDefault="0032473F">
      <w:pPr>
        <w:rPr>
          <w:rFonts w:ascii="Arial" w:hAnsi="Arial" w:cs="Arial"/>
        </w:rPr>
      </w:pPr>
      <w:r>
        <w:rPr>
          <w:rFonts w:ascii="Arial" w:hAnsi="Arial" w:cs="Arial"/>
        </w:rPr>
        <w:br w:type="page"/>
      </w:r>
    </w:p>
    <w:p w14:paraId="41472E6B" w14:textId="2C314E72"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 xml:space="preserve">: Title </w:t>
      </w:r>
      <w:r w:rsidRPr="00C74450">
        <w:rPr>
          <w:rFonts w:ascii="Arial" w:hAnsi="Arial" w:cs="Arial"/>
          <w:b/>
          <w:bCs/>
          <w:sz w:val="32"/>
          <w:szCs w:val="32"/>
        </w:rPr>
        <w:t>Arial 16 Bold</w:t>
      </w:r>
    </w:p>
    <w:p w14:paraId="62CC9FC0" w14:textId="77777777" w:rsidR="0032473F" w:rsidRDefault="0032473F" w:rsidP="0032473F">
      <w:pPr>
        <w:pStyle w:val="NoSpacing"/>
        <w:tabs>
          <w:tab w:val="left" w:pos="8046"/>
        </w:tabs>
        <w:rPr>
          <w:rFonts w:ascii="Arial" w:hAnsi="Arial" w:cs="Arial"/>
          <w:b/>
          <w:bCs/>
          <w:lang w:val="en-GB"/>
        </w:rPr>
      </w:pPr>
    </w:p>
    <w:p w14:paraId="5F1983A1" w14:textId="77777777" w:rsidR="0032473F" w:rsidRPr="00E80B43" w:rsidRDefault="0032473F" w:rsidP="0032473F">
      <w:pPr>
        <w:spacing w:line="360" w:lineRule="auto"/>
        <w:jc w:val="both"/>
        <w:rPr>
          <w:rFonts w:ascii="Arial" w:hAnsi="Arial" w:cs="Arial"/>
        </w:rPr>
      </w:pPr>
      <w:r w:rsidRPr="00E80B43">
        <w:rPr>
          <w:rFonts w:ascii="Arial" w:hAnsi="Arial" w:cs="Arial"/>
        </w:rPr>
        <w:t>[Insert text in here] Arial 11</w:t>
      </w:r>
    </w:p>
    <w:p w14:paraId="70DBB37E" w14:textId="77777777" w:rsidR="0032473F" w:rsidRPr="00E80B43" w:rsidRDefault="0032473F" w:rsidP="0032473F">
      <w:pPr>
        <w:spacing w:line="360" w:lineRule="auto"/>
        <w:jc w:val="both"/>
        <w:rPr>
          <w:rFonts w:ascii="Arial" w:hAnsi="Arial" w:cs="Arial"/>
        </w:rPr>
      </w:pPr>
      <w:r w:rsidRPr="00E80B43">
        <w:rPr>
          <w:rFonts w:ascii="Arial" w:hAnsi="Arial" w:cs="Arial"/>
        </w:rPr>
        <w:t>Paragraph spacing: 1.5</w:t>
      </w:r>
    </w:p>
    <w:p w14:paraId="3781DA37" w14:textId="77777777" w:rsidR="0032473F" w:rsidRDefault="0032473F" w:rsidP="0032473F">
      <w:pPr>
        <w:spacing w:line="360" w:lineRule="auto"/>
        <w:jc w:val="both"/>
        <w:rPr>
          <w:rFonts w:ascii="Arial" w:hAnsi="Arial" w:cs="Arial"/>
        </w:rPr>
      </w:pPr>
      <w:r w:rsidRPr="00E80B43">
        <w:rPr>
          <w:rFonts w:ascii="Arial" w:hAnsi="Arial" w:cs="Arial"/>
        </w:rPr>
        <w:t xml:space="preserve">Justified text </w:t>
      </w:r>
    </w:p>
    <w:p w14:paraId="252CC325" w14:textId="77777777" w:rsidR="0032473F" w:rsidRDefault="0032473F" w:rsidP="00C74450">
      <w:pPr>
        <w:spacing w:line="360" w:lineRule="auto"/>
        <w:jc w:val="both"/>
        <w:rPr>
          <w:rFonts w:ascii="Arial" w:hAnsi="Arial" w:cs="Arial"/>
        </w:rPr>
      </w:pPr>
    </w:p>
    <w:sectPr w:rsidR="0032473F">
      <w:footerReference w:type="default" r:id="rId6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0" w:author="Lara Hopkinson" w:date="2026-04-24T09:17:00Z" w:initials="LH">
    <w:p w14:paraId="22187C58" w14:textId="0237C2CF" w:rsidR="008E2F13" w:rsidRDefault="008E2F13" w:rsidP="008E2F13">
      <w:pPr>
        <w:pStyle w:val="CommentText"/>
      </w:pPr>
      <w:r>
        <w:rPr>
          <w:rStyle w:val="CommentReference"/>
        </w:rPr>
        <w:annotationRef/>
      </w:r>
      <w:r>
        <w:t>Make this a valid citation - check the UWTSD Harvard guide on what you need to do</w:t>
      </w:r>
    </w:p>
  </w:comment>
  <w:comment w:id="12" w:author="Lara Hopkinson" w:date="2026-04-24T09:19:00Z" w:initials="LH">
    <w:p w14:paraId="74F0C80D" w14:textId="77777777" w:rsidR="002D27B5" w:rsidRDefault="002D27B5" w:rsidP="002D27B5">
      <w:pPr>
        <w:pStyle w:val="CommentText"/>
      </w:pPr>
      <w:r>
        <w:rPr>
          <w:rStyle w:val="CommentReference"/>
        </w:rPr>
        <w:annotationRef/>
      </w:r>
      <w:r>
        <w:t>superseded</w:t>
      </w:r>
    </w:p>
  </w:comment>
  <w:comment w:id="13" w:author="Lara Hopkinson" w:date="2026-04-24T09:21:00Z" w:initials="LH">
    <w:p w14:paraId="39E62F72" w14:textId="77777777" w:rsidR="00796238" w:rsidRDefault="00796238" w:rsidP="00796238">
      <w:pPr>
        <w:pStyle w:val="CommentText"/>
      </w:pPr>
      <w:r>
        <w:rPr>
          <w:rStyle w:val="CommentReference"/>
        </w:rPr>
        <w:annotationRef/>
      </w:r>
      <w:r>
        <w:t>Wales, and therefore Swansea</w:t>
      </w:r>
    </w:p>
  </w:comment>
  <w:comment w:id="16" w:author="Lara Hopkinson" w:date="2026-04-24T09:22:00Z" w:initials="LH">
    <w:p w14:paraId="25B091DE" w14:textId="77777777" w:rsidR="0000679C" w:rsidRDefault="0000679C" w:rsidP="0000679C">
      <w:pPr>
        <w:pStyle w:val="CommentText"/>
      </w:pPr>
      <w:r>
        <w:rPr>
          <w:rStyle w:val="CommentReference"/>
        </w:rPr>
        <w:annotationRef/>
      </w:r>
      <w:r>
        <w:t>Include a page number as you have given a quote here</w:t>
      </w:r>
    </w:p>
  </w:comment>
  <w:comment w:id="20" w:author="Lara Hopkinson" w:date="2026-04-24T09:30:00Z" w:initials="LH">
    <w:p w14:paraId="5F7A9F2B" w14:textId="77777777" w:rsidR="00C8207B" w:rsidRDefault="00C8207B" w:rsidP="0060183F">
      <w:pPr>
        <w:pStyle w:val="CommentText"/>
      </w:pPr>
      <w:r>
        <w:rPr>
          <w:rStyle w:val="CommentReference"/>
        </w:rPr>
        <w:annotationRef/>
      </w:r>
      <w:r>
        <w:t>Look at how to make this a valid citation please</w:t>
      </w:r>
    </w:p>
  </w:comment>
  <w:comment w:id="26" w:author="Lara Hopkinson" w:date="2026-04-24T09:38:00Z" w:initials="LH">
    <w:p w14:paraId="414002D5" w14:textId="77777777" w:rsidR="000626F8" w:rsidRDefault="000626F8" w:rsidP="000626F8">
      <w:pPr>
        <w:pStyle w:val="CommentText"/>
      </w:pPr>
      <w:r>
        <w:rPr>
          <w:rStyle w:val="CommentReference"/>
        </w:rPr>
        <w:annotationRef/>
      </w:r>
      <w:r>
        <w:t>Good justification</w:t>
      </w:r>
    </w:p>
  </w:comment>
  <w:comment w:id="27" w:author="Lara Hopkinson" w:date="2026-04-24T09:48:00Z" w:initials="LH">
    <w:p w14:paraId="494A3B84" w14:textId="77777777" w:rsidR="00FC2C57" w:rsidRDefault="002360E2" w:rsidP="00FC2C57">
      <w:pPr>
        <w:pStyle w:val="CommentText"/>
      </w:pPr>
      <w:r>
        <w:rPr>
          <w:rStyle w:val="CommentReference"/>
        </w:rPr>
        <w:annotationRef/>
      </w:r>
      <w:r w:rsidR="00FC2C57">
        <w:t>You need to write around this a little more.  In order to ensure a valid and consistent approach, a comparative framework was devised….. You can remove the word table here, as you say table in the next sentence.</w:t>
      </w:r>
    </w:p>
  </w:comment>
  <w:comment w:id="29" w:author="Lara Hopkinson" w:date="2026-04-24T09:50:00Z" w:initials="LH">
    <w:p w14:paraId="6D215FBA" w14:textId="77777777" w:rsidR="00E02ECB" w:rsidRDefault="00E02ECB" w:rsidP="00E02ECB">
      <w:pPr>
        <w:pStyle w:val="CommentText"/>
      </w:pPr>
      <w:r>
        <w:rPr>
          <w:rStyle w:val="CommentReference"/>
        </w:rPr>
        <w:annotationRef/>
      </w:r>
      <w:r>
        <w:t>If you have some literature to back this up as a valid approach, this would add huge value to the work</w:t>
      </w:r>
    </w:p>
  </w:comment>
  <w:comment w:id="31" w:author="Lara Hopkinson" w:date="2026-04-24T09:51:00Z" w:initials="LH">
    <w:p w14:paraId="4FB6AF8B" w14:textId="77777777" w:rsidR="00432AD1" w:rsidRDefault="00432AD1" w:rsidP="00432AD1">
      <w:pPr>
        <w:pStyle w:val="CommentText"/>
      </w:pPr>
      <w:r>
        <w:rPr>
          <w:rStyle w:val="CommentReference"/>
        </w:rPr>
        <w:annotationRef/>
      </w:r>
      <w:r>
        <w:t>As suggested when we met, I have not reviewed this section as you are still to review</w:t>
      </w:r>
    </w:p>
  </w:comment>
  <w:comment w:id="36" w:author="Lara Hopkinson" w:date="2026-04-24T10:20:00Z" w:initials="LH">
    <w:p w14:paraId="462C61D6" w14:textId="77777777" w:rsidR="00D2591C" w:rsidRDefault="00D2591C" w:rsidP="00D2591C">
      <w:pPr>
        <w:pStyle w:val="CommentText"/>
      </w:pPr>
      <w:r>
        <w:rPr>
          <w:rStyle w:val="CommentReference"/>
        </w:rPr>
        <w:annotationRef/>
      </w:r>
      <w:r>
        <w:t>Be careful that you are not replicating information already presented above.  I would suggest you have an intro to the gallery and so on in the first paragraph, and then focus on the accessibility improvements in the second (as this then leads into your work)</w:t>
      </w:r>
    </w:p>
  </w:comment>
  <w:comment w:id="37" w:author="Wiktoria Dolecka (2318298)" w:date="2026-04-28T15:21:00Z" w:initials="WD">
    <w:p w14:paraId="1828F6BD" w14:textId="77777777" w:rsidR="006212AD" w:rsidRDefault="006212AD" w:rsidP="006212AD">
      <w:pPr>
        <w:pStyle w:val="CommentText"/>
      </w:pPr>
      <w:r>
        <w:rPr>
          <w:rStyle w:val="CommentReference"/>
        </w:rPr>
        <w:annotationRef/>
      </w:r>
      <w:r>
        <w:t>Fixed this</w:t>
      </w:r>
    </w:p>
  </w:comment>
  <w:comment w:id="39" w:author="Lara Hopkinson" w:date="2026-04-24T11:00:00Z" w:initials="LH">
    <w:p w14:paraId="75D51260" w14:textId="77777777" w:rsidR="00150532" w:rsidRDefault="00150532" w:rsidP="00150532">
      <w:pPr>
        <w:pStyle w:val="CommentText"/>
      </w:pPr>
      <w:r>
        <w:rPr>
          <w:rStyle w:val="CommentReference"/>
        </w:rPr>
        <w:annotationRef/>
      </w:r>
      <w:r>
        <w:t>?</w:t>
      </w:r>
    </w:p>
  </w:comment>
  <w:comment w:id="40" w:author="Wiktoria Dolecka (2318298)" w:date="2026-04-28T14:18:00Z" w:initials="WD">
    <w:p w14:paraId="37E96C6A" w14:textId="77777777" w:rsidR="00AC5CE0" w:rsidRDefault="00AC5CE0" w:rsidP="00AC5CE0">
      <w:pPr>
        <w:pStyle w:val="CommentText"/>
      </w:pPr>
      <w:r>
        <w:rPr>
          <w:rStyle w:val="CommentReference"/>
        </w:rPr>
        <w:annotationRef/>
      </w:r>
      <w:r>
        <w:t xml:space="preserve">I’ve mentioned this earlier on now, acronym for dignity of arrival </w:t>
      </w:r>
    </w:p>
  </w:comment>
  <w:comment w:id="41" w:author="Lara Hopkinson" w:date="2026-04-28T07:03:00Z" w:initials="">
    <w:p w14:paraId="1C341C2B" w14:textId="4C9FC0A8" w:rsidR="0061137F" w:rsidRDefault="0061137F">
      <w:pPr>
        <w:pStyle w:val="CommentText"/>
      </w:pPr>
      <w:r>
        <w:rPr>
          <w:rStyle w:val="CommentReference"/>
        </w:rPr>
        <w:annotationRef/>
      </w:r>
      <w:r>
        <w:t>Thank you!</w:t>
      </w:r>
    </w:p>
  </w:comment>
  <w:comment w:id="43" w:author="Lara Hopkinson" w:date="2026-04-24T11:03:00Z" w:initials="LH">
    <w:p w14:paraId="01D3912A" w14:textId="77777777" w:rsidR="00250DDD" w:rsidRDefault="00250DDD" w:rsidP="00250DDD">
      <w:pPr>
        <w:pStyle w:val="CommentText"/>
      </w:pPr>
      <w:r>
        <w:rPr>
          <w:rStyle w:val="CommentReference"/>
        </w:rPr>
        <w:annotationRef/>
      </w:r>
      <w:r>
        <w:t>Do you have images of the GV that you will add in?</w:t>
      </w:r>
    </w:p>
  </w:comment>
  <w:comment w:id="45" w:author="Lara Hopkinson" w:date="2026-04-24T11:08:00Z" w:initials="LH">
    <w:p w14:paraId="517942EC" w14:textId="77777777" w:rsidR="00AB700C" w:rsidRDefault="00AB700C" w:rsidP="00AB700C">
      <w:pPr>
        <w:pStyle w:val="CommentText"/>
      </w:pPr>
      <w:r>
        <w:rPr>
          <w:rStyle w:val="CommentReference"/>
        </w:rPr>
        <w:annotationRef/>
      </w:r>
      <w:r>
        <w:t>Images here will help to bring this more to life for your readers</w:t>
      </w:r>
    </w:p>
  </w:comment>
  <w:comment w:id="47" w:author="Lara Hopkinson" w:date="2026-04-24T11:13:00Z" w:initials="LH">
    <w:p w14:paraId="3D274848" w14:textId="77777777" w:rsidR="00FB6411" w:rsidRDefault="00FB6411" w:rsidP="00FB6411">
      <w:pPr>
        <w:pStyle w:val="CommentText"/>
      </w:pPr>
      <w:r>
        <w:rPr>
          <w:rStyle w:val="CommentReference"/>
        </w:rPr>
        <w:annotationRef/>
      </w:r>
      <w:r>
        <w:t>You do not need to keep writing this in full</w:t>
      </w:r>
    </w:p>
  </w:comment>
  <w:comment w:id="48" w:author="Lara Hopkinson" w:date="2026-04-24T11:14:00Z" w:initials="LH">
    <w:p w14:paraId="7F8A3719" w14:textId="77777777" w:rsidR="00F678FE" w:rsidRDefault="00F678FE" w:rsidP="00F678FE">
      <w:pPr>
        <w:pStyle w:val="CommentText"/>
      </w:pPr>
      <w:r>
        <w:rPr>
          <w:rStyle w:val="CommentReference"/>
        </w:rPr>
        <w:annotationRef/>
      </w:r>
      <w:r>
        <w:t>If you say this, then you must use a citation to validate this fact.  Does it link to equal Wales, or is it more culture and language (or both)?</w:t>
      </w:r>
    </w:p>
  </w:comment>
  <w:comment w:id="51" w:author="Lara Hopkinson" w:date="2026-04-24T11:16:00Z" w:initials="LH">
    <w:p w14:paraId="0377C285" w14:textId="77777777" w:rsidR="00AA7B25" w:rsidRDefault="00A26972" w:rsidP="00AA7B25">
      <w:pPr>
        <w:pStyle w:val="CommentText"/>
      </w:pPr>
      <w:r>
        <w:rPr>
          <w:rStyle w:val="CommentReference"/>
        </w:rPr>
        <w:annotationRef/>
      </w:r>
      <w:r w:rsidR="00AA7B25">
        <w:t>You will need some citations in this first paragraph - us the fact=citation approach, ideally from a few sources (not just one)</w:t>
      </w:r>
    </w:p>
  </w:comment>
  <w:comment w:id="52" w:author="Lara Hopkinson" w:date="2026-04-24T11:17:00Z" w:initials="LH">
    <w:p w14:paraId="4D444716" w14:textId="77777777" w:rsidR="00BA72D9" w:rsidRDefault="00BA72D9" w:rsidP="00BA72D9">
      <w:pPr>
        <w:pStyle w:val="CommentText"/>
      </w:pPr>
      <w:r>
        <w:rPr>
          <w:rStyle w:val="CommentReference"/>
        </w:rPr>
        <w:annotationRef/>
      </w:r>
      <w:r>
        <w:t>An image here will be helpful</w:t>
      </w:r>
    </w:p>
  </w:comment>
  <w:comment w:id="54" w:author="Lara Hopkinson" w:date="2026-04-24T11:22:00Z" w:initials="LH">
    <w:p w14:paraId="79921B52" w14:textId="77777777" w:rsidR="005E047A" w:rsidRDefault="005E047A" w:rsidP="005E047A">
      <w:pPr>
        <w:pStyle w:val="CommentText"/>
      </w:pPr>
      <w:r>
        <w:rPr>
          <w:rStyle w:val="CommentReference"/>
        </w:rPr>
        <w:annotationRef/>
      </w:r>
      <w:r>
        <w:t>Citation please</w:t>
      </w:r>
    </w:p>
  </w:comment>
  <w:comment w:id="56" w:author="Lara Hopkinson" w:date="2026-04-24T11:26:00Z" w:initials="LH">
    <w:p w14:paraId="0492DCDB" w14:textId="77777777" w:rsidR="00AD7512" w:rsidRDefault="00AD7512" w:rsidP="00AD7512">
      <w:pPr>
        <w:pStyle w:val="CommentText"/>
      </w:pPr>
      <w:r>
        <w:rPr>
          <w:rStyle w:val="CommentReference"/>
        </w:rPr>
        <w:annotationRef/>
      </w:r>
      <w:r>
        <w:t>As discussed, use the function in word to help create these labels without worrying about what figure number you are up to.  This will also then help create the list of figures once you are complete</w:t>
      </w:r>
    </w:p>
  </w:comment>
  <w:comment w:id="57" w:author="Lara Hopkinson" w:date="2026-04-24T11:27:00Z" w:initials="LH">
    <w:p w14:paraId="27516504" w14:textId="77777777" w:rsidR="00DC69FC" w:rsidRDefault="00DC69FC" w:rsidP="00DC69FC">
      <w:pPr>
        <w:pStyle w:val="CommentText"/>
      </w:pPr>
      <w:r>
        <w:rPr>
          <w:rStyle w:val="CommentReference"/>
        </w:rPr>
        <w:annotationRef/>
      </w:r>
      <w:r>
        <w:t>Use this to cite, but I think you also need to provide the guidance title</w:t>
      </w:r>
    </w:p>
  </w:comment>
  <w:comment w:id="59" w:author="Lara Hopkinson" w:date="2026-04-24T11:29:00Z" w:initials="LH">
    <w:p w14:paraId="40F4C772" w14:textId="77777777" w:rsidR="009D79A7" w:rsidRDefault="009D79A7" w:rsidP="009D79A7">
      <w:pPr>
        <w:pStyle w:val="CommentText"/>
      </w:pPr>
      <w:r>
        <w:rPr>
          <w:rStyle w:val="CommentReference"/>
        </w:rPr>
        <w:annotationRef/>
      </w:r>
      <w:r>
        <w:t>You will need to provide validation for these facts</w:t>
      </w:r>
    </w:p>
  </w:comment>
  <w:comment w:id="61" w:author="Lara Hopkinson" w:date="2026-04-24T11:30:00Z" w:initials="LH">
    <w:p w14:paraId="784CBE68" w14:textId="77777777" w:rsidR="0039009B" w:rsidRDefault="0039009B" w:rsidP="0039009B">
      <w:pPr>
        <w:pStyle w:val="CommentText"/>
      </w:pPr>
      <w:r>
        <w:rPr>
          <w:rStyle w:val="CommentReference"/>
        </w:rPr>
        <w:annotationRef/>
      </w:r>
      <w:r>
        <w:t>I’d like you to be clear on which version of the BR you are talking about here = add the year</w:t>
      </w:r>
    </w:p>
  </w:comment>
  <w:comment w:id="62" w:author="Lara Hopkinson" w:date="2026-04-24T11:36:00Z" w:initials="LH">
    <w:p w14:paraId="3F185395" w14:textId="77777777" w:rsidR="007D1D46" w:rsidRDefault="007D1D46" w:rsidP="007D1D46">
      <w:pPr>
        <w:pStyle w:val="CommentText"/>
      </w:pPr>
      <w:r>
        <w:rPr>
          <w:rStyle w:val="CommentReference"/>
        </w:rPr>
        <w:annotationRef/>
      </w:r>
      <w:r>
        <w:t>Be careful of the wording you use.  You have only compared 2 buildings, so I would urge caution to suggest one is stellar as opposed to the other!</w:t>
      </w:r>
    </w:p>
  </w:comment>
  <w:comment w:id="63" w:author="Lara Hopkinson" w:date="2026-04-24T11:38:00Z" w:initials="LH">
    <w:p w14:paraId="1C9A2C43" w14:textId="77777777" w:rsidR="009E351F" w:rsidRDefault="009E351F" w:rsidP="009E351F">
      <w:pPr>
        <w:pStyle w:val="CommentText"/>
      </w:pPr>
      <w:r>
        <w:rPr>
          <w:rStyle w:val="CommentReference"/>
        </w:rPr>
        <w:annotationRef/>
      </w:r>
      <w:r>
        <w:t>I do think you need to engage more with literature in your findings.  It does just read more like your own opinion, which would worry me for a dissertation.  However I do like how you have written this so far, and with a focus on this now, you can certainly improve this ahead of submission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2187C58" w15:done="0"/>
  <w15:commentEx w15:paraId="74F0C80D" w15:done="0"/>
  <w15:commentEx w15:paraId="39E62F72" w15:done="0"/>
  <w15:commentEx w15:paraId="25B091DE" w15:done="0"/>
  <w15:commentEx w15:paraId="5F7A9F2B" w15:done="0"/>
  <w15:commentEx w15:paraId="414002D5" w15:done="0"/>
  <w15:commentEx w15:paraId="494A3B84" w15:done="0"/>
  <w15:commentEx w15:paraId="6D215FBA" w15:done="0"/>
  <w15:commentEx w15:paraId="4FB6AF8B" w15:done="0"/>
  <w15:commentEx w15:paraId="462C61D6" w15:done="0"/>
  <w15:commentEx w15:paraId="1828F6BD" w15:paraIdParent="462C61D6" w15:done="0"/>
  <w15:commentEx w15:paraId="75D51260" w15:done="0"/>
  <w15:commentEx w15:paraId="37E96C6A" w15:paraIdParent="75D51260" w15:done="0"/>
  <w15:commentEx w15:paraId="1C341C2B" w15:paraIdParent="75D51260" w15:done="0"/>
  <w15:commentEx w15:paraId="01D3912A" w15:done="0"/>
  <w15:commentEx w15:paraId="517942EC" w15:done="0"/>
  <w15:commentEx w15:paraId="3D274848" w15:done="0"/>
  <w15:commentEx w15:paraId="7F8A3719" w15:done="0"/>
  <w15:commentEx w15:paraId="0377C285" w15:done="0"/>
  <w15:commentEx w15:paraId="4D444716" w15:done="0"/>
  <w15:commentEx w15:paraId="79921B52" w15:done="0"/>
  <w15:commentEx w15:paraId="0492DCDB" w15:done="0"/>
  <w15:commentEx w15:paraId="27516504" w15:done="0"/>
  <w15:commentEx w15:paraId="40F4C772" w15:done="0"/>
  <w15:commentEx w15:paraId="784CBE68" w15:done="0"/>
  <w15:commentEx w15:paraId="3F185395" w15:done="0"/>
  <w15:commentEx w15:paraId="1C9A2C4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61918B0" w16cex:dateUtc="2026-04-24T08:17:00Z"/>
  <w16cex:commentExtensible w16cex:durableId="3D077677" w16cex:dateUtc="2026-04-24T08:19:00Z">
    <w16cex:extLst>
      <w16:ext w16:uri="{CE6994B0-6A32-4C9F-8C6B-6E91EDA988CE}">
        <cr:reactions xmlns:cr="http://schemas.microsoft.com/office/comments/2020/reactions">
          <cr:reaction reactionType="1">
            <cr:reactionInfo dateUtc="2026-04-25T11:13:32Z">
              <cr:user userId="S::2318298@student.uwtsd.ac.uk::77495afe-80bd-49ba-9c95-e91c381971db" userProvider="AD" userName="Wiktoria Dolecka (2318298)"/>
            </cr:reactionInfo>
          </cr:reaction>
        </cr:reactions>
      </w16:ext>
    </w16cex:extLst>
  </w16cex:commentExtensible>
  <w16cex:commentExtensible w16cex:durableId="270402D3" w16cex:dateUtc="2026-04-24T08:21:00Z"/>
  <w16cex:commentExtensible w16cex:durableId="439EA5D4" w16cex:dateUtc="2026-04-24T08:22:00Z">
    <w16cex:extLst>
      <w16:ext w16:uri="{CE6994B0-6A32-4C9F-8C6B-6E91EDA988CE}">
        <cr:reactions xmlns:cr="http://schemas.microsoft.com/office/comments/2020/reactions">
          <cr:reaction reactionType="1">
            <cr:reactionInfo dateUtc="2026-04-26T13:01:31Z">
              <cr:user userId="S::2318298@student.uwtsd.ac.uk::77495afe-80bd-49ba-9c95-e91c381971db" userProvider="AD" userName="Wiktoria Dolecka (2318298)"/>
            </cr:reactionInfo>
          </cr:reaction>
        </cr:reactions>
      </w16:ext>
    </w16cex:extLst>
  </w16cex:commentExtensible>
  <w16cex:commentExtensible w16cex:durableId="540E5299" w16cex:dateUtc="2026-04-24T08:30:00Z">
    <w16cex:extLst>
      <w16:ext w16:uri="{CE6994B0-6A32-4C9F-8C6B-6E91EDA988CE}">
        <cr:reactions xmlns:cr="http://schemas.microsoft.com/office/comments/2020/reactions">
          <cr:reaction reactionType="1">
            <cr:reactionInfo dateUtc="2026-04-26T18:17:15Z">
              <cr:user userId="S::2318298@student.uwtsd.ac.uk::77495afe-80bd-49ba-9c95-e91c381971db" userProvider="AD" userName="Wiktoria Dolecka (2318298)"/>
            </cr:reactionInfo>
          </cr:reaction>
        </cr:reactions>
      </w16:ext>
    </w16cex:extLst>
  </w16cex:commentExtensible>
  <w16cex:commentExtensible w16cex:durableId="25D56550" w16cex:dateUtc="2026-04-24T08:38:00Z">
    <w16cex:extLst>
      <w16:ext w16:uri="{CE6994B0-6A32-4C9F-8C6B-6E91EDA988CE}">
        <cr:reactions xmlns:cr="http://schemas.microsoft.com/office/comments/2020/reactions">
          <cr:reaction reactionType="1">
            <cr:reactionInfo dateUtc="2026-04-26T14:32:31Z">
              <cr:user userId="S::2318298@student.uwtsd.ac.uk::77495afe-80bd-49ba-9c95-e91c381971db" userProvider="AD" userName="Wiktoria Dolecka (2318298)"/>
            </cr:reactionInfo>
          </cr:reaction>
        </cr:reactions>
      </w16:ext>
    </w16cex:extLst>
  </w16cex:commentExtensible>
  <w16cex:commentExtensible w16cex:durableId="05656718" w16cex:dateUtc="2026-04-24T08:48:00Z">
    <w16cex:extLst>
      <w16:ext w16:uri="{CE6994B0-6A32-4C9F-8C6B-6E91EDA988CE}">
        <cr:reactions xmlns:cr="http://schemas.microsoft.com/office/comments/2020/reactions">
          <cr:reaction reactionType="1">
            <cr:reactionInfo dateUtc="2026-04-26T15:18:52Z">
              <cr:user userId="S::2318298@student.uwtsd.ac.uk::77495afe-80bd-49ba-9c95-e91c381971db" userProvider="AD" userName="Wiktoria Dolecka (2318298)"/>
            </cr:reactionInfo>
          </cr:reaction>
        </cr:reactions>
      </w16:ext>
    </w16cex:extLst>
  </w16cex:commentExtensible>
  <w16cex:commentExtensible w16cex:durableId="1EBC5702" w16cex:dateUtc="2026-04-24T08:50:00Z">
    <w16cex:extLst>
      <w16:ext w16:uri="{CE6994B0-6A32-4C9F-8C6B-6E91EDA988CE}">
        <cr:reactions xmlns:cr="http://schemas.microsoft.com/office/comments/2020/reactions">
          <cr:reaction reactionType="1">
            <cr:reactionInfo dateUtc="2026-04-28T11:05:08Z">
              <cr:user userId="S::2318298@student.uwtsd.ac.uk::77495afe-80bd-49ba-9c95-e91c381971db" userProvider="AD" userName="Wiktoria Dolecka (2318298)"/>
            </cr:reactionInfo>
          </cr:reaction>
        </cr:reactions>
      </w16:ext>
    </w16cex:extLst>
  </w16cex:commentExtensible>
  <w16cex:commentExtensible w16cex:durableId="403581E9" w16cex:dateUtc="2026-04-24T08:51:00Z"/>
  <w16cex:commentExtensible w16cex:durableId="18094F5F" w16cex:dateUtc="2026-04-24T09:20:00Z">
    <w16cex:extLst>
      <w16:ext w16:uri="{CE6994B0-6A32-4C9F-8C6B-6E91EDA988CE}">
        <cr:reactions xmlns:cr="http://schemas.microsoft.com/office/comments/2020/reactions">
          <cr:reaction reactionType="1">
            <cr:reactionInfo dateUtc="2026-04-28T14:20:53Z">
              <cr:user userId="S::2318298@student.uwtsd.ac.uk::77495afe-80bd-49ba-9c95-e91c381971db" userProvider="AD" userName="Wiktoria Dolecka (2318298)"/>
            </cr:reactionInfo>
          </cr:reaction>
        </cr:reactions>
      </w16:ext>
    </w16cex:extLst>
  </w16cex:commentExtensible>
  <w16cex:commentExtensible w16cex:durableId="6B3D902D" w16cex:dateUtc="2026-04-28T14:21:00Z"/>
  <w16cex:commentExtensible w16cex:durableId="744F2BA6" w16cex:dateUtc="2026-04-24T10:00:00Z"/>
  <w16cex:commentExtensible w16cex:durableId="169CBF6A" w16cex:dateUtc="2026-04-28T13:18:00Z"/>
  <w16cex:commentExtensible w16cex:durableId="6D7BFB32" w16cex:dateUtc="2026-04-28T14:03:00Z"/>
  <w16cex:commentExtensible w16cex:durableId="50CE0711" w16cex:dateUtc="2026-04-24T10:03:00Z">
    <w16cex:extLst>
      <w16:ext w16:uri="{CE6994B0-6A32-4C9F-8C6B-6E91EDA988CE}">
        <cr:reactions xmlns:cr="http://schemas.microsoft.com/office/comments/2020/reactions">
          <cr:reaction reactionType="1">
            <cr:reactionInfo dateUtc="2026-04-28T13:58:02Z">
              <cr:user userId="S::2318298@student.uwtsd.ac.uk::77495afe-80bd-49ba-9c95-e91c381971db" userProvider="AD" userName="Wiktoria Dolecka (2318298)"/>
            </cr:reactionInfo>
          </cr:reaction>
        </cr:reactions>
      </w16:ext>
    </w16cex:extLst>
  </w16cex:commentExtensible>
  <w16cex:commentExtensible w16cex:durableId="24FDC37F" w16cex:dateUtc="2026-04-24T10:08:00Z">
    <w16cex:extLst>
      <w16:ext w16:uri="{CE6994B0-6A32-4C9F-8C6B-6E91EDA988CE}">
        <cr:reactions xmlns:cr="http://schemas.microsoft.com/office/comments/2020/reactions">
          <cr:reaction reactionType="1">
            <cr:reactionInfo dateUtc="2026-04-28T14:59:01Z">
              <cr:user userId="S::2318298@student.uwtsd.ac.uk::77495afe-80bd-49ba-9c95-e91c381971db" userProvider="AD" userName="Wiktoria Dolecka (2318298)"/>
            </cr:reactionInfo>
          </cr:reaction>
        </cr:reactions>
      </w16:ext>
    </w16cex:extLst>
  </w16cex:commentExtensible>
  <w16cex:commentExtensible w16cex:durableId="2F2E7183" w16cex:dateUtc="2026-04-24T10:13:00Z">
    <w16cex:extLst>
      <w16:ext w16:uri="{CE6994B0-6A32-4C9F-8C6B-6E91EDA988CE}">
        <cr:reactions xmlns:cr="http://schemas.microsoft.com/office/comments/2020/reactions">
          <cr:reaction reactionType="1">
            <cr:reactionInfo dateUtc="2026-04-25T11:16:48Z">
              <cr:user userId="S::2318298@student.uwtsd.ac.uk::77495afe-80bd-49ba-9c95-e91c381971db" userProvider="AD" userName="Wiktoria Dolecka (2318298)"/>
            </cr:reactionInfo>
          </cr:reaction>
        </cr:reactions>
      </w16:ext>
    </w16cex:extLst>
  </w16cex:commentExtensible>
  <w16cex:commentExtensible w16cex:durableId="0AFE2992" w16cex:dateUtc="2026-04-24T10:14:00Z"/>
  <w16cex:commentExtensible w16cex:durableId="6DB26540" w16cex:dateUtc="2026-04-24T10:16:00Z"/>
  <w16cex:commentExtensible w16cex:durableId="1DFB766E" w16cex:dateUtc="2026-04-24T10:17:00Z"/>
  <w16cex:commentExtensible w16cex:durableId="75FCAC8F" w16cex:dateUtc="2026-04-24T10:22:00Z"/>
  <w16cex:commentExtensible w16cex:durableId="03C932C8" w16cex:dateUtc="2026-04-24T10:26:00Z"/>
  <w16cex:commentExtensible w16cex:durableId="5F106B0E" w16cex:dateUtc="2026-04-24T10:27:00Z"/>
  <w16cex:commentExtensible w16cex:durableId="6E363725" w16cex:dateUtc="2026-04-24T10:29:00Z"/>
  <w16cex:commentExtensible w16cex:durableId="6CBEC4BD" w16cex:dateUtc="2026-04-24T10:30:00Z"/>
  <w16cex:commentExtensible w16cex:durableId="6EEEEE01" w16cex:dateUtc="2026-04-24T10:36:00Z"/>
  <w16cex:commentExtensible w16cex:durableId="67CEA29E" w16cex:dateUtc="2026-04-24T10: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2187C58" w16cid:durableId="661918B0"/>
  <w16cid:commentId w16cid:paraId="74F0C80D" w16cid:durableId="3D077677"/>
  <w16cid:commentId w16cid:paraId="39E62F72" w16cid:durableId="270402D3"/>
  <w16cid:commentId w16cid:paraId="25B091DE" w16cid:durableId="439EA5D4"/>
  <w16cid:commentId w16cid:paraId="5F7A9F2B" w16cid:durableId="540E5299"/>
  <w16cid:commentId w16cid:paraId="414002D5" w16cid:durableId="25D56550"/>
  <w16cid:commentId w16cid:paraId="494A3B84" w16cid:durableId="05656718"/>
  <w16cid:commentId w16cid:paraId="6D215FBA" w16cid:durableId="1EBC5702"/>
  <w16cid:commentId w16cid:paraId="4FB6AF8B" w16cid:durableId="403581E9"/>
  <w16cid:commentId w16cid:paraId="462C61D6" w16cid:durableId="18094F5F"/>
  <w16cid:commentId w16cid:paraId="1828F6BD" w16cid:durableId="6B3D902D"/>
  <w16cid:commentId w16cid:paraId="75D51260" w16cid:durableId="744F2BA6"/>
  <w16cid:commentId w16cid:paraId="37E96C6A" w16cid:durableId="169CBF6A"/>
  <w16cid:commentId w16cid:paraId="1C341C2B" w16cid:durableId="6D7BFB32"/>
  <w16cid:commentId w16cid:paraId="01D3912A" w16cid:durableId="50CE0711"/>
  <w16cid:commentId w16cid:paraId="517942EC" w16cid:durableId="24FDC37F"/>
  <w16cid:commentId w16cid:paraId="3D274848" w16cid:durableId="2F2E7183"/>
  <w16cid:commentId w16cid:paraId="7F8A3719" w16cid:durableId="0AFE2992"/>
  <w16cid:commentId w16cid:paraId="0377C285" w16cid:durableId="6DB26540"/>
  <w16cid:commentId w16cid:paraId="4D444716" w16cid:durableId="1DFB766E"/>
  <w16cid:commentId w16cid:paraId="79921B52" w16cid:durableId="75FCAC8F"/>
  <w16cid:commentId w16cid:paraId="0492DCDB" w16cid:durableId="03C932C8"/>
  <w16cid:commentId w16cid:paraId="27516504" w16cid:durableId="5F106B0E"/>
  <w16cid:commentId w16cid:paraId="40F4C772" w16cid:durableId="6E363725"/>
  <w16cid:commentId w16cid:paraId="784CBE68" w16cid:durableId="6CBEC4BD"/>
  <w16cid:commentId w16cid:paraId="3F185395" w16cid:durableId="6EEEEE01"/>
  <w16cid:commentId w16cid:paraId="1C9A2C43" w16cid:durableId="67CEA29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4B2EC" w14:textId="77777777" w:rsidR="00D43B31" w:rsidRDefault="00D43B31" w:rsidP="00191733">
      <w:pPr>
        <w:spacing w:after="0" w:line="240" w:lineRule="auto"/>
      </w:pPr>
      <w:r>
        <w:separator/>
      </w:r>
    </w:p>
  </w:endnote>
  <w:endnote w:type="continuationSeparator" w:id="0">
    <w:p w14:paraId="0A320B45" w14:textId="77777777" w:rsidR="00D43B31" w:rsidRDefault="00D43B31"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98FBD" w14:textId="77777777" w:rsidR="00D43B31" w:rsidRDefault="00D43B31" w:rsidP="00191733">
      <w:pPr>
        <w:spacing w:after="0" w:line="240" w:lineRule="auto"/>
      </w:pPr>
      <w:r>
        <w:separator/>
      </w:r>
    </w:p>
  </w:footnote>
  <w:footnote w:type="continuationSeparator" w:id="0">
    <w:p w14:paraId="469B9A23" w14:textId="77777777" w:rsidR="00D43B31" w:rsidRDefault="00D43B31"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B5836D3"/>
    <w:multiLevelType w:val="multilevel"/>
    <w:tmpl w:val="DC86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E46FD"/>
    <w:multiLevelType w:val="hybridMultilevel"/>
    <w:tmpl w:val="9DCC0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F85DA1"/>
    <w:multiLevelType w:val="multilevel"/>
    <w:tmpl w:val="84029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AFD5866"/>
    <w:multiLevelType w:val="hybridMultilevel"/>
    <w:tmpl w:val="FE12C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AF063C"/>
    <w:multiLevelType w:val="hybridMultilevel"/>
    <w:tmpl w:val="F6ACD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372AFE"/>
    <w:multiLevelType w:val="multilevel"/>
    <w:tmpl w:val="15360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255C55"/>
    <w:multiLevelType w:val="hybridMultilevel"/>
    <w:tmpl w:val="02AA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CA6BAC"/>
    <w:multiLevelType w:val="multilevel"/>
    <w:tmpl w:val="CEA8C082"/>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0C03A80"/>
    <w:multiLevelType w:val="hybridMultilevel"/>
    <w:tmpl w:val="A3C08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571FCF"/>
    <w:multiLevelType w:val="hybridMultilevel"/>
    <w:tmpl w:val="DFA0C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D01FD7"/>
    <w:multiLevelType w:val="multilevel"/>
    <w:tmpl w:val="73D05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FD435E"/>
    <w:multiLevelType w:val="multilevel"/>
    <w:tmpl w:val="4D902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C353D8"/>
    <w:multiLevelType w:val="hybridMultilevel"/>
    <w:tmpl w:val="9886F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49203B"/>
    <w:multiLevelType w:val="multilevel"/>
    <w:tmpl w:val="3D126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200AAE"/>
    <w:multiLevelType w:val="multilevel"/>
    <w:tmpl w:val="DA987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D41F4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55CA6C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90275B5"/>
    <w:multiLevelType w:val="hybridMultilevel"/>
    <w:tmpl w:val="B36CC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3F6D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157224B"/>
    <w:multiLevelType w:val="hybridMultilevel"/>
    <w:tmpl w:val="95B23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126589"/>
    <w:multiLevelType w:val="multilevel"/>
    <w:tmpl w:val="FAB6B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B03C17"/>
    <w:multiLevelType w:val="hybridMultilevel"/>
    <w:tmpl w:val="FA461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253941">
    <w:abstractNumId w:val="10"/>
  </w:num>
  <w:num w:numId="2" w16cid:durableId="542450188">
    <w:abstractNumId w:val="26"/>
  </w:num>
  <w:num w:numId="3" w16cid:durableId="950085169">
    <w:abstractNumId w:val="5"/>
  </w:num>
  <w:num w:numId="4" w16cid:durableId="171074511">
    <w:abstractNumId w:val="0"/>
  </w:num>
  <w:num w:numId="5" w16cid:durableId="1143736085">
    <w:abstractNumId w:val="1"/>
  </w:num>
  <w:num w:numId="6" w16cid:durableId="1807892685">
    <w:abstractNumId w:val="13"/>
  </w:num>
  <w:num w:numId="7" w16cid:durableId="161547529">
    <w:abstractNumId w:val="19"/>
  </w:num>
  <w:num w:numId="8" w16cid:durableId="1047997804">
    <w:abstractNumId w:val="9"/>
  </w:num>
  <w:num w:numId="9" w16cid:durableId="1890460158">
    <w:abstractNumId w:val="16"/>
  </w:num>
  <w:num w:numId="10" w16cid:durableId="1111366022">
    <w:abstractNumId w:val="23"/>
  </w:num>
  <w:num w:numId="11" w16cid:durableId="670185004">
    <w:abstractNumId w:val="2"/>
  </w:num>
  <w:num w:numId="12" w16cid:durableId="600335977">
    <w:abstractNumId w:val="24"/>
  </w:num>
  <w:num w:numId="13" w16cid:durableId="2103260119">
    <w:abstractNumId w:val="4"/>
  </w:num>
  <w:num w:numId="14" w16cid:durableId="1109854086">
    <w:abstractNumId w:val="8"/>
  </w:num>
  <w:num w:numId="15" w16cid:durableId="1011756913">
    <w:abstractNumId w:val="18"/>
  </w:num>
  <w:num w:numId="16" w16cid:durableId="387075810">
    <w:abstractNumId w:val="15"/>
  </w:num>
  <w:num w:numId="17" w16cid:durableId="1439326218">
    <w:abstractNumId w:val="17"/>
  </w:num>
  <w:num w:numId="18" w16cid:durableId="319847985">
    <w:abstractNumId w:val="25"/>
  </w:num>
  <w:num w:numId="19" w16cid:durableId="1625502197">
    <w:abstractNumId w:val="12"/>
  </w:num>
  <w:num w:numId="20" w16cid:durableId="202834622">
    <w:abstractNumId w:val="21"/>
  </w:num>
  <w:num w:numId="21" w16cid:durableId="884559629">
    <w:abstractNumId w:val="14"/>
  </w:num>
  <w:num w:numId="22" w16cid:durableId="157891301">
    <w:abstractNumId w:val="7"/>
  </w:num>
  <w:num w:numId="23" w16cid:durableId="1669163958">
    <w:abstractNumId w:val="6"/>
  </w:num>
  <w:num w:numId="24" w16cid:durableId="1115904385">
    <w:abstractNumId w:val="22"/>
  </w:num>
  <w:num w:numId="25" w16cid:durableId="167716758">
    <w:abstractNumId w:val="20"/>
  </w:num>
  <w:num w:numId="26" w16cid:durableId="1988970158">
    <w:abstractNumId w:val="3"/>
  </w:num>
  <w:num w:numId="27" w16cid:durableId="1728187285">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ara Hopkinson">
    <w15:presenceInfo w15:providerId="AD" w15:userId="S::lara.hopkinson@uwtsd.ac.uk::4c46a3d6-da89-4616-bd45-1b70e49404c2"/>
  </w15:person>
  <w15:person w15:author="Wiktoria Dolecka (2318298)">
    <w15:presenceInfo w15:providerId="AD" w15:userId="S::2318298@student.uwtsd.ac.uk::77495afe-80bd-49ba-9c95-e91c381971d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0FDF"/>
    <w:rsid w:val="00001B09"/>
    <w:rsid w:val="0000213E"/>
    <w:rsid w:val="00002C7D"/>
    <w:rsid w:val="00002EED"/>
    <w:rsid w:val="00003345"/>
    <w:rsid w:val="00003DB1"/>
    <w:rsid w:val="0000418E"/>
    <w:rsid w:val="000051F5"/>
    <w:rsid w:val="00005C5A"/>
    <w:rsid w:val="0000679C"/>
    <w:rsid w:val="000074D1"/>
    <w:rsid w:val="000101D6"/>
    <w:rsid w:val="0001516B"/>
    <w:rsid w:val="0001536D"/>
    <w:rsid w:val="00016A9A"/>
    <w:rsid w:val="00016D36"/>
    <w:rsid w:val="000211B8"/>
    <w:rsid w:val="00021AB7"/>
    <w:rsid w:val="00021EC9"/>
    <w:rsid w:val="00022449"/>
    <w:rsid w:val="0002393E"/>
    <w:rsid w:val="000257D9"/>
    <w:rsid w:val="00030F85"/>
    <w:rsid w:val="0003268C"/>
    <w:rsid w:val="00033237"/>
    <w:rsid w:val="0003348E"/>
    <w:rsid w:val="0003474D"/>
    <w:rsid w:val="000354FA"/>
    <w:rsid w:val="000376D9"/>
    <w:rsid w:val="00041780"/>
    <w:rsid w:val="00042593"/>
    <w:rsid w:val="00043C01"/>
    <w:rsid w:val="00044ADC"/>
    <w:rsid w:val="00044F5F"/>
    <w:rsid w:val="000470DC"/>
    <w:rsid w:val="000516BC"/>
    <w:rsid w:val="0005310D"/>
    <w:rsid w:val="0005349D"/>
    <w:rsid w:val="00054118"/>
    <w:rsid w:val="0005556A"/>
    <w:rsid w:val="00055D17"/>
    <w:rsid w:val="00055DFB"/>
    <w:rsid w:val="0005653F"/>
    <w:rsid w:val="00056E14"/>
    <w:rsid w:val="0006037C"/>
    <w:rsid w:val="00060F6B"/>
    <w:rsid w:val="00060FC0"/>
    <w:rsid w:val="000613F5"/>
    <w:rsid w:val="000626F8"/>
    <w:rsid w:val="00063398"/>
    <w:rsid w:val="000649DD"/>
    <w:rsid w:val="000666F3"/>
    <w:rsid w:val="0006770D"/>
    <w:rsid w:val="00067B8A"/>
    <w:rsid w:val="000702B4"/>
    <w:rsid w:val="00070432"/>
    <w:rsid w:val="00070FEC"/>
    <w:rsid w:val="000718CC"/>
    <w:rsid w:val="000719E7"/>
    <w:rsid w:val="000736A1"/>
    <w:rsid w:val="00074D2D"/>
    <w:rsid w:val="00075576"/>
    <w:rsid w:val="0007614F"/>
    <w:rsid w:val="0008391F"/>
    <w:rsid w:val="00087424"/>
    <w:rsid w:val="000879B4"/>
    <w:rsid w:val="00091C22"/>
    <w:rsid w:val="00093238"/>
    <w:rsid w:val="00093FC0"/>
    <w:rsid w:val="00094B95"/>
    <w:rsid w:val="00095387"/>
    <w:rsid w:val="00095771"/>
    <w:rsid w:val="00095A1C"/>
    <w:rsid w:val="00097645"/>
    <w:rsid w:val="00097915"/>
    <w:rsid w:val="000A004A"/>
    <w:rsid w:val="000A38A6"/>
    <w:rsid w:val="000A3D3E"/>
    <w:rsid w:val="000A3EAD"/>
    <w:rsid w:val="000A75B1"/>
    <w:rsid w:val="000B13E3"/>
    <w:rsid w:val="000B2697"/>
    <w:rsid w:val="000B59D8"/>
    <w:rsid w:val="000B6BDA"/>
    <w:rsid w:val="000B76C7"/>
    <w:rsid w:val="000C0624"/>
    <w:rsid w:val="000C11E4"/>
    <w:rsid w:val="000C246F"/>
    <w:rsid w:val="000C3823"/>
    <w:rsid w:val="000C3977"/>
    <w:rsid w:val="000C5817"/>
    <w:rsid w:val="000C5FDE"/>
    <w:rsid w:val="000C6591"/>
    <w:rsid w:val="000C6921"/>
    <w:rsid w:val="000C6CE8"/>
    <w:rsid w:val="000C6FE1"/>
    <w:rsid w:val="000D00E6"/>
    <w:rsid w:val="000D2FC7"/>
    <w:rsid w:val="000D302A"/>
    <w:rsid w:val="000D3D0E"/>
    <w:rsid w:val="000D50FB"/>
    <w:rsid w:val="000D5306"/>
    <w:rsid w:val="000D5463"/>
    <w:rsid w:val="000D6496"/>
    <w:rsid w:val="000E2F25"/>
    <w:rsid w:val="000E496C"/>
    <w:rsid w:val="000E5D40"/>
    <w:rsid w:val="000E69AC"/>
    <w:rsid w:val="000E6EDE"/>
    <w:rsid w:val="000F0D30"/>
    <w:rsid w:val="000F0EAF"/>
    <w:rsid w:val="000F342C"/>
    <w:rsid w:val="000F5F81"/>
    <w:rsid w:val="000F6191"/>
    <w:rsid w:val="000F6478"/>
    <w:rsid w:val="000F66E2"/>
    <w:rsid w:val="000F78FB"/>
    <w:rsid w:val="000F7D1D"/>
    <w:rsid w:val="000F7D88"/>
    <w:rsid w:val="000F7ED6"/>
    <w:rsid w:val="001001CE"/>
    <w:rsid w:val="0010044A"/>
    <w:rsid w:val="00100ABA"/>
    <w:rsid w:val="00100BC8"/>
    <w:rsid w:val="001025D6"/>
    <w:rsid w:val="001026D8"/>
    <w:rsid w:val="001035D9"/>
    <w:rsid w:val="0010453A"/>
    <w:rsid w:val="00104867"/>
    <w:rsid w:val="00105214"/>
    <w:rsid w:val="0010577F"/>
    <w:rsid w:val="001077AB"/>
    <w:rsid w:val="00107A99"/>
    <w:rsid w:val="001105EA"/>
    <w:rsid w:val="001107A6"/>
    <w:rsid w:val="001112AE"/>
    <w:rsid w:val="001126FB"/>
    <w:rsid w:val="00113443"/>
    <w:rsid w:val="00113772"/>
    <w:rsid w:val="00114C8F"/>
    <w:rsid w:val="00116B39"/>
    <w:rsid w:val="001176C4"/>
    <w:rsid w:val="00122B5B"/>
    <w:rsid w:val="001237DC"/>
    <w:rsid w:val="00124069"/>
    <w:rsid w:val="0012583F"/>
    <w:rsid w:val="00126EF4"/>
    <w:rsid w:val="001276D5"/>
    <w:rsid w:val="00132A6B"/>
    <w:rsid w:val="0013311D"/>
    <w:rsid w:val="0013496F"/>
    <w:rsid w:val="00135DFB"/>
    <w:rsid w:val="00136298"/>
    <w:rsid w:val="00136310"/>
    <w:rsid w:val="001366E6"/>
    <w:rsid w:val="00136766"/>
    <w:rsid w:val="001373C0"/>
    <w:rsid w:val="00141D20"/>
    <w:rsid w:val="00142FA5"/>
    <w:rsid w:val="00145DA4"/>
    <w:rsid w:val="00150532"/>
    <w:rsid w:val="00151986"/>
    <w:rsid w:val="00151D91"/>
    <w:rsid w:val="0015340A"/>
    <w:rsid w:val="001534FF"/>
    <w:rsid w:val="00153575"/>
    <w:rsid w:val="00155773"/>
    <w:rsid w:val="00156B80"/>
    <w:rsid w:val="00161126"/>
    <w:rsid w:val="001617F8"/>
    <w:rsid w:val="00163849"/>
    <w:rsid w:val="0016407C"/>
    <w:rsid w:val="0016678F"/>
    <w:rsid w:val="00166862"/>
    <w:rsid w:val="001678D8"/>
    <w:rsid w:val="00171093"/>
    <w:rsid w:val="0017145E"/>
    <w:rsid w:val="00171FC8"/>
    <w:rsid w:val="00172642"/>
    <w:rsid w:val="00173A5E"/>
    <w:rsid w:val="001762F3"/>
    <w:rsid w:val="00176398"/>
    <w:rsid w:val="0017706D"/>
    <w:rsid w:val="00177AE4"/>
    <w:rsid w:val="00180714"/>
    <w:rsid w:val="00181A06"/>
    <w:rsid w:val="001823FF"/>
    <w:rsid w:val="001832C7"/>
    <w:rsid w:val="00183908"/>
    <w:rsid w:val="00183CCF"/>
    <w:rsid w:val="00183E0A"/>
    <w:rsid w:val="00184765"/>
    <w:rsid w:val="0018587B"/>
    <w:rsid w:val="00190FE2"/>
    <w:rsid w:val="001915FE"/>
    <w:rsid w:val="00191733"/>
    <w:rsid w:val="001929B5"/>
    <w:rsid w:val="00195FA0"/>
    <w:rsid w:val="00197BD3"/>
    <w:rsid w:val="00197C0E"/>
    <w:rsid w:val="001A0157"/>
    <w:rsid w:val="001A0580"/>
    <w:rsid w:val="001A1E1D"/>
    <w:rsid w:val="001A3773"/>
    <w:rsid w:val="001A37BD"/>
    <w:rsid w:val="001A3BD1"/>
    <w:rsid w:val="001A4710"/>
    <w:rsid w:val="001A4F0F"/>
    <w:rsid w:val="001A67F1"/>
    <w:rsid w:val="001A7FA3"/>
    <w:rsid w:val="001B030D"/>
    <w:rsid w:val="001B1AED"/>
    <w:rsid w:val="001B1DB6"/>
    <w:rsid w:val="001B3C4E"/>
    <w:rsid w:val="001B4103"/>
    <w:rsid w:val="001B44A0"/>
    <w:rsid w:val="001B5309"/>
    <w:rsid w:val="001B56B4"/>
    <w:rsid w:val="001B5D92"/>
    <w:rsid w:val="001B69C7"/>
    <w:rsid w:val="001C152A"/>
    <w:rsid w:val="001C2B29"/>
    <w:rsid w:val="001C33B1"/>
    <w:rsid w:val="001C4775"/>
    <w:rsid w:val="001C5263"/>
    <w:rsid w:val="001C6197"/>
    <w:rsid w:val="001C77DE"/>
    <w:rsid w:val="001C793A"/>
    <w:rsid w:val="001D0744"/>
    <w:rsid w:val="001D3001"/>
    <w:rsid w:val="001D5200"/>
    <w:rsid w:val="001D5939"/>
    <w:rsid w:val="001D6944"/>
    <w:rsid w:val="001E152F"/>
    <w:rsid w:val="001E1801"/>
    <w:rsid w:val="001E1F18"/>
    <w:rsid w:val="001E2493"/>
    <w:rsid w:val="001E2888"/>
    <w:rsid w:val="001E3581"/>
    <w:rsid w:val="001E4CB0"/>
    <w:rsid w:val="001E570C"/>
    <w:rsid w:val="001E5C56"/>
    <w:rsid w:val="001E72C0"/>
    <w:rsid w:val="001F0509"/>
    <w:rsid w:val="001F155F"/>
    <w:rsid w:val="001F164B"/>
    <w:rsid w:val="001F1D01"/>
    <w:rsid w:val="001F344F"/>
    <w:rsid w:val="001F372C"/>
    <w:rsid w:val="001F393F"/>
    <w:rsid w:val="001F3EA1"/>
    <w:rsid w:val="001F5FF5"/>
    <w:rsid w:val="001F6F28"/>
    <w:rsid w:val="001F747B"/>
    <w:rsid w:val="0020026F"/>
    <w:rsid w:val="002002F2"/>
    <w:rsid w:val="00200C81"/>
    <w:rsid w:val="00201D34"/>
    <w:rsid w:val="002023A3"/>
    <w:rsid w:val="002023D1"/>
    <w:rsid w:val="002033FF"/>
    <w:rsid w:val="00203ACD"/>
    <w:rsid w:val="00204D6B"/>
    <w:rsid w:val="00207522"/>
    <w:rsid w:val="00211B98"/>
    <w:rsid w:val="00212985"/>
    <w:rsid w:val="002129AB"/>
    <w:rsid w:val="00212AE2"/>
    <w:rsid w:val="00212FE3"/>
    <w:rsid w:val="00213E47"/>
    <w:rsid w:val="00213FE3"/>
    <w:rsid w:val="00215620"/>
    <w:rsid w:val="00216A5A"/>
    <w:rsid w:val="00216F52"/>
    <w:rsid w:val="00220051"/>
    <w:rsid w:val="00220ABB"/>
    <w:rsid w:val="00222F85"/>
    <w:rsid w:val="00223C69"/>
    <w:rsid w:val="0022449A"/>
    <w:rsid w:val="00225080"/>
    <w:rsid w:val="00232FD2"/>
    <w:rsid w:val="002333C4"/>
    <w:rsid w:val="00233937"/>
    <w:rsid w:val="002341C4"/>
    <w:rsid w:val="00235082"/>
    <w:rsid w:val="002360E2"/>
    <w:rsid w:val="00236537"/>
    <w:rsid w:val="0023702C"/>
    <w:rsid w:val="00237C42"/>
    <w:rsid w:val="00237DBD"/>
    <w:rsid w:val="002411BD"/>
    <w:rsid w:val="00241358"/>
    <w:rsid w:val="00241F08"/>
    <w:rsid w:val="00244A35"/>
    <w:rsid w:val="00244B7B"/>
    <w:rsid w:val="00245327"/>
    <w:rsid w:val="00245519"/>
    <w:rsid w:val="00245CEF"/>
    <w:rsid w:val="002462E1"/>
    <w:rsid w:val="00247E08"/>
    <w:rsid w:val="00250DDD"/>
    <w:rsid w:val="00250F7C"/>
    <w:rsid w:val="00252C5B"/>
    <w:rsid w:val="00253192"/>
    <w:rsid w:val="0025468C"/>
    <w:rsid w:val="0025519F"/>
    <w:rsid w:val="0025561E"/>
    <w:rsid w:val="002556B1"/>
    <w:rsid w:val="00256C18"/>
    <w:rsid w:val="00256E2A"/>
    <w:rsid w:val="00260B73"/>
    <w:rsid w:val="0026223A"/>
    <w:rsid w:val="00263AFF"/>
    <w:rsid w:val="00264017"/>
    <w:rsid w:val="00264709"/>
    <w:rsid w:val="00265F77"/>
    <w:rsid w:val="00266292"/>
    <w:rsid w:val="00266378"/>
    <w:rsid w:val="0026674D"/>
    <w:rsid w:val="00266884"/>
    <w:rsid w:val="00266951"/>
    <w:rsid w:val="00266C09"/>
    <w:rsid w:val="0026758B"/>
    <w:rsid w:val="002679DD"/>
    <w:rsid w:val="002704BB"/>
    <w:rsid w:val="00271E40"/>
    <w:rsid w:val="0027204D"/>
    <w:rsid w:val="00272466"/>
    <w:rsid w:val="0027253A"/>
    <w:rsid w:val="002726E4"/>
    <w:rsid w:val="00272B39"/>
    <w:rsid w:val="002744FA"/>
    <w:rsid w:val="002751F1"/>
    <w:rsid w:val="00275A19"/>
    <w:rsid w:val="00276B95"/>
    <w:rsid w:val="0028013E"/>
    <w:rsid w:val="00281E85"/>
    <w:rsid w:val="00282458"/>
    <w:rsid w:val="00282F1B"/>
    <w:rsid w:val="00283647"/>
    <w:rsid w:val="0028374B"/>
    <w:rsid w:val="00285CFE"/>
    <w:rsid w:val="00286E33"/>
    <w:rsid w:val="0029053D"/>
    <w:rsid w:val="00290AFF"/>
    <w:rsid w:val="00290C23"/>
    <w:rsid w:val="00292075"/>
    <w:rsid w:val="00292B1D"/>
    <w:rsid w:val="00292DCE"/>
    <w:rsid w:val="00292FC1"/>
    <w:rsid w:val="00293FA4"/>
    <w:rsid w:val="002941EC"/>
    <w:rsid w:val="00295A0E"/>
    <w:rsid w:val="002971D1"/>
    <w:rsid w:val="002975B7"/>
    <w:rsid w:val="002A1DA6"/>
    <w:rsid w:val="002A2372"/>
    <w:rsid w:val="002A2BC4"/>
    <w:rsid w:val="002A522C"/>
    <w:rsid w:val="002A65C1"/>
    <w:rsid w:val="002B020A"/>
    <w:rsid w:val="002B1263"/>
    <w:rsid w:val="002B34FD"/>
    <w:rsid w:val="002B357C"/>
    <w:rsid w:val="002B48ED"/>
    <w:rsid w:val="002B727A"/>
    <w:rsid w:val="002B75DE"/>
    <w:rsid w:val="002B79E0"/>
    <w:rsid w:val="002C075E"/>
    <w:rsid w:val="002C1829"/>
    <w:rsid w:val="002C2BF3"/>
    <w:rsid w:val="002C4299"/>
    <w:rsid w:val="002C4EF8"/>
    <w:rsid w:val="002C591F"/>
    <w:rsid w:val="002C6042"/>
    <w:rsid w:val="002C697F"/>
    <w:rsid w:val="002C6DEE"/>
    <w:rsid w:val="002C7121"/>
    <w:rsid w:val="002C7B60"/>
    <w:rsid w:val="002D27B5"/>
    <w:rsid w:val="002D3214"/>
    <w:rsid w:val="002D3E72"/>
    <w:rsid w:val="002D3F70"/>
    <w:rsid w:val="002D5092"/>
    <w:rsid w:val="002D5154"/>
    <w:rsid w:val="002D575C"/>
    <w:rsid w:val="002D580D"/>
    <w:rsid w:val="002E0A70"/>
    <w:rsid w:val="002E140D"/>
    <w:rsid w:val="002E29E2"/>
    <w:rsid w:val="002E304F"/>
    <w:rsid w:val="002E328E"/>
    <w:rsid w:val="002E345C"/>
    <w:rsid w:val="002E3C11"/>
    <w:rsid w:val="002E44C1"/>
    <w:rsid w:val="002E4A53"/>
    <w:rsid w:val="002E4E01"/>
    <w:rsid w:val="002E50FC"/>
    <w:rsid w:val="002E5254"/>
    <w:rsid w:val="002E5603"/>
    <w:rsid w:val="002F0725"/>
    <w:rsid w:val="002F2E30"/>
    <w:rsid w:val="002F3E3E"/>
    <w:rsid w:val="002F6F6A"/>
    <w:rsid w:val="003005E9"/>
    <w:rsid w:val="00300CF9"/>
    <w:rsid w:val="00302465"/>
    <w:rsid w:val="00302D7A"/>
    <w:rsid w:val="00302DAD"/>
    <w:rsid w:val="00302F1D"/>
    <w:rsid w:val="00303C15"/>
    <w:rsid w:val="00303ED5"/>
    <w:rsid w:val="00305137"/>
    <w:rsid w:val="00305246"/>
    <w:rsid w:val="0030724D"/>
    <w:rsid w:val="00310998"/>
    <w:rsid w:val="00310CF7"/>
    <w:rsid w:val="00311EFE"/>
    <w:rsid w:val="00312051"/>
    <w:rsid w:val="0031262E"/>
    <w:rsid w:val="00312CF3"/>
    <w:rsid w:val="0031532E"/>
    <w:rsid w:val="003155B4"/>
    <w:rsid w:val="003158B5"/>
    <w:rsid w:val="00315B07"/>
    <w:rsid w:val="00315CFC"/>
    <w:rsid w:val="00315D51"/>
    <w:rsid w:val="00317426"/>
    <w:rsid w:val="0031744A"/>
    <w:rsid w:val="00317929"/>
    <w:rsid w:val="0032093B"/>
    <w:rsid w:val="0032226E"/>
    <w:rsid w:val="00322518"/>
    <w:rsid w:val="003234A9"/>
    <w:rsid w:val="0032473F"/>
    <w:rsid w:val="0032521C"/>
    <w:rsid w:val="0032524A"/>
    <w:rsid w:val="00325817"/>
    <w:rsid w:val="00326E05"/>
    <w:rsid w:val="003277B3"/>
    <w:rsid w:val="00327C26"/>
    <w:rsid w:val="003311E5"/>
    <w:rsid w:val="00331372"/>
    <w:rsid w:val="00331FB5"/>
    <w:rsid w:val="00333066"/>
    <w:rsid w:val="003334C4"/>
    <w:rsid w:val="00333D84"/>
    <w:rsid w:val="00334893"/>
    <w:rsid w:val="00336256"/>
    <w:rsid w:val="00336343"/>
    <w:rsid w:val="00337318"/>
    <w:rsid w:val="00337B73"/>
    <w:rsid w:val="00340514"/>
    <w:rsid w:val="00340EC8"/>
    <w:rsid w:val="00341339"/>
    <w:rsid w:val="0034183A"/>
    <w:rsid w:val="0034286B"/>
    <w:rsid w:val="00342D3B"/>
    <w:rsid w:val="00343A80"/>
    <w:rsid w:val="00343CCA"/>
    <w:rsid w:val="00343EE9"/>
    <w:rsid w:val="00344B8E"/>
    <w:rsid w:val="00344D13"/>
    <w:rsid w:val="00344DE4"/>
    <w:rsid w:val="00346A01"/>
    <w:rsid w:val="00346D71"/>
    <w:rsid w:val="00350BA1"/>
    <w:rsid w:val="00350DA3"/>
    <w:rsid w:val="00350E06"/>
    <w:rsid w:val="00351C7C"/>
    <w:rsid w:val="00351E72"/>
    <w:rsid w:val="003526B8"/>
    <w:rsid w:val="0035286D"/>
    <w:rsid w:val="00352D55"/>
    <w:rsid w:val="0035352B"/>
    <w:rsid w:val="00355958"/>
    <w:rsid w:val="0035602F"/>
    <w:rsid w:val="00356388"/>
    <w:rsid w:val="00360E43"/>
    <w:rsid w:val="003610B1"/>
    <w:rsid w:val="00361604"/>
    <w:rsid w:val="00363459"/>
    <w:rsid w:val="00363F3C"/>
    <w:rsid w:val="0036515C"/>
    <w:rsid w:val="00366136"/>
    <w:rsid w:val="00366682"/>
    <w:rsid w:val="00366F75"/>
    <w:rsid w:val="00370695"/>
    <w:rsid w:val="003709F3"/>
    <w:rsid w:val="00371776"/>
    <w:rsid w:val="00371D1E"/>
    <w:rsid w:val="00372AA1"/>
    <w:rsid w:val="00373199"/>
    <w:rsid w:val="003736DD"/>
    <w:rsid w:val="00374A38"/>
    <w:rsid w:val="003758D2"/>
    <w:rsid w:val="00375A49"/>
    <w:rsid w:val="00376A94"/>
    <w:rsid w:val="0037737F"/>
    <w:rsid w:val="003800BB"/>
    <w:rsid w:val="00380E1E"/>
    <w:rsid w:val="00381444"/>
    <w:rsid w:val="00381BAF"/>
    <w:rsid w:val="00381ED4"/>
    <w:rsid w:val="00381F56"/>
    <w:rsid w:val="003830E3"/>
    <w:rsid w:val="00383D58"/>
    <w:rsid w:val="00384F09"/>
    <w:rsid w:val="00387486"/>
    <w:rsid w:val="0039009B"/>
    <w:rsid w:val="00391B7F"/>
    <w:rsid w:val="00391CC1"/>
    <w:rsid w:val="003939AC"/>
    <w:rsid w:val="00394183"/>
    <w:rsid w:val="00394A74"/>
    <w:rsid w:val="00395752"/>
    <w:rsid w:val="00395E69"/>
    <w:rsid w:val="003969B8"/>
    <w:rsid w:val="00397179"/>
    <w:rsid w:val="00397DAC"/>
    <w:rsid w:val="003A0241"/>
    <w:rsid w:val="003A04CE"/>
    <w:rsid w:val="003A0AB6"/>
    <w:rsid w:val="003A1A5B"/>
    <w:rsid w:val="003A4460"/>
    <w:rsid w:val="003A70D1"/>
    <w:rsid w:val="003A747D"/>
    <w:rsid w:val="003B1B29"/>
    <w:rsid w:val="003B2DB0"/>
    <w:rsid w:val="003B327F"/>
    <w:rsid w:val="003B3A9F"/>
    <w:rsid w:val="003B432D"/>
    <w:rsid w:val="003B6AA0"/>
    <w:rsid w:val="003B77A9"/>
    <w:rsid w:val="003C234F"/>
    <w:rsid w:val="003C3741"/>
    <w:rsid w:val="003C4EA8"/>
    <w:rsid w:val="003C4F5E"/>
    <w:rsid w:val="003C689A"/>
    <w:rsid w:val="003C76FE"/>
    <w:rsid w:val="003D0BD5"/>
    <w:rsid w:val="003D2437"/>
    <w:rsid w:val="003D2A7F"/>
    <w:rsid w:val="003D2D52"/>
    <w:rsid w:val="003D2F25"/>
    <w:rsid w:val="003D4184"/>
    <w:rsid w:val="003D51B3"/>
    <w:rsid w:val="003D693F"/>
    <w:rsid w:val="003E0A57"/>
    <w:rsid w:val="003E0B5C"/>
    <w:rsid w:val="003E18F1"/>
    <w:rsid w:val="003E1F9E"/>
    <w:rsid w:val="003E27BF"/>
    <w:rsid w:val="003E295D"/>
    <w:rsid w:val="003E3799"/>
    <w:rsid w:val="003E3993"/>
    <w:rsid w:val="003E48CE"/>
    <w:rsid w:val="003E75EE"/>
    <w:rsid w:val="003F2081"/>
    <w:rsid w:val="003F2ED4"/>
    <w:rsid w:val="003F3EBE"/>
    <w:rsid w:val="003F418B"/>
    <w:rsid w:val="003F4BD8"/>
    <w:rsid w:val="003F552C"/>
    <w:rsid w:val="003F555F"/>
    <w:rsid w:val="003F6010"/>
    <w:rsid w:val="00402AF0"/>
    <w:rsid w:val="00403599"/>
    <w:rsid w:val="004038C6"/>
    <w:rsid w:val="00404231"/>
    <w:rsid w:val="00406073"/>
    <w:rsid w:val="00410918"/>
    <w:rsid w:val="004109C1"/>
    <w:rsid w:val="00410B6C"/>
    <w:rsid w:val="00411350"/>
    <w:rsid w:val="00411A88"/>
    <w:rsid w:val="00411B9F"/>
    <w:rsid w:val="00411BDE"/>
    <w:rsid w:val="00414F3F"/>
    <w:rsid w:val="00417F75"/>
    <w:rsid w:val="00420A17"/>
    <w:rsid w:val="00421F9D"/>
    <w:rsid w:val="004225B1"/>
    <w:rsid w:val="00422715"/>
    <w:rsid w:val="00425289"/>
    <w:rsid w:val="00426E85"/>
    <w:rsid w:val="0042754A"/>
    <w:rsid w:val="00427AE9"/>
    <w:rsid w:val="004302E1"/>
    <w:rsid w:val="004308E6"/>
    <w:rsid w:val="0043166C"/>
    <w:rsid w:val="00431D2C"/>
    <w:rsid w:val="004321E2"/>
    <w:rsid w:val="00432AD1"/>
    <w:rsid w:val="004335D3"/>
    <w:rsid w:val="004340D7"/>
    <w:rsid w:val="00434F37"/>
    <w:rsid w:val="00435030"/>
    <w:rsid w:val="00435BBE"/>
    <w:rsid w:val="0044061D"/>
    <w:rsid w:val="00440AB5"/>
    <w:rsid w:val="004457CD"/>
    <w:rsid w:val="004458BB"/>
    <w:rsid w:val="004465F6"/>
    <w:rsid w:val="00446C60"/>
    <w:rsid w:val="00446C86"/>
    <w:rsid w:val="00450D3A"/>
    <w:rsid w:val="00450D70"/>
    <w:rsid w:val="00450E3C"/>
    <w:rsid w:val="0045226D"/>
    <w:rsid w:val="004540C9"/>
    <w:rsid w:val="00454531"/>
    <w:rsid w:val="00454B0E"/>
    <w:rsid w:val="00455097"/>
    <w:rsid w:val="004550FA"/>
    <w:rsid w:val="004553C2"/>
    <w:rsid w:val="004556AB"/>
    <w:rsid w:val="00455A63"/>
    <w:rsid w:val="00455BA9"/>
    <w:rsid w:val="004565E1"/>
    <w:rsid w:val="00461123"/>
    <w:rsid w:val="00462FB5"/>
    <w:rsid w:val="00465F4B"/>
    <w:rsid w:val="00466BAB"/>
    <w:rsid w:val="00466DD0"/>
    <w:rsid w:val="004672EF"/>
    <w:rsid w:val="00470AD2"/>
    <w:rsid w:val="0047116F"/>
    <w:rsid w:val="00471C1D"/>
    <w:rsid w:val="00473272"/>
    <w:rsid w:val="00473428"/>
    <w:rsid w:val="00473498"/>
    <w:rsid w:val="00474179"/>
    <w:rsid w:val="00474609"/>
    <w:rsid w:val="004746A8"/>
    <w:rsid w:val="00474FDA"/>
    <w:rsid w:val="004750FD"/>
    <w:rsid w:val="00477351"/>
    <w:rsid w:val="00477700"/>
    <w:rsid w:val="004779DF"/>
    <w:rsid w:val="00477AEF"/>
    <w:rsid w:val="00480E9A"/>
    <w:rsid w:val="00480EA9"/>
    <w:rsid w:val="0048109C"/>
    <w:rsid w:val="004820D7"/>
    <w:rsid w:val="00483DE6"/>
    <w:rsid w:val="00484115"/>
    <w:rsid w:val="00485253"/>
    <w:rsid w:val="00485D32"/>
    <w:rsid w:val="004868D7"/>
    <w:rsid w:val="004871B7"/>
    <w:rsid w:val="00487D12"/>
    <w:rsid w:val="004916B6"/>
    <w:rsid w:val="0049292D"/>
    <w:rsid w:val="00492A4F"/>
    <w:rsid w:val="00492F6D"/>
    <w:rsid w:val="00493288"/>
    <w:rsid w:val="004937D6"/>
    <w:rsid w:val="004940DC"/>
    <w:rsid w:val="004956E2"/>
    <w:rsid w:val="00495D77"/>
    <w:rsid w:val="004A0B84"/>
    <w:rsid w:val="004A1575"/>
    <w:rsid w:val="004A42FC"/>
    <w:rsid w:val="004A4872"/>
    <w:rsid w:val="004A4CE6"/>
    <w:rsid w:val="004A5514"/>
    <w:rsid w:val="004A5C3C"/>
    <w:rsid w:val="004A61BD"/>
    <w:rsid w:val="004A795D"/>
    <w:rsid w:val="004B1FDD"/>
    <w:rsid w:val="004B408A"/>
    <w:rsid w:val="004C0300"/>
    <w:rsid w:val="004C082F"/>
    <w:rsid w:val="004C0AE6"/>
    <w:rsid w:val="004C0BF5"/>
    <w:rsid w:val="004C112E"/>
    <w:rsid w:val="004C1408"/>
    <w:rsid w:val="004C1B42"/>
    <w:rsid w:val="004C1F54"/>
    <w:rsid w:val="004C2C10"/>
    <w:rsid w:val="004C3CE8"/>
    <w:rsid w:val="004C412D"/>
    <w:rsid w:val="004C44BE"/>
    <w:rsid w:val="004C45B1"/>
    <w:rsid w:val="004C4816"/>
    <w:rsid w:val="004C4AD0"/>
    <w:rsid w:val="004C6D2D"/>
    <w:rsid w:val="004D0407"/>
    <w:rsid w:val="004D23E2"/>
    <w:rsid w:val="004D27D8"/>
    <w:rsid w:val="004D2A2D"/>
    <w:rsid w:val="004D3636"/>
    <w:rsid w:val="004D39B9"/>
    <w:rsid w:val="004D47B5"/>
    <w:rsid w:val="004D50AD"/>
    <w:rsid w:val="004D54BD"/>
    <w:rsid w:val="004D55C7"/>
    <w:rsid w:val="004D70FC"/>
    <w:rsid w:val="004E01DD"/>
    <w:rsid w:val="004E0D88"/>
    <w:rsid w:val="004E1244"/>
    <w:rsid w:val="004E458D"/>
    <w:rsid w:val="004E4D4C"/>
    <w:rsid w:val="004E51A8"/>
    <w:rsid w:val="004E5FB4"/>
    <w:rsid w:val="004E685D"/>
    <w:rsid w:val="004E715E"/>
    <w:rsid w:val="004E7B9B"/>
    <w:rsid w:val="004F076D"/>
    <w:rsid w:val="004F0CEB"/>
    <w:rsid w:val="004F1CE3"/>
    <w:rsid w:val="004F25DE"/>
    <w:rsid w:val="004F339F"/>
    <w:rsid w:val="004F4678"/>
    <w:rsid w:val="004F479C"/>
    <w:rsid w:val="004F6012"/>
    <w:rsid w:val="004F70F8"/>
    <w:rsid w:val="00501D54"/>
    <w:rsid w:val="00501D70"/>
    <w:rsid w:val="0050429E"/>
    <w:rsid w:val="0050500A"/>
    <w:rsid w:val="00507C85"/>
    <w:rsid w:val="00510068"/>
    <w:rsid w:val="005106EB"/>
    <w:rsid w:val="00510D52"/>
    <w:rsid w:val="005126AB"/>
    <w:rsid w:val="0051304E"/>
    <w:rsid w:val="005168A7"/>
    <w:rsid w:val="005170A6"/>
    <w:rsid w:val="005173BF"/>
    <w:rsid w:val="00517601"/>
    <w:rsid w:val="00517B9C"/>
    <w:rsid w:val="00517E3B"/>
    <w:rsid w:val="00520757"/>
    <w:rsid w:val="0052158B"/>
    <w:rsid w:val="0052158F"/>
    <w:rsid w:val="00521648"/>
    <w:rsid w:val="005229DB"/>
    <w:rsid w:val="00522AA4"/>
    <w:rsid w:val="005256A4"/>
    <w:rsid w:val="005260F0"/>
    <w:rsid w:val="00526918"/>
    <w:rsid w:val="00532590"/>
    <w:rsid w:val="005338A6"/>
    <w:rsid w:val="00533C3E"/>
    <w:rsid w:val="00534CD1"/>
    <w:rsid w:val="00534FAA"/>
    <w:rsid w:val="00536AC9"/>
    <w:rsid w:val="00536E30"/>
    <w:rsid w:val="00537963"/>
    <w:rsid w:val="0054273F"/>
    <w:rsid w:val="0054298D"/>
    <w:rsid w:val="0054336F"/>
    <w:rsid w:val="00543B40"/>
    <w:rsid w:val="0054572F"/>
    <w:rsid w:val="00545958"/>
    <w:rsid w:val="00547A66"/>
    <w:rsid w:val="00550CB2"/>
    <w:rsid w:val="005518B2"/>
    <w:rsid w:val="00551F02"/>
    <w:rsid w:val="00552017"/>
    <w:rsid w:val="005526FC"/>
    <w:rsid w:val="0055358A"/>
    <w:rsid w:val="005545E2"/>
    <w:rsid w:val="005614B3"/>
    <w:rsid w:val="005616E0"/>
    <w:rsid w:val="00564BC2"/>
    <w:rsid w:val="005669BB"/>
    <w:rsid w:val="00570A04"/>
    <w:rsid w:val="005712F5"/>
    <w:rsid w:val="00572B48"/>
    <w:rsid w:val="00573528"/>
    <w:rsid w:val="00573CD9"/>
    <w:rsid w:val="00573FAA"/>
    <w:rsid w:val="005744E5"/>
    <w:rsid w:val="00574D7D"/>
    <w:rsid w:val="00575685"/>
    <w:rsid w:val="00575E51"/>
    <w:rsid w:val="00575EA3"/>
    <w:rsid w:val="005763DB"/>
    <w:rsid w:val="00577DD1"/>
    <w:rsid w:val="00580C35"/>
    <w:rsid w:val="00580CB9"/>
    <w:rsid w:val="00581A90"/>
    <w:rsid w:val="0058229F"/>
    <w:rsid w:val="005830E4"/>
    <w:rsid w:val="005852DD"/>
    <w:rsid w:val="005853D4"/>
    <w:rsid w:val="00585E5B"/>
    <w:rsid w:val="00585F21"/>
    <w:rsid w:val="00586679"/>
    <w:rsid w:val="0058729F"/>
    <w:rsid w:val="00587557"/>
    <w:rsid w:val="00590E85"/>
    <w:rsid w:val="00590FA7"/>
    <w:rsid w:val="00592FBA"/>
    <w:rsid w:val="00593B90"/>
    <w:rsid w:val="005968AD"/>
    <w:rsid w:val="00596BF1"/>
    <w:rsid w:val="00596E26"/>
    <w:rsid w:val="00597F88"/>
    <w:rsid w:val="005A083A"/>
    <w:rsid w:val="005A2DE6"/>
    <w:rsid w:val="005A4D8C"/>
    <w:rsid w:val="005A75CC"/>
    <w:rsid w:val="005A7CE5"/>
    <w:rsid w:val="005B3047"/>
    <w:rsid w:val="005B3B61"/>
    <w:rsid w:val="005B3D9E"/>
    <w:rsid w:val="005B6560"/>
    <w:rsid w:val="005B795D"/>
    <w:rsid w:val="005B7FAA"/>
    <w:rsid w:val="005C1232"/>
    <w:rsid w:val="005C1E00"/>
    <w:rsid w:val="005C34DA"/>
    <w:rsid w:val="005C389C"/>
    <w:rsid w:val="005C3A65"/>
    <w:rsid w:val="005C55AE"/>
    <w:rsid w:val="005C58D6"/>
    <w:rsid w:val="005C5922"/>
    <w:rsid w:val="005C599E"/>
    <w:rsid w:val="005C6D9E"/>
    <w:rsid w:val="005C6E68"/>
    <w:rsid w:val="005C6F63"/>
    <w:rsid w:val="005D027D"/>
    <w:rsid w:val="005D1BB2"/>
    <w:rsid w:val="005D237D"/>
    <w:rsid w:val="005D23C7"/>
    <w:rsid w:val="005D4B9B"/>
    <w:rsid w:val="005D4D1D"/>
    <w:rsid w:val="005D4D40"/>
    <w:rsid w:val="005D564F"/>
    <w:rsid w:val="005D5779"/>
    <w:rsid w:val="005D5BCC"/>
    <w:rsid w:val="005D65A8"/>
    <w:rsid w:val="005D69F8"/>
    <w:rsid w:val="005D76E6"/>
    <w:rsid w:val="005E047A"/>
    <w:rsid w:val="005E0DDB"/>
    <w:rsid w:val="005E1BA1"/>
    <w:rsid w:val="005E1E97"/>
    <w:rsid w:val="005E22D8"/>
    <w:rsid w:val="005E2B6C"/>
    <w:rsid w:val="005E2DCE"/>
    <w:rsid w:val="005E309D"/>
    <w:rsid w:val="005E3DCB"/>
    <w:rsid w:val="005E3FDF"/>
    <w:rsid w:val="005E5022"/>
    <w:rsid w:val="005E50CE"/>
    <w:rsid w:val="005E7867"/>
    <w:rsid w:val="005E7BAB"/>
    <w:rsid w:val="005F13DE"/>
    <w:rsid w:val="005F172E"/>
    <w:rsid w:val="005F268D"/>
    <w:rsid w:val="005F3271"/>
    <w:rsid w:val="005F360C"/>
    <w:rsid w:val="005F42C3"/>
    <w:rsid w:val="005F4A04"/>
    <w:rsid w:val="005F4AD8"/>
    <w:rsid w:val="005F5984"/>
    <w:rsid w:val="005F5D5C"/>
    <w:rsid w:val="005F6718"/>
    <w:rsid w:val="005F679F"/>
    <w:rsid w:val="005F6BB6"/>
    <w:rsid w:val="0060109B"/>
    <w:rsid w:val="0060131B"/>
    <w:rsid w:val="0060183F"/>
    <w:rsid w:val="00601CED"/>
    <w:rsid w:val="006028B2"/>
    <w:rsid w:val="006035B9"/>
    <w:rsid w:val="006038D5"/>
    <w:rsid w:val="00603DD2"/>
    <w:rsid w:val="0060522B"/>
    <w:rsid w:val="006057BB"/>
    <w:rsid w:val="00605D19"/>
    <w:rsid w:val="00605D66"/>
    <w:rsid w:val="00606095"/>
    <w:rsid w:val="00606B59"/>
    <w:rsid w:val="006079B0"/>
    <w:rsid w:val="00607AF8"/>
    <w:rsid w:val="0061007E"/>
    <w:rsid w:val="0061009E"/>
    <w:rsid w:val="006106C5"/>
    <w:rsid w:val="0061137F"/>
    <w:rsid w:val="00612CD8"/>
    <w:rsid w:val="00612EF6"/>
    <w:rsid w:val="006133E2"/>
    <w:rsid w:val="00614B24"/>
    <w:rsid w:val="00615531"/>
    <w:rsid w:val="00616D94"/>
    <w:rsid w:val="006172F4"/>
    <w:rsid w:val="00617E10"/>
    <w:rsid w:val="00620577"/>
    <w:rsid w:val="00620766"/>
    <w:rsid w:val="006207D5"/>
    <w:rsid w:val="00620A49"/>
    <w:rsid w:val="006212AD"/>
    <w:rsid w:val="006226D8"/>
    <w:rsid w:val="00622B3C"/>
    <w:rsid w:val="0062310C"/>
    <w:rsid w:val="0063123A"/>
    <w:rsid w:val="00631724"/>
    <w:rsid w:val="00634E9F"/>
    <w:rsid w:val="006366C4"/>
    <w:rsid w:val="00636A8B"/>
    <w:rsid w:val="00636F03"/>
    <w:rsid w:val="00637DB7"/>
    <w:rsid w:val="00637FA0"/>
    <w:rsid w:val="00641926"/>
    <w:rsid w:val="00643135"/>
    <w:rsid w:val="00643282"/>
    <w:rsid w:val="0064373F"/>
    <w:rsid w:val="006439BD"/>
    <w:rsid w:val="006440E7"/>
    <w:rsid w:val="006465A4"/>
    <w:rsid w:val="006467CE"/>
    <w:rsid w:val="00646A6E"/>
    <w:rsid w:val="00652B64"/>
    <w:rsid w:val="00652BC6"/>
    <w:rsid w:val="00653686"/>
    <w:rsid w:val="006564CB"/>
    <w:rsid w:val="00656CCD"/>
    <w:rsid w:val="00657037"/>
    <w:rsid w:val="006606A3"/>
    <w:rsid w:val="00660DC4"/>
    <w:rsid w:val="006611D6"/>
    <w:rsid w:val="00661C49"/>
    <w:rsid w:val="00662369"/>
    <w:rsid w:val="006627D7"/>
    <w:rsid w:val="006633F1"/>
    <w:rsid w:val="00664072"/>
    <w:rsid w:val="00665FBC"/>
    <w:rsid w:val="00666D3F"/>
    <w:rsid w:val="00667513"/>
    <w:rsid w:val="006679F7"/>
    <w:rsid w:val="00670CDD"/>
    <w:rsid w:val="00671100"/>
    <w:rsid w:val="00671C14"/>
    <w:rsid w:val="00672EEA"/>
    <w:rsid w:val="006732B6"/>
    <w:rsid w:val="00673785"/>
    <w:rsid w:val="00674C1F"/>
    <w:rsid w:val="006752E5"/>
    <w:rsid w:val="00676ACF"/>
    <w:rsid w:val="0068003B"/>
    <w:rsid w:val="00681791"/>
    <w:rsid w:val="006818D8"/>
    <w:rsid w:val="006822D4"/>
    <w:rsid w:val="00682570"/>
    <w:rsid w:val="0068325A"/>
    <w:rsid w:val="0068343E"/>
    <w:rsid w:val="00683848"/>
    <w:rsid w:val="00683D80"/>
    <w:rsid w:val="00684F93"/>
    <w:rsid w:val="00685AF1"/>
    <w:rsid w:val="006862D1"/>
    <w:rsid w:val="00686B0D"/>
    <w:rsid w:val="00686B4B"/>
    <w:rsid w:val="00686DC0"/>
    <w:rsid w:val="00687D14"/>
    <w:rsid w:val="00691007"/>
    <w:rsid w:val="006910BE"/>
    <w:rsid w:val="00692560"/>
    <w:rsid w:val="006926BE"/>
    <w:rsid w:val="00693291"/>
    <w:rsid w:val="00693BAA"/>
    <w:rsid w:val="006947CA"/>
    <w:rsid w:val="00697241"/>
    <w:rsid w:val="006A01CE"/>
    <w:rsid w:val="006A4694"/>
    <w:rsid w:val="006A4AF6"/>
    <w:rsid w:val="006A5215"/>
    <w:rsid w:val="006A56DB"/>
    <w:rsid w:val="006A59A8"/>
    <w:rsid w:val="006A7524"/>
    <w:rsid w:val="006B080F"/>
    <w:rsid w:val="006B0951"/>
    <w:rsid w:val="006B271A"/>
    <w:rsid w:val="006B30A2"/>
    <w:rsid w:val="006B32D2"/>
    <w:rsid w:val="006B36AD"/>
    <w:rsid w:val="006B398B"/>
    <w:rsid w:val="006B4230"/>
    <w:rsid w:val="006B47FB"/>
    <w:rsid w:val="006B67BC"/>
    <w:rsid w:val="006B6D9D"/>
    <w:rsid w:val="006C02C9"/>
    <w:rsid w:val="006C1BEA"/>
    <w:rsid w:val="006C1D21"/>
    <w:rsid w:val="006C2093"/>
    <w:rsid w:val="006C4DC0"/>
    <w:rsid w:val="006C6800"/>
    <w:rsid w:val="006C6849"/>
    <w:rsid w:val="006D020A"/>
    <w:rsid w:val="006D0A54"/>
    <w:rsid w:val="006D211B"/>
    <w:rsid w:val="006D2D50"/>
    <w:rsid w:val="006D2E20"/>
    <w:rsid w:val="006D4045"/>
    <w:rsid w:val="006D4328"/>
    <w:rsid w:val="006D4DEF"/>
    <w:rsid w:val="006D5757"/>
    <w:rsid w:val="006D61FF"/>
    <w:rsid w:val="006D6D24"/>
    <w:rsid w:val="006D7374"/>
    <w:rsid w:val="006E1B92"/>
    <w:rsid w:val="006E3E6B"/>
    <w:rsid w:val="006E5788"/>
    <w:rsid w:val="006F01E4"/>
    <w:rsid w:val="006F054E"/>
    <w:rsid w:val="006F09CE"/>
    <w:rsid w:val="006F11DD"/>
    <w:rsid w:val="006F1376"/>
    <w:rsid w:val="006F140C"/>
    <w:rsid w:val="006F198E"/>
    <w:rsid w:val="006F5E33"/>
    <w:rsid w:val="006F691A"/>
    <w:rsid w:val="006F6CBB"/>
    <w:rsid w:val="006F7164"/>
    <w:rsid w:val="0070036E"/>
    <w:rsid w:val="00700C12"/>
    <w:rsid w:val="00700C64"/>
    <w:rsid w:val="00701016"/>
    <w:rsid w:val="0070226A"/>
    <w:rsid w:val="00702A53"/>
    <w:rsid w:val="00702B3C"/>
    <w:rsid w:val="00703A60"/>
    <w:rsid w:val="00704C0D"/>
    <w:rsid w:val="00710F92"/>
    <w:rsid w:val="0071113D"/>
    <w:rsid w:val="00711D72"/>
    <w:rsid w:val="00712181"/>
    <w:rsid w:val="007143C0"/>
    <w:rsid w:val="00717B02"/>
    <w:rsid w:val="00717D04"/>
    <w:rsid w:val="00720406"/>
    <w:rsid w:val="00721264"/>
    <w:rsid w:val="007212A5"/>
    <w:rsid w:val="00725CA1"/>
    <w:rsid w:val="007263CB"/>
    <w:rsid w:val="00726C5E"/>
    <w:rsid w:val="00726DA1"/>
    <w:rsid w:val="00727AFE"/>
    <w:rsid w:val="00727D5E"/>
    <w:rsid w:val="0073070A"/>
    <w:rsid w:val="00733B68"/>
    <w:rsid w:val="00734ED2"/>
    <w:rsid w:val="00735332"/>
    <w:rsid w:val="0073721C"/>
    <w:rsid w:val="00741727"/>
    <w:rsid w:val="0074195C"/>
    <w:rsid w:val="00741DE6"/>
    <w:rsid w:val="007423DC"/>
    <w:rsid w:val="00744B46"/>
    <w:rsid w:val="00744CD0"/>
    <w:rsid w:val="0074509F"/>
    <w:rsid w:val="007452B6"/>
    <w:rsid w:val="00745CD8"/>
    <w:rsid w:val="0075185A"/>
    <w:rsid w:val="00754DBD"/>
    <w:rsid w:val="0075787D"/>
    <w:rsid w:val="00757B89"/>
    <w:rsid w:val="00757D92"/>
    <w:rsid w:val="00760C19"/>
    <w:rsid w:val="00761FF1"/>
    <w:rsid w:val="00762B73"/>
    <w:rsid w:val="007636B1"/>
    <w:rsid w:val="00763DA5"/>
    <w:rsid w:val="007650C5"/>
    <w:rsid w:val="00765C0C"/>
    <w:rsid w:val="00766ED3"/>
    <w:rsid w:val="007678B8"/>
    <w:rsid w:val="00767CD6"/>
    <w:rsid w:val="0077003C"/>
    <w:rsid w:val="007709B2"/>
    <w:rsid w:val="00770D73"/>
    <w:rsid w:val="00774DA6"/>
    <w:rsid w:val="007756A3"/>
    <w:rsid w:val="00775AD7"/>
    <w:rsid w:val="00776117"/>
    <w:rsid w:val="0077693E"/>
    <w:rsid w:val="00777075"/>
    <w:rsid w:val="0077714F"/>
    <w:rsid w:val="00777813"/>
    <w:rsid w:val="00780BBE"/>
    <w:rsid w:val="00780EBD"/>
    <w:rsid w:val="00782005"/>
    <w:rsid w:val="00782009"/>
    <w:rsid w:val="00782E53"/>
    <w:rsid w:val="00786DDA"/>
    <w:rsid w:val="00790105"/>
    <w:rsid w:val="007954FC"/>
    <w:rsid w:val="00795F66"/>
    <w:rsid w:val="00796238"/>
    <w:rsid w:val="007A08B7"/>
    <w:rsid w:val="007A1630"/>
    <w:rsid w:val="007A31A3"/>
    <w:rsid w:val="007A3F34"/>
    <w:rsid w:val="007A5B4D"/>
    <w:rsid w:val="007A7154"/>
    <w:rsid w:val="007A778E"/>
    <w:rsid w:val="007B02D7"/>
    <w:rsid w:val="007B17D1"/>
    <w:rsid w:val="007B1DD5"/>
    <w:rsid w:val="007B3017"/>
    <w:rsid w:val="007B46EC"/>
    <w:rsid w:val="007B477E"/>
    <w:rsid w:val="007B52C4"/>
    <w:rsid w:val="007B55B3"/>
    <w:rsid w:val="007C13C6"/>
    <w:rsid w:val="007C2398"/>
    <w:rsid w:val="007C27C5"/>
    <w:rsid w:val="007C58E5"/>
    <w:rsid w:val="007C594C"/>
    <w:rsid w:val="007C7266"/>
    <w:rsid w:val="007D043E"/>
    <w:rsid w:val="007D0B72"/>
    <w:rsid w:val="007D0C7D"/>
    <w:rsid w:val="007D1C52"/>
    <w:rsid w:val="007D1D46"/>
    <w:rsid w:val="007D4091"/>
    <w:rsid w:val="007D4140"/>
    <w:rsid w:val="007D42D6"/>
    <w:rsid w:val="007D5F59"/>
    <w:rsid w:val="007D6E23"/>
    <w:rsid w:val="007D7E4A"/>
    <w:rsid w:val="007E03D4"/>
    <w:rsid w:val="007E1AAD"/>
    <w:rsid w:val="007E28D2"/>
    <w:rsid w:val="007E36E0"/>
    <w:rsid w:val="007E398B"/>
    <w:rsid w:val="007E6114"/>
    <w:rsid w:val="007E6DC2"/>
    <w:rsid w:val="007E7755"/>
    <w:rsid w:val="007F17CD"/>
    <w:rsid w:val="007F28DD"/>
    <w:rsid w:val="007F2B7B"/>
    <w:rsid w:val="007F30B5"/>
    <w:rsid w:val="007F5C24"/>
    <w:rsid w:val="007F6CC5"/>
    <w:rsid w:val="0080115E"/>
    <w:rsid w:val="00802BBB"/>
    <w:rsid w:val="00802FE8"/>
    <w:rsid w:val="00803804"/>
    <w:rsid w:val="008069C2"/>
    <w:rsid w:val="0081037B"/>
    <w:rsid w:val="0081039C"/>
    <w:rsid w:val="00811B28"/>
    <w:rsid w:val="00812D1E"/>
    <w:rsid w:val="00812E1C"/>
    <w:rsid w:val="00814EC9"/>
    <w:rsid w:val="00814F08"/>
    <w:rsid w:val="008164C7"/>
    <w:rsid w:val="00820C1A"/>
    <w:rsid w:val="00821514"/>
    <w:rsid w:val="00823980"/>
    <w:rsid w:val="00826567"/>
    <w:rsid w:val="00830357"/>
    <w:rsid w:val="0083095D"/>
    <w:rsid w:val="00830A7B"/>
    <w:rsid w:val="0083137D"/>
    <w:rsid w:val="0083425F"/>
    <w:rsid w:val="00835B05"/>
    <w:rsid w:val="008363B2"/>
    <w:rsid w:val="00837462"/>
    <w:rsid w:val="00840072"/>
    <w:rsid w:val="00842701"/>
    <w:rsid w:val="00842C45"/>
    <w:rsid w:val="0084370D"/>
    <w:rsid w:val="00843AA7"/>
    <w:rsid w:val="00843ADB"/>
    <w:rsid w:val="00843D08"/>
    <w:rsid w:val="00844E15"/>
    <w:rsid w:val="00846A62"/>
    <w:rsid w:val="00850ED9"/>
    <w:rsid w:val="00852153"/>
    <w:rsid w:val="0085486B"/>
    <w:rsid w:val="0085726F"/>
    <w:rsid w:val="008600A3"/>
    <w:rsid w:val="0086103D"/>
    <w:rsid w:val="008613D7"/>
    <w:rsid w:val="00861A7F"/>
    <w:rsid w:val="00861B43"/>
    <w:rsid w:val="00861EF5"/>
    <w:rsid w:val="00862742"/>
    <w:rsid w:val="00863FC7"/>
    <w:rsid w:val="008667EA"/>
    <w:rsid w:val="00866A6D"/>
    <w:rsid w:val="00870A01"/>
    <w:rsid w:val="008713F5"/>
    <w:rsid w:val="00871AD3"/>
    <w:rsid w:val="0087201C"/>
    <w:rsid w:val="008723EB"/>
    <w:rsid w:val="008735F9"/>
    <w:rsid w:val="00875856"/>
    <w:rsid w:val="00875E22"/>
    <w:rsid w:val="008824AF"/>
    <w:rsid w:val="008856AF"/>
    <w:rsid w:val="00885A04"/>
    <w:rsid w:val="00886D30"/>
    <w:rsid w:val="00886D8D"/>
    <w:rsid w:val="008875FB"/>
    <w:rsid w:val="00887B78"/>
    <w:rsid w:val="00890C72"/>
    <w:rsid w:val="008932E2"/>
    <w:rsid w:val="00893E68"/>
    <w:rsid w:val="00894F96"/>
    <w:rsid w:val="00897D55"/>
    <w:rsid w:val="008A0421"/>
    <w:rsid w:val="008A1154"/>
    <w:rsid w:val="008A25B4"/>
    <w:rsid w:val="008A2BFE"/>
    <w:rsid w:val="008A2CF6"/>
    <w:rsid w:val="008A4149"/>
    <w:rsid w:val="008A45DB"/>
    <w:rsid w:val="008A45FD"/>
    <w:rsid w:val="008A549C"/>
    <w:rsid w:val="008B0519"/>
    <w:rsid w:val="008B0585"/>
    <w:rsid w:val="008B0BB3"/>
    <w:rsid w:val="008B1AA2"/>
    <w:rsid w:val="008B2FA4"/>
    <w:rsid w:val="008B3955"/>
    <w:rsid w:val="008B3C85"/>
    <w:rsid w:val="008B3CF1"/>
    <w:rsid w:val="008B4663"/>
    <w:rsid w:val="008B48E9"/>
    <w:rsid w:val="008B5D76"/>
    <w:rsid w:val="008B67B0"/>
    <w:rsid w:val="008B67BC"/>
    <w:rsid w:val="008B6CDE"/>
    <w:rsid w:val="008B71A5"/>
    <w:rsid w:val="008C0619"/>
    <w:rsid w:val="008C1EA7"/>
    <w:rsid w:val="008C1F34"/>
    <w:rsid w:val="008C2BD7"/>
    <w:rsid w:val="008C3A3A"/>
    <w:rsid w:val="008C3B8A"/>
    <w:rsid w:val="008C54C4"/>
    <w:rsid w:val="008C72EC"/>
    <w:rsid w:val="008C78F9"/>
    <w:rsid w:val="008D01A1"/>
    <w:rsid w:val="008D024A"/>
    <w:rsid w:val="008D0EC2"/>
    <w:rsid w:val="008D1AC4"/>
    <w:rsid w:val="008D346E"/>
    <w:rsid w:val="008D35FD"/>
    <w:rsid w:val="008D433D"/>
    <w:rsid w:val="008D5C38"/>
    <w:rsid w:val="008D5D10"/>
    <w:rsid w:val="008D69B9"/>
    <w:rsid w:val="008E1812"/>
    <w:rsid w:val="008E191E"/>
    <w:rsid w:val="008E20AE"/>
    <w:rsid w:val="008E21B8"/>
    <w:rsid w:val="008E2DC8"/>
    <w:rsid w:val="008E2F13"/>
    <w:rsid w:val="008E2F41"/>
    <w:rsid w:val="008E33D7"/>
    <w:rsid w:val="008E3771"/>
    <w:rsid w:val="008E3974"/>
    <w:rsid w:val="008E3F22"/>
    <w:rsid w:val="008E4136"/>
    <w:rsid w:val="008E49C4"/>
    <w:rsid w:val="008E659A"/>
    <w:rsid w:val="008E72DC"/>
    <w:rsid w:val="008F0AB2"/>
    <w:rsid w:val="008F0CFA"/>
    <w:rsid w:val="008F26B7"/>
    <w:rsid w:val="008F4630"/>
    <w:rsid w:val="008F5AC1"/>
    <w:rsid w:val="008F66B8"/>
    <w:rsid w:val="008F7D86"/>
    <w:rsid w:val="0090129E"/>
    <w:rsid w:val="00902D26"/>
    <w:rsid w:val="00902E1A"/>
    <w:rsid w:val="0090330A"/>
    <w:rsid w:val="00904ED4"/>
    <w:rsid w:val="009058BB"/>
    <w:rsid w:val="00907546"/>
    <w:rsid w:val="009077D6"/>
    <w:rsid w:val="009107B2"/>
    <w:rsid w:val="0091127C"/>
    <w:rsid w:val="009114D7"/>
    <w:rsid w:val="00911750"/>
    <w:rsid w:val="0091302F"/>
    <w:rsid w:val="00914D3F"/>
    <w:rsid w:val="00914DDD"/>
    <w:rsid w:val="009155EA"/>
    <w:rsid w:val="00915894"/>
    <w:rsid w:val="009159FB"/>
    <w:rsid w:val="00916378"/>
    <w:rsid w:val="00917205"/>
    <w:rsid w:val="0091799D"/>
    <w:rsid w:val="00920AAB"/>
    <w:rsid w:val="00921B25"/>
    <w:rsid w:val="00922380"/>
    <w:rsid w:val="00922CCB"/>
    <w:rsid w:val="00925BB2"/>
    <w:rsid w:val="00925E05"/>
    <w:rsid w:val="00927183"/>
    <w:rsid w:val="00930829"/>
    <w:rsid w:val="009308AB"/>
    <w:rsid w:val="009308CB"/>
    <w:rsid w:val="00930C47"/>
    <w:rsid w:val="00931299"/>
    <w:rsid w:val="009328F8"/>
    <w:rsid w:val="009349A0"/>
    <w:rsid w:val="00935F4B"/>
    <w:rsid w:val="00937156"/>
    <w:rsid w:val="0093765C"/>
    <w:rsid w:val="00940071"/>
    <w:rsid w:val="0094068D"/>
    <w:rsid w:val="0094144B"/>
    <w:rsid w:val="0094144E"/>
    <w:rsid w:val="009428A0"/>
    <w:rsid w:val="009438D0"/>
    <w:rsid w:val="0094601F"/>
    <w:rsid w:val="00947194"/>
    <w:rsid w:val="0094760C"/>
    <w:rsid w:val="009510D7"/>
    <w:rsid w:val="009512D6"/>
    <w:rsid w:val="00952183"/>
    <w:rsid w:val="0095261A"/>
    <w:rsid w:val="0095286A"/>
    <w:rsid w:val="009538DA"/>
    <w:rsid w:val="009539A3"/>
    <w:rsid w:val="0095491E"/>
    <w:rsid w:val="00954E29"/>
    <w:rsid w:val="00955330"/>
    <w:rsid w:val="0095559F"/>
    <w:rsid w:val="009555B8"/>
    <w:rsid w:val="00955F29"/>
    <w:rsid w:val="00960176"/>
    <w:rsid w:val="0096090E"/>
    <w:rsid w:val="009637F8"/>
    <w:rsid w:val="00967315"/>
    <w:rsid w:val="00967DE5"/>
    <w:rsid w:val="0097047D"/>
    <w:rsid w:val="009715E6"/>
    <w:rsid w:val="0097190B"/>
    <w:rsid w:val="00972063"/>
    <w:rsid w:val="009730DF"/>
    <w:rsid w:val="00974377"/>
    <w:rsid w:val="009760E3"/>
    <w:rsid w:val="0097691D"/>
    <w:rsid w:val="00976D88"/>
    <w:rsid w:val="009779BD"/>
    <w:rsid w:val="00977BDF"/>
    <w:rsid w:val="00977F76"/>
    <w:rsid w:val="00982022"/>
    <w:rsid w:val="009824FC"/>
    <w:rsid w:val="00982AC0"/>
    <w:rsid w:val="00982FA2"/>
    <w:rsid w:val="0098495D"/>
    <w:rsid w:val="009856BF"/>
    <w:rsid w:val="00985C71"/>
    <w:rsid w:val="00986839"/>
    <w:rsid w:val="009879A2"/>
    <w:rsid w:val="0099003E"/>
    <w:rsid w:val="009901DF"/>
    <w:rsid w:val="00990974"/>
    <w:rsid w:val="00990CD9"/>
    <w:rsid w:val="00991687"/>
    <w:rsid w:val="00992E56"/>
    <w:rsid w:val="009939B6"/>
    <w:rsid w:val="0099437F"/>
    <w:rsid w:val="009949F1"/>
    <w:rsid w:val="00995711"/>
    <w:rsid w:val="00995B62"/>
    <w:rsid w:val="00996167"/>
    <w:rsid w:val="009A0423"/>
    <w:rsid w:val="009A0C1A"/>
    <w:rsid w:val="009A0D8B"/>
    <w:rsid w:val="009A11D8"/>
    <w:rsid w:val="009A11F3"/>
    <w:rsid w:val="009A2248"/>
    <w:rsid w:val="009A2A14"/>
    <w:rsid w:val="009A3F44"/>
    <w:rsid w:val="009A41CE"/>
    <w:rsid w:val="009A42F7"/>
    <w:rsid w:val="009A4506"/>
    <w:rsid w:val="009A6A68"/>
    <w:rsid w:val="009A6A87"/>
    <w:rsid w:val="009B09A6"/>
    <w:rsid w:val="009B0F74"/>
    <w:rsid w:val="009B124C"/>
    <w:rsid w:val="009B1B08"/>
    <w:rsid w:val="009B2693"/>
    <w:rsid w:val="009B28D7"/>
    <w:rsid w:val="009B293E"/>
    <w:rsid w:val="009B3F34"/>
    <w:rsid w:val="009B44FD"/>
    <w:rsid w:val="009B5436"/>
    <w:rsid w:val="009B6DB6"/>
    <w:rsid w:val="009B70F4"/>
    <w:rsid w:val="009B734A"/>
    <w:rsid w:val="009C09F9"/>
    <w:rsid w:val="009C0D06"/>
    <w:rsid w:val="009C28D1"/>
    <w:rsid w:val="009C320E"/>
    <w:rsid w:val="009C3664"/>
    <w:rsid w:val="009C4FC6"/>
    <w:rsid w:val="009C502F"/>
    <w:rsid w:val="009C52F7"/>
    <w:rsid w:val="009C6783"/>
    <w:rsid w:val="009C68AA"/>
    <w:rsid w:val="009C70D1"/>
    <w:rsid w:val="009C7290"/>
    <w:rsid w:val="009C7487"/>
    <w:rsid w:val="009D24B5"/>
    <w:rsid w:val="009D2FF4"/>
    <w:rsid w:val="009D2FF7"/>
    <w:rsid w:val="009D41F5"/>
    <w:rsid w:val="009D4FBE"/>
    <w:rsid w:val="009D5353"/>
    <w:rsid w:val="009D5987"/>
    <w:rsid w:val="009D79A7"/>
    <w:rsid w:val="009E0525"/>
    <w:rsid w:val="009E0D45"/>
    <w:rsid w:val="009E1553"/>
    <w:rsid w:val="009E20DA"/>
    <w:rsid w:val="009E351F"/>
    <w:rsid w:val="009E3CD5"/>
    <w:rsid w:val="009E4D54"/>
    <w:rsid w:val="009F01C0"/>
    <w:rsid w:val="009F1190"/>
    <w:rsid w:val="009F1687"/>
    <w:rsid w:val="009F170D"/>
    <w:rsid w:val="009F2037"/>
    <w:rsid w:val="009F3203"/>
    <w:rsid w:val="009F35D6"/>
    <w:rsid w:val="009F4435"/>
    <w:rsid w:val="009F5918"/>
    <w:rsid w:val="00A000B4"/>
    <w:rsid w:val="00A0198C"/>
    <w:rsid w:val="00A02A9F"/>
    <w:rsid w:val="00A02D66"/>
    <w:rsid w:val="00A03FFC"/>
    <w:rsid w:val="00A04CA7"/>
    <w:rsid w:val="00A061FC"/>
    <w:rsid w:val="00A110D3"/>
    <w:rsid w:val="00A110DE"/>
    <w:rsid w:val="00A11310"/>
    <w:rsid w:val="00A11CC5"/>
    <w:rsid w:val="00A12205"/>
    <w:rsid w:val="00A129E5"/>
    <w:rsid w:val="00A12EA2"/>
    <w:rsid w:val="00A133A0"/>
    <w:rsid w:val="00A1702E"/>
    <w:rsid w:val="00A17C0F"/>
    <w:rsid w:val="00A17D02"/>
    <w:rsid w:val="00A20107"/>
    <w:rsid w:val="00A207F4"/>
    <w:rsid w:val="00A259A7"/>
    <w:rsid w:val="00A25A49"/>
    <w:rsid w:val="00A265AA"/>
    <w:rsid w:val="00A26972"/>
    <w:rsid w:val="00A269AA"/>
    <w:rsid w:val="00A26C73"/>
    <w:rsid w:val="00A317AF"/>
    <w:rsid w:val="00A31B26"/>
    <w:rsid w:val="00A32E9B"/>
    <w:rsid w:val="00A332A4"/>
    <w:rsid w:val="00A34ABF"/>
    <w:rsid w:val="00A35500"/>
    <w:rsid w:val="00A367B9"/>
    <w:rsid w:val="00A367C4"/>
    <w:rsid w:val="00A36B2A"/>
    <w:rsid w:val="00A36E36"/>
    <w:rsid w:val="00A3750A"/>
    <w:rsid w:val="00A376A5"/>
    <w:rsid w:val="00A4060D"/>
    <w:rsid w:val="00A40A94"/>
    <w:rsid w:val="00A41213"/>
    <w:rsid w:val="00A41834"/>
    <w:rsid w:val="00A42CFC"/>
    <w:rsid w:val="00A45359"/>
    <w:rsid w:val="00A46732"/>
    <w:rsid w:val="00A472A9"/>
    <w:rsid w:val="00A47582"/>
    <w:rsid w:val="00A500A8"/>
    <w:rsid w:val="00A51DF3"/>
    <w:rsid w:val="00A5228B"/>
    <w:rsid w:val="00A5305C"/>
    <w:rsid w:val="00A53E45"/>
    <w:rsid w:val="00A543BD"/>
    <w:rsid w:val="00A54781"/>
    <w:rsid w:val="00A56771"/>
    <w:rsid w:val="00A5704A"/>
    <w:rsid w:val="00A572CD"/>
    <w:rsid w:val="00A572EE"/>
    <w:rsid w:val="00A575DB"/>
    <w:rsid w:val="00A57986"/>
    <w:rsid w:val="00A57C05"/>
    <w:rsid w:val="00A60595"/>
    <w:rsid w:val="00A60F49"/>
    <w:rsid w:val="00A61818"/>
    <w:rsid w:val="00A6238E"/>
    <w:rsid w:val="00A62439"/>
    <w:rsid w:val="00A641C2"/>
    <w:rsid w:val="00A677DF"/>
    <w:rsid w:val="00A71421"/>
    <w:rsid w:val="00A7188A"/>
    <w:rsid w:val="00A73487"/>
    <w:rsid w:val="00A73760"/>
    <w:rsid w:val="00A7449B"/>
    <w:rsid w:val="00A744BE"/>
    <w:rsid w:val="00A74932"/>
    <w:rsid w:val="00A75296"/>
    <w:rsid w:val="00A757AE"/>
    <w:rsid w:val="00A76284"/>
    <w:rsid w:val="00A7725A"/>
    <w:rsid w:val="00A77EE6"/>
    <w:rsid w:val="00A77FA1"/>
    <w:rsid w:val="00A803CA"/>
    <w:rsid w:val="00A8092B"/>
    <w:rsid w:val="00A8159F"/>
    <w:rsid w:val="00A8185E"/>
    <w:rsid w:val="00A81B3A"/>
    <w:rsid w:val="00A81CD2"/>
    <w:rsid w:val="00A82025"/>
    <w:rsid w:val="00A82D44"/>
    <w:rsid w:val="00A8673D"/>
    <w:rsid w:val="00A8703A"/>
    <w:rsid w:val="00A87800"/>
    <w:rsid w:val="00A9117C"/>
    <w:rsid w:val="00A9350D"/>
    <w:rsid w:val="00A93C5D"/>
    <w:rsid w:val="00A9460A"/>
    <w:rsid w:val="00A94794"/>
    <w:rsid w:val="00A951F8"/>
    <w:rsid w:val="00A95294"/>
    <w:rsid w:val="00A96959"/>
    <w:rsid w:val="00A96B9B"/>
    <w:rsid w:val="00A9769A"/>
    <w:rsid w:val="00AA05D8"/>
    <w:rsid w:val="00AA19AD"/>
    <w:rsid w:val="00AA1E74"/>
    <w:rsid w:val="00AA32D5"/>
    <w:rsid w:val="00AA46CE"/>
    <w:rsid w:val="00AA5318"/>
    <w:rsid w:val="00AA5F92"/>
    <w:rsid w:val="00AA7B25"/>
    <w:rsid w:val="00AB05DD"/>
    <w:rsid w:val="00AB2597"/>
    <w:rsid w:val="00AB5A14"/>
    <w:rsid w:val="00AB700C"/>
    <w:rsid w:val="00AC2084"/>
    <w:rsid w:val="00AC2657"/>
    <w:rsid w:val="00AC276C"/>
    <w:rsid w:val="00AC2929"/>
    <w:rsid w:val="00AC3303"/>
    <w:rsid w:val="00AC35D0"/>
    <w:rsid w:val="00AC4E8A"/>
    <w:rsid w:val="00AC5067"/>
    <w:rsid w:val="00AC5CE0"/>
    <w:rsid w:val="00AC5E4A"/>
    <w:rsid w:val="00AC6C65"/>
    <w:rsid w:val="00AD16E7"/>
    <w:rsid w:val="00AD17D8"/>
    <w:rsid w:val="00AD1CA9"/>
    <w:rsid w:val="00AD2EB9"/>
    <w:rsid w:val="00AD30FE"/>
    <w:rsid w:val="00AD3376"/>
    <w:rsid w:val="00AD560E"/>
    <w:rsid w:val="00AD7512"/>
    <w:rsid w:val="00AE0482"/>
    <w:rsid w:val="00AE1D99"/>
    <w:rsid w:val="00AE2147"/>
    <w:rsid w:val="00AE36F0"/>
    <w:rsid w:val="00AE42CB"/>
    <w:rsid w:val="00AE4A5A"/>
    <w:rsid w:val="00AE56C9"/>
    <w:rsid w:val="00AE61EB"/>
    <w:rsid w:val="00AE69F7"/>
    <w:rsid w:val="00AE6C23"/>
    <w:rsid w:val="00AF0A8A"/>
    <w:rsid w:val="00AF31CF"/>
    <w:rsid w:val="00AF3F65"/>
    <w:rsid w:val="00AF4565"/>
    <w:rsid w:val="00AF458E"/>
    <w:rsid w:val="00AF524F"/>
    <w:rsid w:val="00AF56E2"/>
    <w:rsid w:val="00AF5F20"/>
    <w:rsid w:val="00AF6152"/>
    <w:rsid w:val="00AF7A80"/>
    <w:rsid w:val="00AF7CBE"/>
    <w:rsid w:val="00B007BD"/>
    <w:rsid w:val="00B018BF"/>
    <w:rsid w:val="00B01A13"/>
    <w:rsid w:val="00B02328"/>
    <w:rsid w:val="00B0412E"/>
    <w:rsid w:val="00B05F74"/>
    <w:rsid w:val="00B10707"/>
    <w:rsid w:val="00B11B4B"/>
    <w:rsid w:val="00B1208E"/>
    <w:rsid w:val="00B121A2"/>
    <w:rsid w:val="00B12F5C"/>
    <w:rsid w:val="00B1300D"/>
    <w:rsid w:val="00B13AEF"/>
    <w:rsid w:val="00B13C82"/>
    <w:rsid w:val="00B13E16"/>
    <w:rsid w:val="00B14440"/>
    <w:rsid w:val="00B1464A"/>
    <w:rsid w:val="00B14A09"/>
    <w:rsid w:val="00B15BF4"/>
    <w:rsid w:val="00B16DA2"/>
    <w:rsid w:val="00B21610"/>
    <w:rsid w:val="00B21AB6"/>
    <w:rsid w:val="00B22F85"/>
    <w:rsid w:val="00B23C14"/>
    <w:rsid w:val="00B249B6"/>
    <w:rsid w:val="00B265DB"/>
    <w:rsid w:val="00B265E5"/>
    <w:rsid w:val="00B27415"/>
    <w:rsid w:val="00B30661"/>
    <w:rsid w:val="00B30F79"/>
    <w:rsid w:val="00B31060"/>
    <w:rsid w:val="00B31149"/>
    <w:rsid w:val="00B313B9"/>
    <w:rsid w:val="00B32B7F"/>
    <w:rsid w:val="00B32D2D"/>
    <w:rsid w:val="00B32DC7"/>
    <w:rsid w:val="00B35DA1"/>
    <w:rsid w:val="00B3646A"/>
    <w:rsid w:val="00B372D1"/>
    <w:rsid w:val="00B378EB"/>
    <w:rsid w:val="00B40A6F"/>
    <w:rsid w:val="00B40D28"/>
    <w:rsid w:val="00B41849"/>
    <w:rsid w:val="00B42966"/>
    <w:rsid w:val="00B4399B"/>
    <w:rsid w:val="00B43DA7"/>
    <w:rsid w:val="00B43F5D"/>
    <w:rsid w:val="00B44332"/>
    <w:rsid w:val="00B4458B"/>
    <w:rsid w:val="00B44B39"/>
    <w:rsid w:val="00B46D1C"/>
    <w:rsid w:val="00B46E8F"/>
    <w:rsid w:val="00B506E3"/>
    <w:rsid w:val="00B50947"/>
    <w:rsid w:val="00B50E98"/>
    <w:rsid w:val="00B50FE6"/>
    <w:rsid w:val="00B51164"/>
    <w:rsid w:val="00B51AB9"/>
    <w:rsid w:val="00B51FCF"/>
    <w:rsid w:val="00B524B1"/>
    <w:rsid w:val="00B54CD9"/>
    <w:rsid w:val="00B54DC2"/>
    <w:rsid w:val="00B5510F"/>
    <w:rsid w:val="00B55A67"/>
    <w:rsid w:val="00B55D3E"/>
    <w:rsid w:val="00B60FBA"/>
    <w:rsid w:val="00B65FD6"/>
    <w:rsid w:val="00B66EDA"/>
    <w:rsid w:val="00B66FBA"/>
    <w:rsid w:val="00B6789A"/>
    <w:rsid w:val="00B70777"/>
    <w:rsid w:val="00B71A56"/>
    <w:rsid w:val="00B7234F"/>
    <w:rsid w:val="00B72889"/>
    <w:rsid w:val="00B72EA5"/>
    <w:rsid w:val="00B76A39"/>
    <w:rsid w:val="00B7747F"/>
    <w:rsid w:val="00B775DE"/>
    <w:rsid w:val="00B77EE6"/>
    <w:rsid w:val="00B81F8B"/>
    <w:rsid w:val="00B820B8"/>
    <w:rsid w:val="00B828DD"/>
    <w:rsid w:val="00B84D65"/>
    <w:rsid w:val="00B86E93"/>
    <w:rsid w:val="00B86F33"/>
    <w:rsid w:val="00B873D3"/>
    <w:rsid w:val="00B90352"/>
    <w:rsid w:val="00B904AD"/>
    <w:rsid w:val="00B91A6C"/>
    <w:rsid w:val="00B9254E"/>
    <w:rsid w:val="00B93680"/>
    <w:rsid w:val="00B93D0B"/>
    <w:rsid w:val="00B93DD4"/>
    <w:rsid w:val="00B93FEC"/>
    <w:rsid w:val="00B940BC"/>
    <w:rsid w:val="00B94ED8"/>
    <w:rsid w:val="00B96357"/>
    <w:rsid w:val="00B97139"/>
    <w:rsid w:val="00BA0040"/>
    <w:rsid w:val="00BA0C2B"/>
    <w:rsid w:val="00BA14C4"/>
    <w:rsid w:val="00BA2047"/>
    <w:rsid w:val="00BA320E"/>
    <w:rsid w:val="00BA4EC9"/>
    <w:rsid w:val="00BA5A58"/>
    <w:rsid w:val="00BA72D9"/>
    <w:rsid w:val="00BB0790"/>
    <w:rsid w:val="00BB1253"/>
    <w:rsid w:val="00BB14BE"/>
    <w:rsid w:val="00BB51AE"/>
    <w:rsid w:val="00BB6676"/>
    <w:rsid w:val="00BC03F7"/>
    <w:rsid w:val="00BC0C9F"/>
    <w:rsid w:val="00BC1196"/>
    <w:rsid w:val="00BC126B"/>
    <w:rsid w:val="00BC19E3"/>
    <w:rsid w:val="00BC2860"/>
    <w:rsid w:val="00BC3592"/>
    <w:rsid w:val="00BC3BBF"/>
    <w:rsid w:val="00BC4172"/>
    <w:rsid w:val="00BC4E50"/>
    <w:rsid w:val="00BC5184"/>
    <w:rsid w:val="00BC54F2"/>
    <w:rsid w:val="00BC5AB6"/>
    <w:rsid w:val="00BC681C"/>
    <w:rsid w:val="00BC70B9"/>
    <w:rsid w:val="00BC716A"/>
    <w:rsid w:val="00BC77EF"/>
    <w:rsid w:val="00BD044B"/>
    <w:rsid w:val="00BD09E6"/>
    <w:rsid w:val="00BD0FB8"/>
    <w:rsid w:val="00BD1541"/>
    <w:rsid w:val="00BD164A"/>
    <w:rsid w:val="00BD1D50"/>
    <w:rsid w:val="00BD253F"/>
    <w:rsid w:val="00BD2CB0"/>
    <w:rsid w:val="00BD3446"/>
    <w:rsid w:val="00BD35EA"/>
    <w:rsid w:val="00BD61F9"/>
    <w:rsid w:val="00BD64E8"/>
    <w:rsid w:val="00BD7B0A"/>
    <w:rsid w:val="00BE1A45"/>
    <w:rsid w:val="00BE1E6D"/>
    <w:rsid w:val="00BE2319"/>
    <w:rsid w:val="00BE2988"/>
    <w:rsid w:val="00BE31D5"/>
    <w:rsid w:val="00BE3556"/>
    <w:rsid w:val="00BE4A57"/>
    <w:rsid w:val="00BE560E"/>
    <w:rsid w:val="00BE668A"/>
    <w:rsid w:val="00BE6BBF"/>
    <w:rsid w:val="00BE73A6"/>
    <w:rsid w:val="00BF1705"/>
    <w:rsid w:val="00BF1BBE"/>
    <w:rsid w:val="00BF1CEE"/>
    <w:rsid w:val="00BF2A92"/>
    <w:rsid w:val="00BF3658"/>
    <w:rsid w:val="00BF4877"/>
    <w:rsid w:val="00BF53C2"/>
    <w:rsid w:val="00BF5F11"/>
    <w:rsid w:val="00BF6281"/>
    <w:rsid w:val="00BF7249"/>
    <w:rsid w:val="00BF73AB"/>
    <w:rsid w:val="00BF77D7"/>
    <w:rsid w:val="00C00DB8"/>
    <w:rsid w:val="00C017FA"/>
    <w:rsid w:val="00C0228D"/>
    <w:rsid w:val="00C026D8"/>
    <w:rsid w:val="00C03243"/>
    <w:rsid w:val="00C03AA5"/>
    <w:rsid w:val="00C04DF8"/>
    <w:rsid w:val="00C0529B"/>
    <w:rsid w:val="00C0563D"/>
    <w:rsid w:val="00C06376"/>
    <w:rsid w:val="00C06DEF"/>
    <w:rsid w:val="00C06F5A"/>
    <w:rsid w:val="00C10612"/>
    <w:rsid w:val="00C1145E"/>
    <w:rsid w:val="00C132BE"/>
    <w:rsid w:val="00C13ECD"/>
    <w:rsid w:val="00C14B06"/>
    <w:rsid w:val="00C17AC5"/>
    <w:rsid w:val="00C21396"/>
    <w:rsid w:val="00C21701"/>
    <w:rsid w:val="00C22952"/>
    <w:rsid w:val="00C22B33"/>
    <w:rsid w:val="00C22B6F"/>
    <w:rsid w:val="00C233D2"/>
    <w:rsid w:val="00C2395C"/>
    <w:rsid w:val="00C23F75"/>
    <w:rsid w:val="00C23FE2"/>
    <w:rsid w:val="00C24F14"/>
    <w:rsid w:val="00C27152"/>
    <w:rsid w:val="00C27943"/>
    <w:rsid w:val="00C27BB2"/>
    <w:rsid w:val="00C27D73"/>
    <w:rsid w:val="00C30A69"/>
    <w:rsid w:val="00C31D13"/>
    <w:rsid w:val="00C33ABD"/>
    <w:rsid w:val="00C3467F"/>
    <w:rsid w:val="00C36168"/>
    <w:rsid w:val="00C364E7"/>
    <w:rsid w:val="00C36AC6"/>
    <w:rsid w:val="00C36F20"/>
    <w:rsid w:val="00C37480"/>
    <w:rsid w:val="00C37C40"/>
    <w:rsid w:val="00C40B8F"/>
    <w:rsid w:val="00C4192C"/>
    <w:rsid w:val="00C42624"/>
    <w:rsid w:val="00C4661B"/>
    <w:rsid w:val="00C47BA3"/>
    <w:rsid w:val="00C47BCF"/>
    <w:rsid w:val="00C50290"/>
    <w:rsid w:val="00C50744"/>
    <w:rsid w:val="00C50A4D"/>
    <w:rsid w:val="00C520FE"/>
    <w:rsid w:val="00C53A81"/>
    <w:rsid w:val="00C5416A"/>
    <w:rsid w:val="00C54BB5"/>
    <w:rsid w:val="00C564AB"/>
    <w:rsid w:val="00C60A79"/>
    <w:rsid w:val="00C6103F"/>
    <w:rsid w:val="00C64735"/>
    <w:rsid w:val="00C64A61"/>
    <w:rsid w:val="00C65675"/>
    <w:rsid w:val="00C66546"/>
    <w:rsid w:val="00C67B4F"/>
    <w:rsid w:val="00C71712"/>
    <w:rsid w:val="00C719B6"/>
    <w:rsid w:val="00C726CF"/>
    <w:rsid w:val="00C729E4"/>
    <w:rsid w:val="00C74384"/>
    <w:rsid w:val="00C74450"/>
    <w:rsid w:val="00C75616"/>
    <w:rsid w:val="00C75979"/>
    <w:rsid w:val="00C760B8"/>
    <w:rsid w:val="00C76B6C"/>
    <w:rsid w:val="00C76C57"/>
    <w:rsid w:val="00C76D92"/>
    <w:rsid w:val="00C76EA3"/>
    <w:rsid w:val="00C77471"/>
    <w:rsid w:val="00C81688"/>
    <w:rsid w:val="00C8207B"/>
    <w:rsid w:val="00C8267E"/>
    <w:rsid w:val="00C826C0"/>
    <w:rsid w:val="00C82C08"/>
    <w:rsid w:val="00C84506"/>
    <w:rsid w:val="00C846B8"/>
    <w:rsid w:val="00C8473E"/>
    <w:rsid w:val="00C8526C"/>
    <w:rsid w:val="00C85536"/>
    <w:rsid w:val="00C85623"/>
    <w:rsid w:val="00C8768D"/>
    <w:rsid w:val="00C87FB3"/>
    <w:rsid w:val="00C903BE"/>
    <w:rsid w:val="00C90F5D"/>
    <w:rsid w:val="00C9175D"/>
    <w:rsid w:val="00C917E0"/>
    <w:rsid w:val="00C91B7D"/>
    <w:rsid w:val="00C91ED1"/>
    <w:rsid w:val="00C93A75"/>
    <w:rsid w:val="00C93F88"/>
    <w:rsid w:val="00C96A7B"/>
    <w:rsid w:val="00C97303"/>
    <w:rsid w:val="00C977E6"/>
    <w:rsid w:val="00CA17F3"/>
    <w:rsid w:val="00CA1AC4"/>
    <w:rsid w:val="00CA2345"/>
    <w:rsid w:val="00CA3029"/>
    <w:rsid w:val="00CA31A9"/>
    <w:rsid w:val="00CA39C4"/>
    <w:rsid w:val="00CA415E"/>
    <w:rsid w:val="00CA452F"/>
    <w:rsid w:val="00CA4FF8"/>
    <w:rsid w:val="00CA50A5"/>
    <w:rsid w:val="00CA5180"/>
    <w:rsid w:val="00CA6B59"/>
    <w:rsid w:val="00CA77D9"/>
    <w:rsid w:val="00CB000C"/>
    <w:rsid w:val="00CB0327"/>
    <w:rsid w:val="00CB048F"/>
    <w:rsid w:val="00CB0922"/>
    <w:rsid w:val="00CB1C94"/>
    <w:rsid w:val="00CB1D46"/>
    <w:rsid w:val="00CB24CC"/>
    <w:rsid w:val="00CB3053"/>
    <w:rsid w:val="00CB3BAE"/>
    <w:rsid w:val="00CB3CD8"/>
    <w:rsid w:val="00CB45AE"/>
    <w:rsid w:val="00CB60B1"/>
    <w:rsid w:val="00CC05BB"/>
    <w:rsid w:val="00CC14BD"/>
    <w:rsid w:val="00CC1B86"/>
    <w:rsid w:val="00CC25B4"/>
    <w:rsid w:val="00CC2DAE"/>
    <w:rsid w:val="00CC3E5C"/>
    <w:rsid w:val="00CC4330"/>
    <w:rsid w:val="00CC4F0B"/>
    <w:rsid w:val="00CC4F8D"/>
    <w:rsid w:val="00CC7FB2"/>
    <w:rsid w:val="00CD1421"/>
    <w:rsid w:val="00CD1632"/>
    <w:rsid w:val="00CD1888"/>
    <w:rsid w:val="00CD27D0"/>
    <w:rsid w:val="00CD3888"/>
    <w:rsid w:val="00CD3D88"/>
    <w:rsid w:val="00CD522B"/>
    <w:rsid w:val="00CD557A"/>
    <w:rsid w:val="00CD5AB7"/>
    <w:rsid w:val="00CD754B"/>
    <w:rsid w:val="00CE013D"/>
    <w:rsid w:val="00CE199F"/>
    <w:rsid w:val="00CE3B42"/>
    <w:rsid w:val="00CE3B60"/>
    <w:rsid w:val="00CE569A"/>
    <w:rsid w:val="00CE5709"/>
    <w:rsid w:val="00CE59A2"/>
    <w:rsid w:val="00CE735A"/>
    <w:rsid w:val="00CE7E2C"/>
    <w:rsid w:val="00CF0904"/>
    <w:rsid w:val="00CF2907"/>
    <w:rsid w:val="00CF3A39"/>
    <w:rsid w:val="00CF40FF"/>
    <w:rsid w:val="00CF45AD"/>
    <w:rsid w:val="00CF49B9"/>
    <w:rsid w:val="00CF4C83"/>
    <w:rsid w:val="00CF57E1"/>
    <w:rsid w:val="00CF6019"/>
    <w:rsid w:val="00CF6412"/>
    <w:rsid w:val="00CF69B7"/>
    <w:rsid w:val="00CF777B"/>
    <w:rsid w:val="00CF7842"/>
    <w:rsid w:val="00D01AC6"/>
    <w:rsid w:val="00D01C0C"/>
    <w:rsid w:val="00D01E04"/>
    <w:rsid w:val="00D02190"/>
    <w:rsid w:val="00D037BE"/>
    <w:rsid w:val="00D05711"/>
    <w:rsid w:val="00D061EE"/>
    <w:rsid w:val="00D06F91"/>
    <w:rsid w:val="00D07278"/>
    <w:rsid w:val="00D0727A"/>
    <w:rsid w:val="00D072A4"/>
    <w:rsid w:val="00D10332"/>
    <w:rsid w:val="00D1389F"/>
    <w:rsid w:val="00D13E69"/>
    <w:rsid w:val="00D145E7"/>
    <w:rsid w:val="00D14E0A"/>
    <w:rsid w:val="00D15347"/>
    <w:rsid w:val="00D1718B"/>
    <w:rsid w:val="00D207D8"/>
    <w:rsid w:val="00D21177"/>
    <w:rsid w:val="00D21942"/>
    <w:rsid w:val="00D22B81"/>
    <w:rsid w:val="00D24DCB"/>
    <w:rsid w:val="00D2591C"/>
    <w:rsid w:val="00D25D9E"/>
    <w:rsid w:val="00D27B4E"/>
    <w:rsid w:val="00D31059"/>
    <w:rsid w:val="00D314E7"/>
    <w:rsid w:val="00D34288"/>
    <w:rsid w:val="00D35CFE"/>
    <w:rsid w:val="00D36BB1"/>
    <w:rsid w:val="00D37EFA"/>
    <w:rsid w:val="00D42472"/>
    <w:rsid w:val="00D42987"/>
    <w:rsid w:val="00D43B31"/>
    <w:rsid w:val="00D457E5"/>
    <w:rsid w:val="00D45A7E"/>
    <w:rsid w:val="00D469B4"/>
    <w:rsid w:val="00D50359"/>
    <w:rsid w:val="00D51592"/>
    <w:rsid w:val="00D51CC5"/>
    <w:rsid w:val="00D52ED9"/>
    <w:rsid w:val="00D545D8"/>
    <w:rsid w:val="00D548F5"/>
    <w:rsid w:val="00D54B06"/>
    <w:rsid w:val="00D5599E"/>
    <w:rsid w:val="00D5688F"/>
    <w:rsid w:val="00D60467"/>
    <w:rsid w:val="00D604A0"/>
    <w:rsid w:val="00D631C9"/>
    <w:rsid w:val="00D653AE"/>
    <w:rsid w:val="00D65BFA"/>
    <w:rsid w:val="00D65FD4"/>
    <w:rsid w:val="00D712A1"/>
    <w:rsid w:val="00D71459"/>
    <w:rsid w:val="00D719AC"/>
    <w:rsid w:val="00D71EE0"/>
    <w:rsid w:val="00D7281E"/>
    <w:rsid w:val="00D74DF8"/>
    <w:rsid w:val="00D775DF"/>
    <w:rsid w:val="00D7763B"/>
    <w:rsid w:val="00D779D6"/>
    <w:rsid w:val="00D804C5"/>
    <w:rsid w:val="00D81417"/>
    <w:rsid w:val="00D822B1"/>
    <w:rsid w:val="00D82544"/>
    <w:rsid w:val="00D83403"/>
    <w:rsid w:val="00D848A7"/>
    <w:rsid w:val="00D857F6"/>
    <w:rsid w:val="00D86D08"/>
    <w:rsid w:val="00D93978"/>
    <w:rsid w:val="00D93A8D"/>
    <w:rsid w:val="00D93B58"/>
    <w:rsid w:val="00D9523C"/>
    <w:rsid w:val="00D96295"/>
    <w:rsid w:val="00DA05D3"/>
    <w:rsid w:val="00DA29B2"/>
    <w:rsid w:val="00DA35B8"/>
    <w:rsid w:val="00DA3F17"/>
    <w:rsid w:val="00DA4064"/>
    <w:rsid w:val="00DA40F0"/>
    <w:rsid w:val="00DA4552"/>
    <w:rsid w:val="00DA4ADC"/>
    <w:rsid w:val="00DA559A"/>
    <w:rsid w:val="00DA5807"/>
    <w:rsid w:val="00DA7187"/>
    <w:rsid w:val="00DA729A"/>
    <w:rsid w:val="00DA7B02"/>
    <w:rsid w:val="00DA7C41"/>
    <w:rsid w:val="00DB0330"/>
    <w:rsid w:val="00DB075E"/>
    <w:rsid w:val="00DB098F"/>
    <w:rsid w:val="00DB1170"/>
    <w:rsid w:val="00DB22F2"/>
    <w:rsid w:val="00DB2799"/>
    <w:rsid w:val="00DB3080"/>
    <w:rsid w:val="00DB3B9E"/>
    <w:rsid w:val="00DB4955"/>
    <w:rsid w:val="00DB4E26"/>
    <w:rsid w:val="00DB5239"/>
    <w:rsid w:val="00DB5A3E"/>
    <w:rsid w:val="00DB6181"/>
    <w:rsid w:val="00DB6E6A"/>
    <w:rsid w:val="00DC0137"/>
    <w:rsid w:val="00DC078A"/>
    <w:rsid w:val="00DC3840"/>
    <w:rsid w:val="00DC61A9"/>
    <w:rsid w:val="00DC69FC"/>
    <w:rsid w:val="00DD0779"/>
    <w:rsid w:val="00DD0BDB"/>
    <w:rsid w:val="00DD1886"/>
    <w:rsid w:val="00DD4C17"/>
    <w:rsid w:val="00DD5D94"/>
    <w:rsid w:val="00DD6D8C"/>
    <w:rsid w:val="00DE23C2"/>
    <w:rsid w:val="00DE354D"/>
    <w:rsid w:val="00DE3836"/>
    <w:rsid w:val="00DE3EE6"/>
    <w:rsid w:val="00DE61BF"/>
    <w:rsid w:val="00DE6718"/>
    <w:rsid w:val="00DE6C40"/>
    <w:rsid w:val="00DE77E9"/>
    <w:rsid w:val="00DF0120"/>
    <w:rsid w:val="00DF02D1"/>
    <w:rsid w:val="00DF08D0"/>
    <w:rsid w:val="00DF1135"/>
    <w:rsid w:val="00DF2E81"/>
    <w:rsid w:val="00DF31A0"/>
    <w:rsid w:val="00DF7299"/>
    <w:rsid w:val="00E0123D"/>
    <w:rsid w:val="00E016DB"/>
    <w:rsid w:val="00E0270B"/>
    <w:rsid w:val="00E02ECB"/>
    <w:rsid w:val="00E03850"/>
    <w:rsid w:val="00E039E2"/>
    <w:rsid w:val="00E039FC"/>
    <w:rsid w:val="00E03E91"/>
    <w:rsid w:val="00E04C18"/>
    <w:rsid w:val="00E05264"/>
    <w:rsid w:val="00E0572F"/>
    <w:rsid w:val="00E05B63"/>
    <w:rsid w:val="00E069A1"/>
    <w:rsid w:val="00E0732F"/>
    <w:rsid w:val="00E1077E"/>
    <w:rsid w:val="00E11633"/>
    <w:rsid w:val="00E11F44"/>
    <w:rsid w:val="00E12B86"/>
    <w:rsid w:val="00E1459F"/>
    <w:rsid w:val="00E14BEE"/>
    <w:rsid w:val="00E21F85"/>
    <w:rsid w:val="00E23739"/>
    <w:rsid w:val="00E23875"/>
    <w:rsid w:val="00E23E5C"/>
    <w:rsid w:val="00E24490"/>
    <w:rsid w:val="00E24537"/>
    <w:rsid w:val="00E24D9B"/>
    <w:rsid w:val="00E2608E"/>
    <w:rsid w:val="00E26750"/>
    <w:rsid w:val="00E272DB"/>
    <w:rsid w:val="00E313BD"/>
    <w:rsid w:val="00E32F0D"/>
    <w:rsid w:val="00E33B0C"/>
    <w:rsid w:val="00E342B0"/>
    <w:rsid w:val="00E3646E"/>
    <w:rsid w:val="00E366B0"/>
    <w:rsid w:val="00E36B63"/>
    <w:rsid w:val="00E36D4C"/>
    <w:rsid w:val="00E400E8"/>
    <w:rsid w:val="00E4021F"/>
    <w:rsid w:val="00E4080C"/>
    <w:rsid w:val="00E42460"/>
    <w:rsid w:val="00E424D6"/>
    <w:rsid w:val="00E43D24"/>
    <w:rsid w:val="00E45292"/>
    <w:rsid w:val="00E45EFF"/>
    <w:rsid w:val="00E46E08"/>
    <w:rsid w:val="00E47853"/>
    <w:rsid w:val="00E50654"/>
    <w:rsid w:val="00E51D4A"/>
    <w:rsid w:val="00E51EAB"/>
    <w:rsid w:val="00E521FD"/>
    <w:rsid w:val="00E52A92"/>
    <w:rsid w:val="00E52CD9"/>
    <w:rsid w:val="00E52F5A"/>
    <w:rsid w:val="00E53243"/>
    <w:rsid w:val="00E55B87"/>
    <w:rsid w:val="00E56158"/>
    <w:rsid w:val="00E56FE6"/>
    <w:rsid w:val="00E57A61"/>
    <w:rsid w:val="00E57E7A"/>
    <w:rsid w:val="00E6227D"/>
    <w:rsid w:val="00E64794"/>
    <w:rsid w:val="00E663FD"/>
    <w:rsid w:val="00E66544"/>
    <w:rsid w:val="00E67464"/>
    <w:rsid w:val="00E701E7"/>
    <w:rsid w:val="00E70349"/>
    <w:rsid w:val="00E72170"/>
    <w:rsid w:val="00E72526"/>
    <w:rsid w:val="00E72E47"/>
    <w:rsid w:val="00E7332F"/>
    <w:rsid w:val="00E73EFF"/>
    <w:rsid w:val="00E73F63"/>
    <w:rsid w:val="00E75670"/>
    <w:rsid w:val="00E75B5E"/>
    <w:rsid w:val="00E77836"/>
    <w:rsid w:val="00E80680"/>
    <w:rsid w:val="00E80B43"/>
    <w:rsid w:val="00E80BF7"/>
    <w:rsid w:val="00E81348"/>
    <w:rsid w:val="00E81951"/>
    <w:rsid w:val="00E81B91"/>
    <w:rsid w:val="00E81BD1"/>
    <w:rsid w:val="00E82673"/>
    <w:rsid w:val="00E83678"/>
    <w:rsid w:val="00E83EAA"/>
    <w:rsid w:val="00E85A28"/>
    <w:rsid w:val="00E8778C"/>
    <w:rsid w:val="00E87A03"/>
    <w:rsid w:val="00E90E7A"/>
    <w:rsid w:val="00E91007"/>
    <w:rsid w:val="00E91B75"/>
    <w:rsid w:val="00E92F87"/>
    <w:rsid w:val="00E945CD"/>
    <w:rsid w:val="00E95184"/>
    <w:rsid w:val="00E9573F"/>
    <w:rsid w:val="00E97854"/>
    <w:rsid w:val="00EA019A"/>
    <w:rsid w:val="00EA1322"/>
    <w:rsid w:val="00EA1A3A"/>
    <w:rsid w:val="00EA23EF"/>
    <w:rsid w:val="00EA2DEF"/>
    <w:rsid w:val="00EA32E0"/>
    <w:rsid w:val="00EA3FA3"/>
    <w:rsid w:val="00EA471E"/>
    <w:rsid w:val="00EA4DE9"/>
    <w:rsid w:val="00EA4F76"/>
    <w:rsid w:val="00EA4FB2"/>
    <w:rsid w:val="00EA50C9"/>
    <w:rsid w:val="00EA53A6"/>
    <w:rsid w:val="00EA574D"/>
    <w:rsid w:val="00EA6B07"/>
    <w:rsid w:val="00EA78F9"/>
    <w:rsid w:val="00EB3350"/>
    <w:rsid w:val="00EB407D"/>
    <w:rsid w:val="00EB44C4"/>
    <w:rsid w:val="00EB544E"/>
    <w:rsid w:val="00EB71BA"/>
    <w:rsid w:val="00EB72C2"/>
    <w:rsid w:val="00EC017F"/>
    <w:rsid w:val="00EC03F3"/>
    <w:rsid w:val="00EC2428"/>
    <w:rsid w:val="00EC246C"/>
    <w:rsid w:val="00EC7EC8"/>
    <w:rsid w:val="00ED1A29"/>
    <w:rsid w:val="00ED1C0E"/>
    <w:rsid w:val="00ED203D"/>
    <w:rsid w:val="00ED2903"/>
    <w:rsid w:val="00ED4F56"/>
    <w:rsid w:val="00ED5D64"/>
    <w:rsid w:val="00ED74EC"/>
    <w:rsid w:val="00EE11A5"/>
    <w:rsid w:val="00EE20C3"/>
    <w:rsid w:val="00EE24C1"/>
    <w:rsid w:val="00EE3883"/>
    <w:rsid w:val="00EE3A3F"/>
    <w:rsid w:val="00EE5705"/>
    <w:rsid w:val="00EE5873"/>
    <w:rsid w:val="00EE632B"/>
    <w:rsid w:val="00EE71ED"/>
    <w:rsid w:val="00EE7C11"/>
    <w:rsid w:val="00EF025A"/>
    <w:rsid w:val="00EF0313"/>
    <w:rsid w:val="00EF2B78"/>
    <w:rsid w:val="00EF483A"/>
    <w:rsid w:val="00EF4C99"/>
    <w:rsid w:val="00EF68D2"/>
    <w:rsid w:val="00EF6D04"/>
    <w:rsid w:val="00EF74AD"/>
    <w:rsid w:val="00EF76A7"/>
    <w:rsid w:val="00F01A63"/>
    <w:rsid w:val="00F02254"/>
    <w:rsid w:val="00F0282E"/>
    <w:rsid w:val="00F02855"/>
    <w:rsid w:val="00F029B3"/>
    <w:rsid w:val="00F06172"/>
    <w:rsid w:val="00F062B0"/>
    <w:rsid w:val="00F06452"/>
    <w:rsid w:val="00F0772E"/>
    <w:rsid w:val="00F102B2"/>
    <w:rsid w:val="00F1079E"/>
    <w:rsid w:val="00F110D1"/>
    <w:rsid w:val="00F113B3"/>
    <w:rsid w:val="00F11684"/>
    <w:rsid w:val="00F127BC"/>
    <w:rsid w:val="00F136D2"/>
    <w:rsid w:val="00F143F7"/>
    <w:rsid w:val="00F150EF"/>
    <w:rsid w:val="00F15908"/>
    <w:rsid w:val="00F20E3C"/>
    <w:rsid w:val="00F22811"/>
    <w:rsid w:val="00F23613"/>
    <w:rsid w:val="00F24A2E"/>
    <w:rsid w:val="00F25478"/>
    <w:rsid w:val="00F25938"/>
    <w:rsid w:val="00F25D47"/>
    <w:rsid w:val="00F2693A"/>
    <w:rsid w:val="00F26F9E"/>
    <w:rsid w:val="00F2782E"/>
    <w:rsid w:val="00F27D5C"/>
    <w:rsid w:val="00F314CC"/>
    <w:rsid w:val="00F31F97"/>
    <w:rsid w:val="00F32598"/>
    <w:rsid w:val="00F329B4"/>
    <w:rsid w:val="00F32D15"/>
    <w:rsid w:val="00F34C2E"/>
    <w:rsid w:val="00F357F7"/>
    <w:rsid w:val="00F3758D"/>
    <w:rsid w:val="00F37BC7"/>
    <w:rsid w:val="00F4074F"/>
    <w:rsid w:val="00F40C09"/>
    <w:rsid w:val="00F41B22"/>
    <w:rsid w:val="00F425CC"/>
    <w:rsid w:val="00F42E0F"/>
    <w:rsid w:val="00F446DF"/>
    <w:rsid w:val="00F45A92"/>
    <w:rsid w:val="00F45DEC"/>
    <w:rsid w:val="00F46335"/>
    <w:rsid w:val="00F466FC"/>
    <w:rsid w:val="00F500C7"/>
    <w:rsid w:val="00F50191"/>
    <w:rsid w:val="00F50C69"/>
    <w:rsid w:val="00F5128C"/>
    <w:rsid w:val="00F519C5"/>
    <w:rsid w:val="00F523E6"/>
    <w:rsid w:val="00F527A8"/>
    <w:rsid w:val="00F55C9D"/>
    <w:rsid w:val="00F5691F"/>
    <w:rsid w:val="00F56A80"/>
    <w:rsid w:val="00F56B83"/>
    <w:rsid w:val="00F572BD"/>
    <w:rsid w:val="00F578D5"/>
    <w:rsid w:val="00F57A04"/>
    <w:rsid w:val="00F60328"/>
    <w:rsid w:val="00F62229"/>
    <w:rsid w:val="00F627D3"/>
    <w:rsid w:val="00F630EC"/>
    <w:rsid w:val="00F65EF9"/>
    <w:rsid w:val="00F65F37"/>
    <w:rsid w:val="00F67706"/>
    <w:rsid w:val="00F678FE"/>
    <w:rsid w:val="00F67DC0"/>
    <w:rsid w:val="00F71485"/>
    <w:rsid w:val="00F7196A"/>
    <w:rsid w:val="00F71984"/>
    <w:rsid w:val="00F72C1C"/>
    <w:rsid w:val="00F742DA"/>
    <w:rsid w:val="00F74316"/>
    <w:rsid w:val="00F7454E"/>
    <w:rsid w:val="00F747EC"/>
    <w:rsid w:val="00F82D34"/>
    <w:rsid w:val="00F8395E"/>
    <w:rsid w:val="00F85EAC"/>
    <w:rsid w:val="00F86A3D"/>
    <w:rsid w:val="00F904F0"/>
    <w:rsid w:val="00F90DBB"/>
    <w:rsid w:val="00F91BE9"/>
    <w:rsid w:val="00F922D6"/>
    <w:rsid w:val="00F926D8"/>
    <w:rsid w:val="00F92B7A"/>
    <w:rsid w:val="00F93DB3"/>
    <w:rsid w:val="00F94286"/>
    <w:rsid w:val="00F95D62"/>
    <w:rsid w:val="00F96E7C"/>
    <w:rsid w:val="00F97503"/>
    <w:rsid w:val="00F9767A"/>
    <w:rsid w:val="00FA0B6D"/>
    <w:rsid w:val="00FA2007"/>
    <w:rsid w:val="00FA2FD1"/>
    <w:rsid w:val="00FA31CB"/>
    <w:rsid w:val="00FA333F"/>
    <w:rsid w:val="00FA508D"/>
    <w:rsid w:val="00FA514D"/>
    <w:rsid w:val="00FA56BD"/>
    <w:rsid w:val="00FA7042"/>
    <w:rsid w:val="00FA7C87"/>
    <w:rsid w:val="00FB0951"/>
    <w:rsid w:val="00FB1A20"/>
    <w:rsid w:val="00FB1DB3"/>
    <w:rsid w:val="00FB2368"/>
    <w:rsid w:val="00FB2633"/>
    <w:rsid w:val="00FB2EF1"/>
    <w:rsid w:val="00FB3A57"/>
    <w:rsid w:val="00FB422C"/>
    <w:rsid w:val="00FB42E2"/>
    <w:rsid w:val="00FB48BE"/>
    <w:rsid w:val="00FB4EFC"/>
    <w:rsid w:val="00FB5845"/>
    <w:rsid w:val="00FB59B1"/>
    <w:rsid w:val="00FB6411"/>
    <w:rsid w:val="00FB69E1"/>
    <w:rsid w:val="00FB7843"/>
    <w:rsid w:val="00FB7A06"/>
    <w:rsid w:val="00FC1D00"/>
    <w:rsid w:val="00FC2687"/>
    <w:rsid w:val="00FC2C57"/>
    <w:rsid w:val="00FC3641"/>
    <w:rsid w:val="00FC4831"/>
    <w:rsid w:val="00FC4D61"/>
    <w:rsid w:val="00FC592F"/>
    <w:rsid w:val="00FC6C51"/>
    <w:rsid w:val="00FC6D4E"/>
    <w:rsid w:val="00FC73B3"/>
    <w:rsid w:val="00FC7652"/>
    <w:rsid w:val="00FC7750"/>
    <w:rsid w:val="00FD0B64"/>
    <w:rsid w:val="00FD0C5A"/>
    <w:rsid w:val="00FD1553"/>
    <w:rsid w:val="00FD36BE"/>
    <w:rsid w:val="00FD46C7"/>
    <w:rsid w:val="00FD4776"/>
    <w:rsid w:val="00FD59D0"/>
    <w:rsid w:val="00FD6CD3"/>
    <w:rsid w:val="00FD7530"/>
    <w:rsid w:val="00FE1610"/>
    <w:rsid w:val="00FE1DF0"/>
    <w:rsid w:val="00FE2B8B"/>
    <w:rsid w:val="00FE53CC"/>
    <w:rsid w:val="00FE6408"/>
    <w:rsid w:val="00FE679A"/>
    <w:rsid w:val="00FE74DD"/>
    <w:rsid w:val="00FF01F9"/>
    <w:rsid w:val="00FF12A1"/>
    <w:rsid w:val="00FF15DA"/>
    <w:rsid w:val="00FF3806"/>
    <w:rsid w:val="00FF3BBF"/>
    <w:rsid w:val="00FF3DD5"/>
    <w:rsid w:val="00FF41F8"/>
    <w:rsid w:val="00FF475F"/>
    <w:rsid w:val="00FF48D1"/>
    <w:rsid w:val="00FF52DC"/>
    <w:rsid w:val="00FF58E5"/>
    <w:rsid w:val="00FF6356"/>
    <w:rsid w:val="00FF6722"/>
    <w:rsid w:val="00FF718A"/>
    <w:rsid w:val="00FF7448"/>
    <w:rsid w:val="00FF7FFD"/>
    <w:rsid w:val="33CB4A67"/>
    <w:rsid w:val="6A5DCF4D"/>
    <w:rsid w:val="747FEF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18C1B"/>
  <w15:chartTrackingRefBased/>
  <w15:docId w15:val="{88AF7048-4C76-409C-BA11-81E758B8C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001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paragraph" w:styleId="TOC3">
    <w:name w:val="toc 3"/>
    <w:basedOn w:val="Normal"/>
    <w:next w:val="Normal"/>
    <w:autoRedefine/>
    <w:uiPriority w:val="39"/>
    <w:unhideWhenUsed/>
    <w:rsid w:val="008B48E9"/>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1001CE"/>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BD1D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947810">
      <w:bodyDiv w:val="1"/>
      <w:marLeft w:val="0"/>
      <w:marRight w:val="0"/>
      <w:marTop w:val="0"/>
      <w:marBottom w:val="0"/>
      <w:divBdr>
        <w:top w:val="none" w:sz="0" w:space="0" w:color="auto"/>
        <w:left w:val="none" w:sz="0" w:space="0" w:color="auto"/>
        <w:bottom w:val="none" w:sz="0" w:space="0" w:color="auto"/>
        <w:right w:val="none" w:sz="0" w:space="0" w:color="auto"/>
      </w:divBdr>
    </w:div>
    <w:div w:id="2084448671">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microsoft.com/office/2007/relationships/hdphoto" Target="media/hdphoto1.wdp"/><Relationship Id="rId21" Type="http://schemas.openxmlformats.org/officeDocument/2006/relationships/image" Target="media/image10.png"/><Relationship Id="rId34" Type="http://schemas.openxmlformats.org/officeDocument/2006/relationships/hyperlink" Target="https://www.legislation.gov.uk/ukpga/1995/50/contents" TargetMode="External"/><Relationship Id="rId42" Type="http://schemas.openxmlformats.org/officeDocument/2006/relationships/hyperlink" Target="https://www.ons.gov.uk/peoplepopulationandcommunity/healthandsocialcare/healthandwellbeing/bulletins/disabilityenglandandwales/census2021" TargetMode="External"/><Relationship Id="rId47" Type="http://schemas.openxmlformats.org/officeDocument/2006/relationships/hyperlink" Target="https://www.ons.gov.uk/peoplepopulationandcommunity/healthandsocialcare/healthandwellbeing/bulletins/disabilityenglandandwales/census2021" TargetMode="External"/><Relationship Id="rId50" Type="http://schemas.openxmlformats.org/officeDocument/2006/relationships/hyperlink" Target="https://www.gov.wales/sites/default/files/publications/2018-09/design-and-access-statements.pdf" TargetMode="External"/><Relationship Id="rId55" Type="http://schemas.openxmlformats.org/officeDocument/2006/relationships/hyperlink" Target="https://www.burohappold.com/projects/swansea-arena/" TargetMode="External"/><Relationship Id="rId63" Type="http://schemas.openxmlformats.org/officeDocument/2006/relationships/hyperlink" Target="https://www.planningportal.co.uk/services/help/faq/planning/about-the-planning-system/what-is-a-design-and-access-statemen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7.jpeg"/><Relationship Id="rId11" Type="http://schemas.microsoft.com/office/2011/relationships/commentsExtended" Target="commentsExtended.xml"/><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hyperlink" Target="https://www.legislation.gov.uk/ukpga/2010/15/contents" TargetMode="External"/><Relationship Id="rId40" Type="http://schemas.openxmlformats.org/officeDocument/2006/relationships/hyperlink" Target="https://www.glynnvivian.co.uk/visit/access/" TargetMode="External"/><Relationship Id="rId45" Type="http://schemas.openxmlformats.org/officeDocument/2006/relationships/hyperlink" Target="https://www.gov.wales/well-being-of-future-generations-wales" TargetMode="External"/><Relationship Id="rId53" Type="http://schemas.openxmlformats.org/officeDocument/2006/relationships/hyperlink" Target="https://property.swansea.gov.uk/online-applications/applicationDetails.do?activeTab=documents&amp;keyVal=ZZZZRTEVXB503" TargetMode="External"/><Relationship Id="rId58" Type="http://schemas.openxmlformats.org/officeDocument/2006/relationships/hyperlink" Target="https://ahmarra.co.uk/doorset-specification/light-reflectance-values-lrv/" TargetMode="External"/><Relationship Id="rId66" Type="http://schemas.microsoft.com/office/2011/relationships/people" Target="people.xml"/><Relationship Id="rId5" Type="http://schemas.openxmlformats.org/officeDocument/2006/relationships/webSettings" Target="webSettings.xml"/><Relationship Id="rId61" Type="http://schemas.openxmlformats.org/officeDocument/2006/relationships/hyperlink" Target="https://doi.org/10.1080/13645579.2016.1140965" TargetMode="External"/><Relationship Id="rId19" Type="http://schemas.openxmlformats.org/officeDocument/2006/relationships/image" Target="media/image8.png"/><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5.png"/><Relationship Id="rId30" Type="http://schemas.openxmlformats.org/officeDocument/2006/relationships/image" Target="media/image18.jpeg"/><Relationship Id="rId35" Type="http://schemas.openxmlformats.org/officeDocument/2006/relationships/hyperlink" Target="https://doi.org/10.1177/160940690400300403" TargetMode="External"/><Relationship Id="rId43" Type="http://schemas.openxmlformats.org/officeDocument/2006/relationships/hyperlink" Target="https://journals.sagepub.com/doi/pdf/10.1177/160940690800700103" TargetMode="External"/><Relationship Id="rId48" Type="http://schemas.openxmlformats.org/officeDocument/2006/relationships/hyperlink" Target="https://www.ons.gov.uk/visualisations/censusareachanges/W06000011/" TargetMode="External"/><Relationship Id="rId56" Type="http://schemas.openxmlformats.org/officeDocument/2006/relationships/hyperlink" Target="https://acme.ac/blogs/projects/swansea-arena?srsltid=AfmBOorYO244uwd_-OeNhchZlJ4Zmja_FyTH4unN95nAWDb1yke7CTRB" TargetMode="External"/><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swansea.gov.uk/repurposingstrategy" TargetMode="External"/><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hyperlink" Target="https://www.glynnvivian.co.uk/about/history-of-the-gallery/" TargetMode="External"/><Relationship Id="rId46" Type="http://schemas.openxmlformats.org/officeDocument/2006/relationships/hyperlink" Target="https://www.google.com/search?q=https://www.gov.wales/building-regulations-approved-document-m-access-and-use-buildings" TargetMode="External"/><Relationship Id="rId59" Type="http://schemas.openxmlformats.org/officeDocument/2006/relationships/hyperlink" Target="https://www.rescare.org.uk/history-of-legislation-on-disability-2/" TargetMode="External"/><Relationship Id="rId67"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doi.org/10.1068/d271t" TargetMode="External"/><Relationship Id="rId54" Type="http://schemas.openxmlformats.org/officeDocument/2006/relationships/hyperlink" Target="https://www.afl-architects.com/projects/swansea-central" TargetMode="External"/><Relationship Id="rId62" Type="http://schemas.openxmlformats.org/officeDocument/2006/relationships/hyperlink" Target="https://www.swansea.gov.uk/article/22503/2021-Census-population-characterist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hyperlink" Target="https://doi.org/10.12759/hsr.36.2011.4.273-290" TargetMode="External"/><Relationship Id="rId49" Type="http://schemas.openxmlformats.org/officeDocument/2006/relationships/hyperlink" Target="https://hdsunflower.com/uk/insights/post/what-is-a-hidden-disability" TargetMode="External"/><Relationship Id="rId57" Type="http://schemas.openxmlformats.org/officeDocument/2006/relationships/hyperlink" Target="https://www.meetinwales.com/venue/attraction-venue/swansea-building-society-arena-578221" TargetMode="External"/><Relationship Id="rId10" Type="http://schemas.openxmlformats.org/officeDocument/2006/relationships/comments" Target="comments.xml"/><Relationship Id="rId31" Type="http://schemas.openxmlformats.org/officeDocument/2006/relationships/image" Target="media/image19.png"/><Relationship Id="rId44" Type="http://schemas.openxmlformats.org/officeDocument/2006/relationships/hyperlink" Target="https://www.legislation.gov.uk/anaw/2015/2/contents" TargetMode="External"/><Relationship Id="rId52" Type="http://schemas.openxmlformats.org/officeDocument/2006/relationships/hyperlink" Target="https://property.swansea.gov.uk/online-applications/applicationDetails.do?activeTab=documents&amp;keyVal=PCGX5TEVJED00" TargetMode="External"/><Relationship Id="rId60" Type="http://schemas.openxmlformats.org/officeDocument/2006/relationships/hyperlink" Target="https://journals.sagepub.com/doi/10.1177/00472875241257270"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microsoft.com/office/2018/08/relationships/commentsExtensible" Target="commentsExtensible.xml"/><Relationship Id="rId18" Type="http://schemas.openxmlformats.org/officeDocument/2006/relationships/image" Target="media/image7.png"/><Relationship Id="rId39" Type="http://schemas.openxmlformats.org/officeDocument/2006/relationships/hyperlink" Target="https://www.glynnvivian.co.uk/collections/richard-glynn-viv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FCCB6D6-FD98-4BAC-9741-0D4B6FC6BE3B}">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9e3986a0e36a1248d8df4f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Bon04</b:Tag>
    <b:SourceType>Book</b:SourceType>
    <b:Guid>{4169F851-93C7-451A-9D2A-6B14017F646D}</b:Guid>
    <b:Author>
      <b:Author>
        <b:NameList>
          <b:Person>
            <b:Last>S</b:Last>
            <b:First>Bone</b:First>
          </b:Person>
        </b:NameList>
      </b:Author>
    </b:Author>
    <b:Title>Buildings for all to use</b:Title>
    <b:Year>2004</b:Year>
    <b:City>London</b:City>
    <b:Publisher>CIRIA</b:Publisher>
    <b:RefOrder>1</b:RefOrder>
  </b:Source>
</b:Sources>
</file>

<file path=customXml/itemProps1.xml><?xml version="1.0" encoding="utf-8"?>
<ds:datastoreItem xmlns:ds="http://schemas.openxmlformats.org/officeDocument/2006/customXml" ds:itemID="{F091135F-F084-4A17-9D4B-F6643355B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60</Pages>
  <Words>13012</Words>
  <Characters>77946</Characters>
  <Application>Microsoft Office Word</Application>
  <DocSecurity>0</DocSecurity>
  <Lines>1558</Lines>
  <Paragraphs>481</Paragraphs>
  <ScaleCrop>false</ScaleCrop>
  <Company/>
  <LinksUpToDate>false</LinksUpToDate>
  <CharactersWithSpaces>90477</CharactersWithSpaces>
  <SharedDoc>false</SharedDoc>
  <HLinks>
    <vt:vector size="384" baseType="variant">
      <vt:variant>
        <vt:i4>8323108</vt:i4>
      </vt:variant>
      <vt:variant>
        <vt:i4>330</vt:i4>
      </vt:variant>
      <vt:variant>
        <vt:i4>0</vt:i4>
      </vt:variant>
      <vt:variant>
        <vt:i4>5</vt:i4>
      </vt:variant>
      <vt:variant>
        <vt:lpwstr>https://www.planningportal.co.uk/services/help/faq/planning/about-the-planning-system/what-is-a-design-and-access-statement</vt:lpwstr>
      </vt:variant>
      <vt:variant>
        <vt:lpwstr/>
      </vt:variant>
      <vt:variant>
        <vt:i4>6750249</vt:i4>
      </vt:variant>
      <vt:variant>
        <vt:i4>327</vt:i4>
      </vt:variant>
      <vt:variant>
        <vt:i4>0</vt:i4>
      </vt:variant>
      <vt:variant>
        <vt:i4>5</vt:i4>
      </vt:variant>
      <vt:variant>
        <vt:lpwstr>https://www.swansea.gov.uk/article/22503/2021-Census-population-characteristics</vt:lpwstr>
      </vt:variant>
      <vt:variant>
        <vt:lpwstr/>
      </vt:variant>
      <vt:variant>
        <vt:i4>655435</vt:i4>
      </vt:variant>
      <vt:variant>
        <vt:i4>324</vt:i4>
      </vt:variant>
      <vt:variant>
        <vt:i4>0</vt:i4>
      </vt:variant>
      <vt:variant>
        <vt:i4>5</vt:i4>
      </vt:variant>
      <vt:variant>
        <vt:lpwstr>https://doi.org/10.1080/13645579.2016.1140965</vt:lpwstr>
      </vt:variant>
      <vt:variant>
        <vt:lpwstr/>
      </vt:variant>
      <vt:variant>
        <vt:i4>3604537</vt:i4>
      </vt:variant>
      <vt:variant>
        <vt:i4>321</vt:i4>
      </vt:variant>
      <vt:variant>
        <vt:i4>0</vt:i4>
      </vt:variant>
      <vt:variant>
        <vt:i4>5</vt:i4>
      </vt:variant>
      <vt:variant>
        <vt:lpwstr>https://journals.sagepub.com/doi/10.1177/00472875241257270</vt:lpwstr>
      </vt:variant>
      <vt:variant>
        <vt:lpwstr/>
      </vt:variant>
      <vt:variant>
        <vt:i4>3997740</vt:i4>
      </vt:variant>
      <vt:variant>
        <vt:i4>318</vt:i4>
      </vt:variant>
      <vt:variant>
        <vt:i4>0</vt:i4>
      </vt:variant>
      <vt:variant>
        <vt:i4>5</vt:i4>
      </vt:variant>
      <vt:variant>
        <vt:lpwstr>https://www.rescare.org.uk/history-of-legislation-on-disability-2/</vt:lpwstr>
      </vt:variant>
      <vt:variant>
        <vt:lpwstr/>
      </vt:variant>
      <vt:variant>
        <vt:i4>720983</vt:i4>
      </vt:variant>
      <vt:variant>
        <vt:i4>315</vt:i4>
      </vt:variant>
      <vt:variant>
        <vt:i4>0</vt:i4>
      </vt:variant>
      <vt:variant>
        <vt:i4>5</vt:i4>
      </vt:variant>
      <vt:variant>
        <vt:lpwstr>https://www.meetinwales.com/venue/attraction-venue/swansea-building-society-arena-578221</vt:lpwstr>
      </vt:variant>
      <vt:variant>
        <vt:lpwstr/>
      </vt:variant>
      <vt:variant>
        <vt:i4>4194372</vt:i4>
      </vt:variant>
      <vt:variant>
        <vt:i4>312</vt:i4>
      </vt:variant>
      <vt:variant>
        <vt:i4>0</vt:i4>
      </vt:variant>
      <vt:variant>
        <vt:i4>5</vt:i4>
      </vt:variant>
      <vt:variant>
        <vt:lpwstr>https://acme.ac/blogs/projects/swansea-arena?srsltid=AfmBOorYO244uwd_-OeNhchZlJ4Zmja_FyTH4unN95nAWDb1yke7CTRB</vt:lpwstr>
      </vt:variant>
      <vt:variant>
        <vt:lpwstr/>
      </vt:variant>
      <vt:variant>
        <vt:i4>2883617</vt:i4>
      </vt:variant>
      <vt:variant>
        <vt:i4>309</vt:i4>
      </vt:variant>
      <vt:variant>
        <vt:i4>0</vt:i4>
      </vt:variant>
      <vt:variant>
        <vt:i4>5</vt:i4>
      </vt:variant>
      <vt:variant>
        <vt:lpwstr>https://www.burohappold.com/projects/swansea-arena/</vt:lpwstr>
      </vt:variant>
      <vt:variant>
        <vt:lpwstr/>
      </vt:variant>
      <vt:variant>
        <vt:i4>7536686</vt:i4>
      </vt:variant>
      <vt:variant>
        <vt:i4>306</vt:i4>
      </vt:variant>
      <vt:variant>
        <vt:i4>0</vt:i4>
      </vt:variant>
      <vt:variant>
        <vt:i4>5</vt:i4>
      </vt:variant>
      <vt:variant>
        <vt:lpwstr>https://www.afl-architects.com/projects/swansea-central</vt:lpwstr>
      </vt:variant>
      <vt:variant>
        <vt:lpwstr/>
      </vt:variant>
      <vt:variant>
        <vt:i4>3997796</vt:i4>
      </vt:variant>
      <vt:variant>
        <vt:i4>303</vt:i4>
      </vt:variant>
      <vt:variant>
        <vt:i4>0</vt:i4>
      </vt:variant>
      <vt:variant>
        <vt:i4>5</vt:i4>
      </vt:variant>
      <vt:variant>
        <vt:lpwstr>https://property.swansea.gov.uk/online-applications/applicationDetails.do?activeTab=documents&amp;keyVal=ZZZZRTEVXB503</vt:lpwstr>
      </vt:variant>
      <vt:variant>
        <vt:lpwstr/>
      </vt:variant>
      <vt:variant>
        <vt:i4>2949240</vt:i4>
      </vt:variant>
      <vt:variant>
        <vt:i4>300</vt:i4>
      </vt:variant>
      <vt:variant>
        <vt:i4>0</vt:i4>
      </vt:variant>
      <vt:variant>
        <vt:i4>5</vt:i4>
      </vt:variant>
      <vt:variant>
        <vt:lpwstr>https://property.swansea.gov.uk/online-applications/applicationDetails.do?activeTab=documents&amp;keyVal=PCGX5TEVJED00</vt:lpwstr>
      </vt:variant>
      <vt:variant>
        <vt:lpwstr/>
      </vt:variant>
      <vt:variant>
        <vt:i4>2621540</vt:i4>
      </vt:variant>
      <vt:variant>
        <vt:i4>297</vt:i4>
      </vt:variant>
      <vt:variant>
        <vt:i4>0</vt:i4>
      </vt:variant>
      <vt:variant>
        <vt:i4>5</vt:i4>
      </vt:variant>
      <vt:variant>
        <vt:lpwstr>https://www.swansea.gov.uk/repurposingstrategy</vt:lpwstr>
      </vt:variant>
      <vt:variant>
        <vt:lpwstr/>
      </vt:variant>
      <vt:variant>
        <vt:i4>2555945</vt:i4>
      </vt:variant>
      <vt:variant>
        <vt:i4>294</vt:i4>
      </vt:variant>
      <vt:variant>
        <vt:i4>0</vt:i4>
      </vt:variant>
      <vt:variant>
        <vt:i4>5</vt:i4>
      </vt:variant>
      <vt:variant>
        <vt:lpwstr>https://www.gov.wales/sites/default/files/publications/2018-09/design-and-access-statements.pdf</vt:lpwstr>
      </vt:variant>
      <vt:variant>
        <vt:lpwstr/>
      </vt:variant>
      <vt:variant>
        <vt:i4>4718659</vt:i4>
      </vt:variant>
      <vt:variant>
        <vt:i4>291</vt:i4>
      </vt:variant>
      <vt:variant>
        <vt:i4>0</vt:i4>
      </vt:variant>
      <vt:variant>
        <vt:i4>5</vt:i4>
      </vt:variant>
      <vt:variant>
        <vt:lpwstr>https://hdsunflower.com/uk/insights/post/what-is-a-hidden-disability</vt:lpwstr>
      </vt:variant>
      <vt:variant>
        <vt:lpwstr/>
      </vt:variant>
      <vt:variant>
        <vt:i4>7471206</vt:i4>
      </vt:variant>
      <vt:variant>
        <vt:i4>288</vt:i4>
      </vt:variant>
      <vt:variant>
        <vt:i4>0</vt:i4>
      </vt:variant>
      <vt:variant>
        <vt:i4>5</vt:i4>
      </vt:variant>
      <vt:variant>
        <vt:lpwstr>https://www.ons.gov.uk/visualisations/censusareachanges/W06000011/</vt:lpwstr>
      </vt:variant>
      <vt:variant>
        <vt:lpwstr/>
      </vt:variant>
      <vt:variant>
        <vt:i4>4784151</vt:i4>
      </vt:variant>
      <vt:variant>
        <vt:i4>285</vt:i4>
      </vt:variant>
      <vt:variant>
        <vt:i4>0</vt:i4>
      </vt:variant>
      <vt:variant>
        <vt:i4>5</vt:i4>
      </vt:variant>
      <vt:variant>
        <vt:lpwstr>https://www.ons.gov.uk/peoplepopulationandcommunity/healthandsocialcare/healthandwellbeing/bulletins/disabilityenglandandwales/census2021</vt:lpwstr>
      </vt:variant>
      <vt:variant>
        <vt:lpwstr/>
      </vt:variant>
      <vt:variant>
        <vt:i4>7995519</vt:i4>
      </vt:variant>
      <vt:variant>
        <vt:i4>282</vt:i4>
      </vt:variant>
      <vt:variant>
        <vt:i4>0</vt:i4>
      </vt:variant>
      <vt:variant>
        <vt:i4>5</vt:i4>
      </vt:variant>
      <vt:variant>
        <vt:lpwstr>https://www.google.com/search?q=https://www.gov.wales/building-regulations-approved-document-m-access-and-use-buildings</vt:lpwstr>
      </vt:variant>
      <vt:variant>
        <vt:lpwstr/>
      </vt:variant>
      <vt:variant>
        <vt:i4>1769549</vt:i4>
      </vt:variant>
      <vt:variant>
        <vt:i4>279</vt:i4>
      </vt:variant>
      <vt:variant>
        <vt:i4>0</vt:i4>
      </vt:variant>
      <vt:variant>
        <vt:i4>5</vt:i4>
      </vt:variant>
      <vt:variant>
        <vt:lpwstr>https://www.gov.wales/well-being-of-future-generations-wales</vt:lpwstr>
      </vt:variant>
      <vt:variant>
        <vt:lpwstr/>
      </vt:variant>
      <vt:variant>
        <vt:i4>3342458</vt:i4>
      </vt:variant>
      <vt:variant>
        <vt:i4>276</vt:i4>
      </vt:variant>
      <vt:variant>
        <vt:i4>0</vt:i4>
      </vt:variant>
      <vt:variant>
        <vt:i4>5</vt:i4>
      </vt:variant>
      <vt:variant>
        <vt:lpwstr>https://www.legislation.gov.uk/anaw/2015/2/contents</vt:lpwstr>
      </vt:variant>
      <vt:variant>
        <vt:lpwstr/>
      </vt:variant>
      <vt:variant>
        <vt:i4>2097265</vt:i4>
      </vt:variant>
      <vt:variant>
        <vt:i4>273</vt:i4>
      </vt:variant>
      <vt:variant>
        <vt:i4>0</vt:i4>
      </vt:variant>
      <vt:variant>
        <vt:i4>5</vt:i4>
      </vt:variant>
      <vt:variant>
        <vt:lpwstr>https://journals.sagepub.com/doi/pdf/10.1177/160940690800700103</vt:lpwstr>
      </vt:variant>
      <vt:variant>
        <vt:lpwstr/>
      </vt:variant>
      <vt:variant>
        <vt:i4>4784151</vt:i4>
      </vt:variant>
      <vt:variant>
        <vt:i4>270</vt:i4>
      </vt:variant>
      <vt:variant>
        <vt:i4>0</vt:i4>
      </vt:variant>
      <vt:variant>
        <vt:i4>5</vt:i4>
      </vt:variant>
      <vt:variant>
        <vt:lpwstr>https://www.ons.gov.uk/peoplepopulationandcommunity/healthandsocialcare/healthandwellbeing/bulletins/disabilityenglandandwales/census2021</vt:lpwstr>
      </vt:variant>
      <vt:variant>
        <vt:lpwstr/>
      </vt:variant>
      <vt:variant>
        <vt:i4>1441793</vt:i4>
      </vt:variant>
      <vt:variant>
        <vt:i4>267</vt:i4>
      </vt:variant>
      <vt:variant>
        <vt:i4>0</vt:i4>
      </vt:variant>
      <vt:variant>
        <vt:i4>5</vt:i4>
      </vt:variant>
      <vt:variant>
        <vt:lpwstr>https://doi.org/10.1068/d271t</vt:lpwstr>
      </vt:variant>
      <vt:variant>
        <vt:lpwstr/>
      </vt:variant>
      <vt:variant>
        <vt:i4>6946936</vt:i4>
      </vt:variant>
      <vt:variant>
        <vt:i4>264</vt:i4>
      </vt:variant>
      <vt:variant>
        <vt:i4>0</vt:i4>
      </vt:variant>
      <vt:variant>
        <vt:i4>5</vt:i4>
      </vt:variant>
      <vt:variant>
        <vt:lpwstr>https://www.glynnvivian.co.uk/visit/access/</vt:lpwstr>
      </vt:variant>
      <vt:variant>
        <vt:lpwstr/>
      </vt:variant>
      <vt:variant>
        <vt:i4>6750335</vt:i4>
      </vt:variant>
      <vt:variant>
        <vt:i4>261</vt:i4>
      </vt:variant>
      <vt:variant>
        <vt:i4>0</vt:i4>
      </vt:variant>
      <vt:variant>
        <vt:i4>5</vt:i4>
      </vt:variant>
      <vt:variant>
        <vt:lpwstr>https://www.glynnvivian.co.uk/collections/richard-glynn-vivian/</vt:lpwstr>
      </vt:variant>
      <vt:variant>
        <vt:lpwstr/>
      </vt:variant>
      <vt:variant>
        <vt:i4>2752631</vt:i4>
      </vt:variant>
      <vt:variant>
        <vt:i4>258</vt:i4>
      </vt:variant>
      <vt:variant>
        <vt:i4>0</vt:i4>
      </vt:variant>
      <vt:variant>
        <vt:i4>5</vt:i4>
      </vt:variant>
      <vt:variant>
        <vt:lpwstr>https://www.glynnvivian.co.uk/about/history-of-the-gallery/</vt:lpwstr>
      </vt:variant>
      <vt:variant>
        <vt:lpwstr/>
      </vt:variant>
      <vt:variant>
        <vt:i4>5636189</vt:i4>
      </vt:variant>
      <vt:variant>
        <vt:i4>255</vt:i4>
      </vt:variant>
      <vt:variant>
        <vt:i4>0</vt:i4>
      </vt:variant>
      <vt:variant>
        <vt:i4>5</vt:i4>
      </vt:variant>
      <vt:variant>
        <vt:lpwstr>https://www.legislation.gov.uk/ukpga/2010/15/contents</vt:lpwstr>
      </vt:variant>
      <vt:variant>
        <vt:lpwstr/>
      </vt:variant>
      <vt:variant>
        <vt:i4>3342393</vt:i4>
      </vt:variant>
      <vt:variant>
        <vt:i4>252</vt:i4>
      </vt:variant>
      <vt:variant>
        <vt:i4>0</vt:i4>
      </vt:variant>
      <vt:variant>
        <vt:i4>5</vt:i4>
      </vt:variant>
      <vt:variant>
        <vt:lpwstr>https://doi.org/10.12759/hsr.36.2011.4.273-290</vt:lpwstr>
      </vt:variant>
      <vt:variant>
        <vt:lpwstr/>
      </vt:variant>
      <vt:variant>
        <vt:i4>2162796</vt:i4>
      </vt:variant>
      <vt:variant>
        <vt:i4>249</vt:i4>
      </vt:variant>
      <vt:variant>
        <vt:i4>0</vt:i4>
      </vt:variant>
      <vt:variant>
        <vt:i4>5</vt:i4>
      </vt:variant>
      <vt:variant>
        <vt:lpwstr>https://doi.org/10.1177/160940690400300403</vt:lpwstr>
      </vt:variant>
      <vt:variant>
        <vt:lpwstr/>
      </vt:variant>
      <vt:variant>
        <vt:i4>5767253</vt:i4>
      </vt:variant>
      <vt:variant>
        <vt:i4>246</vt:i4>
      </vt:variant>
      <vt:variant>
        <vt:i4>0</vt:i4>
      </vt:variant>
      <vt:variant>
        <vt:i4>5</vt:i4>
      </vt:variant>
      <vt:variant>
        <vt:lpwstr>https://www.legislation.gov.uk/ukpga/1995/50/contents</vt:lpwstr>
      </vt:variant>
      <vt:variant>
        <vt:lpwstr/>
      </vt:variant>
      <vt:variant>
        <vt:i4>1179696</vt:i4>
      </vt:variant>
      <vt:variant>
        <vt:i4>206</vt:i4>
      </vt:variant>
      <vt:variant>
        <vt:i4>0</vt:i4>
      </vt:variant>
      <vt:variant>
        <vt:i4>5</vt:i4>
      </vt:variant>
      <vt:variant>
        <vt:lpwstr/>
      </vt:variant>
      <vt:variant>
        <vt:lpwstr>_Toc227745158</vt:lpwstr>
      </vt:variant>
      <vt:variant>
        <vt:i4>1179696</vt:i4>
      </vt:variant>
      <vt:variant>
        <vt:i4>200</vt:i4>
      </vt:variant>
      <vt:variant>
        <vt:i4>0</vt:i4>
      </vt:variant>
      <vt:variant>
        <vt:i4>5</vt:i4>
      </vt:variant>
      <vt:variant>
        <vt:lpwstr/>
      </vt:variant>
      <vt:variant>
        <vt:lpwstr>_Toc227745157</vt:lpwstr>
      </vt:variant>
      <vt:variant>
        <vt:i4>1179696</vt:i4>
      </vt:variant>
      <vt:variant>
        <vt:i4>194</vt:i4>
      </vt:variant>
      <vt:variant>
        <vt:i4>0</vt:i4>
      </vt:variant>
      <vt:variant>
        <vt:i4>5</vt:i4>
      </vt:variant>
      <vt:variant>
        <vt:lpwstr/>
      </vt:variant>
      <vt:variant>
        <vt:lpwstr>_Toc227745156</vt:lpwstr>
      </vt:variant>
      <vt:variant>
        <vt:i4>1179696</vt:i4>
      </vt:variant>
      <vt:variant>
        <vt:i4>188</vt:i4>
      </vt:variant>
      <vt:variant>
        <vt:i4>0</vt:i4>
      </vt:variant>
      <vt:variant>
        <vt:i4>5</vt:i4>
      </vt:variant>
      <vt:variant>
        <vt:lpwstr/>
      </vt:variant>
      <vt:variant>
        <vt:lpwstr>_Toc227745155</vt:lpwstr>
      </vt:variant>
      <vt:variant>
        <vt:i4>1179696</vt:i4>
      </vt:variant>
      <vt:variant>
        <vt:i4>182</vt:i4>
      </vt:variant>
      <vt:variant>
        <vt:i4>0</vt:i4>
      </vt:variant>
      <vt:variant>
        <vt:i4>5</vt:i4>
      </vt:variant>
      <vt:variant>
        <vt:lpwstr/>
      </vt:variant>
      <vt:variant>
        <vt:lpwstr>_Toc227745154</vt:lpwstr>
      </vt:variant>
      <vt:variant>
        <vt:i4>1179696</vt:i4>
      </vt:variant>
      <vt:variant>
        <vt:i4>176</vt:i4>
      </vt:variant>
      <vt:variant>
        <vt:i4>0</vt:i4>
      </vt:variant>
      <vt:variant>
        <vt:i4>5</vt:i4>
      </vt:variant>
      <vt:variant>
        <vt:lpwstr/>
      </vt:variant>
      <vt:variant>
        <vt:lpwstr>_Toc227745153</vt:lpwstr>
      </vt:variant>
      <vt:variant>
        <vt:i4>1179696</vt:i4>
      </vt:variant>
      <vt:variant>
        <vt:i4>170</vt:i4>
      </vt:variant>
      <vt:variant>
        <vt:i4>0</vt:i4>
      </vt:variant>
      <vt:variant>
        <vt:i4>5</vt:i4>
      </vt:variant>
      <vt:variant>
        <vt:lpwstr/>
      </vt:variant>
      <vt:variant>
        <vt:lpwstr>_Toc227745152</vt:lpwstr>
      </vt:variant>
      <vt:variant>
        <vt:i4>1179696</vt:i4>
      </vt:variant>
      <vt:variant>
        <vt:i4>164</vt:i4>
      </vt:variant>
      <vt:variant>
        <vt:i4>0</vt:i4>
      </vt:variant>
      <vt:variant>
        <vt:i4>5</vt:i4>
      </vt:variant>
      <vt:variant>
        <vt:lpwstr/>
      </vt:variant>
      <vt:variant>
        <vt:lpwstr>_Toc227745151</vt:lpwstr>
      </vt:variant>
      <vt:variant>
        <vt:i4>1179696</vt:i4>
      </vt:variant>
      <vt:variant>
        <vt:i4>158</vt:i4>
      </vt:variant>
      <vt:variant>
        <vt:i4>0</vt:i4>
      </vt:variant>
      <vt:variant>
        <vt:i4>5</vt:i4>
      </vt:variant>
      <vt:variant>
        <vt:lpwstr/>
      </vt:variant>
      <vt:variant>
        <vt:lpwstr>_Toc227745150</vt:lpwstr>
      </vt:variant>
      <vt:variant>
        <vt:i4>1245232</vt:i4>
      </vt:variant>
      <vt:variant>
        <vt:i4>152</vt:i4>
      </vt:variant>
      <vt:variant>
        <vt:i4>0</vt:i4>
      </vt:variant>
      <vt:variant>
        <vt:i4>5</vt:i4>
      </vt:variant>
      <vt:variant>
        <vt:lpwstr/>
      </vt:variant>
      <vt:variant>
        <vt:lpwstr>_Toc227745149</vt:lpwstr>
      </vt:variant>
      <vt:variant>
        <vt:i4>1245232</vt:i4>
      </vt:variant>
      <vt:variant>
        <vt:i4>146</vt:i4>
      </vt:variant>
      <vt:variant>
        <vt:i4>0</vt:i4>
      </vt:variant>
      <vt:variant>
        <vt:i4>5</vt:i4>
      </vt:variant>
      <vt:variant>
        <vt:lpwstr/>
      </vt:variant>
      <vt:variant>
        <vt:lpwstr>_Toc227745148</vt:lpwstr>
      </vt:variant>
      <vt:variant>
        <vt:i4>1245232</vt:i4>
      </vt:variant>
      <vt:variant>
        <vt:i4>140</vt:i4>
      </vt:variant>
      <vt:variant>
        <vt:i4>0</vt:i4>
      </vt:variant>
      <vt:variant>
        <vt:i4>5</vt:i4>
      </vt:variant>
      <vt:variant>
        <vt:lpwstr/>
      </vt:variant>
      <vt:variant>
        <vt:lpwstr>_Toc227745147</vt:lpwstr>
      </vt:variant>
      <vt:variant>
        <vt:i4>1245232</vt:i4>
      </vt:variant>
      <vt:variant>
        <vt:i4>134</vt:i4>
      </vt:variant>
      <vt:variant>
        <vt:i4>0</vt:i4>
      </vt:variant>
      <vt:variant>
        <vt:i4>5</vt:i4>
      </vt:variant>
      <vt:variant>
        <vt:lpwstr/>
      </vt:variant>
      <vt:variant>
        <vt:lpwstr>_Toc227745146</vt:lpwstr>
      </vt:variant>
      <vt:variant>
        <vt:i4>1245232</vt:i4>
      </vt:variant>
      <vt:variant>
        <vt:i4>128</vt:i4>
      </vt:variant>
      <vt:variant>
        <vt:i4>0</vt:i4>
      </vt:variant>
      <vt:variant>
        <vt:i4>5</vt:i4>
      </vt:variant>
      <vt:variant>
        <vt:lpwstr/>
      </vt:variant>
      <vt:variant>
        <vt:lpwstr>_Toc227745145</vt:lpwstr>
      </vt:variant>
      <vt:variant>
        <vt:i4>1245232</vt:i4>
      </vt:variant>
      <vt:variant>
        <vt:i4>122</vt:i4>
      </vt:variant>
      <vt:variant>
        <vt:i4>0</vt:i4>
      </vt:variant>
      <vt:variant>
        <vt:i4>5</vt:i4>
      </vt:variant>
      <vt:variant>
        <vt:lpwstr/>
      </vt:variant>
      <vt:variant>
        <vt:lpwstr>_Toc227745144</vt:lpwstr>
      </vt:variant>
      <vt:variant>
        <vt:i4>1245232</vt:i4>
      </vt:variant>
      <vt:variant>
        <vt:i4>116</vt:i4>
      </vt:variant>
      <vt:variant>
        <vt:i4>0</vt:i4>
      </vt:variant>
      <vt:variant>
        <vt:i4>5</vt:i4>
      </vt:variant>
      <vt:variant>
        <vt:lpwstr/>
      </vt:variant>
      <vt:variant>
        <vt:lpwstr>_Toc227745143</vt:lpwstr>
      </vt:variant>
      <vt:variant>
        <vt:i4>1245232</vt:i4>
      </vt:variant>
      <vt:variant>
        <vt:i4>110</vt:i4>
      </vt:variant>
      <vt:variant>
        <vt:i4>0</vt:i4>
      </vt:variant>
      <vt:variant>
        <vt:i4>5</vt:i4>
      </vt:variant>
      <vt:variant>
        <vt:lpwstr/>
      </vt:variant>
      <vt:variant>
        <vt:lpwstr>_Toc227745142</vt:lpwstr>
      </vt:variant>
      <vt:variant>
        <vt:i4>1245232</vt:i4>
      </vt:variant>
      <vt:variant>
        <vt:i4>104</vt:i4>
      </vt:variant>
      <vt:variant>
        <vt:i4>0</vt:i4>
      </vt:variant>
      <vt:variant>
        <vt:i4>5</vt:i4>
      </vt:variant>
      <vt:variant>
        <vt:lpwstr/>
      </vt:variant>
      <vt:variant>
        <vt:lpwstr>_Toc227745141</vt:lpwstr>
      </vt:variant>
      <vt:variant>
        <vt:i4>1245232</vt:i4>
      </vt:variant>
      <vt:variant>
        <vt:i4>98</vt:i4>
      </vt:variant>
      <vt:variant>
        <vt:i4>0</vt:i4>
      </vt:variant>
      <vt:variant>
        <vt:i4>5</vt:i4>
      </vt:variant>
      <vt:variant>
        <vt:lpwstr/>
      </vt:variant>
      <vt:variant>
        <vt:lpwstr>_Toc227745140</vt:lpwstr>
      </vt:variant>
      <vt:variant>
        <vt:i4>1310768</vt:i4>
      </vt:variant>
      <vt:variant>
        <vt:i4>92</vt:i4>
      </vt:variant>
      <vt:variant>
        <vt:i4>0</vt:i4>
      </vt:variant>
      <vt:variant>
        <vt:i4>5</vt:i4>
      </vt:variant>
      <vt:variant>
        <vt:lpwstr/>
      </vt:variant>
      <vt:variant>
        <vt:lpwstr>_Toc227745139</vt:lpwstr>
      </vt:variant>
      <vt:variant>
        <vt:i4>1310768</vt:i4>
      </vt:variant>
      <vt:variant>
        <vt:i4>86</vt:i4>
      </vt:variant>
      <vt:variant>
        <vt:i4>0</vt:i4>
      </vt:variant>
      <vt:variant>
        <vt:i4>5</vt:i4>
      </vt:variant>
      <vt:variant>
        <vt:lpwstr/>
      </vt:variant>
      <vt:variant>
        <vt:lpwstr>_Toc227745138</vt:lpwstr>
      </vt:variant>
      <vt:variant>
        <vt:i4>1310768</vt:i4>
      </vt:variant>
      <vt:variant>
        <vt:i4>80</vt:i4>
      </vt:variant>
      <vt:variant>
        <vt:i4>0</vt:i4>
      </vt:variant>
      <vt:variant>
        <vt:i4>5</vt:i4>
      </vt:variant>
      <vt:variant>
        <vt:lpwstr/>
      </vt:variant>
      <vt:variant>
        <vt:lpwstr>_Toc227745137</vt:lpwstr>
      </vt:variant>
      <vt:variant>
        <vt:i4>1310768</vt:i4>
      </vt:variant>
      <vt:variant>
        <vt:i4>74</vt:i4>
      </vt:variant>
      <vt:variant>
        <vt:i4>0</vt:i4>
      </vt:variant>
      <vt:variant>
        <vt:i4>5</vt:i4>
      </vt:variant>
      <vt:variant>
        <vt:lpwstr/>
      </vt:variant>
      <vt:variant>
        <vt:lpwstr>_Toc227745136</vt:lpwstr>
      </vt:variant>
      <vt:variant>
        <vt:i4>1310768</vt:i4>
      </vt:variant>
      <vt:variant>
        <vt:i4>68</vt:i4>
      </vt:variant>
      <vt:variant>
        <vt:i4>0</vt:i4>
      </vt:variant>
      <vt:variant>
        <vt:i4>5</vt:i4>
      </vt:variant>
      <vt:variant>
        <vt:lpwstr/>
      </vt:variant>
      <vt:variant>
        <vt:lpwstr>_Toc227745135</vt:lpwstr>
      </vt:variant>
      <vt:variant>
        <vt:i4>1310768</vt:i4>
      </vt:variant>
      <vt:variant>
        <vt:i4>62</vt:i4>
      </vt:variant>
      <vt:variant>
        <vt:i4>0</vt:i4>
      </vt:variant>
      <vt:variant>
        <vt:i4>5</vt:i4>
      </vt:variant>
      <vt:variant>
        <vt:lpwstr/>
      </vt:variant>
      <vt:variant>
        <vt:lpwstr>_Toc227745134</vt:lpwstr>
      </vt:variant>
      <vt:variant>
        <vt:i4>1310768</vt:i4>
      </vt:variant>
      <vt:variant>
        <vt:i4>56</vt:i4>
      </vt:variant>
      <vt:variant>
        <vt:i4>0</vt:i4>
      </vt:variant>
      <vt:variant>
        <vt:i4>5</vt:i4>
      </vt:variant>
      <vt:variant>
        <vt:lpwstr/>
      </vt:variant>
      <vt:variant>
        <vt:lpwstr>_Toc227745133</vt:lpwstr>
      </vt:variant>
      <vt:variant>
        <vt:i4>1310768</vt:i4>
      </vt:variant>
      <vt:variant>
        <vt:i4>50</vt:i4>
      </vt:variant>
      <vt:variant>
        <vt:i4>0</vt:i4>
      </vt:variant>
      <vt:variant>
        <vt:i4>5</vt:i4>
      </vt:variant>
      <vt:variant>
        <vt:lpwstr/>
      </vt:variant>
      <vt:variant>
        <vt:lpwstr>_Toc227745132</vt:lpwstr>
      </vt:variant>
      <vt:variant>
        <vt:i4>1310768</vt:i4>
      </vt:variant>
      <vt:variant>
        <vt:i4>44</vt:i4>
      </vt:variant>
      <vt:variant>
        <vt:i4>0</vt:i4>
      </vt:variant>
      <vt:variant>
        <vt:i4>5</vt:i4>
      </vt:variant>
      <vt:variant>
        <vt:lpwstr/>
      </vt:variant>
      <vt:variant>
        <vt:lpwstr>_Toc227745131</vt:lpwstr>
      </vt:variant>
      <vt:variant>
        <vt:i4>1310768</vt:i4>
      </vt:variant>
      <vt:variant>
        <vt:i4>38</vt:i4>
      </vt:variant>
      <vt:variant>
        <vt:i4>0</vt:i4>
      </vt:variant>
      <vt:variant>
        <vt:i4>5</vt:i4>
      </vt:variant>
      <vt:variant>
        <vt:lpwstr/>
      </vt:variant>
      <vt:variant>
        <vt:lpwstr>_Toc227745130</vt:lpwstr>
      </vt:variant>
      <vt:variant>
        <vt:i4>1376304</vt:i4>
      </vt:variant>
      <vt:variant>
        <vt:i4>32</vt:i4>
      </vt:variant>
      <vt:variant>
        <vt:i4>0</vt:i4>
      </vt:variant>
      <vt:variant>
        <vt:i4>5</vt:i4>
      </vt:variant>
      <vt:variant>
        <vt:lpwstr/>
      </vt:variant>
      <vt:variant>
        <vt:lpwstr>_Toc227745129</vt:lpwstr>
      </vt:variant>
      <vt:variant>
        <vt:i4>1376304</vt:i4>
      </vt:variant>
      <vt:variant>
        <vt:i4>26</vt:i4>
      </vt:variant>
      <vt:variant>
        <vt:i4>0</vt:i4>
      </vt:variant>
      <vt:variant>
        <vt:i4>5</vt:i4>
      </vt:variant>
      <vt:variant>
        <vt:lpwstr/>
      </vt:variant>
      <vt:variant>
        <vt:lpwstr>_Toc227745128</vt:lpwstr>
      </vt:variant>
      <vt:variant>
        <vt:i4>1376304</vt:i4>
      </vt:variant>
      <vt:variant>
        <vt:i4>20</vt:i4>
      </vt:variant>
      <vt:variant>
        <vt:i4>0</vt:i4>
      </vt:variant>
      <vt:variant>
        <vt:i4>5</vt:i4>
      </vt:variant>
      <vt:variant>
        <vt:lpwstr/>
      </vt:variant>
      <vt:variant>
        <vt:lpwstr>_Toc227745127</vt:lpwstr>
      </vt:variant>
      <vt:variant>
        <vt:i4>1376304</vt:i4>
      </vt:variant>
      <vt:variant>
        <vt:i4>14</vt:i4>
      </vt:variant>
      <vt:variant>
        <vt:i4>0</vt:i4>
      </vt:variant>
      <vt:variant>
        <vt:i4>5</vt:i4>
      </vt:variant>
      <vt:variant>
        <vt:lpwstr/>
      </vt:variant>
      <vt:variant>
        <vt:lpwstr>_Toc227745126</vt:lpwstr>
      </vt:variant>
      <vt:variant>
        <vt:i4>1376304</vt:i4>
      </vt:variant>
      <vt:variant>
        <vt:i4>8</vt:i4>
      </vt:variant>
      <vt:variant>
        <vt:i4>0</vt:i4>
      </vt:variant>
      <vt:variant>
        <vt:i4>5</vt:i4>
      </vt:variant>
      <vt:variant>
        <vt:lpwstr/>
      </vt:variant>
      <vt:variant>
        <vt:lpwstr>_Toc227745125</vt:lpwstr>
      </vt:variant>
      <vt:variant>
        <vt:i4>1376304</vt:i4>
      </vt:variant>
      <vt:variant>
        <vt:i4>2</vt:i4>
      </vt:variant>
      <vt:variant>
        <vt:i4>0</vt:i4>
      </vt:variant>
      <vt:variant>
        <vt:i4>5</vt:i4>
      </vt:variant>
      <vt:variant>
        <vt:lpwstr/>
      </vt:variant>
      <vt:variant>
        <vt:lpwstr>_Toc227745124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Wiktoria Dolecka (2318298)</cp:lastModifiedBy>
  <cp:revision>5</cp:revision>
  <dcterms:created xsi:type="dcterms:W3CDTF">2026-04-29T18:21:00Z</dcterms:created>
  <dcterms:modified xsi:type="dcterms:W3CDTF">2026-04-29T18:24:00Z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66a90bd7-f34e-4a9d-8b31-907e2c6afd53</vt:lpwstr>
  </property>
</Properties>
</file>