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3C6FD0E" wp14:paraId="4F949FFB" wp14:textId="012450C4">
      <w:pPr>
        <w:pStyle w:val="Normal"/>
        <w:spacing w:before="225" w:beforeAutospacing="off" w:after="240" w:afterAutospacing="off"/>
      </w:pPr>
      <w:r w:rsidR="63AAD854">
        <w:drawing>
          <wp:inline xmlns:wp14="http://schemas.microsoft.com/office/word/2010/wordprocessingDrawing" wp14:editId="20DA0888" wp14:anchorId="04447EF1">
            <wp:extent cx="5724525" cy="2562225"/>
            <wp:effectExtent l="0" t="0" r="0" b="0"/>
            <wp:docPr id="16152879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160623" name="Picture 845160623"/>
                    <pic:cNvPicPr/>
                  </pic:nvPicPr>
                  <pic:blipFill>
                    <a:blip xmlns:r="http://schemas.openxmlformats.org/officeDocument/2006/relationships" r:embed="rId217580023">
                      <a:extLst>
                        <a:ext uri="{28A0092B-C50C-407E-A947-70E740481C1C}">
                          <a14:useLocalDpi xmlns:a14="http://schemas.microsoft.com/office/drawing/2010/main"/>
                        </a:ext>
                      </a:extLst>
                    </a:blip>
                    <a:stretch>
                      <a:fillRect/>
                    </a:stretch>
                  </pic:blipFill>
                  <pic:spPr>
                    <a:xfrm>
                      <a:off x="0" y="0"/>
                      <a:ext cx="5724525" cy="2562225"/>
                    </a:xfrm>
                    <a:prstGeom prst="rect">
                      <a:avLst/>
                    </a:prstGeom>
                  </pic:spPr>
                </pic:pic>
              </a:graphicData>
            </a:graphic>
          </wp:inline>
        </w:drawing>
      </w:r>
    </w:p>
    <w:p xmlns:wp14="http://schemas.microsoft.com/office/word/2010/wordml" w:rsidP="43C6FD0E" wp14:paraId="25666C8C" wp14:textId="3E4334FC">
      <w:pPr>
        <w:pStyle w:val="Normal"/>
        <w:spacing w:before="225"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43C6FD0E" wp14:paraId="535031D4" wp14:textId="52C2C2B1">
      <w:pPr>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43C6FD0E" w:rsidR="63AAD854">
        <w:rPr>
          <w:rFonts w:ascii="Aptos" w:hAnsi="Aptos" w:eastAsia="Aptos" w:cs="Aptos"/>
          <w:b w:val="1"/>
          <w:bCs w:val="1"/>
          <w:noProof w:val="0"/>
          <w:color w:val="000000" w:themeColor="text1" w:themeTint="FF" w:themeShade="FF"/>
          <w:sz w:val="26"/>
          <w:szCs w:val="26"/>
          <w:lang w:val="en-GB"/>
        </w:rPr>
        <w:t>Name: Rayan Ata</w:t>
      </w:r>
      <w:r w:rsidRPr="43C6FD0E" w:rsidR="63AAD854">
        <w:rPr>
          <w:rFonts w:ascii="Aptos" w:hAnsi="Aptos" w:eastAsia="Aptos" w:cs="Aptos"/>
          <w:b w:val="1"/>
          <w:bCs w:val="1"/>
          <w:noProof w:val="0"/>
          <w:color w:val="000000" w:themeColor="text1" w:themeTint="FF" w:themeShade="FF"/>
          <w:sz w:val="26"/>
          <w:szCs w:val="26"/>
          <w:lang w:val="en-GB"/>
        </w:rPr>
        <w:t xml:space="preserve"> </w:t>
      </w:r>
    </w:p>
    <w:p xmlns:wp14="http://schemas.microsoft.com/office/word/2010/wordml" w:rsidP="43C6FD0E" wp14:paraId="20BA95A6" wp14:textId="2CCFF570">
      <w:pPr>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43C6FD0E" w:rsidR="6F761F34">
        <w:rPr>
          <w:rFonts w:ascii="Aptos" w:hAnsi="Aptos" w:eastAsia="Aptos" w:cs="Aptos"/>
          <w:b w:val="1"/>
          <w:bCs w:val="1"/>
          <w:noProof w:val="0"/>
          <w:color w:val="000000" w:themeColor="text1" w:themeTint="FF" w:themeShade="FF"/>
          <w:sz w:val="26"/>
          <w:szCs w:val="26"/>
          <w:lang w:val="en-GB"/>
        </w:rPr>
        <w:t>Student Number: 2324338</w:t>
      </w:r>
    </w:p>
    <w:p xmlns:wp14="http://schemas.microsoft.com/office/word/2010/wordml" w:rsidP="43C6FD0E" wp14:paraId="472745DF" wp14:textId="4C7F684C">
      <w:pPr>
        <w:pStyle w:val="Normal"/>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43C6FD0E" w:rsidR="63AAD854">
        <w:rPr>
          <w:rFonts w:ascii="Aptos" w:hAnsi="Aptos" w:eastAsia="Aptos" w:cs="Aptos"/>
          <w:b w:val="1"/>
          <w:bCs w:val="1"/>
          <w:noProof w:val="0"/>
          <w:color w:val="000000" w:themeColor="text1" w:themeTint="FF" w:themeShade="FF"/>
          <w:sz w:val="26"/>
          <w:szCs w:val="26"/>
          <w:lang w:val="en-GB"/>
        </w:rPr>
        <w:t>M</w:t>
      </w:r>
      <w:r w:rsidRPr="43C6FD0E" w:rsidR="7031F811">
        <w:rPr>
          <w:rFonts w:ascii="Aptos" w:hAnsi="Aptos" w:eastAsia="Aptos" w:cs="Aptos"/>
          <w:b w:val="1"/>
          <w:bCs w:val="1"/>
          <w:noProof w:val="0"/>
          <w:color w:val="000000" w:themeColor="text1" w:themeTint="FF" w:themeShade="FF"/>
          <w:sz w:val="26"/>
          <w:szCs w:val="26"/>
          <w:lang w:val="en-GB"/>
        </w:rPr>
        <w:t>o</w:t>
      </w:r>
      <w:r w:rsidRPr="43C6FD0E" w:rsidR="7031F811">
        <w:rPr>
          <w:rFonts w:ascii="Aptos" w:hAnsi="Aptos" w:eastAsia="Aptos" w:cs="Aptos"/>
          <w:b w:val="1"/>
          <w:bCs w:val="1"/>
          <w:noProof w:val="0"/>
          <w:color w:val="000000" w:themeColor="text1" w:themeTint="FF" w:themeShade="FF"/>
          <w:sz w:val="26"/>
          <w:szCs w:val="26"/>
          <w:lang w:val="en-GB"/>
        </w:rPr>
        <w:t>dule Title:</w:t>
      </w:r>
      <w:r w:rsidRPr="43C6FD0E" w:rsidR="262D9A9D">
        <w:rPr>
          <w:rFonts w:ascii="Aptos" w:hAnsi="Aptos" w:eastAsia="Aptos" w:cs="Aptos"/>
          <w:b w:val="1"/>
          <w:bCs w:val="1"/>
          <w:noProof w:val="0"/>
          <w:color w:val="000000" w:themeColor="text1" w:themeTint="FF" w:themeShade="FF"/>
          <w:sz w:val="26"/>
          <w:szCs w:val="26"/>
          <w:lang w:val="en-GB"/>
        </w:rPr>
        <w:t xml:space="preserve"> </w:t>
      </w:r>
      <w:r w:rsidRPr="43C6FD0E" w:rsidR="7031F811">
        <w:rPr>
          <w:rFonts w:ascii="Aptos" w:hAnsi="Aptos" w:eastAsia="Aptos" w:cs="Aptos"/>
          <w:b w:val="1"/>
          <w:bCs w:val="1"/>
          <w:noProof w:val="0"/>
          <w:color w:val="000000" w:themeColor="text1" w:themeTint="FF" w:themeShade="FF"/>
          <w:sz w:val="26"/>
          <w:szCs w:val="26"/>
          <w:lang w:val="en-GB"/>
        </w:rPr>
        <w:t>Introduction to Physiology</w:t>
      </w:r>
    </w:p>
    <w:p xmlns:wp14="http://schemas.microsoft.com/office/word/2010/wordml" w:rsidP="43C6FD0E" wp14:paraId="100E9874" wp14:textId="29E8A642">
      <w:pPr>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43C6FD0E" w:rsidR="7031F811">
        <w:rPr>
          <w:rFonts w:ascii="Aptos" w:hAnsi="Aptos" w:eastAsia="Aptos" w:cs="Aptos"/>
          <w:b w:val="1"/>
          <w:bCs w:val="1"/>
          <w:noProof w:val="0"/>
          <w:color w:val="000000" w:themeColor="text1" w:themeTint="FF" w:themeShade="FF"/>
          <w:sz w:val="26"/>
          <w:szCs w:val="26"/>
          <w:lang w:val="en-GB"/>
        </w:rPr>
        <w:t xml:space="preserve"> </w:t>
      </w:r>
      <w:r w:rsidRPr="43C6FD0E" w:rsidR="7031F811">
        <w:rPr>
          <w:rFonts w:ascii="Aptos" w:hAnsi="Aptos" w:eastAsia="Aptos" w:cs="Aptos"/>
          <w:b w:val="1"/>
          <w:bCs w:val="1"/>
          <w:noProof w:val="0"/>
          <w:color w:val="000000" w:themeColor="text1" w:themeTint="FF" w:themeShade="FF"/>
          <w:sz w:val="26"/>
          <w:szCs w:val="26"/>
          <w:lang w:val="en-GB"/>
        </w:rPr>
        <w:t>Module Code:</w:t>
      </w:r>
      <w:r w:rsidRPr="43C6FD0E" w:rsidR="48DEC6A8">
        <w:rPr>
          <w:rFonts w:ascii="Aptos" w:hAnsi="Aptos" w:eastAsia="Aptos" w:cs="Aptos"/>
          <w:b w:val="1"/>
          <w:bCs w:val="1"/>
          <w:noProof w:val="0"/>
          <w:color w:val="000000" w:themeColor="text1" w:themeTint="FF" w:themeShade="FF"/>
          <w:sz w:val="26"/>
          <w:szCs w:val="26"/>
          <w:lang w:val="en-GB"/>
        </w:rPr>
        <w:t xml:space="preserve"> </w:t>
      </w:r>
      <w:r w:rsidRPr="43C6FD0E" w:rsidR="7031F811">
        <w:rPr>
          <w:rFonts w:ascii="Aptos" w:hAnsi="Aptos" w:eastAsia="Aptos" w:cs="Aptos"/>
          <w:b w:val="1"/>
          <w:bCs w:val="1"/>
          <w:noProof w:val="0"/>
          <w:color w:val="000000" w:themeColor="text1" w:themeTint="FF" w:themeShade="FF"/>
          <w:sz w:val="26"/>
          <w:szCs w:val="26"/>
          <w:lang w:val="en-GB"/>
        </w:rPr>
        <w:t>BMHP5023</w:t>
      </w:r>
      <w:r w:rsidRPr="43C6FD0E" w:rsidR="6EC93542">
        <w:rPr>
          <w:rFonts w:ascii="Aptos" w:hAnsi="Aptos" w:eastAsia="Aptos" w:cs="Aptos"/>
          <w:b w:val="1"/>
          <w:bCs w:val="1"/>
          <w:noProof w:val="0"/>
          <w:color w:val="000000" w:themeColor="text1" w:themeTint="FF" w:themeShade="FF"/>
          <w:sz w:val="26"/>
          <w:szCs w:val="26"/>
          <w:lang w:val="en-GB"/>
        </w:rPr>
        <w:t xml:space="preserve"> </w:t>
      </w:r>
    </w:p>
    <w:p xmlns:wp14="http://schemas.microsoft.com/office/word/2010/wordml" w:rsidP="43C6FD0E" wp14:paraId="753BCF68" wp14:textId="0BC8EA37">
      <w:pPr>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43C6FD0E" w:rsidR="7031F811">
        <w:rPr>
          <w:rFonts w:ascii="Aptos" w:hAnsi="Aptos" w:eastAsia="Aptos" w:cs="Aptos"/>
          <w:b w:val="1"/>
          <w:bCs w:val="1"/>
          <w:noProof w:val="0"/>
          <w:color w:val="000000" w:themeColor="text1" w:themeTint="FF" w:themeShade="FF"/>
          <w:sz w:val="26"/>
          <w:szCs w:val="26"/>
          <w:lang w:val="en-GB"/>
        </w:rPr>
        <w:t xml:space="preserve"> </w:t>
      </w:r>
      <w:r w:rsidRPr="43C6FD0E" w:rsidR="7031F811">
        <w:rPr>
          <w:rFonts w:ascii="Aptos" w:hAnsi="Aptos" w:eastAsia="Aptos" w:cs="Aptos"/>
          <w:b w:val="1"/>
          <w:bCs w:val="1"/>
          <w:noProof w:val="0"/>
          <w:color w:val="000000" w:themeColor="text1" w:themeTint="FF" w:themeShade="FF"/>
          <w:sz w:val="26"/>
          <w:szCs w:val="26"/>
          <w:lang w:val="en-GB"/>
        </w:rPr>
        <w:t>Assignment Title:</w:t>
      </w:r>
    </w:p>
    <w:p xmlns:wp14="http://schemas.microsoft.com/office/word/2010/wordml" w:rsidP="43C6FD0E" wp14:paraId="78733887" wp14:textId="4555200D">
      <w:pPr>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43C6FD0E" w:rsidR="7031F811">
        <w:rPr>
          <w:rFonts w:ascii="Aptos" w:hAnsi="Aptos" w:eastAsia="Aptos" w:cs="Aptos"/>
          <w:b w:val="1"/>
          <w:bCs w:val="1"/>
          <w:noProof w:val="0"/>
          <w:color w:val="000000" w:themeColor="text1" w:themeTint="FF" w:themeShade="FF"/>
          <w:sz w:val="26"/>
          <w:szCs w:val="26"/>
          <w:lang w:val="en-GB"/>
        </w:rPr>
        <w:t>Component</w:t>
      </w:r>
      <w:r w:rsidRPr="43C6FD0E" w:rsidR="7031F811">
        <w:rPr>
          <w:rFonts w:ascii="Aptos" w:hAnsi="Aptos" w:eastAsia="Aptos" w:cs="Aptos"/>
          <w:b w:val="1"/>
          <w:bCs w:val="1"/>
          <w:noProof w:val="0"/>
          <w:color w:val="000000" w:themeColor="text1" w:themeTint="FF" w:themeShade="FF"/>
          <w:sz w:val="26"/>
          <w:szCs w:val="26"/>
          <w:lang w:val="en-GB"/>
        </w:rPr>
        <w:t xml:space="preserve"> 1: Written Assignment (Case Study Report)</w:t>
      </w:r>
    </w:p>
    <w:p xmlns:wp14="http://schemas.microsoft.com/office/word/2010/wordml" w:rsidP="43C6FD0E" wp14:paraId="161EFBB3" wp14:textId="4C2076C0">
      <w:pPr>
        <w:pStyle w:val="Normal"/>
        <w:spacing w:before="225" w:beforeAutospacing="off" w:after="240" w:afterAutospacing="off"/>
        <w:jc w:val="center"/>
        <w:rPr>
          <w:b w:val="1"/>
          <w:bCs w:val="1"/>
          <w:sz w:val="26"/>
          <w:szCs w:val="26"/>
        </w:rPr>
      </w:pPr>
      <w:r w:rsidRPr="663E31BD" w:rsidR="7031F811">
        <w:rPr>
          <w:rFonts w:ascii="Aptos" w:hAnsi="Aptos" w:eastAsia="Aptos" w:cs="Aptos"/>
          <w:b w:val="1"/>
          <w:bCs w:val="1"/>
          <w:noProof w:val="0"/>
          <w:color w:val="000000" w:themeColor="text1" w:themeTint="FF" w:themeShade="FF"/>
          <w:sz w:val="26"/>
          <w:szCs w:val="26"/>
          <w:lang w:val="en-GB"/>
        </w:rPr>
        <w:t>Case Study 1: Ds Management and Lifestyle Factors</w:t>
      </w:r>
    </w:p>
    <w:p xmlns:wp14="http://schemas.microsoft.com/office/word/2010/wordml" w:rsidP="43C6FD0E" wp14:paraId="01537F1D" wp14:textId="4A47E2FA">
      <w:pPr>
        <w:pStyle w:val="Normal"/>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663E31BD" w:rsidR="4BCAB40B">
        <w:rPr>
          <w:rFonts w:ascii="Aptos" w:hAnsi="Aptos" w:eastAsia="Aptos" w:cs="Aptos"/>
          <w:b w:val="1"/>
          <w:bCs w:val="1"/>
          <w:noProof w:val="0"/>
          <w:color w:val="000000" w:themeColor="text1" w:themeTint="FF" w:themeShade="FF"/>
          <w:sz w:val="26"/>
          <w:szCs w:val="26"/>
          <w:lang w:val="en-GB"/>
        </w:rPr>
        <w:t>Lecturer:</w:t>
      </w:r>
      <w:r w:rsidRPr="663E31BD" w:rsidR="636E4042">
        <w:rPr>
          <w:rFonts w:ascii="Aptos" w:hAnsi="Aptos" w:eastAsia="Aptos" w:cs="Aptos"/>
          <w:b w:val="1"/>
          <w:bCs w:val="1"/>
          <w:noProof w:val="0"/>
          <w:color w:val="000000" w:themeColor="text1" w:themeTint="FF" w:themeShade="FF"/>
          <w:sz w:val="26"/>
          <w:szCs w:val="26"/>
          <w:lang w:val="en-GB"/>
        </w:rPr>
        <w:t xml:space="preserve"> </w:t>
      </w:r>
      <w:r w:rsidRPr="663E31BD" w:rsidR="4BCAB40B">
        <w:rPr>
          <w:rFonts w:ascii="Aptos" w:hAnsi="Aptos" w:eastAsia="Aptos" w:cs="Aptos"/>
          <w:b w:val="1"/>
          <w:bCs w:val="1"/>
          <w:noProof w:val="0"/>
          <w:color w:val="000000" w:themeColor="text1" w:themeTint="FF" w:themeShade="FF"/>
          <w:sz w:val="26"/>
          <w:szCs w:val="26"/>
          <w:lang w:val="en-GB"/>
        </w:rPr>
        <w:t xml:space="preserve"> Gillian</w:t>
      </w:r>
      <w:r w:rsidRPr="663E31BD" w:rsidR="4BCAB40B">
        <w:rPr>
          <w:rFonts w:ascii="Aptos" w:hAnsi="Aptos" w:eastAsia="Aptos" w:cs="Aptos"/>
          <w:b w:val="1"/>
          <w:bCs w:val="1"/>
          <w:noProof w:val="0"/>
          <w:color w:val="000000" w:themeColor="text1" w:themeTint="FF" w:themeShade="FF"/>
          <w:sz w:val="26"/>
          <w:szCs w:val="26"/>
          <w:lang w:val="en-GB"/>
        </w:rPr>
        <w:t xml:space="preserve"> Weaver</w:t>
      </w:r>
    </w:p>
    <w:p xmlns:wp14="http://schemas.microsoft.com/office/word/2010/wordml" w:rsidP="43C6FD0E" wp14:paraId="087EFBF7" wp14:textId="6F62CA53">
      <w:pPr>
        <w:pStyle w:val="Normal"/>
        <w:spacing w:before="225" w:beforeAutospacing="off" w:after="240" w:afterAutospacing="off"/>
        <w:jc w:val="center"/>
        <w:rPr>
          <w:rFonts w:ascii="Aptos" w:hAnsi="Aptos" w:eastAsia="Aptos" w:cs="Aptos"/>
          <w:b w:val="1"/>
          <w:bCs w:val="1"/>
          <w:noProof w:val="0"/>
          <w:color w:val="000000" w:themeColor="text1" w:themeTint="FF" w:themeShade="FF"/>
          <w:sz w:val="26"/>
          <w:szCs w:val="26"/>
          <w:lang w:val="en-GB"/>
        </w:rPr>
      </w:pPr>
      <w:r w:rsidRPr="43C6FD0E" w:rsidR="4BCAB40B">
        <w:rPr>
          <w:rFonts w:ascii="Aptos" w:hAnsi="Aptos" w:eastAsia="Aptos" w:cs="Aptos"/>
          <w:b w:val="1"/>
          <w:bCs w:val="1"/>
          <w:noProof w:val="0"/>
          <w:color w:val="000000" w:themeColor="text1" w:themeTint="FF" w:themeShade="FF"/>
          <w:sz w:val="26"/>
          <w:szCs w:val="26"/>
          <w:lang w:val="en-GB"/>
        </w:rPr>
        <w:t>Date:29/01/2026</w:t>
      </w:r>
    </w:p>
    <w:p xmlns:wp14="http://schemas.microsoft.com/office/word/2010/wordml" w:rsidP="43C6FD0E" wp14:paraId="266D5E12" wp14:textId="1C530686">
      <w:pPr>
        <w:rPr>
          <w:b w:val="1"/>
          <w:bCs w:val="1"/>
          <w:sz w:val="26"/>
          <w:szCs w:val="26"/>
        </w:rPr>
      </w:pPr>
    </w:p>
    <w:p xmlns:wp14="http://schemas.microsoft.com/office/word/2010/wordml" wp14:paraId="5E5787A5" wp14:textId="13F20FEA"/>
    <w:p w:rsidR="23456588" w:rsidP="663E31BD" w:rsidRDefault="23456588" w14:paraId="7D44FD25" w14:textId="154D21F1">
      <w:pPr>
        <w:rPr>
          <w:rFonts w:ascii="Aptos" w:hAnsi="Aptos" w:eastAsia="Aptos" w:cs="Aptos" w:asciiTheme="minorAscii" w:hAnsiTheme="minorAscii" w:eastAsiaTheme="minorAscii" w:cstheme="minorAscii"/>
          <w:b w:val="1"/>
          <w:bCs w:val="1"/>
          <w:sz w:val="30"/>
          <w:szCs w:val="30"/>
        </w:rPr>
      </w:pPr>
      <w:r w:rsidRPr="663E31BD" w:rsidR="23456588">
        <w:rPr>
          <w:rFonts w:ascii="Aptos" w:hAnsi="Aptos" w:eastAsia="Aptos" w:cs="Aptos" w:asciiTheme="minorAscii" w:hAnsiTheme="minorAscii" w:eastAsiaTheme="minorAscii" w:cstheme="minorAscii"/>
          <w:b w:val="1"/>
          <w:bCs w:val="1"/>
          <w:sz w:val="30"/>
          <w:szCs w:val="30"/>
        </w:rPr>
        <w:t xml:space="preserve">Introduction </w:t>
      </w:r>
    </w:p>
    <w:p w:rsidR="23456588" w:rsidP="663E31BD" w:rsidRDefault="23456588" w14:paraId="24820075" w14:textId="26AC9754">
      <w:pPr>
        <w:pStyle w:val="Normal"/>
        <w:rPr>
          <w:rFonts w:ascii="Aptos" w:hAnsi="Aptos" w:eastAsia="Aptos" w:cs="Aptos" w:asciiTheme="minorAscii" w:hAnsiTheme="minorAscii" w:eastAsiaTheme="minorAscii" w:cstheme="minorAscii"/>
        </w:rPr>
      </w:pPr>
      <w:r w:rsidRPr="663E31BD" w:rsidR="23456588">
        <w:rPr>
          <w:rFonts w:ascii="Aptos" w:hAnsi="Aptos" w:eastAsia="Aptos" w:cs="Aptos" w:asciiTheme="minorAscii" w:hAnsiTheme="minorAscii" w:eastAsiaTheme="minorAscii" w:cstheme="minorAscii"/>
        </w:rPr>
        <w:t xml:space="preserve"> </w:t>
      </w:r>
    </w:p>
    <w:p w:rsidR="23456588" w:rsidP="663E31BD" w:rsidRDefault="23456588" w14:paraId="37CE2EE0" w14:textId="29C763CC">
      <w:pPr>
        <w:pStyle w:val="Normal"/>
        <w:rPr>
          <w:rFonts w:ascii="Aptos" w:hAnsi="Aptos" w:eastAsia="Aptos" w:cs="Aptos" w:asciiTheme="minorAscii" w:hAnsiTheme="minorAscii" w:eastAsiaTheme="minorAscii" w:cstheme="minorAscii"/>
        </w:rPr>
      </w:pPr>
      <w:r w:rsidRPr="663E31BD" w:rsidR="23456588">
        <w:rPr>
          <w:rFonts w:ascii="Aptos" w:hAnsi="Aptos" w:eastAsia="Aptos" w:cs="Aptos" w:asciiTheme="minorAscii" w:hAnsiTheme="minorAscii" w:eastAsiaTheme="minorAscii" w:cstheme="minorAscii"/>
        </w:rPr>
        <w:t xml:space="preserve">Diabetes is a long-lasting metabolic condition that is characterized due to the body's lack of regulation over blood sugar levels, and this includes insufficient insulin production or absence of insulin or diminished insulin function (Diabetes UK, 2017). There </w:t>
      </w:r>
      <w:r w:rsidRPr="663E31BD" w:rsidR="38D4A523">
        <w:rPr>
          <w:rFonts w:ascii="Aptos" w:hAnsi="Aptos" w:eastAsia="Aptos" w:cs="Aptos" w:asciiTheme="minorAscii" w:hAnsiTheme="minorAscii" w:eastAsiaTheme="minorAscii" w:cstheme="minorAscii"/>
        </w:rPr>
        <w:t>is</w:t>
      </w:r>
      <w:r w:rsidRPr="663E31BD" w:rsidR="23456588">
        <w:rPr>
          <w:rFonts w:ascii="Aptos" w:hAnsi="Aptos" w:eastAsia="Aptos" w:cs="Aptos" w:asciiTheme="minorAscii" w:hAnsiTheme="minorAscii" w:eastAsiaTheme="minorAscii" w:cstheme="minorAscii"/>
        </w:rPr>
        <w:t xml:space="preserve"> diabetes which are divided into two main types there is. Type 1 diabetes is an autoimmune condition that causes the body to generate no insulin </w:t>
      </w:r>
      <w:bookmarkStart w:name="_Int_iQeGt8Tt" w:id="1980135262"/>
      <w:r w:rsidRPr="663E31BD" w:rsidR="3F45C16C">
        <w:rPr>
          <w:rFonts w:ascii="Aptos" w:hAnsi="Aptos" w:eastAsia="Aptos" w:cs="Aptos" w:asciiTheme="minorAscii" w:hAnsiTheme="minorAscii" w:eastAsiaTheme="minorAscii" w:cstheme="minorAscii"/>
        </w:rPr>
        <w:t>and</w:t>
      </w:r>
      <w:r w:rsidRPr="663E31BD" w:rsidR="23456588">
        <w:rPr>
          <w:rFonts w:ascii="Aptos" w:hAnsi="Aptos" w:eastAsia="Aptos" w:cs="Aptos" w:asciiTheme="minorAscii" w:hAnsiTheme="minorAscii" w:eastAsiaTheme="minorAscii" w:cstheme="minorAscii"/>
        </w:rPr>
        <w:t xml:space="preserve"> </w:t>
      </w:r>
      <w:r w:rsidRPr="663E31BD" w:rsidR="73996714">
        <w:rPr>
          <w:rFonts w:ascii="Aptos" w:hAnsi="Aptos" w:eastAsia="Aptos" w:cs="Aptos" w:asciiTheme="minorAscii" w:hAnsiTheme="minorAscii" w:eastAsiaTheme="minorAscii" w:cstheme="minorAscii"/>
        </w:rPr>
        <w:t>also</w:t>
      </w:r>
      <w:bookmarkEnd w:id="1980135262"/>
      <w:r w:rsidRPr="663E31BD" w:rsidR="73996714">
        <w:rPr>
          <w:rFonts w:ascii="Aptos" w:hAnsi="Aptos" w:eastAsia="Aptos" w:cs="Aptos" w:asciiTheme="minorAscii" w:hAnsiTheme="minorAscii" w:eastAsiaTheme="minorAscii" w:cstheme="minorAscii"/>
        </w:rPr>
        <w:t xml:space="preserve"> </w:t>
      </w:r>
      <w:r w:rsidRPr="663E31BD" w:rsidR="23456588">
        <w:rPr>
          <w:rFonts w:ascii="Aptos" w:hAnsi="Aptos" w:eastAsia="Aptos" w:cs="Aptos" w:asciiTheme="minorAscii" w:hAnsiTheme="minorAscii" w:eastAsiaTheme="minorAscii" w:cstheme="minorAscii"/>
        </w:rPr>
        <w:t xml:space="preserve">damages the beta cells, which are the pancreatic cells responsible for insulin production. </w:t>
      </w:r>
    </w:p>
    <w:p w:rsidR="23456588" w:rsidP="663E31BD" w:rsidRDefault="23456588" w14:paraId="2EF810CE" w14:textId="4DE581B2">
      <w:pPr>
        <w:pStyle w:val="Normal"/>
        <w:rPr>
          <w:rFonts w:ascii="Aptos" w:hAnsi="Aptos" w:eastAsia="Aptos" w:cs="Aptos" w:asciiTheme="minorAscii" w:hAnsiTheme="minorAscii" w:eastAsiaTheme="minorAscii" w:cstheme="minorAscii"/>
        </w:rPr>
      </w:pPr>
      <w:r w:rsidRPr="663E31BD" w:rsidR="23456588">
        <w:rPr>
          <w:rFonts w:ascii="Aptos" w:hAnsi="Aptos" w:eastAsia="Aptos" w:cs="Aptos" w:asciiTheme="minorAscii" w:hAnsiTheme="minorAscii" w:eastAsiaTheme="minorAscii" w:cstheme="minorAscii"/>
        </w:rPr>
        <w:t xml:space="preserve"> </w:t>
      </w:r>
    </w:p>
    <w:p w:rsidR="23456588" w:rsidP="663E31BD" w:rsidRDefault="23456588" w14:paraId="6343FBEA" w14:textId="07C42E5C">
      <w:pPr>
        <w:pStyle w:val="Normal"/>
        <w:rPr>
          <w:rFonts w:ascii="Aptos" w:hAnsi="Aptos" w:eastAsia="Aptos" w:cs="Aptos" w:asciiTheme="minorAscii" w:hAnsiTheme="minorAscii" w:eastAsiaTheme="minorAscii" w:cstheme="minorAscii"/>
        </w:rPr>
      </w:pPr>
      <w:r w:rsidRPr="663E31BD" w:rsidR="23456588">
        <w:rPr>
          <w:rFonts w:ascii="Aptos" w:hAnsi="Aptos" w:eastAsia="Aptos" w:cs="Aptos" w:asciiTheme="minorAscii" w:hAnsiTheme="minorAscii" w:eastAsiaTheme="minorAscii" w:cstheme="minorAscii"/>
        </w:rPr>
        <w:t xml:space="preserve">In comparison, Type 2 diabetes arises when the body doesn't produce amount of insulin is insufficient, or the insulin generated is ineffective if it does get produced, and type 2 diabetes is tightly associated with different risk factors, including age, family medical background, ethnicity, and waist circumference. Having extra weight or being overweight raises the risk of developing type 2 diabetes (Diabetes UK, 2018) </w:t>
      </w:r>
      <w:r w:rsidRPr="663E31BD" w:rsidR="0C53262F">
        <w:rPr>
          <w:rFonts w:ascii="Aptos" w:hAnsi="Aptos" w:eastAsia="Aptos" w:cs="Aptos" w:asciiTheme="minorAscii" w:hAnsiTheme="minorAscii" w:eastAsiaTheme="minorAscii" w:cstheme="minorAscii"/>
        </w:rPr>
        <w:t>.</w:t>
      </w:r>
    </w:p>
    <w:p w:rsidR="23456588" w:rsidP="663E31BD" w:rsidRDefault="23456588" w14:paraId="2D992493" w14:textId="1CDAF36C">
      <w:pPr>
        <w:pStyle w:val="Normal"/>
        <w:rPr>
          <w:rFonts w:ascii="Aptos" w:hAnsi="Aptos" w:eastAsia="Aptos" w:cs="Aptos" w:asciiTheme="minorAscii" w:hAnsiTheme="minorAscii" w:eastAsiaTheme="minorAscii" w:cstheme="minorAscii"/>
        </w:rPr>
      </w:pPr>
      <w:r w:rsidRPr="663E31BD" w:rsidR="23456588">
        <w:rPr>
          <w:rFonts w:ascii="Aptos" w:hAnsi="Aptos" w:eastAsia="Aptos" w:cs="Aptos" w:asciiTheme="minorAscii" w:hAnsiTheme="minorAscii" w:eastAsiaTheme="minorAscii" w:cstheme="minorAscii"/>
        </w:rPr>
        <w:t xml:space="preserve"> </w:t>
      </w:r>
    </w:p>
    <w:p w:rsidR="23456588" w:rsidP="663E31BD" w:rsidRDefault="23456588" w14:paraId="4B8230EF" w14:textId="3B50B59D">
      <w:pPr>
        <w:pStyle w:val="Normal"/>
        <w:rPr>
          <w:rFonts w:ascii="Aptos" w:hAnsi="Aptos" w:eastAsia="Aptos" w:cs="Aptos" w:asciiTheme="minorAscii" w:hAnsiTheme="minorAscii" w:eastAsiaTheme="minorAscii" w:cstheme="minorAscii"/>
        </w:rPr>
      </w:pPr>
      <w:r w:rsidRPr="663E31BD" w:rsidR="23456588">
        <w:rPr>
          <w:rFonts w:ascii="Aptos" w:hAnsi="Aptos" w:eastAsia="Aptos" w:cs="Aptos" w:asciiTheme="minorAscii" w:hAnsiTheme="minorAscii" w:eastAsiaTheme="minorAscii" w:cstheme="minorAscii"/>
        </w:rPr>
        <w:t xml:space="preserve">As a practice nurse, it is important to understand patients' conditions and engage in their care plans and this report will detail Type 2 diabetes and cellular metabolism and evaluate blood sugar management, emphasizing and </w:t>
      </w:r>
      <w:r w:rsidRPr="663E31BD" w:rsidR="24B56DE2">
        <w:rPr>
          <w:rFonts w:ascii="Aptos" w:hAnsi="Aptos" w:eastAsia="Aptos" w:cs="Aptos" w:asciiTheme="minorAscii" w:hAnsiTheme="minorAscii" w:eastAsiaTheme="minorAscii" w:cstheme="minorAscii"/>
        </w:rPr>
        <w:t>analysing</w:t>
      </w:r>
      <w:r w:rsidRPr="663E31BD" w:rsidR="23456588">
        <w:rPr>
          <w:rFonts w:ascii="Aptos" w:hAnsi="Aptos" w:eastAsia="Aptos" w:cs="Aptos" w:asciiTheme="minorAscii" w:hAnsiTheme="minorAscii" w:eastAsiaTheme="minorAscii" w:cstheme="minorAscii"/>
        </w:rPr>
        <w:t xml:space="preserve"> blood glucose control along with examining evidence-supported lifestyle modifications to support safe and effective management overall Type 2 diabetes is the predominant type of diabetes in the UK and is always being took care of in general practice environments.</w:t>
      </w:r>
    </w:p>
    <w:p w:rsidR="663E31BD" w:rsidP="663E31BD" w:rsidRDefault="663E31BD" w14:paraId="53D77C8C" w14:textId="79187463">
      <w:pPr>
        <w:pStyle w:val="Normal"/>
        <w:rPr>
          <w:rFonts w:ascii="Aptos" w:hAnsi="Aptos" w:eastAsia="Aptos" w:cs="Aptos" w:asciiTheme="minorAscii" w:hAnsiTheme="minorAscii" w:eastAsiaTheme="minorAscii" w:cstheme="minorAscii"/>
        </w:rPr>
      </w:pPr>
    </w:p>
    <w:p w:rsidR="663E31BD" w:rsidP="663E31BD" w:rsidRDefault="663E31BD" w14:paraId="705749AD" w14:textId="2D7E706E">
      <w:pPr>
        <w:pStyle w:val="Normal"/>
        <w:rPr>
          <w:rFonts w:ascii="Aptos" w:hAnsi="Aptos" w:eastAsia="Aptos" w:cs="Aptos" w:asciiTheme="minorAscii" w:hAnsiTheme="minorAscii" w:eastAsiaTheme="minorAscii" w:cstheme="minorAscii"/>
        </w:rPr>
      </w:pPr>
    </w:p>
    <w:p w:rsidR="663E31BD" w:rsidP="663E31BD" w:rsidRDefault="663E31BD" w14:paraId="5F9BD1D0" w14:textId="347636B4">
      <w:pPr>
        <w:pStyle w:val="Normal"/>
        <w:rPr>
          <w:rFonts w:ascii="Aptos" w:hAnsi="Aptos" w:eastAsia="Aptos" w:cs="Aptos" w:asciiTheme="minorAscii" w:hAnsiTheme="minorAscii" w:eastAsiaTheme="minorAscii" w:cstheme="minorAscii"/>
        </w:rPr>
      </w:pPr>
    </w:p>
    <w:p w:rsidR="663E31BD" w:rsidP="663E31BD" w:rsidRDefault="663E31BD" w14:paraId="1E6749CE" w14:textId="7023095A">
      <w:pPr>
        <w:pStyle w:val="Normal"/>
        <w:rPr>
          <w:rFonts w:ascii="Aptos" w:hAnsi="Aptos" w:eastAsia="Aptos" w:cs="Aptos" w:asciiTheme="minorAscii" w:hAnsiTheme="minorAscii" w:eastAsiaTheme="minorAscii" w:cstheme="minorAscii"/>
        </w:rPr>
      </w:pPr>
    </w:p>
    <w:p w:rsidR="663E31BD" w:rsidP="663E31BD" w:rsidRDefault="663E31BD" w14:paraId="248D6089" w14:textId="69C43711">
      <w:pPr>
        <w:pStyle w:val="Normal"/>
        <w:rPr>
          <w:rFonts w:ascii="Aptos" w:hAnsi="Aptos" w:eastAsia="Aptos" w:cs="Aptos" w:asciiTheme="minorAscii" w:hAnsiTheme="minorAscii" w:eastAsiaTheme="minorAscii" w:cstheme="minorAscii"/>
        </w:rPr>
      </w:pPr>
    </w:p>
    <w:p w:rsidR="663E31BD" w:rsidP="663E31BD" w:rsidRDefault="663E31BD" w14:paraId="46309259" w14:textId="652CC20A">
      <w:pPr>
        <w:pStyle w:val="Normal"/>
        <w:rPr>
          <w:rFonts w:ascii="Aptos" w:hAnsi="Aptos" w:eastAsia="Aptos" w:cs="Aptos" w:asciiTheme="minorAscii" w:hAnsiTheme="minorAscii" w:eastAsiaTheme="minorAscii" w:cstheme="minorAscii"/>
        </w:rPr>
      </w:pPr>
    </w:p>
    <w:p w:rsidR="663E31BD" w:rsidP="663E31BD" w:rsidRDefault="663E31BD" w14:paraId="0CA151E4" w14:textId="611C4F13">
      <w:pPr>
        <w:pStyle w:val="Normal"/>
        <w:rPr>
          <w:rFonts w:ascii="Aptos" w:hAnsi="Aptos" w:eastAsia="Aptos" w:cs="Aptos" w:asciiTheme="minorAscii" w:hAnsiTheme="minorAscii" w:eastAsiaTheme="minorAscii" w:cstheme="minorAscii"/>
        </w:rPr>
      </w:pPr>
    </w:p>
    <w:p w:rsidR="663E31BD" w:rsidP="663E31BD" w:rsidRDefault="663E31BD" w14:paraId="50F2D0ED" w14:textId="4B99CB69">
      <w:pPr>
        <w:pStyle w:val="Normal"/>
        <w:rPr>
          <w:rFonts w:ascii="Aptos" w:hAnsi="Aptos" w:eastAsia="Aptos" w:cs="Aptos" w:asciiTheme="minorAscii" w:hAnsiTheme="minorAscii" w:eastAsiaTheme="minorAscii" w:cstheme="minorAscii"/>
        </w:rPr>
      </w:pPr>
    </w:p>
    <w:p w:rsidR="663E31BD" w:rsidP="663E31BD" w:rsidRDefault="663E31BD" w14:paraId="72F70784" w14:textId="20BC920A">
      <w:pPr>
        <w:pStyle w:val="Normal"/>
        <w:rPr>
          <w:rFonts w:ascii="Aptos" w:hAnsi="Aptos" w:eastAsia="Aptos" w:cs="Aptos" w:asciiTheme="minorAscii" w:hAnsiTheme="minorAscii" w:eastAsiaTheme="minorAscii" w:cstheme="minorAscii"/>
        </w:rPr>
      </w:pPr>
    </w:p>
    <w:p w:rsidR="663E31BD" w:rsidP="663E31BD" w:rsidRDefault="663E31BD" w14:paraId="6FEFD137" w14:textId="3CF8CB56">
      <w:pPr>
        <w:pStyle w:val="Normal"/>
        <w:rPr>
          <w:rFonts w:ascii="Aptos" w:hAnsi="Aptos" w:eastAsia="Aptos" w:cs="Aptos" w:asciiTheme="minorAscii" w:hAnsiTheme="minorAscii" w:eastAsiaTheme="minorAscii" w:cstheme="minorAscii"/>
        </w:rPr>
      </w:pPr>
    </w:p>
    <w:p w:rsidR="663E31BD" w:rsidP="663E31BD" w:rsidRDefault="663E31BD" w14:paraId="3FA641C6" w14:textId="74AAC285">
      <w:pPr>
        <w:pStyle w:val="Normal"/>
        <w:rPr>
          <w:rFonts w:ascii="Aptos" w:hAnsi="Aptos" w:eastAsia="Aptos" w:cs="Aptos" w:asciiTheme="minorAscii" w:hAnsiTheme="minorAscii" w:eastAsiaTheme="minorAscii" w:cstheme="minorAscii"/>
        </w:rPr>
      </w:pPr>
    </w:p>
    <w:p w:rsidR="663E31BD" w:rsidP="663E31BD" w:rsidRDefault="663E31BD" w14:paraId="5D83F70A" w14:textId="00DA57C5">
      <w:pPr>
        <w:pStyle w:val="Normal"/>
        <w:rPr>
          <w:rFonts w:ascii="Aptos" w:hAnsi="Aptos" w:eastAsia="Aptos" w:cs="Aptos" w:asciiTheme="minorAscii" w:hAnsiTheme="minorAscii" w:eastAsiaTheme="minorAscii" w:cstheme="minorAscii"/>
        </w:rPr>
      </w:pPr>
    </w:p>
    <w:p w:rsidR="663E31BD" w:rsidP="663E31BD" w:rsidRDefault="663E31BD" w14:paraId="288FB017" w14:textId="0830A2C3">
      <w:pPr>
        <w:pStyle w:val="Normal"/>
        <w:rPr>
          <w:rFonts w:ascii="Aptos" w:hAnsi="Aptos" w:eastAsia="Aptos" w:cs="Aptos" w:asciiTheme="minorAscii" w:hAnsiTheme="minorAscii" w:eastAsiaTheme="minorAscii" w:cstheme="minorAscii"/>
        </w:rPr>
      </w:pPr>
    </w:p>
    <w:p w:rsidR="663E31BD" w:rsidP="663E31BD" w:rsidRDefault="663E31BD" w14:paraId="2799BE2A" w14:textId="5FBF677A">
      <w:pPr>
        <w:pStyle w:val="Normal"/>
        <w:rPr>
          <w:rFonts w:ascii="Aptos" w:hAnsi="Aptos" w:eastAsia="Aptos" w:cs="Aptos" w:asciiTheme="minorAscii" w:hAnsiTheme="minorAscii" w:eastAsiaTheme="minorAscii" w:cstheme="minorAscii"/>
        </w:rPr>
      </w:pPr>
    </w:p>
    <w:p w:rsidR="663E31BD" w:rsidP="663E31BD" w:rsidRDefault="663E31BD" w14:paraId="526D18D8" w14:textId="36FF3C9D">
      <w:pPr>
        <w:pStyle w:val="Normal"/>
        <w:rPr>
          <w:rFonts w:ascii="Aptos" w:hAnsi="Aptos" w:eastAsia="Aptos" w:cs="Aptos" w:asciiTheme="minorAscii" w:hAnsiTheme="minorAscii" w:eastAsiaTheme="minorAscii" w:cstheme="minorAscii"/>
        </w:rPr>
      </w:pPr>
    </w:p>
    <w:p w:rsidR="4E2006BE" w:rsidP="663E31BD" w:rsidRDefault="4E2006BE" w14:paraId="13D95562" w14:textId="0A433DF6">
      <w:pPr>
        <w:pStyle w:val="Normal"/>
        <w:rPr>
          <w:rFonts w:ascii="Aptos" w:hAnsi="Aptos" w:eastAsia="Aptos" w:cs="Aptos" w:asciiTheme="minorAscii" w:hAnsiTheme="minorAscii" w:eastAsiaTheme="minorAscii" w:cstheme="minorAscii"/>
          <w:b w:val="1"/>
          <w:bCs w:val="1"/>
          <w:sz w:val="30"/>
          <w:szCs w:val="30"/>
        </w:rPr>
      </w:pPr>
      <w:r w:rsidRPr="663E31BD" w:rsidR="4E2006BE">
        <w:rPr>
          <w:rFonts w:ascii="Aptos" w:hAnsi="Aptos" w:eastAsia="Aptos" w:cs="Aptos" w:asciiTheme="minorAscii" w:hAnsiTheme="minorAscii" w:eastAsiaTheme="minorAscii" w:cstheme="minorAscii"/>
          <w:b w:val="1"/>
          <w:bCs w:val="1"/>
          <w:sz w:val="30"/>
          <w:szCs w:val="30"/>
        </w:rPr>
        <w:t>Blood glucose regulation</w:t>
      </w:r>
    </w:p>
    <w:p w:rsidR="663E31BD" w:rsidP="663E31BD" w:rsidRDefault="663E31BD" w14:paraId="01C312F3" w14:textId="359D04EA">
      <w:pPr>
        <w:pStyle w:val="Normal"/>
        <w:rPr>
          <w:rFonts w:ascii="Aptos" w:hAnsi="Aptos" w:eastAsia="Aptos" w:cs="Aptos" w:asciiTheme="minorAscii" w:hAnsiTheme="minorAscii" w:eastAsiaTheme="minorAscii" w:cstheme="minorAscii"/>
          <w:b w:val="1"/>
          <w:bCs w:val="1"/>
          <w:sz w:val="30"/>
          <w:szCs w:val="30"/>
        </w:rPr>
      </w:pPr>
    </w:p>
    <w:p w:rsidR="3A9E69E3" w:rsidP="663E31BD" w:rsidRDefault="3A9E69E3" w14:paraId="066279D5" w14:textId="0B0F9B78">
      <w:pPr>
        <w:spacing w:before="240" w:beforeAutospacing="off" w:after="240" w:afterAutospacing="off"/>
      </w:pPr>
      <w:r w:rsidRPr="663E31BD" w:rsidR="3A9E69E3">
        <w:rPr>
          <w:rFonts w:ascii="Aptos" w:hAnsi="Aptos" w:eastAsia="Aptos" w:cs="Aptos"/>
          <w:noProof w:val="0"/>
          <w:sz w:val="24"/>
          <w:szCs w:val="24"/>
          <w:lang w:val="en-GB"/>
        </w:rPr>
        <w:t xml:space="preserve">Blood glucose indicates the concentration of glucose found in the bloodstream and serves and acts as the main energy source for the body, particularly for the brain. Homeostasis is significant, particularly regarding the regulation of blood sugar levels, ensuring a steady energy supply for cells within the body. The body needs to employ glucose; it must make use of the glucose that is produced from the decomposition of carbohydrates, which then enters the bloodstream after consumption. Blood sugar must remain within a narrow range, at both extremely low and high levels, which may cause harm to the body. Insulin is released by the pancreas’s beta cells when blood glucose levels rise after eating (Human, 2019). </w:t>
      </w:r>
    </w:p>
    <w:p w:rsidR="3A9E69E3" w:rsidP="663E31BD" w:rsidRDefault="3A9E69E3" w14:paraId="473D6A18" w14:textId="45C5AE23">
      <w:pPr>
        <w:spacing w:before="240" w:beforeAutospacing="off" w:after="240" w:afterAutospacing="off"/>
      </w:pPr>
      <w:r w:rsidRPr="663E31BD" w:rsidR="3A9E69E3">
        <w:rPr>
          <w:rFonts w:ascii="Aptos" w:hAnsi="Aptos" w:eastAsia="Aptos" w:cs="Aptos"/>
          <w:noProof w:val="0"/>
          <w:sz w:val="24"/>
          <w:szCs w:val="24"/>
          <w:lang w:val="en-GB"/>
        </w:rPr>
        <w:t xml:space="preserve">The pancreas is important for when it comes to regulating blood glucose levels through the secretion of hormones, which is notably insulin and after consuming a meal and which causes the blood glucose levels to rise. When carbohydrates to broken down into glucose and in response to the pancreas's beta cells release insulin into the bloodstream into the body cells where it serves as a quick source of energy. It additionally encourages the retention and transformation of excess glucose into glycogen in the liver and muscles. This process assists in the storage of the over amount of reducing blood sugar levels post-meals and also sustaining homeostasis (Cleveland Clinic, 2024). </w:t>
      </w:r>
    </w:p>
    <w:p w:rsidR="3A9E69E3" w:rsidP="663E31BD" w:rsidRDefault="3A9E69E3" w14:paraId="0E71C117" w14:textId="5C64E941">
      <w:pPr>
        <w:spacing w:before="240" w:beforeAutospacing="off" w:after="240" w:afterAutospacing="off"/>
      </w:pPr>
      <w:r w:rsidRPr="663E31BD" w:rsidR="3A9E69E3">
        <w:rPr>
          <w:rFonts w:ascii="Aptos" w:hAnsi="Aptos" w:eastAsia="Aptos" w:cs="Aptos"/>
          <w:noProof w:val="0"/>
          <w:sz w:val="24"/>
          <w:szCs w:val="24"/>
          <w:lang w:val="en-GB"/>
        </w:rPr>
        <w:t xml:space="preserve">When blood sugar levels decrease, like during fasting or in between meals, the alpha cells of the pancreas release glucagon, And Glucagon stimulates the liver to break down converted glycogen into glucose that is later discharged into the bloodstream. This process stops low blood sugar levels and ensures that vital organs, especially the brain, consistently acquire an adequate supply of glucose to receive and maintain proper metabolic function. </w:t>
      </w:r>
    </w:p>
    <w:p w:rsidR="3A9E69E3" w:rsidP="663E31BD" w:rsidRDefault="3A9E69E3" w14:paraId="00D82DA5" w14:textId="0834CC9D">
      <w:pPr>
        <w:spacing w:before="240" w:beforeAutospacing="off" w:after="240" w:afterAutospacing="off"/>
      </w:pPr>
      <w:r w:rsidRPr="663E31BD" w:rsidR="3A9E69E3">
        <w:rPr>
          <w:rFonts w:ascii="Aptos" w:hAnsi="Aptos" w:eastAsia="Aptos" w:cs="Aptos"/>
          <w:noProof w:val="0"/>
          <w:sz w:val="24"/>
          <w:szCs w:val="24"/>
          <w:lang w:val="en-GB"/>
        </w:rPr>
        <w:t>In people with Type 2 diabetes, this regulatory mechanism is disrupted because of insulin resistance; the pancreas might also become less capable of generating insulin. Body cells do not react properly to insulin. Body cells do not respond adequately to insulin, causing glucose levels to rise as glucose remains in the bloodstream rather than entering the cells. This underscores the importance of early intervention and effective administration in primary care settings, and in order to maximise long-term health results, effective management also calls for coordinated multidisciplinary support, frequent monitoring, and patient education.</w:t>
      </w:r>
    </w:p>
    <w:p w:rsidR="663E31BD" w:rsidP="663E31BD" w:rsidRDefault="663E31BD" w14:paraId="7EC4A5DF" w14:textId="581C9C19">
      <w:pPr>
        <w:pStyle w:val="Normal"/>
        <w:rPr>
          <w:rFonts w:ascii="Aptos" w:hAnsi="Aptos" w:eastAsia="Aptos" w:cs="Aptos" w:asciiTheme="minorAscii" w:hAnsiTheme="minorAscii" w:eastAsiaTheme="minorAscii" w:cstheme="minorAscii"/>
        </w:rPr>
      </w:pPr>
    </w:p>
    <w:p w:rsidR="663E31BD" w:rsidP="663E31BD" w:rsidRDefault="663E31BD" w14:paraId="2AB78C26" w14:textId="69BF695E">
      <w:pPr>
        <w:pStyle w:val="Normal"/>
        <w:rPr>
          <w:rFonts w:ascii="Aptos" w:hAnsi="Aptos" w:eastAsia="Aptos" w:cs="Aptos" w:asciiTheme="minorAscii" w:hAnsiTheme="minorAscii" w:eastAsiaTheme="minorAscii" w:cstheme="minorAscii"/>
        </w:rPr>
      </w:pPr>
    </w:p>
    <w:p w:rsidR="663E31BD" w:rsidP="663E31BD" w:rsidRDefault="663E31BD" w14:paraId="6133F4B8" w14:textId="5C925E80">
      <w:pPr>
        <w:pStyle w:val="Normal"/>
        <w:rPr>
          <w:rFonts w:ascii="Aptos" w:hAnsi="Aptos" w:eastAsia="Aptos" w:cs="Aptos" w:asciiTheme="minorAscii" w:hAnsiTheme="minorAscii" w:eastAsiaTheme="minorAscii" w:cstheme="minorAscii"/>
        </w:rPr>
      </w:pPr>
    </w:p>
    <w:p w:rsidR="663E31BD" w:rsidP="663E31BD" w:rsidRDefault="663E31BD" w14:paraId="5F3A40CA" w14:textId="5F60AA52">
      <w:pPr>
        <w:pStyle w:val="Normal"/>
        <w:rPr>
          <w:rFonts w:ascii="Aptos" w:hAnsi="Aptos" w:eastAsia="Aptos" w:cs="Aptos" w:asciiTheme="minorAscii" w:hAnsiTheme="minorAscii" w:eastAsiaTheme="minorAscii" w:cstheme="minorAscii"/>
        </w:rPr>
      </w:pPr>
    </w:p>
    <w:p w:rsidR="663E31BD" w:rsidP="663E31BD" w:rsidRDefault="663E31BD" w14:paraId="48B8A38D" w14:textId="7FB93C04">
      <w:pPr>
        <w:pStyle w:val="Normal"/>
        <w:rPr>
          <w:rFonts w:ascii="Aptos" w:hAnsi="Aptos" w:eastAsia="Aptos" w:cs="Aptos" w:asciiTheme="minorAscii" w:hAnsiTheme="minorAscii" w:eastAsiaTheme="minorAscii" w:cstheme="minorAscii"/>
        </w:rPr>
      </w:pPr>
    </w:p>
    <w:p w:rsidR="263D1F43" w:rsidP="663E31BD" w:rsidRDefault="263D1F43" w14:paraId="6360E3A3" w14:textId="4750206B">
      <w:pPr>
        <w:pStyle w:val="Normal"/>
        <w:rPr>
          <w:rFonts w:ascii="Aptos" w:hAnsi="Aptos" w:eastAsia="Aptos" w:cs="Aptos" w:asciiTheme="minorAscii" w:hAnsiTheme="minorAscii" w:eastAsiaTheme="minorAscii" w:cstheme="minorAscii"/>
          <w:b w:val="1"/>
          <w:bCs w:val="1"/>
          <w:sz w:val="30"/>
          <w:szCs w:val="30"/>
        </w:rPr>
      </w:pPr>
      <w:r w:rsidRPr="663E31BD" w:rsidR="263D1F43">
        <w:rPr>
          <w:rFonts w:ascii="Aptos" w:hAnsi="Aptos" w:eastAsia="Aptos" w:cs="Aptos" w:asciiTheme="minorAscii" w:hAnsiTheme="minorAscii" w:eastAsiaTheme="minorAscii" w:cstheme="minorAscii"/>
          <w:b w:val="1"/>
          <w:bCs w:val="1"/>
          <w:sz w:val="30"/>
          <w:szCs w:val="30"/>
        </w:rPr>
        <w:t>Cell Metabolism: The Use of Oxygen and Glucose</w:t>
      </w:r>
    </w:p>
    <w:p w:rsidR="263D1F43" w:rsidP="663E31BD" w:rsidRDefault="263D1F43" w14:paraId="4ECF8F63" w14:textId="7A50F509">
      <w:pPr>
        <w:pStyle w:val="Normal"/>
        <w:rPr>
          <w:rFonts w:ascii="Aptos" w:hAnsi="Aptos" w:eastAsia="Aptos" w:cs="Aptos" w:asciiTheme="minorAscii" w:hAnsiTheme="minorAscii" w:eastAsiaTheme="minorAscii" w:cstheme="minorAscii"/>
        </w:rPr>
      </w:pPr>
      <w:r w:rsidRPr="663E31BD" w:rsidR="263D1F43">
        <w:rPr>
          <w:rFonts w:ascii="Aptos" w:hAnsi="Aptos" w:eastAsia="Aptos" w:cs="Aptos" w:asciiTheme="minorAscii" w:hAnsiTheme="minorAscii" w:eastAsiaTheme="minorAscii" w:cstheme="minorAscii"/>
        </w:rPr>
        <w:t xml:space="preserve"> </w:t>
      </w:r>
    </w:p>
    <w:p w:rsidR="263D1F43" w:rsidP="663E31BD" w:rsidRDefault="263D1F43" w14:paraId="6383031B" w14:textId="47F021FE">
      <w:pPr>
        <w:pStyle w:val="Normal"/>
        <w:rPr>
          <w:rFonts w:ascii="Aptos" w:hAnsi="Aptos" w:eastAsia="Aptos" w:cs="Aptos" w:asciiTheme="minorAscii" w:hAnsiTheme="minorAscii" w:eastAsiaTheme="minorAscii" w:cstheme="minorAscii"/>
        </w:rPr>
      </w:pPr>
      <w:r w:rsidRPr="663E31BD" w:rsidR="263D1F43">
        <w:rPr>
          <w:rFonts w:ascii="Aptos" w:hAnsi="Aptos" w:eastAsia="Aptos" w:cs="Aptos" w:asciiTheme="minorAscii" w:hAnsiTheme="minorAscii" w:eastAsiaTheme="minorAscii" w:cstheme="minorAscii"/>
        </w:rPr>
        <w:t xml:space="preserve">Cells need energy to function and this energy is generated through the process of cellular respiration and cellular respiration and it breaks down glucose in the presence of oxygen to produce to make ATP, which stands for adenosine triphosphate, that serves as the main energy currency of the body and it is also crucial for functions such as muscle contraction, nerve signalling, and cellular repair. Furthermore, the continuous supply of energy allows cells to </w:t>
      </w:r>
      <w:r w:rsidRPr="663E31BD" w:rsidR="263D1F43">
        <w:rPr>
          <w:rFonts w:ascii="Aptos" w:hAnsi="Aptos" w:eastAsia="Aptos" w:cs="Aptos" w:asciiTheme="minorAscii" w:hAnsiTheme="minorAscii" w:eastAsiaTheme="minorAscii" w:cstheme="minorAscii"/>
        </w:rPr>
        <w:t>maintain</w:t>
      </w:r>
      <w:r w:rsidRPr="663E31BD" w:rsidR="263D1F43">
        <w:rPr>
          <w:rFonts w:ascii="Aptos" w:hAnsi="Aptos" w:eastAsia="Aptos" w:cs="Aptos" w:asciiTheme="minorAscii" w:hAnsiTheme="minorAscii" w:eastAsiaTheme="minorAscii" w:cstheme="minorAscii"/>
        </w:rPr>
        <w:t xml:space="preserve"> normal activity and to also support the functioning of organs and tissues throughout the </w:t>
      </w:r>
      <w:r w:rsidRPr="663E31BD" w:rsidR="263D1F43">
        <w:rPr>
          <w:rFonts w:ascii="Aptos" w:hAnsi="Aptos" w:eastAsia="Aptos" w:cs="Aptos" w:asciiTheme="minorAscii" w:hAnsiTheme="minorAscii" w:eastAsiaTheme="minorAscii" w:cstheme="minorAscii"/>
        </w:rPr>
        <w:t>body and</w:t>
      </w:r>
      <w:r w:rsidRPr="663E31BD" w:rsidR="263D1F43">
        <w:rPr>
          <w:rFonts w:ascii="Aptos" w:hAnsi="Aptos" w:eastAsia="Aptos" w:cs="Aptos" w:asciiTheme="minorAscii" w:hAnsiTheme="minorAscii" w:eastAsiaTheme="minorAscii" w:cstheme="minorAscii"/>
        </w:rPr>
        <w:t xml:space="preserve"> emphasizes the significance of effective energy generation (Britannica, 2022).</w:t>
      </w:r>
    </w:p>
    <w:p w:rsidR="263D1F43" w:rsidP="663E31BD" w:rsidRDefault="263D1F43" w14:paraId="32C00B77" w14:textId="6CEAB151">
      <w:pPr>
        <w:pStyle w:val="Normal"/>
        <w:rPr>
          <w:rFonts w:ascii="Aptos" w:hAnsi="Aptos" w:eastAsia="Aptos" w:cs="Aptos" w:asciiTheme="minorAscii" w:hAnsiTheme="minorAscii" w:eastAsiaTheme="minorAscii" w:cstheme="minorAscii"/>
        </w:rPr>
      </w:pPr>
      <w:r w:rsidRPr="663E31BD" w:rsidR="263D1F43">
        <w:rPr>
          <w:rFonts w:ascii="Aptos" w:hAnsi="Aptos" w:eastAsia="Aptos" w:cs="Aptos" w:asciiTheme="minorAscii" w:hAnsiTheme="minorAscii" w:eastAsiaTheme="minorAscii" w:cstheme="minorAscii"/>
        </w:rPr>
        <w:t xml:space="preserve"> </w:t>
      </w:r>
      <w:r w:rsidRPr="663E31BD" w:rsidR="263D1F43">
        <w:rPr>
          <w:rFonts w:ascii="Aptos" w:hAnsi="Aptos" w:eastAsia="Aptos" w:cs="Aptos" w:asciiTheme="minorAscii" w:hAnsiTheme="minorAscii" w:eastAsiaTheme="minorAscii" w:cstheme="minorAscii"/>
        </w:rPr>
        <w:t xml:space="preserve">Aerobic respiration is the primary process by which cells generate energy, which requires oxygen's presence, and in the mitochondria, this process occurs, and the cell’s energy-producing organelles. Oxygen is especially important for aerobic respiration it enables the complete breakdown of glucose, generating a significant quantity of energy to help in ATP formation. Oxygen is </w:t>
      </w:r>
      <w:r w:rsidRPr="663E31BD" w:rsidR="263D1F43">
        <w:rPr>
          <w:rFonts w:ascii="Aptos" w:hAnsi="Aptos" w:eastAsia="Aptos" w:cs="Aptos" w:asciiTheme="minorAscii" w:hAnsiTheme="minorAscii" w:eastAsiaTheme="minorAscii" w:cstheme="minorAscii"/>
        </w:rPr>
        <w:t>utilized</w:t>
      </w:r>
      <w:r w:rsidRPr="663E31BD" w:rsidR="263D1F43">
        <w:rPr>
          <w:rFonts w:ascii="Aptos" w:hAnsi="Aptos" w:eastAsia="Aptos" w:cs="Aptos" w:asciiTheme="minorAscii" w:hAnsiTheme="minorAscii" w:eastAsiaTheme="minorAscii" w:cstheme="minorAscii"/>
        </w:rPr>
        <w:t xml:space="preserve"> in the mitochondria during the final stages of energy production to </w:t>
      </w:r>
      <w:r w:rsidRPr="663E31BD" w:rsidR="263D1F43">
        <w:rPr>
          <w:rFonts w:ascii="Aptos" w:hAnsi="Aptos" w:eastAsia="Aptos" w:cs="Aptos" w:asciiTheme="minorAscii" w:hAnsiTheme="minorAscii" w:eastAsiaTheme="minorAscii" w:cstheme="minorAscii"/>
        </w:rPr>
        <w:t>facilitate</w:t>
      </w:r>
      <w:r w:rsidRPr="663E31BD" w:rsidR="263D1F43">
        <w:rPr>
          <w:rFonts w:ascii="Aptos" w:hAnsi="Aptos" w:eastAsia="Aptos" w:cs="Aptos" w:asciiTheme="minorAscii" w:hAnsiTheme="minorAscii" w:eastAsiaTheme="minorAscii" w:cstheme="minorAscii"/>
        </w:rPr>
        <w:t xml:space="preserve"> ATP synthesis. When there is not enough oxygen, cells cannot generate adequate ATP resulting in diminished energy supply and compromised cellular function resulting in reduced energy availability and impaired cellular function.</w:t>
      </w:r>
    </w:p>
    <w:p w:rsidR="263D1F43" w:rsidP="663E31BD" w:rsidRDefault="263D1F43" w14:paraId="7E0E6B5B" w14:textId="33BCA7B7">
      <w:pPr>
        <w:pStyle w:val="Normal"/>
        <w:rPr>
          <w:rFonts w:ascii="Aptos" w:hAnsi="Aptos" w:eastAsia="Aptos" w:cs="Aptos" w:asciiTheme="minorAscii" w:hAnsiTheme="minorAscii" w:eastAsiaTheme="minorAscii" w:cstheme="minorAscii"/>
        </w:rPr>
      </w:pPr>
      <w:r w:rsidRPr="663E31BD" w:rsidR="263D1F43">
        <w:rPr>
          <w:rFonts w:ascii="Aptos" w:hAnsi="Aptos" w:eastAsia="Aptos" w:cs="Aptos" w:asciiTheme="minorAscii" w:hAnsiTheme="minorAscii" w:eastAsiaTheme="minorAscii" w:cstheme="minorAscii"/>
        </w:rPr>
        <w:t xml:space="preserve"> </w:t>
      </w:r>
      <w:r w:rsidRPr="663E31BD" w:rsidR="263D1F43">
        <w:rPr>
          <w:rFonts w:ascii="Aptos" w:hAnsi="Aptos" w:eastAsia="Aptos" w:cs="Aptos" w:asciiTheme="minorAscii" w:hAnsiTheme="minorAscii" w:eastAsiaTheme="minorAscii" w:cstheme="minorAscii"/>
        </w:rPr>
        <w:t xml:space="preserve">Glucose plays a central role in cellular metabolism, as it provides the main fuel required for energy production within body cells and Glucose serves as the main energy source for cellular respiration and is important for sustaining regular cellular functions and Initially, it undergoes glycolysis in the cytoplasm it resulting in a small quantity of ATP. The glycolysis products then enter the mitochondria, </w:t>
      </w:r>
      <w:r w:rsidRPr="663E31BD" w:rsidR="263D1F43">
        <w:rPr>
          <w:rFonts w:ascii="Aptos" w:hAnsi="Aptos" w:eastAsia="Aptos" w:cs="Aptos" w:asciiTheme="minorAscii" w:hAnsiTheme="minorAscii" w:eastAsiaTheme="minorAscii" w:cstheme="minorAscii"/>
        </w:rPr>
        <w:t>whereas</w:t>
      </w:r>
      <w:r w:rsidRPr="663E31BD" w:rsidR="263D1F43">
        <w:rPr>
          <w:rFonts w:ascii="Aptos" w:hAnsi="Aptos" w:eastAsia="Aptos" w:cs="Aptos" w:asciiTheme="minorAscii" w:hAnsiTheme="minorAscii" w:eastAsiaTheme="minorAscii" w:cstheme="minorAscii"/>
        </w:rPr>
        <w:t xml:space="preserve"> Krebs cycle occurs, producing extra molecules that are high in energy. Later, these molecules later </w:t>
      </w:r>
      <w:r w:rsidRPr="663E31BD" w:rsidR="263D1F43">
        <w:rPr>
          <w:rFonts w:ascii="Aptos" w:hAnsi="Aptos" w:eastAsia="Aptos" w:cs="Aptos" w:asciiTheme="minorAscii" w:hAnsiTheme="minorAscii" w:eastAsiaTheme="minorAscii" w:cstheme="minorAscii"/>
        </w:rPr>
        <w:t>utilized</w:t>
      </w:r>
      <w:r w:rsidRPr="663E31BD" w:rsidR="263D1F43">
        <w:rPr>
          <w:rFonts w:ascii="Aptos" w:hAnsi="Aptos" w:eastAsia="Aptos" w:cs="Aptos" w:asciiTheme="minorAscii" w:hAnsiTheme="minorAscii" w:eastAsiaTheme="minorAscii" w:cstheme="minorAscii"/>
        </w:rPr>
        <w:t xml:space="preserve"> in the electron transport chain to make a greater amount of ATP. (</w:t>
      </w:r>
      <w:bookmarkStart w:name="_Int_TM7cVFg3" w:id="43642573"/>
      <w:r w:rsidRPr="663E31BD" w:rsidR="263D1F43">
        <w:rPr>
          <w:rFonts w:ascii="Aptos" w:hAnsi="Aptos" w:eastAsia="Aptos" w:cs="Aptos" w:asciiTheme="minorAscii" w:hAnsiTheme="minorAscii" w:eastAsiaTheme="minorAscii" w:cstheme="minorAscii"/>
        </w:rPr>
        <w:t>Nakrani</w:t>
      </w:r>
      <w:bookmarkEnd w:id="43642573"/>
      <w:r w:rsidRPr="663E31BD" w:rsidR="263D1F43">
        <w:rPr>
          <w:rFonts w:ascii="Aptos" w:hAnsi="Aptos" w:eastAsia="Aptos" w:cs="Aptos" w:asciiTheme="minorAscii" w:hAnsiTheme="minorAscii" w:eastAsiaTheme="minorAscii" w:cstheme="minorAscii"/>
        </w:rPr>
        <w:t>, Wineland and Anjum, 2023).</w:t>
      </w:r>
    </w:p>
    <w:p w:rsidR="263D1F43" w:rsidP="663E31BD" w:rsidRDefault="263D1F43" w14:paraId="1F252E19" w14:textId="671C0EC0">
      <w:pPr>
        <w:pStyle w:val="Normal"/>
        <w:rPr>
          <w:rFonts w:ascii="Aptos" w:hAnsi="Aptos" w:eastAsia="Aptos" w:cs="Aptos" w:asciiTheme="minorAscii" w:hAnsiTheme="minorAscii" w:eastAsiaTheme="minorAscii" w:cstheme="minorAscii"/>
        </w:rPr>
      </w:pPr>
      <w:r w:rsidRPr="663E31BD" w:rsidR="263D1F43">
        <w:rPr>
          <w:rFonts w:ascii="Aptos" w:hAnsi="Aptos" w:eastAsia="Aptos" w:cs="Aptos" w:asciiTheme="minorAscii" w:hAnsiTheme="minorAscii" w:eastAsiaTheme="minorAscii" w:cstheme="minorAscii"/>
        </w:rPr>
        <w:t xml:space="preserve">In poorly managed diabetes, the excess glucose stays in the bloodstream instead of being absorbed by cells. This not only lowers the energy he energy availability of energy at the cellular level but then it also damages the blood vessels and tissues this resulting in issues like cardiovascular disease. Organs and tissues grow more susceptible to ongoing harm, which makes the probability of ongoing issues and reduced quality of life, and this highlights the importance of continuous monitoring, prompt interventions. Eventually, this results in problems such as heart conditions, nerve injuries, and delayed healing of wounds highlighting the significance of proper blood glucose </w:t>
      </w:r>
      <w:r w:rsidRPr="663E31BD" w:rsidR="263D1F43">
        <w:rPr>
          <w:rFonts w:ascii="Aptos" w:hAnsi="Aptos" w:eastAsia="Aptos" w:cs="Aptos" w:asciiTheme="minorAscii" w:hAnsiTheme="minorAscii" w:eastAsiaTheme="minorAscii" w:cstheme="minorAscii"/>
        </w:rPr>
        <w:t>regulation. Chronic hyperglycaemia also elevates oxidative stress and inflammation, which additionally disrupts normal cellular function.</w:t>
      </w:r>
    </w:p>
    <w:p w:rsidR="663E31BD" w:rsidP="663E31BD" w:rsidRDefault="663E31BD" w14:paraId="5F6DCC8B" w14:textId="09556103">
      <w:pPr>
        <w:pStyle w:val="Normal"/>
        <w:rPr>
          <w:rFonts w:ascii="Aptos" w:hAnsi="Aptos" w:eastAsia="Aptos" w:cs="Aptos" w:asciiTheme="minorAscii" w:hAnsiTheme="minorAscii" w:eastAsiaTheme="minorAscii" w:cstheme="minorAscii"/>
        </w:rPr>
      </w:pPr>
    </w:p>
    <w:p w:rsidR="663E31BD" w:rsidP="663E31BD" w:rsidRDefault="663E31BD" w14:paraId="56EFB821" w14:textId="5A4CC217">
      <w:pPr>
        <w:pStyle w:val="Normal"/>
        <w:rPr>
          <w:rFonts w:ascii="Aptos" w:hAnsi="Aptos" w:eastAsia="Aptos" w:cs="Aptos" w:asciiTheme="minorAscii" w:hAnsiTheme="minorAscii" w:eastAsiaTheme="minorAscii" w:cstheme="minorAscii"/>
        </w:rPr>
      </w:pPr>
    </w:p>
    <w:p w:rsidR="663E31BD" w:rsidP="663E31BD" w:rsidRDefault="663E31BD" w14:paraId="2A0229F1" w14:textId="7F1D9B2A">
      <w:pPr>
        <w:pStyle w:val="Normal"/>
        <w:rPr>
          <w:rFonts w:ascii="Aptos" w:hAnsi="Aptos" w:eastAsia="Aptos" w:cs="Aptos" w:asciiTheme="minorAscii" w:hAnsiTheme="minorAscii" w:eastAsiaTheme="minorAscii" w:cstheme="minorAscii"/>
        </w:rPr>
      </w:pPr>
    </w:p>
    <w:p w:rsidR="663E31BD" w:rsidP="663E31BD" w:rsidRDefault="663E31BD" w14:paraId="0B7EDB03" w14:textId="1E33AB3C">
      <w:pPr>
        <w:pStyle w:val="Normal"/>
        <w:rPr>
          <w:rFonts w:ascii="Aptos" w:hAnsi="Aptos" w:eastAsia="Aptos" w:cs="Aptos" w:asciiTheme="minorAscii" w:hAnsiTheme="minorAscii" w:eastAsiaTheme="minorAscii" w:cstheme="minorAscii"/>
        </w:rPr>
      </w:pPr>
    </w:p>
    <w:p w:rsidR="663E31BD" w:rsidP="663E31BD" w:rsidRDefault="663E31BD" w14:paraId="62B633E1" w14:textId="0FD1D9F9">
      <w:pPr>
        <w:pStyle w:val="Normal"/>
        <w:rPr>
          <w:rFonts w:ascii="Aptos" w:hAnsi="Aptos" w:eastAsia="Aptos" w:cs="Aptos" w:asciiTheme="minorAscii" w:hAnsiTheme="minorAscii" w:eastAsiaTheme="minorAscii" w:cstheme="minorAscii"/>
        </w:rPr>
      </w:pPr>
    </w:p>
    <w:p w:rsidR="24018606" w:rsidP="663E31BD" w:rsidRDefault="24018606" w14:paraId="70589CC3" w14:textId="4CDE105B">
      <w:pPr>
        <w:pStyle w:val="Normal"/>
        <w:rPr>
          <w:rFonts w:ascii="Aptos" w:hAnsi="Aptos" w:eastAsia="Aptos" w:cs="Aptos" w:asciiTheme="minorAscii" w:hAnsiTheme="minorAscii" w:eastAsiaTheme="minorAscii" w:cstheme="minorAscii"/>
          <w:b w:val="1"/>
          <w:bCs w:val="1"/>
          <w:sz w:val="30"/>
          <w:szCs w:val="30"/>
        </w:rPr>
      </w:pPr>
      <w:r w:rsidRPr="663E31BD" w:rsidR="24018606">
        <w:rPr>
          <w:rFonts w:ascii="Aptos" w:hAnsi="Aptos" w:eastAsia="Aptos" w:cs="Aptos" w:asciiTheme="minorAscii" w:hAnsiTheme="minorAscii" w:eastAsiaTheme="minorAscii" w:cstheme="minorAscii"/>
          <w:b w:val="1"/>
          <w:bCs w:val="1"/>
          <w:sz w:val="30"/>
          <w:szCs w:val="30"/>
        </w:rPr>
        <w:t>Recording &amp; Tracking Blood Sugar</w:t>
      </w:r>
    </w:p>
    <w:p w:rsidR="663E31BD" w:rsidP="663E31BD" w:rsidRDefault="663E31BD" w14:paraId="328498F8" w14:textId="32A07863">
      <w:pPr>
        <w:pStyle w:val="Normal"/>
        <w:rPr>
          <w:rFonts w:ascii="Aptos" w:hAnsi="Aptos" w:eastAsia="Aptos" w:cs="Aptos" w:asciiTheme="minorAscii" w:hAnsiTheme="minorAscii" w:eastAsiaTheme="minorAscii" w:cstheme="minorAscii"/>
        </w:rPr>
      </w:pPr>
    </w:p>
    <w:p w:rsidR="66C5EF40" w:rsidP="663E31BD" w:rsidRDefault="66C5EF40" w14:paraId="60FF0CCD" w14:textId="230B0730">
      <w:pPr>
        <w:pStyle w:val="Normal"/>
        <w:rPr>
          <w:rFonts w:ascii="Aptos" w:hAnsi="Aptos" w:eastAsia="Aptos" w:cs="Aptos" w:asciiTheme="minorAscii" w:hAnsiTheme="minorAscii" w:eastAsiaTheme="minorAscii" w:cstheme="minorAscii"/>
        </w:rPr>
      </w:pPr>
      <w:r w:rsidRPr="663E31BD" w:rsidR="66C5EF40">
        <w:rPr>
          <w:rFonts w:ascii="Aptos" w:hAnsi="Aptos" w:eastAsia="Aptos" w:cs="Aptos" w:asciiTheme="minorAscii" w:hAnsiTheme="minorAscii" w:eastAsiaTheme="minorAscii" w:cstheme="minorAscii"/>
        </w:rPr>
        <w:t>Monitoring and logging blood glucose levels is an essential aspect of controlling Type 2 diabetes. Self-monitoring of blood glucose, also known as SMBG, is usually carried out through finger-prick testing, then provides immediate feedback on the existing blood glucose levels and helps individuals respond suitably to changes. In addition to regular monitoring, HbA1c testing is used to assess average blood glucose levels from the last two to three months, which provides a long-term perspective on glycaemic control.HbA1c results are especially valuable in evaluating the effectiveness of treatment plans and determining if modifications are necessary (NICE, 2015).</w:t>
      </w:r>
    </w:p>
    <w:p w:rsidR="66C5EF40" w:rsidP="663E31BD" w:rsidRDefault="66C5EF40" w14:paraId="62F201A2" w14:textId="02DE1C51">
      <w:pPr>
        <w:pStyle w:val="Normal"/>
      </w:pPr>
      <w:r w:rsidRPr="663E31BD" w:rsidR="66C5EF40">
        <w:rPr>
          <w:rFonts w:ascii="Aptos" w:hAnsi="Aptos" w:eastAsia="Aptos" w:cs="Aptos" w:asciiTheme="minorAscii" w:hAnsiTheme="minorAscii" w:eastAsiaTheme="minorAscii" w:cstheme="minorAscii"/>
        </w:rPr>
        <w:t xml:space="preserve"> </w:t>
      </w:r>
    </w:p>
    <w:p w:rsidR="66C5EF40" w:rsidP="663E31BD" w:rsidRDefault="66C5EF40" w14:paraId="44FA6EF7" w14:textId="2A752E90">
      <w:pPr>
        <w:pStyle w:val="Normal"/>
      </w:pPr>
      <w:r w:rsidRPr="663E31BD" w:rsidR="66C5EF40">
        <w:rPr>
          <w:rFonts w:ascii="Aptos" w:hAnsi="Aptos" w:eastAsia="Aptos" w:cs="Aptos" w:asciiTheme="minorAscii" w:hAnsiTheme="minorAscii" w:eastAsiaTheme="minorAscii" w:cstheme="minorAscii"/>
        </w:rPr>
        <w:t xml:space="preserve">Regular monitoring enables early identification of abnormal blood glucose levels and supports </w:t>
      </w:r>
      <w:r w:rsidRPr="663E31BD" w:rsidR="66C5EF40">
        <w:rPr>
          <w:rFonts w:ascii="Aptos" w:hAnsi="Aptos" w:eastAsia="Aptos" w:cs="Aptos" w:asciiTheme="minorAscii" w:hAnsiTheme="minorAscii" w:eastAsiaTheme="minorAscii" w:cstheme="minorAscii"/>
        </w:rPr>
        <w:t>timely</w:t>
      </w:r>
      <w:r w:rsidRPr="663E31BD" w:rsidR="66C5EF40">
        <w:rPr>
          <w:rFonts w:ascii="Aptos" w:hAnsi="Aptos" w:eastAsia="Aptos" w:cs="Aptos" w:asciiTheme="minorAscii" w:hAnsiTheme="minorAscii" w:eastAsiaTheme="minorAscii" w:cstheme="minorAscii"/>
        </w:rPr>
        <w:t xml:space="preserve"> adjustments to medication, diet, and physical activity. Looking at the results will also </w:t>
      </w:r>
      <w:r w:rsidRPr="663E31BD" w:rsidR="66C5EF40">
        <w:rPr>
          <w:rFonts w:ascii="Aptos" w:hAnsi="Aptos" w:eastAsia="Aptos" w:cs="Aptos" w:asciiTheme="minorAscii" w:hAnsiTheme="minorAscii" w:eastAsiaTheme="minorAscii" w:cstheme="minorAscii"/>
        </w:rPr>
        <w:t>assist</w:t>
      </w:r>
      <w:r w:rsidRPr="663E31BD" w:rsidR="66C5EF40">
        <w:rPr>
          <w:rFonts w:ascii="Aptos" w:hAnsi="Aptos" w:eastAsia="Aptos" w:cs="Aptos" w:asciiTheme="minorAscii" w:hAnsiTheme="minorAscii" w:eastAsiaTheme="minorAscii" w:cstheme="minorAscii"/>
        </w:rPr>
        <w:t xml:space="preserve"> people in </w:t>
      </w:r>
      <w:r w:rsidRPr="663E31BD" w:rsidR="66C5EF40">
        <w:rPr>
          <w:rFonts w:ascii="Aptos" w:hAnsi="Aptos" w:eastAsia="Aptos" w:cs="Aptos" w:asciiTheme="minorAscii" w:hAnsiTheme="minorAscii" w:eastAsiaTheme="minorAscii" w:cstheme="minorAscii"/>
        </w:rPr>
        <w:t>identifying</w:t>
      </w:r>
      <w:r w:rsidRPr="663E31BD" w:rsidR="66C5EF40">
        <w:rPr>
          <w:rFonts w:ascii="Aptos" w:hAnsi="Aptos" w:eastAsia="Aptos" w:cs="Aptos" w:asciiTheme="minorAscii" w:hAnsiTheme="minorAscii" w:eastAsiaTheme="minorAscii" w:cstheme="minorAscii"/>
        </w:rPr>
        <w:t xml:space="preserve"> trends associated with their eating habits and compliance with recommended therapies. By looking at the food intake, exercise, and stress, this would help patients are better able to manage their condition a lot </w:t>
      </w:r>
      <w:r w:rsidRPr="663E31BD" w:rsidR="4B211C15">
        <w:rPr>
          <w:rFonts w:ascii="Aptos" w:hAnsi="Aptos" w:eastAsia="Aptos" w:cs="Aptos" w:asciiTheme="minorAscii" w:hAnsiTheme="minorAscii" w:eastAsiaTheme="minorAscii" w:cstheme="minorAscii"/>
        </w:rPr>
        <w:t>better</w:t>
      </w:r>
      <w:r w:rsidRPr="663E31BD" w:rsidR="66C5EF40">
        <w:rPr>
          <w:rFonts w:ascii="Aptos" w:hAnsi="Aptos" w:eastAsia="Aptos" w:cs="Aptos" w:asciiTheme="minorAscii" w:hAnsiTheme="minorAscii" w:eastAsiaTheme="minorAscii" w:cstheme="minorAscii"/>
        </w:rPr>
        <w:t xml:space="preserve"> and reduce the probability of sudden complications and improve their </w:t>
      </w:r>
      <w:r w:rsidRPr="663E31BD" w:rsidR="4C355C5A">
        <w:rPr>
          <w:rFonts w:ascii="Aptos" w:hAnsi="Aptos" w:eastAsia="Aptos" w:cs="Aptos" w:asciiTheme="minorAscii" w:hAnsiTheme="minorAscii" w:eastAsiaTheme="minorAscii" w:cstheme="minorAscii"/>
        </w:rPr>
        <w:t>lives. Additionally</w:t>
      </w:r>
      <w:r w:rsidRPr="663E31BD" w:rsidR="66C5EF40">
        <w:rPr>
          <w:rFonts w:ascii="Aptos" w:hAnsi="Aptos" w:eastAsia="Aptos" w:cs="Aptos" w:asciiTheme="minorAscii" w:hAnsiTheme="minorAscii" w:eastAsiaTheme="minorAscii" w:cstheme="minorAscii"/>
        </w:rPr>
        <w:t xml:space="preserve"> keeping a </w:t>
      </w:r>
      <w:r w:rsidRPr="663E31BD" w:rsidR="4326725E">
        <w:rPr>
          <w:rFonts w:ascii="Aptos" w:hAnsi="Aptos" w:eastAsia="Aptos" w:cs="Aptos" w:asciiTheme="minorAscii" w:hAnsiTheme="minorAscii" w:eastAsiaTheme="minorAscii" w:cstheme="minorAscii"/>
        </w:rPr>
        <w:t>well-structured</w:t>
      </w:r>
      <w:r w:rsidRPr="663E31BD" w:rsidR="66C5EF40">
        <w:rPr>
          <w:rFonts w:ascii="Aptos" w:hAnsi="Aptos" w:eastAsia="Aptos" w:cs="Aptos" w:asciiTheme="minorAscii" w:hAnsiTheme="minorAscii" w:eastAsiaTheme="minorAscii" w:cstheme="minorAscii"/>
        </w:rPr>
        <w:t xml:space="preserve"> record of blood glucose readings can boost accountability and motivation, inspiring people to continue leading healthier lives. For health care </w:t>
      </w:r>
      <w:r w:rsidRPr="663E31BD" w:rsidR="225736FD">
        <w:rPr>
          <w:rFonts w:ascii="Aptos" w:hAnsi="Aptos" w:eastAsia="Aptos" w:cs="Aptos" w:asciiTheme="minorAscii" w:hAnsiTheme="minorAscii" w:eastAsiaTheme="minorAscii" w:cstheme="minorAscii"/>
        </w:rPr>
        <w:t>professionals</w:t>
      </w:r>
      <w:r w:rsidRPr="663E31BD" w:rsidR="66C5EF40">
        <w:rPr>
          <w:rFonts w:ascii="Aptos" w:hAnsi="Aptos" w:eastAsia="Aptos" w:cs="Aptos" w:asciiTheme="minorAscii" w:hAnsiTheme="minorAscii" w:eastAsiaTheme="minorAscii" w:cstheme="minorAscii"/>
        </w:rPr>
        <w:t xml:space="preserve"> it also lets them to make evidence-based choices during reviews, guaranteeing that treatment regimens continue to be safe, efficient, and customised to the individual's evolving needs.</w:t>
      </w:r>
    </w:p>
    <w:p w:rsidR="66C5EF40" w:rsidP="663E31BD" w:rsidRDefault="66C5EF40" w14:paraId="5815F7C7" w14:textId="7A867A1A">
      <w:pPr>
        <w:pStyle w:val="Normal"/>
      </w:pPr>
      <w:r w:rsidRPr="663E31BD" w:rsidR="66C5EF40">
        <w:rPr>
          <w:rFonts w:ascii="Aptos" w:hAnsi="Aptos" w:eastAsia="Aptos" w:cs="Aptos" w:asciiTheme="minorAscii" w:hAnsiTheme="minorAscii" w:eastAsiaTheme="minorAscii" w:cstheme="minorAscii"/>
        </w:rPr>
        <w:t xml:space="preserve"> </w:t>
      </w:r>
    </w:p>
    <w:p w:rsidR="66C5EF40" w:rsidP="663E31BD" w:rsidRDefault="66C5EF40" w14:paraId="7AAB556F" w14:textId="285C9DF4">
      <w:pPr>
        <w:pStyle w:val="Normal"/>
      </w:pPr>
      <w:r w:rsidRPr="663E31BD" w:rsidR="66C5EF40">
        <w:rPr>
          <w:rFonts w:ascii="Aptos" w:hAnsi="Aptos" w:eastAsia="Aptos" w:cs="Aptos" w:asciiTheme="minorAscii" w:hAnsiTheme="minorAscii" w:eastAsiaTheme="minorAscii" w:cstheme="minorAscii"/>
        </w:rPr>
        <w:t xml:space="preserve">Effective recording lowers the risk of both </w:t>
      </w:r>
      <w:r w:rsidRPr="663E31BD" w:rsidR="7C809528">
        <w:rPr>
          <w:rFonts w:ascii="Aptos" w:hAnsi="Aptos" w:eastAsia="Aptos" w:cs="Aptos" w:asciiTheme="minorAscii" w:hAnsiTheme="minorAscii" w:eastAsiaTheme="minorAscii" w:cstheme="minorAscii"/>
        </w:rPr>
        <w:t>hypoglycaemia</w:t>
      </w:r>
      <w:r w:rsidRPr="663E31BD" w:rsidR="66C5EF40">
        <w:rPr>
          <w:rFonts w:ascii="Aptos" w:hAnsi="Aptos" w:eastAsia="Aptos" w:cs="Aptos" w:asciiTheme="minorAscii" w:hAnsiTheme="minorAscii" w:eastAsiaTheme="minorAscii" w:cstheme="minorAscii"/>
        </w:rPr>
        <w:t xml:space="preserve"> and </w:t>
      </w:r>
      <w:r w:rsidRPr="663E31BD" w:rsidR="719803A2">
        <w:rPr>
          <w:rFonts w:ascii="Aptos" w:hAnsi="Aptos" w:eastAsia="Aptos" w:cs="Aptos" w:asciiTheme="minorAscii" w:hAnsiTheme="minorAscii" w:eastAsiaTheme="minorAscii" w:cstheme="minorAscii"/>
        </w:rPr>
        <w:t>hyperglycaemia</w:t>
      </w:r>
      <w:r w:rsidRPr="663E31BD" w:rsidR="66C5EF40">
        <w:rPr>
          <w:rFonts w:ascii="Aptos" w:hAnsi="Aptos" w:eastAsia="Aptos" w:cs="Aptos" w:asciiTheme="minorAscii" w:hAnsiTheme="minorAscii" w:eastAsiaTheme="minorAscii" w:cstheme="minorAscii"/>
        </w:rPr>
        <w:t xml:space="preserve"> and it then aids in avoiding long-term effects such poor wound healing, neuropathy, cardiovascular disease, and kidney </w:t>
      </w:r>
      <w:r w:rsidRPr="663E31BD" w:rsidR="39882F49">
        <w:rPr>
          <w:rFonts w:ascii="Aptos" w:hAnsi="Aptos" w:eastAsia="Aptos" w:cs="Aptos" w:asciiTheme="minorAscii" w:hAnsiTheme="minorAscii" w:eastAsiaTheme="minorAscii" w:cstheme="minorAscii"/>
        </w:rPr>
        <w:t>impairment. In</w:t>
      </w:r>
      <w:r w:rsidRPr="663E31BD" w:rsidR="66C5EF40">
        <w:rPr>
          <w:rFonts w:ascii="Aptos" w:hAnsi="Aptos" w:eastAsia="Aptos" w:cs="Aptos" w:asciiTheme="minorAscii" w:hAnsiTheme="minorAscii" w:eastAsiaTheme="minorAscii" w:cstheme="minorAscii"/>
        </w:rPr>
        <w:t xml:space="preserve"> a general practice </w:t>
      </w:r>
      <w:r w:rsidRPr="663E31BD" w:rsidR="087CF4B0">
        <w:rPr>
          <w:rFonts w:ascii="Aptos" w:hAnsi="Aptos" w:eastAsia="Aptos" w:cs="Aptos" w:asciiTheme="minorAscii" w:hAnsiTheme="minorAscii" w:eastAsiaTheme="minorAscii" w:cstheme="minorAscii"/>
        </w:rPr>
        <w:t>setting, practice</w:t>
      </w:r>
      <w:r w:rsidRPr="663E31BD" w:rsidR="66C5EF40">
        <w:rPr>
          <w:rFonts w:ascii="Aptos" w:hAnsi="Aptos" w:eastAsia="Aptos" w:cs="Aptos" w:asciiTheme="minorAscii" w:hAnsiTheme="minorAscii" w:eastAsiaTheme="minorAscii" w:cstheme="minorAscii"/>
        </w:rPr>
        <w:t xml:space="preserve"> nurses play a crucial role especially when it comes to </w:t>
      </w:r>
      <w:r w:rsidRPr="663E31BD" w:rsidR="066C0FCA">
        <w:rPr>
          <w:rFonts w:ascii="Aptos" w:hAnsi="Aptos" w:eastAsia="Aptos" w:cs="Aptos" w:asciiTheme="minorAscii" w:hAnsiTheme="minorAscii" w:eastAsiaTheme="minorAscii" w:cstheme="minorAscii"/>
        </w:rPr>
        <w:t>helping</w:t>
      </w:r>
      <w:r w:rsidRPr="663E31BD" w:rsidR="66C5EF40">
        <w:rPr>
          <w:rFonts w:ascii="Aptos" w:hAnsi="Aptos" w:eastAsia="Aptos" w:cs="Aptos" w:asciiTheme="minorAscii" w:hAnsiTheme="minorAscii" w:eastAsiaTheme="minorAscii" w:cstheme="minorAscii"/>
        </w:rPr>
        <w:t xml:space="preserve"> patients and especially about their blood glucose monitoring, which includes evaluating HbA1c values, checking recorded readings at routine visits, teaching patients about proper testing procedures, and providing tailored guidance on lifestyle </w:t>
      </w:r>
      <w:r w:rsidRPr="663E31BD" w:rsidR="7C3D7E3F">
        <w:rPr>
          <w:rFonts w:ascii="Aptos" w:hAnsi="Aptos" w:eastAsia="Aptos" w:cs="Aptos" w:asciiTheme="minorAscii" w:hAnsiTheme="minorAscii" w:eastAsiaTheme="minorAscii" w:cstheme="minorAscii"/>
        </w:rPr>
        <w:t>modifications. Practice</w:t>
      </w:r>
      <w:r w:rsidRPr="663E31BD" w:rsidR="66C5EF40">
        <w:rPr>
          <w:rFonts w:ascii="Aptos" w:hAnsi="Aptos" w:eastAsia="Aptos" w:cs="Aptos" w:asciiTheme="minorAscii" w:hAnsiTheme="minorAscii" w:eastAsiaTheme="minorAscii" w:cstheme="minorAscii"/>
        </w:rPr>
        <w:t xml:space="preserve"> nurses also provide systematic assessments, assurance, and ongoing assistance to improve glycaemic control, increase self-management, and reduce the risk of complications from diabetes.</w:t>
      </w:r>
    </w:p>
    <w:p w:rsidR="663E31BD" w:rsidP="663E31BD" w:rsidRDefault="663E31BD" w14:paraId="1D2B29EF" w14:textId="12A96D88">
      <w:pPr>
        <w:pStyle w:val="Normal"/>
        <w:rPr>
          <w:rFonts w:ascii="Aptos" w:hAnsi="Aptos" w:eastAsia="Aptos" w:cs="Aptos" w:asciiTheme="minorAscii" w:hAnsiTheme="minorAscii" w:eastAsiaTheme="minorAscii" w:cstheme="minorAscii"/>
        </w:rPr>
      </w:pPr>
    </w:p>
    <w:p w:rsidR="663E31BD" w:rsidP="663E31BD" w:rsidRDefault="663E31BD" w14:paraId="255B77B5" w14:textId="78592431">
      <w:pPr>
        <w:pStyle w:val="Normal"/>
        <w:rPr>
          <w:rFonts w:ascii="Aptos" w:hAnsi="Aptos" w:eastAsia="Aptos" w:cs="Aptos" w:asciiTheme="minorAscii" w:hAnsiTheme="minorAscii" w:eastAsiaTheme="minorAscii" w:cstheme="minorAscii"/>
        </w:rPr>
      </w:pPr>
    </w:p>
    <w:p w:rsidR="663E31BD" w:rsidP="663E31BD" w:rsidRDefault="663E31BD" w14:paraId="57356E17" w14:textId="10306015">
      <w:pPr>
        <w:pStyle w:val="Normal"/>
        <w:rPr>
          <w:rFonts w:ascii="Aptos" w:hAnsi="Aptos" w:eastAsia="Aptos" w:cs="Aptos" w:asciiTheme="minorAscii" w:hAnsiTheme="minorAscii" w:eastAsiaTheme="minorAscii" w:cstheme="minorAscii"/>
        </w:rPr>
      </w:pPr>
    </w:p>
    <w:p w:rsidR="663E31BD" w:rsidP="663E31BD" w:rsidRDefault="663E31BD" w14:paraId="7CC5836E" w14:textId="34787EAA">
      <w:pPr>
        <w:pStyle w:val="Normal"/>
        <w:rPr>
          <w:rFonts w:ascii="Aptos" w:hAnsi="Aptos" w:eastAsia="Aptos" w:cs="Aptos" w:asciiTheme="minorAscii" w:hAnsiTheme="minorAscii" w:eastAsiaTheme="minorAscii" w:cstheme="minorAscii"/>
        </w:rPr>
      </w:pPr>
    </w:p>
    <w:p w:rsidR="663E31BD" w:rsidP="663E31BD" w:rsidRDefault="663E31BD" w14:paraId="71B31163" w14:textId="1BB79C14">
      <w:pPr>
        <w:pStyle w:val="Normal"/>
      </w:pPr>
    </w:p>
    <w:p w:rsidR="663E31BD" w:rsidP="663E31BD" w:rsidRDefault="663E31BD" w14:paraId="3B9379D1" w14:textId="5F874CCF">
      <w:pPr>
        <w:pStyle w:val="Normal"/>
      </w:pPr>
    </w:p>
    <w:p w:rsidR="663E31BD" w:rsidP="663E31BD" w:rsidRDefault="663E31BD" w14:paraId="5C71BDCD" w14:textId="49C7DCDF">
      <w:pPr>
        <w:pStyle w:val="Normal"/>
        <w:rPr>
          <w:b w:val="1"/>
          <w:bCs w:val="1"/>
          <w:sz w:val="28"/>
          <w:szCs w:val="28"/>
        </w:rPr>
      </w:pPr>
    </w:p>
    <w:p w:rsidR="2E04AAAA" w:rsidP="663E31BD" w:rsidRDefault="2E04AAAA" w14:paraId="1CBB7C92" w14:textId="6AAAD68E">
      <w:pPr>
        <w:pStyle w:val="Normal"/>
        <w:rPr>
          <w:b w:val="1"/>
          <w:bCs w:val="1"/>
          <w:sz w:val="30"/>
          <w:szCs w:val="30"/>
        </w:rPr>
      </w:pPr>
      <w:r w:rsidRPr="663E31BD" w:rsidR="2E04AAAA">
        <w:rPr>
          <w:b w:val="1"/>
          <w:bCs w:val="1"/>
          <w:sz w:val="30"/>
          <w:szCs w:val="30"/>
        </w:rPr>
        <w:t>Lifestyle Recommendations for Managing Type 2 Diabetes</w:t>
      </w:r>
    </w:p>
    <w:p w:rsidR="663E31BD" w:rsidP="663E31BD" w:rsidRDefault="663E31BD" w14:paraId="146CA0B0" w14:textId="5FCF25AA">
      <w:pPr>
        <w:pStyle w:val="Normal"/>
        <w:rPr>
          <w:b w:val="1"/>
          <w:bCs w:val="1"/>
          <w:sz w:val="28"/>
          <w:szCs w:val="28"/>
        </w:rPr>
      </w:pPr>
    </w:p>
    <w:p w:rsidR="2E04AAAA" w:rsidP="663E31BD" w:rsidRDefault="2E04AAAA" w14:paraId="33F149EE" w14:textId="7B453A85">
      <w:pPr>
        <w:pStyle w:val="Normal"/>
        <w:rPr>
          <w:b w:val="1"/>
          <w:bCs w:val="1"/>
          <w:sz w:val="28"/>
          <w:szCs w:val="28"/>
        </w:rPr>
      </w:pPr>
      <w:r w:rsidRPr="663E31BD" w:rsidR="2E04AAAA">
        <w:rPr>
          <w:b w:val="1"/>
          <w:bCs w:val="1"/>
          <w:sz w:val="28"/>
          <w:szCs w:val="28"/>
        </w:rPr>
        <w:t>Diet and Blood Glucose Control</w:t>
      </w:r>
      <w:r w:rsidRPr="663E31BD" w:rsidR="2E04AAAA">
        <w:rPr>
          <w:b w:val="1"/>
          <w:bCs w:val="1"/>
          <w:sz w:val="28"/>
          <w:szCs w:val="28"/>
        </w:rPr>
        <w:t xml:space="preserve"> </w:t>
      </w:r>
    </w:p>
    <w:p w:rsidR="2E04AAAA" w:rsidP="663E31BD" w:rsidRDefault="2E04AAAA" w14:paraId="2AB38649" w14:textId="0E87A8D3">
      <w:pPr>
        <w:pStyle w:val="Normal"/>
      </w:pPr>
      <w:r w:rsidR="2E04AAAA">
        <w:rPr/>
        <w:t xml:space="preserve">Diet is an essential element in Type 2 diabetes treatment because food consumption directly affects blood glucose levels. Carbohydrates have the most effect on blood sugar levels, and this is also because they are converted to glucose during digestion. The choice of complex carbs, such as whole grains and fibre-rich meals, can help decrease the absorption of glucose and prevent abrupt increases in blood sugar levels. Reducing the intake of refined sugars and highly processed foods further supports stable glycaemic control. Regular mealtimes and a well-balanced diet also lower your risk of </w:t>
      </w:r>
      <w:r w:rsidR="2E04AAAA">
        <w:rPr/>
        <w:t>hyperglycaemia</w:t>
      </w:r>
      <w:r w:rsidR="2E04AAAA">
        <w:rPr/>
        <w:t xml:space="preserve"> and help you manage your blood sugar levels. Overall, dietary modification is the key to long-term diabetes management and avoiding complications.</w:t>
      </w:r>
    </w:p>
    <w:p w:rsidR="663E31BD" w:rsidP="663E31BD" w:rsidRDefault="663E31BD" w14:paraId="4C83888E" w14:textId="406F8E3E">
      <w:pPr>
        <w:pStyle w:val="Normal"/>
      </w:pPr>
    </w:p>
    <w:p w:rsidR="663E31BD" w:rsidP="663E31BD" w:rsidRDefault="663E31BD" w14:paraId="40007578" w14:textId="175087D5">
      <w:pPr>
        <w:pStyle w:val="Normal"/>
      </w:pPr>
    </w:p>
    <w:p w:rsidR="663E31BD" w:rsidP="663E31BD" w:rsidRDefault="663E31BD" w14:paraId="305554A1" w14:textId="76C8F774">
      <w:pPr>
        <w:pStyle w:val="Normal"/>
      </w:pPr>
    </w:p>
    <w:p w:rsidR="2C075EF5" w:rsidP="663E31BD" w:rsidRDefault="2C075EF5" w14:paraId="44301058" w14:textId="05E7F244">
      <w:pPr>
        <w:pStyle w:val="Normal"/>
        <w:rPr>
          <w:b w:val="1"/>
          <w:bCs w:val="1"/>
          <w:sz w:val="30"/>
          <w:szCs w:val="30"/>
        </w:rPr>
      </w:pPr>
      <w:r w:rsidRPr="663E31BD" w:rsidR="2C075EF5">
        <w:rPr>
          <w:b w:val="1"/>
          <w:bCs w:val="1"/>
          <w:sz w:val="30"/>
          <w:szCs w:val="30"/>
        </w:rPr>
        <w:t>Physical Activity and Insulin Sensitivity</w:t>
      </w:r>
    </w:p>
    <w:p w:rsidR="2C075EF5" w:rsidP="663E31BD" w:rsidRDefault="2C075EF5" w14:paraId="7A201930" w14:textId="4A39F9A8">
      <w:pPr>
        <w:pStyle w:val="Normal"/>
      </w:pPr>
      <w:r w:rsidR="2C075EF5">
        <w:rPr/>
        <w:t xml:space="preserve"> </w:t>
      </w:r>
      <w:r w:rsidR="2C075EF5">
        <w:rPr/>
        <w:t xml:space="preserve">People with type 2 diabetes, if they do regular exercise, it is important to improve glycaemic control since it enhances insulin sensitivity, enabling a better response from bodily cells and absorbing glucose from the bloodstream more efficiently (Way et al., 2016). Consequently, circulating blood glucose levels go down, and this promotes improved balance of metabolism, especially with activities like walking, swimming, or cycling, which </w:t>
      </w:r>
      <w:r w:rsidR="2C075EF5">
        <w:rPr/>
        <w:t>greatly enhance</w:t>
      </w:r>
      <w:r w:rsidR="2C075EF5">
        <w:rPr/>
        <w:t xml:space="preserve"> blood glucose </w:t>
      </w:r>
      <w:r w:rsidR="2C075EF5">
        <w:rPr/>
        <w:t>management,</w:t>
      </w:r>
      <w:r w:rsidR="2C075EF5">
        <w:rPr/>
        <w:t xml:space="preserve"> and it also improves overall wellbeing, reduces stress, and supports cardiovascular health. To ensure safe and long-lasting involvement, exercise regimens should be tailored to each participant's age, comorbidities, and physical limitations.</w:t>
      </w:r>
    </w:p>
    <w:p w:rsidR="663E31BD" w:rsidP="663E31BD" w:rsidRDefault="663E31BD" w14:paraId="1EC7BA01" w14:textId="4D3CF9EC">
      <w:pPr>
        <w:pStyle w:val="Normal"/>
      </w:pPr>
    </w:p>
    <w:p w:rsidR="663E31BD" w:rsidP="663E31BD" w:rsidRDefault="663E31BD" w14:paraId="77E04D5F" w14:textId="14D83EA8">
      <w:pPr>
        <w:pStyle w:val="Normal"/>
      </w:pPr>
    </w:p>
    <w:p w:rsidR="663E31BD" w:rsidP="663E31BD" w:rsidRDefault="663E31BD" w14:paraId="000949D7" w14:textId="1D0AFD9F">
      <w:pPr>
        <w:pStyle w:val="Normal"/>
      </w:pPr>
    </w:p>
    <w:p w:rsidR="663E31BD" w:rsidP="663E31BD" w:rsidRDefault="663E31BD" w14:paraId="1511839D" w14:textId="31CC85A7">
      <w:pPr>
        <w:pStyle w:val="Normal"/>
      </w:pPr>
    </w:p>
    <w:p w:rsidR="663E31BD" w:rsidP="663E31BD" w:rsidRDefault="663E31BD" w14:paraId="7991F8DB" w14:textId="3A117DBA">
      <w:pPr>
        <w:pStyle w:val="Normal"/>
      </w:pPr>
    </w:p>
    <w:p w:rsidR="663E31BD" w:rsidP="663E31BD" w:rsidRDefault="663E31BD" w14:paraId="0833ECB1" w14:textId="725D9550">
      <w:pPr>
        <w:pStyle w:val="Normal"/>
      </w:pPr>
    </w:p>
    <w:p w:rsidR="663E31BD" w:rsidP="663E31BD" w:rsidRDefault="663E31BD" w14:paraId="473E0092" w14:textId="65B0EB0E">
      <w:pPr>
        <w:pStyle w:val="Normal"/>
      </w:pPr>
    </w:p>
    <w:p w:rsidR="718D3322" w:rsidP="663E31BD" w:rsidRDefault="718D3322" w14:paraId="2C9DE2EB" w14:textId="29CE8A96">
      <w:pPr>
        <w:pStyle w:val="Normal"/>
        <w:rPr>
          <w:b w:val="1"/>
          <w:bCs w:val="1"/>
          <w:sz w:val="30"/>
          <w:szCs w:val="30"/>
        </w:rPr>
      </w:pPr>
      <w:r w:rsidRPr="663E31BD" w:rsidR="718D3322">
        <w:rPr>
          <w:b w:val="1"/>
          <w:bCs w:val="1"/>
          <w:sz w:val="30"/>
          <w:szCs w:val="30"/>
        </w:rPr>
        <w:t>Weight Management and Obesity</w:t>
      </w:r>
    </w:p>
    <w:p w:rsidR="718D3322" w:rsidP="663E31BD" w:rsidRDefault="718D3322" w14:paraId="4633C2C3" w14:textId="54D13222">
      <w:pPr>
        <w:pStyle w:val="Normal"/>
      </w:pPr>
      <w:r w:rsidR="718D3322">
        <w:rPr/>
        <w:t xml:space="preserve"> </w:t>
      </w:r>
      <w:r w:rsidR="718D3322">
        <w:rPr/>
        <w:t xml:space="preserve">Weight management is particularly essential for those with Type 2 diabetes because of insulin resistance and is </w:t>
      </w:r>
      <w:r w:rsidR="718D3322">
        <w:rPr/>
        <w:t>closely linked</w:t>
      </w:r>
      <w:r w:rsidR="718D3322">
        <w:rPr/>
        <w:t xml:space="preserve"> to fat (Anderson, Kendall, and Jenkins, 2003). Excess adipose tissue hinders insulin signals and reduces the body's capacity to efficiently control glucose, and </w:t>
      </w:r>
      <w:r w:rsidR="718D3322">
        <w:rPr/>
        <w:t>maintaining</w:t>
      </w:r>
      <w:r w:rsidR="718D3322">
        <w:rPr/>
        <w:t xml:space="preserve"> weight loss may also reduce the strain on beta cells in the pancreas, which could also delay the course of the illness. Overall, a crucial tactic in enhancing long-term metabolic results is to address problems associated with diabetes and to help people </w:t>
      </w:r>
      <w:r w:rsidR="718D3322">
        <w:rPr/>
        <w:t>establish</w:t>
      </w:r>
      <w:r w:rsidR="718D3322">
        <w:rPr/>
        <w:t xml:space="preserve"> reasonable goals and make lifestyle adjustments to achieve and sustain a healthy weight.</w:t>
      </w:r>
    </w:p>
    <w:p w:rsidR="663E31BD" w:rsidP="663E31BD" w:rsidRDefault="663E31BD" w14:paraId="3EF4A82A" w14:textId="1FB8111E">
      <w:pPr>
        <w:pStyle w:val="Normal"/>
      </w:pPr>
    </w:p>
    <w:p w:rsidR="663E31BD" w:rsidP="663E31BD" w:rsidRDefault="663E31BD" w14:paraId="3E857FBA" w14:textId="4954366F">
      <w:pPr>
        <w:pStyle w:val="Normal"/>
      </w:pPr>
    </w:p>
    <w:p w:rsidR="7BE8025F" w:rsidP="663E31BD" w:rsidRDefault="7BE8025F" w14:paraId="339A9D4D" w14:textId="203741D9">
      <w:pPr>
        <w:pStyle w:val="Normal"/>
        <w:rPr>
          <w:b w:val="1"/>
          <w:bCs w:val="1"/>
          <w:sz w:val="30"/>
          <w:szCs w:val="30"/>
        </w:rPr>
      </w:pPr>
      <w:r w:rsidRPr="663E31BD" w:rsidR="7BE8025F">
        <w:rPr>
          <w:b w:val="1"/>
          <w:bCs w:val="1"/>
          <w:sz w:val="30"/>
          <w:szCs w:val="30"/>
        </w:rPr>
        <w:t>Smoking and Vascular Complications</w:t>
      </w:r>
    </w:p>
    <w:p w:rsidR="1DD2AE16" w:rsidP="663E31BD" w:rsidRDefault="1DD2AE16" w14:paraId="20B78F1A" w14:textId="6901A419">
      <w:pPr>
        <w:pStyle w:val="Normal"/>
      </w:pPr>
      <w:r w:rsidR="1DD2AE16">
        <w:rPr/>
        <w:t>The risk of vascular damage, which is already higher in people with diabetes, is further elevated. Chronic hyperglycemia and smoking both increase the risk of endothelial dysfunction and blood vessel damage (Pungpapong, 2002). This significantly increases the likelihood of cardiovascular disease, as impaired blood flow reduces effective oxygen and nutrient delivery to tissues. Furthermore, poor circulation also delays wound healing and increases the risk of infection, particularly in the lower extremities, and delays the healing of injuries, so promoting quitting smoking is important in reducing the severity of complications associated with diabetes and improving long-term health outcomes for this population.</w:t>
      </w:r>
    </w:p>
    <w:p w:rsidR="663E31BD" w:rsidP="663E31BD" w:rsidRDefault="663E31BD" w14:paraId="2C93E817" w14:textId="2EFD064A">
      <w:pPr>
        <w:pStyle w:val="Normal"/>
      </w:pPr>
    </w:p>
    <w:p w:rsidR="663E31BD" w:rsidP="663E31BD" w:rsidRDefault="663E31BD" w14:paraId="7C14A91A" w14:textId="10DA499C">
      <w:pPr>
        <w:pStyle w:val="Normal"/>
      </w:pPr>
    </w:p>
    <w:p w:rsidR="663E31BD" w:rsidP="663E31BD" w:rsidRDefault="663E31BD" w14:paraId="0D79D706" w14:textId="3741D6E3">
      <w:pPr>
        <w:pStyle w:val="Normal"/>
      </w:pPr>
    </w:p>
    <w:p w:rsidR="7BE8025F" w:rsidP="663E31BD" w:rsidRDefault="7BE8025F" w14:paraId="54E55A0F" w14:textId="1AAF8A43">
      <w:pPr>
        <w:pStyle w:val="Normal"/>
        <w:rPr>
          <w:b w:val="1"/>
          <w:bCs w:val="1"/>
          <w:sz w:val="30"/>
          <w:szCs w:val="30"/>
        </w:rPr>
      </w:pPr>
      <w:r w:rsidRPr="663E31BD" w:rsidR="7BE8025F">
        <w:rPr>
          <w:b w:val="1"/>
          <w:bCs w:val="1"/>
          <w:sz w:val="30"/>
          <w:szCs w:val="30"/>
        </w:rPr>
        <w:t>Patient Education and Behaviour Change</w:t>
      </w:r>
    </w:p>
    <w:p w:rsidR="6475C3A1" w:rsidP="663E31BD" w:rsidRDefault="6475C3A1" w14:paraId="2F18D385" w14:textId="163C4ABD">
      <w:pPr>
        <w:pStyle w:val="Normal"/>
      </w:pPr>
      <w:r w:rsidR="6475C3A1">
        <w:rPr/>
        <w:t xml:space="preserve">Sustainable lifestyle modification. Both behavioural support and </w:t>
      </w:r>
      <w:r w:rsidR="6475C3A1">
        <w:rPr/>
        <w:t>appropriate patient</w:t>
      </w:r>
      <w:r w:rsidR="6475C3A1">
        <w:rPr/>
        <w:t xml:space="preserve"> education are necessary for long-term lifestyle change, and people also need to understand that their everyday decisions have an impact on long-term health and blood glucose regulation; simply presenting the facts is insufficient. Patients might be empowered by healthcare professionals to actively manage their disease. Through open communication, collaborative goal-setting, and ongoing professional support, structured education </w:t>
      </w:r>
      <w:r w:rsidR="6475C3A1">
        <w:rPr/>
        <w:t>programs</w:t>
      </w:r>
      <w:r w:rsidR="6475C3A1">
        <w:rPr/>
        <w:t xml:space="preserve"> and individualised care plans improve adherence and encourage long-term participation. Practice nurses are important in primary care </w:t>
      </w:r>
      <w:r w:rsidR="6475C3A1">
        <w:rPr/>
        <w:t>settings,</w:t>
      </w:r>
      <w:r w:rsidR="6475C3A1">
        <w:rPr/>
        <w:t xml:space="preserve"> and they help with self-management, promote positive behavioural changes, and offer evidence-based guidance also maintaining glycaemic control and improving quality of life requires a patient-</w:t>
      </w:r>
      <w:r w:rsidR="6475C3A1">
        <w:rPr/>
        <w:t>centered</w:t>
      </w:r>
      <w:r w:rsidR="6475C3A1">
        <w:rPr/>
        <w:t xml:space="preserve"> strategy that incorporates instruction and real-world </w:t>
      </w:r>
      <w:r w:rsidR="6475C3A1">
        <w:rPr/>
        <w:t>assistance</w:t>
      </w:r>
      <w:r w:rsidR="6475C3A1">
        <w:rPr/>
        <w:t>.</w:t>
      </w:r>
    </w:p>
    <w:p w:rsidR="663E31BD" w:rsidP="663E31BD" w:rsidRDefault="663E31BD" w14:paraId="44533085" w14:textId="74691834">
      <w:pPr>
        <w:pStyle w:val="Normal"/>
      </w:pPr>
    </w:p>
    <w:p w:rsidR="663E31BD" w:rsidP="663E31BD" w:rsidRDefault="663E31BD" w14:paraId="096217E8" w14:textId="4B70CE45">
      <w:pPr>
        <w:pStyle w:val="Normal"/>
      </w:pPr>
    </w:p>
    <w:p w:rsidR="663E31BD" w:rsidP="663E31BD" w:rsidRDefault="663E31BD" w14:paraId="4360B51F" w14:textId="645D1DE3">
      <w:pPr>
        <w:pStyle w:val="Normal"/>
      </w:pPr>
    </w:p>
    <w:p w:rsidR="7BE8025F" w:rsidP="663E31BD" w:rsidRDefault="7BE8025F" w14:paraId="494E30E8" w14:textId="5D930207">
      <w:pPr>
        <w:pStyle w:val="Normal"/>
        <w:rPr>
          <w:b w:val="1"/>
          <w:bCs w:val="1"/>
          <w:sz w:val="30"/>
          <w:szCs w:val="30"/>
        </w:rPr>
      </w:pPr>
      <w:r w:rsidRPr="663E31BD" w:rsidR="7BE8025F">
        <w:rPr>
          <w:b w:val="1"/>
          <w:bCs w:val="1"/>
          <w:sz w:val="30"/>
          <w:szCs w:val="30"/>
        </w:rPr>
        <w:t>Conclusion</w:t>
      </w:r>
    </w:p>
    <w:p w:rsidR="663E31BD" w:rsidP="663E31BD" w:rsidRDefault="663E31BD" w14:paraId="6CB8D343" w14:textId="77C0346D">
      <w:pPr>
        <w:pStyle w:val="Normal"/>
      </w:pPr>
    </w:p>
    <w:p w:rsidR="61F86EC7" w:rsidP="663E31BD" w:rsidRDefault="61F86EC7" w14:paraId="1627B040" w14:textId="7E9E4970">
      <w:pPr>
        <w:pStyle w:val="Normal"/>
      </w:pPr>
      <w:r w:rsidR="61F86EC7">
        <w:rPr/>
        <w:t xml:space="preserve">Insulin resistance and increasing beta-cell dysfunction are hallmarks of type 2 diabetes, a chronic metabolic disease that causes ongoing </w:t>
      </w:r>
      <w:r w:rsidR="61F86EC7">
        <w:rPr/>
        <w:t>hyperglycaemia</w:t>
      </w:r>
      <w:r w:rsidR="61F86EC7">
        <w:rPr/>
        <w:t xml:space="preserve"> standard blood sugar control depends on the synchronized function of insulin and glucagon to uphold balance and guarantee sufficient cellular energy generation. When this equilibrium is disturbed, surplus glucose stays in the blood, hindering cellular metabolism and elevating the chances of long-term issues like cardiovascular disease, neuropathy, nephropathy, and inadequate wound healing. Grasping these physiological processes is crucial for acknowledging the clinical impacts of unmanaged diabetes and the significance of consistent glycaemic control.</w:t>
      </w:r>
    </w:p>
    <w:p w:rsidR="61F86EC7" w:rsidP="663E31BD" w:rsidRDefault="61F86EC7" w14:paraId="29F8E853" w14:textId="3F2EA78B">
      <w:pPr>
        <w:pStyle w:val="Normal"/>
      </w:pPr>
      <w:r w:rsidR="61F86EC7">
        <w:rPr/>
        <w:t xml:space="preserve"> Successful management of Type 2 diabetes </w:t>
      </w:r>
      <w:r w:rsidR="61F86EC7">
        <w:rPr/>
        <w:t>necessitates</w:t>
      </w:r>
      <w:r w:rsidR="61F86EC7">
        <w:rPr/>
        <w:t xml:space="preserve"> more than medication; it </w:t>
      </w:r>
      <w:r w:rsidR="61F86EC7">
        <w:rPr/>
        <w:t>greatly relies</w:t>
      </w:r>
      <w:r w:rsidR="61F86EC7">
        <w:rPr/>
        <w:t xml:space="preserve"> on educating patients, consistent monitoring, and lasting lifestyle changes. Dietary regulation, exercise, and weight control </w:t>
      </w:r>
      <w:r w:rsidR="61F86EC7">
        <w:rPr/>
        <w:t>greatly enhance</w:t>
      </w:r>
      <w:r w:rsidR="61F86EC7">
        <w:rPr/>
        <w:t xml:space="preserve"> insulin sensitivity and decrease complications. Within primary care, practice nurses play </w:t>
      </w:r>
      <w:r w:rsidR="61F86EC7">
        <w:rPr/>
        <w:t>a central role</w:t>
      </w:r>
      <w:r w:rsidR="61F86EC7">
        <w:rPr/>
        <w:t xml:space="preserve"> in reviewing HbA1c results, supporting self-monitoring, delivering tailored lifestyle advice, and empowering patients to take an active role in their care. Through evidence-based guidance and continuous support, practice nurses contribute </w:t>
      </w:r>
      <w:r w:rsidR="61F86EC7">
        <w:rPr/>
        <w:t>substantially to</w:t>
      </w:r>
      <w:r w:rsidR="61F86EC7">
        <w:rPr/>
        <w:t xml:space="preserve"> improved long-term outcomes and enhanced quality of life for individuals living with Type 2 diabetes.</w:t>
      </w:r>
    </w:p>
    <w:p w:rsidR="663E31BD" w:rsidP="663E31BD" w:rsidRDefault="663E31BD" w14:paraId="67C507EF" w14:textId="515C13A8">
      <w:pPr>
        <w:pStyle w:val="Normal"/>
      </w:pPr>
    </w:p>
    <w:p w:rsidR="663E31BD" w:rsidP="663E31BD" w:rsidRDefault="663E31BD" w14:paraId="573234C6" w14:textId="2B9422A0">
      <w:pPr>
        <w:pStyle w:val="Normal"/>
      </w:pPr>
    </w:p>
    <w:p w:rsidR="663E31BD" w:rsidP="663E31BD" w:rsidRDefault="663E31BD" w14:paraId="4BBBD9FC" w14:textId="179D3FD2">
      <w:pPr>
        <w:pStyle w:val="Normal"/>
      </w:pPr>
    </w:p>
    <w:p w:rsidR="43C6FD0E" w:rsidP="43C6FD0E" w:rsidRDefault="43C6FD0E" w14:paraId="551E99D2" w14:textId="6429DFD6">
      <w:pPr>
        <w:spacing w:before="240" w:beforeAutospacing="off" w:after="240" w:afterAutospacing="off"/>
        <w:rPr>
          <w:rFonts w:ascii="Aptos" w:hAnsi="Aptos" w:eastAsia="Aptos" w:cs="Aptos"/>
          <w:noProof w:val="0"/>
          <w:color w:val="000000" w:themeColor="text1" w:themeTint="FF" w:themeShade="FF"/>
          <w:sz w:val="24"/>
          <w:szCs w:val="24"/>
          <w:lang w:val="en-GB"/>
        </w:rPr>
      </w:pPr>
    </w:p>
    <w:p w:rsidR="71A139EA" w:rsidP="663E31BD" w:rsidRDefault="71A139EA" w14:paraId="63E9CCB3" w14:textId="22E84AD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71A139EA" w:rsidP="663E31BD" w:rsidRDefault="71A139EA" w14:paraId="7751A66D" w14:textId="0BE65266">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3E4DF343" w14:textId="36C25B24">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529A4AD9" w14:textId="16DBD5F3">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5F7CA859" w14:textId="5811860F">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328C59A8" w14:textId="28485FD4">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329B5A8A" w14:textId="6B1999BD">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3A647D31" w14:textId="0F66A008">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33AA160B" w14:textId="5EEBB240">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p>
    <w:p w:rsidR="71A139EA" w:rsidP="663E31BD" w:rsidRDefault="71A139EA" w14:paraId="690DABAB" w14:textId="71290EB7">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pPr>
      <w:r w:rsidRPr="663E31BD" w:rsidR="5C048241">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2"/>
          <w:szCs w:val="32"/>
          <w:lang w:val="en-GB"/>
        </w:rPr>
        <w:t>References</w:t>
      </w:r>
    </w:p>
    <w:p w:rsidR="71A139EA" w:rsidP="663E31BD" w:rsidRDefault="71A139EA" w14:paraId="4A777086" w14:textId="7BDA1A8A">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71A139EA">
        <w:rPr>
          <w:rFonts w:ascii="Times New Roman" w:hAnsi="Times New Roman" w:eastAsia="Times New Roman" w:cs="Times New Roman"/>
          <w:noProof w:val="0"/>
          <w:color w:val="000000" w:themeColor="text1" w:themeTint="FF" w:themeShade="FF"/>
          <w:sz w:val="24"/>
          <w:szCs w:val="24"/>
          <w:lang w:val="en-GB"/>
        </w:rPr>
        <w:t xml:space="preserve">Diabetes UK (2017). </w:t>
      </w:r>
      <w:r w:rsidRPr="663E31BD" w:rsidR="71A139EA">
        <w:rPr>
          <w:rFonts w:ascii="Times New Roman" w:hAnsi="Times New Roman" w:eastAsia="Times New Roman" w:cs="Times New Roman"/>
          <w:i w:val="1"/>
          <w:iCs w:val="1"/>
          <w:noProof w:val="0"/>
          <w:color w:val="000000" w:themeColor="text1" w:themeTint="FF" w:themeShade="FF"/>
          <w:sz w:val="24"/>
          <w:szCs w:val="24"/>
          <w:lang w:val="en-GB"/>
        </w:rPr>
        <w:t>Diabetes: the basics</w:t>
      </w:r>
      <w:r w:rsidRPr="663E31BD" w:rsidR="71A139EA">
        <w:rPr>
          <w:rFonts w:ascii="Times New Roman" w:hAnsi="Times New Roman" w:eastAsia="Times New Roman" w:cs="Times New Roman"/>
          <w:noProof w:val="0"/>
          <w:color w:val="000000" w:themeColor="text1" w:themeTint="FF" w:themeShade="FF"/>
          <w:sz w:val="24"/>
          <w:szCs w:val="24"/>
          <w:lang w:val="en-GB"/>
        </w:rPr>
        <w:t xml:space="preserve">. </w:t>
      </w:r>
    </w:p>
    <w:p w:rsidR="72C42425" w:rsidP="43C6FD0E" w:rsidRDefault="72C42425" w14:paraId="18F05640" w14:textId="73FF628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72C42425">
        <w:rPr>
          <w:rFonts w:ascii="Times New Roman" w:hAnsi="Times New Roman" w:eastAsia="Times New Roman" w:cs="Times New Roman"/>
          <w:noProof w:val="0"/>
          <w:color w:val="000000" w:themeColor="text1" w:themeTint="FF" w:themeShade="FF"/>
          <w:sz w:val="24"/>
          <w:szCs w:val="24"/>
          <w:lang w:val="en-GB"/>
        </w:rPr>
        <w:t xml:space="preserve">Diabetes UK. (2018). </w:t>
      </w:r>
      <w:r w:rsidRPr="663E31BD" w:rsidR="72C42425">
        <w:rPr>
          <w:rFonts w:ascii="Times New Roman" w:hAnsi="Times New Roman" w:eastAsia="Times New Roman" w:cs="Times New Roman"/>
          <w:i w:val="1"/>
          <w:iCs w:val="1"/>
          <w:noProof w:val="0"/>
          <w:color w:val="000000" w:themeColor="text1" w:themeTint="FF" w:themeShade="FF"/>
          <w:sz w:val="24"/>
          <w:szCs w:val="24"/>
          <w:lang w:val="en-GB"/>
        </w:rPr>
        <w:t>Differences between type 1 and type 2 diabetes</w:t>
      </w:r>
      <w:r w:rsidRPr="663E31BD" w:rsidR="72C42425">
        <w:rPr>
          <w:rFonts w:ascii="Times New Roman" w:hAnsi="Times New Roman" w:eastAsia="Times New Roman" w:cs="Times New Roman"/>
          <w:noProof w:val="0"/>
          <w:color w:val="000000" w:themeColor="text1" w:themeTint="FF" w:themeShade="FF"/>
          <w:sz w:val="24"/>
          <w:szCs w:val="24"/>
          <w:lang w:val="en-GB"/>
        </w:rPr>
        <w:t xml:space="preserve">. </w:t>
      </w:r>
    </w:p>
    <w:p w:rsidR="757EF723" w:rsidP="663E31BD" w:rsidRDefault="757EF723" w14:paraId="28896F9D" w14:textId="7797F5BC">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757EF723">
        <w:rPr>
          <w:rFonts w:ascii="Times New Roman" w:hAnsi="Times New Roman" w:eastAsia="Times New Roman" w:cs="Times New Roman"/>
          <w:noProof w:val="0"/>
          <w:color w:val="000000" w:themeColor="text1" w:themeTint="FF" w:themeShade="FF"/>
          <w:sz w:val="24"/>
          <w:szCs w:val="24"/>
          <w:lang w:val="en-GB"/>
        </w:rPr>
        <w:t xml:space="preserve">Human (2019). </w:t>
      </w:r>
      <w:r w:rsidRPr="663E31BD" w:rsidR="757EF723">
        <w:rPr>
          <w:rFonts w:ascii="Times New Roman" w:hAnsi="Times New Roman" w:eastAsia="Times New Roman" w:cs="Times New Roman"/>
          <w:i w:val="1"/>
          <w:iCs w:val="1"/>
          <w:noProof w:val="0"/>
          <w:color w:val="000000" w:themeColor="text1" w:themeTint="FF" w:themeShade="FF"/>
          <w:sz w:val="24"/>
          <w:szCs w:val="24"/>
          <w:lang w:val="en-GB"/>
        </w:rPr>
        <w:t>Glucose Regulation</w:t>
      </w:r>
      <w:r w:rsidRPr="663E31BD" w:rsidR="757EF723">
        <w:rPr>
          <w:rFonts w:ascii="Times New Roman" w:hAnsi="Times New Roman" w:eastAsia="Times New Roman" w:cs="Times New Roman"/>
          <w:noProof w:val="0"/>
          <w:color w:val="000000" w:themeColor="text1" w:themeTint="FF" w:themeShade="FF"/>
          <w:sz w:val="24"/>
          <w:szCs w:val="24"/>
          <w:lang w:val="en-GB"/>
        </w:rPr>
        <w:t>.</w:t>
      </w:r>
    </w:p>
    <w:p w:rsidR="757EF723" w:rsidP="663E31BD" w:rsidRDefault="757EF723" w14:paraId="04178E42" w14:textId="20D960F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757EF723">
        <w:rPr>
          <w:rFonts w:ascii="Times New Roman" w:hAnsi="Times New Roman" w:eastAsia="Times New Roman" w:cs="Times New Roman"/>
          <w:noProof w:val="0"/>
          <w:color w:val="000000" w:themeColor="text1" w:themeTint="FF" w:themeShade="FF"/>
          <w:sz w:val="24"/>
          <w:szCs w:val="24"/>
          <w:lang w:val="en-GB"/>
        </w:rPr>
        <w:t xml:space="preserve">Cleveland Clinic (2024). </w:t>
      </w:r>
      <w:r w:rsidRPr="663E31BD" w:rsidR="757EF723">
        <w:rPr>
          <w:rFonts w:ascii="Times New Roman" w:hAnsi="Times New Roman" w:eastAsia="Times New Roman" w:cs="Times New Roman"/>
          <w:i w:val="1"/>
          <w:iCs w:val="1"/>
          <w:noProof w:val="0"/>
          <w:color w:val="000000" w:themeColor="text1" w:themeTint="FF" w:themeShade="FF"/>
          <w:sz w:val="24"/>
          <w:szCs w:val="24"/>
          <w:lang w:val="en-GB"/>
        </w:rPr>
        <w:t>Pancreas</w:t>
      </w:r>
      <w:r w:rsidRPr="663E31BD" w:rsidR="757EF723">
        <w:rPr>
          <w:rFonts w:ascii="Times New Roman" w:hAnsi="Times New Roman" w:eastAsia="Times New Roman" w:cs="Times New Roman"/>
          <w:noProof w:val="0"/>
          <w:color w:val="000000" w:themeColor="text1" w:themeTint="FF" w:themeShade="FF"/>
          <w:sz w:val="24"/>
          <w:szCs w:val="24"/>
          <w:lang w:val="en-GB"/>
        </w:rPr>
        <w:t>. [online] Cleveland Clinic.</w:t>
      </w:r>
    </w:p>
    <w:p w:rsidR="5C65EEBF" w:rsidP="663E31BD" w:rsidRDefault="5C65EEBF" w14:paraId="0CBF558E" w14:textId="1B3EAC2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5C65EEBF">
        <w:rPr>
          <w:rFonts w:ascii="Times New Roman" w:hAnsi="Times New Roman" w:eastAsia="Times New Roman" w:cs="Times New Roman"/>
          <w:noProof w:val="0"/>
          <w:color w:val="000000" w:themeColor="text1" w:themeTint="FF" w:themeShade="FF"/>
          <w:sz w:val="24"/>
          <w:szCs w:val="24"/>
          <w:lang w:val="en-GB"/>
        </w:rPr>
        <w:t>Nakrani</w:t>
      </w:r>
      <w:r w:rsidRPr="663E31BD" w:rsidR="5C65EEBF">
        <w:rPr>
          <w:rFonts w:ascii="Times New Roman" w:hAnsi="Times New Roman" w:eastAsia="Times New Roman" w:cs="Times New Roman"/>
          <w:noProof w:val="0"/>
          <w:color w:val="000000" w:themeColor="text1" w:themeTint="FF" w:themeShade="FF"/>
          <w:sz w:val="24"/>
          <w:szCs w:val="24"/>
          <w:lang w:val="en-GB"/>
        </w:rPr>
        <w:t xml:space="preserve">, M.N., Wineland, R.H. and Anjum, F. (2023). </w:t>
      </w:r>
      <w:r w:rsidRPr="663E31BD" w:rsidR="5C65EEBF">
        <w:rPr>
          <w:rFonts w:ascii="Times New Roman" w:hAnsi="Times New Roman" w:eastAsia="Times New Roman" w:cs="Times New Roman"/>
          <w:i w:val="1"/>
          <w:iCs w:val="1"/>
          <w:noProof w:val="0"/>
          <w:color w:val="000000" w:themeColor="text1" w:themeTint="FF" w:themeShade="FF"/>
          <w:sz w:val="24"/>
          <w:szCs w:val="24"/>
          <w:lang w:val="en-GB"/>
        </w:rPr>
        <w:t>Physiology, Glucose Metabolism</w:t>
      </w:r>
      <w:r w:rsidRPr="663E31BD" w:rsidR="5C65EEBF">
        <w:rPr>
          <w:rFonts w:ascii="Times New Roman" w:hAnsi="Times New Roman" w:eastAsia="Times New Roman" w:cs="Times New Roman"/>
          <w:noProof w:val="0"/>
          <w:color w:val="000000" w:themeColor="text1" w:themeTint="FF" w:themeShade="FF"/>
          <w:sz w:val="24"/>
          <w:szCs w:val="24"/>
          <w:lang w:val="en-GB"/>
        </w:rPr>
        <w:t xml:space="preserve">. </w:t>
      </w:r>
    </w:p>
    <w:p w:rsidR="5C65EEBF" w:rsidP="663E31BD" w:rsidRDefault="5C65EEBF" w14:paraId="5971D523" w14:textId="50B848B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5C65EEBF">
        <w:rPr>
          <w:rFonts w:ascii="Times New Roman" w:hAnsi="Times New Roman" w:eastAsia="Times New Roman" w:cs="Times New Roman"/>
          <w:noProof w:val="0"/>
          <w:color w:val="000000" w:themeColor="text1" w:themeTint="FF" w:themeShade="FF"/>
          <w:sz w:val="24"/>
          <w:szCs w:val="24"/>
          <w:lang w:val="en-GB"/>
        </w:rPr>
        <w:t xml:space="preserve">Britannica (2022). Cellular Respiration. In: </w:t>
      </w:r>
      <w:r w:rsidRPr="663E31BD" w:rsidR="5C65EEBF">
        <w:rPr>
          <w:rFonts w:ascii="Times New Roman" w:hAnsi="Times New Roman" w:eastAsia="Times New Roman" w:cs="Times New Roman"/>
          <w:i w:val="1"/>
          <w:iCs w:val="1"/>
          <w:noProof w:val="0"/>
          <w:color w:val="000000" w:themeColor="text1" w:themeTint="FF" w:themeShade="FF"/>
          <w:sz w:val="24"/>
          <w:szCs w:val="24"/>
          <w:lang w:val="en-GB"/>
        </w:rPr>
        <w:t>Encyclopædia</w:t>
      </w:r>
      <w:r w:rsidRPr="663E31BD" w:rsidR="5C65EEBF">
        <w:rPr>
          <w:rFonts w:ascii="Times New Roman" w:hAnsi="Times New Roman" w:eastAsia="Times New Roman" w:cs="Times New Roman"/>
          <w:i w:val="1"/>
          <w:iCs w:val="1"/>
          <w:noProof w:val="0"/>
          <w:color w:val="000000" w:themeColor="text1" w:themeTint="FF" w:themeShade="FF"/>
          <w:sz w:val="24"/>
          <w:szCs w:val="24"/>
          <w:lang w:val="en-GB"/>
        </w:rPr>
        <w:t xml:space="preserve"> Britannica</w:t>
      </w:r>
      <w:r w:rsidRPr="663E31BD" w:rsidR="5C65EEBF">
        <w:rPr>
          <w:rFonts w:ascii="Times New Roman" w:hAnsi="Times New Roman" w:eastAsia="Times New Roman" w:cs="Times New Roman"/>
          <w:noProof w:val="0"/>
          <w:color w:val="000000" w:themeColor="text1" w:themeTint="FF" w:themeShade="FF"/>
          <w:sz w:val="24"/>
          <w:szCs w:val="24"/>
          <w:lang w:val="en-GB"/>
        </w:rPr>
        <w:t xml:space="preserve">. </w:t>
      </w:r>
    </w:p>
    <w:p w:rsidR="2870B003" w:rsidP="663E31BD" w:rsidRDefault="2870B003" w14:paraId="3C1D7D72" w14:textId="4B558CE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2870B003">
        <w:rPr>
          <w:rFonts w:ascii="Times New Roman" w:hAnsi="Times New Roman" w:eastAsia="Times New Roman" w:cs="Times New Roman"/>
          <w:noProof w:val="0"/>
          <w:color w:val="000000" w:themeColor="text1" w:themeTint="FF" w:themeShade="FF"/>
          <w:sz w:val="24"/>
          <w:szCs w:val="24"/>
          <w:lang w:val="en-GB"/>
        </w:rPr>
        <w:t xml:space="preserve">NICE (2015). </w:t>
      </w:r>
      <w:r w:rsidRPr="663E31BD" w:rsidR="2870B003">
        <w:rPr>
          <w:rFonts w:ascii="Times New Roman" w:hAnsi="Times New Roman" w:eastAsia="Times New Roman" w:cs="Times New Roman"/>
          <w:i w:val="1"/>
          <w:iCs w:val="1"/>
          <w:noProof w:val="0"/>
          <w:color w:val="000000" w:themeColor="text1" w:themeTint="FF" w:themeShade="FF"/>
          <w:sz w:val="24"/>
          <w:szCs w:val="24"/>
          <w:lang w:val="en-GB"/>
        </w:rPr>
        <w:t>Recommendations | Type 2 diabetes in adults: management | Guidance | NICE</w:t>
      </w:r>
      <w:r w:rsidRPr="663E31BD" w:rsidR="2870B003">
        <w:rPr>
          <w:rFonts w:ascii="Times New Roman" w:hAnsi="Times New Roman" w:eastAsia="Times New Roman" w:cs="Times New Roman"/>
          <w:noProof w:val="0"/>
          <w:color w:val="000000" w:themeColor="text1" w:themeTint="FF" w:themeShade="FF"/>
          <w:sz w:val="24"/>
          <w:szCs w:val="24"/>
          <w:lang w:val="en-GB"/>
        </w:rPr>
        <w:t>.</w:t>
      </w:r>
    </w:p>
    <w:p w:rsidR="436B58C8" w:rsidP="663E31BD" w:rsidRDefault="436B58C8" w14:paraId="243F0672" w14:textId="3F5F2AA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436B58C8">
        <w:rPr>
          <w:rFonts w:ascii="Times New Roman" w:hAnsi="Times New Roman" w:eastAsia="Times New Roman" w:cs="Times New Roman"/>
          <w:noProof w:val="0"/>
          <w:color w:val="000000" w:themeColor="text1" w:themeTint="FF" w:themeShade="FF"/>
          <w:sz w:val="24"/>
          <w:szCs w:val="24"/>
          <w:lang w:val="en-GB"/>
        </w:rPr>
        <w:t xml:space="preserve">Way, K.L., Hackett, D.A., Baker, M.K. and Johnson, N.A. (2016). The Effect of Regular Exercise on Insulin Sensitivity in Type 2 Diabetes Mellitus: A Systematic Review and Meta-Analysis. </w:t>
      </w:r>
      <w:r w:rsidRPr="663E31BD" w:rsidR="436B58C8">
        <w:rPr>
          <w:rFonts w:ascii="Times New Roman" w:hAnsi="Times New Roman" w:eastAsia="Times New Roman" w:cs="Times New Roman"/>
          <w:i w:val="1"/>
          <w:iCs w:val="1"/>
          <w:noProof w:val="0"/>
          <w:color w:val="000000" w:themeColor="text1" w:themeTint="FF" w:themeShade="FF"/>
          <w:sz w:val="24"/>
          <w:szCs w:val="24"/>
          <w:lang w:val="en-GB"/>
        </w:rPr>
        <w:t>Diabetes &amp; Metabolism Journal.</w:t>
      </w:r>
    </w:p>
    <w:p w:rsidR="558FA2A6" w:rsidP="663E31BD" w:rsidRDefault="558FA2A6" w14:paraId="0CBD0092" w14:textId="0C5BF38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558FA2A6">
        <w:rPr>
          <w:rFonts w:ascii="Times New Roman" w:hAnsi="Times New Roman" w:eastAsia="Times New Roman" w:cs="Times New Roman"/>
          <w:noProof w:val="0"/>
          <w:color w:val="000000" w:themeColor="text1" w:themeTint="FF" w:themeShade="FF"/>
          <w:sz w:val="24"/>
          <w:szCs w:val="24"/>
          <w:lang w:val="en-GB"/>
        </w:rPr>
        <w:t xml:space="preserve">Anderson, J.W., Kendall, C.W.C. and Jenkins, D.J.A. (2003). Importance of Weight Management in Type 2 Diabetes: Review with Meta-analysis of Clinical Studies. </w:t>
      </w:r>
      <w:r w:rsidRPr="663E31BD" w:rsidR="558FA2A6">
        <w:rPr>
          <w:rFonts w:ascii="Times New Roman" w:hAnsi="Times New Roman" w:eastAsia="Times New Roman" w:cs="Times New Roman"/>
          <w:i w:val="1"/>
          <w:iCs w:val="1"/>
          <w:noProof w:val="0"/>
          <w:color w:val="000000" w:themeColor="text1" w:themeTint="FF" w:themeShade="FF"/>
          <w:sz w:val="24"/>
          <w:szCs w:val="24"/>
          <w:lang w:val="en-GB"/>
        </w:rPr>
        <w:t>Journal of the American College of Nutrition</w:t>
      </w:r>
      <w:r w:rsidRPr="663E31BD" w:rsidR="558FA2A6">
        <w:rPr>
          <w:rFonts w:ascii="Times New Roman" w:hAnsi="Times New Roman" w:eastAsia="Times New Roman" w:cs="Times New Roman"/>
          <w:noProof w:val="0"/>
          <w:color w:val="000000" w:themeColor="text1" w:themeTint="FF" w:themeShade="FF"/>
          <w:sz w:val="24"/>
          <w:szCs w:val="24"/>
          <w:lang w:val="en-GB"/>
        </w:rPr>
        <w:t>, 22(5).</w:t>
      </w:r>
    </w:p>
    <w:p w:rsidR="152BF792" w:rsidP="663E31BD" w:rsidRDefault="152BF792" w14:paraId="7ED70EEC" w14:textId="14897711">
      <w:pPr>
        <w:spacing w:before="240" w:beforeAutospacing="off" w:after="240" w:afterAutospacing="off" w:line="360" w:lineRule="auto"/>
        <w:rPr>
          <w:rFonts w:ascii="Times New Roman" w:hAnsi="Times New Roman" w:eastAsia="Times New Roman" w:cs="Times New Roman"/>
          <w:i w:val="1"/>
          <w:iCs w:val="1"/>
          <w:noProof w:val="0"/>
          <w:color w:val="000000" w:themeColor="text1" w:themeTint="FF" w:themeShade="FF"/>
          <w:sz w:val="24"/>
          <w:szCs w:val="24"/>
          <w:lang w:val="en-GB"/>
        </w:rPr>
      </w:pPr>
      <w:r w:rsidRPr="663E31BD" w:rsidR="152BF792">
        <w:rPr>
          <w:rFonts w:ascii="Times New Roman" w:hAnsi="Times New Roman" w:eastAsia="Times New Roman" w:cs="Times New Roman"/>
          <w:noProof w:val="0"/>
          <w:color w:val="000000" w:themeColor="text1" w:themeTint="FF" w:themeShade="FF"/>
          <w:sz w:val="24"/>
          <w:szCs w:val="24"/>
          <w:lang w:val="en-GB"/>
        </w:rPr>
        <w:t>Pungpapong</w:t>
      </w:r>
      <w:r w:rsidRPr="663E31BD" w:rsidR="152BF792">
        <w:rPr>
          <w:rFonts w:ascii="Times New Roman" w:hAnsi="Times New Roman" w:eastAsia="Times New Roman" w:cs="Times New Roman"/>
          <w:noProof w:val="0"/>
          <w:color w:val="000000" w:themeColor="text1" w:themeTint="FF" w:themeShade="FF"/>
          <w:sz w:val="24"/>
          <w:szCs w:val="24"/>
          <w:lang w:val="en-GB"/>
        </w:rPr>
        <w:t xml:space="preserve">, S. (2002). Cigarette smoking is associated with an increased incidence of vascular complications after liver transplantation. </w:t>
      </w:r>
    </w:p>
    <w:p w:rsidR="5BF877B2" w:rsidP="663E31BD" w:rsidRDefault="5BF877B2" w14:paraId="463689F5" w14:textId="5D9200E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663E31BD" w:rsidR="5BF877B2">
        <w:rPr>
          <w:rFonts w:ascii="Times New Roman" w:hAnsi="Times New Roman" w:eastAsia="Times New Roman" w:cs="Times New Roman"/>
          <w:noProof w:val="0"/>
          <w:color w:val="000000" w:themeColor="text1" w:themeTint="FF" w:themeShade="FF"/>
          <w:sz w:val="24"/>
          <w:szCs w:val="24"/>
          <w:lang w:val="en-GB"/>
        </w:rPr>
        <w:t xml:space="preserve">Matthews, J.A., Matthews, S., Faries, </w:t>
      </w:r>
      <w:r w:rsidRPr="663E31BD" w:rsidR="5BF877B2">
        <w:rPr>
          <w:rFonts w:ascii="Times New Roman" w:hAnsi="Times New Roman" w:eastAsia="Times New Roman" w:cs="Times New Roman"/>
          <w:noProof w:val="0"/>
          <w:color w:val="000000" w:themeColor="text1" w:themeTint="FF" w:themeShade="FF"/>
          <w:sz w:val="24"/>
          <w:szCs w:val="24"/>
          <w:lang w:val="en-GB"/>
        </w:rPr>
        <w:t>M.D.</w:t>
      </w:r>
      <w:r w:rsidRPr="663E31BD" w:rsidR="5BF877B2">
        <w:rPr>
          <w:rFonts w:ascii="Times New Roman" w:hAnsi="Times New Roman" w:eastAsia="Times New Roman" w:cs="Times New Roman"/>
          <w:noProof w:val="0"/>
          <w:color w:val="000000" w:themeColor="text1" w:themeTint="FF" w:themeShade="FF"/>
          <w:sz w:val="24"/>
          <w:szCs w:val="24"/>
          <w:lang w:val="en-GB"/>
        </w:rPr>
        <w:t xml:space="preserve"> and Wolever, R.Q. (2024). Supporting sustainable health </w:t>
      </w:r>
      <w:r w:rsidRPr="663E31BD" w:rsidR="5BF877B2">
        <w:rPr>
          <w:rFonts w:ascii="Times New Roman" w:hAnsi="Times New Roman" w:eastAsia="Times New Roman" w:cs="Times New Roman"/>
          <w:noProof w:val="0"/>
          <w:color w:val="000000" w:themeColor="text1" w:themeTint="FF" w:themeShade="FF"/>
          <w:sz w:val="24"/>
          <w:szCs w:val="24"/>
          <w:lang w:val="en-GB"/>
        </w:rPr>
        <w:t>behavior</w:t>
      </w:r>
      <w:r w:rsidRPr="663E31BD" w:rsidR="5BF877B2">
        <w:rPr>
          <w:rFonts w:ascii="Times New Roman" w:hAnsi="Times New Roman" w:eastAsia="Times New Roman" w:cs="Times New Roman"/>
          <w:noProof w:val="0"/>
          <w:color w:val="000000" w:themeColor="text1" w:themeTint="FF" w:themeShade="FF"/>
          <w:sz w:val="24"/>
          <w:szCs w:val="24"/>
          <w:lang w:val="en-GB"/>
        </w:rPr>
        <w:t xml:space="preserve"> change: The whole is greater than the sum of its parts. </w:t>
      </w:r>
      <w:r w:rsidRPr="663E31BD" w:rsidR="5BF877B2">
        <w:rPr>
          <w:rFonts w:ascii="Times New Roman" w:hAnsi="Times New Roman" w:eastAsia="Times New Roman" w:cs="Times New Roman"/>
          <w:i w:val="1"/>
          <w:iCs w:val="1"/>
          <w:noProof w:val="0"/>
          <w:color w:val="000000" w:themeColor="text1" w:themeTint="FF" w:themeShade="FF"/>
          <w:sz w:val="24"/>
          <w:szCs w:val="24"/>
          <w:lang w:val="en-GB"/>
        </w:rPr>
        <w:t>Mayo Clinic proceedings. Innovations, quality &amp; outcomes.</w:t>
      </w:r>
    </w:p>
    <w:p w:rsidR="663E31BD" w:rsidP="663E31BD" w:rsidRDefault="663E31BD" w14:paraId="1F0DBA5B" w14:textId="7F0675E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663E31BD" w:rsidP="663E31BD" w:rsidRDefault="663E31BD" w14:paraId="2752CFDE" w14:textId="3EB1C175">
      <w:pPr>
        <w:spacing w:before="240" w:beforeAutospacing="off" w:after="240" w:afterAutospacing="off" w:line="360" w:lineRule="auto"/>
        <w:rPr>
          <w:rFonts w:ascii="Times New Roman" w:hAnsi="Times New Roman" w:eastAsia="Times New Roman" w:cs="Times New Roman"/>
          <w:i w:val="1"/>
          <w:iCs w:val="1"/>
          <w:noProof w:val="0"/>
          <w:color w:val="000000" w:themeColor="text1" w:themeTint="FF" w:themeShade="FF"/>
          <w:sz w:val="24"/>
          <w:szCs w:val="24"/>
          <w:lang w:val="en-GB"/>
        </w:rPr>
      </w:pPr>
    </w:p>
    <w:p w:rsidR="663E31BD" w:rsidP="663E31BD" w:rsidRDefault="663E31BD" w14:paraId="645AA979" w14:textId="77DE465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663E31BD" w:rsidP="663E31BD" w:rsidRDefault="663E31BD" w14:paraId="45C4D141" w14:textId="326F015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717F3CBC" w:rsidP="717F3CBC" w:rsidRDefault="717F3CBC" w14:paraId="03DA803F" w14:textId="09433B4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717F3CBC" w:rsidP="717F3CBC" w:rsidRDefault="717F3CBC" w14:paraId="6BB72AC6" w14:textId="5055CB0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f53+qmgAlV5pi" int2:id="WLF845NV">
      <int2:state int2:type="spell" int2:value="Rejected"/>
    </int2:textHash>
    <int2:textHash int2:hashCode="jDDND6lMIpkgXp" int2:id="KyUAT5Kt">
      <int2:state int2:type="spell" int2:value="Rejected"/>
    </int2:textHash>
    <int2:textHash int2:hashCode="WGSMwD8htwEZr0" int2:id="q4pEQXyW">
      <int2:state int2:type="spell" int2:value="Rejected"/>
    </int2:textHash>
    <int2:bookmark int2:bookmarkName="_Int_TM7cVFg3" int2:invalidationBookmarkName="" int2:hashCode="CbEDJUZqASqegD" int2:id="RMD7KlJU">
      <int2:state int2:type="spell" int2:value="Rejected"/>
    </int2:bookmark>
    <int2:bookmark int2:bookmarkName="_Int_iQeGt8Tt" int2:invalidationBookmarkName="" int2:hashCode="oDKeFME1Nby2NZ" int2:id="50LqdxNU">
      <int2:state int2:type="style" int2:value="Rejected"/>
    </int2:bookmark>
    <int2:bookmark int2:bookmarkName="_Int_4W9Bydk7" int2:invalidationBookmarkName="" int2:hashCode="oDKeFME1Nby2NZ" int2:id="zlROmTs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c6f0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bd6df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805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6ae1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75762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91ece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f084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10116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6373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2f1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7c06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7b33e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7487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0d55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c82e8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7f5c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fe0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471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f8a1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76843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6955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3f2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a8d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65065C"/>
    <w:rsid w:val="0003806C"/>
    <w:rsid w:val="01DE2946"/>
    <w:rsid w:val="066C0FCA"/>
    <w:rsid w:val="07E3F569"/>
    <w:rsid w:val="087CF4B0"/>
    <w:rsid w:val="0A1F231A"/>
    <w:rsid w:val="0B5A98D7"/>
    <w:rsid w:val="0C49E343"/>
    <w:rsid w:val="0C52DCE0"/>
    <w:rsid w:val="0C53262F"/>
    <w:rsid w:val="0C7FE2F7"/>
    <w:rsid w:val="10A3FF40"/>
    <w:rsid w:val="1450BE23"/>
    <w:rsid w:val="152BF792"/>
    <w:rsid w:val="174D8EF2"/>
    <w:rsid w:val="1793ADEC"/>
    <w:rsid w:val="1967F3CD"/>
    <w:rsid w:val="1A50D223"/>
    <w:rsid w:val="1A6310EA"/>
    <w:rsid w:val="1A70B01C"/>
    <w:rsid w:val="1BF77BEB"/>
    <w:rsid w:val="1D640855"/>
    <w:rsid w:val="1DB9D50E"/>
    <w:rsid w:val="1DD2AE16"/>
    <w:rsid w:val="1F59CFE7"/>
    <w:rsid w:val="1F760140"/>
    <w:rsid w:val="1FB7A067"/>
    <w:rsid w:val="2253A9AE"/>
    <w:rsid w:val="225736FD"/>
    <w:rsid w:val="23296D65"/>
    <w:rsid w:val="23456588"/>
    <w:rsid w:val="23A08109"/>
    <w:rsid w:val="24018606"/>
    <w:rsid w:val="24B56DE2"/>
    <w:rsid w:val="2568431A"/>
    <w:rsid w:val="262D9A9D"/>
    <w:rsid w:val="263D1F43"/>
    <w:rsid w:val="26874305"/>
    <w:rsid w:val="285AB5FA"/>
    <w:rsid w:val="2870B003"/>
    <w:rsid w:val="2A1C15F6"/>
    <w:rsid w:val="2A8DEFED"/>
    <w:rsid w:val="2BACB7AA"/>
    <w:rsid w:val="2C075EF5"/>
    <w:rsid w:val="2C657FC0"/>
    <w:rsid w:val="2E04AAAA"/>
    <w:rsid w:val="2F0B8FB1"/>
    <w:rsid w:val="3055EE2E"/>
    <w:rsid w:val="32D214F4"/>
    <w:rsid w:val="33FBA72C"/>
    <w:rsid w:val="34138C23"/>
    <w:rsid w:val="341CF82F"/>
    <w:rsid w:val="36A53BAE"/>
    <w:rsid w:val="38D4A523"/>
    <w:rsid w:val="39882F49"/>
    <w:rsid w:val="3A642B6E"/>
    <w:rsid w:val="3A65065C"/>
    <w:rsid w:val="3A9E69E3"/>
    <w:rsid w:val="3F45C16C"/>
    <w:rsid w:val="40D16648"/>
    <w:rsid w:val="4326725E"/>
    <w:rsid w:val="436B58C8"/>
    <w:rsid w:val="43ADE45B"/>
    <w:rsid w:val="43AF3822"/>
    <w:rsid w:val="43C6FD0E"/>
    <w:rsid w:val="44DFB338"/>
    <w:rsid w:val="45EEB5FE"/>
    <w:rsid w:val="48DEC6A8"/>
    <w:rsid w:val="49969D14"/>
    <w:rsid w:val="49B4B3DA"/>
    <w:rsid w:val="4AE88B67"/>
    <w:rsid w:val="4B211C15"/>
    <w:rsid w:val="4BCAB40B"/>
    <w:rsid w:val="4BEE649B"/>
    <w:rsid w:val="4C355C5A"/>
    <w:rsid w:val="4CC30C85"/>
    <w:rsid w:val="4CF135F7"/>
    <w:rsid w:val="4E2006BE"/>
    <w:rsid w:val="4E80ED26"/>
    <w:rsid w:val="5406614F"/>
    <w:rsid w:val="54098636"/>
    <w:rsid w:val="549434BF"/>
    <w:rsid w:val="558FA2A6"/>
    <w:rsid w:val="5606E11E"/>
    <w:rsid w:val="5BF877B2"/>
    <w:rsid w:val="5C048241"/>
    <w:rsid w:val="5C65EEBF"/>
    <w:rsid w:val="5F0215FB"/>
    <w:rsid w:val="5F54C86C"/>
    <w:rsid w:val="61F86EC7"/>
    <w:rsid w:val="636E4042"/>
    <w:rsid w:val="63AAD854"/>
    <w:rsid w:val="6475C3A1"/>
    <w:rsid w:val="65F51F3B"/>
    <w:rsid w:val="663E31BD"/>
    <w:rsid w:val="66C5EF40"/>
    <w:rsid w:val="67470FFA"/>
    <w:rsid w:val="6969110E"/>
    <w:rsid w:val="699E8FE2"/>
    <w:rsid w:val="6C367AA5"/>
    <w:rsid w:val="6D296629"/>
    <w:rsid w:val="6D6F2B1B"/>
    <w:rsid w:val="6EC93542"/>
    <w:rsid w:val="6F761F34"/>
    <w:rsid w:val="7031F811"/>
    <w:rsid w:val="70DF72FB"/>
    <w:rsid w:val="717F3CBC"/>
    <w:rsid w:val="718D3322"/>
    <w:rsid w:val="719803A2"/>
    <w:rsid w:val="71A139EA"/>
    <w:rsid w:val="72C42425"/>
    <w:rsid w:val="73996714"/>
    <w:rsid w:val="73DD908F"/>
    <w:rsid w:val="743D04B2"/>
    <w:rsid w:val="74937DE3"/>
    <w:rsid w:val="757EF723"/>
    <w:rsid w:val="79B8356C"/>
    <w:rsid w:val="7A1063F3"/>
    <w:rsid w:val="7B89C861"/>
    <w:rsid w:val="7BE8025F"/>
    <w:rsid w:val="7C20DCB8"/>
    <w:rsid w:val="7C3D7E3F"/>
    <w:rsid w:val="7C809528"/>
    <w:rsid w:val="7D465DA0"/>
    <w:rsid w:val="7F5DE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5065C"/>
  <w15:chartTrackingRefBased/>
  <w15:docId w15:val="{DD110520-52F3-4FA0-985F-650E4C3F55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C6FD0E"/>
    <w:pPr>
      <w:spacing/>
      <w:ind w:left="720"/>
      <w:contextualSpacing/>
    </w:pPr>
  </w:style>
  <w:style w:type="paragraph" w:styleId="Heading2">
    <w:uiPriority w:val="9"/>
    <w:name w:val="heading 2"/>
    <w:basedOn w:val="Normal"/>
    <w:next w:val="Normal"/>
    <w:unhideWhenUsed/>
    <w:qFormat/>
    <w:rsid w:val="43C6FD0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3C6FD0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17580023" /><Relationship Type="http://schemas.openxmlformats.org/officeDocument/2006/relationships/numbering" Target="/word/numbering.xml" Id="R29a3c03431fa45d4" /><Relationship Type="http://schemas.microsoft.com/office/2020/10/relationships/intelligence" Target="/word/intelligence2.xml" Id="Rd4905c0f088849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Rayan Ata (2324338)</dc:creator>
  <keywords/>
  <dc:description/>
  <lastModifiedBy>Rayan Ata (2324338)</lastModifiedBy>
  <revision>4</revision>
  <dcterms:created xsi:type="dcterms:W3CDTF">2026-01-29T02:00:47.3153875Z</dcterms:created>
  <dcterms:modified xsi:type="dcterms:W3CDTF">2026-02-20T11:49:38.7987567Z</dcterms:modified>
</coreProperties>
</file>