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A7B70" w14:textId="048274CC" w:rsidR="00D97EB5" w:rsidRPr="00D80B50" w:rsidRDefault="00D97EB5" w:rsidP="00E9549E">
      <w:pPr>
        <w:jc w:val="center"/>
        <w:rPr>
          <w:rFonts w:ascii="Arial" w:hAnsi="Arial" w:cs="Arial"/>
          <w:b/>
          <w:sz w:val="44"/>
          <w:szCs w:val="44"/>
        </w:rPr>
      </w:pPr>
      <w:r w:rsidRPr="00D80B50">
        <w:rPr>
          <w:rFonts w:ascii="Arial" w:hAnsi="Arial" w:cs="Arial"/>
          <w:b/>
          <w:sz w:val="48"/>
          <w:szCs w:val="48"/>
        </w:rPr>
        <w:t>Global Business Environment</w:t>
      </w:r>
    </w:p>
    <w:p w14:paraId="5ADE478F" w14:textId="35E0A7E3" w:rsidR="00D97EB5" w:rsidRPr="00D80B50" w:rsidRDefault="00D97EB5" w:rsidP="00E9549E">
      <w:pPr>
        <w:jc w:val="center"/>
        <w:rPr>
          <w:rFonts w:ascii="Arial" w:hAnsi="Arial" w:cs="Arial"/>
          <w:b/>
          <w:sz w:val="44"/>
          <w:szCs w:val="44"/>
        </w:rPr>
      </w:pPr>
      <w:r w:rsidRPr="00D80B50">
        <w:rPr>
          <w:rFonts w:ascii="Arial" w:hAnsi="Arial" w:cs="Arial"/>
          <w:b/>
          <w:sz w:val="40"/>
          <w:szCs w:val="40"/>
        </w:rPr>
        <w:t>LCBB4016_BIRM</w:t>
      </w:r>
    </w:p>
    <w:p w14:paraId="1C6C2AEB" w14:textId="77777777" w:rsidR="00D97EB5" w:rsidRPr="00D80B50" w:rsidRDefault="00D97EB5" w:rsidP="00E9549E">
      <w:pPr>
        <w:jc w:val="center"/>
        <w:rPr>
          <w:rFonts w:ascii="Arial" w:hAnsi="Arial" w:cs="Arial"/>
          <w:b/>
          <w:sz w:val="44"/>
          <w:szCs w:val="44"/>
        </w:rPr>
      </w:pPr>
    </w:p>
    <w:p w14:paraId="7CB73769" w14:textId="77777777" w:rsidR="00D97EB5" w:rsidRPr="00D80B50" w:rsidRDefault="00D97EB5" w:rsidP="00E9549E">
      <w:pPr>
        <w:jc w:val="center"/>
        <w:rPr>
          <w:rFonts w:ascii="Arial" w:hAnsi="Arial" w:cs="Arial"/>
          <w:b/>
          <w:sz w:val="44"/>
          <w:szCs w:val="44"/>
        </w:rPr>
      </w:pPr>
    </w:p>
    <w:p w14:paraId="1BD5A045" w14:textId="77777777" w:rsidR="00D97EB5" w:rsidRPr="00D80B50" w:rsidRDefault="00D97EB5" w:rsidP="00E9549E">
      <w:pPr>
        <w:jc w:val="center"/>
        <w:rPr>
          <w:rFonts w:ascii="Arial" w:hAnsi="Arial" w:cs="Arial"/>
          <w:b/>
          <w:sz w:val="44"/>
          <w:szCs w:val="44"/>
        </w:rPr>
      </w:pPr>
    </w:p>
    <w:p w14:paraId="6D724AE9" w14:textId="06957587" w:rsidR="00D97EB5" w:rsidRPr="00D80B50" w:rsidRDefault="00D97EB5" w:rsidP="00E9549E">
      <w:pPr>
        <w:pStyle w:val="NoSpacing"/>
        <w:jc w:val="center"/>
        <w:rPr>
          <w:rFonts w:ascii="Arial" w:hAnsi="Arial"/>
          <w:b/>
          <w:bCs/>
          <w:color w:val="000000" w:themeColor="text1"/>
          <w:sz w:val="28"/>
          <w:szCs w:val="28"/>
        </w:rPr>
      </w:pPr>
      <w:r w:rsidRPr="00D80B50">
        <w:rPr>
          <w:rFonts w:ascii="Arial" w:hAnsi="Arial"/>
          <w:b/>
          <w:bCs/>
          <w:color w:val="000000" w:themeColor="text1"/>
          <w:sz w:val="32"/>
          <w:szCs w:val="32"/>
        </w:rPr>
        <w:t>University of Wales Trinity Saint David (UWTSD)</w:t>
      </w:r>
    </w:p>
    <w:p w14:paraId="54B0B04C" w14:textId="6B44209C" w:rsidR="00D97EB5" w:rsidRPr="00D80B50" w:rsidRDefault="00D97EB5" w:rsidP="00E9549E">
      <w:pPr>
        <w:pStyle w:val="NoSpacing"/>
        <w:jc w:val="center"/>
        <w:rPr>
          <w:rFonts w:ascii="Arial" w:hAnsi="Arial"/>
          <w:b/>
          <w:bCs/>
          <w:color w:val="000000" w:themeColor="text1"/>
          <w:sz w:val="32"/>
          <w:szCs w:val="32"/>
        </w:rPr>
      </w:pPr>
      <w:r w:rsidRPr="00D80B50">
        <w:rPr>
          <w:rFonts w:ascii="Arial" w:hAnsi="Arial"/>
          <w:b/>
          <w:bCs/>
          <w:color w:val="000000" w:themeColor="text1"/>
          <w:sz w:val="32"/>
          <w:szCs w:val="32"/>
        </w:rPr>
        <w:t>Student name:</w:t>
      </w:r>
      <w:r w:rsidR="00E9549E" w:rsidRPr="00D80B50">
        <w:rPr>
          <w:rFonts w:ascii="Arial" w:hAnsi="Arial"/>
          <w:b/>
          <w:bCs/>
          <w:color w:val="000000" w:themeColor="text1"/>
          <w:sz w:val="32"/>
          <w:szCs w:val="32"/>
        </w:rPr>
        <w:t xml:space="preserve"> Juliana </w:t>
      </w:r>
      <w:proofErr w:type="spellStart"/>
      <w:r w:rsidR="00E9549E" w:rsidRPr="00D80B50">
        <w:rPr>
          <w:rFonts w:ascii="Arial" w:hAnsi="Arial"/>
          <w:b/>
          <w:bCs/>
          <w:color w:val="000000" w:themeColor="text1"/>
          <w:sz w:val="32"/>
          <w:szCs w:val="32"/>
        </w:rPr>
        <w:t>Kotlarova</w:t>
      </w:r>
      <w:proofErr w:type="spellEnd"/>
    </w:p>
    <w:p w14:paraId="196843EE" w14:textId="40555379" w:rsidR="00D97EB5" w:rsidRPr="00D80B50" w:rsidRDefault="00D97EB5" w:rsidP="00E9549E">
      <w:pPr>
        <w:pStyle w:val="NoSpacing"/>
        <w:jc w:val="center"/>
        <w:rPr>
          <w:rFonts w:ascii="Arial" w:hAnsi="Arial"/>
          <w:b/>
          <w:bCs/>
          <w:color w:val="000000" w:themeColor="text1"/>
          <w:sz w:val="32"/>
          <w:szCs w:val="32"/>
        </w:rPr>
      </w:pPr>
      <w:r w:rsidRPr="00D80B50">
        <w:rPr>
          <w:rFonts w:ascii="Arial" w:hAnsi="Arial"/>
          <w:b/>
          <w:bCs/>
          <w:color w:val="000000" w:themeColor="text1"/>
          <w:sz w:val="32"/>
          <w:szCs w:val="32"/>
        </w:rPr>
        <w:t>Student number: 232655</w:t>
      </w:r>
      <w:r w:rsidR="00E9549E" w:rsidRPr="00D80B50">
        <w:rPr>
          <w:rFonts w:ascii="Arial" w:hAnsi="Arial"/>
          <w:b/>
          <w:bCs/>
          <w:color w:val="000000" w:themeColor="text1"/>
          <w:sz w:val="32"/>
          <w:szCs w:val="32"/>
        </w:rPr>
        <w:t>6</w:t>
      </w:r>
    </w:p>
    <w:p w14:paraId="5002BFA7" w14:textId="2630BDFC" w:rsidR="00D97EB5" w:rsidRPr="00D80B50" w:rsidRDefault="00D97EB5" w:rsidP="00E9549E">
      <w:pPr>
        <w:jc w:val="center"/>
        <w:rPr>
          <w:rFonts w:ascii="Arial" w:hAnsi="Arial" w:cs="Arial"/>
          <w:b/>
          <w:bCs/>
          <w:color w:val="000000" w:themeColor="text1"/>
          <w:sz w:val="32"/>
          <w:szCs w:val="32"/>
        </w:rPr>
      </w:pPr>
      <w:r w:rsidRPr="00D80B50">
        <w:rPr>
          <w:rFonts w:ascii="Arial" w:hAnsi="Arial" w:cs="Arial"/>
          <w:b/>
          <w:bCs/>
          <w:color w:val="000000" w:themeColor="text1"/>
          <w:sz w:val="32"/>
          <w:szCs w:val="32"/>
        </w:rPr>
        <w:t>Lecturer name: Kareem Sani</w:t>
      </w:r>
    </w:p>
    <w:p w14:paraId="350930D7" w14:textId="77777777" w:rsidR="00E9549E" w:rsidRPr="00D80B50" w:rsidRDefault="00E9549E" w:rsidP="00D97EB5">
      <w:pPr>
        <w:rPr>
          <w:rFonts w:ascii="Arial" w:hAnsi="Arial" w:cs="Arial"/>
          <w:b/>
          <w:bCs/>
          <w:color w:val="000000" w:themeColor="text1"/>
          <w:sz w:val="32"/>
          <w:szCs w:val="32"/>
        </w:rPr>
      </w:pPr>
    </w:p>
    <w:p w14:paraId="6755773D" w14:textId="77777777" w:rsidR="00E9549E" w:rsidRPr="00D80B50" w:rsidRDefault="00E9549E" w:rsidP="00D97EB5">
      <w:pPr>
        <w:rPr>
          <w:rFonts w:ascii="Arial" w:hAnsi="Arial" w:cs="Arial"/>
          <w:b/>
          <w:bCs/>
          <w:color w:val="000000" w:themeColor="text1"/>
          <w:sz w:val="28"/>
          <w:szCs w:val="28"/>
        </w:rPr>
      </w:pPr>
    </w:p>
    <w:p w14:paraId="1B4A64D3" w14:textId="147F3A5E" w:rsidR="0097059E" w:rsidRPr="00D80B50" w:rsidRDefault="0097059E">
      <w:pPr>
        <w:spacing w:after="160" w:line="259" w:lineRule="auto"/>
        <w:jc w:val="left"/>
        <w:rPr>
          <w:rFonts w:ascii="Arial" w:hAnsi="Arial" w:cs="Arial"/>
          <w:b/>
        </w:rPr>
      </w:pPr>
    </w:p>
    <w:p w14:paraId="3E9E8E07" w14:textId="77777777" w:rsidR="00E9549E" w:rsidRPr="00D80B50" w:rsidRDefault="00E9549E">
      <w:pPr>
        <w:spacing w:after="160" w:line="259" w:lineRule="auto"/>
        <w:jc w:val="left"/>
        <w:rPr>
          <w:rFonts w:ascii="Arial" w:hAnsi="Arial" w:cs="Arial"/>
          <w:b/>
        </w:rPr>
      </w:pPr>
    </w:p>
    <w:p w14:paraId="2A43916A" w14:textId="77777777" w:rsidR="00E9549E" w:rsidRPr="00D80B50" w:rsidRDefault="00E9549E">
      <w:pPr>
        <w:spacing w:after="160" w:line="259" w:lineRule="auto"/>
        <w:jc w:val="left"/>
        <w:rPr>
          <w:rFonts w:ascii="Arial" w:hAnsi="Arial" w:cs="Arial"/>
          <w:b/>
        </w:rPr>
      </w:pPr>
    </w:p>
    <w:p w14:paraId="753F3306" w14:textId="77777777" w:rsidR="00E9549E" w:rsidRPr="00D80B50" w:rsidRDefault="00E9549E">
      <w:pPr>
        <w:spacing w:after="160" w:line="259" w:lineRule="auto"/>
        <w:jc w:val="left"/>
        <w:rPr>
          <w:rFonts w:ascii="Arial" w:hAnsi="Arial" w:cs="Arial"/>
          <w:b/>
        </w:rPr>
      </w:pPr>
    </w:p>
    <w:p w14:paraId="4119B6CD" w14:textId="77777777" w:rsidR="00E9549E" w:rsidRPr="00D80B50" w:rsidRDefault="00E9549E">
      <w:pPr>
        <w:spacing w:after="160" w:line="259" w:lineRule="auto"/>
        <w:jc w:val="left"/>
        <w:rPr>
          <w:rFonts w:ascii="Arial" w:hAnsi="Arial" w:cs="Arial"/>
          <w:b/>
        </w:rPr>
      </w:pPr>
    </w:p>
    <w:p w14:paraId="53046BCC" w14:textId="77777777" w:rsidR="00E9549E" w:rsidRPr="00D80B50" w:rsidRDefault="00E9549E">
      <w:pPr>
        <w:spacing w:after="160" w:line="259" w:lineRule="auto"/>
        <w:jc w:val="left"/>
        <w:rPr>
          <w:rFonts w:ascii="Arial" w:hAnsi="Arial" w:cs="Arial"/>
          <w:b/>
        </w:rPr>
      </w:pPr>
    </w:p>
    <w:p w14:paraId="316188AF" w14:textId="77777777" w:rsidR="00E9549E" w:rsidRPr="00D80B50" w:rsidRDefault="00E9549E">
      <w:pPr>
        <w:spacing w:after="160" w:line="259" w:lineRule="auto"/>
        <w:jc w:val="left"/>
        <w:rPr>
          <w:rFonts w:ascii="Arial" w:hAnsi="Arial" w:cs="Arial"/>
          <w:b/>
        </w:rPr>
      </w:pPr>
    </w:p>
    <w:p w14:paraId="03926964" w14:textId="77777777" w:rsidR="00E9549E" w:rsidRPr="00D80B50" w:rsidRDefault="00E9549E">
      <w:pPr>
        <w:spacing w:after="160" w:line="259" w:lineRule="auto"/>
        <w:jc w:val="left"/>
        <w:rPr>
          <w:rFonts w:ascii="Arial" w:hAnsi="Arial" w:cs="Arial"/>
          <w:b/>
        </w:rPr>
      </w:pPr>
    </w:p>
    <w:p w14:paraId="4D826AF0" w14:textId="77777777" w:rsidR="00E9549E" w:rsidRPr="00D80B50" w:rsidRDefault="00E9549E">
      <w:pPr>
        <w:spacing w:after="160" w:line="259" w:lineRule="auto"/>
        <w:jc w:val="left"/>
        <w:rPr>
          <w:rFonts w:ascii="Arial" w:hAnsi="Arial" w:cs="Arial"/>
          <w:b/>
        </w:rPr>
      </w:pPr>
    </w:p>
    <w:p w14:paraId="74B082A0" w14:textId="77777777" w:rsidR="00E9549E" w:rsidRPr="00D80B50" w:rsidRDefault="00E9549E">
      <w:pPr>
        <w:spacing w:after="160" w:line="259" w:lineRule="auto"/>
        <w:jc w:val="left"/>
        <w:rPr>
          <w:rFonts w:ascii="Arial" w:hAnsi="Arial" w:cs="Arial"/>
          <w:b/>
        </w:rPr>
      </w:pPr>
    </w:p>
    <w:p w14:paraId="604896DE" w14:textId="77777777" w:rsidR="00E9549E" w:rsidRPr="00D80B50" w:rsidRDefault="00E9549E">
      <w:pPr>
        <w:spacing w:after="160" w:line="259" w:lineRule="auto"/>
        <w:jc w:val="left"/>
        <w:rPr>
          <w:rFonts w:ascii="Arial" w:hAnsi="Arial" w:cs="Arial"/>
          <w:b/>
        </w:rPr>
      </w:pPr>
    </w:p>
    <w:p w14:paraId="6CF09A81" w14:textId="77777777" w:rsidR="00E9549E" w:rsidRPr="00D80B50" w:rsidRDefault="00E9549E">
      <w:pPr>
        <w:spacing w:after="160" w:line="259" w:lineRule="auto"/>
        <w:jc w:val="left"/>
        <w:rPr>
          <w:rFonts w:ascii="Arial" w:hAnsi="Arial" w:cs="Arial"/>
          <w:b/>
        </w:rPr>
      </w:pPr>
    </w:p>
    <w:p w14:paraId="4E417FF6" w14:textId="77777777" w:rsidR="00E9549E" w:rsidRPr="00D80B50" w:rsidRDefault="00E9549E">
      <w:pPr>
        <w:spacing w:after="160" w:line="259" w:lineRule="auto"/>
        <w:jc w:val="left"/>
        <w:rPr>
          <w:rFonts w:ascii="Arial" w:hAnsi="Arial" w:cs="Arial"/>
          <w:b/>
        </w:rPr>
      </w:pPr>
    </w:p>
    <w:p w14:paraId="6A869489" w14:textId="77777777" w:rsidR="00E9549E" w:rsidRPr="00D80B50" w:rsidRDefault="00E9549E">
      <w:pPr>
        <w:spacing w:after="160" w:line="259" w:lineRule="auto"/>
        <w:jc w:val="left"/>
        <w:rPr>
          <w:rFonts w:ascii="Arial" w:hAnsi="Arial" w:cs="Arial"/>
          <w:b/>
        </w:rPr>
      </w:pPr>
    </w:p>
    <w:sdt>
      <w:sdtPr>
        <w:rPr>
          <w:rFonts w:ascii="Arial" w:eastAsia="Times New Roman" w:hAnsi="Arial" w:cs="Arial"/>
          <w:color w:val="auto"/>
          <w:sz w:val="24"/>
          <w:szCs w:val="20"/>
          <w:lang w:val="en-GB" w:eastAsia="en-GB"/>
        </w:rPr>
        <w:id w:val="-1909220279"/>
        <w:docPartObj>
          <w:docPartGallery w:val="Table of Contents"/>
          <w:docPartUnique/>
        </w:docPartObj>
      </w:sdtPr>
      <w:sdtEndPr>
        <w:rPr>
          <w:b/>
          <w:bCs/>
          <w:noProof/>
        </w:rPr>
      </w:sdtEndPr>
      <w:sdtContent>
        <w:p w14:paraId="1B4A64D4" w14:textId="77777777" w:rsidR="0097059E" w:rsidRPr="00D80B50" w:rsidRDefault="0097059E" w:rsidP="0097059E">
          <w:pPr>
            <w:pStyle w:val="TOCHeading"/>
            <w:spacing w:line="360" w:lineRule="auto"/>
            <w:jc w:val="center"/>
            <w:rPr>
              <w:rFonts w:ascii="Arial" w:hAnsi="Arial" w:cs="Arial"/>
              <w:b/>
              <w:color w:val="000000" w:themeColor="text1"/>
              <w:sz w:val="24"/>
              <w:szCs w:val="24"/>
            </w:rPr>
          </w:pPr>
          <w:r w:rsidRPr="00D80B50">
            <w:rPr>
              <w:rFonts w:ascii="Arial" w:hAnsi="Arial" w:cs="Arial"/>
              <w:b/>
              <w:color w:val="000000" w:themeColor="text1"/>
              <w:sz w:val="24"/>
              <w:szCs w:val="24"/>
            </w:rPr>
            <w:t>Table of Contents</w:t>
          </w:r>
        </w:p>
        <w:p w14:paraId="1B4A64D5" w14:textId="77777777" w:rsidR="008636A7" w:rsidRPr="00D80B50" w:rsidRDefault="0097059E">
          <w:pPr>
            <w:pStyle w:val="TOC1"/>
            <w:tabs>
              <w:tab w:val="right" w:leader="dot" w:pos="9016"/>
            </w:tabs>
            <w:rPr>
              <w:rFonts w:ascii="Arial" w:eastAsiaTheme="minorEastAsia" w:hAnsi="Arial" w:cs="Arial"/>
              <w:noProof/>
              <w:sz w:val="22"/>
              <w:szCs w:val="22"/>
              <w:lang w:val="en-IN" w:eastAsia="en-IN"/>
            </w:rPr>
          </w:pPr>
          <w:r w:rsidRPr="00D80B50">
            <w:rPr>
              <w:rFonts w:ascii="Arial" w:hAnsi="Arial" w:cs="Arial"/>
            </w:rPr>
            <w:fldChar w:fldCharType="begin"/>
          </w:r>
          <w:r w:rsidRPr="00D80B50">
            <w:rPr>
              <w:rFonts w:ascii="Arial" w:hAnsi="Arial" w:cs="Arial"/>
            </w:rPr>
            <w:instrText xml:space="preserve"> TOC \o "1-3" \h \z \u </w:instrText>
          </w:r>
          <w:r w:rsidRPr="00D80B50">
            <w:rPr>
              <w:rFonts w:ascii="Arial" w:hAnsi="Arial" w:cs="Arial"/>
            </w:rPr>
            <w:fldChar w:fldCharType="separate"/>
          </w:r>
          <w:hyperlink w:anchor="_Toc209707768" w:history="1">
            <w:r w:rsidR="008636A7" w:rsidRPr="00D80B50">
              <w:rPr>
                <w:rStyle w:val="Hyperlink"/>
                <w:rFonts w:ascii="Arial" w:hAnsi="Arial" w:cs="Arial"/>
                <w:noProof/>
              </w:rPr>
              <w:t>Introduction</w:t>
            </w:r>
            <w:r w:rsidR="008636A7" w:rsidRPr="00D80B50">
              <w:rPr>
                <w:rFonts w:ascii="Arial" w:hAnsi="Arial" w:cs="Arial"/>
                <w:noProof/>
                <w:webHidden/>
              </w:rPr>
              <w:tab/>
            </w:r>
            <w:r w:rsidR="008636A7" w:rsidRPr="00D80B50">
              <w:rPr>
                <w:rFonts w:ascii="Arial" w:hAnsi="Arial" w:cs="Arial"/>
                <w:noProof/>
                <w:webHidden/>
              </w:rPr>
              <w:fldChar w:fldCharType="begin"/>
            </w:r>
            <w:r w:rsidR="008636A7" w:rsidRPr="00D80B50">
              <w:rPr>
                <w:rFonts w:ascii="Arial" w:hAnsi="Arial" w:cs="Arial"/>
                <w:noProof/>
                <w:webHidden/>
              </w:rPr>
              <w:instrText xml:space="preserve"> PAGEREF _Toc209707768 \h </w:instrText>
            </w:r>
            <w:r w:rsidR="008636A7" w:rsidRPr="00D80B50">
              <w:rPr>
                <w:rFonts w:ascii="Arial" w:hAnsi="Arial" w:cs="Arial"/>
                <w:noProof/>
                <w:webHidden/>
              </w:rPr>
            </w:r>
            <w:r w:rsidR="008636A7" w:rsidRPr="00D80B50">
              <w:rPr>
                <w:rFonts w:ascii="Arial" w:hAnsi="Arial" w:cs="Arial"/>
                <w:noProof/>
                <w:webHidden/>
              </w:rPr>
              <w:fldChar w:fldCharType="separate"/>
            </w:r>
            <w:r w:rsidR="008636A7" w:rsidRPr="00D80B50">
              <w:rPr>
                <w:rFonts w:ascii="Arial" w:hAnsi="Arial" w:cs="Arial"/>
                <w:noProof/>
                <w:webHidden/>
              </w:rPr>
              <w:t>3</w:t>
            </w:r>
            <w:r w:rsidR="008636A7" w:rsidRPr="00D80B50">
              <w:rPr>
                <w:rFonts w:ascii="Arial" w:hAnsi="Arial" w:cs="Arial"/>
                <w:noProof/>
                <w:webHidden/>
              </w:rPr>
              <w:fldChar w:fldCharType="end"/>
            </w:r>
          </w:hyperlink>
        </w:p>
        <w:p w14:paraId="1B4A64D6" w14:textId="77777777" w:rsidR="008636A7" w:rsidRPr="00D80B50" w:rsidRDefault="008636A7">
          <w:pPr>
            <w:pStyle w:val="TOC1"/>
            <w:tabs>
              <w:tab w:val="right" w:leader="dot" w:pos="9016"/>
            </w:tabs>
            <w:rPr>
              <w:rFonts w:ascii="Arial" w:eastAsiaTheme="minorEastAsia" w:hAnsi="Arial" w:cs="Arial"/>
              <w:noProof/>
              <w:sz w:val="22"/>
              <w:szCs w:val="22"/>
              <w:lang w:val="en-IN" w:eastAsia="en-IN"/>
            </w:rPr>
          </w:pPr>
          <w:hyperlink w:anchor="_Toc209707769" w:history="1">
            <w:r w:rsidRPr="00D80B50">
              <w:rPr>
                <w:rStyle w:val="Hyperlink"/>
                <w:rFonts w:ascii="Arial" w:hAnsi="Arial" w:cs="Arial"/>
                <w:noProof/>
              </w:rPr>
              <w:t>Main Body</w:t>
            </w:r>
            <w:r w:rsidRPr="00D80B50">
              <w:rPr>
                <w:rFonts w:ascii="Arial" w:hAnsi="Arial" w:cs="Arial"/>
                <w:noProof/>
                <w:webHidden/>
              </w:rPr>
              <w:tab/>
            </w:r>
            <w:r w:rsidRPr="00D80B50">
              <w:rPr>
                <w:rFonts w:ascii="Arial" w:hAnsi="Arial" w:cs="Arial"/>
                <w:noProof/>
                <w:webHidden/>
              </w:rPr>
              <w:fldChar w:fldCharType="begin"/>
            </w:r>
            <w:r w:rsidRPr="00D80B50">
              <w:rPr>
                <w:rFonts w:ascii="Arial" w:hAnsi="Arial" w:cs="Arial"/>
                <w:noProof/>
                <w:webHidden/>
              </w:rPr>
              <w:instrText xml:space="preserve"> PAGEREF _Toc209707769 \h </w:instrText>
            </w:r>
            <w:r w:rsidRPr="00D80B50">
              <w:rPr>
                <w:rFonts w:ascii="Arial" w:hAnsi="Arial" w:cs="Arial"/>
                <w:noProof/>
                <w:webHidden/>
              </w:rPr>
            </w:r>
            <w:r w:rsidRPr="00D80B50">
              <w:rPr>
                <w:rFonts w:ascii="Arial" w:hAnsi="Arial" w:cs="Arial"/>
                <w:noProof/>
                <w:webHidden/>
              </w:rPr>
              <w:fldChar w:fldCharType="separate"/>
            </w:r>
            <w:r w:rsidRPr="00D80B50">
              <w:rPr>
                <w:rFonts w:ascii="Arial" w:hAnsi="Arial" w:cs="Arial"/>
                <w:noProof/>
                <w:webHidden/>
              </w:rPr>
              <w:t>3</w:t>
            </w:r>
            <w:r w:rsidRPr="00D80B50">
              <w:rPr>
                <w:rFonts w:ascii="Arial" w:hAnsi="Arial" w:cs="Arial"/>
                <w:noProof/>
                <w:webHidden/>
              </w:rPr>
              <w:fldChar w:fldCharType="end"/>
            </w:r>
          </w:hyperlink>
        </w:p>
        <w:p w14:paraId="1B4A64D7" w14:textId="77777777" w:rsidR="008636A7" w:rsidRPr="00D80B50" w:rsidRDefault="008636A7">
          <w:pPr>
            <w:pStyle w:val="TOC1"/>
            <w:tabs>
              <w:tab w:val="right" w:leader="dot" w:pos="9016"/>
            </w:tabs>
            <w:rPr>
              <w:rFonts w:ascii="Arial" w:eastAsiaTheme="minorEastAsia" w:hAnsi="Arial" w:cs="Arial"/>
              <w:noProof/>
              <w:sz w:val="22"/>
              <w:szCs w:val="22"/>
              <w:lang w:val="en-IN" w:eastAsia="en-IN"/>
            </w:rPr>
          </w:pPr>
          <w:hyperlink w:anchor="_Toc209707770" w:history="1">
            <w:r w:rsidRPr="00D80B50">
              <w:rPr>
                <w:rStyle w:val="Hyperlink"/>
                <w:rFonts w:ascii="Arial" w:hAnsi="Arial" w:cs="Arial"/>
                <w:noProof/>
              </w:rPr>
              <w:t>Conclusion</w:t>
            </w:r>
            <w:r w:rsidRPr="00D80B50">
              <w:rPr>
                <w:rFonts w:ascii="Arial" w:hAnsi="Arial" w:cs="Arial"/>
                <w:noProof/>
                <w:webHidden/>
              </w:rPr>
              <w:tab/>
            </w:r>
            <w:r w:rsidRPr="00D80B50">
              <w:rPr>
                <w:rFonts w:ascii="Arial" w:hAnsi="Arial" w:cs="Arial"/>
                <w:noProof/>
                <w:webHidden/>
              </w:rPr>
              <w:fldChar w:fldCharType="begin"/>
            </w:r>
            <w:r w:rsidRPr="00D80B50">
              <w:rPr>
                <w:rFonts w:ascii="Arial" w:hAnsi="Arial" w:cs="Arial"/>
                <w:noProof/>
                <w:webHidden/>
              </w:rPr>
              <w:instrText xml:space="preserve"> PAGEREF _Toc209707770 \h </w:instrText>
            </w:r>
            <w:r w:rsidRPr="00D80B50">
              <w:rPr>
                <w:rFonts w:ascii="Arial" w:hAnsi="Arial" w:cs="Arial"/>
                <w:noProof/>
                <w:webHidden/>
              </w:rPr>
            </w:r>
            <w:r w:rsidRPr="00D80B50">
              <w:rPr>
                <w:rFonts w:ascii="Arial" w:hAnsi="Arial" w:cs="Arial"/>
                <w:noProof/>
                <w:webHidden/>
              </w:rPr>
              <w:fldChar w:fldCharType="separate"/>
            </w:r>
            <w:r w:rsidRPr="00D80B50">
              <w:rPr>
                <w:rFonts w:ascii="Arial" w:hAnsi="Arial" w:cs="Arial"/>
                <w:noProof/>
                <w:webHidden/>
              </w:rPr>
              <w:t>6</w:t>
            </w:r>
            <w:r w:rsidRPr="00D80B50">
              <w:rPr>
                <w:rFonts w:ascii="Arial" w:hAnsi="Arial" w:cs="Arial"/>
                <w:noProof/>
                <w:webHidden/>
              </w:rPr>
              <w:fldChar w:fldCharType="end"/>
            </w:r>
          </w:hyperlink>
        </w:p>
        <w:p w14:paraId="1B4A64D8" w14:textId="77777777" w:rsidR="008636A7" w:rsidRPr="00D80B50" w:rsidRDefault="008636A7">
          <w:pPr>
            <w:pStyle w:val="TOC1"/>
            <w:tabs>
              <w:tab w:val="right" w:leader="dot" w:pos="9016"/>
            </w:tabs>
            <w:rPr>
              <w:rFonts w:ascii="Arial" w:eastAsiaTheme="minorEastAsia" w:hAnsi="Arial" w:cs="Arial"/>
              <w:noProof/>
              <w:sz w:val="22"/>
              <w:szCs w:val="22"/>
              <w:lang w:val="en-IN" w:eastAsia="en-IN"/>
            </w:rPr>
          </w:pPr>
          <w:hyperlink w:anchor="_Toc209707771" w:history="1">
            <w:r w:rsidRPr="00D80B50">
              <w:rPr>
                <w:rStyle w:val="Hyperlink"/>
                <w:rFonts w:ascii="Arial" w:hAnsi="Arial" w:cs="Arial"/>
                <w:noProof/>
              </w:rPr>
              <w:t>Reference List</w:t>
            </w:r>
            <w:r w:rsidRPr="00D80B50">
              <w:rPr>
                <w:rFonts w:ascii="Arial" w:hAnsi="Arial" w:cs="Arial"/>
                <w:noProof/>
                <w:webHidden/>
              </w:rPr>
              <w:tab/>
            </w:r>
            <w:r w:rsidRPr="00D80B50">
              <w:rPr>
                <w:rFonts w:ascii="Arial" w:hAnsi="Arial" w:cs="Arial"/>
                <w:noProof/>
                <w:webHidden/>
              </w:rPr>
              <w:fldChar w:fldCharType="begin"/>
            </w:r>
            <w:r w:rsidRPr="00D80B50">
              <w:rPr>
                <w:rFonts w:ascii="Arial" w:hAnsi="Arial" w:cs="Arial"/>
                <w:noProof/>
                <w:webHidden/>
              </w:rPr>
              <w:instrText xml:space="preserve"> PAGEREF _Toc209707771 \h </w:instrText>
            </w:r>
            <w:r w:rsidRPr="00D80B50">
              <w:rPr>
                <w:rFonts w:ascii="Arial" w:hAnsi="Arial" w:cs="Arial"/>
                <w:noProof/>
                <w:webHidden/>
              </w:rPr>
            </w:r>
            <w:r w:rsidRPr="00D80B50">
              <w:rPr>
                <w:rFonts w:ascii="Arial" w:hAnsi="Arial" w:cs="Arial"/>
                <w:noProof/>
                <w:webHidden/>
              </w:rPr>
              <w:fldChar w:fldCharType="separate"/>
            </w:r>
            <w:r w:rsidRPr="00D80B50">
              <w:rPr>
                <w:rFonts w:ascii="Arial" w:hAnsi="Arial" w:cs="Arial"/>
                <w:noProof/>
                <w:webHidden/>
              </w:rPr>
              <w:t>7</w:t>
            </w:r>
            <w:r w:rsidRPr="00D80B50">
              <w:rPr>
                <w:rFonts w:ascii="Arial" w:hAnsi="Arial" w:cs="Arial"/>
                <w:noProof/>
                <w:webHidden/>
              </w:rPr>
              <w:fldChar w:fldCharType="end"/>
            </w:r>
          </w:hyperlink>
        </w:p>
        <w:p w14:paraId="1B4A64D9" w14:textId="77777777" w:rsidR="008636A7" w:rsidRPr="00D80B50" w:rsidRDefault="008636A7">
          <w:pPr>
            <w:pStyle w:val="TOC1"/>
            <w:tabs>
              <w:tab w:val="right" w:leader="dot" w:pos="9016"/>
            </w:tabs>
            <w:rPr>
              <w:rFonts w:ascii="Arial" w:eastAsiaTheme="minorEastAsia" w:hAnsi="Arial" w:cs="Arial"/>
              <w:noProof/>
              <w:sz w:val="22"/>
              <w:szCs w:val="22"/>
              <w:lang w:val="en-IN" w:eastAsia="en-IN"/>
            </w:rPr>
          </w:pPr>
          <w:hyperlink w:anchor="_Toc209707772" w:history="1">
            <w:r w:rsidRPr="00D80B50">
              <w:rPr>
                <w:rStyle w:val="Hyperlink"/>
                <w:rFonts w:ascii="Arial" w:hAnsi="Arial" w:cs="Arial"/>
                <w:noProof/>
              </w:rPr>
              <w:t>Appendices</w:t>
            </w:r>
            <w:r w:rsidRPr="00D80B50">
              <w:rPr>
                <w:rFonts w:ascii="Arial" w:hAnsi="Arial" w:cs="Arial"/>
                <w:noProof/>
                <w:webHidden/>
              </w:rPr>
              <w:tab/>
            </w:r>
            <w:r w:rsidRPr="00D80B50">
              <w:rPr>
                <w:rFonts w:ascii="Arial" w:hAnsi="Arial" w:cs="Arial"/>
                <w:noProof/>
                <w:webHidden/>
              </w:rPr>
              <w:fldChar w:fldCharType="begin"/>
            </w:r>
            <w:r w:rsidRPr="00D80B50">
              <w:rPr>
                <w:rFonts w:ascii="Arial" w:hAnsi="Arial" w:cs="Arial"/>
                <w:noProof/>
                <w:webHidden/>
              </w:rPr>
              <w:instrText xml:space="preserve"> PAGEREF _Toc209707772 \h </w:instrText>
            </w:r>
            <w:r w:rsidRPr="00D80B50">
              <w:rPr>
                <w:rFonts w:ascii="Arial" w:hAnsi="Arial" w:cs="Arial"/>
                <w:noProof/>
                <w:webHidden/>
              </w:rPr>
            </w:r>
            <w:r w:rsidRPr="00D80B50">
              <w:rPr>
                <w:rFonts w:ascii="Arial" w:hAnsi="Arial" w:cs="Arial"/>
                <w:noProof/>
                <w:webHidden/>
              </w:rPr>
              <w:fldChar w:fldCharType="separate"/>
            </w:r>
            <w:r w:rsidRPr="00D80B50">
              <w:rPr>
                <w:rFonts w:ascii="Arial" w:hAnsi="Arial" w:cs="Arial"/>
                <w:noProof/>
                <w:webHidden/>
              </w:rPr>
              <w:t>10</w:t>
            </w:r>
            <w:r w:rsidRPr="00D80B50">
              <w:rPr>
                <w:rFonts w:ascii="Arial" w:hAnsi="Arial" w:cs="Arial"/>
                <w:noProof/>
                <w:webHidden/>
              </w:rPr>
              <w:fldChar w:fldCharType="end"/>
            </w:r>
          </w:hyperlink>
        </w:p>
        <w:p w14:paraId="1B4A64DA" w14:textId="77777777" w:rsidR="0097059E" w:rsidRPr="00D80B50" w:rsidRDefault="0097059E">
          <w:pPr>
            <w:rPr>
              <w:rFonts w:ascii="Arial" w:hAnsi="Arial" w:cs="Arial"/>
            </w:rPr>
          </w:pPr>
          <w:r w:rsidRPr="00D80B50">
            <w:rPr>
              <w:rFonts w:ascii="Arial" w:hAnsi="Arial" w:cs="Arial"/>
              <w:b/>
              <w:bCs/>
              <w:noProof/>
            </w:rPr>
            <w:fldChar w:fldCharType="end"/>
          </w:r>
        </w:p>
      </w:sdtContent>
    </w:sdt>
    <w:p w14:paraId="1B4A64DB" w14:textId="77777777" w:rsidR="0030654D" w:rsidRPr="00D80B50" w:rsidRDefault="0030654D" w:rsidP="0097059E">
      <w:pPr>
        <w:rPr>
          <w:rFonts w:ascii="Arial" w:hAnsi="Arial" w:cs="Arial"/>
        </w:rPr>
      </w:pPr>
    </w:p>
    <w:p w14:paraId="1B4A64DC" w14:textId="77777777" w:rsidR="0030654D" w:rsidRPr="00D80B50" w:rsidRDefault="0030654D">
      <w:pPr>
        <w:spacing w:after="160" w:line="259" w:lineRule="auto"/>
        <w:jc w:val="left"/>
        <w:rPr>
          <w:rFonts w:ascii="Arial" w:hAnsi="Arial" w:cs="Arial"/>
          <w:b/>
        </w:rPr>
      </w:pPr>
      <w:r w:rsidRPr="00D80B50">
        <w:rPr>
          <w:rFonts w:ascii="Arial" w:hAnsi="Arial" w:cs="Arial"/>
          <w:b/>
        </w:rPr>
        <w:br w:type="page"/>
      </w:r>
    </w:p>
    <w:p w14:paraId="1B4A64DD" w14:textId="77777777" w:rsidR="0030654D" w:rsidRPr="00D80B50" w:rsidRDefault="00AD4527" w:rsidP="00AD4527">
      <w:pPr>
        <w:pStyle w:val="Heading1"/>
        <w:rPr>
          <w:rFonts w:ascii="Arial" w:hAnsi="Arial" w:cs="Arial"/>
        </w:rPr>
      </w:pPr>
      <w:bookmarkStart w:id="0" w:name="_Toc209707768"/>
      <w:r w:rsidRPr="00D80B50">
        <w:rPr>
          <w:rFonts w:ascii="Arial" w:hAnsi="Arial" w:cs="Arial"/>
        </w:rPr>
        <w:lastRenderedPageBreak/>
        <w:t>Introduction</w:t>
      </w:r>
      <w:bookmarkEnd w:id="0"/>
      <w:r w:rsidRPr="00D80B50">
        <w:rPr>
          <w:rFonts w:ascii="Arial" w:hAnsi="Arial" w:cs="Arial"/>
        </w:rPr>
        <w:t xml:space="preserve"> </w:t>
      </w:r>
    </w:p>
    <w:p w14:paraId="1B4A64DE" w14:textId="77777777" w:rsidR="00AD4527" w:rsidRPr="00D80B50" w:rsidRDefault="0093249F" w:rsidP="00AD4527">
      <w:pPr>
        <w:rPr>
          <w:rFonts w:ascii="Arial" w:hAnsi="Arial" w:cs="Arial"/>
        </w:rPr>
      </w:pPr>
      <w:r w:rsidRPr="00D80B50">
        <w:rPr>
          <w:rFonts w:ascii="Arial" w:hAnsi="Arial" w:cs="Arial"/>
        </w:rPr>
        <w:t>Stobierski (2021) defined globalisation as the increased volume of flow of goods, services, capital, and people across international borders</w:t>
      </w:r>
      <w:r w:rsidR="008151C0" w:rsidRPr="00D80B50">
        <w:rPr>
          <w:rFonts w:ascii="Arial" w:hAnsi="Arial" w:cs="Arial"/>
        </w:rPr>
        <w:t xml:space="preserve">. </w:t>
      </w:r>
      <w:r w:rsidR="006C3BF4" w:rsidRPr="00D80B50">
        <w:rPr>
          <w:rFonts w:ascii="Arial" w:hAnsi="Arial" w:cs="Arial"/>
        </w:rPr>
        <w:t xml:space="preserve">The author stated that even though there are various positive </w:t>
      </w:r>
      <w:r w:rsidR="00792FA0" w:rsidRPr="00D80B50">
        <w:rPr>
          <w:rFonts w:ascii="Arial" w:hAnsi="Arial" w:cs="Arial"/>
        </w:rPr>
        <w:t xml:space="preserve">impacts of globalisation, the net impact is generally negative. The essay will </w:t>
      </w:r>
      <w:r w:rsidR="008E7B23" w:rsidRPr="00D80B50">
        <w:rPr>
          <w:rFonts w:ascii="Arial" w:hAnsi="Arial" w:cs="Arial"/>
        </w:rPr>
        <w:t xml:space="preserve">therefore gauge the benefits and challenges offered by global forces to international businesses like AstraZeneca. It aims to </w:t>
      </w:r>
      <w:r w:rsidR="00863A4C" w:rsidRPr="00D80B50">
        <w:rPr>
          <w:rFonts w:ascii="Arial" w:hAnsi="Arial" w:cs="Arial"/>
        </w:rPr>
        <w:t xml:space="preserve">analyse how the global business environment impacts AstraZeneca's international strategy and operations and offer strategic recommendations. </w:t>
      </w:r>
      <w:r w:rsidR="00135C2E" w:rsidRPr="00D80B50">
        <w:rPr>
          <w:rFonts w:ascii="Arial" w:hAnsi="Arial" w:cs="Arial"/>
        </w:rPr>
        <w:t xml:space="preserve">AstraZeneca is a </w:t>
      </w:r>
      <w:r w:rsidR="00A11A32" w:rsidRPr="00D80B50">
        <w:rPr>
          <w:rFonts w:ascii="Arial" w:hAnsi="Arial" w:cs="Arial"/>
        </w:rPr>
        <w:t>global pharmaceutical company</w:t>
      </w:r>
      <w:r w:rsidR="00E21EAB" w:rsidRPr="00D80B50">
        <w:rPr>
          <w:rFonts w:ascii="Arial" w:hAnsi="Arial" w:cs="Arial"/>
        </w:rPr>
        <w:t xml:space="preserve"> which has expanded its operations in numerous countries in regions like Europe, Africa, Asia-Pacific and the Americas (</w:t>
      </w:r>
      <w:r w:rsidR="00C63C15" w:rsidRPr="00D80B50">
        <w:rPr>
          <w:rFonts w:ascii="Arial" w:hAnsi="Arial" w:cs="Arial"/>
        </w:rPr>
        <w:t>AstraZeneca</w:t>
      </w:r>
      <w:r w:rsidR="00B42C69" w:rsidRPr="00D80B50">
        <w:rPr>
          <w:rFonts w:ascii="Arial" w:hAnsi="Arial" w:cs="Arial"/>
        </w:rPr>
        <w:t>, 2025</w:t>
      </w:r>
      <w:r w:rsidR="00E21EAB" w:rsidRPr="00D80B50">
        <w:rPr>
          <w:rFonts w:ascii="Arial" w:hAnsi="Arial" w:cs="Arial"/>
        </w:rPr>
        <w:t xml:space="preserve">). </w:t>
      </w:r>
    </w:p>
    <w:p w14:paraId="1B4A64DF" w14:textId="77777777" w:rsidR="006E57B4" w:rsidRPr="00D80B50" w:rsidRDefault="006E57B4" w:rsidP="006E57B4">
      <w:pPr>
        <w:pStyle w:val="Heading1"/>
        <w:rPr>
          <w:rFonts w:ascii="Arial" w:hAnsi="Arial" w:cs="Arial"/>
        </w:rPr>
      </w:pPr>
      <w:bookmarkStart w:id="1" w:name="_Toc209707769"/>
      <w:r w:rsidRPr="00D80B50">
        <w:rPr>
          <w:rFonts w:ascii="Arial" w:hAnsi="Arial" w:cs="Arial"/>
        </w:rPr>
        <w:t>Main Body</w:t>
      </w:r>
      <w:bookmarkEnd w:id="1"/>
      <w:r w:rsidRPr="00D80B50">
        <w:rPr>
          <w:rFonts w:ascii="Arial" w:hAnsi="Arial" w:cs="Arial"/>
        </w:rPr>
        <w:t xml:space="preserve"> </w:t>
      </w:r>
    </w:p>
    <w:p w14:paraId="1B4A64E0" w14:textId="77777777" w:rsidR="005E69C0" w:rsidRPr="00D80B50" w:rsidRDefault="005E69C0" w:rsidP="005E69C0">
      <w:pPr>
        <w:rPr>
          <w:rFonts w:ascii="Arial" w:hAnsi="Arial" w:cs="Arial"/>
          <w:color w:val="1B1C1D"/>
          <w:szCs w:val="24"/>
          <w:lang w:val="en-IN" w:eastAsia="en-IN"/>
        </w:rPr>
      </w:pPr>
      <w:r w:rsidRPr="00D80B50">
        <w:rPr>
          <w:rFonts w:ascii="Arial" w:hAnsi="Arial" w:cs="Arial"/>
          <w:color w:val="1B1C1D"/>
          <w:szCs w:val="24"/>
          <w:lang w:val="en-IN" w:eastAsia="en-IN"/>
        </w:rPr>
        <w:t>AstraZeneca's global operations</w:t>
      </w:r>
      <w:r w:rsidR="00970016" w:rsidRPr="00D80B50">
        <w:rPr>
          <w:rFonts w:ascii="Arial" w:hAnsi="Arial" w:cs="Arial"/>
          <w:color w:val="1B1C1D"/>
          <w:szCs w:val="24"/>
          <w:lang w:val="en-IN" w:eastAsia="en-IN"/>
        </w:rPr>
        <w:t xml:space="preserve">, especially the </w:t>
      </w:r>
      <w:r w:rsidR="00970016" w:rsidRPr="00D80B50">
        <w:rPr>
          <w:rFonts w:ascii="Arial" w:hAnsi="Arial" w:cs="Arial"/>
        </w:rPr>
        <w:t xml:space="preserve">supply chain and market access, </w:t>
      </w:r>
      <w:r w:rsidRPr="00D80B50">
        <w:rPr>
          <w:rFonts w:ascii="Arial" w:hAnsi="Arial" w:cs="Arial"/>
          <w:color w:val="1B1C1D"/>
          <w:szCs w:val="24"/>
          <w:lang w:val="en-IN" w:eastAsia="en-IN"/>
        </w:rPr>
        <w:t xml:space="preserve">can </w:t>
      </w:r>
      <w:r w:rsidR="00112C82" w:rsidRPr="00D80B50">
        <w:rPr>
          <w:rFonts w:ascii="Arial" w:hAnsi="Arial" w:cs="Arial"/>
          <w:color w:val="1B1C1D"/>
          <w:szCs w:val="24"/>
          <w:lang w:val="en-IN" w:eastAsia="en-IN"/>
        </w:rPr>
        <w:t>be</w:t>
      </w:r>
      <w:r w:rsidRPr="00D80B50">
        <w:rPr>
          <w:rFonts w:ascii="Arial" w:hAnsi="Arial" w:cs="Arial"/>
          <w:color w:val="1B1C1D"/>
          <w:szCs w:val="24"/>
          <w:lang w:val="en-IN" w:eastAsia="en-IN"/>
        </w:rPr>
        <w:t xml:space="preserve"> disrupted significantly due to the global </w:t>
      </w:r>
      <w:r w:rsidRPr="00D80B50">
        <w:rPr>
          <w:rFonts w:ascii="Arial" w:hAnsi="Arial" w:cs="Arial"/>
          <w:b/>
          <w:color w:val="1B1C1D"/>
          <w:szCs w:val="24"/>
          <w:lang w:val="en-IN" w:eastAsia="en-IN"/>
        </w:rPr>
        <w:t>geopolitical</w:t>
      </w:r>
      <w:r w:rsidRPr="00D80B50">
        <w:rPr>
          <w:rFonts w:ascii="Arial" w:hAnsi="Arial" w:cs="Arial"/>
          <w:color w:val="1B1C1D"/>
          <w:szCs w:val="24"/>
          <w:lang w:val="en-IN" w:eastAsia="en-IN"/>
        </w:rPr>
        <w:t xml:space="preserve"> </w:t>
      </w:r>
      <w:r w:rsidR="00970016" w:rsidRPr="00D80B50">
        <w:rPr>
          <w:rFonts w:ascii="Arial" w:hAnsi="Arial" w:cs="Arial"/>
          <w:color w:val="1B1C1D"/>
          <w:szCs w:val="24"/>
          <w:lang w:val="en-IN" w:eastAsia="en-IN"/>
        </w:rPr>
        <w:t>tensions</w:t>
      </w:r>
      <w:r w:rsidRPr="00D80B50">
        <w:rPr>
          <w:rFonts w:ascii="Arial" w:hAnsi="Arial" w:cs="Arial"/>
          <w:color w:val="1B1C1D"/>
          <w:szCs w:val="24"/>
          <w:lang w:val="en-IN" w:eastAsia="en-IN"/>
        </w:rPr>
        <w:t xml:space="preserve">. </w:t>
      </w:r>
      <w:r w:rsidR="00112C82" w:rsidRPr="00D80B50">
        <w:rPr>
          <w:rFonts w:ascii="Arial" w:hAnsi="Arial" w:cs="Arial"/>
          <w:color w:val="1B1C1D"/>
          <w:szCs w:val="24"/>
          <w:lang w:val="en-IN" w:eastAsia="en-IN"/>
        </w:rPr>
        <w:t xml:space="preserve">International trade gets halted due to conflicts like </w:t>
      </w:r>
      <w:r w:rsidR="0005266E" w:rsidRPr="00D80B50">
        <w:rPr>
          <w:rFonts w:ascii="Arial" w:hAnsi="Arial" w:cs="Arial"/>
          <w:color w:val="1B1C1D"/>
          <w:szCs w:val="24"/>
          <w:lang w:val="en-IN" w:eastAsia="en-IN"/>
        </w:rPr>
        <w:t xml:space="preserve">the </w:t>
      </w:r>
      <w:r w:rsidR="00112C82" w:rsidRPr="00D80B50">
        <w:rPr>
          <w:rFonts w:ascii="Arial" w:hAnsi="Arial" w:cs="Arial"/>
          <w:color w:val="1B1C1D"/>
          <w:szCs w:val="24"/>
          <w:lang w:val="en-IN" w:eastAsia="en-IN"/>
        </w:rPr>
        <w:t>Red Sea crisis</w:t>
      </w:r>
      <w:r w:rsidR="0005266E" w:rsidRPr="00D80B50">
        <w:rPr>
          <w:rFonts w:ascii="Arial" w:hAnsi="Arial" w:cs="Arial"/>
          <w:color w:val="1B1C1D"/>
          <w:szCs w:val="24"/>
          <w:lang w:val="en-IN" w:eastAsia="en-IN"/>
        </w:rPr>
        <w:t>,</w:t>
      </w:r>
      <w:r w:rsidR="00112C82" w:rsidRPr="00D80B50">
        <w:rPr>
          <w:rFonts w:ascii="Arial" w:hAnsi="Arial" w:cs="Arial"/>
          <w:color w:val="1B1C1D"/>
          <w:szCs w:val="24"/>
          <w:lang w:val="en-IN" w:eastAsia="en-IN"/>
        </w:rPr>
        <w:t xml:space="preserve"> </w:t>
      </w:r>
      <w:r w:rsidR="0005266E" w:rsidRPr="00D80B50">
        <w:rPr>
          <w:rFonts w:ascii="Arial" w:hAnsi="Arial" w:cs="Arial"/>
          <w:color w:val="1B1C1D"/>
          <w:szCs w:val="24"/>
          <w:lang w:val="en-IN" w:eastAsia="en-IN"/>
        </w:rPr>
        <w:t xml:space="preserve">which shows that </w:t>
      </w:r>
      <w:r w:rsidR="0005266E" w:rsidRPr="00D80B50">
        <w:rPr>
          <w:rFonts w:ascii="Arial" w:hAnsi="Arial" w:cs="Arial"/>
        </w:rPr>
        <w:t xml:space="preserve">regional conflicts lead to longer transit times and higher shipping costs for companies relying on this key route. The situation </w:t>
      </w:r>
      <w:r w:rsidR="00A26D5A" w:rsidRPr="00D80B50">
        <w:rPr>
          <w:rFonts w:ascii="Arial" w:hAnsi="Arial" w:cs="Arial"/>
        </w:rPr>
        <w:t xml:space="preserve">has increased the average transit time by 39% between Asia and the Mediterranean (Aprile, 2025). </w:t>
      </w:r>
      <w:r w:rsidR="00447C5B" w:rsidRPr="00D80B50">
        <w:rPr>
          <w:rFonts w:ascii="Arial" w:hAnsi="Arial" w:cs="Arial"/>
        </w:rPr>
        <w:t xml:space="preserve">Such situations </w:t>
      </w:r>
      <w:r w:rsidR="00447C5B" w:rsidRPr="00D80B50">
        <w:rPr>
          <w:rFonts w:ascii="Arial" w:hAnsi="Arial" w:cs="Arial"/>
          <w:color w:val="1B1C1D"/>
          <w:szCs w:val="24"/>
          <w:lang w:val="en-IN" w:eastAsia="en-IN"/>
        </w:rPr>
        <w:t>increase the</w:t>
      </w:r>
      <w:r w:rsidR="00B72D1D" w:rsidRPr="00D80B50">
        <w:rPr>
          <w:rFonts w:ascii="Arial" w:hAnsi="Arial" w:cs="Arial"/>
          <w:color w:val="1B1C1D"/>
          <w:szCs w:val="24"/>
          <w:lang w:val="en-IN" w:eastAsia="en-IN"/>
        </w:rPr>
        <w:t xml:space="preserve"> operational expenses and</w:t>
      </w:r>
      <w:r w:rsidR="00447C5B" w:rsidRPr="00D80B50">
        <w:rPr>
          <w:rFonts w:ascii="Arial" w:hAnsi="Arial" w:cs="Arial"/>
          <w:color w:val="1B1C1D"/>
          <w:szCs w:val="24"/>
          <w:lang w:val="en-IN" w:eastAsia="en-IN"/>
        </w:rPr>
        <w:t xml:space="preserve"> even</w:t>
      </w:r>
      <w:r w:rsidR="00B72D1D" w:rsidRPr="00D80B50">
        <w:rPr>
          <w:rFonts w:ascii="Arial" w:hAnsi="Arial" w:cs="Arial"/>
          <w:color w:val="1B1C1D"/>
          <w:szCs w:val="24"/>
          <w:lang w:val="en-IN" w:eastAsia="en-IN"/>
        </w:rPr>
        <w:t xml:space="preserve"> </w:t>
      </w:r>
      <w:r w:rsidR="00447C5B" w:rsidRPr="00D80B50">
        <w:rPr>
          <w:rFonts w:ascii="Arial" w:hAnsi="Arial" w:cs="Arial"/>
          <w:color w:val="1B1C1D"/>
          <w:szCs w:val="24"/>
          <w:lang w:val="en-IN" w:eastAsia="en-IN"/>
        </w:rPr>
        <w:t>create</w:t>
      </w:r>
      <w:r w:rsidR="00B72D1D" w:rsidRPr="00D80B50">
        <w:rPr>
          <w:rFonts w:ascii="Arial" w:hAnsi="Arial" w:cs="Arial"/>
          <w:color w:val="1B1C1D"/>
          <w:szCs w:val="24"/>
          <w:lang w:val="en-IN" w:eastAsia="en-IN"/>
        </w:rPr>
        <w:t xml:space="preserve"> potential delays in delivering life-changing medicines</w:t>
      </w:r>
      <w:r w:rsidR="00447C5B" w:rsidRPr="00D80B50">
        <w:rPr>
          <w:rFonts w:ascii="Arial" w:hAnsi="Arial" w:cs="Arial"/>
          <w:color w:val="1B1C1D"/>
          <w:szCs w:val="24"/>
          <w:lang w:val="en-IN" w:eastAsia="en-IN"/>
        </w:rPr>
        <w:t xml:space="preserve">, which eventually damages </w:t>
      </w:r>
      <w:r w:rsidR="00447C5B" w:rsidRPr="00D80B50">
        <w:rPr>
          <w:rFonts w:ascii="Arial" w:hAnsi="Arial" w:cs="Arial"/>
        </w:rPr>
        <w:t xml:space="preserve">the competitiveness of global companies like AstraZeneca. </w:t>
      </w:r>
      <w:r w:rsidR="002601AA" w:rsidRPr="00D80B50">
        <w:rPr>
          <w:rFonts w:ascii="Arial" w:hAnsi="Arial" w:cs="Arial"/>
        </w:rPr>
        <w:t xml:space="preserve">On the other hand, the situation also provided the company </w:t>
      </w:r>
      <w:r w:rsidR="004A5164" w:rsidRPr="00D80B50">
        <w:rPr>
          <w:rFonts w:ascii="Arial" w:hAnsi="Arial" w:cs="Arial"/>
        </w:rPr>
        <w:t xml:space="preserve">with </w:t>
      </w:r>
      <w:r w:rsidR="002601AA" w:rsidRPr="00D80B50">
        <w:rPr>
          <w:rFonts w:ascii="Arial" w:hAnsi="Arial" w:cs="Arial"/>
        </w:rPr>
        <w:t>the opportunity to create independent drug supply chains for the U.S. and China</w:t>
      </w:r>
      <w:r w:rsidR="005D7ED0" w:rsidRPr="00D80B50">
        <w:rPr>
          <w:rFonts w:ascii="Arial" w:hAnsi="Arial" w:cs="Arial"/>
        </w:rPr>
        <w:t xml:space="preserve"> (Liu, 2024)</w:t>
      </w:r>
      <w:r w:rsidR="004A5164" w:rsidRPr="00D80B50">
        <w:rPr>
          <w:rFonts w:ascii="Arial" w:hAnsi="Arial" w:cs="Arial"/>
        </w:rPr>
        <w:t xml:space="preserve">. Although a costly move, this is a beneficial investment, as it allows AstraZeneca to </w:t>
      </w:r>
      <w:r w:rsidR="004A5164" w:rsidRPr="00D80B50">
        <w:rPr>
          <w:rFonts w:ascii="Arial" w:hAnsi="Arial" w:cs="Arial"/>
          <w:color w:val="1B1C1D"/>
          <w:szCs w:val="24"/>
          <w:lang w:val="en-IN" w:eastAsia="en-IN"/>
        </w:rPr>
        <w:t xml:space="preserve">mitigate political risks and ensure resilience in the future. </w:t>
      </w:r>
      <w:r w:rsidR="003E1BAE" w:rsidRPr="00D80B50">
        <w:rPr>
          <w:rFonts w:ascii="Arial" w:hAnsi="Arial" w:cs="Arial"/>
          <w:color w:val="1B1C1D"/>
          <w:szCs w:val="24"/>
          <w:lang w:val="en-IN" w:eastAsia="en-IN"/>
        </w:rPr>
        <w:t>This strategic move also allows the firm to position itself sustainably and attain long-term competitiveness in these major markets</w:t>
      </w:r>
      <w:r w:rsidR="0072103D" w:rsidRPr="00D80B50">
        <w:rPr>
          <w:rFonts w:ascii="Arial" w:hAnsi="Arial" w:cs="Arial"/>
          <w:color w:val="1B1C1D"/>
          <w:szCs w:val="24"/>
          <w:lang w:val="en-IN" w:eastAsia="en-IN"/>
        </w:rPr>
        <w:t>.</w:t>
      </w:r>
      <w:r w:rsidR="003E1BAE" w:rsidRPr="00D80B50">
        <w:rPr>
          <w:rFonts w:ascii="Arial" w:hAnsi="Arial" w:cs="Arial"/>
          <w:color w:val="1B1C1D"/>
          <w:szCs w:val="24"/>
          <w:lang w:val="en-IN" w:eastAsia="en-IN"/>
        </w:rPr>
        <w:t xml:space="preserve"> </w:t>
      </w:r>
    </w:p>
    <w:p w14:paraId="1B4A64E1" w14:textId="77777777" w:rsidR="009D6B06" w:rsidRPr="00D80B50" w:rsidRDefault="009D6B06" w:rsidP="005E69C0">
      <w:pPr>
        <w:rPr>
          <w:rFonts w:ascii="Arial" w:hAnsi="Arial" w:cs="Arial"/>
          <w:szCs w:val="24"/>
          <w:lang w:val="en-IN" w:eastAsia="en-IN"/>
        </w:rPr>
      </w:pPr>
      <w:r w:rsidRPr="00D80B50">
        <w:rPr>
          <w:rFonts w:ascii="Arial" w:hAnsi="Arial" w:cs="Arial"/>
          <w:szCs w:val="24"/>
          <w:lang w:val="en-IN" w:eastAsia="en-IN"/>
        </w:rPr>
        <w:t xml:space="preserve">The overall economic performance of the countries in which AstraZeneca operates is also influenced by the </w:t>
      </w:r>
      <w:r w:rsidRPr="00D80B50">
        <w:rPr>
          <w:rFonts w:ascii="Arial" w:hAnsi="Arial" w:cs="Arial"/>
          <w:b/>
          <w:szCs w:val="24"/>
          <w:lang w:val="en-IN" w:eastAsia="en-IN"/>
        </w:rPr>
        <w:t xml:space="preserve">Macroeconomic factors like </w:t>
      </w:r>
      <w:r w:rsidRPr="00D80B50">
        <w:rPr>
          <w:rFonts w:ascii="Arial" w:hAnsi="Arial" w:cs="Arial"/>
          <w:bCs/>
          <w:szCs w:val="24"/>
          <w:lang w:val="en-IN" w:eastAsia="en-IN"/>
        </w:rPr>
        <w:t xml:space="preserve">GDP, inflation, and interest rates. </w:t>
      </w:r>
      <w:r w:rsidR="00C51653" w:rsidRPr="00D80B50">
        <w:rPr>
          <w:rFonts w:ascii="Arial" w:hAnsi="Arial" w:cs="Arial"/>
          <w:bCs/>
          <w:szCs w:val="24"/>
          <w:lang w:val="en-IN" w:eastAsia="en-IN"/>
        </w:rPr>
        <w:t xml:space="preserve">Geopolitical tensions like the China-Taiwan issues </w:t>
      </w:r>
      <w:r w:rsidR="008F2596" w:rsidRPr="00D80B50">
        <w:rPr>
          <w:rFonts w:ascii="Arial" w:hAnsi="Arial" w:cs="Arial"/>
          <w:bCs/>
          <w:szCs w:val="24"/>
          <w:lang w:val="en-IN" w:eastAsia="en-IN"/>
        </w:rPr>
        <w:t xml:space="preserve">have </w:t>
      </w:r>
      <w:r w:rsidR="00630ACE" w:rsidRPr="00D80B50">
        <w:rPr>
          <w:rFonts w:ascii="Arial" w:hAnsi="Arial" w:cs="Arial"/>
          <w:bCs/>
          <w:szCs w:val="24"/>
          <w:lang w:val="en-IN" w:eastAsia="en-IN"/>
        </w:rPr>
        <w:t xml:space="preserve">a </w:t>
      </w:r>
      <w:r w:rsidR="008F2596" w:rsidRPr="00D80B50">
        <w:rPr>
          <w:rFonts w:ascii="Arial" w:hAnsi="Arial" w:cs="Arial"/>
          <w:bCs/>
          <w:szCs w:val="24"/>
          <w:lang w:val="en-IN" w:eastAsia="en-IN"/>
        </w:rPr>
        <w:t xml:space="preserve">negative impact </w:t>
      </w:r>
      <w:r w:rsidR="003A3BE8" w:rsidRPr="00D80B50">
        <w:rPr>
          <w:rFonts w:ascii="Arial" w:hAnsi="Arial" w:cs="Arial"/>
          <w:bCs/>
          <w:szCs w:val="24"/>
          <w:lang w:val="en-IN" w:eastAsia="en-IN"/>
        </w:rPr>
        <w:t>on these factors</w:t>
      </w:r>
      <w:r w:rsidR="00C90501" w:rsidRPr="00D80B50">
        <w:rPr>
          <w:rFonts w:ascii="Arial" w:hAnsi="Arial" w:cs="Arial"/>
          <w:bCs/>
          <w:szCs w:val="24"/>
          <w:lang w:val="en-IN" w:eastAsia="en-IN"/>
        </w:rPr>
        <w:t xml:space="preserve">. Appendix 1 reveals that the world inflation rate is at 4.3%, </w:t>
      </w:r>
      <w:r w:rsidR="000E77FA" w:rsidRPr="00D80B50">
        <w:rPr>
          <w:rFonts w:ascii="Arial" w:hAnsi="Arial" w:cs="Arial"/>
          <w:bCs/>
          <w:szCs w:val="24"/>
          <w:lang w:val="en-IN" w:eastAsia="en-IN"/>
        </w:rPr>
        <w:t>including 5.5% for emerging markets and 2.5% for advanced economies</w:t>
      </w:r>
      <w:r w:rsidR="004D13AF" w:rsidRPr="00D80B50">
        <w:rPr>
          <w:rFonts w:ascii="Arial" w:hAnsi="Arial" w:cs="Arial"/>
          <w:bCs/>
          <w:szCs w:val="24"/>
          <w:lang w:val="en-IN" w:eastAsia="en-IN"/>
        </w:rPr>
        <w:t xml:space="preserve"> (IMF, 2025)</w:t>
      </w:r>
      <w:r w:rsidR="000E77FA" w:rsidRPr="00D80B50">
        <w:rPr>
          <w:rFonts w:ascii="Arial" w:hAnsi="Arial" w:cs="Arial"/>
          <w:bCs/>
          <w:szCs w:val="24"/>
          <w:lang w:val="en-IN" w:eastAsia="en-IN"/>
        </w:rPr>
        <w:t>.</w:t>
      </w:r>
      <w:r w:rsidR="001168B7" w:rsidRPr="00D80B50">
        <w:rPr>
          <w:rFonts w:ascii="Arial" w:hAnsi="Arial" w:cs="Arial"/>
          <w:bCs/>
          <w:szCs w:val="24"/>
          <w:lang w:val="en-IN" w:eastAsia="en-IN"/>
        </w:rPr>
        <w:t xml:space="preserve"> </w:t>
      </w:r>
      <w:r w:rsidR="00AB7767" w:rsidRPr="00D80B50">
        <w:rPr>
          <w:rFonts w:ascii="Arial" w:hAnsi="Arial" w:cs="Arial"/>
          <w:bCs/>
          <w:szCs w:val="24"/>
          <w:lang w:val="en-IN" w:eastAsia="en-IN"/>
        </w:rPr>
        <w:t xml:space="preserve">As a result, the profit </w:t>
      </w:r>
      <w:r w:rsidR="00FF0929" w:rsidRPr="00D80B50">
        <w:rPr>
          <w:rFonts w:ascii="Arial" w:hAnsi="Arial" w:cs="Arial"/>
          <w:bCs/>
          <w:szCs w:val="24"/>
          <w:lang w:val="en-IN" w:eastAsia="en-IN"/>
        </w:rPr>
        <w:t xml:space="preserve">of Astra </w:t>
      </w:r>
      <w:r w:rsidR="00AB7767" w:rsidRPr="00D80B50">
        <w:rPr>
          <w:rFonts w:ascii="Arial" w:hAnsi="Arial" w:cs="Arial"/>
          <w:bCs/>
          <w:szCs w:val="24"/>
          <w:lang w:val="en-IN" w:eastAsia="en-IN"/>
        </w:rPr>
        <w:t>decreased</w:t>
      </w:r>
      <w:r w:rsidR="00A02D88" w:rsidRPr="00D80B50">
        <w:rPr>
          <w:rFonts w:ascii="Arial" w:hAnsi="Arial" w:cs="Arial"/>
          <w:bCs/>
          <w:szCs w:val="24"/>
          <w:lang w:val="en-IN" w:eastAsia="en-IN"/>
        </w:rPr>
        <w:t xml:space="preserve"> from </w:t>
      </w:r>
      <w:r w:rsidR="00A02D88" w:rsidRPr="00D80B50">
        <w:rPr>
          <w:rFonts w:ascii="Arial" w:hAnsi="Arial" w:cs="Arial"/>
        </w:rPr>
        <w:t xml:space="preserve">$23,331 </w:t>
      </w:r>
      <w:r w:rsidR="000C045E" w:rsidRPr="00D80B50">
        <w:rPr>
          <w:rFonts w:ascii="Arial" w:hAnsi="Arial" w:cs="Arial"/>
        </w:rPr>
        <w:t xml:space="preserve">million </w:t>
      </w:r>
      <w:r w:rsidR="00A02D88" w:rsidRPr="00D80B50">
        <w:rPr>
          <w:rFonts w:ascii="Arial" w:hAnsi="Arial" w:cs="Arial"/>
        </w:rPr>
        <w:t>in</w:t>
      </w:r>
      <w:r w:rsidR="000C045E" w:rsidRPr="00D80B50">
        <w:rPr>
          <w:rFonts w:ascii="Arial" w:hAnsi="Arial" w:cs="Arial"/>
        </w:rPr>
        <w:t xml:space="preserve"> the first quarter of 2023</w:t>
      </w:r>
      <w:r w:rsidR="00A02D88" w:rsidRPr="00D80B50">
        <w:rPr>
          <w:rFonts w:ascii="Arial" w:hAnsi="Arial" w:cs="Arial"/>
        </w:rPr>
        <w:t xml:space="preserve"> to $11,9841</w:t>
      </w:r>
      <w:r w:rsidR="00896988" w:rsidRPr="00D80B50">
        <w:rPr>
          <w:rFonts w:ascii="Arial" w:hAnsi="Arial" w:cs="Arial"/>
        </w:rPr>
        <w:t xml:space="preserve"> million </w:t>
      </w:r>
      <w:r w:rsidR="000C045E" w:rsidRPr="00D80B50">
        <w:rPr>
          <w:rFonts w:ascii="Arial" w:hAnsi="Arial" w:cs="Arial"/>
        </w:rPr>
        <w:t xml:space="preserve">in the second quarter (refer to </w:t>
      </w:r>
      <w:r w:rsidR="00905AEF" w:rsidRPr="00D80B50">
        <w:rPr>
          <w:rFonts w:ascii="Arial" w:hAnsi="Arial" w:cs="Arial"/>
        </w:rPr>
        <w:t>Appendix</w:t>
      </w:r>
      <w:r w:rsidR="000C045E" w:rsidRPr="00D80B50">
        <w:rPr>
          <w:rFonts w:ascii="Arial" w:hAnsi="Arial" w:cs="Arial"/>
        </w:rPr>
        <w:t xml:space="preserve"> 2). </w:t>
      </w:r>
      <w:r w:rsidR="0067636B" w:rsidRPr="00D80B50">
        <w:rPr>
          <w:rFonts w:ascii="Arial" w:hAnsi="Arial" w:cs="Arial"/>
        </w:rPr>
        <w:t xml:space="preserve">This could be attributed to the </w:t>
      </w:r>
      <w:r w:rsidR="0067636B" w:rsidRPr="00D80B50">
        <w:rPr>
          <w:rFonts w:ascii="Arial" w:hAnsi="Arial" w:cs="Arial"/>
          <w:szCs w:val="24"/>
          <w:lang w:val="en-IN" w:eastAsia="en-IN"/>
        </w:rPr>
        <w:t xml:space="preserve">increase </w:t>
      </w:r>
      <w:r w:rsidR="00621727" w:rsidRPr="00D80B50">
        <w:rPr>
          <w:rFonts w:ascii="Arial" w:hAnsi="Arial" w:cs="Arial"/>
          <w:szCs w:val="24"/>
          <w:lang w:val="en-IN" w:eastAsia="en-IN"/>
        </w:rPr>
        <w:t xml:space="preserve">in </w:t>
      </w:r>
      <w:r w:rsidR="0067636B" w:rsidRPr="00D80B50">
        <w:rPr>
          <w:rFonts w:ascii="Arial" w:hAnsi="Arial" w:cs="Arial"/>
          <w:szCs w:val="24"/>
          <w:lang w:val="en-IN" w:eastAsia="en-IN"/>
        </w:rPr>
        <w:t>the cost of raw materials and operational expenses due to reduced healthcare spending and high inflation</w:t>
      </w:r>
      <w:r w:rsidR="00831FC5" w:rsidRPr="00D80B50">
        <w:rPr>
          <w:rFonts w:ascii="Arial" w:hAnsi="Arial" w:cs="Arial"/>
          <w:szCs w:val="24"/>
          <w:lang w:val="en-IN" w:eastAsia="en-IN"/>
        </w:rPr>
        <w:t>.</w:t>
      </w:r>
      <w:r w:rsidR="00621727" w:rsidRPr="00D80B50">
        <w:rPr>
          <w:rFonts w:ascii="Arial" w:hAnsi="Arial" w:cs="Arial"/>
          <w:szCs w:val="24"/>
          <w:lang w:val="en-IN" w:eastAsia="en-IN"/>
        </w:rPr>
        <w:t xml:space="preserve"> Further, risks from changing the exchange rate</w:t>
      </w:r>
      <w:r w:rsidR="00831FC5" w:rsidRPr="00D80B50">
        <w:rPr>
          <w:rFonts w:ascii="Arial" w:hAnsi="Arial" w:cs="Arial"/>
          <w:szCs w:val="24"/>
          <w:lang w:val="en-IN" w:eastAsia="en-IN"/>
        </w:rPr>
        <w:t xml:space="preserve"> </w:t>
      </w:r>
      <w:r w:rsidR="00621727" w:rsidRPr="00D80B50">
        <w:rPr>
          <w:rFonts w:ascii="Arial" w:hAnsi="Arial" w:cs="Arial"/>
          <w:szCs w:val="24"/>
          <w:lang w:val="en-IN" w:eastAsia="en-IN"/>
        </w:rPr>
        <w:lastRenderedPageBreak/>
        <w:t xml:space="preserve">threaten the operations of international trade, which again influences the profitability of international sales and investments. </w:t>
      </w:r>
      <w:r w:rsidR="003028D1" w:rsidRPr="00D80B50">
        <w:rPr>
          <w:rFonts w:ascii="Arial" w:hAnsi="Arial" w:cs="Arial"/>
          <w:szCs w:val="24"/>
          <w:lang w:val="en-IN" w:eastAsia="en-IN"/>
        </w:rPr>
        <w:t>Hence, there are challenges for AstraZeneca in terms of market positioning, as such an environment affects the pricing strategies and the financial feasibility of expansion into new regions.</w:t>
      </w:r>
      <w:r w:rsidR="00763D6A" w:rsidRPr="00D80B50">
        <w:rPr>
          <w:rFonts w:ascii="Arial" w:hAnsi="Arial" w:cs="Arial"/>
          <w:szCs w:val="24"/>
          <w:lang w:val="en-IN" w:eastAsia="en-IN"/>
        </w:rPr>
        <w:t xml:space="preserve"> The ability to navigate these economic forces effectively is directly linked to </w:t>
      </w:r>
      <w:r w:rsidR="001E0E3F" w:rsidRPr="00D80B50">
        <w:rPr>
          <w:rFonts w:ascii="Arial" w:hAnsi="Arial" w:cs="Arial"/>
          <w:szCs w:val="24"/>
          <w:lang w:val="en-IN" w:eastAsia="en-IN"/>
        </w:rPr>
        <w:t xml:space="preserve">a </w:t>
      </w:r>
      <w:r w:rsidR="00763D6A" w:rsidRPr="00D80B50">
        <w:rPr>
          <w:rFonts w:ascii="Arial" w:hAnsi="Arial" w:cs="Arial"/>
          <w:szCs w:val="24"/>
          <w:lang w:val="en-IN" w:eastAsia="en-IN"/>
        </w:rPr>
        <w:t>company's competitiveness and ability to invest in innovation</w:t>
      </w:r>
      <w:r w:rsidR="001E0E3F" w:rsidRPr="00D80B50">
        <w:rPr>
          <w:rFonts w:ascii="Arial" w:hAnsi="Arial" w:cs="Arial"/>
          <w:szCs w:val="24"/>
          <w:lang w:val="en-IN" w:eastAsia="en-IN"/>
        </w:rPr>
        <w:t xml:space="preserve">. </w:t>
      </w:r>
      <w:r w:rsidR="001F4AE2" w:rsidRPr="00D80B50">
        <w:rPr>
          <w:rFonts w:ascii="Arial" w:hAnsi="Arial" w:cs="Arial"/>
          <w:szCs w:val="24"/>
          <w:lang w:val="en-IN" w:eastAsia="en-IN"/>
        </w:rPr>
        <w:t xml:space="preserve"> Labiak (2025) supports this by stating that AstraZeneca has paused its £200m Cambridge investment plan due to the significant blow to the pharmaceutical industry. </w:t>
      </w:r>
    </w:p>
    <w:p w14:paraId="1B4A64E2" w14:textId="77777777" w:rsidR="006C10D8" w:rsidRPr="00D80B50" w:rsidRDefault="006C10D8" w:rsidP="006C10D8">
      <w:pPr>
        <w:rPr>
          <w:rFonts w:ascii="Arial" w:hAnsi="Arial" w:cs="Arial"/>
        </w:rPr>
      </w:pPr>
      <w:r w:rsidRPr="00D80B50">
        <w:rPr>
          <w:rFonts w:ascii="Arial" w:hAnsi="Arial" w:cs="Arial"/>
        </w:rPr>
        <w:t xml:space="preserve">The </w:t>
      </w:r>
      <w:r w:rsidR="007E7A4B" w:rsidRPr="00D80B50">
        <w:rPr>
          <w:rFonts w:ascii="Arial" w:hAnsi="Arial" w:cs="Arial"/>
          <w:b/>
        </w:rPr>
        <w:t>socio-cultural</w:t>
      </w:r>
      <w:r w:rsidRPr="00D80B50">
        <w:rPr>
          <w:rFonts w:ascii="Arial" w:hAnsi="Arial" w:cs="Arial"/>
          <w:b/>
        </w:rPr>
        <w:t xml:space="preserve"> environment</w:t>
      </w:r>
      <w:r w:rsidRPr="00D80B50">
        <w:rPr>
          <w:rFonts w:ascii="Arial" w:hAnsi="Arial" w:cs="Arial"/>
        </w:rPr>
        <w:t xml:space="preserve"> influenced by </w:t>
      </w:r>
      <w:r w:rsidR="007E7A4B" w:rsidRPr="00D80B50">
        <w:rPr>
          <w:rFonts w:ascii="Arial" w:hAnsi="Arial" w:cs="Arial"/>
        </w:rPr>
        <w:t>these</w:t>
      </w:r>
      <w:r w:rsidRPr="00D80B50">
        <w:rPr>
          <w:rFonts w:ascii="Arial" w:hAnsi="Arial" w:cs="Arial"/>
        </w:rPr>
        <w:t xml:space="preserve"> global forces and technological development has presented both </w:t>
      </w:r>
      <w:r w:rsidRPr="00D80B50">
        <w:rPr>
          <w:rFonts w:ascii="Arial" w:hAnsi="Arial" w:cs="Arial"/>
          <w:szCs w:val="24"/>
          <w:lang w:val="en-IN" w:eastAsia="en-IN"/>
        </w:rPr>
        <w:t>challenges and opportunities</w:t>
      </w:r>
      <w:r w:rsidR="00905AEF" w:rsidRPr="00D80B50">
        <w:rPr>
          <w:rFonts w:ascii="Arial" w:hAnsi="Arial" w:cs="Arial"/>
          <w:szCs w:val="24"/>
          <w:lang w:val="en-IN" w:eastAsia="en-IN"/>
        </w:rPr>
        <w:t xml:space="preserve"> for companies like </w:t>
      </w:r>
      <w:r w:rsidR="007E7A4B" w:rsidRPr="00D80B50">
        <w:rPr>
          <w:rFonts w:ascii="Arial" w:hAnsi="Arial" w:cs="Arial"/>
          <w:szCs w:val="24"/>
          <w:lang w:val="en-IN" w:eastAsia="en-IN"/>
        </w:rPr>
        <w:t>AstraZeneca</w:t>
      </w:r>
      <w:r w:rsidR="00905AEF" w:rsidRPr="00D80B50">
        <w:rPr>
          <w:rFonts w:ascii="Arial" w:hAnsi="Arial" w:cs="Arial"/>
          <w:szCs w:val="24"/>
          <w:lang w:val="en-IN" w:eastAsia="en-IN"/>
        </w:rPr>
        <w:t xml:space="preserve"> in talent management. </w:t>
      </w:r>
      <w:r w:rsidR="00D31883" w:rsidRPr="00D80B50">
        <w:rPr>
          <w:rFonts w:ascii="Arial" w:hAnsi="Arial" w:cs="Arial"/>
          <w:szCs w:val="24"/>
          <w:lang w:val="en-IN" w:eastAsia="en-IN"/>
        </w:rPr>
        <w:t xml:space="preserve">The rapid advancement of artificial intelligence (AI), complemented by the proliferation of other technologies, has driven a tech talent shortage across multiple industries. For instance, as of 2024, the </w:t>
      </w:r>
      <w:r w:rsidR="00D31883" w:rsidRPr="00D80B50">
        <w:rPr>
          <w:rFonts w:ascii="Arial" w:hAnsi="Arial" w:cs="Arial"/>
          <w:color w:val="161616"/>
          <w:shd w:val="clear" w:color="auto" w:fill="FFFFFF"/>
        </w:rPr>
        <w:t>AI talent gap has been gauged at 50% (</w:t>
      </w:r>
      <w:r w:rsidR="006438A9" w:rsidRPr="00D80B50">
        <w:rPr>
          <w:rFonts w:ascii="Arial" w:hAnsi="Arial" w:cs="Arial"/>
          <w:color w:val="161616"/>
          <w:shd w:val="clear" w:color="auto" w:fill="FFFFFF"/>
        </w:rPr>
        <w:t>Hu, 2024</w:t>
      </w:r>
      <w:r w:rsidR="00D31883" w:rsidRPr="00D80B50">
        <w:rPr>
          <w:rFonts w:ascii="Arial" w:hAnsi="Arial" w:cs="Arial"/>
          <w:color w:val="161616"/>
          <w:shd w:val="clear" w:color="auto" w:fill="FFFFFF"/>
        </w:rPr>
        <w:t xml:space="preserve">). </w:t>
      </w:r>
      <w:r w:rsidR="000E7854" w:rsidRPr="00D80B50">
        <w:rPr>
          <w:rFonts w:ascii="Arial" w:hAnsi="Arial" w:cs="Arial"/>
          <w:color w:val="161616"/>
          <w:shd w:val="clear" w:color="auto" w:fill="FFFFFF"/>
        </w:rPr>
        <w:t xml:space="preserve">This has created a race for global talent, where </w:t>
      </w:r>
      <w:r w:rsidR="00B91520" w:rsidRPr="00D80B50">
        <w:rPr>
          <w:rFonts w:ascii="Arial" w:hAnsi="Arial" w:cs="Arial"/>
          <w:szCs w:val="24"/>
          <w:lang w:val="en-IN" w:eastAsia="en-IN"/>
        </w:rPr>
        <w:t>AstraZeneca</w:t>
      </w:r>
      <w:r w:rsidR="000E7854" w:rsidRPr="00D80B50">
        <w:rPr>
          <w:rFonts w:ascii="Arial" w:hAnsi="Arial" w:cs="Arial"/>
          <w:szCs w:val="24"/>
          <w:lang w:val="en-IN" w:eastAsia="en-IN"/>
        </w:rPr>
        <w:t xml:space="preserve"> has to compete with other nations and businesses to attract and retain skilled workers</w:t>
      </w:r>
      <w:r w:rsidR="00B91520" w:rsidRPr="00D80B50">
        <w:rPr>
          <w:rFonts w:ascii="Arial" w:hAnsi="Arial" w:cs="Arial"/>
          <w:szCs w:val="24"/>
          <w:lang w:val="en-IN" w:eastAsia="en-IN"/>
        </w:rPr>
        <w:t>,</w:t>
      </w:r>
      <w:r w:rsidR="000E7854" w:rsidRPr="00D80B50">
        <w:rPr>
          <w:rFonts w:ascii="Arial" w:hAnsi="Arial" w:cs="Arial"/>
          <w:szCs w:val="24"/>
          <w:lang w:val="en-IN" w:eastAsia="en-IN"/>
        </w:rPr>
        <w:t xml:space="preserve"> such as engineers and researchers</w:t>
      </w:r>
      <w:r w:rsidR="00B91520" w:rsidRPr="00D80B50">
        <w:rPr>
          <w:rFonts w:ascii="Arial" w:hAnsi="Arial" w:cs="Arial"/>
          <w:szCs w:val="24"/>
          <w:lang w:val="en-IN" w:eastAsia="en-IN"/>
        </w:rPr>
        <w:t>,</w:t>
      </w:r>
      <w:r w:rsidR="000E7854" w:rsidRPr="00D80B50">
        <w:rPr>
          <w:rFonts w:ascii="Arial" w:hAnsi="Arial" w:cs="Arial"/>
          <w:szCs w:val="24"/>
          <w:lang w:val="en-IN" w:eastAsia="en-IN"/>
        </w:rPr>
        <w:t xml:space="preserve"> to maintain its innovation pipeline and long-term competitiveness.</w:t>
      </w:r>
      <w:r w:rsidR="00F64506" w:rsidRPr="00D80B50">
        <w:rPr>
          <w:rFonts w:ascii="Arial" w:hAnsi="Arial" w:cs="Arial"/>
          <w:szCs w:val="24"/>
          <w:lang w:val="en-IN" w:eastAsia="en-IN"/>
        </w:rPr>
        <w:t xml:space="preserve"> On the other hand, </w:t>
      </w:r>
      <w:r w:rsidR="00F64506" w:rsidRPr="00D80B50">
        <w:rPr>
          <w:rFonts w:ascii="Arial" w:hAnsi="Arial" w:cs="Arial"/>
        </w:rPr>
        <w:t xml:space="preserve">new </w:t>
      </w:r>
      <w:r w:rsidR="00F64506" w:rsidRPr="00D80B50">
        <w:rPr>
          <w:rFonts w:ascii="Arial" w:hAnsi="Arial" w:cs="Arial"/>
          <w:bCs/>
        </w:rPr>
        <w:t>sustainability demands</w:t>
      </w:r>
      <w:r w:rsidR="00F64506" w:rsidRPr="00D80B50">
        <w:rPr>
          <w:rFonts w:ascii="Arial" w:hAnsi="Arial" w:cs="Arial"/>
        </w:rPr>
        <w:t xml:space="preserve">, including the EU’s Corporate Sustainability Reporting Directive (CSRD), are creating an opportunity for AstraZeneca to attract and retain talent who prioritise corporate social responsibility. </w:t>
      </w:r>
    </w:p>
    <w:p w14:paraId="1B4A64E3" w14:textId="77777777" w:rsidR="00F64506" w:rsidRPr="00D80B50" w:rsidRDefault="00F64506" w:rsidP="006E0827">
      <w:pPr>
        <w:rPr>
          <w:rFonts w:ascii="Arial" w:hAnsi="Arial" w:cs="Arial"/>
        </w:rPr>
      </w:pPr>
      <w:r w:rsidRPr="00D80B50">
        <w:rPr>
          <w:rFonts w:ascii="Arial" w:hAnsi="Arial" w:cs="Arial"/>
        </w:rPr>
        <w:t xml:space="preserve">The </w:t>
      </w:r>
      <w:r w:rsidRPr="00D80B50">
        <w:rPr>
          <w:rFonts w:ascii="Arial" w:hAnsi="Arial" w:cs="Arial"/>
          <w:b/>
        </w:rPr>
        <w:t>technological landscape</w:t>
      </w:r>
      <w:r w:rsidRPr="00D80B50">
        <w:rPr>
          <w:rFonts w:ascii="Arial" w:hAnsi="Arial" w:cs="Arial"/>
        </w:rPr>
        <w:t xml:space="preserve">, specifically Artificial Intelligence (AI), has presented various opportunities to AstraZeneca. </w:t>
      </w:r>
      <w:r w:rsidR="00E06FB1" w:rsidRPr="00D80B50">
        <w:rPr>
          <w:rFonts w:ascii="Arial" w:hAnsi="Arial" w:cs="Arial"/>
        </w:rPr>
        <w:t>The company has started to embed AI in every organisation’s strategic and operational decisions</w:t>
      </w:r>
      <w:r w:rsidR="009C30C8" w:rsidRPr="00D80B50">
        <w:rPr>
          <w:rFonts w:ascii="Arial" w:hAnsi="Arial" w:cs="Arial"/>
        </w:rPr>
        <w:t>,</w:t>
      </w:r>
      <w:r w:rsidR="00E06FB1" w:rsidRPr="00D80B50">
        <w:rPr>
          <w:rFonts w:ascii="Arial" w:hAnsi="Arial" w:cs="Arial"/>
        </w:rPr>
        <w:t xml:space="preserve"> starting from R&amp;D to </w:t>
      </w:r>
      <w:r w:rsidR="00F12231" w:rsidRPr="00D80B50">
        <w:rPr>
          <w:rFonts w:ascii="Arial" w:hAnsi="Arial" w:cs="Arial"/>
        </w:rPr>
        <w:t>employee hiring. For example, AstraZeneca has focused on sourcing top talent and enabling positive candidate/employee experience</w:t>
      </w:r>
      <w:r w:rsidR="00930D2F" w:rsidRPr="00D80B50">
        <w:rPr>
          <w:rFonts w:ascii="Arial" w:hAnsi="Arial" w:cs="Arial"/>
        </w:rPr>
        <w:t xml:space="preserve"> by investing</w:t>
      </w:r>
      <w:r w:rsidR="00F12231" w:rsidRPr="00D80B50">
        <w:rPr>
          <w:rFonts w:ascii="Arial" w:hAnsi="Arial" w:cs="Arial"/>
        </w:rPr>
        <w:t xml:space="preserve"> in</w:t>
      </w:r>
      <w:r w:rsidR="00930D2F" w:rsidRPr="00D80B50">
        <w:rPr>
          <w:rFonts w:ascii="Arial" w:hAnsi="Arial" w:cs="Arial"/>
        </w:rPr>
        <w:t xml:space="preserve"> eightfold.ai (AstraZeneca, 2025). </w:t>
      </w:r>
      <w:r w:rsidR="003500B4" w:rsidRPr="00D80B50">
        <w:rPr>
          <w:rFonts w:ascii="Arial" w:hAnsi="Arial" w:cs="Arial"/>
        </w:rPr>
        <w:t xml:space="preserve">The firm is also using the technology to </w:t>
      </w:r>
      <w:r w:rsidR="009C30C8" w:rsidRPr="00D80B50">
        <w:rPr>
          <w:rFonts w:ascii="Arial" w:hAnsi="Arial" w:cs="Arial"/>
        </w:rPr>
        <w:t>make</w:t>
      </w:r>
      <w:r w:rsidR="00BC2CA7" w:rsidRPr="00D80B50">
        <w:rPr>
          <w:rFonts w:ascii="Arial" w:hAnsi="Arial" w:cs="Arial"/>
        </w:rPr>
        <w:t xml:space="preserve"> crucial decisions in operations like treatment delivery and clinical trials</w:t>
      </w:r>
      <w:r w:rsidR="00BE04AF" w:rsidRPr="00D80B50">
        <w:rPr>
          <w:rFonts w:ascii="Arial" w:hAnsi="Arial" w:cs="Arial"/>
        </w:rPr>
        <w:t xml:space="preserve"> (AstraZeneca, 2025)</w:t>
      </w:r>
      <w:r w:rsidR="00BC2CA7" w:rsidRPr="00D80B50">
        <w:rPr>
          <w:rFonts w:ascii="Arial" w:hAnsi="Arial" w:cs="Arial"/>
        </w:rPr>
        <w:t xml:space="preserve">. </w:t>
      </w:r>
      <w:r w:rsidR="006E0827" w:rsidRPr="00D80B50">
        <w:rPr>
          <w:rFonts w:ascii="Arial" w:hAnsi="Arial" w:cs="Arial"/>
        </w:rPr>
        <w:t>Hence, with the use of AI, AstraZeneca has gained benefits like gaining a better understanding of diseases and predicting which molecules to make</w:t>
      </w:r>
      <w:r w:rsidR="00811EBD" w:rsidRPr="00D80B50">
        <w:rPr>
          <w:rFonts w:ascii="Arial" w:hAnsi="Arial" w:cs="Arial"/>
        </w:rPr>
        <w:t xml:space="preserve">. Furthermore, </w:t>
      </w:r>
      <w:r w:rsidR="00D35EBE" w:rsidRPr="00D80B50">
        <w:rPr>
          <w:rFonts w:ascii="Arial" w:hAnsi="Arial" w:cs="Arial"/>
        </w:rPr>
        <w:t>the company has improved their supply chain while delivering medicines through AI systems (</w:t>
      </w:r>
      <w:r w:rsidR="00CD2CAB" w:rsidRPr="00D80B50">
        <w:rPr>
          <w:rFonts w:ascii="Arial" w:hAnsi="Arial" w:cs="Arial"/>
        </w:rPr>
        <w:t>AstraZeneca, 2025</w:t>
      </w:r>
      <w:r w:rsidR="00D35EBE" w:rsidRPr="00D80B50">
        <w:rPr>
          <w:rFonts w:ascii="Arial" w:hAnsi="Arial" w:cs="Arial"/>
        </w:rPr>
        <w:t xml:space="preserve">). </w:t>
      </w:r>
      <w:r w:rsidR="00334409" w:rsidRPr="00D80B50">
        <w:rPr>
          <w:rFonts w:ascii="Arial" w:hAnsi="Arial" w:cs="Arial"/>
        </w:rPr>
        <w:t xml:space="preserve">AstraZeneca is also </w:t>
      </w:r>
      <w:r w:rsidR="00175A0A" w:rsidRPr="00D80B50">
        <w:rPr>
          <w:rFonts w:ascii="Arial" w:hAnsi="Arial" w:cs="Arial"/>
        </w:rPr>
        <w:t xml:space="preserve">using AI for talent management, where the firm is </w:t>
      </w:r>
      <w:r w:rsidR="00175A0A" w:rsidRPr="00D80B50">
        <w:rPr>
          <w:rFonts w:ascii="Arial" w:hAnsi="Arial" w:cs="Arial"/>
          <w:szCs w:val="24"/>
          <w:lang w:val="en-IN" w:eastAsia="en-IN"/>
        </w:rPr>
        <w:t>augmenting the work of scientists, liberating them from routine tasks and allowing them to focus on more complex, high-value problems</w:t>
      </w:r>
      <w:r w:rsidR="009C30C8" w:rsidRPr="00D80B50">
        <w:rPr>
          <w:rFonts w:ascii="Arial" w:hAnsi="Arial" w:cs="Arial"/>
          <w:szCs w:val="24"/>
          <w:lang w:val="en-IN" w:eastAsia="en-IN"/>
        </w:rPr>
        <w:t xml:space="preserve"> </w:t>
      </w:r>
      <w:r w:rsidR="007E7A4B" w:rsidRPr="00D80B50">
        <w:rPr>
          <w:rFonts w:ascii="Arial" w:hAnsi="Arial" w:cs="Arial"/>
          <w:szCs w:val="24"/>
          <w:lang w:val="en-IN" w:eastAsia="en-IN"/>
        </w:rPr>
        <w:t>through AI instead of replacing them.</w:t>
      </w:r>
      <w:r w:rsidR="0063713A" w:rsidRPr="00D80B50">
        <w:rPr>
          <w:rFonts w:ascii="Arial" w:hAnsi="Arial" w:cs="Arial"/>
          <w:szCs w:val="24"/>
          <w:lang w:val="en-IN" w:eastAsia="en-IN"/>
        </w:rPr>
        <w:t xml:space="preserve"> However,</w:t>
      </w:r>
      <w:r w:rsidR="002529C5" w:rsidRPr="00D80B50">
        <w:rPr>
          <w:rFonts w:ascii="Arial" w:hAnsi="Arial" w:cs="Arial"/>
          <w:szCs w:val="24"/>
          <w:lang w:val="en-IN" w:eastAsia="en-IN"/>
        </w:rPr>
        <w:t xml:space="preserve"> </w:t>
      </w:r>
      <w:r w:rsidR="002529C5" w:rsidRPr="00D80B50">
        <w:rPr>
          <w:rFonts w:ascii="Arial" w:hAnsi="Arial" w:cs="Arial"/>
          <w:shd w:val="clear" w:color="auto" w:fill="FFFFFF"/>
        </w:rPr>
        <w:t>Arif, Khan and Khan (2024)</w:t>
      </w:r>
      <w:r w:rsidR="007E7A4B" w:rsidRPr="00D80B50">
        <w:rPr>
          <w:rFonts w:ascii="Arial" w:hAnsi="Arial" w:cs="Arial"/>
          <w:szCs w:val="24"/>
          <w:lang w:val="en-IN" w:eastAsia="en-IN"/>
        </w:rPr>
        <w:t xml:space="preserve"> </w:t>
      </w:r>
      <w:r w:rsidR="002529C5" w:rsidRPr="00D80B50">
        <w:rPr>
          <w:rFonts w:ascii="Arial" w:hAnsi="Arial" w:cs="Arial"/>
          <w:szCs w:val="24"/>
          <w:lang w:val="en-IN" w:eastAsia="en-IN"/>
        </w:rPr>
        <w:t xml:space="preserve">acknowledged the fact that the increasing reliance of </w:t>
      </w:r>
      <w:r w:rsidR="002529C5" w:rsidRPr="00D80B50">
        <w:rPr>
          <w:rFonts w:ascii="Arial" w:hAnsi="Arial" w:cs="Arial"/>
          <w:szCs w:val="24"/>
          <w:lang w:val="en-IN" w:eastAsia="en-IN"/>
        </w:rPr>
        <w:lastRenderedPageBreak/>
        <w:t xml:space="preserve">companies on AI is serving as a breeding ground for threats like cyber-attacks. As a result, AstraZeneca will be required to safeguard its systems from such drastic attacks. </w:t>
      </w:r>
    </w:p>
    <w:p w14:paraId="1B4A64E4" w14:textId="77777777" w:rsidR="008151C0" w:rsidRPr="00D80B50" w:rsidRDefault="00495051" w:rsidP="00AD4527">
      <w:pPr>
        <w:rPr>
          <w:rFonts w:ascii="Arial" w:hAnsi="Arial" w:cs="Arial"/>
          <w:szCs w:val="24"/>
          <w:lang w:val="en-IN" w:eastAsia="en-IN"/>
        </w:rPr>
      </w:pPr>
      <w:r w:rsidRPr="00D80B50">
        <w:rPr>
          <w:rFonts w:ascii="Arial" w:hAnsi="Arial" w:cs="Arial"/>
        </w:rPr>
        <w:t xml:space="preserve">Companies like AstraZeneca </w:t>
      </w:r>
      <w:r w:rsidR="002362B7" w:rsidRPr="00D80B50">
        <w:rPr>
          <w:rFonts w:ascii="Arial" w:hAnsi="Arial" w:cs="Arial"/>
        </w:rPr>
        <w:t>have</w:t>
      </w:r>
      <w:r w:rsidRPr="00D80B50">
        <w:rPr>
          <w:rFonts w:ascii="Arial" w:hAnsi="Arial" w:cs="Arial"/>
        </w:rPr>
        <w:t xml:space="preserve"> also been served with both challenges and opportunities due to </w:t>
      </w:r>
      <w:r w:rsidRPr="00D80B50">
        <w:rPr>
          <w:rFonts w:ascii="Arial" w:hAnsi="Arial" w:cs="Arial"/>
          <w:szCs w:val="24"/>
          <w:lang w:val="en-IN" w:eastAsia="en-IN"/>
        </w:rPr>
        <w:t xml:space="preserve">new </w:t>
      </w:r>
      <w:r w:rsidRPr="00D80B50">
        <w:rPr>
          <w:rFonts w:ascii="Arial" w:hAnsi="Arial" w:cs="Arial"/>
          <w:b/>
          <w:szCs w:val="24"/>
          <w:lang w:val="en-IN" w:eastAsia="en-IN"/>
        </w:rPr>
        <w:t>environmental demands</w:t>
      </w:r>
      <w:r w:rsidRPr="00D80B50">
        <w:rPr>
          <w:rFonts w:ascii="Arial" w:hAnsi="Arial" w:cs="Arial"/>
          <w:szCs w:val="24"/>
          <w:lang w:val="en-IN" w:eastAsia="en-IN"/>
        </w:rPr>
        <w:t xml:space="preserve"> and regulations.  </w:t>
      </w:r>
      <w:r w:rsidR="00AD27E3" w:rsidRPr="00D80B50">
        <w:rPr>
          <w:rFonts w:ascii="Arial" w:hAnsi="Arial" w:cs="Arial"/>
          <w:szCs w:val="24"/>
          <w:lang w:val="en-IN" w:eastAsia="en-IN"/>
        </w:rPr>
        <w:t xml:space="preserve">For example, the EU’s Corporate Sustainability Reporting Directive (CSRD) requires both EU and non-EU companies to disclose detailed information on their environmental, social, and governance (ESG) performance (European Commission, 2025). </w:t>
      </w:r>
      <w:r w:rsidR="00B70898" w:rsidRPr="00D80B50">
        <w:rPr>
          <w:rFonts w:ascii="Arial" w:hAnsi="Arial" w:cs="Arial"/>
        </w:rPr>
        <w:t xml:space="preserve">AstraZeneca has been addressing this </w:t>
      </w:r>
      <w:r w:rsidR="00B70898" w:rsidRPr="00D80B50">
        <w:rPr>
          <w:rFonts w:ascii="Arial" w:hAnsi="Arial" w:cs="Arial"/>
          <w:lang w:val="en-IN" w:eastAsia="en-IN"/>
        </w:rPr>
        <w:t xml:space="preserve">need for environmental protection </w:t>
      </w:r>
      <w:r w:rsidR="00660BEA" w:rsidRPr="00D80B50">
        <w:rPr>
          <w:rFonts w:ascii="Arial" w:hAnsi="Arial" w:cs="Arial"/>
          <w:lang w:val="en-IN" w:eastAsia="en-IN"/>
        </w:rPr>
        <w:t xml:space="preserve">through its </w:t>
      </w:r>
      <w:r w:rsidR="00B70898" w:rsidRPr="00D80B50">
        <w:rPr>
          <w:rFonts w:ascii="Arial" w:hAnsi="Arial" w:cs="Arial"/>
          <w:szCs w:val="24"/>
          <w:lang w:val="en-IN" w:eastAsia="en-IN"/>
        </w:rPr>
        <w:t>sustainability strategy</w:t>
      </w:r>
      <w:r w:rsidR="00660BEA" w:rsidRPr="00D80B50">
        <w:rPr>
          <w:rFonts w:ascii="Arial" w:hAnsi="Arial" w:cs="Arial"/>
          <w:szCs w:val="24"/>
          <w:lang w:val="en-IN" w:eastAsia="en-IN"/>
        </w:rPr>
        <w:t>,</w:t>
      </w:r>
      <w:r w:rsidR="00B70898" w:rsidRPr="00D80B50">
        <w:rPr>
          <w:rFonts w:ascii="Arial" w:hAnsi="Arial" w:cs="Arial"/>
          <w:szCs w:val="24"/>
          <w:lang w:val="en-IN" w:eastAsia="en-IN"/>
        </w:rPr>
        <w:t xml:space="preserve"> </w:t>
      </w:r>
      <w:r w:rsidR="00660BEA" w:rsidRPr="00D80B50">
        <w:rPr>
          <w:rFonts w:ascii="Arial" w:hAnsi="Arial" w:cs="Arial"/>
          <w:szCs w:val="24"/>
          <w:lang w:val="en-IN" w:eastAsia="en-IN"/>
        </w:rPr>
        <w:t>which aims to reduce its absolute Scope 1 and 2 greenhouse gas (GHG) emissions and achieve 100% renewable electricity consumption</w:t>
      </w:r>
      <w:r w:rsidR="000F5C4E" w:rsidRPr="00D80B50">
        <w:rPr>
          <w:rFonts w:ascii="Arial" w:hAnsi="Arial" w:cs="Arial"/>
          <w:szCs w:val="24"/>
          <w:lang w:val="en-IN" w:eastAsia="en-IN"/>
        </w:rPr>
        <w:t xml:space="preserve"> (</w:t>
      </w:r>
      <w:r w:rsidR="000F5C4E" w:rsidRPr="00D80B50">
        <w:rPr>
          <w:rFonts w:ascii="Arial" w:hAnsi="Arial" w:cs="Arial"/>
        </w:rPr>
        <w:t>AstraZeneca, 2025</w:t>
      </w:r>
      <w:r w:rsidR="000F5C4E" w:rsidRPr="00D80B50">
        <w:rPr>
          <w:rFonts w:ascii="Arial" w:hAnsi="Arial" w:cs="Arial"/>
          <w:szCs w:val="24"/>
          <w:lang w:val="en-IN" w:eastAsia="en-IN"/>
        </w:rPr>
        <w:t>)</w:t>
      </w:r>
      <w:r w:rsidR="00660BEA" w:rsidRPr="00D80B50">
        <w:rPr>
          <w:rFonts w:ascii="Arial" w:hAnsi="Arial" w:cs="Arial"/>
          <w:szCs w:val="24"/>
          <w:lang w:val="en-IN" w:eastAsia="en-IN"/>
        </w:rPr>
        <w:t>.</w:t>
      </w:r>
      <w:r w:rsidR="00FA38F0" w:rsidRPr="00D80B50">
        <w:rPr>
          <w:rFonts w:ascii="Arial" w:hAnsi="Arial" w:cs="Arial"/>
          <w:szCs w:val="24"/>
          <w:lang w:val="en-IN" w:eastAsia="en-IN"/>
        </w:rPr>
        <w:t xml:space="preserve"> The requirement of significant investment for addressing these objectives becomes a m</w:t>
      </w:r>
      <w:r w:rsidR="002A189C" w:rsidRPr="00D80B50">
        <w:rPr>
          <w:rFonts w:ascii="Arial" w:hAnsi="Arial" w:cs="Arial"/>
          <w:szCs w:val="24"/>
          <w:lang w:val="en-IN" w:eastAsia="en-IN"/>
        </w:rPr>
        <w:t xml:space="preserve">ajor challenge for the company. However, </w:t>
      </w:r>
      <w:r w:rsidR="002A189C" w:rsidRPr="00D80B50">
        <w:rPr>
          <w:rFonts w:ascii="Arial" w:hAnsi="Arial" w:cs="Arial"/>
          <w:shd w:val="clear" w:color="auto" w:fill="FFFFFF"/>
        </w:rPr>
        <w:t xml:space="preserve">Islami, </w:t>
      </w:r>
      <w:proofErr w:type="spellStart"/>
      <w:r w:rsidR="002A189C" w:rsidRPr="00D80B50">
        <w:rPr>
          <w:rFonts w:ascii="Arial" w:hAnsi="Arial" w:cs="Arial"/>
          <w:shd w:val="clear" w:color="auto" w:fill="FFFFFF"/>
        </w:rPr>
        <w:t>Rahyuni</w:t>
      </w:r>
      <w:proofErr w:type="spellEnd"/>
      <w:r w:rsidR="002A189C" w:rsidRPr="00D80B50">
        <w:rPr>
          <w:rFonts w:ascii="Arial" w:hAnsi="Arial" w:cs="Arial"/>
          <w:shd w:val="clear" w:color="auto" w:fill="FFFFFF"/>
        </w:rPr>
        <w:t xml:space="preserve"> and Rukayyah (2024)</w:t>
      </w:r>
      <w:r w:rsidR="00B52D07" w:rsidRPr="00D80B50">
        <w:rPr>
          <w:rFonts w:ascii="Arial" w:hAnsi="Arial" w:cs="Arial"/>
          <w:shd w:val="clear" w:color="auto" w:fill="FFFFFF"/>
        </w:rPr>
        <w:t xml:space="preserve"> stated that </w:t>
      </w:r>
      <w:r w:rsidR="00F969B2" w:rsidRPr="00D80B50">
        <w:rPr>
          <w:rFonts w:ascii="Arial" w:hAnsi="Arial" w:cs="Arial"/>
          <w:shd w:val="clear" w:color="auto" w:fill="FFFFFF"/>
        </w:rPr>
        <w:t xml:space="preserve">companies can improve their market positioning and brand reputation </w:t>
      </w:r>
      <w:r w:rsidR="00F969B2" w:rsidRPr="00D80B50">
        <w:rPr>
          <w:rFonts w:ascii="Arial" w:hAnsi="Arial" w:cs="Arial"/>
          <w:szCs w:val="24"/>
          <w:lang w:val="en-IN" w:eastAsia="en-IN"/>
        </w:rPr>
        <w:t xml:space="preserve">by demonstrating leadership in sustainability. </w:t>
      </w:r>
      <w:r w:rsidR="00AC71E4" w:rsidRPr="00D80B50">
        <w:rPr>
          <w:rFonts w:ascii="Arial" w:hAnsi="Arial" w:cs="Arial"/>
          <w:szCs w:val="24"/>
          <w:lang w:val="en-IN" w:eastAsia="en-IN"/>
        </w:rPr>
        <w:t>It also influences the innovation and talent management practices of the company. T</w:t>
      </w:r>
      <w:r w:rsidR="004F0A5B" w:rsidRPr="00D80B50">
        <w:rPr>
          <w:rFonts w:ascii="Arial" w:hAnsi="Arial" w:cs="Arial"/>
          <w:szCs w:val="24"/>
          <w:lang w:val="en-IN" w:eastAsia="en-IN"/>
        </w:rPr>
        <w:t xml:space="preserve">herefore, it can be stated that </w:t>
      </w:r>
      <w:r w:rsidR="00AC71E4" w:rsidRPr="00D80B50">
        <w:rPr>
          <w:rFonts w:ascii="Arial" w:hAnsi="Arial" w:cs="Arial"/>
          <w:szCs w:val="24"/>
          <w:lang w:val="en-IN" w:eastAsia="en-IN"/>
        </w:rPr>
        <w:t>AstraZeneca tri</w:t>
      </w:r>
      <w:r w:rsidR="004F0A5B" w:rsidRPr="00D80B50">
        <w:rPr>
          <w:rFonts w:ascii="Arial" w:hAnsi="Arial" w:cs="Arial"/>
          <w:szCs w:val="24"/>
          <w:lang w:val="en-IN" w:eastAsia="en-IN"/>
        </w:rPr>
        <w:t xml:space="preserve">es to hire employees who have a passion for the environment and also focuses on innovation that assists them in reducing their carbon footprint. </w:t>
      </w:r>
      <w:r w:rsidR="00AC71E4" w:rsidRPr="00D80B50">
        <w:rPr>
          <w:rFonts w:ascii="Arial" w:hAnsi="Arial" w:cs="Arial"/>
          <w:szCs w:val="24"/>
          <w:lang w:val="en-IN" w:eastAsia="en-IN"/>
        </w:rPr>
        <w:t xml:space="preserve"> </w:t>
      </w:r>
      <w:r w:rsidR="00660BEA" w:rsidRPr="00D80B50">
        <w:rPr>
          <w:rFonts w:ascii="Arial" w:hAnsi="Arial" w:cs="Arial"/>
          <w:szCs w:val="24"/>
          <w:lang w:val="en-IN" w:eastAsia="en-IN"/>
        </w:rPr>
        <w:t xml:space="preserve">  </w:t>
      </w:r>
    </w:p>
    <w:p w14:paraId="1B4A64E5" w14:textId="77777777" w:rsidR="00CB7C0D" w:rsidRPr="00D80B50" w:rsidRDefault="00CB7C0D" w:rsidP="00AD4527">
      <w:pPr>
        <w:rPr>
          <w:rFonts w:ascii="Arial" w:hAnsi="Arial" w:cs="Arial"/>
        </w:rPr>
      </w:pPr>
      <w:r w:rsidRPr="00D80B50">
        <w:rPr>
          <w:rFonts w:ascii="Arial" w:hAnsi="Arial" w:cs="Arial"/>
          <w:szCs w:val="24"/>
          <w:lang w:val="en-IN" w:eastAsia="en-IN"/>
        </w:rPr>
        <w:t xml:space="preserve">AstraZeneca's operations and reputation are also influenced to a significant extent by the </w:t>
      </w:r>
      <w:r w:rsidRPr="00D80B50">
        <w:rPr>
          <w:rFonts w:ascii="Arial" w:hAnsi="Arial" w:cs="Arial"/>
          <w:b/>
          <w:szCs w:val="24"/>
          <w:lang w:val="en-IN" w:eastAsia="en-IN"/>
        </w:rPr>
        <w:t>legal</w:t>
      </w:r>
      <w:r w:rsidRPr="00D80B50">
        <w:rPr>
          <w:rFonts w:ascii="Arial" w:hAnsi="Arial" w:cs="Arial"/>
          <w:szCs w:val="24"/>
          <w:lang w:val="en-IN" w:eastAsia="en-IN"/>
        </w:rPr>
        <w:t xml:space="preserve"> </w:t>
      </w:r>
      <w:r w:rsidRPr="00D80B50">
        <w:rPr>
          <w:rFonts w:ascii="Arial" w:hAnsi="Arial" w:cs="Arial"/>
          <w:b/>
          <w:szCs w:val="24"/>
          <w:lang w:val="en-IN" w:eastAsia="en-IN"/>
        </w:rPr>
        <w:t>environment</w:t>
      </w:r>
      <w:r w:rsidRPr="00D80B50">
        <w:rPr>
          <w:rFonts w:ascii="Arial" w:hAnsi="Arial" w:cs="Arial"/>
          <w:szCs w:val="24"/>
          <w:lang w:val="en-IN" w:eastAsia="en-IN"/>
        </w:rPr>
        <w:t xml:space="preserve">. </w:t>
      </w:r>
      <w:r w:rsidR="005E59F8" w:rsidRPr="00D80B50">
        <w:rPr>
          <w:rFonts w:ascii="Arial" w:hAnsi="Arial" w:cs="Arial"/>
          <w:szCs w:val="24"/>
          <w:lang w:val="en-IN" w:eastAsia="en-IN"/>
        </w:rPr>
        <w:t>A variety of legal risks, including government policies, laws, and judicial systems</w:t>
      </w:r>
      <w:r w:rsidR="00D24B93" w:rsidRPr="00D80B50">
        <w:rPr>
          <w:rFonts w:ascii="Arial" w:hAnsi="Arial" w:cs="Arial"/>
          <w:szCs w:val="24"/>
          <w:lang w:val="en-IN" w:eastAsia="en-IN"/>
        </w:rPr>
        <w:t xml:space="preserve">, </w:t>
      </w:r>
      <w:r w:rsidR="00344D97" w:rsidRPr="00D80B50">
        <w:rPr>
          <w:rFonts w:ascii="Arial" w:hAnsi="Arial" w:cs="Arial"/>
          <w:szCs w:val="24"/>
          <w:lang w:val="en-IN" w:eastAsia="en-IN"/>
        </w:rPr>
        <w:t>affect</w:t>
      </w:r>
      <w:r w:rsidR="00D24B93" w:rsidRPr="00D80B50">
        <w:rPr>
          <w:rFonts w:ascii="Arial" w:hAnsi="Arial" w:cs="Arial"/>
          <w:szCs w:val="24"/>
          <w:lang w:val="en-IN" w:eastAsia="en-IN"/>
        </w:rPr>
        <w:t xml:space="preserve"> international trade and business expansion</w:t>
      </w:r>
      <w:r w:rsidR="00200E6D" w:rsidRPr="00D80B50">
        <w:rPr>
          <w:rFonts w:ascii="Arial" w:hAnsi="Arial" w:cs="Arial"/>
          <w:szCs w:val="24"/>
          <w:lang w:val="en-IN" w:eastAsia="en-IN"/>
        </w:rPr>
        <w:t xml:space="preserve">. </w:t>
      </w:r>
      <w:r w:rsidR="00531CCA" w:rsidRPr="00D80B50">
        <w:rPr>
          <w:rFonts w:ascii="Arial" w:hAnsi="Arial" w:cs="Arial"/>
          <w:szCs w:val="24"/>
          <w:lang w:val="en-IN" w:eastAsia="en-IN"/>
        </w:rPr>
        <w:t xml:space="preserve">AstraZeneca's response to geopolitical tensions such as the Red Sea crisis and China-Taiwan issues, by </w:t>
      </w:r>
      <w:r w:rsidR="00531CCA" w:rsidRPr="00D80B50">
        <w:rPr>
          <w:rFonts w:ascii="Arial" w:hAnsi="Arial" w:cs="Arial"/>
        </w:rPr>
        <w:t>establishing separate supply chains for the U.S. and China</w:t>
      </w:r>
      <w:r w:rsidR="00200E6D" w:rsidRPr="00D80B50">
        <w:rPr>
          <w:rFonts w:ascii="Arial" w:hAnsi="Arial" w:cs="Arial"/>
        </w:rPr>
        <w:t>,</w:t>
      </w:r>
      <w:r w:rsidR="00531CCA" w:rsidRPr="00D80B50">
        <w:rPr>
          <w:rFonts w:ascii="Arial" w:hAnsi="Arial" w:cs="Arial"/>
        </w:rPr>
        <w:t xml:space="preserve"> will require compliance with evolving trade laws, sanctions, and export controls.  </w:t>
      </w:r>
      <w:r w:rsidR="00200E6D" w:rsidRPr="00D80B50">
        <w:rPr>
          <w:rFonts w:ascii="Arial" w:hAnsi="Arial" w:cs="Arial"/>
        </w:rPr>
        <w:t>This refers to regulations like the Export Administration Regulations (EAR) and the International Traffic in Arms Regulations (ITAR) in the US, and the Export Control Law and the Cybersecurity Law of China</w:t>
      </w:r>
      <w:r w:rsidR="00E649F8" w:rsidRPr="00D80B50">
        <w:rPr>
          <w:rFonts w:ascii="Arial" w:hAnsi="Arial" w:cs="Arial"/>
        </w:rPr>
        <w:t xml:space="preserve"> (</w:t>
      </w:r>
      <w:r w:rsidR="00203034" w:rsidRPr="00D80B50">
        <w:rPr>
          <w:rFonts w:ascii="Arial" w:hAnsi="Arial" w:cs="Arial"/>
        </w:rPr>
        <w:t xml:space="preserve">Bureau of Industry and Security, 2025; Data Guidance, 2025; Directorate of </w:t>
      </w:r>
      <w:proofErr w:type="spellStart"/>
      <w:r w:rsidR="00203034" w:rsidRPr="00D80B50">
        <w:rPr>
          <w:rFonts w:ascii="Arial" w:hAnsi="Arial" w:cs="Arial"/>
        </w:rPr>
        <w:t>Defense</w:t>
      </w:r>
      <w:proofErr w:type="spellEnd"/>
      <w:r w:rsidR="00203034" w:rsidRPr="00D80B50">
        <w:rPr>
          <w:rFonts w:ascii="Arial" w:hAnsi="Arial" w:cs="Arial"/>
        </w:rPr>
        <w:t xml:space="preserve"> Trade Controls, 2025; NPC.GOV, 2025</w:t>
      </w:r>
      <w:r w:rsidR="00E649F8" w:rsidRPr="00D80B50">
        <w:rPr>
          <w:rFonts w:ascii="Arial" w:hAnsi="Arial" w:cs="Arial"/>
        </w:rPr>
        <w:t>)</w:t>
      </w:r>
      <w:r w:rsidR="00200E6D" w:rsidRPr="00D80B50">
        <w:rPr>
          <w:rFonts w:ascii="Arial" w:hAnsi="Arial" w:cs="Arial"/>
        </w:rPr>
        <w:t xml:space="preserve">. </w:t>
      </w:r>
      <w:r w:rsidR="009A32FB" w:rsidRPr="00D80B50">
        <w:rPr>
          <w:rFonts w:ascii="Arial" w:hAnsi="Arial" w:cs="Arial"/>
        </w:rPr>
        <w:t xml:space="preserve">AstraZeneca could face fines, operational restrictions, and damage to market access and positioning if </w:t>
      </w:r>
      <w:r w:rsidR="00DD44B5" w:rsidRPr="00D80B50">
        <w:rPr>
          <w:rFonts w:ascii="Arial" w:hAnsi="Arial" w:cs="Arial"/>
        </w:rPr>
        <w:t>it</w:t>
      </w:r>
      <w:r w:rsidR="009A32FB" w:rsidRPr="00D80B50">
        <w:rPr>
          <w:rFonts w:ascii="Arial" w:hAnsi="Arial" w:cs="Arial"/>
        </w:rPr>
        <w:t xml:space="preserve"> fails to comply with these specific legal frameworks. </w:t>
      </w:r>
      <w:r w:rsidR="0030370A" w:rsidRPr="00D80B50">
        <w:rPr>
          <w:rFonts w:ascii="Arial" w:hAnsi="Arial" w:cs="Arial"/>
        </w:rPr>
        <w:t xml:space="preserve">Further, a new legal compliance challenge has emerged for the company in the form of </w:t>
      </w:r>
      <w:r w:rsidR="007D2270" w:rsidRPr="00D80B50">
        <w:rPr>
          <w:rFonts w:ascii="Arial" w:hAnsi="Arial" w:cs="Arial"/>
        </w:rPr>
        <w:t xml:space="preserve">the </w:t>
      </w:r>
      <w:r w:rsidR="0030370A" w:rsidRPr="00D80B50">
        <w:rPr>
          <w:rFonts w:ascii="Arial" w:hAnsi="Arial" w:cs="Arial"/>
        </w:rPr>
        <w:t>EU's Corporate Sustainability Reporting Directive (CSRD)</w:t>
      </w:r>
      <w:r w:rsidR="007D2270" w:rsidRPr="00D80B50">
        <w:rPr>
          <w:rFonts w:ascii="Arial" w:hAnsi="Arial" w:cs="Arial"/>
        </w:rPr>
        <w:t>,</w:t>
      </w:r>
      <w:r w:rsidR="0030370A" w:rsidRPr="00D80B50">
        <w:rPr>
          <w:rFonts w:ascii="Arial" w:hAnsi="Arial" w:cs="Arial"/>
        </w:rPr>
        <w:t xml:space="preserve"> which requires companies to publicly report on their environmental and social impacts</w:t>
      </w:r>
      <w:r w:rsidR="007D2270" w:rsidRPr="00D80B50">
        <w:rPr>
          <w:rFonts w:ascii="Arial" w:hAnsi="Arial" w:cs="Arial"/>
        </w:rPr>
        <w:t xml:space="preserve"> (</w:t>
      </w:r>
      <w:r w:rsidR="007D2270" w:rsidRPr="00D80B50">
        <w:rPr>
          <w:rFonts w:ascii="Arial" w:hAnsi="Arial" w:cs="Arial"/>
          <w:szCs w:val="24"/>
          <w:lang w:val="en-IN" w:eastAsia="en-IN"/>
        </w:rPr>
        <w:t>European Commission, 2025</w:t>
      </w:r>
      <w:r w:rsidR="007D2270" w:rsidRPr="00D80B50">
        <w:rPr>
          <w:rFonts w:ascii="Arial" w:hAnsi="Arial" w:cs="Arial"/>
        </w:rPr>
        <w:t xml:space="preserve">). </w:t>
      </w:r>
      <w:r w:rsidR="00957EAF" w:rsidRPr="00D80B50">
        <w:rPr>
          <w:rFonts w:ascii="Arial" w:hAnsi="Arial" w:cs="Arial"/>
        </w:rPr>
        <w:t xml:space="preserve">This makes sustainable reporting a mandatory legal requirement instead of a voluntary measure, as it </w:t>
      </w:r>
      <w:r w:rsidR="00425F74" w:rsidRPr="00D80B50">
        <w:rPr>
          <w:rFonts w:ascii="Arial" w:hAnsi="Arial" w:cs="Arial"/>
        </w:rPr>
        <w:t>holds</w:t>
      </w:r>
      <w:r w:rsidR="00957EAF" w:rsidRPr="00D80B50">
        <w:rPr>
          <w:rFonts w:ascii="Arial" w:hAnsi="Arial" w:cs="Arial"/>
        </w:rPr>
        <w:t xml:space="preserve"> companies accountable for their sustainability claims</w:t>
      </w:r>
      <w:r w:rsidR="00425F74" w:rsidRPr="00D80B50">
        <w:rPr>
          <w:rFonts w:ascii="Arial" w:hAnsi="Arial" w:cs="Arial"/>
        </w:rPr>
        <w:t xml:space="preserve">. </w:t>
      </w:r>
    </w:p>
    <w:p w14:paraId="1B4A64E6" w14:textId="77777777" w:rsidR="000D68A1" w:rsidRPr="00D80B50" w:rsidRDefault="000D68A1" w:rsidP="00AD4527">
      <w:pPr>
        <w:rPr>
          <w:rFonts w:ascii="Arial" w:hAnsi="Arial" w:cs="Arial"/>
        </w:rPr>
      </w:pPr>
      <w:r w:rsidRPr="00D80B50">
        <w:rPr>
          <w:rFonts w:ascii="Arial" w:hAnsi="Arial" w:cs="Arial"/>
        </w:rPr>
        <w:lastRenderedPageBreak/>
        <w:t xml:space="preserve">Based on the above analysis, AstraZeneca is </w:t>
      </w:r>
      <w:r w:rsidRPr="00D80B50">
        <w:rPr>
          <w:rFonts w:ascii="Arial" w:hAnsi="Arial" w:cs="Arial"/>
          <w:b/>
          <w:i/>
        </w:rPr>
        <w:t>recommended</w:t>
      </w:r>
      <w:r w:rsidRPr="00D80B50">
        <w:rPr>
          <w:rFonts w:ascii="Arial" w:hAnsi="Arial" w:cs="Arial"/>
        </w:rPr>
        <w:t xml:space="preserve"> to diversify and localise the supply chain</w:t>
      </w:r>
      <w:r w:rsidR="00287F5F" w:rsidRPr="00D80B50">
        <w:rPr>
          <w:rFonts w:ascii="Arial" w:hAnsi="Arial" w:cs="Arial"/>
        </w:rPr>
        <w:t xml:space="preserve"> to mitigate risks from geopolitical tensions and trade disruptions. This may require them to transition to a more resilient, multi-regional network from a single, centralised manufacturing and distribution model. </w:t>
      </w:r>
      <w:r w:rsidR="00851D0E" w:rsidRPr="00D80B50">
        <w:rPr>
          <w:rFonts w:ascii="Arial" w:hAnsi="Arial" w:cs="Arial"/>
        </w:rPr>
        <w:t>According</w:t>
      </w:r>
      <w:r w:rsidR="00287F5F" w:rsidRPr="00D80B50">
        <w:rPr>
          <w:rFonts w:ascii="Arial" w:hAnsi="Arial" w:cs="Arial"/>
        </w:rPr>
        <w:t xml:space="preserve"> to </w:t>
      </w:r>
      <w:r w:rsidR="00851D0E" w:rsidRPr="00D80B50">
        <w:rPr>
          <w:rFonts w:ascii="Arial" w:hAnsi="Arial" w:cs="Arial"/>
        </w:rPr>
        <w:t>Dunaway (2024)</w:t>
      </w:r>
      <w:r w:rsidR="00820BA1" w:rsidRPr="00D80B50">
        <w:rPr>
          <w:rFonts w:ascii="Arial" w:hAnsi="Arial" w:cs="Arial"/>
        </w:rPr>
        <w:t>,</w:t>
      </w:r>
      <w:r w:rsidR="00287F5F" w:rsidRPr="00D80B50">
        <w:rPr>
          <w:rFonts w:ascii="Arial" w:hAnsi="Arial" w:cs="Arial"/>
        </w:rPr>
        <w:t xml:space="preserve"> </w:t>
      </w:r>
      <w:r w:rsidR="00820BA1" w:rsidRPr="00D80B50">
        <w:rPr>
          <w:rFonts w:ascii="Arial" w:hAnsi="Arial" w:cs="Arial"/>
        </w:rPr>
        <w:t xml:space="preserve">companies can reduce vulnerability to single-point failures like the Red Sea crisis by diversifying their supplier base and thereby </w:t>
      </w:r>
      <w:r w:rsidR="00F128D7" w:rsidRPr="00D80B50">
        <w:rPr>
          <w:rFonts w:ascii="Arial" w:hAnsi="Arial" w:cs="Arial"/>
        </w:rPr>
        <w:t>complying</w:t>
      </w:r>
      <w:r w:rsidR="00820BA1" w:rsidRPr="00D80B50">
        <w:rPr>
          <w:rFonts w:ascii="Arial" w:hAnsi="Arial" w:cs="Arial"/>
        </w:rPr>
        <w:t xml:space="preserve"> with specific local regulations and export controls.</w:t>
      </w:r>
      <w:r w:rsidR="00F128D7" w:rsidRPr="00D80B50">
        <w:rPr>
          <w:rFonts w:ascii="Arial" w:hAnsi="Arial" w:cs="Arial"/>
        </w:rPr>
        <w:t xml:space="preserve"> AstraZeneca is </w:t>
      </w:r>
      <w:r w:rsidR="009F69E5" w:rsidRPr="00D80B50">
        <w:rPr>
          <w:rFonts w:ascii="Arial" w:hAnsi="Arial" w:cs="Arial"/>
        </w:rPr>
        <w:t>also recommended</w:t>
      </w:r>
      <w:r w:rsidR="00F128D7" w:rsidRPr="00D80B50">
        <w:rPr>
          <w:rFonts w:ascii="Arial" w:hAnsi="Arial" w:cs="Arial"/>
        </w:rPr>
        <w:t xml:space="preserve"> to </w:t>
      </w:r>
      <w:r w:rsidR="009F69E5" w:rsidRPr="00D80B50">
        <w:rPr>
          <w:rFonts w:ascii="Arial" w:hAnsi="Arial" w:cs="Arial"/>
        </w:rPr>
        <w:t xml:space="preserve">address the significant legal and ethical risks associated with AI adoption by investing in a comprehensive AI governance framework. </w:t>
      </w:r>
      <w:r w:rsidR="004D14E2" w:rsidRPr="00D80B50">
        <w:rPr>
          <w:rFonts w:ascii="Arial" w:hAnsi="Arial" w:cs="Arial"/>
        </w:rPr>
        <w:t>The company can ensure its AI applications comply with global data privacy laws like GDPR and address intellectual property rights</w:t>
      </w:r>
      <w:r w:rsidR="00297CD0" w:rsidRPr="00D80B50">
        <w:rPr>
          <w:rFonts w:ascii="Arial" w:hAnsi="Arial" w:cs="Arial"/>
        </w:rPr>
        <w:t xml:space="preserve"> by establishing a robust governance framework</w:t>
      </w:r>
      <w:r w:rsidR="003E09D0" w:rsidRPr="00D80B50">
        <w:rPr>
          <w:rFonts w:ascii="Arial" w:hAnsi="Arial" w:cs="Arial"/>
        </w:rPr>
        <w:t xml:space="preserve">. Utilisation of such a framework enhances the company’s reputation as a responsible innovator by mitigating legal risks and building public trust. </w:t>
      </w:r>
    </w:p>
    <w:p w14:paraId="1B4A64E7" w14:textId="77777777" w:rsidR="009434AC" w:rsidRPr="00D80B50" w:rsidRDefault="009434AC" w:rsidP="00AD4527">
      <w:pPr>
        <w:rPr>
          <w:rFonts w:ascii="Arial" w:hAnsi="Arial" w:cs="Arial"/>
        </w:rPr>
      </w:pPr>
      <w:r w:rsidRPr="00D80B50">
        <w:rPr>
          <w:rFonts w:ascii="Arial" w:hAnsi="Arial" w:cs="Arial"/>
        </w:rPr>
        <w:t xml:space="preserve">AstraZeneca is also advised to treat sustainability as a mandatory business imperative rather than an optional add-on by integrating sustainability and corporate social responsibility into its core strategy. Starting from R&amp;D to operations, this </w:t>
      </w:r>
      <w:r w:rsidR="00317033" w:rsidRPr="00D80B50">
        <w:rPr>
          <w:rFonts w:ascii="Arial" w:hAnsi="Arial" w:cs="Arial"/>
        </w:rPr>
        <w:t>strategy</w:t>
      </w:r>
      <w:r w:rsidRPr="00D80B50">
        <w:rPr>
          <w:rFonts w:ascii="Arial" w:hAnsi="Arial" w:cs="Arial"/>
        </w:rPr>
        <w:t xml:space="preserve"> will require the firm to </w:t>
      </w:r>
      <w:r w:rsidR="00317033" w:rsidRPr="00D80B50">
        <w:rPr>
          <w:rFonts w:ascii="Arial" w:hAnsi="Arial" w:cs="Arial"/>
        </w:rPr>
        <w:t xml:space="preserve">make a public and demonstrable commitment to environmental protection and ethical governance. </w:t>
      </w:r>
      <w:r w:rsidR="004C5727" w:rsidRPr="00D80B50">
        <w:rPr>
          <w:rFonts w:ascii="Arial" w:hAnsi="Arial" w:cs="Arial"/>
        </w:rPr>
        <w:t xml:space="preserve">By selecting sustainability as a core business strategy, the company can develop a competitive edge in the market, demonstrate its </w:t>
      </w:r>
      <w:r w:rsidR="001772E1" w:rsidRPr="00D80B50">
        <w:rPr>
          <w:rFonts w:ascii="Arial" w:hAnsi="Arial" w:cs="Arial"/>
        </w:rPr>
        <w:t>long-term</w:t>
      </w:r>
      <w:r w:rsidR="004C5727" w:rsidRPr="00D80B50">
        <w:rPr>
          <w:rFonts w:ascii="Arial" w:hAnsi="Arial" w:cs="Arial"/>
        </w:rPr>
        <w:t xml:space="preserve"> viability and </w:t>
      </w:r>
      <w:r w:rsidR="001772E1" w:rsidRPr="00D80B50">
        <w:rPr>
          <w:rFonts w:ascii="Arial" w:hAnsi="Arial" w:cs="Arial"/>
        </w:rPr>
        <w:t>enable a proactive response to industry changes</w:t>
      </w:r>
      <w:r w:rsidR="00271157" w:rsidRPr="00D80B50">
        <w:rPr>
          <w:rFonts w:ascii="Arial" w:hAnsi="Arial" w:cs="Arial"/>
        </w:rPr>
        <w:t xml:space="preserve"> (Forbes, 2024)</w:t>
      </w:r>
      <w:r w:rsidR="001772E1" w:rsidRPr="00D80B50">
        <w:rPr>
          <w:rFonts w:ascii="Arial" w:hAnsi="Arial" w:cs="Arial"/>
        </w:rPr>
        <w:t xml:space="preserve">. </w:t>
      </w:r>
    </w:p>
    <w:p w14:paraId="1B4A64E8" w14:textId="77777777" w:rsidR="002D4DAC" w:rsidRPr="00D80B50" w:rsidRDefault="002D4DAC" w:rsidP="002D4DAC">
      <w:pPr>
        <w:pStyle w:val="Heading1"/>
        <w:rPr>
          <w:rFonts w:ascii="Arial" w:hAnsi="Arial" w:cs="Arial"/>
        </w:rPr>
      </w:pPr>
      <w:bookmarkStart w:id="2" w:name="_Toc209707770"/>
      <w:r w:rsidRPr="00D80B50">
        <w:rPr>
          <w:rFonts w:ascii="Arial" w:hAnsi="Arial" w:cs="Arial"/>
        </w:rPr>
        <w:t>Conclusion</w:t>
      </w:r>
      <w:bookmarkEnd w:id="2"/>
      <w:r w:rsidRPr="00D80B50">
        <w:rPr>
          <w:rFonts w:ascii="Arial" w:hAnsi="Arial" w:cs="Arial"/>
        </w:rPr>
        <w:t xml:space="preserve"> </w:t>
      </w:r>
    </w:p>
    <w:p w14:paraId="1B4A64E9" w14:textId="77777777" w:rsidR="002D4DAC" w:rsidRPr="00D80B50" w:rsidRDefault="006739BB" w:rsidP="002D4DAC">
      <w:pPr>
        <w:rPr>
          <w:rFonts w:ascii="Arial" w:hAnsi="Arial" w:cs="Arial"/>
        </w:rPr>
      </w:pPr>
      <w:r w:rsidRPr="00D80B50">
        <w:rPr>
          <w:rFonts w:ascii="Arial" w:hAnsi="Arial" w:cs="Arial"/>
          <w:lang w:val="en-IN"/>
        </w:rPr>
        <w:t xml:space="preserve">In the essay, it has been found that geopolitical tensions like the </w:t>
      </w:r>
      <w:r w:rsidRPr="00D80B50">
        <w:rPr>
          <w:rFonts w:ascii="Arial" w:hAnsi="Arial" w:cs="Arial"/>
          <w:color w:val="1B1C1D"/>
          <w:szCs w:val="24"/>
          <w:lang w:val="en-IN" w:eastAsia="en-IN"/>
        </w:rPr>
        <w:t xml:space="preserve">Sea crisis translate to operational issues for AstraZeneca in terms of </w:t>
      </w:r>
      <w:r w:rsidRPr="00D80B50">
        <w:rPr>
          <w:rFonts w:ascii="Arial" w:hAnsi="Arial" w:cs="Arial"/>
        </w:rPr>
        <w:t xml:space="preserve">longer transit times and higher shipping costs.  This situation also negatively impacts the macroeconomic environment of the businesses. Furthermore, elements like increasing use of AI and the emergence of </w:t>
      </w:r>
      <w:r w:rsidRPr="00D80B50">
        <w:rPr>
          <w:rFonts w:ascii="Arial" w:hAnsi="Arial" w:cs="Arial"/>
          <w:szCs w:val="24"/>
          <w:lang w:val="en-IN" w:eastAsia="en-IN"/>
        </w:rPr>
        <w:t xml:space="preserve">CSRD have created both opportunities and challenges for </w:t>
      </w:r>
      <w:r w:rsidRPr="00D80B50">
        <w:rPr>
          <w:rFonts w:ascii="Arial" w:hAnsi="Arial" w:cs="Arial"/>
          <w:sz w:val="22"/>
          <w:szCs w:val="22"/>
        </w:rPr>
        <w:t xml:space="preserve">AstraZeneca’s market positioning, innovation, talent management, and competitiveness. </w:t>
      </w:r>
      <w:r w:rsidR="002D4DAC" w:rsidRPr="00D80B50">
        <w:rPr>
          <w:rFonts w:ascii="Arial" w:hAnsi="Arial" w:cs="Arial"/>
        </w:rPr>
        <w:t xml:space="preserve">Therefore, it can be stated that this understanding of global dynamics, like the Red Sea crisis and the China-Taiwan conflict, is important for businesses as it allows them to </w:t>
      </w:r>
      <w:r w:rsidR="00B44081" w:rsidRPr="00D80B50">
        <w:rPr>
          <w:rFonts w:ascii="Arial" w:hAnsi="Arial" w:cs="Arial"/>
        </w:rPr>
        <w:t>take a proactive approach against issues like disruption of global trade, supply chain vulnerabilities, and increased costs.</w:t>
      </w:r>
    </w:p>
    <w:p w14:paraId="1B4A64EC" w14:textId="0C8E4C50" w:rsidR="00B91520" w:rsidRPr="00D80B50" w:rsidRDefault="00B91520">
      <w:pPr>
        <w:spacing w:after="160" w:line="259" w:lineRule="auto"/>
        <w:jc w:val="left"/>
        <w:rPr>
          <w:rFonts w:ascii="Arial" w:eastAsiaTheme="majorEastAsia" w:hAnsi="Arial" w:cs="Arial"/>
          <w:b/>
          <w:color w:val="000000" w:themeColor="text1"/>
          <w:szCs w:val="32"/>
        </w:rPr>
      </w:pPr>
    </w:p>
    <w:p w14:paraId="1B4A64ED" w14:textId="77777777" w:rsidR="00FC151C" w:rsidRPr="00D80B50" w:rsidRDefault="00FC151C" w:rsidP="00FC151C">
      <w:pPr>
        <w:pStyle w:val="Heading1"/>
        <w:rPr>
          <w:rFonts w:ascii="Arial" w:hAnsi="Arial" w:cs="Arial"/>
        </w:rPr>
      </w:pPr>
      <w:bookmarkStart w:id="3" w:name="_Toc209707771"/>
      <w:r w:rsidRPr="00D80B50">
        <w:rPr>
          <w:rFonts w:ascii="Arial" w:hAnsi="Arial" w:cs="Arial"/>
        </w:rPr>
        <w:lastRenderedPageBreak/>
        <w:t>Reference List</w:t>
      </w:r>
      <w:bookmarkEnd w:id="3"/>
      <w:r w:rsidRPr="00D80B50">
        <w:rPr>
          <w:rFonts w:ascii="Arial" w:hAnsi="Arial" w:cs="Arial"/>
        </w:rPr>
        <w:t xml:space="preserve"> </w:t>
      </w:r>
    </w:p>
    <w:p w14:paraId="1B4A64EE" w14:textId="7271E499" w:rsidR="00E268A7" w:rsidRPr="00D80B50" w:rsidRDefault="00E268A7" w:rsidP="00E268A7">
      <w:pPr>
        <w:spacing w:before="240"/>
        <w:rPr>
          <w:rFonts w:ascii="Arial" w:hAnsi="Arial" w:cs="Arial"/>
          <w:szCs w:val="24"/>
        </w:rPr>
      </w:pPr>
      <w:r w:rsidRPr="00D80B50">
        <w:rPr>
          <w:rFonts w:ascii="Arial" w:hAnsi="Arial" w:cs="Arial"/>
          <w:szCs w:val="24"/>
        </w:rPr>
        <w:t>Aprile (2025)</w:t>
      </w:r>
      <w:r w:rsidR="00473384"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THE LATEST FROM APRILE</w:t>
      </w:r>
      <w:r w:rsidRPr="00D80B50">
        <w:rPr>
          <w:rFonts w:ascii="Arial" w:hAnsi="Arial" w:cs="Arial"/>
          <w:szCs w:val="24"/>
        </w:rPr>
        <w:t xml:space="preserve">. Available at: https://www.aprilenet.com/en/red-sea-crisis/ (Accessed: 23 September 2025). </w:t>
      </w:r>
    </w:p>
    <w:p w14:paraId="1B4A64EF" w14:textId="0866FFD9" w:rsidR="00E268A7" w:rsidRPr="00D80B50" w:rsidRDefault="00E268A7" w:rsidP="00E268A7">
      <w:pPr>
        <w:spacing w:before="240"/>
        <w:rPr>
          <w:rFonts w:ascii="Arial" w:hAnsi="Arial" w:cs="Arial"/>
          <w:szCs w:val="24"/>
        </w:rPr>
      </w:pPr>
      <w:r w:rsidRPr="00D80B50">
        <w:rPr>
          <w:rFonts w:ascii="Arial" w:hAnsi="Arial" w:cs="Arial"/>
          <w:szCs w:val="24"/>
          <w:shd w:val="clear" w:color="auto" w:fill="FFFFFF"/>
        </w:rPr>
        <w:t>Arif, A., Khan, M.I. and Khan, A.R.A. (2024)</w:t>
      </w:r>
      <w:r w:rsidR="00473384" w:rsidRPr="00D80B50">
        <w:rPr>
          <w:rFonts w:ascii="Arial" w:hAnsi="Arial" w:cs="Arial"/>
          <w:szCs w:val="24"/>
          <w:shd w:val="clear" w:color="auto" w:fill="FFFFFF"/>
        </w:rPr>
        <w:t>.</w:t>
      </w:r>
      <w:r w:rsidRPr="00D80B50">
        <w:rPr>
          <w:rFonts w:ascii="Arial" w:hAnsi="Arial" w:cs="Arial"/>
          <w:szCs w:val="24"/>
          <w:shd w:val="clear" w:color="auto" w:fill="FFFFFF"/>
        </w:rPr>
        <w:t xml:space="preserve"> An overview of cyber threats generated by AI. </w:t>
      </w:r>
      <w:r w:rsidRPr="00D80B50">
        <w:rPr>
          <w:rFonts w:ascii="Arial" w:hAnsi="Arial" w:cs="Arial"/>
          <w:i/>
          <w:iCs/>
          <w:szCs w:val="24"/>
          <w:shd w:val="clear" w:color="auto" w:fill="FFFFFF"/>
        </w:rPr>
        <w:t>International Journal of Multidisciplinary Sciences and Arts</w:t>
      </w:r>
      <w:r w:rsidRPr="00D80B50">
        <w:rPr>
          <w:rFonts w:ascii="Arial" w:hAnsi="Arial" w:cs="Arial"/>
          <w:szCs w:val="24"/>
          <w:shd w:val="clear" w:color="auto" w:fill="FFFFFF"/>
        </w:rPr>
        <w:t>, </w:t>
      </w:r>
      <w:r w:rsidRPr="00D80B50">
        <w:rPr>
          <w:rFonts w:ascii="Arial" w:hAnsi="Arial" w:cs="Arial"/>
          <w:i/>
          <w:iCs/>
          <w:szCs w:val="24"/>
          <w:shd w:val="clear" w:color="auto" w:fill="FFFFFF"/>
        </w:rPr>
        <w:t>3</w:t>
      </w:r>
      <w:r w:rsidRPr="00D80B50">
        <w:rPr>
          <w:rFonts w:ascii="Arial" w:hAnsi="Arial" w:cs="Arial"/>
          <w:szCs w:val="24"/>
          <w:shd w:val="clear" w:color="auto" w:fill="FFFFFF"/>
        </w:rPr>
        <w:t>(4), pp.67-76.</w:t>
      </w:r>
    </w:p>
    <w:p w14:paraId="1B4A64F0" w14:textId="6ECEA398" w:rsidR="00E268A7" w:rsidRPr="00D80B50" w:rsidRDefault="00E268A7" w:rsidP="00E268A7">
      <w:pPr>
        <w:spacing w:before="240"/>
        <w:rPr>
          <w:rFonts w:ascii="Arial" w:hAnsi="Arial" w:cs="Arial"/>
          <w:szCs w:val="24"/>
        </w:rPr>
      </w:pPr>
      <w:r w:rsidRPr="00D80B50">
        <w:rPr>
          <w:rFonts w:ascii="Arial" w:hAnsi="Arial" w:cs="Arial"/>
          <w:szCs w:val="24"/>
        </w:rPr>
        <w:t>AstraZeneca (2025)</w:t>
      </w:r>
      <w:r w:rsidR="00473384"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2024 Sustainability Highlights</w:t>
      </w:r>
      <w:r w:rsidRPr="00D80B50">
        <w:rPr>
          <w:rFonts w:ascii="Arial" w:hAnsi="Arial" w:cs="Arial"/>
          <w:szCs w:val="24"/>
        </w:rPr>
        <w:t>. Available at: https://www.astrazeneca.com/content/dam/az/Investor_Relations/events/2024-Sustainability-Highlights.pdf (Accessed: 23 September 2025).</w:t>
      </w:r>
    </w:p>
    <w:p w14:paraId="1B4A64F1" w14:textId="421D0827" w:rsidR="00E268A7" w:rsidRPr="00D80B50" w:rsidRDefault="00E268A7" w:rsidP="00E268A7">
      <w:pPr>
        <w:spacing w:before="240"/>
        <w:rPr>
          <w:rFonts w:ascii="Arial" w:hAnsi="Arial" w:cs="Arial"/>
          <w:szCs w:val="24"/>
        </w:rPr>
      </w:pPr>
      <w:r w:rsidRPr="00D80B50">
        <w:rPr>
          <w:rFonts w:ascii="Arial" w:hAnsi="Arial" w:cs="Arial"/>
          <w:szCs w:val="24"/>
        </w:rPr>
        <w:t>AstraZeneca (2025)</w:t>
      </w:r>
      <w:r w:rsidR="00473384"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AstraZeneca data and AI ethics</w:t>
      </w:r>
      <w:r w:rsidRPr="00D80B50">
        <w:rPr>
          <w:rFonts w:ascii="Arial" w:hAnsi="Arial" w:cs="Arial"/>
          <w:szCs w:val="24"/>
        </w:rPr>
        <w:t>. Available at: https://www.astrazeneca.com/sustainability/ethics-compliance/data-and-ai-ethics.html#:~:text=At%20AstraZeneca%2C%20we%20are%20embracing,patients%2C%20faster%20than%20ever%20before. (Accessed: 23 September 2025).</w:t>
      </w:r>
    </w:p>
    <w:p w14:paraId="1B4A64F2" w14:textId="0C9B6FCF" w:rsidR="00E268A7" w:rsidRPr="00D80B50" w:rsidRDefault="00E268A7" w:rsidP="00E268A7">
      <w:pPr>
        <w:spacing w:before="240"/>
        <w:rPr>
          <w:rFonts w:ascii="Arial" w:hAnsi="Arial" w:cs="Arial"/>
          <w:szCs w:val="24"/>
        </w:rPr>
      </w:pPr>
      <w:r w:rsidRPr="00D80B50">
        <w:rPr>
          <w:rFonts w:ascii="Arial" w:hAnsi="Arial" w:cs="Arial"/>
          <w:szCs w:val="24"/>
        </w:rPr>
        <w:t>AstraZeneca (2025)</w:t>
      </w:r>
      <w:r w:rsidR="00473384"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AstraZeneca results: H1 and Q2 2025</w:t>
      </w:r>
      <w:r w:rsidRPr="00D80B50">
        <w:rPr>
          <w:rFonts w:ascii="Arial" w:hAnsi="Arial" w:cs="Arial"/>
          <w:szCs w:val="24"/>
        </w:rPr>
        <w:t>. Available at: https://www.astrazeneca.com/content/dam/az/PDF/2025/h1q2/H1-and-Q2-2025-results-announcement.pdf (Accessed: 23 September 2025).</w:t>
      </w:r>
    </w:p>
    <w:p w14:paraId="1B4A64F3" w14:textId="2C2B1A44" w:rsidR="00E268A7" w:rsidRPr="00D80B50" w:rsidRDefault="00E268A7" w:rsidP="00E268A7">
      <w:pPr>
        <w:spacing w:before="240"/>
        <w:rPr>
          <w:rFonts w:ascii="Arial" w:hAnsi="Arial" w:cs="Arial"/>
          <w:szCs w:val="24"/>
        </w:rPr>
      </w:pPr>
      <w:r w:rsidRPr="00D80B50">
        <w:rPr>
          <w:rFonts w:ascii="Arial" w:hAnsi="Arial" w:cs="Arial"/>
          <w:szCs w:val="24"/>
        </w:rPr>
        <w:t>AstraZeneca (2025)</w:t>
      </w:r>
      <w:r w:rsidR="00473384"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Our Global Locations</w:t>
      </w:r>
      <w:r w:rsidRPr="00D80B50">
        <w:rPr>
          <w:rFonts w:ascii="Arial" w:hAnsi="Arial" w:cs="Arial"/>
          <w:szCs w:val="24"/>
        </w:rPr>
        <w:t>. Available at: https://careers.astrazeneca.com/locations# (Accessed: 23 September 2025).</w:t>
      </w:r>
    </w:p>
    <w:p w14:paraId="1B4A64F4" w14:textId="72366770" w:rsidR="00E268A7" w:rsidRPr="00D80B50" w:rsidRDefault="00E268A7" w:rsidP="00E268A7">
      <w:pPr>
        <w:spacing w:before="240"/>
        <w:rPr>
          <w:rFonts w:ascii="Arial" w:hAnsi="Arial" w:cs="Arial"/>
          <w:szCs w:val="24"/>
        </w:rPr>
      </w:pPr>
      <w:r w:rsidRPr="00D80B50">
        <w:rPr>
          <w:rFonts w:ascii="Arial" w:hAnsi="Arial" w:cs="Arial"/>
          <w:szCs w:val="24"/>
        </w:rPr>
        <w:t>AstraZeneca (2025)</w:t>
      </w:r>
      <w:r w:rsidR="00473384" w:rsidRPr="00D80B50">
        <w:rPr>
          <w:rFonts w:ascii="Arial" w:hAnsi="Arial" w:cs="Arial"/>
          <w:szCs w:val="24"/>
        </w:rPr>
        <w:t xml:space="preserve">. </w:t>
      </w:r>
      <w:r w:rsidRPr="00D80B50">
        <w:rPr>
          <w:rFonts w:ascii="Arial" w:hAnsi="Arial" w:cs="Arial"/>
          <w:i/>
          <w:szCs w:val="24"/>
        </w:rPr>
        <w:t>Renewable energy</w:t>
      </w:r>
      <w:r w:rsidRPr="00D80B50">
        <w:rPr>
          <w:rFonts w:ascii="Arial" w:hAnsi="Arial" w:cs="Arial"/>
          <w:szCs w:val="24"/>
        </w:rPr>
        <w:t>. Available at: https://www.astrazeneca.com/sustainability/climate-change/renewable-energy.html (Accessed: 23 September 2025).</w:t>
      </w:r>
    </w:p>
    <w:p w14:paraId="1B4A64F5" w14:textId="1D3FEEFA" w:rsidR="00E268A7" w:rsidRPr="00D80B50" w:rsidRDefault="00E268A7" w:rsidP="00E268A7">
      <w:pPr>
        <w:spacing w:before="240"/>
        <w:rPr>
          <w:rFonts w:ascii="Arial" w:hAnsi="Arial" w:cs="Arial"/>
          <w:szCs w:val="24"/>
        </w:rPr>
      </w:pPr>
      <w:r w:rsidRPr="00D80B50">
        <w:rPr>
          <w:rFonts w:ascii="Arial" w:hAnsi="Arial" w:cs="Arial"/>
          <w:szCs w:val="24"/>
        </w:rPr>
        <w:t>Bureau of Industry and Security (2025)</w:t>
      </w:r>
      <w:r w:rsidR="00473384"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Export Administration Regulations (EAR)</w:t>
      </w:r>
      <w:r w:rsidRPr="00D80B50">
        <w:rPr>
          <w:rFonts w:ascii="Arial" w:hAnsi="Arial" w:cs="Arial"/>
          <w:szCs w:val="24"/>
        </w:rPr>
        <w:t>. Available at: https://www.astrazeneca.com/sustainability/climate-change/renewable-energy.html (Accessed: 23 September 2025).</w:t>
      </w:r>
    </w:p>
    <w:p w14:paraId="1B4A64F6" w14:textId="1B5FFA2E" w:rsidR="00E268A7" w:rsidRPr="00D80B50" w:rsidRDefault="00E268A7" w:rsidP="00E268A7">
      <w:pPr>
        <w:spacing w:before="240"/>
        <w:rPr>
          <w:rFonts w:ascii="Arial" w:hAnsi="Arial" w:cs="Arial"/>
          <w:szCs w:val="24"/>
        </w:rPr>
      </w:pPr>
      <w:r w:rsidRPr="00D80B50">
        <w:rPr>
          <w:rFonts w:ascii="Arial" w:hAnsi="Arial" w:cs="Arial"/>
          <w:szCs w:val="24"/>
        </w:rPr>
        <w:t>Data Guidance (2025)</w:t>
      </w:r>
      <w:r w:rsidR="00165748"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cybersecurity law of the people’s republic of china</w:t>
      </w:r>
      <w:r w:rsidRPr="00D80B50">
        <w:rPr>
          <w:rFonts w:ascii="Arial" w:hAnsi="Arial" w:cs="Arial"/>
          <w:szCs w:val="24"/>
        </w:rPr>
        <w:t>. Available at: https://www.dataguidance.com/sites/default/files/en_cybersecurity_law_of_the_peoples_republic_of_china_1.pdf (Accessed: 23 September 2025).</w:t>
      </w:r>
    </w:p>
    <w:p w14:paraId="1B4A64F7" w14:textId="036C477C" w:rsidR="00E268A7" w:rsidRPr="00D80B50" w:rsidRDefault="00E268A7" w:rsidP="00E268A7">
      <w:pPr>
        <w:spacing w:before="240"/>
        <w:rPr>
          <w:rFonts w:ascii="Arial" w:hAnsi="Arial" w:cs="Arial"/>
          <w:szCs w:val="24"/>
        </w:rPr>
      </w:pPr>
      <w:r w:rsidRPr="00D80B50">
        <w:rPr>
          <w:rFonts w:ascii="Arial" w:hAnsi="Arial" w:cs="Arial"/>
          <w:szCs w:val="24"/>
        </w:rPr>
        <w:lastRenderedPageBreak/>
        <w:t xml:space="preserve">Directorate of </w:t>
      </w:r>
      <w:proofErr w:type="spellStart"/>
      <w:r w:rsidRPr="00D80B50">
        <w:rPr>
          <w:rFonts w:ascii="Arial" w:hAnsi="Arial" w:cs="Arial"/>
          <w:szCs w:val="24"/>
        </w:rPr>
        <w:t>Defense</w:t>
      </w:r>
      <w:proofErr w:type="spellEnd"/>
      <w:r w:rsidRPr="00D80B50">
        <w:rPr>
          <w:rFonts w:ascii="Arial" w:hAnsi="Arial" w:cs="Arial"/>
          <w:szCs w:val="24"/>
        </w:rPr>
        <w:t xml:space="preserve"> Trade Controls (2025)</w:t>
      </w:r>
      <w:r w:rsidR="00FE6588"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The International Traffic in Arms Regulations (ITAR)</w:t>
      </w:r>
      <w:r w:rsidRPr="00D80B50">
        <w:rPr>
          <w:rFonts w:ascii="Arial" w:hAnsi="Arial" w:cs="Arial"/>
          <w:szCs w:val="24"/>
        </w:rPr>
        <w:t>. Available at: https://www.astrazeneca.com/sustainability/climate-change/renewable-energy.html (Accessed: 23 September 2025).</w:t>
      </w:r>
    </w:p>
    <w:p w14:paraId="1B4A64F8" w14:textId="6A0CAD96" w:rsidR="00E268A7" w:rsidRPr="00D80B50" w:rsidRDefault="00E268A7" w:rsidP="00E268A7">
      <w:pPr>
        <w:spacing w:before="240"/>
        <w:rPr>
          <w:rFonts w:ascii="Arial" w:hAnsi="Arial" w:cs="Arial"/>
          <w:szCs w:val="24"/>
        </w:rPr>
      </w:pPr>
      <w:r w:rsidRPr="00D80B50">
        <w:rPr>
          <w:rFonts w:ascii="Arial" w:hAnsi="Arial" w:cs="Arial"/>
          <w:szCs w:val="24"/>
        </w:rPr>
        <w:t>Dunaway, C. (2024)</w:t>
      </w:r>
      <w:r w:rsidR="00FE6588"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Navigating Uncertainty: Building Supply Chain Resilience</w:t>
      </w:r>
      <w:r w:rsidRPr="00D80B50">
        <w:rPr>
          <w:rFonts w:ascii="Arial" w:hAnsi="Arial" w:cs="Arial"/>
          <w:szCs w:val="24"/>
        </w:rPr>
        <w:t>. Available at: https://www.forbes.com/councils/forbesbusinesscouncil/2024/05/21/navigating-uncertainty-building-supply-chain-resilience/ (Accessed: 23 September 2025).</w:t>
      </w:r>
    </w:p>
    <w:p w14:paraId="1B4A64F9" w14:textId="2110ED59" w:rsidR="00E268A7" w:rsidRPr="00D80B50" w:rsidRDefault="00E268A7" w:rsidP="00E268A7">
      <w:pPr>
        <w:spacing w:before="240"/>
        <w:rPr>
          <w:rFonts w:ascii="Arial" w:hAnsi="Arial" w:cs="Arial"/>
          <w:szCs w:val="24"/>
        </w:rPr>
      </w:pPr>
      <w:r w:rsidRPr="00D80B50">
        <w:rPr>
          <w:rFonts w:ascii="Arial" w:hAnsi="Arial" w:cs="Arial"/>
          <w:szCs w:val="24"/>
          <w:lang w:val="en-IN" w:eastAsia="en-IN"/>
        </w:rPr>
        <w:t xml:space="preserve">European Commission </w:t>
      </w:r>
      <w:r w:rsidRPr="00D80B50">
        <w:rPr>
          <w:rFonts w:ascii="Arial" w:hAnsi="Arial" w:cs="Arial"/>
          <w:szCs w:val="24"/>
        </w:rPr>
        <w:t>(2025)</w:t>
      </w:r>
      <w:r w:rsidR="005A209E"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Implementing and delegated acts - CSRD</w:t>
      </w:r>
      <w:r w:rsidRPr="00D80B50">
        <w:rPr>
          <w:rFonts w:ascii="Arial" w:hAnsi="Arial" w:cs="Arial"/>
          <w:szCs w:val="24"/>
        </w:rPr>
        <w:t>. Available at: https://finance.ec.europa.eu/regulation-and-supervision/financial-services-legislation/implementing-and-delegated-acts/corporate-sustainability-reporting-directive_en (Accessed: 23 September 2025).</w:t>
      </w:r>
    </w:p>
    <w:p w14:paraId="1B4A64FA" w14:textId="7A3A13A7" w:rsidR="0077255E" w:rsidRPr="00D80B50" w:rsidRDefault="00E268A7" w:rsidP="00E268A7">
      <w:pPr>
        <w:spacing w:before="240"/>
        <w:rPr>
          <w:rFonts w:ascii="Arial" w:hAnsi="Arial" w:cs="Arial"/>
          <w:szCs w:val="24"/>
        </w:rPr>
      </w:pPr>
      <w:r w:rsidRPr="00D80B50">
        <w:rPr>
          <w:rFonts w:ascii="Arial" w:hAnsi="Arial" w:cs="Arial"/>
          <w:szCs w:val="24"/>
        </w:rPr>
        <w:t>Forbes (2024)</w:t>
      </w:r>
      <w:r w:rsidR="005A209E"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 xml:space="preserve">18 Reasons Why Sustainability Can Be </w:t>
      </w:r>
      <w:proofErr w:type="gramStart"/>
      <w:r w:rsidRPr="00D80B50">
        <w:rPr>
          <w:rFonts w:ascii="Arial" w:hAnsi="Arial" w:cs="Arial"/>
          <w:i/>
          <w:szCs w:val="24"/>
        </w:rPr>
        <w:t>A</w:t>
      </w:r>
      <w:proofErr w:type="gramEnd"/>
      <w:r w:rsidRPr="00D80B50">
        <w:rPr>
          <w:rFonts w:ascii="Arial" w:hAnsi="Arial" w:cs="Arial"/>
          <w:i/>
          <w:szCs w:val="24"/>
        </w:rPr>
        <w:t xml:space="preserve"> Strategic Business Advantage</w:t>
      </w:r>
      <w:r w:rsidRPr="00D80B50">
        <w:rPr>
          <w:rFonts w:ascii="Arial" w:hAnsi="Arial" w:cs="Arial"/>
          <w:szCs w:val="24"/>
        </w:rPr>
        <w:t>. Available at: https://www.forbes.com/councils/forbesbusinesscouncil/2024/06/07/18-reasons-why-sustainability-can-be-a-strategic-business-advantage/ (Accessed: 23 September 2025).</w:t>
      </w:r>
    </w:p>
    <w:p w14:paraId="1B4A64FB" w14:textId="3798C13D" w:rsidR="00E268A7" w:rsidRPr="00D80B50" w:rsidRDefault="00E268A7" w:rsidP="00E268A7">
      <w:pPr>
        <w:spacing w:before="240"/>
        <w:rPr>
          <w:rFonts w:ascii="Arial" w:hAnsi="Arial" w:cs="Arial"/>
          <w:szCs w:val="24"/>
        </w:rPr>
      </w:pPr>
      <w:r w:rsidRPr="00D80B50">
        <w:rPr>
          <w:rFonts w:ascii="Arial" w:hAnsi="Arial" w:cs="Arial"/>
          <w:color w:val="161616"/>
          <w:szCs w:val="24"/>
          <w:shd w:val="clear" w:color="auto" w:fill="FFFFFF"/>
        </w:rPr>
        <w:t xml:space="preserve">Hu, C. </w:t>
      </w:r>
      <w:r w:rsidRPr="00D80B50">
        <w:rPr>
          <w:rFonts w:ascii="Arial" w:hAnsi="Arial" w:cs="Arial"/>
          <w:szCs w:val="24"/>
        </w:rPr>
        <w:t>(2024)</w:t>
      </w:r>
      <w:r w:rsidR="005A209E"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AI skills gap</w:t>
      </w:r>
      <w:r w:rsidRPr="00D80B50">
        <w:rPr>
          <w:rFonts w:ascii="Arial" w:hAnsi="Arial" w:cs="Arial"/>
          <w:szCs w:val="24"/>
        </w:rPr>
        <w:t>. Available at: https://www.ibm.com/think/insights/ai-skills-gap (Accessed: 23 September 2025).</w:t>
      </w:r>
    </w:p>
    <w:p w14:paraId="1B4A64FC" w14:textId="0E1ADCE4" w:rsidR="00E268A7" w:rsidRPr="00D80B50" w:rsidRDefault="00E268A7" w:rsidP="00E268A7">
      <w:pPr>
        <w:spacing w:before="240"/>
        <w:rPr>
          <w:rFonts w:ascii="Arial" w:hAnsi="Arial" w:cs="Arial"/>
          <w:szCs w:val="24"/>
        </w:rPr>
      </w:pPr>
      <w:r w:rsidRPr="00D80B50">
        <w:rPr>
          <w:rFonts w:ascii="Arial" w:hAnsi="Arial" w:cs="Arial"/>
          <w:szCs w:val="24"/>
          <w:shd w:val="clear" w:color="auto" w:fill="FFFFFF"/>
        </w:rPr>
        <w:t>Islami, M.M., Rahyuni, S. and Rukayyah, A. (2024)</w:t>
      </w:r>
      <w:r w:rsidR="005A209E" w:rsidRPr="00D80B50">
        <w:rPr>
          <w:rFonts w:ascii="Arial" w:hAnsi="Arial" w:cs="Arial"/>
          <w:szCs w:val="24"/>
          <w:shd w:val="clear" w:color="auto" w:fill="FFFFFF"/>
        </w:rPr>
        <w:t>.</w:t>
      </w:r>
      <w:r w:rsidRPr="00D80B50">
        <w:rPr>
          <w:rFonts w:ascii="Arial" w:hAnsi="Arial" w:cs="Arial"/>
          <w:szCs w:val="24"/>
          <w:shd w:val="clear" w:color="auto" w:fill="FFFFFF"/>
        </w:rPr>
        <w:t xml:space="preserve"> Strategic branding: Building market positioning and business growth through integrated management practices. </w:t>
      </w:r>
      <w:r w:rsidRPr="00D80B50">
        <w:rPr>
          <w:rFonts w:ascii="Arial" w:hAnsi="Arial" w:cs="Arial"/>
          <w:i/>
          <w:iCs/>
          <w:szCs w:val="24"/>
          <w:shd w:val="clear" w:color="auto" w:fill="FFFFFF"/>
        </w:rPr>
        <w:t>Advances in Business &amp; Industrial Marketing Research</w:t>
      </w:r>
      <w:r w:rsidRPr="00D80B50">
        <w:rPr>
          <w:rFonts w:ascii="Arial" w:hAnsi="Arial" w:cs="Arial"/>
          <w:szCs w:val="24"/>
          <w:shd w:val="clear" w:color="auto" w:fill="FFFFFF"/>
        </w:rPr>
        <w:t>, </w:t>
      </w:r>
      <w:r w:rsidRPr="00D80B50">
        <w:rPr>
          <w:rFonts w:ascii="Arial" w:hAnsi="Arial" w:cs="Arial"/>
          <w:i/>
          <w:iCs/>
          <w:szCs w:val="24"/>
          <w:shd w:val="clear" w:color="auto" w:fill="FFFFFF"/>
        </w:rPr>
        <w:t>2</w:t>
      </w:r>
      <w:r w:rsidRPr="00D80B50">
        <w:rPr>
          <w:rFonts w:ascii="Arial" w:hAnsi="Arial" w:cs="Arial"/>
          <w:szCs w:val="24"/>
          <w:shd w:val="clear" w:color="auto" w:fill="FFFFFF"/>
        </w:rPr>
        <w:t>(2), pp.110-122.</w:t>
      </w:r>
    </w:p>
    <w:p w14:paraId="1B4A64FD" w14:textId="765A1342" w:rsidR="00E268A7" w:rsidRPr="00D80B50" w:rsidRDefault="00E268A7" w:rsidP="00E268A7">
      <w:pPr>
        <w:spacing w:before="240"/>
        <w:rPr>
          <w:rFonts w:ascii="Arial" w:hAnsi="Arial" w:cs="Arial"/>
          <w:szCs w:val="24"/>
        </w:rPr>
      </w:pPr>
      <w:r w:rsidRPr="00D80B50">
        <w:rPr>
          <w:rFonts w:ascii="Arial" w:hAnsi="Arial" w:cs="Arial"/>
          <w:szCs w:val="24"/>
          <w:lang w:val="en-IN" w:eastAsia="en-IN"/>
        </w:rPr>
        <w:t xml:space="preserve">Labiak, M. </w:t>
      </w:r>
      <w:r w:rsidRPr="00D80B50">
        <w:rPr>
          <w:rFonts w:ascii="Arial" w:hAnsi="Arial" w:cs="Arial"/>
          <w:szCs w:val="24"/>
        </w:rPr>
        <w:t>(2025)</w:t>
      </w:r>
      <w:r w:rsidR="00E9549E"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AstraZeneca pauses £200m Cambridge investment</w:t>
      </w:r>
      <w:r w:rsidRPr="00D80B50">
        <w:rPr>
          <w:rFonts w:ascii="Arial" w:hAnsi="Arial" w:cs="Arial"/>
          <w:szCs w:val="24"/>
        </w:rPr>
        <w:t>. Available at: https://www.bbc.com/news/articles/cderlg227j4o (Accessed: 23 September 2025).</w:t>
      </w:r>
    </w:p>
    <w:p w14:paraId="1B4A64FE" w14:textId="43C84DB6" w:rsidR="00E268A7" w:rsidRPr="00D80B50" w:rsidRDefault="00E268A7" w:rsidP="00E268A7">
      <w:pPr>
        <w:spacing w:before="240"/>
        <w:rPr>
          <w:rFonts w:ascii="Arial" w:hAnsi="Arial" w:cs="Arial"/>
          <w:szCs w:val="24"/>
        </w:rPr>
      </w:pPr>
      <w:r w:rsidRPr="00D80B50">
        <w:rPr>
          <w:rFonts w:ascii="Arial" w:hAnsi="Arial" w:cs="Arial"/>
          <w:szCs w:val="24"/>
        </w:rPr>
        <w:t>Liu, A. (2024)</w:t>
      </w:r>
      <w:r w:rsidR="00E9549E"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AstraZeneca plans independent drug supply chains for US and China, CEO says</w:t>
      </w:r>
      <w:r w:rsidRPr="00D80B50">
        <w:rPr>
          <w:rFonts w:ascii="Arial" w:hAnsi="Arial" w:cs="Arial"/>
          <w:szCs w:val="24"/>
        </w:rPr>
        <w:t xml:space="preserve">. Available at: </w:t>
      </w:r>
      <w:r w:rsidR="008C3DD0" w:rsidRPr="00D80B50">
        <w:rPr>
          <w:rFonts w:ascii="Arial" w:hAnsi="Arial" w:cs="Arial"/>
          <w:szCs w:val="24"/>
        </w:rPr>
        <w:t>https://www.fiercepharma.com/manufacturing/astrazeneca-builds-separate-drug-supply-chains-us-and-china-ceo-says (</w:t>
      </w:r>
      <w:r w:rsidRPr="00D80B50">
        <w:rPr>
          <w:rFonts w:ascii="Arial" w:hAnsi="Arial" w:cs="Arial"/>
          <w:szCs w:val="24"/>
        </w:rPr>
        <w:t xml:space="preserve">Accessed: 23 September 2025). </w:t>
      </w:r>
    </w:p>
    <w:p w14:paraId="1B4A64FF" w14:textId="7AD47638" w:rsidR="00E268A7" w:rsidRPr="00D80B50" w:rsidRDefault="00E268A7" w:rsidP="00E268A7">
      <w:pPr>
        <w:spacing w:before="240"/>
        <w:rPr>
          <w:rFonts w:ascii="Arial" w:hAnsi="Arial" w:cs="Arial"/>
          <w:szCs w:val="24"/>
        </w:rPr>
      </w:pPr>
      <w:r w:rsidRPr="00D80B50">
        <w:rPr>
          <w:rFonts w:ascii="Arial" w:hAnsi="Arial" w:cs="Arial"/>
          <w:szCs w:val="24"/>
        </w:rPr>
        <w:lastRenderedPageBreak/>
        <w:t>NPC.GOV (2025)</w:t>
      </w:r>
      <w:r w:rsidR="00E9549E"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Export Control Law of the People's Republic of China</w:t>
      </w:r>
      <w:r w:rsidRPr="00D80B50">
        <w:rPr>
          <w:rFonts w:ascii="Arial" w:hAnsi="Arial" w:cs="Arial"/>
          <w:szCs w:val="24"/>
        </w:rPr>
        <w:t xml:space="preserve">. Available at: </w:t>
      </w:r>
      <w:r w:rsidR="008C3DD0" w:rsidRPr="00D80B50">
        <w:rPr>
          <w:rFonts w:ascii="Arial" w:hAnsi="Arial" w:cs="Arial"/>
          <w:szCs w:val="24"/>
        </w:rPr>
        <w:t>https://www.astrazeneca.com/sustainability/climate-change/renewable-energy.html (</w:t>
      </w:r>
      <w:r w:rsidRPr="00D80B50">
        <w:rPr>
          <w:rFonts w:ascii="Arial" w:hAnsi="Arial" w:cs="Arial"/>
          <w:szCs w:val="24"/>
        </w:rPr>
        <w:t>Accessed: 23 September 2025).</w:t>
      </w:r>
    </w:p>
    <w:p w14:paraId="1B4A6500" w14:textId="247014A3" w:rsidR="00E268A7" w:rsidRPr="00D80B50" w:rsidRDefault="00E268A7" w:rsidP="00E268A7">
      <w:pPr>
        <w:spacing w:before="240"/>
        <w:rPr>
          <w:rFonts w:ascii="Arial" w:hAnsi="Arial" w:cs="Arial"/>
          <w:szCs w:val="24"/>
        </w:rPr>
      </w:pPr>
      <w:r w:rsidRPr="00D80B50">
        <w:rPr>
          <w:rFonts w:ascii="Arial" w:hAnsi="Arial" w:cs="Arial"/>
          <w:szCs w:val="24"/>
        </w:rPr>
        <w:t>Stobierski, T. (2021)</w:t>
      </w:r>
      <w:r w:rsidR="00E9549E" w:rsidRPr="00D80B50">
        <w:rPr>
          <w:rFonts w:ascii="Arial" w:hAnsi="Arial" w:cs="Arial"/>
          <w:szCs w:val="24"/>
        </w:rPr>
        <w:t>.</w:t>
      </w:r>
      <w:r w:rsidRPr="00D80B50">
        <w:rPr>
          <w:rFonts w:ascii="Arial" w:hAnsi="Arial" w:cs="Arial"/>
          <w:szCs w:val="24"/>
        </w:rPr>
        <w:t xml:space="preserve"> </w:t>
      </w:r>
      <w:r w:rsidRPr="00D80B50">
        <w:rPr>
          <w:rFonts w:ascii="Arial" w:hAnsi="Arial" w:cs="Arial"/>
          <w:i/>
          <w:szCs w:val="24"/>
        </w:rPr>
        <w:t>4 Effects of Globalisation on the Environment</w:t>
      </w:r>
      <w:r w:rsidRPr="00D80B50">
        <w:rPr>
          <w:rFonts w:ascii="Arial" w:hAnsi="Arial" w:cs="Arial"/>
          <w:szCs w:val="24"/>
        </w:rPr>
        <w:t xml:space="preserve">. Available at: https://online.hbs.edu/blog/post/globalization-effects-on-environment (Accessed: 23 September 2025). </w:t>
      </w:r>
    </w:p>
    <w:p w14:paraId="1B4A6501" w14:textId="77777777" w:rsidR="00946105" w:rsidRPr="00D80B50" w:rsidRDefault="00946105">
      <w:pPr>
        <w:spacing w:after="160" w:line="259" w:lineRule="auto"/>
        <w:jc w:val="left"/>
        <w:rPr>
          <w:rFonts w:ascii="Arial" w:eastAsiaTheme="majorEastAsia" w:hAnsi="Arial" w:cs="Arial"/>
          <w:b/>
          <w:color w:val="000000" w:themeColor="text1"/>
          <w:szCs w:val="32"/>
        </w:rPr>
      </w:pPr>
      <w:r w:rsidRPr="00D80B50">
        <w:rPr>
          <w:rFonts w:ascii="Arial" w:hAnsi="Arial" w:cs="Arial"/>
        </w:rPr>
        <w:br w:type="page"/>
      </w:r>
    </w:p>
    <w:p w14:paraId="1B4A6502" w14:textId="77777777" w:rsidR="000E77FA" w:rsidRDefault="000E77FA" w:rsidP="000E77FA">
      <w:pPr>
        <w:pStyle w:val="Heading1"/>
      </w:pPr>
      <w:bookmarkStart w:id="4" w:name="_Toc209707772"/>
      <w:r>
        <w:lastRenderedPageBreak/>
        <w:t>Appendices</w:t>
      </w:r>
      <w:bookmarkEnd w:id="4"/>
      <w:r>
        <w:t xml:space="preserve"> </w:t>
      </w:r>
    </w:p>
    <w:p w14:paraId="1B4A6503" w14:textId="77777777" w:rsidR="000E77FA" w:rsidRDefault="000E77FA" w:rsidP="000E77FA">
      <w:pPr>
        <w:rPr>
          <w:b/>
          <w:i/>
        </w:rPr>
      </w:pPr>
      <w:r w:rsidRPr="000E77FA">
        <w:rPr>
          <w:b/>
          <w:i/>
        </w:rPr>
        <w:t>Appendix 1</w:t>
      </w:r>
    </w:p>
    <w:p w14:paraId="1B4A6504" w14:textId="77777777" w:rsidR="000E77FA" w:rsidRDefault="000E77FA" w:rsidP="000E77FA">
      <w:pPr>
        <w:keepNext/>
      </w:pPr>
      <w:r w:rsidRPr="000E77FA">
        <w:rPr>
          <w:noProof/>
          <w:lang w:val="en-IN" w:eastAsia="en-IN"/>
        </w:rPr>
        <w:drawing>
          <wp:inline distT="0" distB="0" distL="0" distR="0" wp14:anchorId="1B4A650F" wp14:editId="1B4A6510">
            <wp:extent cx="5731510" cy="2872105"/>
            <wp:effectExtent l="152400" t="152400" r="364490" b="3663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872105"/>
                    </a:xfrm>
                    <a:prstGeom prst="rect">
                      <a:avLst/>
                    </a:prstGeom>
                    <a:ln>
                      <a:noFill/>
                    </a:ln>
                    <a:effectLst>
                      <a:outerShdw blurRad="292100" dist="139700" dir="2700000" algn="tl" rotWithShape="0">
                        <a:srgbClr val="333333">
                          <a:alpha val="65000"/>
                        </a:srgbClr>
                      </a:outerShdw>
                    </a:effectLst>
                  </pic:spPr>
                </pic:pic>
              </a:graphicData>
            </a:graphic>
          </wp:inline>
        </w:drawing>
      </w:r>
    </w:p>
    <w:p w14:paraId="1B4A6505" w14:textId="77777777" w:rsidR="000E77FA" w:rsidRDefault="000E77FA" w:rsidP="000E77FA">
      <w:pPr>
        <w:jc w:val="center"/>
        <w:rPr>
          <w:b/>
        </w:rPr>
      </w:pPr>
      <w:r w:rsidRPr="000E77FA">
        <w:rPr>
          <w:b/>
        </w:rPr>
        <w:t xml:space="preserve">Figure </w:t>
      </w:r>
      <w:r w:rsidRPr="000E77FA">
        <w:rPr>
          <w:b/>
        </w:rPr>
        <w:fldChar w:fldCharType="begin"/>
      </w:r>
      <w:r w:rsidRPr="000E77FA">
        <w:rPr>
          <w:b/>
        </w:rPr>
        <w:instrText xml:space="preserve"> SEQ Figure \* ARABIC </w:instrText>
      </w:r>
      <w:r w:rsidRPr="000E77FA">
        <w:rPr>
          <w:b/>
        </w:rPr>
        <w:fldChar w:fldCharType="separate"/>
      </w:r>
      <w:r w:rsidR="006A1D62">
        <w:rPr>
          <w:b/>
          <w:noProof/>
        </w:rPr>
        <w:t>1</w:t>
      </w:r>
      <w:r w:rsidRPr="000E77FA">
        <w:rPr>
          <w:b/>
        </w:rPr>
        <w:fldChar w:fldCharType="end"/>
      </w:r>
      <w:r>
        <w:rPr>
          <w:b/>
        </w:rPr>
        <w:t xml:space="preserve">: world </w:t>
      </w:r>
      <w:r w:rsidRPr="000E77FA">
        <w:rPr>
          <w:b/>
        </w:rPr>
        <w:t>Inflation rate</w:t>
      </w:r>
    </w:p>
    <w:p w14:paraId="1B4A6506" w14:textId="77777777" w:rsidR="000E77FA" w:rsidRPr="000E77FA" w:rsidRDefault="000E77FA" w:rsidP="000E77FA">
      <w:pPr>
        <w:jc w:val="center"/>
      </w:pPr>
      <w:r w:rsidRPr="000E77FA">
        <w:t>(Source: IMF, 2025)</w:t>
      </w:r>
    </w:p>
    <w:p w14:paraId="1B4A6507" w14:textId="77777777" w:rsidR="00264AA2" w:rsidRPr="0097059E" w:rsidRDefault="00826947" w:rsidP="0097059E">
      <w:pPr>
        <w:rPr>
          <w:b/>
          <w:i/>
        </w:rPr>
      </w:pPr>
      <w:r w:rsidRPr="0097059E">
        <w:rPr>
          <w:b/>
          <w:i/>
        </w:rPr>
        <w:t>Appendix 2</w:t>
      </w:r>
    </w:p>
    <w:p w14:paraId="1B4A6508" w14:textId="77777777" w:rsidR="006A1D62" w:rsidRDefault="006A1D62" w:rsidP="006A1D62">
      <w:pPr>
        <w:keepNext/>
        <w:jc w:val="center"/>
      </w:pPr>
      <w:r w:rsidRPr="006A1D62">
        <w:rPr>
          <w:noProof/>
          <w:lang w:val="en-IN" w:eastAsia="en-IN"/>
        </w:rPr>
        <w:drawing>
          <wp:inline distT="0" distB="0" distL="0" distR="0" wp14:anchorId="1B4A6511" wp14:editId="1B4A6512">
            <wp:extent cx="5731510" cy="27978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797810"/>
                    </a:xfrm>
                    <a:prstGeom prst="rect">
                      <a:avLst/>
                    </a:prstGeom>
                  </pic:spPr>
                </pic:pic>
              </a:graphicData>
            </a:graphic>
          </wp:inline>
        </w:drawing>
      </w:r>
    </w:p>
    <w:p w14:paraId="1B4A6509" w14:textId="77777777" w:rsidR="006A1D62" w:rsidRDefault="006A1D62" w:rsidP="006A1D62">
      <w:pPr>
        <w:jc w:val="center"/>
        <w:rPr>
          <w:b/>
        </w:rPr>
      </w:pPr>
      <w:r w:rsidRPr="006A1D62">
        <w:rPr>
          <w:b/>
        </w:rPr>
        <w:t xml:space="preserve">Figure </w:t>
      </w:r>
      <w:r w:rsidRPr="006A1D62">
        <w:rPr>
          <w:b/>
        </w:rPr>
        <w:fldChar w:fldCharType="begin"/>
      </w:r>
      <w:r w:rsidRPr="006A1D62">
        <w:rPr>
          <w:b/>
        </w:rPr>
        <w:instrText xml:space="preserve"> SEQ Figure \* ARABIC </w:instrText>
      </w:r>
      <w:r w:rsidRPr="006A1D62">
        <w:rPr>
          <w:b/>
        </w:rPr>
        <w:fldChar w:fldCharType="separate"/>
      </w:r>
      <w:r w:rsidRPr="006A1D62">
        <w:rPr>
          <w:b/>
          <w:noProof/>
        </w:rPr>
        <w:t>2</w:t>
      </w:r>
      <w:r w:rsidRPr="006A1D62">
        <w:rPr>
          <w:b/>
        </w:rPr>
        <w:fldChar w:fldCharType="end"/>
      </w:r>
      <w:r>
        <w:rPr>
          <w:b/>
        </w:rPr>
        <w:t xml:space="preserve">: </w:t>
      </w:r>
      <w:r w:rsidR="00E21A31" w:rsidRPr="00E21A31">
        <w:rPr>
          <w:b/>
        </w:rPr>
        <w:t>Financial performance</w:t>
      </w:r>
      <w:r w:rsidR="00E21A31">
        <w:rPr>
          <w:b/>
        </w:rPr>
        <w:t xml:space="preserve"> of AstraZeneca</w:t>
      </w:r>
    </w:p>
    <w:p w14:paraId="1B4A650A" w14:textId="77777777" w:rsidR="00E21A31" w:rsidRPr="000E77FA" w:rsidRDefault="00E21A31" w:rsidP="00E21A31">
      <w:pPr>
        <w:jc w:val="center"/>
      </w:pPr>
      <w:r w:rsidRPr="000E77FA">
        <w:t xml:space="preserve">(Source: </w:t>
      </w:r>
      <w:r w:rsidR="00801117" w:rsidRPr="00801117">
        <w:t>AstraZeneca</w:t>
      </w:r>
      <w:r w:rsidRPr="000E77FA">
        <w:t>, 2025)</w:t>
      </w:r>
    </w:p>
    <w:p w14:paraId="1B4A650B" w14:textId="77777777" w:rsidR="00E21A31" w:rsidRDefault="00E21A31" w:rsidP="006A1D62">
      <w:pPr>
        <w:jc w:val="center"/>
        <w:rPr>
          <w:b/>
        </w:rPr>
      </w:pPr>
    </w:p>
    <w:p w14:paraId="1B4A650C" w14:textId="77777777" w:rsidR="00826947" w:rsidRPr="00826947" w:rsidRDefault="00826947" w:rsidP="00826947"/>
    <w:sectPr w:rsidR="00826947" w:rsidRPr="0082694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A6515" w14:textId="77777777" w:rsidR="007E4D10" w:rsidRDefault="007E4D10" w:rsidP="0072103D">
      <w:pPr>
        <w:spacing w:line="240" w:lineRule="auto"/>
      </w:pPr>
      <w:r>
        <w:separator/>
      </w:r>
    </w:p>
  </w:endnote>
  <w:endnote w:type="continuationSeparator" w:id="0">
    <w:p w14:paraId="1B4A6516" w14:textId="77777777" w:rsidR="007E4D10" w:rsidRDefault="007E4D10" w:rsidP="007210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4235318"/>
      <w:docPartObj>
        <w:docPartGallery w:val="Page Numbers (Bottom of Page)"/>
        <w:docPartUnique/>
      </w:docPartObj>
    </w:sdtPr>
    <w:sdtEndPr>
      <w:rPr>
        <w:noProof/>
      </w:rPr>
    </w:sdtEndPr>
    <w:sdtContent>
      <w:p w14:paraId="1B4A6517" w14:textId="77777777" w:rsidR="0072103D" w:rsidRDefault="0072103D">
        <w:pPr>
          <w:pStyle w:val="Footer"/>
          <w:jc w:val="right"/>
        </w:pPr>
        <w:r>
          <w:fldChar w:fldCharType="begin"/>
        </w:r>
        <w:r>
          <w:instrText xml:space="preserve"> PAGE   \* MERGEFORMAT </w:instrText>
        </w:r>
        <w:r>
          <w:fldChar w:fldCharType="separate"/>
        </w:r>
        <w:r w:rsidR="008636A7">
          <w:rPr>
            <w:noProof/>
          </w:rPr>
          <w:t>3</w:t>
        </w:r>
        <w:r>
          <w:rPr>
            <w:noProof/>
          </w:rPr>
          <w:fldChar w:fldCharType="end"/>
        </w:r>
      </w:p>
    </w:sdtContent>
  </w:sdt>
  <w:p w14:paraId="1B4A6518" w14:textId="77777777" w:rsidR="0072103D" w:rsidRDefault="00721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A6513" w14:textId="77777777" w:rsidR="007E4D10" w:rsidRDefault="007E4D10" w:rsidP="0072103D">
      <w:pPr>
        <w:spacing w:line="240" w:lineRule="auto"/>
      </w:pPr>
      <w:r>
        <w:separator/>
      </w:r>
    </w:p>
  </w:footnote>
  <w:footnote w:type="continuationSeparator" w:id="0">
    <w:p w14:paraId="1B4A6514" w14:textId="77777777" w:rsidR="007E4D10" w:rsidRDefault="007E4D10" w:rsidP="0072103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54D"/>
    <w:rsid w:val="00002FF0"/>
    <w:rsid w:val="0005266E"/>
    <w:rsid w:val="00061030"/>
    <w:rsid w:val="00094A0F"/>
    <w:rsid w:val="000A615C"/>
    <w:rsid w:val="000C045E"/>
    <w:rsid w:val="000D68A1"/>
    <w:rsid w:val="000E77FA"/>
    <w:rsid w:val="000E7854"/>
    <w:rsid w:val="000F5C4E"/>
    <w:rsid w:val="00112C82"/>
    <w:rsid w:val="001168B7"/>
    <w:rsid w:val="00117B27"/>
    <w:rsid w:val="00135C2E"/>
    <w:rsid w:val="0014200E"/>
    <w:rsid w:val="00151A0E"/>
    <w:rsid w:val="00165748"/>
    <w:rsid w:val="00175A0A"/>
    <w:rsid w:val="001772E1"/>
    <w:rsid w:val="001906C2"/>
    <w:rsid w:val="001E0E3F"/>
    <w:rsid w:val="001F1059"/>
    <w:rsid w:val="001F4AE2"/>
    <w:rsid w:val="00200E6D"/>
    <w:rsid w:val="00203034"/>
    <w:rsid w:val="002362B7"/>
    <w:rsid w:val="002529C5"/>
    <w:rsid w:val="002601AA"/>
    <w:rsid w:val="00264AA2"/>
    <w:rsid w:val="00271157"/>
    <w:rsid w:val="00277A3A"/>
    <w:rsid w:val="00287F5F"/>
    <w:rsid w:val="00297CD0"/>
    <w:rsid w:val="002A189C"/>
    <w:rsid w:val="002D1499"/>
    <w:rsid w:val="002D4DAC"/>
    <w:rsid w:val="002D698B"/>
    <w:rsid w:val="002F492E"/>
    <w:rsid w:val="003028D1"/>
    <w:rsid w:val="0030370A"/>
    <w:rsid w:val="0030654D"/>
    <w:rsid w:val="00317033"/>
    <w:rsid w:val="00334409"/>
    <w:rsid w:val="00344D97"/>
    <w:rsid w:val="003500B4"/>
    <w:rsid w:val="00395A14"/>
    <w:rsid w:val="003A3BE8"/>
    <w:rsid w:val="003D10D6"/>
    <w:rsid w:val="003E09D0"/>
    <w:rsid w:val="003E1BAE"/>
    <w:rsid w:val="00425F74"/>
    <w:rsid w:val="00440313"/>
    <w:rsid w:val="00447C5B"/>
    <w:rsid w:val="00472BF8"/>
    <w:rsid w:val="00473384"/>
    <w:rsid w:val="00476373"/>
    <w:rsid w:val="00495051"/>
    <w:rsid w:val="004A502E"/>
    <w:rsid w:val="004A5164"/>
    <w:rsid w:val="004B12C0"/>
    <w:rsid w:val="004C5727"/>
    <w:rsid w:val="004D13AF"/>
    <w:rsid w:val="004D14E2"/>
    <w:rsid w:val="004F0A5B"/>
    <w:rsid w:val="00531CCA"/>
    <w:rsid w:val="005A209E"/>
    <w:rsid w:val="005D7ED0"/>
    <w:rsid w:val="005E241F"/>
    <w:rsid w:val="005E59F8"/>
    <w:rsid w:val="005E69C0"/>
    <w:rsid w:val="00621727"/>
    <w:rsid w:val="00630ACE"/>
    <w:rsid w:val="0063713A"/>
    <w:rsid w:val="006438A9"/>
    <w:rsid w:val="00660BEA"/>
    <w:rsid w:val="006739BB"/>
    <w:rsid w:val="0067636B"/>
    <w:rsid w:val="00676A04"/>
    <w:rsid w:val="00686400"/>
    <w:rsid w:val="006A0A56"/>
    <w:rsid w:val="006A1D62"/>
    <w:rsid w:val="006C10D8"/>
    <w:rsid w:val="006C3BF4"/>
    <w:rsid w:val="006E0827"/>
    <w:rsid w:val="006E57B4"/>
    <w:rsid w:val="0071061B"/>
    <w:rsid w:val="0072103D"/>
    <w:rsid w:val="00763D6A"/>
    <w:rsid w:val="0077255E"/>
    <w:rsid w:val="00792FA0"/>
    <w:rsid w:val="007D2270"/>
    <w:rsid w:val="007E4D10"/>
    <w:rsid w:val="007E7A4B"/>
    <w:rsid w:val="00801117"/>
    <w:rsid w:val="008075B2"/>
    <w:rsid w:val="00811EBD"/>
    <w:rsid w:val="008151C0"/>
    <w:rsid w:val="00820BA1"/>
    <w:rsid w:val="00826947"/>
    <w:rsid w:val="00831FC5"/>
    <w:rsid w:val="008476D4"/>
    <w:rsid w:val="00851D0E"/>
    <w:rsid w:val="008632EC"/>
    <w:rsid w:val="008636A7"/>
    <w:rsid w:val="00863A4C"/>
    <w:rsid w:val="00896988"/>
    <w:rsid w:val="008C3DD0"/>
    <w:rsid w:val="008E6887"/>
    <w:rsid w:val="008E7B23"/>
    <w:rsid w:val="008F2596"/>
    <w:rsid w:val="00905AEF"/>
    <w:rsid w:val="00917588"/>
    <w:rsid w:val="00930D2F"/>
    <w:rsid w:val="0093249F"/>
    <w:rsid w:val="009434AC"/>
    <w:rsid w:val="00946105"/>
    <w:rsid w:val="00957EAF"/>
    <w:rsid w:val="0096348D"/>
    <w:rsid w:val="00970016"/>
    <w:rsid w:val="0097059E"/>
    <w:rsid w:val="00971C31"/>
    <w:rsid w:val="00974412"/>
    <w:rsid w:val="0099469C"/>
    <w:rsid w:val="009A32FB"/>
    <w:rsid w:val="009B0B19"/>
    <w:rsid w:val="009C30C8"/>
    <w:rsid w:val="009D6B06"/>
    <w:rsid w:val="009F69E5"/>
    <w:rsid w:val="00A02D88"/>
    <w:rsid w:val="00A11A32"/>
    <w:rsid w:val="00A26D5A"/>
    <w:rsid w:val="00AA1D8A"/>
    <w:rsid w:val="00AB7767"/>
    <w:rsid w:val="00AC71E4"/>
    <w:rsid w:val="00AD27E3"/>
    <w:rsid w:val="00AD4527"/>
    <w:rsid w:val="00AF7DA4"/>
    <w:rsid w:val="00B42C69"/>
    <w:rsid w:val="00B44081"/>
    <w:rsid w:val="00B52D07"/>
    <w:rsid w:val="00B653F1"/>
    <w:rsid w:val="00B67833"/>
    <w:rsid w:val="00B70898"/>
    <w:rsid w:val="00B72D1D"/>
    <w:rsid w:val="00B91520"/>
    <w:rsid w:val="00BC2CA7"/>
    <w:rsid w:val="00BC2F8C"/>
    <w:rsid w:val="00BD7847"/>
    <w:rsid w:val="00BE04AF"/>
    <w:rsid w:val="00C415D6"/>
    <w:rsid w:val="00C5014F"/>
    <w:rsid w:val="00C51653"/>
    <w:rsid w:val="00C52901"/>
    <w:rsid w:val="00C6393C"/>
    <w:rsid w:val="00C63C15"/>
    <w:rsid w:val="00C818D3"/>
    <w:rsid w:val="00C90501"/>
    <w:rsid w:val="00CB7C0D"/>
    <w:rsid w:val="00CC49EC"/>
    <w:rsid w:val="00CD2CAB"/>
    <w:rsid w:val="00D24B93"/>
    <w:rsid w:val="00D31883"/>
    <w:rsid w:val="00D35EBE"/>
    <w:rsid w:val="00D51D45"/>
    <w:rsid w:val="00D80B50"/>
    <w:rsid w:val="00D97EB5"/>
    <w:rsid w:val="00DD44B5"/>
    <w:rsid w:val="00E038F6"/>
    <w:rsid w:val="00E06FB1"/>
    <w:rsid w:val="00E21A31"/>
    <w:rsid w:val="00E21EAB"/>
    <w:rsid w:val="00E268A7"/>
    <w:rsid w:val="00E32284"/>
    <w:rsid w:val="00E649F8"/>
    <w:rsid w:val="00E9549E"/>
    <w:rsid w:val="00EA4046"/>
    <w:rsid w:val="00EB4A13"/>
    <w:rsid w:val="00ED677B"/>
    <w:rsid w:val="00F12231"/>
    <w:rsid w:val="00F128D7"/>
    <w:rsid w:val="00F543F9"/>
    <w:rsid w:val="00F64506"/>
    <w:rsid w:val="00F66BFD"/>
    <w:rsid w:val="00F969B2"/>
    <w:rsid w:val="00FA38F0"/>
    <w:rsid w:val="00FB13EC"/>
    <w:rsid w:val="00FC151C"/>
    <w:rsid w:val="00FE6588"/>
    <w:rsid w:val="00FF0929"/>
    <w:rsid w:val="00FF34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4A64AA"/>
  <w15:chartTrackingRefBased/>
  <w15:docId w15:val="{6B00998C-6A52-4D6A-8B75-09F4EF568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15C"/>
    <w:pPr>
      <w:spacing w:after="0" w:line="360" w:lineRule="auto"/>
      <w:jc w:val="both"/>
    </w:pPr>
    <w:rPr>
      <w:rFonts w:ascii="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974412"/>
    <w:pPr>
      <w:keepNext/>
      <w:keepLines/>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qFormat/>
    <w:rsid w:val="0030654D"/>
    <w:pPr>
      <w:keepNext/>
      <w:spacing w:line="240" w:lineRule="auto"/>
      <w:outlineLvl w:val="1"/>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412"/>
    <w:rPr>
      <w:rFonts w:ascii="Times New Roman" w:eastAsiaTheme="majorEastAsia" w:hAnsi="Times New Roman" w:cstheme="majorBidi"/>
      <w:b/>
      <w:color w:val="000000" w:themeColor="text1"/>
      <w:sz w:val="24"/>
      <w:szCs w:val="32"/>
      <w:lang w:val="en-GB" w:eastAsia="en-GB"/>
    </w:rPr>
  </w:style>
  <w:style w:type="character" w:customStyle="1" w:styleId="Heading2Char">
    <w:name w:val="Heading 2 Char"/>
    <w:basedOn w:val="DefaultParagraphFont"/>
    <w:link w:val="Heading2"/>
    <w:rsid w:val="0030654D"/>
    <w:rPr>
      <w:rFonts w:ascii="Times New Roman" w:hAnsi="Times New Roman" w:cs="Times New Roman"/>
      <w:b/>
      <w:sz w:val="24"/>
      <w:szCs w:val="20"/>
      <w:lang w:val="en-GB" w:eastAsia="en-GB"/>
    </w:rPr>
  </w:style>
  <w:style w:type="table" w:styleId="TableGrid">
    <w:name w:val="Table Grid"/>
    <w:basedOn w:val="TableNormal"/>
    <w:uiPriority w:val="39"/>
    <w:rsid w:val="00306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51C0"/>
    <w:rPr>
      <w:color w:val="0563C1" w:themeColor="hyperlink"/>
      <w:u w:val="single"/>
    </w:rPr>
  </w:style>
  <w:style w:type="paragraph" w:styleId="Caption">
    <w:name w:val="caption"/>
    <w:basedOn w:val="Normal"/>
    <w:next w:val="Normal"/>
    <w:uiPriority w:val="35"/>
    <w:unhideWhenUsed/>
    <w:qFormat/>
    <w:rsid w:val="000E77F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7059E"/>
    <w:pPr>
      <w:spacing w:line="259" w:lineRule="auto"/>
      <w:jc w:val="left"/>
      <w:outlineLvl w:val="9"/>
    </w:pPr>
    <w:rPr>
      <w:rFonts w:asciiTheme="majorHAnsi" w:hAnsiTheme="majorHAnsi"/>
      <w:b w:val="0"/>
      <w:color w:val="2E74B5" w:themeColor="accent1" w:themeShade="BF"/>
      <w:sz w:val="32"/>
      <w:lang w:val="en-US" w:eastAsia="en-US"/>
    </w:rPr>
  </w:style>
  <w:style w:type="paragraph" w:styleId="TOC2">
    <w:name w:val="toc 2"/>
    <w:basedOn w:val="Normal"/>
    <w:next w:val="Normal"/>
    <w:autoRedefine/>
    <w:uiPriority w:val="39"/>
    <w:unhideWhenUsed/>
    <w:rsid w:val="0097059E"/>
    <w:pPr>
      <w:spacing w:after="100"/>
      <w:ind w:left="240"/>
    </w:pPr>
  </w:style>
  <w:style w:type="paragraph" w:styleId="TOC1">
    <w:name w:val="toc 1"/>
    <w:basedOn w:val="Normal"/>
    <w:next w:val="Normal"/>
    <w:autoRedefine/>
    <w:uiPriority w:val="39"/>
    <w:unhideWhenUsed/>
    <w:rsid w:val="0097059E"/>
    <w:pPr>
      <w:spacing w:after="100"/>
    </w:pPr>
  </w:style>
  <w:style w:type="paragraph" w:styleId="Header">
    <w:name w:val="header"/>
    <w:basedOn w:val="Normal"/>
    <w:link w:val="HeaderChar"/>
    <w:uiPriority w:val="99"/>
    <w:unhideWhenUsed/>
    <w:rsid w:val="0072103D"/>
    <w:pPr>
      <w:tabs>
        <w:tab w:val="center" w:pos="4513"/>
        <w:tab w:val="right" w:pos="9026"/>
      </w:tabs>
      <w:spacing w:line="240" w:lineRule="auto"/>
    </w:pPr>
  </w:style>
  <w:style w:type="character" w:customStyle="1" w:styleId="HeaderChar">
    <w:name w:val="Header Char"/>
    <w:basedOn w:val="DefaultParagraphFont"/>
    <w:link w:val="Header"/>
    <w:uiPriority w:val="99"/>
    <w:rsid w:val="0072103D"/>
    <w:rPr>
      <w:rFonts w:ascii="Times New Roman" w:hAnsi="Times New Roman" w:cs="Times New Roman"/>
      <w:sz w:val="24"/>
      <w:szCs w:val="20"/>
      <w:lang w:val="en-GB" w:eastAsia="en-GB"/>
    </w:rPr>
  </w:style>
  <w:style w:type="paragraph" w:styleId="Footer">
    <w:name w:val="footer"/>
    <w:basedOn w:val="Normal"/>
    <w:link w:val="FooterChar"/>
    <w:uiPriority w:val="99"/>
    <w:unhideWhenUsed/>
    <w:rsid w:val="0072103D"/>
    <w:pPr>
      <w:tabs>
        <w:tab w:val="center" w:pos="4513"/>
        <w:tab w:val="right" w:pos="9026"/>
      </w:tabs>
      <w:spacing w:line="240" w:lineRule="auto"/>
    </w:pPr>
  </w:style>
  <w:style w:type="character" w:customStyle="1" w:styleId="FooterChar">
    <w:name w:val="Footer Char"/>
    <w:basedOn w:val="DefaultParagraphFont"/>
    <w:link w:val="Footer"/>
    <w:uiPriority w:val="99"/>
    <w:rsid w:val="0072103D"/>
    <w:rPr>
      <w:rFonts w:ascii="Times New Roman" w:hAnsi="Times New Roman" w:cs="Times New Roman"/>
      <w:sz w:val="24"/>
      <w:szCs w:val="20"/>
      <w:lang w:val="en-GB" w:eastAsia="en-GB"/>
    </w:rPr>
  </w:style>
  <w:style w:type="character" w:customStyle="1" w:styleId="NoSpacingChar">
    <w:name w:val="No Spacing Char"/>
    <w:basedOn w:val="DefaultParagraphFont"/>
    <w:link w:val="NoSpacing"/>
    <w:uiPriority w:val="1"/>
    <w:locked/>
    <w:rsid w:val="00D97EB5"/>
    <w:rPr>
      <w:rFonts w:ascii="Times New Roman" w:eastAsia="Arial" w:hAnsi="Times New Roman" w:cs="Arial"/>
      <w:sz w:val="24"/>
      <w:lang w:val="en-GB"/>
    </w:rPr>
  </w:style>
  <w:style w:type="paragraph" w:styleId="NoSpacing">
    <w:name w:val="No Spacing"/>
    <w:link w:val="NoSpacingChar"/>
    <w:uiPriority w:val="1"/>
    <w:qFormat/>
    <w:rsid w:val="00D97EB5"/>
    <w:pPr>
      <w:widowControl w:val="0"/>
      <w:autoSpaceDE w:val="0"/>
      <w:autoSpaceDN w:val="0"/>
      <w:spacing w:after="0" w:line="360" w:lineRule="auto"/>
      <w:jc w:val="both"/>
    </w:pPr>
    <w:rPr>
      <w:rFonts w:ascii="Times New Roman" w:eastAsia="Arial" w:hAnsi="Times New Roman" w:cs="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05396">
      <w:bodyDiv w:val="1"/>
      <w:marLeft w:val="0"/>
      <w:marRight w:val="0"/>
      <w:marTop w:val="0"/>
      <w:marBottom w:val="0"/>
      <w:divBdr>
        <w:top w:val="none" w:sz="0" w:space="0" w:color="auto"/>
        <w:left w:val="none" w:sz="0" w:space="0" w:color="auto"/>
        <w:bottom w:val="none" w:sz="0" w:space="0" w:color="auto"/>
        <w:right w:val="none" w:sz="0" w:space="0" w:color="auto"/>
      </w:divBdr>
    </w:div>
    <w:div w:id="142742931">
      <w:bodyDiv w:val="1"/>
      <w:marLeft w:val="0"/>
      <w:marRight w:val="0"/>
      <w:marTop w:val="0"/>
      <w:marBottom w:val="0"/>
      <w:divBdr>
        <w:top w:val="none" w:sz="0" w:space="0" w:color="auto"/>
        <w:left w:val="none" w:sz="0" w:space="0" w:color="auto"/>
        <w:bottom w:val="none" w:sz="0" w:space="0" w:color="auto"/>
        <w:right w:val="none" w:sz="0" w:space="0" w:color="auto"/>
      </w:divBdr>
    </w:div>
    <w:div w:id="312829294">
      <w:bodyDiv w:val="1"/>
      <w:marLeft w:val="0"/>
      <w:marRight w:val="0"/>
      <w:marTop w:val="0"/>
      <w:marBottom w:val="0"/>
      <w:divBdr>
        <w:top w:val="none" w:sz="0" w:space="0" w:color="auto"/>
        <w:left w:val="none" w:sz="0" w:space="0" w:color="auto"/>
        <w:bottom w:val="none" w:sz="0" w:space="0" w:color="auto"/>
        <w:right w:val="none" w:sz="0" w:space="0" w:color="auto"/>
      </w:divBdr>
    </w:div>
    <w:div w:id="316226905">
      <w:bodyDiv w:val="1"/>
      <w:marLeft w:val="0"/>
      <w:marRight w:val="0"/>
      <w:marTop w:val="0"/>
      <w:marBottom w:val="0"/>
      <w:divBdr>
        <w:top w:val="none" w:sz="0" w:space="0" w:color="auto"/>
        <w:left w:val="none" w:sz="0" w:space="0" w:color="auto"/>
        <w:bottom w:val="none" w:sz="0" w:space="0" w:color="auto"/>
        <w:right w:val="none" w:sz="0" w:space="0" w:color="auto"/>
      </w:divBdr>
    </w:div>
    <w:div w:id="377823328">
      <w:bodyDiv w:val="1"/>
      <w:marLeft w:val="0"/>
      <w:marRight w:val="0"/>
      <w:marTop w:val="0"/>
      <w:marBottom w:val="0"/>
      <w:divBdr>
        <w:top w:val="none" w:sz="0" w:space="0" w:color="auto"/>
        <w:left w:val="none" w:sz="0" w:space="0" w:color="auto"/>
        <w:bottom w:val="none" w:sz="0" w:space="0" w:color="auto"/>
        <w:right w:val="none" w:sz="0" w:space="0" w:color="auto"/>
      </w:divBdr>
    </w:div>
    <w:div w:id="627584779">
      <w:bodyDiv w:val="1"/>
      <w:marLeft w:val="0"/>
      <w:marRight w:val="0"/>
      <w:marTop w:val="0"/>
      <w:marBottom w:val="0"/>
      <w:divBdr>
        <w:top w:val="none" w:sz="0" w:space="0" w:color="auto"/>
        <w:left w:val="none" w:sz="0" w:space="0" w:color="auto"/>
        <w:bottom w:val="none" w:sz="0" w:space="0" w:color="auto"/>
        <w:right w:val="none" w:sz="0" w:space="0" w:color="auto"/>
      </w:divBdr>
    </w:div>
    <w:div w:id="914902862">
      <w:bodyDiv w:val="1"/>
      <w:marLeft w:val="0"/>
      <w:marRight w:val="0"/>
      <w:marTop w:val="0"/>
      <w:marBottom w:val="0"/>
      <w:divBdr>
        <w:top w:val="none" w:sz="0" w:space="0" w:color="auto"/>
        <w:left w:val="none" w:sz="0" w:space="0" w:color="auto"/>
        <w:bottom w:val="none" w:sz="0" w:space="0" w:color="auto"/>
        <w:right w:val="none" w:sz="0" w:space="0" w:color="auto"/>
      </w:divBdr>
    </w:div>
    <w:div w:id="1255237494">
      <w:bodyDiv w:val="1"/>
      <w:marLeft w:val="0"/>
      <w:marRight w:val="0"/>
      <w:marTop w:val="0"/>
      <w:marBottom w:val="0"/>
      <w:divBdr>
        <w:top w:val="none" w:sz="0" w:space="0" w:color="auto"/>
        <w:left w:val="none" w:sz="0" w:space="0" w:color="auto"/>
        <w:bottom w:val="none" w:sz="0" w:space="0" w:color="auto"/>
        <w:right w:val="none" w:sz="0" w:space="0" w:color="auto"/>
      </w:divBdr>
    </w:div>
    <w:div w:id="1291590214">
      <w:bodyDiv w:val="1"/>
      <w:marLeft w:val="0"/>
      <w:marRight w:val="0"/>
      <w:marTop w:val="0"/>
      <w:marBottom w:val="0"/>
      <w:divBdr>
        <w:top w:val="none" w:sz="0" w:space="0" w:color="auto"/>
        <w:left w:val="none" w:sz="0" w:space="0" w:color="auto"/>
        <w:bottom w:val="none" w:sz="0" w:space="0" w:color="auto"/>
        <w:right w:val="none" w:sz="0" w:space="0" w:color="auto"/>
      </w:divBdr>
    </w:div>
    <w:div w:id="1340473850">
      <w:bodyDiv w:val="1"/>
      <w:marLeft w:val="0"/>
      <w:marRight w:val="0"/>
      <w:marTop w:val="0"/>
      <w:marBottom w:val="0"/>
      <w:divBdr>
        <w:top w:val="none" w:sz="0" w:space="0" w:color="auto"/>
        <w:left w:val="none" w:sz="0" w:space="0" w:color="auto"/>
        <w:bottom w:val="none" w:sz="0" w:space="0" w:color="auto"/>
        <w:right w:val="none" w:sz="0" w:space="0" w:color="auto"/>
      </w:divBdr>
    </w:div>
    <w:div w:id="1418790364">
      <w:bodyDiv w:val="1"/>
      <w:marLeft w:val="0"/>
      <w:marRight w:val="0"/>
      <w:marTop w:val="0"/>
      <w:marBottom w:val="0"/>
      <w:divBdr>
        <w:top w:val="none" w:sz="0" w:space="0" w:color="auto"/>
        <w:left w:val="none" w:sz="0" w:space="0" w:color="auto"/>
        <w:bottom w:val="none" w:sz="0" w:space="0" w:color="auto"/>
        <w:right w:val="none" w:sz="0" w:space="0" w:color="auto"/>
      </w:divBdr>
    </w:div>
    <w:div w:id="1708138556">
      <w:bodyDiv w:val="1"/>
      <w:marLeft w:val="0"/>
      <w:marRight w:val="0"/>
      <w:marTop w:val="0"/>
      <w:marBottom w:val="0"/>
      <w:divBdr>
        <w:top w:val="none" w:sz="0" w:space="0" w:color="auto"/>
        <w:left w:val="none" w:sz="0" w:space="0" w:color="auto"/>
        <w:bottom w:val="none" w:sz="0" w:space="0" w:color="auto"/>
        <w:right w:val="none" w:sz="0" w:space="0" w:color="auto"/>
      </w:divBdr>
    </w:div>
    <w:div w:id="1862624430">
      <w:bodyDiv w:val="1"/>
      <w:marLeft w:val="0"/>
      <w:marRight w:val="0"/>
      <w:marTop w:val="0"/>
      <w:marBottom w:val="0"/>
      <w:divBdr>
        <w:top w:val="none" w:sz="0" w:space="0" w:color="auto"/>
        <w:left w:val="none" w:sz="0" w:space="0" w:color="auto"/>
        <w:bottom w:val="none" w:sz="0" w:space="0" w:color="auto"/>
        <w:right w:val="none" w:sz="0" w:space="0" w:color="auto"/>
      </w:divBdr>
    </w:div>
    <w:div w:id="209224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83849-306F-40B7-91CD-F4914B2B2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10</Pages>
  <Words>1890</Words>
  <Characters>13411</Characters>
  <Application>Microsoft Office Word</Application>
  <DocSecurity>0</DocSecurity>
  <Lines>235</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Kotlarova</dc:creator>
  <cp:keywords/>
  <dc:description/>
  <cp:lastModifiedBy>dewwyl1@gmail.com</cp:lastModifiedBy>
  <cp:revision>118</cp:revision>
  <dcterms:created xsi:type="dcterms:W3CDTF">2025-09-22T16:12:00Z</dcterms:created>
  <dcterms:modified xsi:type="dcterms:W3CDTF">2025-11-19T01:24:00Z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c4bfdd80-ea61-4245-88eb-749b57f1c599</vt:lpwstr>
  </property>
</Properties>
</file>