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33FDA" w14:textId="77777777" w:rsidR="00B21F2E" w:rsidRDefault="00B21F2E" w:rsidP="00A551C6">
      <w:pPr>
        <w:jc w:val="center"/>
        <w:rPr>
          <w:rFonts w:ascii="Tahoma" w:hAnsi="Tahoma" w:cs="Tahoma"/>
          <w:b/>
          <w:u w:val="single"/>
        </w:rPr>
      </w:pPr>
    </w:p>
    <w:p w14:paraId="2CD56557" w14:textId="77777777" w:rsidR="001B69C8" w:rsidRDefault="001B69C8" w:rsidP="00B945EA">
      <w:pPr>
        <w:jc w:val="both"/>
        <w:rPr>
          <w:rFonts w:ascii="Tahoma" w:hAnsi="Tahoma" w:cs="Tahoma"/>
          <w:b/>
          <w:u w:val="single"/>
        </w:rPr>
      </w:pPr>
    </w:p>
    <w:p w14:paraId="119D779A" w14:textId="77777777" w:rsidR="001B69C8" w:rsidRDefault="001B69C8" w:rsidP="00B945EA">
      <w:pPr>
        <w:jc w:val="both"/>
        <w:rPr>
          <w:rFonts w:ascii="Tahoma" w:hAnsi="Tahoma" w:cs="Tahoma"/>
          <w:b/>
          <w:u w:val="single"/>
        </w:rPr>
      </w:pPr>
    </w:p>
    <w:p w14:paraId="6101FCE0" w14:textId="77777777"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sidR="00643CB9">
        <w:rPr>
          <w:rFonts w:ascii="Tahoma" w:hAnsi="Tahoma" w:cs="Tahoma"/>
          <w:b/>
          <w:u w:val="single"/>
        </w:rPr>
        <w:t>–</w:t>
      </w:r>
      <w:r w:rsidR="00B21F2E">
        <w:rPr>
          <w:rFonts w:ascii="Tahoma" w:hAnsi="Tahoma" w:cs="Tahoma"/>
          <w:b/>
          <w:u w:val="single"/>
        </w:rPr>
        <w:t xml:space="preserve">Student Journal </w:t>
      </w:r>
      <w:r w:rsidR="00A138AA">
        <w:rPr>
          <w:rFonts w:ascii="Tahoma" w:hAnsi="Tahoma" w:cs="Tahoma"/>
          <w:b/>
          <w:u w:val="single"/>
        </w:rPr>
        <w:t>(750 words)</w:t>
      </w:r>
    </w:p>
    <w:p w14:paraId="244F047A" w14:textId="77777777" w:rsidR="00C50AE7" w:rsidRPr="003C3341" w:rsidRDefault="00C50AE7" w:rsidP="00B945EA">
      <w:pPr>
        <w:jc w:val="both"/>
        <w:rPr>
          <w:rFonts w:ascii="Tahoma" w:hAnsi="Tahoma" w:cs="Tahoma"/>
          <w:b/>
          <w:u w:val="single"/>
        </w:rPr>
      </w:pPr>
    </w:p>
    <w:p w14:paraId="066B93C4" w14:textId="77777777"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617CF">
        <w:rPr>
          <w:rFonts w:ascii="Tahoma" w:hAnsi="Tahoma" w:cs="Tahoma"/>
        </w:rPr>
        <w:t>You may choose from the following topics:</w:t>
      </w:r>
    </w:p>
    <w:p w14:paraId="681078B4" w14:textId="77777777"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5AF37B90"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49D82BEA" w14:textId="77777777" w:rsidR="00B945EA" w:rsidRDefault="00B945EA" w:rsidP="00B945EA">
      <w:pPr>
        <w:jc w:val="both"/>
        <w:rPr>
          <w:rFonts w:ascii="Tahoma" w:hAnsi="Tahoma" w:cs="Tahoma"/>
        </w:rPr>
      </w:pPr>
    </w:p>
    <w:p w14:paraId="0519795E" w14:textId="77777777"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3D51B7F5"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17810954" w14:textId="77777777" w:rsidTr="00B21F2E">
        <w:tc>
          <w:tcPr>
            <w:tcW w:w="3987" w:type="dxa"/>
            <w:shd w:val="clear" w:color="auto" w:fill="8DB3E2" w:themeFill="text2" w:themeFillTint="66"/>
          </w:tcPr>
          <w:p w14:paraId="030AFD50" w14:textId="47873673" w:rsidR="00B21F2E" w:rsidRDefault="00B21F2E" w:rsidP="00B15D59">
            <w:pPr>
              <w:tabs>
                <w:tab w:val="left" w:pos="1950"/>
              </w:tabs>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B15D59">
              <w:rPr>
                <w:rFonts w:ascii="Tahoma" w:hAnsi="Tahoma" w:cs="Tahoma"/>
                <w:b/>
                <w:sz w:val="20"/>
                <w:szCs w:val="20"/>
              </w:rPr>
              <w:t xml:space="preserve"> </w:t>
            </w:r>
            <w:r w:rsidR="00B530C7">
              <w:rPr>
                <w:rFonts w:ascii="Tahoma" w:hAnsi="Tahoma" w:cs="Tahoma"/>
                <w:b/>
                <w:sz w:val="20"/>
                <w:szCs w:val="20"/>
              </w:rPr>
              <w:t>Casi</w:t>
            </w:r>
            <w:r w:rsidR="00B15D59" w:rsidRPr="00B15D59">
              <w:rPr>
                <w:rFonts w:ascii="Tahoma" w:hAnsi="Tahoma" w:cs="Tahoma"/>
                <w:b/>
                <w:sz w:val="20"/>
                <w:szCs w:val="20"/>
              </w:rPr>
              <w:t xml:space="preserve">ana </w:t>
            </w:r>
            <w:r w:rsidR="00BA5550">
              <w:rPr>
                <w:rFonts w:ascii="Tahoma" w:hAnsi="Tahoma" w:cs="Tahoma"/>
                <w:b/>
                <w:sz w:val="20"/>
                <w:szCs w:val="20"/>
              </w:rPr>
              <w:t xml:space="preserve">Madalina Chifor </w:t>
            </w:r>
            <w:r w:rsidR="00B15D59">
              <w:rPr>
                <w:rFonts w:ascii="Tahoma" w:hAnsi="Tahoma" w:cs="Tahoma"/>
                <w:b/>
                <w:sz w:val="20"/>
                <w:szCs w:val="20"/>
              </w:rPr>
              <w:tab/>
              <w:t xml:space="preserve"> </w:t>
            </w:r>
          </w:p>
          <w:p w14:paraId="57A4883B" w14:textId="77777777" w:rsidR="001B69C8" w:rsidRPr="003C3341" w:rsidRDefault="001B69C8">
            <w:pPr>
              <w:rPr>
                <w:rFonts w:ascii="Tahoma" w:hAnsi="Tahoma" w:cs="Tahoma"/>
                <w:b/>
                <w:sz w:val="20"/>
                <w:szCs w:val="20"/>
              </w:rPr>
            </w:pPr>
          </w:p>
          <w:p w14:paraId="5E0B12AE" w14:textId="7BC7E132" w:rsidR="00B21F2E" w:rsidRPr="003C3341" w:rsidRDefault="001B69C8">
            <w:pPr>
              <w:rPr>
                <w:rFonts w:ascii="Tahoma" w:hAnsi="Tahoma" w:cs="Tahoma"/>
                <w:b/>
                <w:sz w:val="20"/>
                <w:szCs w:val="20"/>
              </w:rPr>
            </w:pPr>
            <w:r>
              <w:rPr>
                <w:rFonts w:ascii="Tahoma" w:hAnsi="Tahoma" w:cs="Tahoma"/>
                <w:b/>
                <w:sz w:val="20"/>
                <w:szCs w:val="20"/>
              </w:rPr>
              <w:t>Student Number:</w:t>
            </w:r>
            <w:r w:rsidR="00B530C7">
              <w:rPr>
                <w:rFonts w:ascii="Tahoma" w:hAnsi="Tahoma" w:cs="Tahoma"/>
                <w:b/>
                <w:sz w:val="20"/>
                <w:szCs w:val="20"/>
              </w:rPr>
              <w:t>2122</w:t>
            </w:r>
            <w:r w:rsidR="00BA5550">
              <w:rPr>
                <w:rFonts w:ascii="Tahoma" w:hAnsi="Tahoma" w:cs="Tahoma"/>
                <w:b/>
                <w:sz w:val="20"/>
                <w:szCs w:val="20"/>
              </w:rPr>
              <w:t>376</w:t>
            </w:r>
          </w:p>
          <w:p w14:paraId="69D8867C"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32AC24C1" w14:textId="33961A5A" w:rsidR="00B21F2E" w:rsidRDefault="001B69C8">
            <w:pPr>
              <w:rPr>
                <w:rFonts w:ascii="Tahoma" w:hAnsi="Tahoma" w:cs="Tahoma"/>
                <w:b/>
                <w:sz w:val="20"/>
                <w:szCs w:val="20"/>
              </w:rPr>
            </w:pPr>
            <w:r>
              <w:rPr>
                <w:rFonts w:ascii="Tahoma" w:hAnsi="Tahoma" w:cs="Tahoma"/>
                <w:b/>
                <w:sz w:val="20"/>
                <w:szCs w:val="20"/>
              </w:rPr>
              <w:t>Module:</w:t>
            </w:r>
            <w:r w:rsidR="00B530C7">
              <w:rPr>
                <w:rFonts w:ascii="Tahoma" w:hAnsi="Tahoma" w:cs="Tahoma"/>
                <w:b/>
                <w:sz w:val="20"/>
                <w:szCs w:val="20"/>
              </w:rPr>
              <w:t>4002</w:t>
            </w:r>
          </w:p>
          <w:p w14:paraId="110AD490" w14:textId="77777777" w:rsidR="00B21F2E" w:rsidRDefault="00B21F2E" w:rsidP="00B21F2E">
            <w:pPr>
              <w:rPr>
                <w:rFonts w:ascii="Tahoma" w:hAnsi="Tahoma" w:cs="Tahoma"/>
                <w:b/>
                <w:sz w:val="20"/>
                <w:szCs w:val="20"/>
              </w:rPr>
            </w:pPr>
          </w:p>
          <w:p w14:paraId="6789409F" w14:textId="51D8AF38" w:rsidR="001B69C8" w:rsidRPr="003C3341" w:rsidRDefault="001B69C8" w:rsidP="00B21F2E">
            <w:pPr>
              <w:rPr>
                <w:rFonts w:ascii="Tahoma" w:hAnsi="Tahoma" w:cs="Tahoma"/>
                <w:b/>
                <w:sz w:val="20"/>
                <w:szCs w:val="20"/>
              </w:rPr>
            </w:pPr>
            <w:r>
              <w:rPr>
                <w:rFonts w:ascii="Tahoma" w:hAnsi="Tahoma" w:cs="Tahoma"/>
                <w:b/>
                <w:sz w:val="20"/>
                <w:szCs w:val="20"/>
              </w:rPr>
              <w:t>Lecturer:</w:t>
            </w:r>
            <w:r w:rsidR="00BA5550">
              <w:rPr>
                <w:rFonts w:ascii="Tahoma" w:hAnsi="Tahoma" w:cs="Tahoma"/>
                <w:b/>
                <w:sz w:val="20"/>
                <w:szCs w:val="20"/>
              </w:rPr>
              <w:t xml:space="preserve"> Lola Villard</w:t>
            </w:r>
          </w:p>
        </w:tc>
      </w:tr>
    </w:tbl>
    <w:p w14:paraId="4C4F8EC4" w14:textId="77777777"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4577156F" w14:textId="77777777" w:rsidTr="00563973">
        <w:tc>
          <w:tcPr>
            <w:tcW w:w="3983" w:type="dxa"/>
            <w:shd w:val="clear" w:color="auto" w:fill="FBD4B4" w:themeFill="accent6" w:themeFillTint="66"/>
          </w:tcPr>
          <w:p w14:paraId="2324D856" w14:textId="77777777" w:rsidR="00B21F2E" w:rsidRPr="00946B23" w:rsidRDefault="008F0D83" w:rsidP="00B21F2E">
            <w:pPr>
              <w:rPr>
                <w:rFonts w:ascii="Tahoma" w:hAnsi="Tahoma" w:cs="Tahoma"/>
                <w:b/>
                <w:sz w:val="20"/>
                <w:szCs w:val="20"/>
              </w:rPr>
            </w:pPr>
            <w:r>
              <w:rPr>
                <w:rFonts w:ascii="Tahoma" w:hAnsi="Tahoma" w:cs="Tahoma"/>
                <w:b/>
                <w:sz w:val="20"/>
                <w:szCs w:val="20"/>
              </w:rPr>
              <w:t>Topic of choice:</w:t>
            </w:r>
          </w:p>
        </w:tc>
        <w:tc>
          <w:tcPr>
            <w:tcW w:w="7199" w:type="dxa"/>
            <w:shd w:val="clear" w:color="auto" w:fill="FBD4B4" w:themeFill="accent6" w:themeFillTint="66"/>
          </w:tcPr>
          <w:p w14:paraId="578C1AA1" w14:textId="77777777" w:rsidR="00F627BD" w:rsidRPr="00F627BD" w:rsidRDefault="00F627BD" w:rsidP="00F627BD">
            <w:pPr>
              <w:spacing w:before="240" w:after="240" w:line="360" w:lineRule="auto"/>
              <w:rPr>
                <w:rFonts w:ascii="Arial" w:hAnsi="Arial" w:cs="Arial"/>
                <w:b/>
              </w:rPr>
            </w:pPr>
            <w:r w:rsidRPr="00F627BD">
              <w:rPr>
                <w:rFonts w:ascii="Arial" w:hAnsi="Arial" w:cs="Arial"/>
                <w:b/>
              </w:rPr>
              <w:t>Allergies and intolerance impact the industry</w:t>
            </w:r>
          </w:p>
          <w:p w14:paraId="34E685F4" w14:textId="77777777" w:rsidR="00B21F2E" w:rsidRDefault="00B21F2E" w:rsidP="00B21F2E">
            <w:pPr>
              <w:jc w:val="center"/>
              <w:rPr>
                <w:rFonts w:ascii="Tahoma" w:hAnsi="Tahoma" w:cs="Tahoma"/>
                <w:b/>
                <w:sz w:val="20"/>
                <w:szCs w:val="20"/>
              </w:rPr>
            </w:pPr>
          </w:p>
          <w:p w14:paraId="0AADB7F6" w14:textId="77777777" w:rsidR="00B21F2E" w:rsidRPr="003C3341" w:rsidRDefault="00B21F2E" w:rsidP="00B21F2E">
            <w:pPr>
              <w:jc w:val="center"/>
              <w:rPr>
                <w:rFonts w:ascii="Tahoma" w:hAnsi="Tahoma" w:cs="Tahoma"/>
                <w:b/>
                <w:sz w:val="20"/>
                <w:szCs w:val="20"/>
              </w:rPr>
            </w:pPr>
          </w:p>
        </w:tc>
      </w:tr>
      <w:tr w:rsidR="00B945EA" w:rsidRPr="003C3341" w14:paraId="55324448" w14:textId="77777777" w:rsidTr="00A91FD6">
        <w:trPr>
          <w:trHeight w:val="2494"/>
        </w:trPr>
        <w:tc>
          <w:tcPr>
            <w:tcW w:w="11182" w:type="dxa"/>
            <w:gridSpan w:val="2"/>
          </w:tcPr>
          <w:p w14:paraId="047E1E97" w14:textId="77777777" w:rsidR="00B945EA" w:rsidRDefault="00B945EA" w:rsidP="00A65C1D">
            <w:pPr>
              <w:rPr>
                <w:rFonts w:ascii="Tahoma" w:hAnsi="Tahoma" w:cs="Tahoma"/>
                <w:sz w:val="20"/>
                <w:szCs w:val="20"/>
              </w:rPr>
            </w:pPr>
          </w:p>
          <w:p w14:paraId="75684378" w14:textId="77777777" w:rsidR="00F627BD" w:rsidRPr="00A74DB1" w:rsidRDefault="00F627BD" w:rsidP="00F627BD">
            <w:pPr>
              <w:spacing w:before="240" w:after="240" w:line="360" w:lineRule="auto"/>
              <w:jc w:val="both"/>
              <w:rPr>
                <w:rFonts w:ascii="Arial" w:hAnsi="Arial" w:cs="Arial"/>
              </w:rPr>
            </w:pPr>
            <w:r w:rsidRPr="00A74DB1">
              <w:rPr>
                <w:rFonts w:ascii="Arial" w:hAnsi="Arial" w:cs="Arial"/>
              </w:rPr>
              <w:t>The food industry often uses the same equipment and facilities to produce a variety of processed products with varying recipes. During my investigation, I learned about a variety of people's struggles with food allergies and intolerances. It has dawned on me that the proper management of such shared equipment is essential to prevent cross-contamination that may enable potentially lethal remains of an allergic meal into another product. Use of common equipment and facilities may be accomplished via a variety of means. One method that has worked for me is dedicating a single or a few lines of code to the creation of a specific allergy meal. For instance, all peanut-based formulations may be made on a single line. If you're processing a variety of foods, it may be difficult to use specific lines or equipment. Assigning processing lines isn't an option for a variety of firms since they have various processing lines and numerous products.</w:t>
            </w:r>
          </w:p>
          <w:p w14:paraId="3BF150C6" w14:textId="77777777" w:rsidR="00F627BD" w:rsidRPr="00A74DB1" w:rsidRDefault="00F627BD" w:rsidP="00F627BD">
            <w:pPr>
              <w:spacing w:before="240" w:after="240" w:line="360" w:lineRule="auto"/>
              <w:jc w:val="both"/>
              <w:rPr>
                <w:rFonts w:ascii="Arial" w:hAnsi="Arial" w:cs="Arial"/>
              </w:rPr>
            </w:pPr>
            <w:r w:rsidRPr="00A74DB1">
              <w:rPr>
                <w:rFonts w:ascii="Arial" w:hAnsi="Arial" w:cs="Arial"/>
              </w:rPr>
              <w:t xml:space="preserve">Group discussion on allergens in foods/beverages revealed that when a processor cannot dedicate a line, several methods are used to ensure that products are not contaminated with allergen </w:t>
            </w:r>
            <w:proofErr w:type="gramStart"/>
            <w:r w:rsidRPr="00A74DB1">
              <w:rPr>
                <w:rFonts w:ascii="Arial" w:hAnsi="Arial" w:cs="Arial"/>
              </w:rPr>
              <w:t>residues..</w:t>
            </w:r>
            <w:proofErr w:type="gramEnd"/>
            <w:r w:rsidRPr="00A74DB1">
              <w:rPr>
                <w:rFonts w:ascii="Arial" w:hAnsi="Arial" w:cs="Arial"/>
              </w:rPr>
              <w:t xml:space="preserve"> Through this process, I learned that scheduling production is a great method in this regard; this is done by combining allergenic items, such as preparing all dairy-containing products together, egg-containing </w:t>
            </w:r>
            <w:r w:rsidRPr="00A74DB1">
              <w:rPr>
                <w:rFonts w:ascii="Arial" w:hAnsi="Arial" w:cs="Arial"/>
              </w:rPr>
              <w:lastRenderedPageBreak/>
              <w:t xml:space="preserve">meals together, and so on. A thorough clean-up is required between the production of an allergic mixture and the subsequent production of a product on any shared equipment. The nature of the products being </w:t>
            </w:r>
            <w:proofErr w:type="gramStart"/>
            <w:r w:rsidRPr="00A74DB1">
              <w:rPr>
                <w:rFonts w:ascii="Arial" w:hAnsi="Arial" w:cs="Arial"/>
              </w:rPr>
              <w:t>manufactured</w:t>
            </w:r>
            <w:proofErr w:type="gramEnd"/>
            <w:r w:rsidRPr="00A74DB1">
              <w:rPr>
                <w:rFonts w:ascii="Arial" w:hAnsi="Arial" w:cs="Arial"/>
              </w:rPr>
              <w:t xml:space="preserve"> and the design and composition of the processing equipment will influence the cleaning processes. From various articles, </w:t>
            </w:r>
            <w:proofErr w:type="gramStart"/>
            <w:r w:rsidRPr="00A74DB1">
              <w:rPr>
                <w:rFonts w:ascii="Arial" w:hAnsi="Arial" w:cs="Arial"/>
              </w:rPr>
              <w:t>Many</w:t>
            </w:r>
            <w:proofErr w:type="gramEnd"/>
            <w:r w:rsidRPr="00A74DB1">
              <w:rPr>
                <w:rFonts w:ascii="Arial" w:hAnsi="Arial" w:cs="Arial"/>
              </w:rPr>
              <w:t xml:space="preserve"> businesses go to the level of implementing color-coding for sanitation devices, each hue dedicated to a form of allergy. To clean industrial tasks that must be done without the use of water or detergents, the most difficult challenges are confronted. If you're making chocolate or dry blending, moist cleaning of equipment isn't an option since it might offer extra food-safety dangers, such microbial infections. Vacuuming and hand-wiping equipment are useful in dry cleaning methods. That's a difficult one to answer. At the very least, all visible residues of the allergenic chemical must be removed. Even though it seems simple, verifying "visibly clean" may require substantial disassembly of certain equipment components. When using extended baking ovens, the assessment of "visibly clean" may be especially problematic.</w:t>
            </w:r>
          </w:p>
          <w:p w14:paraId="33B49146" w14:textId="77777777" w:rsidR="00F627BD" w:rsidRPr="00A74DB1" w:rsidRDefault="00F627BD" w:rsidP="00F627BD">
            <w:pPr>
              <w:spacing w:before="240" w:after="240" w:line="360" w:lineRule="auto"/>
              <w:jc w:val="both"/>
              <w:rPr>
                <w:rFonts w:ascii="Arial" w:hAnsi="Arial" w:cs="Arial"/>
              </w:rPr>
            </w:pPr>
            <w:r w:rsidRPr="00A74DB1">
              <w:rPr>
                <w:rFonts w:ascii="Arial" w:hAnsi="Arial" w:cs="Arial"/>
              </w:rPr>
              <w:t xml:space="preserve">In addition, the food industry has integrated allergy controls into the stage of new product creation when they conduct research and development. As a direct consequence of adopting this strategy, the culture of the product developers as well as the procedure they follow in the creation of new food items have been modified. If an allergenic food is not included in the formulation of a new product, the production process for the product must be handled differently than if it does include allergenic foods. This is because the new product cannot include any allergens. </w:t>
            </w:r>
            <w:proofErr w:type="gramStart"/>
            <w:r w:rsidRPr="00A74DB1">
              <w:rPr>
                <w:rFonts w:ascii="Arial" w:hAnsi="Arial" w:cs="Arial"/>
              </w:rPr>
              <w:t>In spite of the fact that</w:t>
            </w:r>
            <w:proofErr w:type="gramEnd"/>
            <w:r w:rsidRPr="00A74DB1">
              <w:rPr>
                <w:rFonts w:ascii="Arial" w:hAnsi="Arial" w:cs="Arial"/>
              </w:rPr>
              <w:t xml:space="preserve"> foods that contain peanuts are extremely well-liked in the United States, some companies have made the decision not to develop new peanut-containing products in order to prevent their employees from coming into contact with the ingredient at any point during the manufacturing process. This preventive strategy makes it possible to adhere to the necessary protocols for controlling allergens and maintaining cleanliness. Although it is not possible to produce all new food items that are free of the primary food allergens, if the product developers are able to avoid using certain foods that are often allergic in food products from the outset, there will be less challenges and worries. Not only is it essential for a company to have allergen-control systems installed at each of their facilities, but they also have the responsibility of ensuring that the suppliers of their raw materials have such systems in place. It is of the highest significance that companies who sell raw materials to customers provide them with extensive information on the raw materials that they sell.</w:t>
            </w:r>
          </w:p>
          <w:p w14:paraId="31360000" w14:textId="77777777" w:rsidR="00F627BD" w:rsidRDefault="00F627BD" w:rsidP="00F627BD">
            <w:pPr>
              <w:spacing w:before="240" w:after="240" w:line="360" w:lineRule="auto"/>
              <w:jc w:val="both"/>
            </w:pPr>
            <w:r w:rsidRPr="00A74DB1">
              <w:rPr>
                <w:rFonts w:ascii="Arial" w:hAnsi="Arial" w:cs="Arial"/>
              </w:rPr>
              <w:t xml:space="preserve">As a way </w:t>
            </w:r>
            <w:proofErr w:type="spellStart"/>
            <w:r w:rsidRPr="00A74DB1">
              <w:rPr>
                <w:rFonts w:ascii="Arial" w:hAnsi="Arial" w:cs="Arial"/>
              </w:rPr>
              <w:t>tosummarise</w:t>
            </w:r>
            <w:proofErr w:type="spellEnd"/>
            <w:r w:rsidRPr="00A74DB1">
              <w:rPr>
                <w:rFonts w:ascii="Arial" w:hAnsi="Arial" w:cs="Arial"/>
              </w:rPr>
              <w:t xml:space="preserve"> this, I can say that the study experience taught me that food allergies and intolerance are two primary factors that have an extremely significant influence on the business. This is something that I have learnt through my time spent studying. In order to properly address any concerns relating to allergens, the processor is required to collect comprehensive information on the components of each raw material. Many businesses have begun conducting allergy audits on the suppliers they work </w:t>
            </w:r>
            <w:r w:rsidRPr="00A74DB1">
              <w:rPr>
                <w:rFonts w:ascii="Arial" w:hAnsi="Arial" w:cs="Arial"/>
              </w:rPr>
              <w:lastRenderedPageBreak/>
              <w:t>with in order to guarantee that they have access to the most accurate information possible on the components of their raw materials</w:t>
            </w:r>
            <w:r>
              <w:t>.</w:t>
            </w:r>
          </w:p>
          <w:p w14:paraId="7FAAC41B" w14:textId="77777777" w:rsidR="00375882" w:rsidRPr="009A40DF" w:rsidRDefault="00375882" w:rsidP="009A40DF">
            <w:pPr>
              <w:spacing w:line="360" w:lineRule="auto"/>
              <w:jc w:val="both"/>
              <w:rPr>
                <w:rFonts w:ascii="Arial" w:hAnsi="Arial" w:cs="Arial"/>
              </w:rPr>
            </w:pPr>
          </w:p>
        </w:tc>
      </w:tr>
    </w:tbl>
    <w:p w14:paraId="04725D65"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07B25174" w14:textId="77777777" w:rsidTr="00375882">
        <w:tc>
          <w:tcPr>
            <w:tcW w:w="10910" w:type="dxa"/>
            <w:shd w:val="clear" w:color="auto" w:fill="FBD4B4" w:themeFill="accent6" w:themeFillTint="66"/>
          </w:tcPr>
          <w:p w14:paraId="32759A00" w14:textId="7777777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64A1AF37" w14:textId="77777777" w:rsidR="00375882" w:rsidRDefault="00375882" w:rsidP="007F6692">
            <w:pPr>
              <w:jc w:val="center"/>
              <w:rPr>
                <w:rFonts w:ascii="Tahoma" w:hAnsi="Tahoma" w:cs="Tahoma"/>
                <w:b/>
                <w:sz w:val="20"/>
                <w:szCs w:val="20"/>
              </w:rPr>
            </w:pPr>
          </w:p>
          <w:p w14:paraId="29CBBA2E" w14:textId="77777777" w:rsidR="00375882" w:rsidRPr="003C3341" w:rsidRDefault="00375882" w:rsidP="007F6692">
            <w:pPr>
              <w:jc w:val="center"/>
              <w:rPr>
                <w:rFonts w:ascii="Tahoma" w:hAnsi="Tahoma" w:cs="Tahoma"/>
                <w:b/>
                <w:sz w:val="20"/>
                <w:szCs w:val="20"/>
              </w:rPr>
            </w:pPr>
          </w:p>
        </w:tc>
      </w:tr>
      <w:tr w:rsidR="00375882" w:rsidRPr="003C3341" w14:paraId="5A90CAC1" w14:textId="77777777" w:rsidTr="007F6692">
        <w:trPr>
          <w:trHeight w:val="2494"/>
        </w:trPr>
        <w:tc>
          <w:tcPr>
            <w:tcW w:w="11182" w:type="dxa"/>
            <w:gridSpan w:val="2"/>
          </w:tcPr>
          <w:p w14:paraId="5EEB8157" w14:textId="77777777" w:rsidR="00375882" w:rsidRDefault="00375882" w:rsidP="007F6692">
            <w:pPr>
              <w:rPr>
                <w:rFonts w:ascii="Tahoma" w:hAnsi="Tahoma" w:cs="Tahoma"/>
                <w:sz w:val="20"/>
                <w:szCs w:val="20"/>
              </w:rPr>
            </w:pPr>
          </w:p>
          <w:p w14:paraId="0BCDDB46" w14:textId="77777777" w:rsidR="00F627BD" w:rsidRPr="00A74DB1" w:rsidRDefault="00F627BD" w:rsidP="00F627BD">
            <w:pPr>
              <w:spacing w:before="200" w:after="200" w:line="360" w:lineRule="auto"/>
              <w:jc w:val="both"/>
              <w:rPr>
                <w:rFonts w:ascii="Arial" w:hAnsi="Arial" w:cs="Arial"/>
                <w:color w:val="212121"/>
              </w:rPr>
            </w:pPr>
            <w:proofErr w:type="spellStart"/>
            <w:r w:rsidRPr="00A74DB1">
              <w:rPr>
                <w:rFonts w:ascii="Arial" w:hAnsi="Arial" w:cs="Arial"/>
                <w:color w:val="212121"/>
              </w:rPr>
              <w:t>Sicherer</w:t>
            </w:r>
            <w:proofErr w:type="spellEnd"/>
            <w:r w:rsidRPr="00A74DB1">
              <w:rPr>
                <w:rFonts w:ascii="Arial" w:hAnsi="Arial" w:cs="Arial"/>
                <w:color w:val="212121"/>
              </w:rPr>
              <w:t xml:space="preserve"> S.H., Warren C.M., </w:t>
            </w:r>
            <w:proofErr w:type="spellStart"/>
            <w:r w:rsidRPr="00A74DB1">
              <w:rPr>
                <w:rFonts w:ascii="Arial" w:hAnsi="Arial" w:cs="Arial"/>
                <w:color w:val="212121"/>
              </w:rPr>
              <w:t>Dant</w:t>
            </w:r>
            <w:proofErr w:type="spellEnd"/>
            <w:r w:rsidRPr="00A74DB1">
              <w:rPr>
                <w:rFonts w:ascii="Arial" w:hAnsi="Arial" w:cs="Arial"/>
                <w:color w:val="212121"/>
              </w:rPr>
              <w:t xml:space="preserve"> C., Gupta R.S., Nadeau K.C. Food allergy from infancy through adulthood. </w:t>
            </w:r>
            <w:r w:rsidRPr="00A74DB1">
              <w:rPr>
                <w:rFonts w:ascii="Arial" w:hAnsi="Arial" w:cs="Arial"/>
                <w:i/>
                <w:color w:val="212121"/>
              </w:rPr>
              <w:t xml:space="preserve">J. Allergy Clin. Immunol. </w:t>
            </w:r>
            <w:proofErr w:type="spellStart"/>
            <w:r w:rsidRPr="00A74DB1">
              <w:rPr>
                <w:rFonts w:ascii="Arial" w:hAnsi="Arial" w:cs="Arial"/>
                <w:i/>
                <w:color w:val="212121"/>
              </w:rPr>
              <w:t>Pract</w:t>
            </w:r>
            <w:proofErr w:type="spellEnd"/>
            <w:r w:rsidRPr="00A74DB1">
              <w:rPr>
                <w:rFonts w:ascii="Arial" w:hAnsi="Arial" w:cs="Arial"/>
                <w:i/>
                <w:color w:val="212121"/>
              </w:rPr>
              <w:t xml:space="preserve">. </w:t>
            </w:r>
            <w:proofErr w:type="gramStart"/>
            <w:r w:rsidRPr="00A74DB1">
              <w:rPr>
                <w:rFonts w:ascii="Arial" w:hAnsi="Arial" w:cs="Arial"/>
                <w:color w:val="212121"/>
              </w:rPr>
              <w:t>2020;8:1854</w:t>
            </w:r>
            <w:proofErr w:type="gramEnd"/>
            <w:r w:rsidRPr="00A74DB1">
              <w:rPr>
                <w:rFonts w:ascii="Arial" w:hAnsi="Arial" w:cs="Arial"/>
                <w:color w:val="212121"/>
              </w:rPr>
              <w:t xml:space="preserve">–1864. </w:t>
            </w:r>
            <w:proofErr w:type="spellStart"/>
            <w:r w:rsidRPr="00A74DB1">
              <w:rPr>
                <w:rFonts w:ascii="Arial" w:hAnsi="Arial" w:cs="Arial"/>
                <w:color w:val="212121"/>
              </w:rPr>
              <w:t>doi</w:t>
            </w:r>
            <w:proofErr w:type="spellEnd"/>
            <w:r w:rsidRPr="00A74DB1">
              <w:rPr>
                <w:rFonts w:ascii="Arial" w:hAnsi="Arial" w:cs="Arial"/>
                <w:color w:val="212121"/>
              </w:rPr>
              <w:t xml:space="preserve">: 10.1016/j.jaip.2020.02.010. </w:t>
            </w:r>
            <w:hyperlink r:id="rId7">
              <w:r w:rsidRPr="00A74DB1">
                <w:rPr>
                  <w:rFonts w:ascii="Arial" w:hAnsi="Arial" w:cs="Arial"/>
                  <w:color w:val="1155CC"/>
                  <w:u w:val="single"/>
                </w:rPr>
                <w:t>https://pubmed.ncbi.nlm.nih.gov/32499034</w:t>
              </w:r>
            </w:hyperlink>
          </w:p>
          <w:p w14:paraId="7361B8C9" w14:textId="77777777" w:rsidR="00F627BD" w:rsidRPr="00A74DB1" w:rsidRDefault="00F627BD" w:rsidP="00F627BD">
            <w:pPr>
              <w:spacing w:before="200" w:after="200" w:line="360" w:lineRule="auto"/>
              <w:jc w:val="both"/>
              <w:rPr>
                <w:rFonts w:ascii="Arial" w:hAnsi="Arial" w:cs="Arial"/>
                <w:color w:val="212121"/>
              </w:rPr>
            </w:pPr>
            <w:r w:rsidRPr="00A74DB1">
              <w:rPr>
                <w:rFonts w:ascii="Arial" w:hAnsi="Arial" w:cs="Arial"/>
                <w:color w:val="212121"/>
              </w:rPr>
              <w:t xml:space="preserve">Santos A.F. Prevention of food allergy: Can we stop the rise of </w:t>
            </w:r>
            <w:proofErr w:type="spellStart"/>
            <w:r w:rsidRPr="00A74DB1">
              <w:rPr>
                <w:rFonts w:ascii="Arial" w:hAnsi="Arial" w:cs="Arial"/>
                <w:color w:val="212121"/>
              </w:rPr>
              <w:t>ige</w:t>
            </w:r>
            <w:proofErr w:type="spellEnd"/>
            <w:r w:rsidRPr="00A74DB1">
              <w:rPr>
                <w:rFonts w:ascii="Arial" w:hAnsi="Arial" w:cs="Arial"/>
                <w:color w:val="212121"/>
              </w:rPr>
              <w:t xml:space="preserve"> mediated food allergies? </w:t>
            </w:r>
            <w:proofErr w:type="spellStart"/>
            <w:r w:rsidRPr="00A74DB1">
              <w:rPr>
                <w:rFonts w:ascii="Arial" w:hAnsi="Arial" w:cs="Arial"/>
                <w:i/>
                <w:color w:val="212121"/>
              </w:rPr>
              <w:t>Curr</w:t>
            </w:r>
            <w:proofErr w:type="spellEnd"/>
            <w:r w:rsidRPr="00A74DB1">
              <w:rPr>
                <w:rFonts w:ascii="Arial" w:hAnsi="Arial" w:cs="Arial"/>
                <w:i/>
                <w:color w:val="212121"/>
              </w:rPr>
              <w:t xml:space="preserve">. </w:t>
            </w:r>
            <w:proofErr w:type="spellStart"/>
            <w:r w:rsidRPr="00A74DB1">
              <w:rPr>
                <w:rFonts w:ascii="Arial" w:hAnsi="Arial" w:cs="Arial"/>
                <w:i/>
                <w:color w:val="212121"/>
              </w:rPr>
              <w:t>Opin</w:t>
            </w:r>
            <w:proofErr w:type="spellEnd"/>
            <w:r w:rsidRPr="00A74DB1">
              <w:rPr>
                <w:rFonts w:ascii="Arial" w:hAnsi="Arial" w:cs="Arial"/>
                <w:i/>
                <w:color w:val="212121"/>
              </w:rPr>
              <w:t xml:space="preserve">. Allergy Clin. Immunol. </w:t>
            </w:r>
            <w:proofErr w:type="gramStart"/>
            <w:r w:rsidRPr="00A74DB1">
              <w:rPr>
                <w:rFonts w:ascii="Arial" w:hAnsi="Arial" w:cs="Arial"/>
                <w:color w:val="212121"/>
              </w:rPr>
              <w:t>2021;21:195</w:t>
            </w:r>
            <w:proofErr w:type="gramEnd"/>
            <w:r w:rsidRPr="00A74DB1">
              <w:rPr>
                <w:rFonts w:ascii="Arial" w:hAnsi="Arial" w:cs="Arial"/>
                <w:color w:val="212121"/>
              </w:rPr>
              <w:t xml:space="preserve">–201. </w:t>
            </w:r>
            <w:proofErr w:type="spellStart"/>
            <w:r w:rsidRPr="00A74DB1">
              <w:rPr>
                <w:rFonts w:ascii="Arial" w:hAnsi="Arial" w:cs="Arial"/>
                <w:color w:val="212121"/>
              </w:rPr>
              <w:t>doi</w:t>
            </w:r>
            <w:proofErr w:type="spellEnd"/>
            <w:r w:rsidRPr="00A74DB1">
              <w:rPr>
                <w:rFonts w:ascii="Arial" w:hAnsi="Arial" w:cs="Arial"/>
                <w:color w:val="212121"/>
              </w:rPr>
              <w:t xml:space="preserve">: 10.1097/ACI.0000000000000719. </w:t>
            </w:r>
            <w:hyperlink r:id="rId8">
              <w:r w:rsidRPr="00A74DB1">
                <w:rPr>
                  <w:rFonts w:ascii="Arial" w:hAnsi="Arial" w:cs="Arial"/>
                  <w:color w:val="1155CC"/>
                  <w:u w:val="single"/>
                </w:rPr>
                <w:t>https://pubmed.ncbi.nlm.nih.gov/33394703</w:t>
              </w:r>
            </w:hyperlink>
          </w:p>
          <w:p w14:paraId="06FAE53E" w14:textId="77777777" w:rsidR="00F627BD" w:rsidRPr="00A74DB1" w:rsidRDefault="00F627BD" w:rsidP="00F627BD">
            <w:pPr>
              <w:spacing w:before="200" w:after="200" w:line="360" w:lineRule="auto"/>
              <w:jc w:val="both"/>
              <w:rPr>
                <w:rFonts w:ascii="Arial" w:hAnsi="Arial" w:cs="Arial"/>
                <w:color w:val="212121"/>
              </w:rPr>
            </w:pPr>
            <w:r w:rsidRPr="00A74DB1">
              <w:rPr>
                <w:rFonts w:ascii="Arial" w:hAnsi="Arial" w:cs="Arial"/>
                <w:color w:val="212121"/>
              </w:rPr>
              <w:t xml:space="preserve">Wolf W.A., </w:t>
            </w:r>
            <w:proofErr w:type="spellStart"/>
            <w:r w:rsidRPr="00A74DB1">
              <w:rPr>
                <w:rFonts w:ascii="Arial" w:hAnsi="Arial" w:cs="Arial"/>
                <w:color w:val="212121"/>
              </w:rPr>
              <w:t>Jerath</w:t>
            </w:r>
            <w:proofErr w:type="spellEnd"/>
            <w:r w:rsidRPr="00A74DB1">
              <w:rPr>
                <w:rFonts w:ascii="Arial" w:hAnsi="Arial" w:cs="Arial"/>
                <w:color w:val="212121"/>
              </w:rPr>
              <w:t xml:space="preserve"> M.R., Sperry S.L., </w:t>
            </w:r>
            <w:proofErr w:type="spellStart"/>
            <w:r w:rsidRPr="00A74DB1">
              <w:rPr>
                <w:rFonts w:ascii="Arial" w:hAnsi="Arial" w:cs="Arial"/>
                <w:color w:val="212121"/>
              </w:rPr>
              <w:t>Shaheen</w:t>
            </w:r>
            <w:proofErr w:type="spellEnd"/>
            <w:r w:rsidRPr="00A74DB1">
              <w:rPr>
                <w:rFonts w:ascii="Arial" w:hAnsi="Arial" w:cs="Arial"/>
                <w:color w:val="212121"/>
              </w:rPr>
              <w:t xml:space="preserve"> N.J., </w:t>
            </w:r>
            <w:proofErr w:type="spellStart"/>
            <w:r w:rsidRPr="00A74DB1">
              <w:rPr>
                <w:rFonts w:ascii="Arial" w:hAnsi="Arial" w:cs="Arial"/>
                <w:color w:val="212121"/>
              </w:rPr>
              <w:t>Dellon</w:t>
            </w:r>
            <w:proofErr w:type="spellEnd"/>
            <w:r w:rsidRPr="00A74DB1">
              <w:rPr>
                <w:rFonts w:ascii="Arial" w:hAnsi="Arial" w:cs="Arial"/>
                <w:color w:val="212121"/>
              </w:rPr>
              <w:t xml:space="preserve"> E.S. Dietary elimination therapy is an effective option for adults with eosinophilic esophagitis. </w:t>
            </w:r>
            <w:r w:rsidRPr="00A74DB1">
              <w:rPr>
                <w:rFonts w:ascii="Arial" w:hAnsi="Arial" w:cs="Arial"/>
                <w:i/>
                <w:color w:val="212121"/>
              </w:rPr>
              <w:t xml:space="preserve">Clin. Gastroenterol. Hepatol. </w:t>
            </w:r>
            <w:proofErr w:type="gramStart"/>
            <w:r w:rsidRPr="00A74DB1">
              <w:rPr>
                <w:rFonts w:ascii="Arial" w:hAnsi="Arial" w:cs="Arial"/>
                <w:color w:val="212121"/>
              </w:rPr>
              <w:t>2014;12:1272</w:t>
            </w:r>
            <w:proofErr w:type="gramEnd"/>
            <w:r w:rsidRPr="00A74DB1">
              <w:rPr>
                <w:rFonts w:ascii="Arial" w:hAnsi="Arial" w:cs="Arial"/>
                <w:color w:val="212121"/>
              </w:rPr>
              <w:t xml:space="preserve">–1279. </w:t>
            </w:r>
            <w:proofErr w:type="spellStart"/>
            <w:r w:rsidRPr="00A74DB1">
              <w:rPr>
                <w:rFonts w:ascii="Arial" w:hAnsi="Arial" w:cs="Arial"/>
                <w:color w:val="212121"/>
              </w:rPr>
              <w:t>doi</w:t>
            </w:r>
            <w:proofErr w:type="spellEnd"/>
            <w:r w:rsidRPr="00A74DB1">
              <w:rPr>
                <w:rFonts w:ascii="Arial" w:hAnsi="Arial" w:cs="Arial"/>
                <w:color w:val="212121"/>
              </w:rPr>
              <w:t xml:space="preserve">: 10.1016/j.cgh.2013.12.034. </w:t>
            </w:r>
            <w:hyperlink r:id="rId9">
              <w:r w:rsidRPr="00A74DB1">
                <w:rPr>
                  <w:rFonts w:ascii="Arial" w:hAnsi="Arial" w:cs="Arial"/>
                  <w:color w:val="1155CC"/>
                  <w:u w:val="single"/>
                </w:rPr>
                <w:t>https://pubmed.ncbi.nlm.nih.gov/24440337</w:t>
              </w:r>
            </w:hyperlink>
          </w:p>
          <w:p w14:paraId="6239367E" w14:textId="77777777" w:rsidR="00F627BD" w:rsidRPr="00A74DB1" w:rsidRDefault="00F627BD" w:rsidP="00F627BD">
            <w:pPr>
              <w:spacing w:before="200" w:after="200" w:line="360" w:lineRule="auto"/>
              <w:jc w:val="both"/>
              <w:rPr>
                <w:rFonts w:ascii="Arial" w:hAnsi="Arial" w:cs="Arial"/>
                <w:color w:val="212121"/>
              </w:rPr>
            </w:pPr>
            <w:proofErr w:type="spellStart"/>
            <w:r w:rsidRPr="00A74DB1">
              <w:rPr>
                <w:rFonts w:ascii="Arial" w:hAnsi="Arial" w:cs="Arial"/>
                <w:color w:val="212121"/>
              </w:rPr>
              <w:t>Onyimba</w:t>
            </w:r>
            <w:proofErr w:type="spellEnd"/>
            <w:r w:rsidRPr="00A74DB1">
              <w:rPr>
                <w:rFonts w:ascii="Arial" w:hAnsi="Arial" w:cs="Arial"/>
                <w:color w:val="212121"/>
              </w:rPr>
              <w:t xml:space="preserve"> F., Crowe S.E., Johnson S., Leung J. Food allergies and intolerances: A clinical approach to the diagnosis and management of adverse reactions to food. </w:t>
            </w:r>
            <w:r w:rsidRPr="00A74DB1">
              <w:rPr>
                <w:rFonts w:ascii="Arial" w:hAnsi="Arial" w:cs="Arial"/>
                <w:i/>
                <w:color w:val="212121"/>
              </w:rPr>
              <w:t xml:space="preserve">Clin. Gastroenterol. Hepatol. </w:t>
            </w:r>
            <w:r w:rsidRPr="00A74DB1">
              <w:rPr>
                <w:rFonts w:ascii="Arial" w:hAnsi="Arial" w:cs="Arial"/>
                <w:color w:val="212121"/>
              </w:rPr>
              <w:t xml:space="preserve">2021 </w:t>
            </w:r>
            <w:proofErr w:type="spellStart"/>
            <w:r w:rsidRPr="00A74DB1">
              <w:rPr>
                <w:rFonts w:ascii="Arial" w:hAnsi="Arial" w:cs="Arial"/>
                <w:color w:val="212121"/>
              </w:rPr>
              <w:t>doi</w:t>
            </w:r>
            <w:proofErr w:type="spellEnd"/>
            <w:r w:rsidRPr="00A74DB1">
              <w:rPr>
                <w:rFonts w:ascii="Arial" w:hAnsi="Arial" w:cs="Arial"/>
                <w:color w:val="212121"/>
              </w:rPr>
              <w:t xml:space="preserve">: 10.1016/j.cgh.2021.01.025. </w:t>
            </w:r>
            <w:hyperlink r:id="rId10">
              <w:r w:rsidRPr="00A74DB1">
                <w:rPr>
                  <w:rFonts w:ascii="Arial" w:hAnsi="Arial" w:cs="Arial"/>
                  <w:color w:val="1155CC"/>
                  <w:u w:val="single"/>
                </w:rPr>
                <w:t>https://pubmed.ncbi.nlm.nih.gov/33493695</w:t>
              </w:r>
            </w:hyperlink>
          </w:p>
          <w:p w14:paraId="47EC57BD" w14:textId="77777777" w:rsidR="00F627BD" w:rsidRPr="00A74DB1" w:rsidRDefault="00F627BD" w:rsidP="00F627BD">
            <w:pPr>
              <w:spacing w:before="200" w:after="200" w:line="360" w:lineRule="auto"/>
              <w:jc w:val="both"/>
              <w:rPr>
                <w:rFonts w:ascii="Arial" w:hAnsi="Arial" w:cs="Arial"/>
                <w:color w:val="212121"/>
              </w:rPr>
            </w:pPr>
            <w:r w:rsidRPr="00A74DB1">
              <w:rPr>
                <w:rFonts w:ascii="Arial" w:hAnsi="Arial" w:cs="Arial"/>
                <w:color w:val="212121"/>
              </w:rPr>
              <w:t xml:space="preserve">Turnbull J.L., Adams H.N., </w:t>
            </w:r>
            <w:proofErr w:type="spellStart"/>
            <w:r w:rsidRPr="00A74DB1">
              <w:rPr>
                <w:rFonts w:ascii="Arial" w:hAnsi="Arial" w:cs="Arial"/>
                <w:color w:val="212121"/>
              </w:rPr>
              <w:t>Gorard</w:t>
            </w:r>
            <w:proofErr w:type="spellEnd"/>
            <w:r w:rsidRPr="00A74DB1">
              <w:rPr>
                <w:rFonts w:ascii="Arial" w:hAnsi="Arial" w:cs="Arial"/>
                <w:color w:val="212121"/>
              </w:rPr>
              <w:t xml:space="preserve"> D.A. Review article: The diagnosis and management of food allergy and food intolerances. </w:t>
            </w:r>
            <w:r w:rsidRPr="00A74DB1">
              <w:rPr>
                <w:rFonts w:ascii="Arial" w:hAnsi="Arial" w:cs="Arial"/>
                <w:i/>
                <w:color w:val="212121"/>
              </w:rPr>
              <w:t xml:space="preserve">Aliment. </w:t>
            </w:r>
            <w:proofErr w:type="spellStart"/>
            <w:r w:rsidRPr="00A74DB1">
              <w:rPr>
                <w:rFonts w:ascii="Arial" w:hAnsi="Arial" w:cs="Arial"/>
                <w:i/>
                <w:color w:val="212121"/>
              </w:rPr>
              <w:t>Pharmacol</w:t>
            </w:r>
            <w:proofErr w:type="spellEnd"/>
            <w:r w:rsidRPr="00A74DB1">
              <w:rPr>
                <w:rFonts w:ascii="Arial" w:hAnsi="Arial" w:cs="Arial"/>
                <w:i/>
                <w:color w:val="212121"/>
              </w:rPr>
              <w:t xml:space="preserve">. </w:t>
            </w:r>
            <w:proofErr w:type="spellStart"/>
            <w:r w:rsidRPr="00A74DB1">
              <w:rPr>
                <w:rFonts w:ascii="Arial" w:hAnsi="Arial" w:cs="Arial"/>
                <w:i/>
                <w:color w:val="212121"/>
              </w:rPr>
              <w:t>Ther</w:t>
            </w:r>
            <w:proofErr w:type="spellEnd"/>
            <w:r w:rsidRPr="00A74DB1">
              <w:rPr>
                <w:rFonts w:ascii="Arial" w:hAnsi="Arial" w:cs="Arial"/>
                <w:i/>
                <w:color w:val="212121"/>
              </w:rPr>
              <w:t xml:space="preserve">. </w:t>
            </w:r>
            <w:proofErr w:type="gramStart"/>
            <w:r w:rsidRPr="00A74DB1">
              <w:rPr>
                <w:rFonts w:ascii="Arial" w:hAnsi="Arial" w:cs="Arial"/>
                <w:color w:val="212121"/>
              </w:rPr>
              <w:t>2015;41:3</w:t>
            </w:r>
            <w:proofErr w:type="gramEnd"/>
            <w:r w:rsidRPr="00A74DB1">
              <w:rPr>
                <w:rFonts w:ascii="Arial" w:hAnsi="Arial" w:cs="Arial"/>
                <w:color w:val="212121"/>
              </w:rPr>
              <w:t xml:space="preserve">–25. </w:t>
            </w:r>
            <w:proofErr w:type="spellStart"/>
            <w:r w:rsidRPr="00A74DB1">
              <w:rPr>
                <w:rFonts w:ascii="Arial" w:hAnsi="Arial" w:cs="Arial"/>
                <w:color w:val="212121"/>
              </w:rPr>
              <w:t>doi</w:t>
            </w:r>
            <w:proofErr w:type="spellEnd"/>
            <w:r w:rsidRPr="00A74DB1">
              <w:rPr>
                <w:rFonts w:ascii="Arial" w:hAnsi="Arial" w:cs="Arial"/>
                <w:color w:val="212121"/>
              </w:rPr>
              <w:t xml:space="preserve">: 10.1111/apt.12984. </w:t>
            </w:r>
            <w:hyperlink r:id="rId11">
              <w:r w:rsidRPr="00A74DB1">
                <w:rPr>
                  <w:rFonts w:ascii="Arial" w:hAnsi="Arial" w:cs="Arial"/>
                  <w:color w:val="1155CC"/>
                  <w:u w:val="single"/>
                </w:rPr>
                <w:t>https://pubmed.ncbi.nlm.nih.gov/25316115</w:t>
              </w:r>
            </w:hyperlink>
          </w:p>
          <w:p w14:paraId="50EED0F0" w14:textId="77777777" w:rsidR="009A40DF" w:rsidRPr="00A74DB1" w:rsidRDefault="00F627BD" w:rsidP="00F627BD">
            <w:pPr>
              <w:rPr>
                <w:rFonts w:ascii="Arial" w:hAnsi="Arial" w:cs="Arial"/>
              </w:rPr>
            </w:pPr>
            <w:r w:rsidRPr="00A74DB1">
              <w:rPr>
                <w:rFonts w:ascii="Arial" w:hAnsi="Arial" w:cs="Arial"/>
                <w:color w:val="212121"/>
              </w:rPr>
              <w:t xml:space="preserve">Bernstein J.A., Lang D.M., Khan D.A., Craig T., Dreyfus D., Hsieh F., Sheikh J., Weldon D., </w:t>
            </w:r>
            <w:proofErr w:type="spellStart"/>
            <w:r w:rsidRPr="00A74DB1">
              <w:rPr>
                <w:rFonts w:ascii="Arial" w:hAnsi="Arial" w:cs="Arial"/>
                <w:color w:val="212121"/>
              </w:rPr>
              <w:t>Zuraw</w:t>
            </w:r>
            <w:proofErr w:type="spellEnd"/>
            <w:r w:rsidRPr="00A74DB1">
              <w:rPr>
                <w:rFonts w:ascii="Arial" w:hAnsi="Arial" w:cs="Arial"/>
                <w:color w:val="212121"/>
              </w:rPr>
              <w:t xml:space="preserve"> B., Bernstein D.I., et al. The diagnosis and management of acute and chronic urticaria: 2014 update. </w:t>
            </w:r>
            <w:r w:rsidRPr="00A74DB1">
              <w:rPr>
                <w:rFonts w:ascii="Arial" w:hAnsi="Arial" w:cs="Arial"/>
                <w:i/>
                <w:color w:val="212121"/>
              </w:rPr>
              <w:t xml:space="preserve">J. Allergy Clin. Immunol. </w:t>
            </w:r>
            <w:proofErr w:type="gramStart"/>
            <w:r w:rsidRPr="00A74DB1">
              <w:rPr>
                <w:rFonts w:ascii="Arial" w:hAnsi="Arial" w:cs="Arial"/>
                <w:color w:val="212121"/>
              </w:rPr>
              <w:t>2014;133:1270</w:t>
            </w:r>
            <w:proofErr w:type="gramEnd"/>
            <w:r w:rsidRPr="00A74DB1">
              <w:rPr>
                <w:rFonts w:ascii="Arial" w:hAnsi="Arial" w:cs="Arial"/>
                <w:color w:val="212121"/>
              </w:rPr>
              <w:t xml:space="preserve">–1277. </w:t>
            </w:r>
            <w:proofErr w:type="spellStart"/>
            <w:r w:rsidRPr="00A74DB1">
              <w:rPr>
                <w:rFonts w:ascii="Arial" w:hAnsi="Arial" w:cs="Arial"/>
                <w:color w:val="212121"/>
              </w:rPr>
              <w:t>doi</w:t>
            </w:r>
            <w:proofErr w:type="spellEnd"/>
            <w:r w:rsidRPr="00A74DB1">
              <w:rPr>
                <w:rFonts w:ascii="Arial" w:hAnsi="Arial" w:cs="Arial"/>
                <w:color w:val="212121"/>
              </w:rPr>
              <w:t>: 10.1016/j.jaci.2014.02.036.</w:t>
            </w:r>
            <w:hyperlink r:id="rId12">
              <w:r w:rsidRPr="00A74DB1">
                <w:rPr>
                  <w:rFonts w:ascii="Arial" w:hAnsi="Arial" w:cs="Arial"/>
                  <w:color w:val="1155CC"/>
                  <w:u w:val="single"/>
                </w:rPr>
                <w:t>https://doi.org/10.1016%2Fj.jaci.2014.02.036</w:t>
              </w:r>
            </w:hyperlink>
            <w:r w:rsidR="009A40DF" w:rsidRPr="00A74DB1">
              <w:rPr>
                <w:rFonts w:ascii="Arial" w:hAnsi="Arial" w:cs="Arial"/>
                <w:color w:val="000000"/>
                <w:shd w:val="clear" w:color="auto" w:fill="FFFFFF"/>
              </w:rPr>
              <w:t>‌</w:t>
            </w:r>
          </w:p>
          <w:p w14:paraId="74D27AE0" w14:textId="77777777" w:rsidR="00375882" w:rsidRDefault="00375882" w:rsidP="007F6692">
            <w:pPr>
              <w:spacing w:line="360" w:lineRule="auto"/>
              <w:jc w:val="both"/>
              <w:rPr>
                <w:rFonts w:ascii="Arial" w:hAnsi="Arial" w:cs="Arial"/>
              </w:rPr>
            </w:pPr>
          </w:p>
          <w:p w14:paraId="49C0CE99" w14:textId="77777777" w:rsidR="00375882" w:rsidRDefault="00375882" w:rsidP="007F6692">
            <w:pPr>
              <w:spacing w:line="360" w:lineRule="auto"/>
              <w:jc w:val="both"/>
              <w:rPr>
                <w:rFonts w:ascii="Arial" w:hAnsi="Arial" w:cs="Arial"/>
              </w:rPr>
            </w:pPr>
          </w:p>
          <w:p w14:paraId="04C29ABA" w14:textId="77777777" w:rsidR="00375882" w:rsidRDefault="00375882" w:rsidP="007F6692">
            <w:pPr>
              <w:spacing w:line="360" w:lineRule="auto"/>
              <w:jc w:val="both"/>
              <w:rPr>
                <w:rFonts w:ascii="Arial" w:hAnsi="Arial" w:cs="Arial"/>
              </w:rPr>
            </w:pPr>
          </w:p>
          <w:p w14:paraId="38B68E90" w14:textId="77777777" w:rsidR="00375882" w:rsidRDefault="00375882" w:rsidP="007F6692">
            <w:pPr>
              <w:spacing w:line="360" w:lineRule="auto"/>
              <w:jc w:val="both"/>
              <w:rPr>
                <w:rFonts w:ascii="Arial" w:hAnsi="Arial" w:cs="Arial"/>
              </w:rPr>
            </w:pPr>
          </w:p>
          <w:p w14:paraId="4E87FE9B" w14:textId="77777777" w:rsidR="00375882" w:rsidRDefault="00375882" w:rsidP="007F6692">
            <w:pPr>
              <w:spacing w:line="360" w:lineRule="auto"/>
              <w:jc w:val="both"/>
              <w:rPr>
                <w:rFonts w:ascii="Arial" w:hAnsi="Arial" w:cs="Arial"/>
              </w:rPr>
            </w:pPr>
          </w:p>
          <w:p w14:paraId="523F6769" w14:textId="77777777" w:rsidR="00375882" w:rsidRDefault="00375882" w:rsidP="007F6692">
            <w:pPr>
              <w:spacing w:line="360" w:lineRule="auto"/>
              <w:jc w:val="both"/>
              <w:rPr>
                <w:rFonts w:ascii="Arial" w:hAnsi="Arial" w:cs="Arial"/>
              </w:rPr>
            </w:pPr>
          </w:p>
          <w:p w14:paraId="656EFE95" w14:textId="77777777" w:rsidR="00375882" w:rsidRDefault="00375882" w:rsidP="007F6692">
            <w:pPr>
              <w:spacing w:line="360" w:lineRule="auto"/>
              <w:jc w:val="both"/>
              <w:rPr>
                <w:rFonts w:ascii="Arial" w:hAnsi="Arial" w:cs="Arial"/>
              </w:rPr>
            </w:pPr>
          </w:p>
          <w:p w14:paraId="6E29995B" w14:textId="77777777" w:rsidR="00375882" w:rsidRDefault="00375882" w:rsidP="007F6692">
            <w:pPr>
              <w:spacing w:line="360" w:lineRule="auto"/>
              <w:jc w:val="both"/>
              <w:rPr>
                <w:rFonts w:ascii="Arial" w:hAnsi="Arial" w:cs="Arial"/>
              </w:rPr>
            </w:pPr>
          </w:p>
          <w:p w14:paraId="4CED223B" w14:textId="77777777" w:rsidR="00375882" w:rsidRDefault="00375882" w:rsidP="007F6692">
            <w:pPr>
              <w:spacing w:line="360" w:lineRule="auto"/>
              <w:jc w:val="both"/>
              <w:rPr>
                <w:rFonts w:ascii="Arial" w:hAnsi="Arial" w:cs="Arial"/>
              </w:rPr>
            </w:pPr>
          </w:p>
          <w:p w14:paraId="40471A1C" w14:textId="77777777" w:rsidR="00375882" w:rsidRDefault="00375882" w:rsidP="007F6692">
            <w:pPr>
              <w:spacing w:line="360" w:lineRule="auto"/>
              <w:jc w:val="both"/>
              <w:rPr>
                <w:rFonts w:ascii="Arial" w:hAnsi="Arial" w:cs="Arial"/>
              </w:rPr>
            </w:pPr>
          </w:p>
          <w:p w14:paraId="02C17480" w14:textId="77777777" w:rsidR="00375882" w:rsidRDefault="00375882" w:rsidP="007F6692">
            <w:pPr>
              <w:spacing w:line="360" w:lineRule="auto"/>
              <w:jc w:val="both"/>
              <w:rPr>
                <w:rFonts w:ascii="Arial" w:hAnsi="Arial" w:cs="Arial"/>
              </w:rPr>
            </w:pPr>
          </w:p>
          <w:p w14:paraId="529EFB2F" w14:textId="77777777" w:rsidR="00375882" w:rsidRDefault="00375882" w:rsidP="007F6692">
            <w:pPr>
              <w:spacing w:line="360" w:lineRule="auto"/>
              <w:jc w:val="both"/>
              <w:rPr>
                <w:rFonts w:ascii="Arial" w:hAnsi="Arial" w:cs="Arial"/>
              </w:rPr>
            </w:pPr>
          </w:p>
          <w:p w14:paraId="38172C1E" w14:textId="77777777" w:rsidR="00375882" w:rsidRDefault="00375882" w:rsidP="007F6692">
            <w:pPr>
              <w:spacing w:line="360" w:lineRule="auto"/>
              <w:jc w:val="both"/>
              <w:rPr>
                <w:rFonts w:ascii="Arial" w:hAnsi="Arial" w:cs="Arial"/>
              </w:rPr>
            </w:pPr>
          </w:p>
          <w:p w14:paraId="6C0456E8" w14:textId="77777777" w:rsidR="00375882" w:rsidRDefault="00375882" w:rsidP="007F6692">
            <w:pPr>
              <w:spacing w:line="360" w:lineRule="auto"/>
              <w:jc w:val="both"/>
              <w:rPr>
                <w:rFonts w:ascii="Arial" w:hAnsi="Arial" w:cs="Arial"/>
              </w:rPr>
            </w:pPr>
          </w:p>
          <w:p w14:paraId="7D870494" w14:textId="77777777" w:rsidR="00375882" w:rsidRDefault="00375882" w:rsidP="007F6692">
            <w:pPr>
              <w:spacing w:line="360" w:lineRule="auto"/>
              <w:jc w:val="both"/>
              <w:rPr>
                <w:rFonts w:ascii="Arial" w:hAnsi="Arial" w:cs="Arial"/>
              </w:rPr>
            </w:pPr>
          </w:p>
          <w:p w14:paraId="3FC79D2C" w14:textId="77777777" w:rsidR="00375882" w:rsidRDefault="00375882" w:rsidP="007F6692">
            <w:pPr>
              <w:spacing w:line="360" w:lineRule="auto"/>
              <w:jc w:val="both"/>
              <w:rPr>
                <w:rFonts w:ascii="Arial" w:hAnsi="Arial" w:cs="Arial"/>
              </w:rPr>
            </w:pPr>
          </w:p>
          <w:p w14:paraId="67E5811E" w14:textId="77777777" w:rsidR="00375882" w:rsidRDefault="00375882" w:rsidP="007F6692">
            <w:pPr>
              <w:spacing w:line="360" w:lineRule="auto"/>
              <w:jc w:val="both"/>
              <w:rPr>
                <w:rFonts w:ascii="Arial" w:hAnsi="Arial" w:cs="Arial"/>
              </w:rPr>
            </w:pPr>
          </w:p>
          <w:p w14:paraId="6A973775" w14:textId="77777777" w:rsidR="00375882" w:rsidRDefault="00375882" w:rsidP="007F6692">
            <w:pPr>
              <w:spacing w:line="360" w:lineRule="auto"/>
              <w:jc w:val="both"/>
              <w:rPr>
                <w:rFonts w:ascii="Arial" w:hAnsi="Arial" w:cs="Arial"/>
              </w:rPr>
            </w:pPr>
          </w:p>
          <w:p w14:paraId="4637825C" w14:textId="77777777" w:rsidR="00375882" w:rsidRPr="003C3341" w:rsidRDefault="00375882" w:rsidP="007F6692">
            <w:pPr>
              <w:jc w:val="both"/>
              <w:rPr>
                <w:rFonts w:ascii="Tahoma" w:hAnsi="Tahoma" w:cs="Tahoma"/>
                <w:sz w:val="20"/>
                <w:szCs w:val="20"/>
              </w:rPr>
            </w:pPr>
          </w:p>
        </w:tc>
      </w:tr>
    </w:tbl>
    <w:p w14:paraId="7FBF24F4" w14:textId="77777777" w:rsidR="00B00678" w:rsidRDefault="00B00678" w:rsidP="00B945EA">
      <w:pPr>
        <w:rPr>
          <w:rFonts w:ascii="Tahoma" w:hAnsi="Tahoma" w:cs="Tahoma"/>
          <w:b/>
        </w:rPr>
      </w:pPr>
    </w:p>
    <w:p w14:paraId="62F9927C" w14:textId="77777777" w:rsidR="00B00678" w:rsidRDefault="00B00678" w:rsidP="00B945EA">
      <w:pPr>
        <w:rPr>
          <w:rFonts w:ascii="Tahoma" w:hAnsi="Tahoma" w:cs="Tahoma"/>
          <w:b/>
        </w:rPr>
      </w:pPr>
    </w:p>
    <w:p w14:paraId="1B7583FA" w14:textId="77777777" w:rsidR="00B00678" w:rsidRDefault="00B00678" w:rsidP="00B945EA">
      <w:pPr>
        <w:rPr>
          <w:rFonts w:ascii="Tahoma" w:hAnsi="Tahoma" w:cs="Tahoma"/>
          <w:b/>
        </w:rPr>
      </w:pPr>
    </w:p>
    <w:p w14:paraId="0654DB00" w14:textId="77777777" w:rsidR="00B00678" w:rsidRDefault="00B00678" w:rsidP="00B945EA">
      <w:pPr>
        <w:rPr>
          <w:rFonts w:ascii="Tahoma" w:hAnsi="Tahoma" w:cs="Tahoma"/>
          <w:b/>
        </w:rPr>
      </w:pPr>
    </w:p>
    <w:p w14:paraId="006245ED" w14:textId="77777777" w:rsidR="00B00678" w:rsidRDefault="00B00678" w:rsidP="00B945EA">
      <w:pPr>
        <w:rPr>
          <w:rFonts w:ascii="Tahoma" w:hAnsi="Tahoma" w:cs="Tahoma"/>
          <w:b/>
        </w:rPr>
      </w:pPr>
    </w:p>
    <w:p w14:paraId="55214E0B" w14:textId="77777777" w:rsidR="00B00678" w:rsidRDefault="00B00678" w:rsidP="00B945EA">
      <w:pPr>
        <w:rPr>
          <w:rFonts w:ascii="Tahoma" w:hAnsi="Tahoma" w:cs="Tahoma"/>
          <w:b/>
        </w:rPr>
      </w:pPr>
    </w:p>
    <w:p w14:paraId="79BBD7A2" w14:textId="77777777" w:rsidR="00A45D42" w:rsidRDefault="00A45D42" w:rsidP="00B945EA">
      <w:pPr>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47513" w14:textId="77777777" w:rsidR="00CF1482" w:rsidRDefault="00CF1482">
      <w:r>
        <w:separator/>
      </w:r>
    </w:p>
  </w:endnote>
  <w:endnote w:type="continuationSeparator" w:id="0">
    <w:p w14:paraId="16DE3D69" w14:textId="77777777" w:rsidR="00CF1482" w:rsidRDefault="00CF14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278F0E66" w14:textId="77777777" w:rsidR="00B44B68" w:rsidRDefault="00A96D7D">
        <w:pPr>
          <w:pStyle w:val="Footer"/>
          <w:jc w:val="right"/>
        </w:pPr>
        <w:r>
          <w:fldChar w:fldCharType="begin"/>
        </w:r>
        <w:r w:rsidR="00B44B68">
          <w:instrText xml:space="preserve"> PAGE   \* MERGEFORMAT </w:instrText>
        </w:r>
        <w:r>
          <w:fldChar w:fldCharType="separate"/>
        </w:r>
        <w:r w:rsidR="00A74DB1">
          <w:rPr>
            <w:noProof/>
          </w:rPr>
          <w:t>1</w:t>
        </w:r>
        <w:r>
          <w:rPr>
            <w:noProof/>
          </w:rPr>
          <w:fldChar w:fldCharType="end"/>
        </w:r>
      </w:p>
    </w:sdtContent>
  </w:sdt>
  <w:p w14:paraId="36282291"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DB8F3" w14:textId="77777777" w:rsidR="00CF1482" w:rsidRDefault="00CF1482">
      <w:r>
        <w:separator/>
      </w:r>
    </w:p>
  </w:footnote>
  <w:footnote w:type="continuationSeparator" w:id="0">
    <w:p w14:paraId="12D41720" w14:textId="77777777" w:rsidR="00CF1482" w:rsidRDefault="00CF14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C1680" w14:textId="77777777" w:rsidR="00F34E01" w:rsidRPr="001B69C8" w:rsidRDefault="001B69C8" w:rsidP="00112CE0">
    <w:pPr>
      <w:pStyle w:val="Header"/>
      <w:jc w:val="right"/>
      <w:rPr>
        <w:rFonts w:asciiTheme="minorHAnsi" w:hAnsiTheme="minorHAnsi"/>
      </w:rPr>
    </w:pPr>
    <w:r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420956846">
    <w:abstractNumId w:val="12"/>
  </w:num>
  <w:num w:numId="2" w16cid:durableId="1646659734">
    <w:abstractNumId w:val="4"/>
  </w:num>
  <w:num w:numId="3" w16cid:durableId="2018651813">
    <w:abstractNumId w:val="27"/>
  </w:num>
  <w:num w:numId="4" w16cid:durableId="749737616">
    <w:abstractNumId w:val="5"/>
  </w:num>
  <w:num w:numId="5" w16cid:durableId="1841043611">
    <w:abstractNumId w:val="23"/>
  </w:num>
  <w:num w:numId="6" w16cid:durableId="381364147">
    <w:abstractNumId w:val="6"/>
  </w:num>
  <w:num w:numId="7" w16cid:durableId="1220943866">
    <w:abstractNumId w:val="0"/>
  </w:num>
  <w:num w:numId="8" w16cid:durableId="2101561834">
    <w:abstractNumId w:val="26"/>
  </w:num>
  <w:num w:numId="9" w16cid:durableId="1805078712">
    <w:abstractNumId w:val="15"/>
  </w:num>
  <w:num w:numId="10" w16cid:durableId="1526283912">
    <w:abstractNumId w:val="18"/>
  </w:num>
  <w:num w:numId="11" w16cid:durableId="380397223">
    <w:abstractNumId w:val="3"/>
  </w:num>
  <w:num w:numId="12" w16cid:durableId="1178232911">
    <w:abstractNumId w:val="13"/>
  </w:num>
  <w:num w:numId="13" w16cid:durableId="960377314">
    <w:abstractNumId w:val="2"/>
  </w:num>
  <w:num w:numId="14" w16cid:durableId="1615556656">
    <w:abstractNumId w:val="9"/>
  </w:num>
  <w:num w:numId="15" w16cid:durableId="149830822">
    <w:abstractNumId w:val="17"/>
  </w:num>
  <w:num w:numId="16" w16cid:durableId="1814329687">
    <w:abstractNumId w:val="19"/>
  </w:num>
  <w:num w:numId="17" w16cid:durableId="856576766">
    <w:abstractNumId w:val="1"/>
  </w:num>
  <w:num w:numId="18" w16cid:durableId="2003972617">
    <w:abstractNumId w:val="25"/>
  </w:num>
  <w:num w:numId="19" w16cid:durableId="1592541623">
    <w:abstractNumId w:val="8"/>
  </w:num>
  <w:num w:numId="20" w16cid:durableId="1452936862">
    <w:abstractNumId w:val="20"/>
  </w:num>
  <w:num w:numId="21" w16cid:durableId="372534524">
    <w:abstractNumId w:val="11"/>
  </w:num>
  <w:num w:numId="22" w16cid:durableId="712580837">
    <w:abstractNumId w:val="16"/>
  </w:num>
  <w:num w:numId="23" w16cid:durableId="1217862775">
    <w:abstractNumId w:val="24"/>
  </w:num>
  <w:num w:numId="24" w16cid:durableId="1555197242">
    <w:abstractNumId w:val="10"/>
  </w:num>
  <w:num w:numId="25" w16cid:durableId="738409032">
    <w:abstractNumId w:val="22"/>
  </w:num>
  <w:num w:numId="26" w16cid:durableId="2015256941">
    <w:abstractNumId w:val="7"/>
  </w:num>
  <w:num w:numId="27" w16cid:durableId="1349719359">
    <w:abstractNumId w:val="21"/>
  </w:num>
  <w:num w:numId="28" w16cid:durableId="97814759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B712E"/>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A7C63"/>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661E3"/>
    <w:rsid w:val="00895843"/>
    <w:rsid w:val="008B4B9C"/>
    <w:rsid w:val="008B534C"/>
    <w:rsid w:val="008E2A5A"/>
    <w:rsid w:val="008F0B0D"/>
    <w:rsid w:val="008F0D83"/>
    <w:rsid w:val="009061F1"/>
    <w:rsid w:val="00911C43"/>
    <w:rsid w:val="009139BF"/>
    <w:rsid w:val="00923E76"/>
    <w:rsid w:val="009448FE"/>
    <w:rsid w:val="00946B23"/>
    <w:rsid w:val="00954BDF"/>
    <w:rsid w:val="00985CF1"/>
    <w:rsid w:val="009A2D6B"/>
    <w:rsid w:val="009A40DF"/>
    <w:rsid w:val="009A4628"/>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4DB1"/>
    <w:rsid w:val="00A77C7A"/>
    <w:rsid w:val="00A8432F"/>
    <w:rsid w:val="00A90107"/>
    <w:rsid w:val="00A96D7D"/>
    <w:rsid w:val="00AA11D8"/>
    <w:rsid w:val="00AA1309"/>
    <w:rsid w:val="00AA1380"/>
    <w:rsid w:val="00AC67EF"/>
    <w:rsid w:val="00AD310F"/>
    <w:rsid w:val="00AD3D0D"/>
    <w:rsid w:val="00AE467F"/>
    <w:rsid w:val="00AE799D"/>
    <w:rsid w:val="00B00678"/>
    <w:rsid w:val="00B03469"/>
    <w:rsid w:val="00B10EAB"/>
    <w:rsid w:val="00B11E4B"/>
    <w:rsid w:val="00B15D59"/>
    <w:rsid w:val="00B21F2E"/>
    <w:rsid w:val="00B266A5"/>
    <w:rsid w:val="00B44B68"/>
    <w:rsid w:val="00B530C7"/>
    <w:rsid w:val="00B60FDF"/>
    <w:rsid w:val="00B61256"/>
    <w:rsid w:val="00B73A1C"/>
    <w:rsid w:val="00B945EA"/>
    <w:rsid w:val="00B949BC"/>
    <w:rsid w:val="00BA53CD"/>
    <w:rsid w:val="00BA5550"/>
    <w:rsid w:val="00BB5FB3"/>
    <w:rsid w:val="00BC28A6"/>
    <w:rsid w:val="00BC4D17"/>
    <w:rsid w:val="00BC7F1B"/>
    <w:rsid w:val="00BE2584"/>
    <w:rsid w:val="00C10069"/>
    <w:rsid w:val="00C179D6"/>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F1482"/>
    <w:rsid w:val="00D1657F"/>
    <w:rsid w:val="00D80D6E"/>
    <w:rsid w:val="00D833FD"/>
    <w:rsid w:val="00D95816"/>
    <w:rsid w:val="00DA09FA"/>
    <w:rsid w:val="00DA7AE2"/>
    <w:rsid w:val="00DD00CB"/>
    <w:rsid w:val="00DE6434"/>
    <w:rsid w:val="00E00580"/>
    <w:rsid w:val="00E04186"/>
    <w:rsid w:val="00E15906"/>
    <w:rsid w:val="00E26639"/>
    <w:rsid w:val="00E30C3C"/>
    <w:rsid w:val="00E42568"/>
    <w:rsid w:val="00E672A4"/>
    <w:rsid w:val="00EB1AD3"/>
    <w:rsid w:val="00EB4BAF"/>
    <w:rsid w:val="00EC294D"/>
    <w:rsid w:val="00ED52B6"/>
    <w:rsid w:val="00EF41E3"/>
    <w:rsid w:val="00F007E2"/>
    <w:rsid w:val="00F04646"/>
    <w:rsid w:val="00F118EC"/>
    <w:rsid w:val="00F122AA"/>
    <w:rsid w:val="00F338FB"/>
    <w:rsid w:val="00F34E01"/>
    <w:rsid w:val="00F37A71"/>
    <w:rsid w:val="00F43CED"/>
    <w:rsid w:val="00F51904"/>
    <w:rsid w:val="00F537E9"/>
    <w:rsid w:val="00F627BD"/>
    <w:rsid w:val="00F720CF"/>
    <w:rsid w:val="00F81C4A"/>
    <w:rsid w:val="00FB2CA9"/>
    <w:rsid w:val="00FB3B29"/>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F430B1"/>
  <w15:docId w15:val="{6857B41A-8D4C-46F8-816F-08B5B5BEB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apple-converted-space">
    <w:name w:val="apple-converted-space"/>
    <w:basedOn w:val="DefaultParagraphFont"/>
    <w:rsid w:val="009A40DF"/>
  </w:style>
  <w:style w:type="character" w:styleId="Hyperlink">
    <w:name w:val="Hyperlink"/>
    <w:basedOn w:val="DefaultParagraphFont"/>
    <w:unhideWhenUsed/>
    <w:rsid w:val="009A40DF"/>
    <w:rPr>
      <w:color w:val="0000FF" w:themeColor="hyperlink"/>
      <w:u w:val="single"/>
    </w:rPr>
  </w:style>
  <w:style w:type="character" w:customStyle="1" w:styleId="UnresolvedMention1">
    <w:name w:val="Unresolved Mention1"/>
    <w:basedOn w:val="DefaultParagraphFont"/>
    <w:uiPriority w:val="99"/>
    <w:semiHidden/>
    <w:unhideWhenUsed/>
    <w:rsid w:val="009A40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3908">
      <w:bodyDiv w:val="1"/>
      <w:marLeft w:val="0"/>
      <w:marRight w:val="0"/>
      <w:marTop w:val="0"/>
      <w:marBottom w:val="0"/>
      <w:divBdr>
        <w:top w:val="none" w:sz="0" w:space="0" w:color="auto"/>
        <w:left w:val="none" w:sz="0" w:space="0" w:color="auto"/>
        <w:bottom w:val="none" w:sz="0" w:space="0" w:color="auto"/>
        <w:right w:val="none" w:sz="0" w:space="0" w:color="auto"/>
      </w:divBdr>
    </w:div>
    <w:div w:id="68234756">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02928393">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34060626">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58379452">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79513295">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68860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42384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3394703"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ubmed.ncbi.nlm.nih.gov/32499034" TargetMode="External"/><Relationship Id="rId12" Type="http://schemas.openxmlformats.org/officeDocument/2006/relationships/hyperlink" Target="https://doi.org/10.1016%2Fj.jaci.2014.02.03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2531611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pubmed.ncbi.nlm.nih.gov/33493695" TargetMode="External"/><Relationship Id="rId4" Type="http://schemas.openxmlformats.org/officeDocument/2006/relationships/webSettings" Target="webSettings.xml"/><Relationship Id="rId9" Type="http://schemas.openxmlformats.org/officeDocument/2006/relationships/hyperlink" Target="https://pubmed.ncbi.nlm.nih.gov/2444033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1153</Words>
  <Characters>6576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Casiana Chifor</cp:lastModifiedBy>
  <cp:revision>2</cp:revision>
  <cp:lastPrinted>2020-09-28T20:53:00Z</cp:lastPrinted>
  <dcterms:created xsi:type="dcterms:W3CDTF">2022-06-02T21:34:00Z</dcterms:created>
  <dcterms:modified xsi:type="dcterms:W3CDTF">2022-06-02T21:34:00Z</dcterms:modified>
</cp:coreProperties>
</file>