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7054B" w14:textId="77777777" w:rsidR="00BB09CA" w:rsidRDefault="00BB09CA">
      <w:r>
        <w:t>2334327</w:t>
      </w:r>
    </w:p>
    <w:p w14:paraId="082CC946" w14:textId="77777777" w:rsidR="00BB09CA" w:rsidRDefault="00BB09CA">
      <w:r>
        <w:t xml:space="preserve"> Raheema Ashraf</w:t>
      </w:r>
    </w:p>
    <w:p w14:paraId="6DD2885D" w14:textId="13E30B14" w:rsidR="00E86F12" w:rsidRDefault="00BB09CA">
      <w:r>
        <w:t xml:space="preserve"> 5016</w:t>
      </w:r>
    </w:p>
    <w:p w14:paraId="554542B9" w14:textId="77777777" w:rsidR="00BB09CA" w:rsidRDefault="00BB09CA"/>
    <w:p w14:paraId="505D06AE" w14:textId="77777777" w:rsidR="00BB09CA" w:rsidRDefault="00BB09CA"/>
    <w:p w14:paraId="7FC4744C" w14:textId="77777777" w:rsidR="00BB09CA" w:rsidRDefault="00BB09CA"/>
    <w:p w14:paraId="771EB995" w14:textId="77777777" w:rsidR="00BB09CA" w:rsidRDefault="00BB09CA"/>
    <w:p w14:paraId="70078BA0" w14:textId="77777777" w:rsidR="00BB09CA" w:rsidRDefault="00BB09CA"/>
    <w:p w14:paraId="2CBD107A" w14:textId="77777777" w:rsidR="00BB09CA" w:rsidRDefault="00BB09CA"/>
    <w:p w14:paraId="380673B5" w14:textId="77777777" w:rsidR="00BB09CA" w:rsidRDefault="00BB09CA"/>
    <w:p w14:paraId="73F56021" w14:textId="77777777" w:rsidR="00BB09CA" w:rsidRDefault="00BB09CA"/>
    <w:p w14:paraId="6E133349" w14:textId="77777777" w:rsidR="00BB09CA" w:rsidRDefault="00BB09CA"/>
    <w:p w14:paraId="26F2A8DB" w14:textId="77777777" w:rsidR="00BB09CA" w:rsidRDefault="00BB09CA"/>
    <w:p w14:paraId="5189C56B" w14:textId="77777777" w:rsidR="00BB09CA" w:rsidRDefault="00BB09CA"/>
    <w:p w14:paraId="7877F4A0" w14:textId="77777777" w:rsidR="00BB09CA" w:rsidRDefault="00BB09CA"/>
    <w:p w14:paraId="25C8D055" w14:textId="77777777" w:rsidR="00BB09CA" w:rsidRDefault="00BB09CA"/>
    <w:p w14:paraId="5B4F59E3" w14:textId="77777777" w:rsidR="00BB09CA" w:rsidRDefault="00BB09CA"/>
    <w:p w14:paraId="1DB8E1A3" w14:textId="77777777" w:rsidR="00BB09CA" w:rsidRDefault="00BB09CA"/>
    <w:p w14:paraId="32A307AF" w14:textId="77777777" w:rsidR="00BB09CA" w:rsidRDefault="00BB09CA"/>
    <w:p w14:paraId="18D9A1E3" w14:textId="77777777" w:rsidR="00BB09CA" w:rsidRDefault="00BB09CA"/>
    <w:p w14:paraId="37DEF56C" w14:textId="77777777" w:rsidR="00BB09CA" w:rsidRDefault="00BB09CA"/>
    <w:p w14:paraId="06D318BC" w14:textId="77777777" w:rsidR="00BB09CA" w:rsidRDefault="00BB09CA"/>
    <w:p w14:paraId="2711D2EA" w14:textId="77777777" w:rsidR="00BB09CA" w:rsidRDefault="00BB09CA"/>
    <w:p w14:paraId="17206B22" w14:textId="77777777" w:rsidR="00BB09CA" w:rsidRDefault="00BB09CA"/>
    <w:p w14:paraId="036BBF58" w14:textId="77777777" w:rsidR="00BB09CA" w:rsidRDefault="00BB09CA"/>
    <w:p w14:paraId="0771997D" w14:textId="77777777" w:rsidR="00BB09CA" w:rsidRDefault="00BB09CA"/>
    <w:p w14:paraId="7B0304EE" w14:textId="77777777" w:rsidR="00BB09CA" w:rsidRDefault="00BB09CA"/>
    <w:p w14:paraId="7EF801CC" w14:textId="77777777" w:rsidR="00BB09CA" w:rsidRDefault="00BB09CA"/>
    <w:p w14:paraId="785C9542" w14:textId="38E896A8" w:rsidR="00BB09CA" w:rsidRDefault="00BB09CA">
      <w:r>
        <w:lastRenderedPageBreak/>
        <w:t>The cornerstones of modern health and social care delivery in the UK are person-centred care (PCC), ethical practice, and partnership functioning. A growing trend towards comprehensive, cooperative, and rights-based methods is reflected in the incorporation of these ideas into national legislation, professional standards, and policy recommendations. Instead of viewing the patient as a passive user of services, PCC highlights the patient as</w:t>
      </w:r>
      <w:r>
        <w:t xml:space="preserve"> </w:t>
      </w:r>
      <w:r>
        <w:t xml:space="preserve">an active participant in their treatment. Decisions and actions are based on respect for individuality, dignity, and justice thanks to ethical practice. Working in partnerships promotes integrated, multi-agency teamwork, which is especially important for people with complicated, ongoing, or changing needs. These three related topics are examined critically in this project. Using </w:t>
      </w:r>
      <w:proofErr w:type="spellStart"/>
      <w:r>
        <w:t>Kitwood's</w:t>
      </w:r>
      <w:proofErr w:type="spellEnd"/>
      <w:r>
        <w:t xml:space="preserve"> Model of Personhood as a key theoretical framework for dementia care, it starts by evaluating the tenets, advantages, and disadvantages of PCC. After that, it assesses important ethical principles and how they affect professional judgement. Before making suggestions for enhancing practice throughout the industry, it lastly looks at partnership functioning within community-based services, which is backed by pertinent laws and policies. The term "person-centred care" refers to a method where all parts of care planning and delivery are guided by the individual's preferences, values, experiences, and aspirations. It emphasises autonomy, choice, and teamwork while acknowledging the individual as an authority in their own life. This strategy stands in contrast to conventional task-oriented or biological approaches, which frequently place a higher priority on clinical demands than on lived experience and personal identity. PCC's beneficial impact on people's mental health is one of its main advantages. People are less anxious and have more faith in professionals when they feel heard, respected, and included in decision-making. In institutional or hospital settings, a sense of agency can lessen emotions of helplessness. Adherence to treatment and lifestyle recommendations is improved by collaborative decision-making. People are more likely to regularly adhere to interventions when they comprehend and accept their care plan. Personalised approaches increase mood, lessen distress, and improve quality of life, according to research on dementia care and chronic illness. By recognising each person's right to choose their own lifestyle, PCC promotes autonomy. This gives people the ability to maintain control over </w:t>
      </w:r>
      <w:proofErr w:type="spellStart"/>
      <w:r>
        <w:t>everyday</w:t>
      </w:r>
      <w:proofErr w:type="spellEnd"/>
      <w:r>
        <w:t xml:space="preserve"> routines and set their own goals, even if they have long term problems. Autonomy plays a major role in identity, dignity, and motivation in services that assist older folks or those with mental health concerns. Person-centred techniques provide a comprehensive knowledge of the individual since they take emotional, social, and cultural variables into account. This is particularly crucial in varied communities, as people's experiences with care are influenced by their personal histories, communication preferences, and cultural values. PCC encourages more robust relationships between employees, people, and families. In order to avoid conflict and advance common objectives, open communication fosters trust</w:t>
      </w:r>
      <w:r>
        <w:t xml:space="preserve"> </w:t>
      </w:r>
      <w:r>
        <w:t xml:space="preserve">and lessens misconceptions. These improved connections are especially beneficial for dementia, mental health, and end-of-life care. The fact that PCC might be challenging to apply in settings with limited resources is one of its primary complaints. Because of staffing shortages, heavy caseloads, or organisational constraints, frontline personnel frequently lack </w:t>
      </w:r>
      <w:r>
        <w:lastRenderedPageBreak/>
        <w:t xml:space="preserve">the time necessary for meaningful talks, collaborative decision-making, and individualised planning. Employees may find it difficult to regularly implement PCC without proper training. For instance, practitioners must have faith in trauma-informed methods, cultural competence, and communication techniques. PCC quality may be lowered by a lack of financing, significant employee turnover, and reliance on agency labour. When a person's preferences clash with professional judgement or legal obligations, ethical difficulties occur. For instance, despite the considerable risk, a person with dementia could choose to go out by themselves. It takes careful negotiation, interdisciplinary dialogue, and transparent risk management to strike a balance between the right to autonomy and the duty of care. Expressing preferences may be challenging for those with dementia, learning difficulties, communication problems, or low English proficiency. Individual engagement is compromised in the absence of accessible communication tools, such as visual </w:t>
      </w:r>
      <w:proofErr w:type="spellStart"/>
      <w:r>
        <w:t>aides</w:t>
      </w:r>
      <w:proofErr w:type="spellEnd"/>
      <w:r>
        <w:t xml:space="preserve">, interpreters, or sensory-friendly settings. PCC is mostly dependent on organisational culture and employee attitudes. While some </w:t>
      </w:r>
      <w:proofErr w:type="gramStart"/>
      <w:r>
        <w:t>teams</w:t>
      </w:r>
      <w:proofErr w:type="gramEnd"/>
      <w:r>
        <w:t xml:space="preserve"> stress productivity or task accomplishment, others may adopt person centred ideals. Service users may have fragmented experiences as a result of this discrepancy. Tension may arise from disagreements over what the "best outcome" is. Family members may argue with the person or with experts, particularly when capability evaluations or safeguarding issues are involved. One of the most important theoretical pillars of PCC, especially in dementia care, is still Tom </w:t>
      </w:r>
      <w:proofErr w:type="spellStart"/>
      <w:r>
        <w:t>Kitwood's</w:t>
      </w:r>
      <w:proofErr w:type="spellEnd"/>
      <w:r>
        <w:t xml:space="preserve"> work. By claiming that people with dementia maintain their identity, dignity, and worth despite cognitive deterioration, his Model of Personhood contradicted prevailing biomedical viewpoints. </w:t>
      </w:r>
      <w:proofErr w:type="spellStart"/>
      <w:r>
        <w:t>Kitwood</w:t>
      </w:r>
      <w:proofErr w:type="spellEnd"/>
      <w:r>
        <w:t xml:space="preserve"> coined the phrase "malignant social psychology" to characterise detrimental behaviours that reduce personhood, such as dominating, task-focused interactions and neglecting or infantilising others. These behaviours frequently occur in institutional settings, demonstrating the significant impact that social contexts have on wellbeing. The three main tenets of contemporary UK health and social care are collaborative functioning, ethical practice, and person-centred care. When combined, they encourage wellbeing, autonomy, dignity, and coordinated assistance. PCC has been greatly impacted by the</w:t>
      </w:r>
      <w:r>
        <w:t xml:space="preserve"> </w:t>
      </w:r>
      <w:r>
        <w:t xml:space="preserve">work of theorists like Tom </w:t>
      </w:r>
      <w:proofErr w:type="spellStart"/>
      <w:r>
        <w:t>Kitwood</w:t>
      </w:r>
      <w:proofErr w:type="spellEnd"/>
      <w:r>
        <w:t xml:space="preserve">, who emphasise the significance of connections, emotional needs, and personal identity, especially in dementia care. By balancing autonomy, safety, justice, and compassion, ethical principles help practitioners make difficult judgements. By bringing together a variety of expertise, partnership working improves results and protects vulnerable people. Significant obstacles still exist, nevertheless, such as limited resources, a lack of workers, poor communication, and uneven execution. Strong leadership, sufficient training, digital integration, and ongoing funding for community-based services are all necessary for PCC and multi-agency cooperation to be successful. The UK can keep moving closer to a health and social care system that is really comprehensive, fair, and person-centred by tackling these fundamental problems. Opportunities for joint meetings, reflective practice, and cooperative planning may be limited by heavy caseloads, staffing difficulties, and financial limitations. The priorities, language, and professional identities of health services, social care, volunteer organisations, and mental health teams may differ. In order to </w:t>
      </w:r>
      <w:r>
        <w:lastRenderedPageBreak/>
        <w:t>provide coordinated, all-encompassing care, experts, agencies, service users, and families work together. For those with complicated needs, such those assisted by community mental health teams (CMHTs) or dementia services, it is crucial. Fairness and equality in providing resources, services, and assistance are referred to as justice. Whether it is based on age, disability, race, or socioeconomic status, professionals must combat discrimination and make sure that bias does not affect choices. The right of an individual to make knowledgeable decisions about their own life is known as autonomy. It is a fundamental tenet of PCC and is safeguarded by the Mental Capacity Act (MCA) 2005, which stipulates that individuals must be assisted in making decisions wherever feasible and given the freedom to make poor judgements if they are capable of doing so. Respecting autonomy advances human rights, empowerment, and self-determination. While non-maleficence necessitates avoiding injury, beneficence entails acting in the best interests of the individual. Although these ideas frequently coincide, autonomy may be at odds with them. For instance, limiting activities could potentially cause mental harm or limit an individual's independence in order to protect them from physical danger. Practitioners must balance the advantages and disadvantages of emotional, physical, and psychological risks, frequently necessitating interdisciplinary expertise. The transition from solely biological to holistic, relationship-focused care has been made possible thanks in large part to Kit wood’s concept. It emphasises how crucial employee awareness, emotional</w:t>
      </w:r>
      <w:r>
        <w:t xml:space="preserve"> </w:t>
      </w:r>
      <w:r>
        <w:t xml:space="preserve">connection, and tailored communication are. However, fundamental issues including organisational limits, resource shortages, and manpower shortages are not entirely addressed by the model, which may make it difficult to implement consistently in reality. Investment in workforce development: To enable meaningful PCC, sufficient manpower and financing are </w:t>
      </w:r>
      <w:proofErr w:type="gramStart"/>
      <w:r>
        <w:t>necessary..</w:t>
      </w:r>
      <w:proofErr w:type="gramEnd"/>
      <w:r>
        <w:t xml:space="preserve"> Required inter professional training: Collaboration is enhanced by communication, cultural competence, and trauma-informed care skills. Digital integration: Information sharing is improved and duplication is decreased with shared electronic records. Co-production with service users: Including people in service design and planning guarantees meaningful and responsive care. Strengthened leadership: PCC, teamwork, and reflective practice should be given top priority by leaders. To increase consistency, quality, and service user experience, more advancements are required, even if person-centred care and partnership working are fundamental tenets of UK health and social care policy. The following suggestions highlight important areas that need improvement. Improving integration, increasing co-production, boosting workforce capability, modernising digital systems, bolstering leadership, addressing inequality, and guaranteeing sustainable investment in community services should be the main areas of development for PCC and partnership working in the UK. These suggestions encourage health and social care sectors to provide more person-centred, comprehensive, and integrated care. Encourage leadership styles that emphasise teamwork, self-determination, and ongoing development. Partnership working is used in an adult community mental health context through shared communication systems, interagency cooperation, service-user involvement, interdisciplinary collaboration, and cooperative crisis responses. This method allows for person-centred, comprehensive care that takes into </w:t>
      </w:r>
      <w:r>
        <w:lastRenderedPageBreak/>
        <w:t>account social, environmental, and therapeutic concerns. Effective partnership functioning greatly improves quality and continuity of service, despite obstacles.</w:t>
      </w:r>
    </w:p>
    <w:p w14:paraId="4DE88D30" w14:textId="77777777" w:rsidR="00BB09CA" w:rsidRDefault="00BB09CA">
      <w:r>
        <w:br w:type="page"/>
      </w:r>
    </w:p>
    <w:p w14:paraId="44C53FB9" w14:textId="77777777" w:rsidR="00BB09CA" w:rsidRDefault="00BB09CA">
      <w:r>
        <w:lastRenderedPageBreak/>
        <w:t>References</w:t>
      </w:r>
    </w:p>
    <w:p w14:paraId="1CE8A894" w14:textId="77777777" w:rsidR="00BB09CA" w:rsidRDefault="00BB09CA">
      <w:r>
        <w:t xml:space="preserve"> Glasby, J. (2017) Understanding Health and Social Care. 4th </w:t>
      </w:r>
      <w:proofErr w:type="spellStart"/>
      <w:r>
        <w:t>edn</w:t>
      </w:r>
      <w:proofErr w:type="spellEnd"/>
      <w:r>
        <w:t xml:space="preserve">. Bristol: Policy Press. </w:t>
      </w:r>
    </w:p>
    <w:p w14:paraId="34082E65" w14:textId="5E2A6EC7" w:rsidR="00BB09CA" w:rsidRDefault="00BB09CA">
      <w:r>
        <w:t>Department of Health and Social Care (DHSC) (2021) Health and Social Care Framework: Principles and Standards. London: DHSC.</w:t>
      </w:r>
    </w:p>
    <w:p w14:paraId="7534862A" w14:textId="4CEA4C77" w:rsidR="00BB09CA" w:rsidRDefault="001F20CB">
      <w:r>
        <w:t>Kitson, A., Marshall, A., Bassett, K. &amp; Zeitz, K. (2013) ‘What are the core elements of patient-centred care? A narrative review and synthesis of the literature’, Medical Care Research and Review, 70(6), pp. 651–675.</w:t>
      </w:r>
    </w:p>
    <w:p w14:paraId="61DF8FF2" w14:textId="0786E32D" w:rsidR="001F20CB" w:rsidRDefault="001F20CB">
      <w:r>
        <w:t>World Health Organization (WHO) (2015) People-centred and Integrated Health Services: An Overview of the Evidence. Geneva: WHO.</w:t>
      </w:r>
    </w:p>
    <w:p w14:paraId="262F40F5" w14:textId="5458315D" w:rsidR="001F20CB" w:rsidRDefault="001F20CB">
      <w:r>
        <w:t>Roper, N., Logan, W. &amp; Tierney, A. (2000) The Roper-Logan-Tierney Model of Nursing: Based on Activities of Living. Edinburgh: Churchill Livingstone</w:t>
      </w:r>
    </w:p>
    <w:p w14:paraId="1AA35EFA" w14:textId="12623D04" w:rsidR="001F20CB" w:rsidRDefault="001F20CB">
      <w:proofErr w:type="spellStart"/>
      <w:r>
        <w:t>Carnwell</w:t>
      </w:r>
      <w:proofErr w:type="spellEnd"/>
      <w:r>
        <w:t>, R. &amp; Buchanan, J. (eds.) (2005) Effective Practice in Health, Social Care and Criminal Justice: A Partnership Approach. Maidenhead: Open University Press.</w:t>
      </w:r>
    </w:p>
    <w:p w14:paraId="4B4F6D2D" w14:textId="7A2E9262" w:rsidR="001F20CB" w:rsidRDefault="001F20CB">
      <w:r>
        <w:t>Department of Health and Social Care (DHSC) (2018) Integrated Care: Our Shared Commitment. London: DHSC.</w:t>
      </w:r>
    </w:p>
    <w:p w14:paraId="3D296550" w14:textId="2D109B1C" w:rsidR="001F20CB" w:rsidRDefault="001F20CB">
      <w:r>
        <w:t>Hudson, B. (2002) ‘</w:t>
      </w:r>
      <w:proofErr w:type="spellStart"/>
      <w:r>
        <w:t>Interprofessionality</w:t>
      </w:r>
      <w:proofErr w:type="spellEnd"/>
      <w:r>
        <w:t xml:space="preserve"> in health and social care: the Achilles’ heel of partnership?’, Journal of Interprofessional Care, 16(1), pp. 7–17.</w:t>
      </w:r>
    </w:p>
    <w:p w14:paraId="67C29938" w14:textId="17F5F28E" w:rsidR="001F20CB" w:rsidRDefault="001F20CB">
      <w:proofErr w:type="spellStart"/>
      <w:r>
        <w:t>Leathard</w:t>
      </w:r>
      <w:proofErr w:type="spellEnd"/>
      <w:r>
        <w:t>, A. (ed.) (2003) Interprofessional Collaboration: From Policy to Practice in Health and Social Care. Hove: Brunner-Routledge.</w:t>
      </w:r>
    </w:p>
    <w:p w14:paraId="33F501E9" w14:textId="42742647" w:rsidR="001F20CB" w:rsidRDefault="001F20CB">
      <w:r>
        <w:t xml:space="preserve">HM Government (2014) Care Act 2014. London: The Stationery </w:t>
      </w:r>
      <w:proofErr w:type="gramStart"/>
      <w:r>
        <w:t>Office.(</w:t>
      </w:r>
      <w:proofErr w:type="gramEnd"/>
      <w:r>
        <w:t>Key legislation emphasising wellbeing, personalised care, and multi-agency collaboration.</w:t>
      </w:r>
    </w:p>
    <w:p w14:paraId="7E0F83E1" w14:textId="4E775CBC" w:rsidR="001F20CB" w:rsidRDefault="001F20CB">
      <w:r>
        <w:t>Department of Health and Social Care (DHSC) (2018) Integrated Care: Our Shared Commitment. London: DHSC Central to partnership working and integrated service delivery.)</w:t>
      </w:r>
    </w:p>
    <w:p w14:paraId="6BC659B6" w14:textId="722C7C84" w:rsidR="001F20CB" w:rsidRDefault="001F20CB">
      <w:r>
        <w:t xml:space="preserve">NHS England (2019) The NHS Long Term Plan. London: NHS </w:t>
      </w:r>
      <w:proofErr w:type="gramStart"/>
      <w:r>
        <w:t>England.(</w:t>
      </w:r>
      <w:proofErr w:type="gramEnd"/>
      <w:r>
        <w:t>Highlights person centred care, personalised planning, and multi-disciplinary teamwork.)</w:t>
      </w:r>
    </w:p>
    <w:p w14:paraId="092454D2" w14:textId="62FF2809" w:rsidR="001F20CB" w:rsidRDefault="001F20CB">
      <w:r>
        <w:t xml:space="preserve">Scottish Government (2011) NHS Scotland Quality Strategy: Putting People at the Heart of NHS Scotland. Edinburgh: Scottish </w:t>
      </w:r>
      <w:proofErr w:type="spellStart"/>
      <w:r>
        <w:t>Government.Core</w:t>
      </w:r>
      <w:proofErr w:type="spellEnd"/>
      <w:r>
        <w:t xml:space="preserve"> national policy on person-centred, safe, and effective care.)</w:t>
      </w:r>
    </w:p>
    <w:sectPr w:rsidR="001F20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12"/>
    <w:rsid w:val="001F20CB"/>
    <w:rsid w:val="009D002D"/>
    <w:rsid w:val="00BB09CA"/>
    <w:rsid w:val="00E86F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9F1F8"/>
  <w15:chartTrackingRefBased/>
  <w15:docId w15:val="{4D89DBF5-B3EC-486A-AE2F-0859D9BD8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6F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86F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86F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86F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86F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86F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6F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6F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6F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6F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86F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86F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86F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86F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86F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6F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6F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6F12"/>
    <w:rPr>
      <w:rFonts w:eastAsiaTheme="majorEastAsia" w:cstheme="majorBidi"/>
      <w:color w:val="272727" w:themeColor="text1" w:themeTint="D8"/>
    </w:rPr>
  </w:style>
  <w:style w:type="paragraph" w:styleId="Title">
    <w:name w:val="Title"/>
    <w:basedOn w:val="Normal"/>
    <w:next w:val="Normal"/>
    <w:link w:val="TitleChar"/>
    <w:uiPriority w:val="10"/>
    <w:qFormat/>
    <w:rsid w:val="00E86F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86F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6F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6F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6F12"/>
    <w:pPr>
      <w:spacing w:before="160"/>
      <w:jc w:val="center"/>
    </w:pPr>
    <w:rPr>
      <w:i/>
      <w:iCs/>
      <w:color w:val="404040" w:themeColor="text1" w:themeTint="BF"/>
    </w:rPr>
  </w:style>
  <w:style w:type="character" w:customStyle="1" w:styleId="QuoteChar">
    <w:name w:val="Quote Char"/>
    <w:basedOn w:val="DefaultParagraphFont"/>
    <w:link w:val="Quote"/>
    <w:uiPriority w:val="29"/>
    <w:rsid w:val="00E86F12"/>
    <w:rPr>
      <w:i/>
      <w:iCs/>
      <w:color w:val="404040" w:themeColor="text1" w:themeTint="BF"/>
    </w:rPr>
  </w:style>
  <w:style w:type="paragraph" w:styleId="ListParagraph">
    <w:name w:val="List Paragraph"/>
    <w:basedOn w:val="Normal"/>
    <w:uiPriority w:val="34"/>
    <w:qFormat/>
    <w:rsid w:val="00E86F12"/>
    <w:pPr>
      <w:ind w:left="720"/>
      <w:contextualSpacing/>
    </w:pPr>
  </w:style>
  <w:style w:type="character" w:styleId="IntenseEmphasis">
    <w:name w:val="Intense Emphasis"/>
    <w:basedOn w:val="DefaultParagraphFont"/>
    <w:uiPriority w:val="21"/>
    <w:qFormat/>
    <w:rsid w:val="00E86F12"/>
    <w:rPr>
      <w:i/>
      <w:iCs/>
      <w:color w:val="2F5496" w:themeColor="accent1" w:themeShade="BF"/>
    </w:rPr>
  </w:style>
  <w:style w:type="paragraph" w:styleId="IntenseQuote">
    <w:name w:val="Intense Quote"/>
    <w:basedOn w:val="Normal"/>
    <w:next w:val="Normal"/>
    <w:link w:val="IntenseQuoteChar"/>
    <w:uiPriority w:val="30"/>
    <w:qFormat/>
    <w:rsid w:val="00E86F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86F12"/>
    <w:rPr>
      <w:i/>
      <w:iCs/>
      <w:color w:val="2F5496" w:themeColor="accent1" w:themeShade="BF"/>
    </w:rPr>
  </w:style>
  <w:style w:type="character" w:styleId="IntenseReference">
    <w:name w:val="Intense Reference"/>
    <w:basedOn w:val="DefaultParagraphFont"/>
    <w:uiPriority w:val="32"/>
    <w:qFormat/>
    <w:rsid w:val="00E86F1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1954</Words>
  <Characters>11138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Raheema Ashraf (2334327)</dc:creator>
  <cp:keywords/>
  <dc:description/>
  <cp:lastModifiedBy>raheema ashraf</cp:lastModifiedBy>
  <cp:revision>1</cp:revision>
  <dcterms:created xsi:type="dcterms:W3CDTF">2025-11-24T15:37:00Z</dcterms:created>
  <dcterms:modified xsi:type="dcterms:W3CDTF">2025-11-24T15:52:00Z</dcterms:modified>
</cp:coreProperties>
</file>