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D2CFF" w:rsidRDefault="00FD2CFF" w:rsidP="00FD2CFF"/>
    <w:p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rsidR="00EB1F41" w:rsidRDefault="00EB1F41" w:rsidP="00EB1F41">
      <w:pPr>
        <w:pStyle w:val="Modcode"/>
        <w:jc w:val="left"/>
        <w:rPr>
          <w:color w:val="FF0000"/>
        </w:rPr>
      </w:pPr>
      <w:r w:rsidRPr="00EB1F41">
        <w:rPr>
          <w:color w:val="FF0000"/>
        </w:rPr>
        <w:t xml:space="preserve">                                                                      </w:t>
      </w:r>
    </w:p>
    <w:p w:rsidR="00EB1F41" w:rsidRDefault="00EB1F41" w:rsidP="00EB1F41">
      <w:pPr>
        <w:pStyle w:val="Modcode"/>
        <w:jc w:val="left"/>
      </w:pPr>
      <w:r>
        <w:t xml:space="preserve">SEMESTER </w:t>
      </w:r>
      <w:r w:rsidR="00872DA2" w:rsidRPr="00872DA2">
        <w:rPr>
          <w:color w:val="000000" w:themeColor="text1"/>
        </w:rPr>
        <w:t>2</w:t>
      </w:r>
    </w:p>
    <w:p w:rsidR="00C536A6" w:rsidRDefault="00C536A6" w:rsidP="00EB1F41">
      <w:pPr>
        <w:pStyle w:val="Modcode"/>
        <w:jc w:val="left"/>
      </w:pPr>
    </w:p>
    <w:p w:rsidR="00C536A6" w:rsidRPr="007E3A8E" w:rsidRDefault="00C536A6" w:rsidP="00EB1F41">
      <w:pPr>
        <w:pStyle w:val="Modcode"/>
        <w:jc w:val="left"/>
      </w:pPr>
    </w:p>
    <w:p w:rsidR="00EB1F41" w:rsidRPr="007E3A8E" w:rsidRDefault="00EB1F41" w:rsidP="00EB1F41">
      <w:pPr>
        <w:pStyle w:val="Modcode"/>
      </w:pPr>
      <w:r w:rsidRPr="007E3A8E">
        <w:t>MODULE CODE</w:t>
      </w:r>
      <w:r>
        <w:t xml:space="preserve">: </w:t>
      </w:r>
      <w:r w:rsidR="00872DA2" w:rsidRPr="00074D3F">
        <w:t>SHSS5080</w:t>
      </w:r>
    </w:p>
    <w:p w:rsidR="00872DA2" w:rsidRDefault="00872DA2" w:rsidP="00872DA2">
      <w:pPr>
        <w:pStyle w:val="Time"/>
        <w:ind w:left="2880" w:firstLine="720"/>
        <w:rPr>
          <w:szCs w:val="28"/>
        </w:rPr>
      </w:pPr>
      <w:r w:rsidRPr="00074D3F">
        <w:t>Desks to Dens</w:t>
      </w:r>
      <w:r w:rsidRPr="00C536A6">
        <w:rPr>
          <w:szCs w:val="28"/>
        </w:rPr>
        <w:t xml:space="preserve"> </w:t>
      </w:r>
    </w:p>
    <w:p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rsidR="00401D59" w:rsidRDefault="00401D59" w:rsidP="00401D59">
      <w:pPr>
        <w:pStyle w:val="BodyText"/>
      </w:pPr>
    </w:p>
    <w:p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rsidR="00C536A6" w:rsidRPr="00C536A6" w:rsidRDefault="00C536A6" w:rsidP="00C536A6">
      <w:pPr>
        <w:pStyle w:val="BodyText"/>
      </w:pPr>
    </w:p>
    <w:p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rsidR="00C536A6" w:rsidRPr="00C536A6" w:rsidRDefault="00C536A6" w:rsidP="00EB1F41">
      <w:pPr>
        <w:pStyle w:val="BodyText"/>
        <w:rPr>
          <w:b/>
          <w:sz w:val="28"/>
          <w:szCs w:val="28"/>
          <w:u w:val="single"/>
        </w:rPr>
      </w:pPr>
    </w:p>
    <w:p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rsidR="00C3093A" w:rsidRPr="00C536A6" w:rsidRDefault="00C3093A" w:rsidP="00EB1F41">
      <w:pPr>
        <w:pStyle w:val="BodyText"/>
        <w:rPr>
          <w:b/>
          <w:color w:val="FF0000"/>
          <w:sz w:val="28"/>
          <w:szCs w:val="28"/>
          <w:u w:val="single"/>
        </w:rPr>
      </w:pPr>
    </w:p>
    <w:p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Analyse how the</w:t>
      </w:r>
      <w:r w:rsidR="00EB1D11">
        <w:rPr>
          <w:rFonts w:ascii="Arial" w:hAnsi="Arial" w:cs="Arial"/>
          <w:b w:val="0"/>
          <w:sz w:val="22"/>
          <w:szCs w:val="22"/>
        </w:rPr>
        <w:t xml:space="preserve"> playful pedagogical approach of the</w:t>
      </w:r>
      <w:r>
        <w:rPr>
          <w:rFonts w:ascii="Arial" w:hAnsi="Arial" w:cs="Arial"/>
          <w:b w:val="0"/>
          <w:sz w:val="22"/>
          <w:szCs w:val="22"/>
        </w:rPr>
        <w:t xml:space="preserve"> Foundation Phase</w:t>
      </w:r>
      <w:r w:rsidR="00EB1D11">
        <w:rPr>
          <w:rFonts w:ascii="Arial" w:hAnsi="Arial" w:cs="Arial"/>
          <w:b w:val="0"/>
          <w:sz w:val="22"/>
          <w:szCs w:val="22"/>
        </w:rPr>
        <w:t xml:space="preserve"> with its emphasis on</w:t>
      </w:r>
      <w:r w:rsidRPr="00BD10B6">
        <w:rPr>
          <w:rFonts w:ascii="Arial" w:hAnsi="Arial" w:cs="Arial"/>
          <w:b w:val="0"/>
          <w:sz w:val="22"/>
          <w:szCs w:val="22"/>
        </w:rPr>
        <w:t xml:space="preserve"> outdoor learning</w:t>
      </w:r>
      <w:r w:rsidR="00EB1D11">
        <w:rPr>
          <w:rFonts w:ascii="Arial" w:hAnsi="Arial" w:cs="Arial"/>
          <w:b w:val="0"/>
          <w:sz w:val="22"/>
          <w:szCs w:val="22"/>
        </w:rPr>
        <w:t xml:space="preserve"> </w:t>
      </w:r>
      <w:r w:rsidR="00E63817">
        <w:rPr>
          <w:rFonts w:ascii="Arial" w:hAnsi="Arial" w:cs="Arial"/>
          <w:b w:val="0"/>
          <w:sz w:val="22"/>
          <w:szCs w:val="22"/>
        </w:rPr>
        <w:t xml:space="preserve">lays foundations for children’s learning and development and </w:t>
      </w:r>
      <w:r w:rsidR="00EB1D11">
        <w:rPr>
          <w:rFonts w:ascii="Arial" w:hAnsi="Arial" w:cs="Arial"/>
          <w:b w:val="0"/>
          <w:sz w:val="22"/>
          <w:szCs w:val="22"/>
        </w:rPr>
        <w:t>contributes to</w:t>
      </w:r>
      <w:r>
        <w:rPr>
          <w:rFonts w:ascii="Arial" w:hAnsi="Arial" w:cs="Arial"/>
          <w:b w:val="0"/>
          <w:sz w:val="22"/>
          <w:szCs w:val="22"/>
        </w:rPr>
        <w:t xml:space="preserve"> </w:t>
      </w:r>
      <w:r w:rsidR="00274BB6">
        <w:rPr>
          <w:rFonts w:ascii="Arial" w:hAnsi="Arial" w:cs="Arial"/>
          <w:b w:val="0"/>
          <w:sz w:val="22"/>
          <w:szCs w:val="22"/>
        </w:rPr>
        <w:t>their</w:t>
      </w:r>
      <w:r>
        <w:rPr>
          <w:rFonts w:ascii="Arial" w:hAnsi="Arial" w:cs="Arial"/>
          <w:b w:val="0"/>
          <w:sz w:val="22"/>
          <w:szCs w:val="22"/>
        </w:rPr>
        <w:t xml:space="preserve"> physical literacy</w:t>
      </w:r>
      <w:r w:rsidR="00E63817">
        <w:rPr>
          <w:rFonts w:ascii="Arial" w:hAnsi="Arial" w:cs="Arial"/>
          <w:b w:val="0"/>
          <w:sz w:val="22"/>
          <w:szCs w:val="22"/>
        </w:rPr>
        <w:t>.</w:t>
      </w:r>
    </w:p>
    <w:p w:rsidR="00EB1F41" w:rsidRPr="007E3A8E" w:rsidRDefault="00EB1F41" w:rsidP="00EB1F41">
      <w:pPr>
        <w:pStyle w:val="BodyText"/>
      </w:pPr>
    </w:p>
    <w:p w:rsidR="00EB1F41" w:rsidRPr="007E3A8E" w:rsidRDefault="00EB1F41" w:rsidP="00EB1F41">
      <w:pPr>
        <w:pStyle w:val="BodyText"/>
        <w:ind w:left="720"/>
        <w:rPr>
          <w:sz w:val="28"/>
        </w:rPr>
      </w:pPr>
    </w:p>
    <w:p w:rsidR="00FD2CFF" w:rsidRPr="00C536A6" w:rsidRDefault="00FD2CFF">
      <w:pPr>
        <w:rPr>
          <w:sz w:val="28"/>
          <w:szCs w:val="28"/>
        </w:rPr>
      </w:pPr>
    </w:p>
    <w:p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4D57CA">
        <w:rPr>
          <w:rFonts w:ascii="Times New Roman" w:hAnsi="Times New Roman" w:cs="Times New Roman"/>
          <w:b/>
          <w:sz w:val="28"/>
          <w:szCs w:val="28"/>
        </w:rPr>
        <w:t>March 22</w:t>
      </w:r>
      <w:r w:rsidR="004D57CA" w:rsidRPr="004D57CA">
        <w:rPr>
          <w:rFonts w:ascii="Times New Roman" w:hAnsi="Times New Roman" w:cs="Times New Roman"/>
          <w:b/>
          <w:sz w:val="28"/>
          <w:szCs w:val="28"/>
          <w:vertAlign w:val="superscript"/>
        </w:rPr>
        <w:t>nd</w:t>
      </w:r>
      <w:r w:rsidR="004D57CA">
        <w:rPr>
          <w:rFonts w:ascii="Times New Roman" w:hAnsi="Times New Roman" w:cs="Times New Roman"/>
          <w:b/>
          <w:sz w:val="28"/>
          <w:szCs w:val="28"/>
        </w:rPr>
        <w:t xml:space="preserve"> </w:t>
      </w:r>
    </w:p>
    <w:p w:rsidR="00317441" w:rsidRDefault="00317441">
      <w:pPr>
        <w:rPr>
          <w:rFonts w:ascii="Times New Roman" w:hAnsi="Times New Roman" w:cs="Times New Roman"/>
          <w:b/>
          <w:sz w:val="28"/>
          <w:szCs w:val="28"/>
        </w:rPr>
      </w:pPr>
    </w:p>
    <w:p w:rsidR="00317441" w:rsidRDefault="00317441">
      <w:pPr>
        <w:rPr>
          <w:rFonts w:ascii="Times New Roman" w:hAnsi="Times New Roman" w:cs="Times New Roman"/>
          <w:b/>
          <w:sz w:val="28"/>
          <w:szCs w:val="28"/>
        </w:rPr>
      </w:pPr>
    </w:p>
    <w:p w:rsidR="00317441" w:rsidRDefault="00317441">
      <w:pPr>
        <w:rPr>
          <w:rFonts w:ascii="Times New Roman" w:hAnsi="Times New Roman" w:cs="Times New Roman"/>
          <w:b/>
          <w:sz w:val="28"/>
          <w:szCs w:val="28"/>
        </w:rPr>
      </w:pPr>
    </w:p>
    <w:p w:rsidR="00317441" w:rsidRPr="00C536A6" w:rsidRDefault="00317441">
      <w:pPr>
        <w:rPr>
          <w:rFonts w:ascii="Times New Roman" w:hAnsi="Times New Roman" w:cs="Times New Roman"/>
          <w:b/>
          <w:sz w:val="28"/>
          <w:szCs w:val="28"/>
        </w:rPr>
      </w:pPr>
    </w:p>
    <w:p w:rsidR="00C6371F" w:rsidRDefault="00C6371F" w:rsidP="00C6371F">
      <w:r>
        <w:tab/>
      </w:r>
      <w:r>
        <w:tab/>
      </w:r>
      <w:r>
        <w:tab/>
      </w:r>
    </w:p>
    <w:p w:rsidR="00872DA2" w:rsidRDefault="00872DA2" w:rsidP="00C6371F"/>
    <w:p w:rsidR="00872DA2" w:rsidRDefault="00872DA2" w:rsidP="00C6371F"/>
    <w:p w:rsidR="00C6371F" w:rsidRDefault="00C6371F" w:rsidP="00C6371F"/>
    <w:p w:rsidR="00C6371F" w:rsidRDefault="00C6371F" w:rsidP="00C6371F"/>
    <w:p w:rsidR="00317441" w:rsidRDefault="00317441" w:rsidP="00317441">
      <w:r>
        <w:tab/>
      </w:r>
      <w:r>
        <w:tab/>
      </w:r>
      <w:r>
        <w:tab/>
      </w:r>
    </w:p>
    <w:p w:rsidR="00D6095A" w:rsidRPr="007A2699" w:rsidRDefault="00D6095A" w:rsidP="00D6095A">
      <w:pPr>
        <w:pStyle w:val="Title"/>
      </w:pPr>
      <w:r w:rsidRPr="007A2699">
        <w:lastRenderedPageBreak/>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D6095A" w:rsidRPr="00DB29C9" w:rsidRDefault="00D6095A" w:rsidP="00D6095A">
      <w:pPr>
        <w:pStyle w:val="Subtitle"/>
        <w:rPr>
          <w:sz w:val="16"/>
          <w:szCs w:val="16"/>
        </w:rPr>
      </w:pPr>
    </w:p>
    <w:p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5"/>
        <w:gridCol w:w="184"/>
        <w:gridCol w:w="922"/>
        <w:gridCol w:w="923"/>
        <w:gridCol w:w="308"/>
        <w:gridCol w:w="614"/>
        <w:gridCol w:w="923"/>
        <w:gridCol w:w="922"/>
        <w:gridCol w:w="923"/>
        <w:gridCol w:w="218"/>
        <w:gridCol w:w="704"/>
        <w:gridCol w:w="923"/>
        <w:gridCol w:w="720"/>
      </w:tblGrid>
      <w:tr w:rsidR="00872DA2" w:rsidRPr="00313008" w:rsidTr="00FA44F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rsidTr="00FA44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rsidTr="00FA44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rsidTr="00FA44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2DA2" w:rsidRPr="00313008" w:rsidRDefault="00872DA2" w:rsidP="00872DA2">
            <w:pPr>
              <w:pStyle w:val="Subtitle"/>
              <w:rPr>
                <w:b/>
                <w:bCs/>
                <w:sz w:val="24"/>
                <w:szCs w:val="24"/>
                <w:u w:val="none"/>
              </w:rPr>
            </w:pPr>
          </w:p>
        </w:tc>
      </w:tr>
      <w:tr w:rsidR="00872DA2" w:rsidRPr="00313008" w:rsidTr="00E63817">
        <w:trPr>
          <w:cantSplit/>
        </w:trPr>
        <w:tc>
          <w:tcPr>
            <w:tcW w:w="2376" w:type="dxa"/>
            <w:vMerge w:val="restart"/>
            <w:tcBorders>
              <w:top w:val="single" w:sz="4" w:space="0" w:color="auto"/>
              <w:left w:val="thinThickLargeGap" w:sz="24" w:space="0" w:color="auto"/>
              <w:bottom w:val="single" w:sz="6" w:space="0" w:color="auto"/>
            </w:tcBorders>
          </w:tcPr>
          <w:p w:rsidR="00872DA2" w:rsidRPr="00313008" w:rsidRDefault="00872DA2" w:rsidP="00872DA2">
            <w:pPr>
              <w:pStyle w:val="Subtitle"/>
              <w:jc w:val="left"/>
              <w:rPr>
                <w:b/>
                <w:bCs/>
                <w:sz w:val="24"/>
                <w:szCs w:val="24"/>
                <w:u w:val="none"/>
              </w:rPr>
            </w:pPr>
          </w:p>
          <w:p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469" w:type="dxa"/>
            <w:gridSpan w:val="2"/>
            <w:vMerge w:val="restart"/>
            <w:tcBorders>
              <w:top w:val="single" w:sz="4" w:space="0" w:color="auto"/>
              <w:bottom w:val="single" w:sz="6" w:space="0" w:color="auto"/>
              <w:right w:val="single" w:sz="6" w:space="0" w:color="auto"/>
            </w:tcBorders>
            <w:textDirection w:val="btLr"/>
          </w:tcPr>
          <w:p w:rsidR="00872DA2" w:rsidRPr="00313008" w:rsidRDefault="00872DA2" w:rsidP="00872DA2">
            <w:pPr>
              <w:ind w:left="113" w:right="113"/>
              <w:rPr>
                <w:sz w:val="16"/>
                <w:szCs w:val="16"/>
              </w:rPr>
            </w:pPr>
            <w:r w:rsidRPr="00313008">
              <w:rPr>
                <w:sz w:val="16"/>
                <w:szCs w:val="16"/>
              </w:rPr>
              <w:t>Learning</w:t>
            </w:r>
          </w:p>
          <w:p w:rsidR="00872DA2" w:rsidRPr="00313008" w:rsidRDefault="00872DA2" w:rsidP="00872DA2">
            <w:pPr>
              <w:ind w:left="113" w:right="113"/>
              <w:rPr>
                <w:sz w:val="16"/>
                <w:szCs w:val="16"/>
              </w:rPr>
            </w:pPr>
            <w:r w:rsidRPr="00313008">
              <w:rPr>
                <w:sz w:val="16"/>
                <w:szCs w:val="16"/>
              </w:rPr>
              <w:t>Outcomes</w:t>
            </w:r>
          </w:p>
          <w:p w:rsidR="00872DA2" w:rsidRPr="00313008" w:rsidRDefault="00872DA2" w:rsidP="00872DA2">
            <w:pPr>
              <w:ind w:left="113" w:right="113"/>
              <w:rPr>
                <w:sz w:val="16"/>
                <w:szCs w:val="16"/>
              </w:rPr>
            </w:pPr>
          </w:p>
          <w:p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rsidTr="00E63817">
        <w:trPr>
          <w:cantSplit/>
        </w:trPr>
        <w:tc>
          <w:tcPr>
            <w:tcW w:w="2376" w:type="dxa"/>
            <w:vMerge/>
            <w:tcBorders>
              <w:top w:val="single" w:sz="6" w:space="0" w:color="auto"/>
              <w:left w:val="thinThickLargeGap" w:sz="24" w:space="0" w:color="auto"/>
              <w:bottom w:val="single" w:sz="6" w:space="0" w:color="auto"/>
            </w:tcBorders>
          </w:tcPr>
          <w:p w:rsidR="00872DA2" w:rsidRPr="00313008" w:rsidRDefault="00872DA2" w:rsidP="00872DA2">
            <w:pPr>
              <w:pStyle w:val="Subtitle"/>
              <w:jc w:val="left"/>
              <w:rPr>
                <w:b/>
                <w:bCs/>
                <w:sz w:val="24"/>
                <w:szCs w:val="24"/>
                <w:u w:val="none"/>
              </w:rPr>
            </w:pPr>
          </w:p>
        </w:tc>
        <w:tc>
          <w:tcPr>
            <w:tcW w:w="469" w:type="dxa"/>
            <w:gridSpan w:val="2"/>
            <w:vMerge/>
            <w:tcBorders>
              <w:top w:val="single" w:sz="6" w:space="0" w:color="auto"/>
              <w:bottom w:val="single" w:sz="6" w:space="0" w:color="auto"/>
              <w:right w:val="single" w:sz="6" w:space="0" w:color="auto"/>
            </w:tcBorders>
          </w:tcPr>
          <w:p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Pr>
                <w:b/>
                <w:bCs/>
                <w:sz w:val="16"/>
                <w:szCs w:val="16"/>
                <w:u w:val="none"/>
              </w:rPr>
              <w:t>Poor</w:t>
            </w:r>
          </w:p>
          <w:p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rsidR="00872DA2" w:rsidRDefault="00872DA2" w:rsidP="00872DA2">
            <w:pPr>
              <w:pStyle w:val="Subtitle"/>
              <w:rPr>
                <w:b/>
                <w:sz w:val="16"/>
                <w:szCs w:val="16"/>
                <w:u w:val="none"/>
              </w:rPr>
            </w:pPr>
            <w:r>
              <w:rPr>
                <w:b/>
                <w:sz w:val="16"/>
                <w:szCs w:val="16"/>
                <w:u w:val="none"/>
              </w:rPr>
              <w:t>Weak</w:t>
            </w:r>
          </w:p>
          <w:p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Pr>
                <w:b/>
                <w:bCs/>
                <w:sz w:val="16"/>
                <w:szCs w:val="16"/>
                <w:u w:val="none"/>
              </w:rPr>
              <w:t>Unsatisfactory</w:t>
            </w:r>
          </w:p>
          <w:p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Satisfactory</w:t>
            </w:r>
          </w:p>
          <w:p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Good</w:t>
            </w:r>
          </w:p>
          <w:p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Very Good</w:t>
            </w:r>
          </w:p>
          <w:p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872DA2" w:rsidRPr="003E3041" w:rsidRDefault="00872DA2" w:rsidP="00872DA2">
            <w:pPr>
              <w:pStyle w:val="Subtitle"/>
              <w:rPr>
                <w:b/>
                <w:bCs/>
                <w:sz w:val="16"/>
                <w:szCs w:val="16"/>
                <w:u w:val="none"/>
              </w:rPr>
            </w:pPr>
            <w:r w:rsidRPr="003E3041">
              <w:rPr>
                <w:b/>
                <w:bCs/>
                <w:sz w:val="16"/>
                <w:szCs w:val="16"/>
                <w:u w:val="none"/>
              </w:rPr>
              <w:t>Excellent</w:t>
            </w:r>
          </w:p>
          <w:p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872DA2" w:rsidRDefault="00872DA2" w:rsidP="00872DA2">
            <w:pPr>
              <w:pStyle w:val="Subtitle"/>
              <w:rPr>
                <w:b/>
                <w:bCs/>
                <w:sz w:val="16"/>
                <w:szCs w:val="16"/>
                <w:u w:val="none"/>
              </w:rPr>
            </w:pPr>
            <w:r>
              <w:rPr>
                <w:b/>
                <w:bCs/>
                <w:sz w:val="16"/>
                <w:szCs w:val="16"/>
                <w:u w:val="none"/>
              </w:rPr>
              <w:t>Exceptional</w:t>
            </w:r>
          </w:p>
          <w:p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872DA2" w:rsidRPr="00313008" w:rsidRDefault="00872DA2" w:rsidP="00872DA2">
            <w:pPr>
              <w:pStyle w:val="Subtitle"/>
              <w:jc w:val="left"/>
              <w:rPr>
                <w:b/>
                <w:bCs/>
                <w:sz w:val="18"/>
                <w:szCs w:val="18"/>
                <w:u w:val="none"/>
              </w:rPr>
            </w:pPr>
          </w:p>
          <w:p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rsidTr="00E63817">
        <w:tc>
          <w:tcPr>
            <w:tcW w:w="2376" w:type="dxa"/>
            <w:tcBorders>
              <w:top w:val="single" w:sz="6" w:space="0" w:color="auto"/>
              <w:left w:val="thinThickLargeGap" w:sz="24" w:space="0" w:color="auto"/>
              <w:bottom w:val="single" w:sz="6" w:space="0" w:color="auto"/>
            </w:tcBorders>
          </w:tcPr>
          <w:p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w:t>
            </w:r>
            <w:r w:rsidR="00E63817">
              <w:rPr>
                <w:sz w:val="18"/>
                <w:szCs w:val="18"/>
                <w:u w:val="none"/>
              </w:rPr>
              <w:t>e playful pedagogy of the foundation phase.</w:t>
            </w:r>
          </w:p>
        </w:tc>
        <w:tc>
          <w:tcPr>
            <w:tcW w:w="469" w:type="dxa"/>
            <w:gridSpan w:val="2"/>
            <w:tcBorders>
              <w:top w:val="single" w:sz="6" w:space="0" w:color="auto"/>
              <w:bottom w:val="single" w:sz="6" w:space="0" w:color="auto"/>
              <w:right w:val="single" w:sz="6" w:space="0" w:color="auto"/>
            </w:tcBorders>
          </w:tcPr>
          <w:p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rsidTr="00E63817">
        <w:tc>
          <w:tcPr>
            <w:tcW w:w="2376" w:type="dxa"/>
            <w:tcBorders>
              <w:top w:val="single" w:sz="6" w:space="0" w:color="auto"/>
              <w:left w:val="thinThickLargeGap" w:sz="24" w:space="0" w:color="auto"/>
              <w:bottom w:val="single" w:sz="6" w:space="0" w:color="auto"/>
            </w:tcBorders>
          </w:tcPr>
          <w:p w:rsidR="00872DA2" w:rsidRPr="009B5330" w:rsidRDefault="00872DA2" w:rsidP="00872DA2">
            <w:pPr>
              <w:pStyle w:val="Subtitle"/>
              <w:jc w:val="left"/>
              <w:rPr>
                <w:sz w:val="18"/>
                <w:szCs w:val="18"/>
                <w:u w:val="none"/>
              </w:rPr>
            </w:pPr>
            <w:r>
              <w:rPr>
                <w:sz w:val="18"/>
                <w:szCs w:val="18"/>
                <w:u w:val="none"/>
              </w:rPr>
              <w:t xml:space="preserve">Evaluate the role of </w:t>
            </w:r>
            <w:r w:rsidR="008C5DB5">
              <w:rPr>
                <w:sz w:val="18"/>
                <w:szCs w:val="18"/>
                <w:u w:val="none"/>
              </w:rPr>
              <w:t xml:space="preserve">the </w:t>
            </w:r>
            <w:r>
              <w:rPr>
                <w:sz w:val="18"/>
                <w:szCs w:val="18"/>
                <w:u w:val="none"/>
              </w:rPr>
              <w:t>outdoors and physic</w:t>
            </w:r>
            <w:r w:rsidR="00E63817">
              <w:rPr>
                <w:sz w:val="18"/>
                <w:szCs w:val="18"/>
                <w:u w:val="none"/>
              </w:rPr>
              <w:t>al play in the foundation phase and its contribution to children’s development.</w:t>
            </w:r>
            <w:r>
              <w:rPr>
                <w:sz w:val="18"/>
                <w:szCs w:val="18"/>
                <w:u w:val="none"/>
              </w:rPr>
              <w:t xml:space="preserve"> </w:t>
            </w:r>
          </w:p>
        </w:tc>
        <w:tc>
          <w:tcPr>
            <w:tcW w:w="469" w:type="dxa"/>
            <w:gridSpan w:val="2"/>
            <w:tcBorders>
              <w:top w:val="single" w:sz="6" w:space="0" w:color="auto"/>
              <w:bottom w:val="single" w:sz="6" w:space="0" w:color="auto"/>
              <w:right w:val="single" w:sz="6" w:space="0" w:color="auto"/>
            </w:tcBorders>
          </w:tcPr>
          <w:p w:rsidR="00872DA2" w:rsidRPr="00313008" w:rsidRDefault="00872DA2" w:rsidP="00872DA2">
            <w:pPr>
              <w:pStyle w:val="Subtitle"/>
              <w:rPr>
                <w:b/>
                <w:bCs/>
                <w:sz w:val="18"/>
                <w:szCs w:val="18"/>
                <w:u w:val="none"/>
              </w:rPr>
            </w:pPr>
            <w:r>
              <w:rPr>
                <w:b/>
                <w:bCs/>
                <w:sz w:val="18"/>
                <w:szCs w:val="18"/>
                <w:u w:val="none"/>
              </w:rPr>
              <w:t>2, 3</w:t>
            </w:r>
            <w:r w:rsidR="00E63817">
              <w:rPr>
                <w:b/>
                <w:bCs/>
                <w:sz w:val="18"/>
                <w:szCs w:val="18"/>
                <w:u w:val="none"/>
              </w:rPr>
              <w:t>, 5</w:t>
            </w:r>
          </w:p>
        </w:tc>
        <w:tc>
          <w:tcPr>
            <w:tcW w:w="922"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Default="00872DA2" w:rsidP="00872DA2"/>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rsidTr="00E63817">
        <w:tc>
          <w:tcPr>
            <w:tcW w:w="2376" w:type="dxa"/>
            <w:tcBorders>
              <w:top w:val="single" w:sz="6" w:space="0" w:color="auto"/>
              <w:left w:val="thinThickLargeGap" w:sz="24" w:space="0" w:color="auto"/>
              <w:bottom w:val="single" w:sz="6" w:space="0" w:color="auto"/>
            </w:tcBorders>
          </w:tcPr>
          <w:p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w:t>
            </w:r>
            <w:r w:rsidR="00E63817">
              <w:rPr>
                <w:sz w:val="18"/>
                <w:szCs w:val="18"/>
                <w:u w:val="none"/>
              </w:rPr>
              <w:t xml:space="preserve"> early</w:t>
            </w:r>
            <w:r>
              <w:rPr>
                <w:sz w:val="18"/>
                <w:szCs w:val="18"/>
                <w:u w:val="none"/>
              </w:rPr>
              <w:t xml:space="preserve"> child development</w:t>
            </w:r>
            <w:r w:rsidR="00E63817">
              <w:rPr>
                <w:sz w:val="18"/>
                <w:szCs w:val="18"/>
                <w:u w:val="none"/>
              </w:rPr>
              <w:t>.</w:t>
            </w:r>
          </w:p>
        </w:tc>
        <w:tc>
          <w:tcPr>
            <w:tcW w:w="469" w:type="dxa"/>
            <w:gridSpan w:val="2"/>
            <w:tcBorders>
              <w:top w:val="single" w:sz="6" w:space="0" w:color="auto"/>
              <w:bottom w:val="single" w:sz="6" w:space="0" w:color="auto"/>
              <w:right w:val="single" w:sz="6" w:space="0" w:color="auto"/>
            </w:tcBorders>
          </w:tcPr>
          <w:p w:rsidR="00872DA2" w:rsidRPr="00313008" w:rsidRDefault="00872DA2" w:rsidP="00872DA2">
            <w:pPr>
              <w:pStyle w:val="Subtitle"/>
              <w:rPr>
                <w:b/>
                <w:bCs/>
                <w:sz w:val="18"/>
                <w:szCs w:val="18"/>
                <w:u w:val="none"/>
              </w:rPr>
            </w:pPr>
          </w:p>
          <w:p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rsidTr="00E63817">
        <w:tc>
          <w:tcPr>
            <w:tcW w:w="2376" w:type="dxa"/>
            <w:tcBorders>
              <w:top w:val="single" w:sz="6" w:space="0" w:color="auto"/>
              <w:left w:val="thinThickLargeGap" w:sz="24" w:space="0" w:color="auto"/>
              <w:bottom w:val="single" w:sz="4" w:space="0" w:color="auto"/>
            </w:tcBorders>
          </w:tcPr>
          <w:p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469" w:type="dxa"/>
            <w:gridSpan w:val="2"/>
            <w:tcBorders>
              <w:top w:val="single" w:sz="6" w:space="0" w:color="auto"/>
              <w:bottom w:val="single" w:sz="4" w:space="0" w:color="auto"/>
              <w:right w:val="single" w:sz="6" w:space="0" w:color="auto"/>
            </w:tcBorders>
          </w:tcPr>
          <w:p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rsidTr="00FA44F4">
        <w:trPr>
          <w:cantSplit/>
          <w:trHeight w:val="282"/>
        </w:trPr>
        <w:tc>
          <w:tcPr>
            <w:tcW w:w="10225" w:type="dxa"/>
            <w:gridSpan w:val="13"/>
            <w:tcBorders>
              <w:left w:val="thinThickLargeGap" w:sz="24" w:space="0" w:color="auto"/>
              <w:right w:val="single" w:sz="4" w:space="0" w:color="auto"/>
            </w:tcBorders>
          </w:tcPr>
          <w:p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872DA2" w:rsidRPr="00313008" w:rsidRDefault="00872DA2" w:rsidP="00872DA2">
            <w:pPr>
              <w:pStyle w:val="Subtitle"/>
              <w:jc w:val="left"/>
              <w:rPr>
                <w:b/>
                <w:bCs/>
                <w:sz w:val="24"/>
                <w:szCs w:val="24"/>
                <w:u w:val="none"/>
              </w:rPr>
            </w:pPr>
          </w:p>
        </w:tc>
      </w:tr>
      <w:tr w:rsidR="00872DA2" w:rsidRPr="00313008" w:rsidTr="00FA44F4">
        <w:trPr>
          <w:cantSplit/>
          <w:trHeight w:val="4341"/>
        </w:trPr>
        <w:tc>
          <w:tcPr>
            <w:tcW w:w="10945" w:type="dxa"/>
            <w:gridSpan w:val="14"/>
            <w:tcBorders>
              <w:left w:val="thinThickLargeGap" w:sz="24" w:space="0" w:color="auto"/>
              <w:right w:val="thinThickLargeGap" w:sz="24" w:space="0" w:color="auto"/>
            </w:tcBorders>
          </w:tcPr>
          <w:p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Default="00872DA2" w:rsidP="00872DA2">
            <w:pPr>
              <w:pStyle w:val="Subtitle"/>
              <w:ind w:left="937" w:right="1152"/>
              <w:jc w:val="both"/>
              <w:rPr>
                <w:b/>
                <w:bCs/>
                <w:sz w:val="24"/>
                <w:szCs w:val="24"/>
                <w:u w:val="none"/>
              </w:rPr>
            </w:pPr>
          </w:p>
          <w:p w:rsidR="00872DA2" w:rsidRPr="00313008" w:rsidRDefault="00872DA2" w:rsidP="00872DA2">
            <w:pPr>
              <w:pStyle w:val="Subtitle"/>
              <w:ind w:left="937" w:right="1152"/>
              <w:jc w:val="both"/>
              <w:rPr>
                <w:b/>
                <w:bCs/>
                <w:sz w:val="24"/>
                <w:szCs w:val="24"/>
                <w:u w:val="none"/>
              </w:rPr>
            </w:pPr>
          </w:p>
        </w:tc>
      </w:tr>
      <w:tr w:rsidR="00872DA2" w:rsidRPr="00313008" w:rsidTr="00FA44F4">
        <w:trPr>
          <w:cantSplit/>
          <w:trHeight w:val="365"/>
        </w:trPr>
        <w:tc>
          <w:tcPr>
            <w:tcW w:w="2661" w:type="dxa"/>
            <w:gridSpan w:val="2"/>
            <w:tcBorders>
              <w:left w:val="thinThickLargeGap" w:sz="24" w:space="0" w:color="auto"/>
              <w:bottom w:val="thickThin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rsidR="00872DA2" w:rsidRPr="00313008" w:rsidRDefault="00872DA2" w:rsidP="00872DA2">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872DA2" w:rsidRPr="00313008" w:rsidRDefault="00872DA2" w:rsidP="00872DA2">
            <w:pPr>
              <w:pStyle w:val="Subtitle"/>
              <w:jc w:val="left"/>
              <w:rPr>
                <w:b/>
                <w:bCs/>
                <w:sz w:val="18"/>
                <w:szCs w:val="18"/>
                <w:u w:val="none"/>
              </w:rPr>
            </w:pPr>
            <w:r>
              <w:rPr>
                <w:b/>
                <w:bCs/>
                <w:sz w:val="18"/>
                <w:szCs w:val="18"/>
                <w:u w:val="none"/>
              </w:rPr>
              <w:t>Return date:</w:t>
            </w:r>
          </w:p>
          <w:p w:rsidR="00872DA2" w:rsidRPr="00313008" w:rsidRDefault="00872DA2" w:rsidP="00872DA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3839CE" w:rsidRPr="001D670B" w:rsidRDefault="00D6095A" w:rsidP="009A1F22">
      <w:pPr>
        <w:pStyle w:val="Title"/>
        <w:ind w:left="-284"/>
        <w:rPr>
          <w:rFonts w:eastAsiaTheme="minorHAnsi"/>
          <w:sz w:val="52"/>
          <w:szCs w:val="22"/>
        </w:rPr>
      </w:pPr>
      <w:r>
        <w:rPr>
          <w:sz w:val="24"/>
          <w:szCs w:val="24"/>
        </w:rPr>
        <w:br w:type="page"/>
      </w:r>
    </w:p>
    <w:p w:rsidR="003F10FA" w:rsidRPr="009A1F22" w:rsidRDefault="003F10FA" w:rsidP="007B5986">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lastRenderedPageBreak/>
        <w:t>In this piece of work I will look at the underpinning philosophies of the foundation phase</w:t>
      </w:r>
      <w:r w:rsidR="00E24CCB" w:rsidRPr="009A1F22">
        <w:rPr>
          <w:rFonts w:ascii="Times New Roman" w:eastAsia="Times New Roman" w:hAnsi="Times New Roman" w:cs="Times New Roman"/>
          <w:sz w:val="24"/>
          <w:szCs w:val="24"/>
        </w:rPr>
        <w:t xml:space="preserve"> and see how learning theories and approaches to the pedagogy of the foundation phase feed into this. I believe the role of the outdoors is vital in the development of children’s physical literacy, and I look into this further drawing on the ideas of key rese</w:t>
      </w:r>
      <w:r w:rsidR="00E669A3" w:rsidRPr="009A1F22">
        <w:rPr>
          <w:rFonts w:ascii="Times New Roman" w:eastAsia="Times New Roman" w:hAnsi="Times New Roman" w:cs="Times New Roman"/>
          <w:sz w:val="24"/>
          <w:szCs w:val="24"/>
        </w:rPr>
        <w:t xml:space="preserve">archers, </w:t>
      </w:r>
      <w:r w:rsidR="00E24CCB" w:rsidRPr="009A1F22">
        <w:rPr>
          <w:rFonts w:ascii="Times New Roman" w:eastAsia="Times New Roman" w:hAnsi="Times New Roman" w:cs="Times New Roman"/>
          <w:sz w:val="24"/>
          <w:szCs w:val="24"/>
        </w:rPr>
        <w:t>linking this to progress in child</w:t>
      </w:r>
      <w:r w:rsidR="00E669A3" w:rsidRPr="009A1F22">
        <w:rPr>
          <w:rFonts w:ascii="Times New Roman" w:eastAsia="Times New Roman" w:hAnsi="Times New Roman" w:cs="Times New Roman"/>
          <w:sz w:val="24"/>
          <w:szCs w:val="24"/>
        </w:rPr>
        <w:t>ren’s</w:t>
      </w:r>
      <w:r w:rsidR="00E24CCB" w:rsidRPr="009A1F22">
        <w:rPr>
          <w:rFonts w:ascii="Times New Roman" w:eastAsia="Times New Roman" w:hAnsi="Times New Roman" w:cs="Times New Roman"/>
          <w:sz w:val="24"/>
          <w:szCs w:val="24"/>
        </w:rPr>
        <w:t xml:space="preserve"> development.</w:t>
      </w:r>
      <w:r w:rsidR="00E669A3" w:rsidRPr="009A1F22">
        <w:rPr>
          <w:rFonts w:ascii="Times New Roman" w:eastAsia="Times New Roman" w:hAnsi="Times New Roman" w:cs="Times New Roman"/>
          <w:sz w:val="24"/>
          <w:szCs w:val="24"/>
        </w:rPr>
        <w:t xml:space="preserve"> Amongst other things, I also address the importance of movement to early child development in terms of motor skills and academic progress.</w:t>
      </w:r>
    </w:p>
    <w:p w:rsidR="003F10FA" w:rsidRPr="009A1F22" w:rsidRDefault="003F10FA" w:rsidP="007B5986">
      <w:pPr>
        <w:rPr>
          <w:rFonts w:ascii="Times New Roman" w:eastAsia="Times New Roman" w:hAnsi="Times New Roman" w:cs="Times New Roman"/>
          <w:sz w:val="24"/>
          <w:szCs w:val="24"/>
        </w:rPr>
      </w:pPr>
    </w:p>
    <w:p w:rsidR="003839CE" w:rsidRPr="009A1F22" w:rsidRDefault="003839CE" w:rsidP="007B5986">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The foundation phase is vital in a child’s learning and development both academically and with reference to the physical development of gross and, to an extent, fine motor skills. </w:t>
      </w:r>
      <w:r w:rsidR="00A623C2" w:rsidRPr="009A1F22">
        <w:rPr>
          <w:rFonts w:ascii="Times New Roman" w:eastAsia="Times New Roman" w:hAnsi="Times New Roman" w:cs="Times New Roman"/>
          <w:sz w:val="24"/>
          <w:szCs w:val="24"/>
        </w:rPr>
        <w:t>The DCELLS (2008) stated that “Well-being underpins the Foundation Phase, the learning being through ‘first hand experiential activities’”, and I agree strongly with this, whilst adding that play is a critical element to make the foundation phase successful.</w:t>
      </w:r>
      <w:r w:rsidR="004A70C6" w:rsidRPr="009A1F22">
        <w:rPr>
          <w:rFonts w:ascii="Times New Roman" w:eastAsia="Times New Roman" w:hAnsi="Times New Roman" w:cs="Times New Roman"/>
          <w:sz w:val="24"/>
          <w:szCs w:val="24"/>
        </w:rPr>
        <w:t xml:space="preserve"> </w:t>
      </w:r>
      <w:r w:rsidR="005B6AB6" w:rsidRPr="009A1F22">
        <w:rPr>
          <w:rFonts w:ascii="Times New Roman" w:eastAsia="Times New Roman" w:hAnsi="Times New Roman" w:cs="Times New Roman"/>
          <w:sz w:val="24"/>
          <w:szCs w:val="24"/>
        </w:rPr>
        <w:t xml:space="preserve">Taking ideas from </w:t>
      </w:r>
      <w:proofErr w:type="spellStart"/>
      <w:r w:rsidR="005B6AB6" w:rsidRPr="009A1F22">
        <w:rPr>
          <w:rFonts w:ascii="Times New Roman" w:eastAsia="Times New Roman" w:hAnsi="Times New Roman" w:cs="Times New Roman"/>
          <w:sz w:val="24"/>
          <w:szCs w:val="24"/>
        </w:rPr>
        <w:t>Feezell</w:t>
      </w:r>
      <w:proofErr w:type="spellEnd"/>
      <w:r w:rsidR="005B6AB6" w:rsidRPr="009A1F22">
        <w:rPr>
          <w:rFonts w:ascii="Times New Roman" w:eastAsia="Times New Roman" w:hAnsi="Times New Roman" w:cs="Times New Roman"/>
          <w:sz w:val="24"/>
          <w:szCs w:val="24"/>
        </w:rPr>
        <w:t xml:space="preserve"> (2013, pg. 17) and Bro</w:t>
      </w:r>
      <w:r w:rsidR="001B605F" w:rsidRPr="009A1F22">
        <w:rPr>
          <w:rFonts w:ascii="Times New Roman" w:eastAsia="Times New Roman" w:hAnsi="Times New Roman" w:cs="Times New Roman"/>
          <w:sz w:val="24"/>
          <w:szCs w:val="24"/>
        </w:rPr>
        <w:t>ck</w:t>
      </w:r>
      <w:r w:rsidR="005B6AB6" w:rsidRPr="009A1F22">
        <w:rPr>
          <w:rFonts w:ascii="Times New Roman" w:eastAsia="Times New Roman" w:hAnsi="Times New Roman" w:cs="Times New Roman"/>
          <w:sz w:val="24"/>
          <w:szCs w:val="24"/>
        </w:rPr>
        <w:t xml:space="preserve"> (2009, pg. 60) play should be considered as a state of mind</w:t>
      </w:r>
      <w:r w:rsidR="0000265D" w:rsidRPr="009A1F22">
        <w:rPr>
          <w:rFonts w:ascii="Times New Roman" w:eastAsia="Times New Roman" w:hAnsi="Times New Roman" w:cs="Times New Roman"/>
          <w:sz w:val="24"/>
          <w:szCs w:val="24"/>
        </w:rPr>
        <w:t xml:space="preserve"> as opposed to a set of activities, where children take part for their own sake with little to no exterior pressures. </w:t>
      </w:r>
      <w:r w:rsidR="00017018" w:rsidRPr="009A1F22">
        <w:rPr>
          <w:rFonts w:ascii="Times New Roman" w:eastAsia="Times New Roman" w:hAnsi="Times New Roman" w:cs="Times New Roman"/>
          <w:sz w:val="24"/>
          <w:szCs w:val="24"/>
        </w:rPr>
        <w:t xml:space="preserve">That said however, there are some schools providing play in the foundation phase through semi-structured sessions due to a lack of resources or knowledge. This half way point, although not perfect, is better than not incorporating it at all into the structure of </w:t>
      </w:r>
      <w:r w:rsidR="00EB29E2" w:rsidRPr="009A1F22">
        <w:rPr>
          <w:rFonts w:ascii="Times New Roman" w:eastAsia="Times New Roman" w:hAnsi="Times New Roman" w:cs="Times New Roman"/>
          <w:sz w:val="24"/>
          <w:szCs w:val="24"/>
        </w:rPr>
        <w:t>classes</w:t>
      </w:r>
      <w:r w:rsidR="00017018" w:rsidRPr="009A1F22">
        <w:rPr>
          <w:rFonts w:ascii="Times New Roman" w:eastAsia="Times New Roman" w:hAnsi="Times New Roman" w:cs="Times New Roman"/>
          <w:sz w:val="24"/>
          <w:szCs w:val="24"/>
        </w:rPr>
        <w:t xml:space="preserve"> and this</w:t>
      </w:r>
      <w:r w:rsidR="00EB29E2" w:rsidRPr="009A1F22">
        <w:rPr>
          <w:rFonts w:ascii="Times New Roman" w:eastAsia="Times New Roman" w:hAnsi="Times New Roman" w:cs="Times New Roman"/>
          <w:sz w:val="24"/>
          <w:szCs w:val="24"/>
        </w:rPr>
        <w:t xml:space="preserve"> will enable the widespread use throughout Wales. </w:t>
      </w:r>
      <w:r w:rsidR="00E22B74" w:rsidRPr="009A1F22">
        <w:rPr>
          <w:rFonts w:ascii="Times New Roman" w:eastAsia="Times New Roman" w:hAnsi="Times New Roman" w:cs="Times New Roman"/>
          <w:sz w:val="24"/>
          <w:szCs w:val="24"/>
        </w:rPr>
        <w:t>The id</w:t>
      </w:r>
      <w:r w:rsidR="003F1FE2" w:rsidRPr="009A1F22">
        <w:rPr>
          <w:rFonts w:ascii="Times New Roman" w:eastAsia="Times New Roman" w:hAnsi="Times New Roman" w:cs="Times New Roman"/>
          <w:sz w:val="24"/>
          <w:szCs w:val="24"/>
        </w:rPr>
        <w:t>ea that play is not being defined by something as simple as yes or no</w:t>
      </w:r>
      <w:r w:rsidR="00E22B74" w:rsidRPr="009A1F22">
        <w:rPr>
          <w:rFonts w:ascii="Times New Roman" w:eastAsia="Times New Roman" w:hAnsi="Times New Roman" w:cs="Times New Roman"/>
          <w:sz w:val="24"/>
          <w:szCs w:val="24"/>
        </w:rPr>
        <w:t xml:space="preserve"> is supported by Pellegrini who suggested that play ca</w:t>
      </w:r>
      <w:r w:rsidR="003F1FE2" w:rsidRPr="009A1F22">
        <w:rPr>
          <w:rFonts w:ascii="Times New Roman" w:eastAsia="Times New Roman" w:hAnsi="Times New Roman" w:cs="Times New Roman"/>
          <w:sz w:val="24"/>
          <w:szCs w:val="24"/>
        </w:rPr>
        <w:t xml:space="preserve">n be categorised along a continuum ranging from </w:t>
      </w:r>
      <w:r w:rsidR="00F33DF6" w:rsidRPr="009A1F22">
        <w:rPr>
          <w:rFonts w:ascii="Times New Roman" w:eastAsia="Times New Roman" w:hAnsi="Times New Roman" w:cs="Times New Roman"/>
          <w:sz w:val="24"/>
          <w:szCs w:val="24"/>
        </w:rPr>
        <w:t>‘</w:t>
      </w:r>
      <w:r w:rsidR="003F1FE2" w:rsidRPr="009A1F22">
        <w:rPr>
          <w:rFonts w:ascii="Times New Roman" w:eastAsia="Times New Roman" w:hAnsi="Times New Roman" w:cs="Times New Roman"/>
          <w:sz w:val="24"/>
          <w:szCs w:val="24"/>
        </w:rPr>
        <w:t>non-play</w:t>
      </w:r>
      <w:r w:rsidR="00F33DF6" w:rsidRPr="009A1F22">
        <w:rPr>
          <w:rFonts w:ascii="Times New Roman" w:eastAsia="Times New Roman" w:hAnsi="Times New Roman" w:cs="Times New Roman"/>
          <w:sz w:val="24"/>
          <w:szCs w:val="24"/>
        </w:rPr>
        <w:t>’ to</w:t>
      </w:r>
      <w:r w:rsidR="003F1FE2" w:rsidRPr="009A1F22">
        <w:rPr>
          <w:rFonts w:ascii="Times New Roman" w:eastAsia="Times New Roman" w:hAnsi="Times New Roman" w:cs="Times New Roman"/>
          <w:sz w:val="24"/>
          <w:szCs w:val="24"/>
        </w:rPr>
        <w:t xml:space="preserve"> ‘pure-play’</w:t>
      </w:r>
      <w:r w:rsidR="00F33DF6" w:rsidRPr="009A1F22">
        <w:rPr>
          <w:rFonts w:ascii="Times New Roman" w:eastAsia="Times New Roman" w:hAnsi="Times New Roman" w:cs="Times New Roman"/>
          <w:sz w:val="24"/>
          <w:szCs w:val="24"/>
        </w:rPr>
        <w:t>. With this a midway point emerges, referred to as</w:t>
      </w:r>
      <w:r w:rsidR="003F1FE2" w:rsidRPr="009A1F22">
        <w:rPr>
          <w:rFonts w:ascii="Times New Roman" w:eastAsia="Times New Roman" w:hAnsi="Times New Roman" w:cs="Times New Roman"/>
          <w:sz w:val="24"/>
          <w:szCs w:val="24"/>
        </w:rPr>
        <w:t xml:space="preserve"> ‘more-or-less play’</w:t>
      </w:r>
      <w:r w:rsidR="00F33DF6" w:rsidRPr="009A1F22">
        <w:rPr>
          <w:rFonts w:ascii="Times New Roman" w:eastAsia="Times New Roman" w:hAnsi="Times New Roman" w:cs="Times New Roman"/>
          <w:sz w:val="24"/>
          <w:szCs w:val="24"/>
        </w:rPr>
        <w:t>,</w:t>
      </w:r>
      <w:r w:rsidR="003F1FE2" w:rsidRPr="009A1F22">
        <w:rPr>
          <w:rFonts w:ascii="Times New Roman" w:eastAsia="Times New Roman" w:hAnsi="Times New Roman" w:cs="Times New Roman"/>
          <w:sz w:val="24"/>
          <w:szCs w:val="24"/>
        </w:rPr>
        <w:t xml:space="preserve"> showing a half way between the two extremes.</w:t>
      </w:r>
    </w:p>
    <w:p w:rsidR="00504D51" w:rsidRPr="009A1F22" w:rsidRDefault="00504D51" w:rsidP="007B5986">
      <w:pPr>
        <w:rPr>
          <w:rFonts w:ascii="Times New Roman" w:eastAsia="Times New Roman" w:hAnsi="Times New Roman" w:cs="Times New Roman"/>
          <w:sz w:val="24"/>
          <w:szCs w:val="24"/>
        </w:rPr>
      </w:pPr>
    </w:p>
    <w:p w:rsidR="00504D51" w:rsidRPr="009A1F22" w:rsidRDefault="00504D51" w:rsidP="00B05773">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When looking at approaches to the pedagogy of the foundation phase one of the most recurrent themes is </w:t>
      </w:r>
      <w:r w:rsidR="00B05773" w:rsidRPr="009A1F22">
        <w:rPr>
          <w:rFonts w:ascii="Times New Roman" w:eastAsia="Times New Roman" w:hAnsi="Times New Roman" w:cs="Times New Roman"/>
          <w:sz w:val="24"/>
          <w:szCs w:val="24"/>
        </w:rPr>
        <w:t xml:space="preserve">the approach to the environment. The ‘Building the Foundation Phase Action Plan’ (WAG, 2006) states that the learning environment both indoors and outdoors should be safe, secure, attractive and a constant source of stimulation for children’s learning. </w:t>
      </w:r>
      <w:r w:rsidR="00927A72" w:rsidRPr="009A1F22">
        <w:rPr>
          <w:rFonts w:ascii="Times New Roman" w:eastAsia="Times New Roman" w:hAnsi="Times New Roman" w:cs="Times New Roman"/>
          <w:sz w:val="24"/>
          <w:szCs w:val="24"/>
        </w:rPr>
        <w:t xml:space="preserve">This is supported by the approach suggested by Froebel. He took a holistic approach to the environment, and proposed that the foundation phase was a garden and the teachers act as a gardener, nurturing children’s growth. The environment is at the heart of that idea, and so creating a nurturing and guiding environment for the children is at the focus. Another approach focuses on children being able to distinguish between play and work. </w:t>
      </w:r>
      <w:r w:rsidR="00C44507" w:rsidRPr="009A1F22">
        <w:rPr>
          <w:rFonts w:ascii="Times New Roman" w:eastAsia="Times New Roman" w:hAnsi="Times New Roman" w:cs="Times New Roman"/>
          <w:sz w:val="24"/>
          <w:szCs w:val="24"/>
        </w:rPr>
        <w:t xml:space="preserve">Howard and </w:t>
      </w:r>
      <w:proofErr w:type="spellStart"/>
      <w:r w:rsidR="00C44507" w:rsidRPr="009A1F22">
        <w:rPr>
          <w:rFonts w:ascii="Times New Roman" w:eastAsia="Times New Roman" w:hAnsi="Times New Roman" w:cs="Times New Roman"/>
          <w:sz w:val="24"/>
          <w:szCs w:val="24"/>
        </w:rPr>
        <w:t>McInnes’s</w:t>
      </w:r>
      <w:proofErr w:type="spellEnd"/>
      <w:r w:rsidR="00C44507" w:rsidRPr="009A1F22">
        <w:rPr>
          <w:rFonts w:ascii="Times New Roman" w:eastAsia="Times New Roman" w:hAnsi="Times New Roman" w:cs="Times New Roman"/>
          <w:sz w:val="24"/>
          <w:szCs w:val="24"/>
        </w:rPr>
        <w:t xml:space="preserve"> (2010, pg.35) looked into the difference between emotional and environment cues in </w:t>
      </w:r>
      <w:r w:rsidR="009B68EB" w:rsidRPr="009A1F22">
        <w:rPr>
          <w:rFonts w:ascii="Times New Roman" w:eastAsia="Times New Roman" w:hAnsi="Times New Roman" w:cs="Times New Roman"/>
          <w:sz w:val="24"/>
          <w:szCs w:val="24"/>
        </w:rPr>
        <w:t xml:space="preserve">‘play’ and ‘work’ environments, with opposing results. Cues that suggest play is being used resulted in positive, encouraging emotional responses from the children, with work being associated with negativity. </w:t>
      </w:r>
    </w:p>
    <w:p w:rsidR="00F204CB" w:rsidRPr="009A1F22" w:rsidRDefault="00F204CB" w:rsidP="00B05773">
      <w:pPr>
        <w:rPr>
          <w:rFonts w:ascii="Times New Roman" w:eastAsia="Times New Roman" w:hAnsi="Times New Roman" w:cs="Times New Roman"/>
          <w:sz w:val="24"/>
          <w:szCs w:val="24"/>
        </w:rPr>
      </w:pPr>
    </w:p>
    <w:p w:rsidR="00F204CB" w:rsidRPr="009A1F22" w:rsidRDefault="00F204CB" w:rsidP="00B05773">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The Foundation Phase framework can be broken down into seven key phases,</w:t>
      </w:r>
      <w:r w:rsidR="00261AF4" w:rsidRPr="009A1F22">
        <w:rPr>
          <w:rFonts w:ascii="Times New Roman" w:eastAsia="Times New Roman" w:hAnsi="Times New Roman" w:cs="Times New Roman"/>
          <w:sz w:val="24"/>
          <w:szCs w:val="24"/>
        </w:rPr>
        <w:t xml:space="preserve"> and expl</w:t>
      </w:r>
      <w:r w:rsidR="00D03227" w:rsidRPr="009A1F22">
        <w:rPr>
          <w:rFonts w:ascii="Times New Roman" w:eastAsia="Times New Roman" w:hAnsi="Times New Roman" w:cs="Times New Roman"/>
          <w:sz w:val="24"/>
          <w:szCs w:val="24"/>
        </w:rPr>
        <w:t>ained using a holistic approach, meaning</w:t>
      </w:r>
      <w:r w:rsidR="00261AF4" w:rsidRPr="009A1F22">
        <w:rPr>
          <w:rFonts w:ascii="Times New Roman" w:eastAsia="Times New Roman" w:hAnsi="Times New Roman" w:cs="Times New Roman"/>
          <w:sz w:val="24"/>
          <w:szCs w:val="24"/>
        </w:rPr>
        <w:t xml:space="preserve"> they look at all seven components as a whole </w:t>
      </w:r>
      <w:r w:rsidR="00FA46F0" w:rsidRPr="009A1F22">
        <w:rPr>
          <w:rFonts w:ascii="Times New Roman" w:eastAsia="Times New Roman" w:hAnsi="Times New Roman" w:cs="Times New Roman"/>
          <w:sz w:val="24"/>
          <w:szCs w:val="24"/>
        </w:rPr>
        <w:t>rat</w:t>
      </w:r>
      <w:r w:rsidR="00D03227" w:rsidRPr="009A1F22">
        <w:rPr>
          <w:rFonts w:ascii="Times New Roman" w:eastAsia="Times New Roman" w:hAnsi="Times New Roman" w:cs="Times New Roman"/>
          <w:sz w:val="24"/>
          <w:szCs w:val="24"/>
        </w:rPr>
        <w:t xml:space="preserve">her than on an individual basis (DCELLS, 2008). These three areas are categorised into three different aspects; continuous environment, enhanced provision, and focused tasks. The continuous environment is always there; it’s constant and is the physical environment the children learn in, weather this be outdoors or in a classroom. The enhanced provision refers to a semi-structured interpretation of the foundation phase, where the children are given a choice </w:t>
      </w:r>
      <w:r w:rsidR="00D03227" w:rsidRPr="009A1F22">
        <w:rPr>
          <w:rFonts w:ascii="Times New Roman" w:eastAsia="Times New Roman" w:hAnsi="Times New Roman" w:cs="Times New Roman"/>
          <w:sz w:val="24"/>
          <w:szCs w:val="24"/>
        </w:rPr>
        <w:lastRenderedPageBreak/>
        <w:t xml:space="preserve">between set activities and session. The last of the three aspects is the focused task. This comes in the form of planned and structured sessions that are entirely focused on the task at hand. Elements of all three of these aspects, when used together, can be viewed as the most </w:t>
      </w:r>
      <w:r w:rsidR="00F67C29" w:rsidRPr="009A1F22">
        <w:rPr>
          <w:rFonts w:ascii="Times New Roman" w:eastAsia="Times New Roman" w:hAnsi="Times New Roman" w:cs="Times New Roman"/>
          <w:sz w:val="24"/>
          <w:szCs w:val="24"/>
        </w:rPr>
        <w:t>effective</w:t>
      </w:r>
      <w:r w:rsidR="00D03227" w:rsidRPr="009A1F22">
        <w:rPr>
          <w:rFonts w:ascii="Times New Roman" w:eastAsia="Times New Roman" w:hAnsi="Times New Roman" w:cs="Times New Roman"/>
          <w:sz w:val="24"/>
          <w:szCs w:val="24"/>
        </w:rPr>
        <w:t xml:space="preserve"> approach to the foundation phase.</w:t>
      </w:r>
    </w:p>
    <w:p w:rsidR="00F67C29" w:rsidRPr="009A1F22" w:rsidRDefault="00F67C29" w:rsidP="00B05773">
      <w:pPr>
        <w:rPr>
          <w:rFonts w:ascii="Times New Roman" w:eastAsia="Times New Roman" w:hAnsi="Times New Roman" w:cs="Times New Roman"/>
          <w:sz w:val="24"/>
          <w:szCs w:val="24"/>
        </w:rPr>
      </w:pPr>
    </w:p>
    <w:p w:rsidR="00E22B74" w:rsidRPr="009A1F22" w:rsidRDefault="00E22B74" w:rsidP="00B05773">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Moving on from this, another key component of the success of the foundation phase is physical literacy.</w:t>
      </w:r>
      <w:r w:rsidR="00F33DF6" w:rsidRPr="009A1F22">
        <w:rPr>
          <w:rFonts w:ascii="Times New Roman" w:eastAsia="Times New Roman" w:hAnsi="Times New Roman" w:cs="Times New Roman"/>
          <w:sz w:val="24"/>
          <w:szCs w:val="24"/>
        </w:rPr>
        <w:t xml:space="preserve"> </w:t>
      </w:r>
      <w:proofErr w:type="spellStart"/>
      <w:r w:rsidR="002E513C" w:rsidRPr="009A1F22">
        <w:rPr>
          <w:rFonts w:ascii="Times New Roman" w:eastAsia="Times New Roman" w:hAnsi="Times New Roman" w:cs="Times New Roman"/>
          <w:sz w:val="24"/>
          <w:szCs w:val="24"/>
        </w:rPr>
        <w:t>Mandigo</w:t>
      </w:r>
      <w:proofErr w:type="spellEnd"/>
      <w:r w:rsidR="002E513C" w:rsidRPr="009A1F22">
        <w:rPr>
          <w:rFonts w:ascii="Times New Roman" w:eastAsia="Times New Roman" w:hAnsi="Times New Roman" w:cs="Times New Roman"/>
          <w:sz w:val="24"/>
          <w:szCs w:val="24"/>
        </w:rPr>
        <w:t xml:space="preserve"> et al. (2012) define physical literacy as the ability to move with competence and confidence in a wide variety of physical activities in multiple environments. This relates to the acquisition of both gross and fine motor skills. The IPLA (2017)</w:t>
      </w:r>
      <w:r w:rsidR="00B31205" w:rsidRPr="009A1F22">
        <w:rPr>
          <w:rFonts w:ascii="Times New Roman" w:eastAsia="Times New Roman" w:hAnsi="Times New Roman" w:cs="Times New Roman"/>
          <w:sz w:val="24"/>
          <w:szCs w:val="24"/>
        </w:rPr>
        <w:t xml:space="preserve"> (International Phys</w:t>
      </w:r>
      <w:r w:rsidR="002E513C" w:rsidRPr="009A1F22">
        <w:rPr>
          <w:rFonts w:ascii="Times New Roman" w:eastAsia="Times New Roman" w:hAnsi="Times New Roman" w:cs="Times New Roman"/>
          <w:sz w:val="24"/>
          <w:szCs w:val="24"/>
        </w:rPr>
        <w:t>i</w:t>
      </w:r>
      <w:r w:rsidR="00B31205" w:rsidRPr="009A1F22">
        <w:rPr>
          <w:rFonts w:ascii="Times New Roman" w:eastAsia="Times New Roman" w:hAnsi="Times New Roman" w:cs="Times New Roman"/>
          <w:sz w:val="24"/>
          <w:szCs w:val="24"/>
        </w:rPr>
        <w:t>c</w:t>
      </w:r>
      <w:r w:rsidR="002E513C" w:rsidRPr="009A1F22">
        <w:rPr>
          <w:rFonts w:ascii="Times New Roman" w:eastAsia="Times New Roman" w:hAnsi="Times New Roman" w:cs="Times New Roman"/>
          <w:sz w:val="24"/>
          <w:szCs w:val="24"/>
        </w:rPr>
        <w:t>al Literacy Association) add on to this by suggesting that physical literacy allows a child to gain the ‘knowledge and understanding to value and take responsibility for engagement in physical activities for life’</w:t>
      </w:r>
      <w:r w:rsidR="00B07D54" w:rsidRPr="009A1F22">
        <w:rPr>
          <w:rFonts w:ascii="Times New Roman" w:eastAsia="Times New Roman" w:hAnsi="Times New Roman" w:cs="Times New Roman"/>
          <w:sz w:val="24"/>
          <w:szCs w:val="24"/>
        </w:rPr>
        <w:t xml:space="preserve">. </w:t>
      </w:r>
      <w:r w:rsidR="003453C4" w:rsidRPr="009A1F22">
        <w:rPr>
          <w:rFonts w:ascii="Times New Roman" w:eastAsia="Times New Roman" w:hAnsi="Times New Roman" w:cs="Times New Roman"/>
          <w:sz w:val="24"/>
          <w:szCs w:val="24"/>
        </w:rPr>
        <w:t>The ideas support the foundation phase outcomes, as set out in the Curriculum for Wales (Welsh Government, revised 2015) within personal and social development.</w:t>
      </w:r>
    </w:p>
    <w:p w:rsidR="00921EC2" w:rsidRPr="009A1F22" w:rsidRDefault="00921EC2" w:rsidP="00B05773">
      <w:pPr>
        <w:rPr>
          <w:rFonts w:ascii="Times New Roman" w:eastAsia="Times New Roman" w:hAnsi="Times New Roman" w:cs="Times New Roman"/>
          <w:sz w:val="24"/>
          <w:szCs w:val="24"/>
        </w:rPr>
      </w:pPr>
    </w:p>
    <w:p w:rsidR="00921EC2" w:rsidRPr="009A1F22" w:rsidRDefault="007009D9" w:rsidP="007009D9">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Wainwright </w:t>
      </w:r>
      <w:r w:rsidRPr="009A1F22">
        <w:rPr>
          <w:rFonts w:ascii="Times New Roman" w:eastAsia="Times New Roman" w:hAnsi="Times New Roman" w:cs="Times New Roman"/>
          <w:i/>
          <w:sz w:val="24"/>
          <w:szCs w:val="24"/>
        </w:rPr>
        <w:t>et al.</w:t>
      </w:r>
      <w:r w:rsidRPr="009A1F22">
        <w:rPr>
          <w:rFonts w:ascii="Times New Roman" w:eastAsia="Times New Roman" w:hAnsi="Times New Roman" w:cs="Times New Roman"/>
          <w:sz w:val="24"/>
          <w:szCs w:val="24"/>
        </w:rPr>
        <w:t xml:space="preserve"> (2016) wrote about a study in which schools were assessed on their use of the outdoors in relation to the children’s capabilities. The schools where play-based, outdoor learning was clearly evident showed that pupils were highly active in their learning, both physically and in terms of their engagement with learning tasks</w:t>
      </w:r>
      <w:r w:rsidR="00A82338" w:rsidRPr="009A1F22">
        <w:rPr>
          <w:rFonts w:ascii="Times New Roman" w:eastAsia="Times New Roman" w:hAnsi="Times New Roman" w:cs="Times New Roman"/>
          <w:sz w:val="24"/>
          <w:szCs w:val="24"/>
        </w:rPr>
        <w:t xml:space="preserve">. This demonstrates the huge role outdoor learning plays in the development of a child’s physical literacy, which has been shown to be </w:t>
      </w:r>
      <w:proofErr w:type="gramStart"/>
      <w:r w:rsidR="00A82338" w:rsidRPr="009A1F22">
        <w:rPr>
          <w:rFonts w:ascii="Times New Roman" w:eastAsia="Times New Roman" w:hAnsi="Times New Roman" w:cs="Times New Roman"/>
          <w:sz w:val="24"/>
          <w:szCs w:val="24"/>
        </w:rPr>
        <w:t>key</w:t>
      </w:r>
      <w:proofErr w:type="gramEnd"/>
      <w:r w:rsidR="00A82338" w:rsidRPr="009A1F22">
        <w:rPr>
          <w:rFonts w:ascii="Times New Roman" w:eastAsia="Times New Roman" w:hAnsi="Times New Roman" w:cs="Times New Roman"/>
          <w:sz w:val="24"/>
          <w:szCs w:val="24"/>
        </w:rPr>
        <w:t xml:space="preserve"> in enabling the Foundation Phase to work.</w:t>
      </w:r>
    </w:p>
    <w:p w:rsidR="00546B99" w:rsidRPr="009A1F22" w:rsidRDefault="00546B99" w:rsidP="007009D9">
      <w:pPr>
        <w:rPr>
          <w:rFonts w:ascii="Times New Roman" w:eastAsia="Times New Roman" w:hAnsi="Times New Roman" w:cs="Times New Roman"/>
          <w:sz w:val="24"/>
          <w:szCs w:val="24"/>
        </w:rPr>
      </w:pPr>
    </w:p>
    <w:p w:rsidR="00546B99" w:rsidRPr="009A1F22" w:rsidRDefault="00546B99" w:rsidP="00546B99">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This outdoor approach where the concept is underpinned by a philosophy of holistic child-led learning is supported by the emergence of Forest Schools. Forest Schools run on the view that the use of the outdoors is an integral part of young children’s learning. </w:t>
      </w:r>
      <w:r w:rsidRPr="009A1F22">
        <w:rPr>
          <w:rFonts w:ascii="Times New Roman" w:eastAsia="Times New Roman" w:hAnsi="Times New Roman" w:cs="Times New Roman"/>
          <w:sz w:val="24"/>
          <w:szCs w:val="24"/>
        </w:rPr>
        <w:t xml:space="preserve">The children in the forest schools spend most of or all of the day playing outside, and studies have shown correlations between this and a strengthened development of children as a </w:t>
      </w:r>
      <w:r w:rsidR="006010DF" w:rsidRPr="009A1F22">
        <w:rPr>
          <w:rFonts w:ascii="Times New Roman" w:eastAsia="Times New Roman" w:hAnsi="Times New Roman" w:cs="Times New Roman"/>
          <w:sz w:val="24"/>
          <w:szCs w:val="24"/>
        </w:rPr>
        <w:t>direct result from playing outsi</w:t>
      </w:r>
      <w:r w:rsidRPr="009A1F22">
        <w:rPr>
          <w:rFonts w:ascii="Times New Roman" w:eastAsia="Times New Roman" w:hAnsi="Times New Roman" w:cs="Times New Roman"/>
          <w:sz w:val="24"/>
          <w:szCs w:val="24"/>
        </w:rPr>
        <w:t>de.</w:t>
      </w:r>
      <w:r w:rsidR="006010DF" w:rsidRPr="009A1F22">
        <w:rPr>
          <w:rFonts w:ascii="Times New Roman" w:eastAsia="Times New Roman" w:hAnsi="Times New Roman" w:cs="Times New Roman"/>
          <w:sz w:val="24"/>
          <w:szCs w:val="24"/>
        </w:rPr>
        <w:t xml:space="preserve"> This irrefutably shows the vital importance of the natural environment to a child’s development in Scandinavia where the forest schools originated, but it is now also starting to be seen that the same results can be achieved in other parts of the world. These ideas are starting to spread, and the more they’re tested the more accurate the guidelines for teachers become, thus enabling them to deliver the most effective learning for children that is going to allow them to succeed in all aspects of </w:t>
      </w:r>
      <w:r w:rsidR="00331A3A" w:rsidRPr="009A1F22">
        <w:rPr>
          <w:rFonts w:ascii="Times New Roman" w:eastAsia="Times New Roman" w:hAnsi="Times New Roman" w:cs="Times New Roman"/>
          <w:sz w:val="24"/>
          <w:szCs w:val="24"/>
        </w:rPr>
        <w:t xml:space="preserve">their later life. This all stems from the solid groundwork </w:t>
      </w:r>
      <w:proofErr w:type="gramStart"/>
      <w:r w:rsidR="00331A3A" w:rsidRPr="009A1F22">
        <w:rPr>
          <w:rFonts w:ascii="Times New Roman" w:eastAsia="Times New Roman" w:hAnsi="Times New Roman" w:cs="Times New Roman"/>
          <w:sz w:val="24"/>
          <w:szCs w:val="24"/>
        </w:rPr>
        <w:t>laid</w:t>
      </w:r>
      <w:proofErr w:type="gramEnd"/>
      <w:r w:rsidR="00331A3A" w:rsidRPr="009A1F22">
        <w:rPr>
          <w:rFonts w:ascii="Times New Roman" w:eastAsia="Times New Roman" w:hAnsi="Times New Roman" w:cs="Times New Roman"/>
          <w:sz w:val="24"/>
          <w:szCs w:val="24"/>
        </w:rPr>
        <w:t xml:space="preserve"> out in the foundation phase, and is now being proven to have positive effects on children’s physical literacy.</w:t>
      </w:r>
    </w:p>
    <w:p w:rsidR="0075304D" w:rsidRPr="009A1F22" w:rsidRDefault="0075304D" w:rsidP="007009D9">
      <w:pPr>
        <w:rPr>
          <w:rFonts w:ascii="Times New Roman" w:eastAsia="Times New Roman" w:hAnsi="Times New Roman" w:cs="Times New Roman"/>
          <w:sz w:val="24"/>
          <w:szCs w:val="24"/>
        </w:rPr>
      </w:pPr>
    </w:p>
    <w:p w:rsidR="0075304D" w:rsidRPr="009A1F22" w:rsidRDefault="0075304D" w:rsidP="007009D9">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Movement is important to early child development, and being out in the natural environment promotes that development. </w:t>
      </w:r>
      <w:r w:rsidR="00E44E9D" w:rsidRPr="009A1F22">
        <w:rPr>
          <w:rFonts w:ascii="Times New Roman" w:eastAsia="Times New Roman" w:hAnsi="Times New Roman" w:cs="Times New Roman"/>
          <w:sz w:val="24"/>
          <w:szCs w:val="24"/>
        </w:rPr>
        <w:t xml:space="preserve">This has been proven with studies in neuroscience, </w:t>
      </w:r>
      <w:r w:rsidR="006827D7" w:rsidRPr="009A1F22">
        <w:rPr>
          <w:rFonts w:ascii="Times New Roman" w:eastAsia="Times New Roman" w:hAnsi="Times New Roman" w:cs="Times New Roman"/>
          <w:sz w:val="24"/>
          <w:szCs w:val="24"/>
        </w:rPr>
        <w:t>and considering ideas from Di</w:t>
      </w:r>
      <w:r w:rsidR="00571C61" w:rsidRPr="009A1F22">
        <w:rPr>
          <w:rFonts w:ascii="Times New Roman" w:eastAsia="Times New Roman" w:hAnsi="Times New Roman" w:cs="Times New Roman"/>
          <w:sz w:val="24"/>
          <w:szCs w:val="24"/>
        </w:rPr>
        <w:t>a</w:t>
      </w:r>
      <w:r w:rsidR="006827D7" w:rsidRPr="009A1F22">
        <w:rPr>
          <w:rFonts w:ascii="Times New Roman" w:eastAsia="Times New Roman" w:hAnsi="Times New Roman" w:cs="Times New Roman"/>
          <w:sz w:val="24"/>
          <w:szCs w:val="24"/>
        </w:rPr>
        <w:t xml:space="preserve">mond (2000), Iverson (2010) and Van Der </w:t>
      </w:r>
      <w:proofErr w:type="spellStart"/>
      <w:r w:rsidR="006827D7" w:rsidRPr="009A1F22">
        <w:rPr>
          <w:rFonts w:ascii="Times New Roman" w:eastAsia="Times New Roman" w:hAnsi="Times New Roman" w:cs="Times New Roman"/>
          <w:sz w:val="24"/>
          <w:szCs w:val="24"/>
        </w:rPr>
        <w:t>Fels</w:t>
      </w:r>
      <w:proofErr w:type="spellEnd"/>
      <w:r w:rsidR="006827D7" w:rsidRPr="009A1F22">
        <w:rPr>
          <w:rFonts w:ascii="Times New Roman" w:eastAsia="Times New Roman" w:hAnsi="Times New Roman" w:cs="Times New Roman"/>
          <w:sz w:val="24"/>
          <w:szCs w:val="24"/>
        </w:rPr>
        <w:t xml:space="preserve"> </w:t>
      </w:r>
      <w:r w:rsidR="006827D7" w:rsidRPr="009A1F22">
        <w:rPr>
          <w:rFonts w:ascii="Times New Roman" w:eastAsia="Times New Roman" w:hAnsi="Times New Roman" w:cs="Times New Roman"/>
          <w:i/>
          <w:sz w:val="24"/>
          <w:szCs w:val="24"/>
        </w:rPr>
        <w:t xml:space="preserve">et al. </w:t>
      </w:r>
      <w:r w:rsidR="006827D7" w:rsidRPr="009A1F22">
        <w:rPr>
          <w:rFonts w:ascii="Times New Roman" w:eastAsia="Times New Roman" w:hAnsi="Times New Roman" w:cs="Times New Roman"/>
          <w:sz w:val="24"/>
          <w:szCs w:val="24"/>
        </w:rPr>
        <w:t xml:space="preserve">(2015) </w:t>
      </w:r>
      <w:r w:rsidR="00243614" w:rsidRPr="009A1F22">
        <w:rPr>
          <w:rFonts w:ascii="Times New Roman" w:eastAsia="Times New Roman" w:hAnsi="Times New Roman" w:cs="Times New Roman"/>
          <w:sz w:val="24"/>
          <w:szCs w:val="24"/>
        </w:rPr>
        <w:t>it</w:t>
      </w:r>
      <w:r w:rsidR="007875A0" w:rsidRPr="009A1F22">
        <w:rPr>
          <w:rFonts w:ascii="Times New Roman" w:eastAsia="Times New Roman" w:hAnsi="Times New Roman" w:cs="Times New Roman"/>
          <w:sz w:val="24"/>
          <w:szCs w:val="24"/>
        </w:rPr>
        <w:t xml:space="preserve"> can </w:t>
      </w:r>
      <w:r w:rsidR="00243614" w:rsidRPr="009A1F22">
        <w:rPr>
          <w:rFonts w:ascii="Times New Roman" w:eastAsia="Times New Roman" w:hAnsi="Times New Roman" w:cs="Times New Roman"/>
          <w:sz w:val="24"/>
          <w:szCs w:val="24"/>
        </w:rPr>
        <w:t xml:space="preserve">be </w:t>
      </w:r>
      <w:r w:rsidR="007875A0" w:rsidRPr="009A1F22">
        <w:rPr>
          <w:rFonts w:ascii="Times New Roman" w:eastAsia="Times New Roman" w:hAnsi="Times New Roman" w:cs="Times New Roman"/>
          <w:sz w:val="24"/>
          <w:szCs w:val="24"/>
        </w:rPr>
        <w:t>see</w:t>
      </w:r>
      <w:r w:rsidR="00243614" w:rsidRPr="009A1F22">
        <w:rPr>
          <w:rFonts w:ascii="Times New Roman" w:eastAsia="Times New Roman" w:hAnsi="Times New Roman" w:cs="Times New Roman"/>
          <w:sz w:val="24"/>
          <w:szCs w:val="24"/>
        </w:rPr>
        <w:t>n that</w:t>
      </w:r>
      <w:r w:rsidR="006827D7" w:rsidRPr="009A1F22">
        <w:rPr>
          <w:rFonts w:ascii="Times New Roman" w:eastAsia="Times New Roman" w:hAnsi="Times New Roman" w:cs="Times New Roman"/>
          <w:sz w:val="24"/>
          <w:szCs w:val="24"/>
        </w:rPr>
        <w:t xml:space="preserve"> </w:t>
      </w:r>
      <w:r w:rsidR="00E44E9D" w:rsidRPr="009A1F22">
        <w:rPr>
          <w:rFonts w:ascii="Times New Roman" w:eastAsia="Times New Roman" w:hAnsi="Times New Roman" w:cs="Times New Roman"/>
          <w:sz w:val="24"/>
          <w:szCs w:val="24"/>
        </w:rPr>
        <w:t xml:space="preserve">there are links between movement and the development of social, cognitive and </w:t>
      </w:r>
      <w:r w:rsidR="007875A0" w:rsidRPr="009A1F22">
        <w:rPr>
          <w:rFonts w:ascii="Times New Roman" w:eastAsia="Times New Roman" w:hAnsi="Times New Roman" w:cs="Times New Roman"/>
          <w:sz w:val="24"/>
          <w:szCs w:val="24"/>
        </w:rPr>
        <w:t xml:space="preserve">psychological aspects of a child’s life. This movement element is laid out in the national curriculum </w:t>
      </w:r>
      <w:r w:rsidR="00CE7986" w:rsidRPr="009A1F22">
        <w:rPr>
          <w:rFonts w:ascii="Times New Roman" w:eastAsia="Times New Roman" w:hAnsi="Times New Roman" w:cs="Times New Roman"/>
          <w:sz w:val="24"/>
          <w:szCs w:val="24"/>
        </w:rPr>
        <w:t>as physical development</w:t>
      </w:r>
      <w:r w:rsidR="00243614" w:rsidRPr="009A1F22">
        <w:rPr>
          <w:rFonts w:ascii="Times New Roman" w:eastAsia="Times New Roman" w:hAnsi="Times New Roman" w:cs="Times New Roman"/>
          <w:sz w:val="24"/>
          <w:szCs w:val="24"/>
        </w:rPr>
        <w:t xml:space="preserve">, showing that </w:t>
      </w:r>
      <w:r w:rsidR="000469A5" w:rsidRPr="009A1F22">
        <w:rPr>
          <w:rFonts w:ascii="Times New Roman" w:eastAsia="Times New Roman" w:hAnsi="Times New Roman" w:cs="Times New Roman"/>
          <w:sz w:val="24"/>
          <w:szCs w:val="24"/>
        </w:rPr>
        <w:t>its value is recognised by the Welsh G</w:t>
      </w:r>
      <w:r w:rsidR="00243614" w:rsidRPr="009A1F22">
        <w:rPr>
          <w:rFonts w:ascii="Times New Roman" w:eastAsia="Times New Roman" w:hAnsi="Times New Roman" w:cs="Times New Roman"/>
          <w:sz w:val="24"/>
          <w:szCs w:val="24"/>
        </w:rPr>
        <w:t xml:space="preserve">overnment so much so that it has been written into the national curriculum. </w:t>
      </w:r>
    </w:p>
    <w:p w:rsidR="00DF54D0" w:rsidRPr="009A1F22" w:rsidRDefault="00DF54D0" w:rsidP="00DF54D0">
      <w:pPr>
        <w:rPr>
          <w:rFonts w:ascii="Times New Roman" w:eastAsia="Times New Roman" w:hAnsi="Times New Roman" w:cs="Times New Roman"/>
          <w:sz w:val="24"/>
          <w:szCs w:val="24"/>
        </w:rPr>
      </w:pPr>
    </w:p>
    <w:p w:rsidR="00000000" w:rsidRPr="009A1F22" w:rsidRDefault="00DF54D0" w:rsidP="00DF54D0">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lastRenderedPageBreak/>
        <w:t xml:space="preserve">Speaking on the outdoor environment affordance must be mentioned. Gibson (1986, pg. </w:t>
      </w:r>
      <w:r w:rsidR="00880A00" w:rsidRPr="009A1F22">
        <w:rPr>
          <w:rFonts w:ascii="Times New Roman" w:eastAsia="Times New Roman" w:hAnsi="Times New Roman" w:cs="Times New Roman"/>
          <w:sz w:val="24"/>
          <w:szCs w:val="24"/>
        </w:rPr>
        <w:t xml:space="preserve">127) states that ‘the </w:t>
      </w:r>
      <w:r w:rsidR="00880A00" w:rsidRPr="009A1F22">
        <w:rPr>
          <w:rFonts w:ascii="Times New Roman" w:eastAsia="Times New Roman" w:hAnsi="Times New Roman" w:cs="Times New Roman"/>
          <w:sz w:val="24"/>
          <w:szCs w:val="24"/>
        </w:rPr>
        <w:t>affordances of the environment are what it offers the animal’</w:t>
      </w:r>
      <w:r w:rsidRPr="009A1F22">
        <w:rPr>
          <w:rFonts w:ascii="Times New Roman" w:eastAsia="Times New Roman" w:hAnsi="Times New Roman" w:cs="Times New Roman"/>
          <w:sz w:val="24"/>
          <w:szCs w:val="24"/>
        </w:rPr>
        <w:t>. This is essentially saying that affordances are what the environment can offer to each special individually, and that each species will gain something different from the environment.</w:t>
      </w:r>
      <w:r w:rsidR="0012487E" w:rsidRPr="009A1F22">
        <w:rPr>
          <w:rFonts w:ascii="Times New Roman" w:eastAsia="Times New Roman" w:hAnsi="Times New Roman" w:cs="Times New Roman"/>
          <w:sz w:val="24"/>
          <w:szCs w:val="24"/>
        </w:rPr>
        <w:t xml:space="preserve"> This shows the importance of the environment to a child’s development of Physical Literacy, linking back into the importance of a continuous environment, one of the three aspects breaking down the framework of the Foundation Phase.</w:t>
      </w:r>
    </w:p>
    <w:p w:rsidR="00DF54D0" w:rsidRPr="009A1F22" w:rsidRDefault="00DF54D0" w:rsidP="007009D9">
      <w:pPr>
        <w:rPr>
          <w:rFonts w:ascii="Times New Roman" w:eastAsia="Times New Roman" w:hAnsi="Times New Roman" w:cs="Times New Roman"/>
          <w:b/>
          <w:sz w:val="24"/>
          <w:szCs w:val="24"/>
        </w:rPr>
      </w:pPr>
    </w:p>
    <w:p w:rsidR="00243614" w:rsidRPr="009A1F22" w:rsidRDefault="00243614" w:rsidP="007009D9">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I earlier spoke about the importance of physical literacy to making the Foundation Phase a success, but that can also been seen the other way round. Without the introduction of the Foundation Phase the guidance and findings of studies into physical literacy w</w:t>
      </w:r>
      <w:r w:rsidR="00542F4E" w:rsidRPr="009A1F22">
        <w:rPr>
          <w:rFonts w:ascii="Times New Roman" w:eastAsia="Times New Roman" w:hAnsi="Times New Roman" w:cs="Times New Roman"/>
          <w:sz w:val="24"/>
          <w:szCs w:val="24"/>
        </w:rPr>
        <w:t xml:space="preserve">ould not have been able to be circulated, therefore none of the teachings would have changed. With the success of the Foundation Phase almost proving the ideas of Physical Literacy, more research was able to be done looking into it on a deeper level, enable researchers to gain a much greater understanding of the concept, as well as to produce guidelines and teaching methods to enable it to reach schools and become an effective element in a child’s learning and development. </w:t>
      </w:r>
    </w:p>
    <w:p w:rsidR="00AD5E06" w:rsidRPr="009A1F22" w:rsidRDefault="00471CD2" w:rsidP="00471CD2">
      <w:pPr>
        <w:tabs>
          <w:tab w:val="left" w:pos="1956"/>
        </w:tabs>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ab/>
      </w:r>
    </w:p>
    <w:p w:rsidR="00491545" w:rsidRPr="009A1F22" w:rsidRDefault="00491545" w:rsidP="00B05773">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One idea a</w:t>
      </w:r>
      <w:r w:rsidR="0028341B" w:rsidRPr="009A1F22">
        <w:rPr>
          <w:rFonts w:ascii="Times New Roman" w:eastAsia="Times New Roman" w:hAnsi="Times New Roman" w:cs="Times New Roman"/>
          <w:sz w:val="24"/>
          <w:szCs w:val="24"/>
        </w:rPr>
        <w:t>nd concept which proves to be</w:t>
      </w:r>
      <w:r w:rsidRPr="009A1F22">
        <w:rPr>
          <w:rFonts w:ascii="Times New Roman" w:eastAsia="Times New Roman" w:hAnsi="Times New Roman" w:cs="Times New Roman"/>
          <w:sz w:val="24"/>
          <w:szCs w:val="24"/>
        </w:rPr>
        <w:t xml:space="preserve"> one of </w:t>
      </w:r>
      <w:r w:rsidR="0028341B" w:rsidRPr="009A1F22">
        <w:rPr>
          <w:rFonts w:ascii="Times New Roman" w:eastAsia="Times New Roman" w:hAnsi="Times New Roman" w:cs="Times New Roman"/>
          <w:sz w:val="24"/>
          <w:szCs w:val="24"/>
        </w:rPr>
        <w:t>interest</w:t>
      </w:r>
      <w:r w:rsidRPr="009A1F22">
        <w:rPr>
          <w:rFonts w:ascii="Times New Roman" w:eastAsia="Times New Roman" w:hAnsi="Times New Roman" w:cs="Times New Roman"/>
          <w:sz w:val="24"/>
          <w:szCs w:val="24"/>
        </w:rPr>
        <w:t xml:space="preserve"> is looking at play as a human right. Mullen (2014) published an article, in which he said</w:t>
      </w:r>
      <w:r w:rsidR="0028341B" w:rsidRPr="009A1F22">
        <w:rPr>
          <w:rFonts w:ascii="Times New Roman" w:eastAsia="Times New Roman" w:hAnsi="Times New Roman" w:cs="Times New Roman"/>
          <w:sz w:val="24"/>
          <w:szCs w:val="24"/>
        </w:rPr>
        <w:t xml:space="preserve"> play is an</w:t>
      </w:r>
      <w:r w:rsidRPr="009A1F22">
        <w:rPr>
          <w:rFonts w:ascii="Times New Roman" w:eastAsia="Times New Roman" w:hAnsi="Times New Roman" w:cs="Times New Roman"/>
          <w:sz w:val="24"/>
          <w:szCs w:val="24"/>
        </w:rPr>
        <w:t xml:space="preserve"> ‘</w:t>
      </w:r>
      <w:r w:rsidR="0028341B" w:rsidRPr="009A1F22">
        <w:rPr>
          <w:rFonts w:ascii="Times New Roman" w:eastAsia="Times New Roman" w:hAnsi="Times New Roman" w:cs="Times New Roman"/>
          <w:sz w:val="24"/>
          <w:szCs w:val="24"/>
        </w:rPr>
        <w:t>irreplaceable means of expression that promotes dignity, health, education and maximized human potential’. Taking this statement to be true, we can infer that denying a child the right to play is un-ethical</w:t>
      </w:r>
      <w:r w:rsidR="00471CD2" w:rsidRPr="009A1F22">
        <w:rPr>
          <w:rFonts w:ascii="Times New Roman" w:eastAsia="Times New Roman" w:hAnsi="Times New Roman" w:cs="Times New Roman"/>
          <w:sz w:val="24"/>
          <w:szCs w:val="24"/>
        </w:rPr>
        <w:t>, because as a human right it would be a key requirement for all foundation phase</w:t>
      </w:r>
      <w:r w:rsidR="00710C8D" w:rsidRPr="009A1F22">
        <w:rPr>
          <w:rFonts w:ascii="Times New Roman" w:eastAsia="Times New Roman" w:hAnsi="Times New Roman" w:cs="Times New Roman"/>
          <w:sz w:val="24"/>
          <w:szCs w:val="24"/>
        </w:rPr>
        <w:t xml:space="preserve"> teachers and providers to present</w:t>
      </w:r>
      <w:r w:rsidR="00471CD2" w:rsidRPr="009A1F22">
        <w:rPr>
          <w:rFonts w:ascii="Times New Roman" w:eastAsia="Times New Roman" w:hAnsi="Times New Roman" w:cs="Times New Roman"/>
          <w:sz w:val="24"/>
          <w:szCs w:val="24"/>
        </w:rPr>
        <w:t xml:space="preserve"> through play. Now we know that doesn’t happen, so I believe that means we can’t look at play as human right without also seeing how much of a breach in ethics that would be. But then again, if it is labelled in a way that suggests the immediate application of change is required in order to provide one of the more controversial human rights, then it is maybe not such a bad decision. </w:t>
      </w:r>
    </w:p>
    <w:p w:rsidR="00A36EB8" w:rsidRPr="009A1F22" w:rsidRDefault="00A36EB8" w:rsidP="007B5986">
      <w:pPr>
        <w:rPr>
          <w:rFonts w:ascii="Times New Roman" w:eastAsia="Times New Roman" w:hAnsi="Times New Roman" w:cs="Times New Roman"/>
          <w:sz w:val="24"/>
          <w:szCs w:val="24"/>
        </w:rPr>
      </w:pPr>
    </w:p>
    <w:p w:rsidR="00DF54D0" w:rsidRPr="009A1F22" w:rsidRDefault="003B2466" w:rsidP="007B5986">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 xml:space="preserve">The IPA (revised 1989) also support the idea that play is a child’s right, publishing the declaration of the child’s right to play originally in 1977, </w:t>
      </w:r>
      <w:r w:rsidR="00B6191E" w:rsidRPr="009A1F22">
        <w:rPr>
          <w:rFonts w:ascii="Times New Roman" w:eastAsia="Times New Roman" w:hAnsi="Times New Roman" w:cs="Times New Roman"/>
          <w:sz w:val="24"/>
          <w:szCs w:val="24"/>
        </w:rPr>
        <w:t>and most</w:t>
      </w:r>
      <w:r w:rsidRPr="009A1F22">
        <w:rPr>
          <w:rFonts w:ascii="Times New Roman" w:eastAsia="Times New Roman" w:hAnsi="Times New Roman" w:cs="Times New Roman"/>
          <w:sz w:val="24"/>
          <w:szCs w:val="24"/>
        </w:rPr>
        <w:t xml:space="preserve"> recently revised in 1989. Within this declaration the IPA state that play helps children develop physically, mentally, emotionally and</w:t>
      </w:r>
      <w:r w:rsidR="00B6191E" w:rsidRPr="009A1F22">
        <w:rPr>
          <w:rFonts w:ascii="Times New Roman" w:eastAsia="Times New Roman" w:hAnsi="Times New Roman" w:cs="Times New Roman"/>
          <w:sz w:val="24"/>
          <w:szCs w:val="24"/>
        </w:rPr>
        <w:t xml:space="preserve"> socially, and therefore it should be seriously considered and practiced in school through the provision of the foundation phase. </w:t>
      </w:r>
      <w:r w:rsidR="003A7530" w:rsidRPr="009A1F22">
        <w:rPr>
          <w:rFonts w:ascii="Times New Roman" w:eastAsia="Times New Roman" w:hAnsi="Times New Roman" w:cs="Times New Roman"/>
          <w:sz w:val="24"/>
          <w:szCs w:val="24"/>
        </w:rPr>
        <w:t xml:space="preserve">In Article 31 </w:t>
      </w:r>
      <w:r w:rsidR="00A41890" w:rsidRPr="009A1F22">
        <w:rPr>
          <w:rFonts w:ascii="Times New Roman" w:eastAsia="Times New Roman" w:hAnsi="Times New Roman" w:cs="Times New Roman"/>
          <w:sz w:val="24"/>
          <w:szCs w:val="24"/>
        </w:rPr>
        <w:t xml:space="preserve">of the UN convention on Child Rights, </w:t>
      </w:r>
      <w:r w:rsidR="003A7530" w:rsidRPr="009A1F22">
        <w:rPr>
          <w:rFonts w:ascii="Times New Roman" w:eastAsia="Times New Roman" w:hAnsi="Times New Roman" w:cs="Times New Roman"/>
          <w:sz w:val="24"/>
          <w:szCs w:val="24"/>
        </w:rPr>
        <w:t xml:space="preserve">UNICEF (1992) state that children have a right to relax and play, along with the right to freedom of expression (Article 13) and the right to education (Article 28). </w:t>
      </w:r>
      <w:r w:rsidR="002A5D6A" w:rsidRPr="009A1F22">
        <w:rPr>
          <w:rFonts w:ascii="Times New Roman" w:eastAsia="Times New Roman" w:hAnsi="Times New Roman" w:cs="Times New Roman"/>
          <w:sz w:val="24"/>
          <w:szCs w:val="24"/>
        </w:rPr>
        <w:t xml:space="preserve">Taking these three rights in equal measure you can begin to see the basis of the foundation phase, with the inclusion of education through play and free decision making. </w:t>
      </w:r>
      <w:r w:rsidR="00E76D68" w:rsidRPr="009A1F22">
        <w:rPr>
          <w:rFonts w:ascii="Times New Roman" w:eastAsia="Times New Roman" w:hAnsi="Times New Roman" w:cs="Times New Roman"/>
          <w:sz w:val="24"/>
          <w:szCs w:val="24"/>
        </w:rPr>
        <w:t>UNICEF also say of the convention that all of the rights must be seen as a whole, where all the rights are linked and no right is more important than another. This further supports the ideas based around pay being a holistic approach to learning and the Foundation Phase.</w:t>
      </w:r>
    </w:p>
    <w:p w:rsidR="00A41890" w:rsidRPr="009A1F22" w:rsidRDefault="00A41890" w:rsidP="007B5986">
      <w:pPr>
        <w:rPr>
          <w:rFonts w:ascii="Times New Roman" w:eastAsia="Times New Roman" w:hAnsi="Times New Roman" w:cs="Times New Roman"/>
          <w:sz w:val="24"/>
          <w:szCs w:val="24"/>
        </w:rPr>
      </w:pPr>
    </w:p>
    <w:p w:rsidR="00E556DD" w:rsidRPr="009A1F22" w:rsidRDefault="00030867" w:rsidP="007B5986">
      <w:pPr>
        <w:rPr>
          <w:rFonts w:ascii="Times New Roman" w:eastAsia="Times New Roman" w:hAnsi="Times New Roman" w:cs="Times New Roman"/>
          <w:sz w:val="24"/>
          <w:szCs w:val="24"/>
        </w:rPr>
      </w:pPr>
      <w:r w:rsidRPr="009A1F22">
        <w:rPr>
          <w:rFonts w:ascii="Times New Roman" w:eastAsia="Times New Roman" w:hAnsi="Times New Roman" w:cs="Times New Roman"/>
          <w:sz w:val="24"/>
          <w:szCs w:val="24"/>
        </w:rPr>
        <w:t>Looking at the Foundation Phase, we can se</w:t>
      </w:r>
      <w:r w:rsidR="000D487F" w:rsidRPr="009A1F22">
        <w:rPr>
          <w:rFonts w:ascii="Times New Roman" w:eastAsia="Times New Roman" w:hAnsi="Times New Roman" w:cs="Times New Roman"/>
          <w:sz w:val="24"/>
          <w:szCs w:val="24"/>
        </w:rPr>
        <w:t>e that play is a huge part of making it a success</w:t>
      </w:r>
      <w:r w:rsidRPr="009A1F22">
        <w:rPr>
          <w:rFonts w:ascii="Times New Roman" w:eastAsia="Times New Roman" w:hAnsi="Times New Roman" w:cs="Times New Roman"/>
          <w:sz w:val="24"/>
          <w:szCs w:val="24"/>
        </w:rPr>
        <w:t>, as well as the development of a child’s physical literacy.</w:t>
      </w:r>
      <w:r w:rsidR="000D487F" w:rsidRPr="009A1F22">
        <w:rPr>
          <w:rFonts w:ascii="Times New Roman" w:eastAsia="Times New Roman" w:hAnsi="Times New Roman" w:cs="Times New Roman"/>
          <w:sz w:val="24"/>
          <w:szCs w:val="24"/>
        </w:rPr>
        <w:t xml:space="preserve"> All three of these components are </w:t>
      </w:r>
      <w:r w:rsidR="000D487F" w:rsidRPr="009A1F22">
        <w:rPr>
          <w:rFonts w:ascii="Times New Roman" w:eastAsia="Times New Roman" w:hAnsi="Times New Roman" w:cs="Times New Roman"/>
          <w:sz w:val="24"/>
          <w:szCs w:val="24"/>
        </w:rPr>
        <w:lastRenderedPageBreak/>
        <w:t>interlinked, with play supporting both the development of physical literacy and the success of the foundation phase. We can also see the importance of a developed physical literacy aiding the smooth running o</w:t>
      </w:r>
      <w:r w:rsidR="00E556DD" w:rsidRPr="009A1F22">
        <w:rPr>
          <w:rFonts w:ascii="Times New Roman" w:eastAsia="Times New Roman" w:hAnsi="Times New Roman" w:cs="Times New Roman"/>
          <w:sz w:val="24"/>
          <w:szCs w:val="24"/>
        </w:rPr>
        <w:t xml:space="preserve">f play in the foundation phase. </w:t>
      </w:r>
      <w:r w:rsidR="00E556DD" w:rsidRPr="009A1F22">
        <w:rPr>
          <w:rFonts w:ascii="Times New Roman" w:hAnsi="Times New Roman" w:cs="Times New Roman"/>
          <w:sz w:val="24"/>
          <w:szCs w:val="24"/>
        </w:rPr>
        <w:t xml:space="preserve">We can see that </w:t>
      </w:r>
      <w:r w:rsidR="00E556DD" w:rsidRPr="009A1F22">
        <w:rPr>
          <w:rFonts w:ascii="Times New Roman" w:hAnsi="Times New Roman" w:cs="Times New Roman"/>
          <w:sz w:val="24"/>
          <w:szCs w:val="24"/>
        </w:rPr>
        <w:t>the playful pedagogical approach of the Foundation Phase</w:t>
      </w:r>
      <w:r w:rsidR="00E556DD" w:rsidRPr="009A1F22">
        <w:rPr>
          <w:rFonts w:ascii="Times New Roman" w:hAnsi="Times New Roman" w:cs="Times New Roman"/>
          <w:sz w:val="24"/>
          <w:szCs w:val="24"/>
        </w:rPr>
        <w:t>,</w:t>
      </w:r>
      <w:r w:rsidR="00E556DD" w:rsidRPr="009A1F22">
        <w:rPr>
          <w:rFonts w:ascii="Times New Roman" w:hAnsi="Times New Roman" w:cs="Times New Roman"/>
          <w:sz w:val="24"/>
          <w:szCs w:val="24"/>
        </w:rPr>
        <w:t xml:space="preserve"> with its emphasis on outdoor learning</w:t>
      </w:r>
      <w:r w:rsidR="00E556DD" w:rsidRPr="009A1F22">
        <w:rPr>
          <w:rFonts w:ascii="Times New Roman" w:hAnsi="Times New Roman" w:cs="Times New Roman"/>
          <w:sz w:val="24"/>
          <w:szCs w:val="24"/>
        </w:rPr>
        <w:t>,</w:t>
      </w:r>
      <w:r w:rsidR="00E556DD" w:rsidRPr="009A1F22">
        <w:rPr>
          <w:rFonts w:ascii="Times New Roman" w:hAnsi="Times New Roman" w:cs="Times New Roman"/>
          <w:sz w:val="24"/>
          <w:szCs w:val="24"/>
        </w:rPr>
        <w:t xml:space="preserve"> lays foundations for children’s learning and development and contributes to their physical literacy</w:t>
      </w:r>
      <w:r w:rsidR="00E556DD" w:rsidRPr="009A1F22">
        <w:rPr>
          <w:rFonts w:ascii="Times New Roman" w:hAnsi="Times New Roman" w:cs="Times New Roman"/>
          <w:sz w:val="24"/>
          <w:szCs w:val="24"/>
        </w:rPr>
        <w:t xml:space="preserve"> in a holistic way, taking all elements as equal and not putting one above any of the others. Through looking at literature and studies it has become clear that everything points in the same direction; a successful and meaningful foundation phase will set up children for life, not just in terms of their academic development but in the development through all aspects of their life.</w:t>
      </w: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05305D" w:rsidRDefault="0005305D"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1D670B" w:rsidRDefault="001D670B"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9A1F22" w:rsidRDefault="009A1F22" w:rsidP="007B5986">
      <w:pPr>
        <w:rPr>
          <w:rFonts w:eastAsia="Times New Roman"/>
          <w:sz w:val="24"/>
          <w:szCs w:val="24"/>
        </w:rPr>
      </w:pPr>
    </w:p>
    <w:p w:rsidR="001D670B" w:rsidRDefault="001D670B" w:rsidP="007B5986">
      <w:pPr>
        <w:rPr>
          <w:rFonts w:eastAsia="Times New Roman"/>
          <w:sz w:val="24"/>
          <w:szCs w:val="24"/>
        </w:rPr>
      </w:pPr>
      <w:r>
        <w:rPr>
          <w:rFonts w:eastAsia="Times New Roman"/>
          <w:sz w:val="24"/>
          <w:szCs w:val="24"/>
        </w:rPr>
        <w:t>[</w:t>
      </w:r>
      <w:proofErr w:type="gramStart"/>
      <w:r>
        <w:rPr>
          <w:rFonts w:eastAsia="Times New Roman"/>
          <w:sz w:val="24"/>
          <w:szCs w:val="24"/>
        </w:rPr>
        <w:t>word</w:t>
      </w:r>
      <w:proofErr w:type="gramEnd"/>
      <w:r w:rsidR="00E669A3">
        <w:rPr>
          <w:rFonts w:eastAsia="Times New Roman"/>
          <w:sz w:val="24"/>
          <w:szCs w:val="24"/>
        </w:rPr>
        <w:t xml:space="preserve"> count: 1842]</w:t>
      </w:r>
    </w:p>
    <w:p w:rsidR="0005305D" w:rsidRDefault="0005305D" w:rsidP="007B5986">
      <w:pPr>
        <w:rPr>
          <w:rFonts w:eastAsia="Times New Roman"/>
          <w:sz w:val="24"/>
          <w:szCs w:val="24"/>
        </w:rPr>
      </w:pPr>
      <w:r>
        <w:rPr>
          <w:rFonts w:eastAsia="Times New Roman"/>
          <w:sz w:val="24"/>
          <w:szCs w:val="24"/>
        </w:rPr>
        <w:lastRenderedPageBreak/>
        <w:t>REFERENCES</w:t>
      </w:r>
    </w:p>
    <w:p w:rsidR="0005305D" w:rsidRDefault="0005305D" w:rsidP="007B5986">
      <w:pPr>
        <w:rPr>
          <w:rFonts w:eastAsia="Times New Roman"/>
          <w:sz w:val="24"/>
          <w:szCs w:val="24"/>
        </w:rPr>
      </w:pPr>
    </w:p>
    <w:p w:rsidR="00261A5F" w:rsidRDefault="00261A5F" w:rsidP="007B5986">
      <w:pPr>
        <w:rPr>
          <w:rFonts w:eastAsia="Times New Roman"/>
          <w:sz w:val="24"/>
          <w:szCs w:val="24"/>
        </w:rPr>
      </w:pPr>
    </w:p>
    <w:p w:rsidR="00261A5F" w:rsidRDefault="00261A5F" w:rsidP="007B5986">
      <w:pPr>
        <w:rPr>
          <w:rFonts w:eastAsia="Times New Roman"/>
          <w:sz w:val="24"/>
          <w:szCs w:val="24"/>
        </w:rPr>
      </w:pPr>
      <w:r w:rsidRPr="00261A5F">
        <w:rPr>
          <w:rFonts w:eastAsia="Times New Roman"/>
          <w:sz w:val="24"/>
          <w:szCs w:val="24"/>
        </w:rPr>
        <w:t xml:space="preserve">Brock, A., (2009) ‘Curriculum and Pedagogy of Play: A Multitude of Perspectives?’ In Brock, A., </w:t>
      </w:r>
      <w:proofErr w:type="spellStart"/>
      <w:r w:rsidRPr="00261A5F">
        <w:rPr>
          <w:rFonts w:eastAsia="Times New Roman"/>
          <w:sz w:val="24"/>
          <w:szCs w:val="24"/>
        </w:rPr>
        <w:t>Dodds</w:t>
      </w:r>
      <w:proofErr w:type="spellEnd"/>
      <w:r w:rsidRPr="00261A5F">
        <w:rPr>
          <w:rFonts w:eastAsia="Times New Roman"/>
          <w:sz w:val="24"/>
          <w:szCs w:val="24"/>
        </w:rPr>
        <w:t xml:space="preserve">, S., Jarvis, P. and </w:t>
      </w:r>
      <w:proofErr w:type="spellStart"/>
      <w:r w:rsidRPr="00261A5F">
        <w:rPr>
          <w:rFonts w:eastAsia="Times New Roman"/>
          <w:sz w:val="24"/>
          <w:szCs w:val="24"/>
        </w:rPr>
        <w:t>Olusoga</w:t>
      </w:r>
      <w:proofErr w:type="spellEnd"/>
      <w:r w:rsidRPr="00261A5F">
        <w:rPr>
          <w:rFonts w:eastAsia="Times New Roman"/>
          <w:sz w:val="24"/>
          <w:szCs w:val="24"/>
        </w:rPr>
        <w:t>, Y., (ed.) Perspectives on Play Learning for Life, Harlow: Pearson, pp. 67- 93</w:t>
      </w:r>
    </w:p>
    <w:p w:rsidR="00261A5F" w:rsidRDefault="00261A5F" w:rsidP="007B5986">
      <w:pPr>
        <w:rPr>
          <w:rFonts w:eastAsia="Times New Roman"/>
          <w:sz w:val="24"/>
          <w:szCs w:val="24"/>
        </w:rPr>
      </w:pPr>
    </w:p>
    <w:p w:rsidR="00261A5F" w:rsidRDefault="00261A5F" w:rsidP="007B5986">
      <w:pPr>
        <w:rPr>
          <w:rFonts w:eastAsia="Times New Roman"/>
          <w:sz w:val="24"/>
          <w:szCs w:val="24"/>
        </w:rPr>
      </w:pPr>
      <w:r w:rsidRPr="00261A5F">
        <w:rPr>
          <w:rFonts w:eastAsia="Times New Roman"/>
          <w:sz w:val="24"/>
          <w:szCs w:val="24"/>
        </w:rPr>
        <w:t xml:space="preserve">DCELLS (2008) Framework for Children's </w:t>
      </w:r>
      <w:proofErr w:type="gramStart"/>
      <w:r w:rsidRPr="00261A5F">
        <w:rPr>
          <w:rFonts w:eastAsia="Times New Roman"/>
          <w:sz w:val="24"/>
          <w:szCs w:val="24"/>
        </w:rPr>
        <w:t>Learning</w:t>
      </w:r>
      <w:proofErr w:type="gramEnd"/>
      <w:r w:rsidRPr="00261A5F">
        <w:rPr>
          <w:rFonts w:eastAsia="Times New Roman"/>
          <w:sz w:val="24"/>
          <w:szCs w:val="24"/>
        </w:rPr>
        <w:t xml:space="preserve"> for 3 to 7-year-olds in Wales, Cardiff: Welsh Assembly Government</w:t>
      </w:r>
    </w:p>
    <w:p w:rsidR="00571C61" w:rsidRDefault="00571C61" w:rsidP="007B5986">
      <w:pPr>
        <w:rPr>
          <w:rFonts w:eastAsia="Times New Roman"/>
          <w:sz w:val="24"/>
          <w:szCs w:val="24"/>
        </w:rPr>
      </w:pPr>
    </w:p>
    <w:p w:rsidR="00571C61" w:rsidRDefault="00571C61" w:rsidP="007B5986">
      <w:pPr>
        <w:rPr>
          <w:rFonts w:eastAsia="Times New Roman"/>
          <w:sz w:val="24"/>
          <w:szCs w:val="24"/>
        </w:rPr>
      </w:pPr>
      <w:proofErr w:type="spellStart"/>
      <w:r w:rsidRPr="00571C61">
        <w:rPr>
          <w:rFonts w:eastAsia="Times New Roman"/>
          <w:sz w:val="24"/>
          <w:szCs w:val="24"/>
        </w:rPr>
        <w:t>Daimond</w:t>
      </w:r>
      <w:proofErr w:type="spellEnd"/>
      <w:r w:rsidRPr="00571C61">
        <w:rPr>
          <w:rFonts w:eastAsia="Times New Roman"/>
          <w:sz w:val="24"/>
          <w:szCs w:val="24"/>
        </w:rPr>
        <w:t xml:space="preserve"> A. (2015). Effects of physical exercise on executive functions: going beyond simply moving with thought. Ann sports med res 2(1)</w:t>
      </w:r>
    </w:p>
    <w:p w:rsidR="00261A5F" w:rsidRDefault="00261A5F" w:rsidP="007B5986">
      <w:pPr>
        <w:rPr>
          <w:rFonts w:eastAsia="Times New Roman"/>
          <w:sz w:val="24"/>
          <w:szCs w:val="24"/>
        </w:rPr>
      </w:pPr>
    </w:p>
    <w:p w:rsidR="00261A5F" w:rsidRDefault="00261A5F" w:rsidP="00261A5F">
      <w:pPr>
        <w:rPr>
          <w:rFonts w:eastAsia="Times New Roman"/>
          <w:sz w:val="24"/>
          <w:szCs w:val="24"/>
        </w:rPr>
      </w:pPr>
      <w:proofErr w:type="spellStart"/>
      <w:r w:rsidRPr="0005305D">
        <w:rPr>
          <w:rFonts w:eastAsia="Times New Roman"/>
          <w:sz w:val="24"/>
          <w:szCs w:val="24"/>
        </w:rPr>
        <w:t>Feezell</w:t>
      </w:r>
      <w:proofErr w:type="spellEnd"/>
      <w:r w:rsidRPr="0005305D">
        <w:rPr>
          <w:rFonts w:eastAsia="Times New Roman"/>
          <w:sz w:val="24"/>
          <w:szCs w:val="24"/>
        </w:rPr>
        <w:t xml:space="preserve">, Travis. "Faculty Attitudes </w:t>
      </w:r>
      <w:proofErr w:type="gramStart"/>
      <w:r w:rsidRPr="0005305D">
        <w:rPr>
          <w:rFonts w:eastAsia="Times New Roman"/>
          <w:sz w:val="24"/>
          <w:szCs w:val="24"/>
        </w:rPr>
        <w:t>Toward</w:t>
      </w:r>
      <w:proofErr w:type="gramEnd"/>
      <w:r w:rsidRPr="0005305D">
        <w:rPr>
          <w:rFonts w:eastAsia="Times New Roman"/>
          <w:sz w:val="24"/>
          <w:szCs w:val="24"/>
        </w:rPr>
        <w:t xml:space="preserve"> Athletics at NCAA Division II Institutions." Journal of Applied Sport Management 5.2 (2013): N/a. Web.</w:t>
      </w:r>
    </w:p>
    <w:p w:rsidR="00C44507" w:rsidRDefault="00C44507" w:rsidP="00261A5F">
      <w:pPr>
        <w:rPr>
          <w:rFonts w:eastAsia="Times New Roman"/>
          <w:sz w:val="24"/>
          <w:szCs w:val="24"/>
        </w:rPr>
      </w:pPr>
    </w:p>
    <w:p w:rsidR="00C44507" w:rsidRDefault="00C44507" w:rsidP="007B5986">
      <w:pPr>
        <w:rPr>
          <w:rFonts w:eastAsia="Times New Roman"/>
          <w:sz w:val="24"/>
          <w:szCs w:val="24"/>
        </w:rPr>
      </w:pPr>
      <w:r w:rsidRPr="00C44507">
        <w:rPr>
          <w:rFonts w:eastAsia="Times New Roman"/>
          <w:sz w:val="24"/>
          <w:szCs w:val="24"/>
        </w:rPr>
        <w:t xml:space="preserve">Howard, J. and </w:t>
      </w:r>
      <w:proofErr w:type="spellStart"/>
      <w:r w:rsidRPr="00C44507">
        <w:rPr>
          <w:rFonts w:eastAsia="Times New Roman"/>
          <w:sz w:val="24"/>
          <w:szCs w:val="24"/>
        </w:rPr>
        <w:t>McInnes</w:t>
      </w:r>
      <w:proofErr w:type="spellEnd"/>
      <w:r w:rsidRPr="00C44507">
        <w:rPr>
          <w:rFonts w:eastAsia="Times New Roman"/>
          <w:sz w:val="24"/>
          <w:szCs w:val="24"/>
        </w:rPr>
        <w:t xml:space="preserve">, K. (2010) ‘Thinking </w:t>
      </w:r>
      <w:proofErr w:type="gramStart"/>
      <w:r w:rsidRPr="00C44507">
        <w:rPr>
          <w:rFonts w:eastAsia="Times New Roman"/>
          <w:sz w:val="24"/>
          <w:szCs w:val="24"/>
        </w:rPr>
        <w:t>Through</w:t>
      </w:r>
      <w:proofErr w:type="gramEnd"/>
      <w:r w:rsidRPr="00C44507">
        <w:rPr>
          <w:rFonts w:eastAsia="Times New Roman"/>
          <w:sz w:val="24"/>
          <w:szCs w:val="24"/>
        </w:rPr>
        <w:t xml:space="preserve"> the Challenge of a play-based curriculum, increasing playfulness via co-construction’, in </w:t>
      </w:r>
      <w:proofErr w:type="spellStart"/>
      <w:r w:rsidRPr="00C44507">
        <w:rPr>
          <w:rFonts w:eastAsia="Times New Roman"/>
          <w:sz w:val="24"/>
          <w:szCs w:val="24"/>
        </w:rPr>
        <w:t>Moyles</w:t>
      </w:r>
      <w:proofErr w:type="spellEnd"/>
      <w:r w:rsidRPr="00C44507">
        <w:rPr>
          <w:rFonts w:eastAsia="Times New Roman"/>
          <w:sz w:val="24"/>
          <w:szCs w:val="24"/>
        </w:rPr>
        <w:t>, J.R. (ed.) Thinking about play, Berkshire: Open University Press.</w:t>
      </w:r>
    </w:p>
    <w:p w:rsidR="002E513C" w:rsidRDefault="002E513C" w:rsidP="007B5986">
      <w:pPr>
        <w:rPr>
          <w:rFonts w:eastAsia="Times New Roman"/>
          <w:sz w:val="24"/>
          <w:szCs w:val="24"/>
        </w:rPr>
      </w:pPr>
    </w:p>
    <w:p w:rsidR="002E513C" w:rsidRDefault="002E513C" w:rsidP="007B5986">
      <w:pPr>
        <w:rPr>
          <w:sz w:val="24"/>
          <w:szCs w:val="24"/>
        </w:rPr>
      </w:pPr>
      <w:r>
        <w:rPr>
          <w:rFonts w:eastAsia="Times New Roman"/>
          <w:sz w:val="24"/>
          <w:szCs w:val="24"/>
        </w:rPr>
        <w:t xml:space="preserve">International </w:t>
      </w:r>
      <w:r w:rsidRPr="00251D2C">
        <w:rPr>
          <w:rFonts w:eastAsia="Times New Roman"/>
          <w:sz w:val="24"/>
          <w:szCs w:val="24"/>
        </w:rPr>
        <w:t xml:space="preserve">Physical Literacy Association (2017) Website available at: </w:t>
      </w:r>
      <w:hyperlink r:id="rId9" w:history="1">
        <w:r w:rsidRPr="00251D2C">
          <w:rPr>
            <w:rStyle w:val="Hyperlink"/>
            <w:sz w:val="24"/>
            <w:szCs w:val="24"/>
          </w:rPr>
          <w:t>https://www.physical-literacy.org.uk/</w:t>
        </w:r>
      </w:hyperlink>
      <w:r w:rsidRPr="00251D2C">
        <w:rPr>
          <w:sz w:val="24"/>
          <w:szCs w:val="24"/>
        </w:rPr>
        <w:t xml:space="preserve"> (accessed</w:t>
      </w:r>
      <w:r w:rsidR="00C34B28" w:rsidRPr="00251D2C">
        <w:rPr>
          <w:sz w:val="24"/>
          <w:szCs w:val="24"/>
        </w:rPr>
        <w:t>:</w:t>
      </w:r>
      <w:r w:rsidRPr="00251D2C">
        <w:rPr>
          <w:sz w:val="24"/>
          <w:szCs w:val="24"/>
        </w:rPr>
        <w:t xml:space="preserve"> </w:t>
      </w:r>
      <w:r w:rsidR="00C34B28" w:rsidRPr="00251D2C">
        <w:rPr>
          <w:sz w:val="24"/>
          <w:szCs w:val="24"/>
        </w:rPr>
        <w:t>18</w:t>
      </w:r>
      <w:r w:rsidR="00C34B28" w:rsidRPr="00251D2C">
        <w:rPr>
          <w:sz w:val="24"/>
          <w:szCs w:val="24"/>
          <w:vertAlign w:val="superscript"/>
        </w:rPr>
        <w:t>th</w:t>
      </w:r>
      <w:r w:rsidR="00C34B28" w:rsidRPr="00251D2C">
        <w:rPr>
          <w:sz w:val="24"/>
          <w:szCs w:val="24"/>
        </w:rPr>
        <w:t xml:space="preserve"> March 2019)</w:t>
      </w:r>
    </w:p>
    <w:p w:rsidR="00571C61" w:rsidRDefault="00571C61" w:rsidP="007B5986">
      <w:pPr>
        <w:rPr>
          <w:sz w:val="24"/>
          <w:szCs w:val="24"/>
        </w:rPr>
      </w:pPr>
    </w:p>
    <w:p w:rsidR="00B6191E" w:rsidRDefault="00B6191E" w:rsidP="007B5986">
      <w:r>
        <w:rPr>
          <w:sz w:val="24"/>
          <w:szCs w:val="24"/>
        </w:rPr>
        <w:t xml:space="preserve">IPA Declaration of the Child’s Right to </w:t>
      </w:r>
      <w:r w:rsidRPr="00B6191E">
        <w:rPr>
          <w:sz w:val="24"/>
          <w:szCs w:val="24"/>
        </w:rPr>
        <w:t xml:space="preserve">Play (1989) Website available at: </w:t>
      </w:r>
      <w:hyperlink r:id="rId10" w:history="1">
        <w:r w:rsidRPr="00B6191E">
          <w:rPr>
            <w:rStyle w:val="Hyperlink"/>
            <w:sz w:val="24"/>
            <w:szCs w:val="24"/>
          </w:rPr>
          <w:t>http://ipaworld.org/childs-right-to-play/the-childs-right-to-play/</w:t>
        </w:r>
      </w:hyperlink>
      <w:r w:rsidRPr="00B6191E">
        <w:rPr>
          <w:sz w:val="24"/>
          <w:szCs w:val="24"/>
        </w:rPr>
        <w:t xml:space="preserve"> (Accessed: 20</w:t>
      </w:r>
      <w:r w:rsidRPr="00B6191E">
        <w:rPr>
          <w:sz w:val="24"/>
          <w:szCs w:val="24"/>
          <w:vertAlign w:val="superscript"/>
        </w:rPr>
        <w:t>th</w:t>
      </w:r>
      <w:r w:rsidRPr="00B6191E">
        <w:rPr>
          <w:sz w:val="24"/>
          <w:szCs w:val="24"/>
        </w:rPr>
        <w:t xml:space="preserve"> March 2019)</w:t>
      </w:r>
    </w:p>
    <w:p w:rsidR="00B6191E" w:rsidRDefault="00B6191E" w:rsidP="007B5986">
      <w:pPr>
        <w:rPr>
          <w:sz w:val="24"/>
          <w:szCs w:val="24"/>
        </w:rPr>
      </w:pPr>
    </w:p>
    <w:p w:rsidR="00571C61" w:rsidRDefault="00571C61" w:rsidP="007B5986">
      <w:pPr>
        <w:rPr>
          <w:rFonts w:eastAsia="Times New Roman"/>
          <w:sz w:val="24"/>
          <w:szCs w:val="24"/>
        </w:rPr>
      </w:pPr>
      <w:r w:rsidRPr="00571C61">
        <w:rPr>
          <w:rFonts w:eastAsia="Times New Roman"/>
          <w:sz w:val="24"/>
          <w:szCs w:val="24"/>
        </w:rPr>
        <w:t>Iverson JM (2010) Developing Language in a developing body: the relationship between motor development and language development. J Child Lang 37(02) 229-61</w:t>
      </w:r>
    </w:p>
    <w:p w:rsidR="002E513C" w:rsidRDefault="002E513C" w:rsidP="007B5986">
      <w:pPr>
        <w:rPr>
          <w:rFonts w:eastAsia="Times New Roman"/>
          <w:sz w:val="24"/>
          <w:szCs w:val="24"/>
        </w:rPr>
      </w:pPr>
    </w:p>
    <w:p w:rsidR="002E513C" w:rsidRDefault="002E513C" w:rsidP="007B5986">
      <w:pPr>
        <w:rPr>
          <w:rStyle w:val="Hyperlink"/>
          <w:rFonts w:eastAsia="Times New Roman"/>
          <w:sz w:val="24"/>
          <w:szCs w:val="24"/>
        </w:rPr>
      </w:pPr>
      <w:proofErr w:type="spellStart"/>
      <w:r w:rsidRPr="00251D2C">
        <w:rPr>
          <w:rFonts w:eastAsia="Times New Roman"/>
          <w:sz w:val="24"/>
          <w:szCs w:val="24"/>
        </w:rPr>
        <w:t>Mandigo</w:t>
      </w:r>
      <w:proofErr w:type="spellEnd"/>
      <w:r w:rsidRPr="00251D2C">
        <w:rPr>
          <w:rFonts w:eastAsia="Times New Roman"/>
          <w:sz w:val="24"/>
          <w:szCs w:val="24"/>
        </w:rPr>
        <w:t xml:space="preserve">, J., Francis, N., </w:t>
      </w:r>
      <w:proofErr w:type="spellStart"/>
      <w:r w:rsidRPr="00251D2C">
        <w:rPr>
          <w:rFonts w:eastAsia="Times New Roman"/>
          <w:sz w:val="24"/>
          <w:szCs w:val="24"/>
        </w:rPr>
        <w:t>Lodewyk</w:t>
      </w:r>
      <w:proofErr w:type="spellEnd"/>
      <w:r w:rsidRPr="00251D2C">
        <w:rPr>
          <w:rFonts w:eastAsia="Times New Roman"/>
          <w:sz w:val="24"/>
          <w:szCs w:val="24"/>
        </w:rPr>
        <w:t xml:space="preserve">, K and Lopez, R (2009) Physical Health Education Canada: Position paper- Physical literacy for educators. Retrieved from </w:t>
      </w:r>
      <w:hyperlink r:id="rId11" w:history="1">
        <w:r w:rsidR="007009D9" w:rsidRPr="00745D6C">
          <w:rPr>
            <w:rStyle w:val="Hyperlink"/>
            <w:rFonts w:eastAsia="Times New Roman"/>
            <w:sz w:val="24"/>
            <w:szCs w:val="24"/>
          </w:rPr>
          <w:t>https://www.phecanada.ca/sites/default/files/pl_position_paper.pdf</w:t>
        </w:r>
      </w:hyperlink>
    </w:p>
    <w:p w:rsidR="00491545" w:rsidRDefault="00491545" w:rsidP="007B5986">
      <w:pPr>
        <w:rPr>
          <w:rStyle w:val="Hyperlink"/>
          <w:rFonts w:eastAsia="Times New Roman"/>
          <w:sz w:val="24"/>
          <w:szCs w:val="24"/>
        </w:rPr>
      </w:pPr>
    </w:p>
    <w:p w:rsidR="00491545" w:rsidRDefault="00491545" w:rsidP="007B5986">
      <w:pPr>
        <w:rPr>
          <w:rFonts w:eastAsia="Times New Roman"/>
          <w:sz w:val="24"/>
          <w:szCs w:val="24"/>
        </w:rPr>
      </w:pPr>
      <w:r w:rsidRPr="00491545">
        <w:rPr>
          <w:rFonts w:eastAsia="Times New Roman"/>
          <w:sz w:val="24"/>
          <w:szCs w:val="24"/>
        </w:rPr>
        <w:t>Matthew Mullen (2014) Getting serious about the human right to play, Asia Pacific Journal of Sport and Social Science, 3:2, 130-142</w:t>
      </w:r>
    </w:p>
    <w:p w:rsidR="007009D9" w:rsidRDefault="007009D9" w:rsidP="007B5986">
      <w:pPr>
        <w:rPr>
          <w:rFonts w:eastAsia="Times New Roman"/>
          <w:sz w:val="24"/>
          <w:szCs w:val="24"/>
        </w:rPr>
      </w:pPr>
    </w:p>
    <w:p w:rsidR="007009D9" w:rsidRPr="007009D9" w:rsidRDefault="007009D9" w:rsidP="007009D9">
      <w:pPr>
        <w:rPr>
          <w:rFonts w:eastAsia="Times New Roman"/>
          <w:sz w:val="24"/>
          <w:szCs w:val="24"/>
        </w:rPr>
      </w:pPr>
      <w:r w:rsidRPr="007009D9">
        <w:rPr>
          <w:rFonts w:eastAsia="Times New Roman"/>
          <w:sz w:val="24"/>
          <w:szCs w:val="24"/>
        </w:rPr>
        <w:t xml:space="preserve">N. Wainwright, J. </w:t>
      </w:r>
      <w:proofErr w:type="spellStart"/>
      <w:r w:rsidRPr="007009D9">
        <w:rPr>
          <w:rFonts w:eastAsia="Times New Roman"/>
          <w:sz w:val="24"/>
          <w:szCs w:val="24"/>
        </w:rPr>
        <w:t>Goodway</w:t>
      </w:r>
      <w:proofErr w:type="spellEnd"/>
      <w:r w:rsidRPr="007009D9">
        <w:rPr>
          <w:rFonts w:eastAsia="Times New Roman"/>
          <w:sz w:val="24"/>
          <w:szCs w:val="24"/>
        </w:rPr>
        <w:t xml:space="preserve">, M. </w:t>
      </w:r>
      <w:proofErr w:type="spellStart"/>
      <w:r w:rsidRPr="007009D9">
        <w:rPr>
          <w:rFonts w:eastAsia="Times New Roman"/>
          <w:sz w:val="24"/>
          <w:szCs w:val="24"/>
        </w:rPr>
        <w:t>Whitehed</w:t>
      </w:r>
      <w:proofErr w:type="spellEnd"/>
      <w:r w:rsidRPr="007009D9">
        <w:rPr>
          <w:rFonts w:eastAsia="Times New Roman"/>
          <w:sz w:val="24"/>
          <w:szCs w:val="24"/>
        </w:rPr>
        <w:t>, A. Williams &amp; D. Kirk (2016):</w:t>
      </w:r>
    </w:p>
    <w:p w:rsidR="007009D9" w:rsidRPr="007009D9" w:rsidRDefault="007009D9" w:rsidP="007009D9">
      <w:pPr>
        <w:rPr>
          <w:rFonts w:eastAsia="Times New Roman"/>
          <w:sz w:val="24"/>
          <w:szCs w:val="24"/>
        </w:rPr>
      </w:pPr>
      <w:r w:rsidRPr="007009D9">
        <w:rPr>
          <w:rFonts w:eastAsia="Times New Roman"/>
          <w:sz w:val="24"/>
          <w:szCs w:val="24"/>
        </w:rPr>
        <w:t>The Foundation Phase in Wales – a play-based curriculum that supports the development of</w:t>
      </w:r>
    </w:p>
    <w:p w:rsidR="007009D9" w:rsidRPr="00251D2C" w:rsidRDefault="007009D9" w:rsidP="007009D9">
      <w:pPr>
        <w:rPr>
          <w:rFonts w:eastAsia="Times New Roman"/>
          <w:sz w:val="24"/>
          <w:szCs w:val="24"/>
        </w:rPr>
      </w:pPr>
      <w:proofErr w:type="gramStart"/>
      <w:r w:rsidRPr="007009D9">
        <w:rPr>
          <w:rFonts w:eastAsia="Times New Roman"/>
          <w:sz w:val="24"/>
          <w:szCs w:val="24"/>
        </w:rPr>
        <w:t>physical</w:t>
      </w:r>
      <w:proofErr w:type="gramEnd"/>
      <w:r w:rsidRPr="007009D9">
        <w:rPr>
          <w:rFonts w:eastAsia="Times New Roman"/>
          <w:sz w:val="24"/>
          <w:szCs w:val="24"/>
        </w:rPr>
        <w:t xml:space="preserve"> literacy, Education 3-13</w:t>
      </w:r>
    </w:p>
    <w:p w:rsidR="003F1FE2" w:rsidRPr="00251D2C" w:rsidRDefault="003F1FE2" w:rsidP="007B5986">
      <w:pPr>
        <w:rPr>
          <w:rFonts w:eastAsia="Times New Roman"/>
          <w:sz w:val="24"/>
          <w:szCs w:val="24"/>
        </w:rPr>
      </w:pPr>
    </w:p>
    <w:p w:rsidR="003F1FE2" w:rsidRDefault="003F1FE2" w:rsidP="003F1FE2">
      <w:pPr>
        <w:pStyle w:val="NormalWeb"/>
        <w:spacing w:before="2" w:after="2"/>
        <w:ind w:left="450" w:hanging="450"/>
        <w:rPr>
          <w:rFonts w:asciiTheme="minorHAnsi" w:hAnsiTheme="minorHAnsi" w:cstheme="minorHAnsi"/>
          <w:color w:val="000000" w:themeColor="text1"/>
          <w:sz w:val="24"/>
          <w:szCs w:val="24"/>
        </w:rPr>
      </w:pPr>
      <w:r w:rsidRPr="00251D2C">
        <w:rPr>
          <w:rFonts w:asciiTheme="minorHAnsi" w:hAnsiTheme="minorHAnsi" w:cstheme="minorHAnsi"/>
          <w:color w:val="000000" w:themeColor="text1"/>
          <w:sz w:val="24"/>
          <w:szCs w:val="24"/>
        </w:rPr>
        <w:lastRenderedPageBreak/>
        <w:t xml:space="preserve">Pellegrini, A.D. (1991) </w:t>
      </w:r>
      <w:r w:rsidRPr="00251D2C">
        <w:rPr>
          <w:rFonts w:asciiTheme="minorHAnsi" w:hAnsiTheme="minorHAnsi" w:cstheme="minorHAnsi"/>
          <w:i/>
          <w:color w:val="000000" w:themeColor="text1"/>
          <w:sz w:val="24"/>
          <w:szCs w:val="24"/>
        </w:rPr>
        <w:t>Applied child study,</w:t>
      </w:r>
      <w:r w:rsidRPr="00251D2C">
        <w:rPr>
          <w:rFonts w:asciiTheme="minorHAnsi" w:hAnsiTheme="minorHAnsi" w:cstheme="minorHAnsi"/>
          <w:color w:val="000000" w:themeColor="text1"/>
          <w:sz w:val="24"/>
          <w:szCs w:val="24"/>
        </w:rPr>
        <w:t xml:space="preserve"> Hillsdale, NJ: Lawrence Erlbaum.</w:t>
      </w:r>
    </w:p>
    <w:p w:rsidR="00AE5E36" w:rsidRDefault="00AE5E36" w:rsidP="003F1FE2">
      <w:pPr>
        <w:pStyle w:val="NormalWeb"/>
        <w:spacing w:before="2" w:after="2"/>
        <w:ind w:left="450" w:hanging="450"/>
        <w:rPr>
          <w:rFonts w:asciiTheme="minorHAnsi" w:hAnsiTheme="minorHAnsi" w:cstheme="minorHAnsi"/>
          <w:color w:val="000000" w:themeColor="text1"/>
          <w:sz w:val="24"/>
          <w:szCs w:val="24"/>
        </w:rPr>
      </w:pPr>
    </w:p>
    <w:p w:rsidR="00AE5E36" w:rsidRDefault="00AE5E36" w:rsidP="00AE5E36">
      <w:pPr>
        <w:pStyle w:val="NormalWeb"/>
        <w:spacing w:before="2" w:after="2"/>
        <w:ind w:left="450" w:hanging="450"/>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UNICEF </w:t>
      </w:r>
      <w:proofErr w:type="gramStart"/>
      <w:r w:rsidRPr="00AE5E36">
        <w:rPr>
          <w:rFonts w:asciiTheme="minorHAnsi" w:hAnsiTheme="minorHAnsi" w:cstheme="minorHAnsi"/>
          <w:i/>
          <w:color w:val="000000" w:themeColor="text1"/>
          <w:sz w:val="24"/>
          <w:szCs w:val="24"/>
        </w:rPr>
        <w:t>What</w:t>
      </w:r>
      <w:proofErr w:type="gramEnd"/>
      <w:r w:rsidRPr="00AE5E36">
        <w:rPr>
          <w:rFonts w:asciiTheme="minorHAnsi" w:hAnsiTheme="minorHAnsi" w:cstheme="minorHAnsi"/>
          <w:i/>
          <w:color w:val="000000" w:themeColor="text1"/>
          <w:sz w:val="24"/>
          <w:szCs w:val="24"/>
        </w:rPr>
        <w:t xml:space="preserve"> is the UN Convention on Child Rights?</w:t>
      </w:r>
      <w:r>
        <w:rPr>
          <w:rFonts w:asciiTheme="minorHAnsi" w:hAnsiTheme="minorHAnsi" w:cstheme="minorHAnsi"/>
          <w:i/>
          <w:color w:val="000000" w:themeColor="text1"/>
          <w:sz w:val="24"/>
          <w:szCs w:val="24"/>
        </w:rPr>
        <w:t xml:space="preserve"> </w:t>
      </w:r>
      <w:r>
        <w:rPr>
          <w:rFonts w:asciiTheme="minorHAnsi" w:hAnsiTheme="minorHAnsi" w:cstheme="minorHAnsi"/>
          <w:color w:val="000000" w:themeColor="text1"/>
          <w:sz w:val="24"/>
          <w:szCs w:val="24"/>
        </w:rPr>
        <w:t>(1992) Available online at:</w:t>
      </w:r>
    </w:p>
    <w:p w:rsidR="00AE5E36" w:rsidRDefault="00AE5E36" w:rsidP="00AE5E36">
      <w:pPr>
        <w:pStyle w:val="NormalWeb"/>
        <w:spacing w:before="2" w:after="2"/>
        <w:ind w:left="450" w:hanging="450"/>
        <w:rPr>
          <w:rFonts w:asciiTheme="minorHAnsi" w:hAnsiTheme="minorHAnsi" w:cstheme="minorHAnsi"/>
          <w:color w:val="000000" w:themeColor="text1"/>
          <w:sz w:val="24"/>
          <w:szCs w:val="24"/>
        </w:rPr>
      </w:pPr>
      <w:hyperlink r:id="rId12" w:history="1">
        <w:r w:rsidRPr="00EA54A6">
          <w:rPr>
            <w:rStyle w:val="Hyperlink"/>
            <w:rFonts w:asciiTheme="minorHAnsi" w:hAnsiTheme="minorHAnsi" w:cstheme="minorHAnsi"/>
            <w:sz w:val="24"/>
            <w:szCs w:val="24"/>
          </w:rPr>
          <w:t>https://www.unicef.org.uk/what-we-do/un-convention-child-rights/</w:t>
        </w:r>
      </w:hyperlink>
      <w:r>
        <w:rPr>
          <w:rFonts w:asciiTheme="minorHAnsi" w:hAnsiTheme="minorHAnsi" w:cstheme="minorHAnsi"/>
          <w:color w:val="000000" w:themeColor="text1"/>
          <w:sz w:val="24"/>
          <w:szCs w:val="24"/>
        </w:rPr>
        <w:t xml:space="preserve"> (accessed: 20</w:t>
      </w:r>
      <w:r w:rsidRPr="00AE5E36">
        <w:rPr>
          <w:rFonts w:asciiTheme="minorHAnsi" w:hAnsiTheme="minorHAnsi" w:cstheme="minorHAnsi"/>
          <w:color w:val="000000" w:themeColor="text1"/>
          <w:sz w:val="24"/>
          <w:szCs w:val="24"/>
          <w:vertAlign w:val="superscript"/>
        </w:rPr>
        <w:t>th</w:t>
      </w:r>
      <w:r>
        <w:rPr>
          <w:rFonts w:asciiTheme="minorHAnsi" w:hAnsiTheme="minorHAnsi" w:cstheme="minorHAnsi"/>
          <w:color w:val="000000" w:themeColor="text1"/>
          <w:sz w:val="24"/>
          <w:szCs w:val="24"/>
        </w:rPr>
        <w:t xml:space="preserve"> March</w:t>
      </w:r>
    </w:p>
    <w:p w:rsidR="00AE5E36" w:rsidRPr="00AE5E36" w:rsidRDefault="00AE5E36" w:rsidP="00AE5E36">
      <w:pPr>
        <w:pStyle w:val="NormalWeb"/>
        <w:spacing w:before="2" w:after="2"/>
        <w:ind w:left="450" w:hanging="450"/>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2019)</w:t>
      </w:r>
    </w:p>
    <w:p w:rsidR="00571C61" w:rsidRDefault="00571C61" w:rsidP="003F1FE2">
      <w:pPr>
        <w:pStyle w:val="NormalWeb"/>
        <w:spacing w:before="2" w:after="2"/>
        <w:ind w:left="450" w:hanging="450"/>
        <w:rPr>
          <w:rFonts w:asciiTheme="minorHAnsi" w:hAnsiTheme="minorHAnsi" w:cstheme="minorHAnsi"/>
          <w:color w:val="000000" w:themeColor="text1"/>
          <w:sz w:val="24"/>
          <w:szCs w:val="24"/>
        </w:rPr>
      </w:pPr>
    </w:p>
    <w:p w:rsidR="00571C61" w:rsidRDefault="00571C61" w:rsidP="003F1FE2">
      <w:pPr>
        <w:pStyle w:val="NormalWeb"/>
        <w:spacing w:before="2" w:after="2"/>
        <w:ind w:left="450" w:hanging="450"/>
        <w:rPr>
          <w:rFonts w:asciiTheme="minorHAnsi" w:hAnsiTheme="minorHAnsi" w:cstheme="minorHAnsi"/>
          <w:color w:val="000000" w:themeColor="text1"/>
          <w:sz w:val="24"/>
          <w:szCs w:val="24"/>
        </w:rPr>
      </w:pPr>
      <w:r w:rsidRPr="00571C61">
        <w:rPr>
          <w:rFonts w:asciiTheme="minorHAnsi" w:hAnsiTheme="minorHAnsi" w:cstheme="minorHAnsi"/>
          <w:color w:val="000000" w:themeColor="text1"/>
          <w:sz w:val="24"/>
          <w:szCs w:val="24"/>
        </w:rPr>
        <w:t xml:space="preserve">Van der </w:t>
      </w:r>
      <w:proofErr w:type="spellStart"/>
      <w:r w:rsidRPr="00571C61">
        <w:rPr>
          <w:rFonts w:asciiTheme="minorHAnsi" w:hAnsiTheme="minorHAnsi" w:cstheme="minorHAnsi"/>
          <w:color w:val="000000" w:themeColor="text1"/>
          <w:sz w:val="24"/>
          <w:szCs w:val="24"/>
        </w:rPr>
        <w:t>Fels</w:t>
      </w:r>
      <w:proofErr w:type="spellEnd"/>
      <w:r w:rsidRPr="00571C61">
        <w:rPr>
          <w:rFonts w:asciiTheme="minorHAnsi" w:hAnsiTheme="minorHAnsi" w:cstheme="minorHAnsi"/>
          <w:color w:val="000000" w:themeColor="text1"/>
          <w:sz w:val="24"/>
          <w:szCs w:val="24"/>
        </w:rPr>
        <w:t xml:space="preserve"> IM, </w:t>
      </w:r>
      <w:proofErr w:type="spellStart"/>
      <w:r w:rsidRPr="00571C61">
        <w:rPr>
          <w:rFonts w:asciiTheme="minorHAnsi" w:hAnsiTheme="minorHAnsi" w:cstheme="minorHAnsi"/>
          <w:color w:val="000000" w:themeColor="text1"/>
          <w:sz w:val="24"/>
          <w:szCs w:val="24"/>
        </w:rPr>
        <w:t>Te</w:t>
      </w:r>
      <w:proofErr w:type="spellEnd"/>
      <w:r w:rsidRPr="00571C61">
        <w:rPr>
          <w:rFonts w:asciiTheme="minorHAnsi" w:hAnsiTheme="minorHAnsi" w:cstheme="minorHAnsi"/>
          <w:color w:val="000000" w:themeColor="text1"/>
          <w:sz w:val="24"/>
          <w:szCs w:val="24"/>
        </w:rPr>
        <w:t xml:space="preserve"> </w:t>
      </w:r>
      <w:proofErr w:type="spellStart"/>
      <w:r w:rsidRPr="00571C61">
        <w:rPr>
          <w:rFonts w:asciiTheme="minorHAnsi" w:hAnsiTheme="minorHAnsi" w:cstheme="minorHAnsi"/>
          <w:color w:val="000000" w:themeColor="text1"/>
          <w:sz w:val="24"/>
          <w:szCs w:val="24"/>
        </w:rPr>
        <w:t>Wierike</w:t>
      </w:r>
      <w:proofErr w:type="spellEnd"/>
      <w:r w:rsidRPr="00571C61">
        <w:rPr>
          <w:rFonts w:asciiTheme="minorHAnsi" w:hAnsiTheme="minorHAnsi" w:cstheme="minorHAnsi"/>
          <w:color w:val="000000" w:themeColor="text1"/>
          <w:sz w:val="24"/>
          <w:szCs w:val="24"/>
        </w:rPr>
        <w:t xml:space="preserve"> SC, Hartman E, </w:t>
      </w:r>
      <w:proofErr w:type="spellStart"/>
      <w:r w:rsidRPr="00571C61">
        <w:rPr>
          <w:rFonts w:asciiTheme="minorHAnsi" w:hAnsiTheme="minorHAnsi" w:cstheme="minorHAnsi"/>
          <w:color w:val="000000" w:themeColor="text1"/>
          <w:sz w:val="24"/>
          <w:szCs w:val="24"/>
        </w:rPr>
        <w:t>Elferink</w:t>
      </w:r>
      <w:r>
        <w:rPr>
          <w:rFonts w:asciiTheme="minorHAnsi" w:hAnsiTheme="minorHAnsi" w:cstheme="minorHAnsi"/>
          <w:color w:val="000000" w:themeColor="text1"/>
          <w:sz w:val="24"/>
          <w:szCs w:val="24"/>
        </w:rPr>
        <w:t>-Gemser</w:t>
      </w:r>
      <w:proofErr w:type="spellEnd"/>
      <w:r>
        <w:rPr>
          <w:rFonts w:asciiTheme="minorHAnsi" w:hAnsiTheme="minorHAnsi" w:cstheme="minorHAnsi"/>
          <w:color w:val="000000" w:themeColor="text1"/>
          <w:sz w:val="24"/>
          <w:szCs w:val="24"/>
        </w:rPr>
        <w:t xml:space="preserve"> MT Smith J, </w:t>
      </w:r>
      <w:proofErr w:type="spellStart"/>
      <w:r>
        <w:rPr>
          <w:rFonts w:asciiTheme="minorHAnsi" w:hAnsiTheme="minorHAnsi" w:cstheme="minorHAnsi"/>
          <w:color w:val="000000" w:themeColor="text1"/>
          <w:sz w:val="24"/>
          <w:szCs w:val="24"/>
        </w:rPr>
        <w:t>Visscher</w:t>
      </w:r>
      <w:proofErr w:type="spellEnd"/>
      <w:r>
        <w:rPr>
          <w:rFonts w:asciiTheme="minorHAnsi" w:hAnsiTheme="minorHAnsi" w:cstheme="minorHAnsi"/>
          <w:color w:val="000000" w:themeColor="text1"/>
          <w:sz w:val="24"/>
          <w:szCs w:val="24"/>
        </w:rPr>
        <w:t xml:space="preserve"> C.</w:t>
      </w:r>
    </w:p>
    <w:p w:rsidR="00571C61" w:rsidRDefault="00571C61" w:rsidP="003F1FE2">
      <w:pPr>
        <w:pStyle w:val="NormalWeb"/>
        <w:spacing w:before="2" w:after="2"/>
        <w:ind w:left="450" w:hanging="450"/>
        <w:rPr>
          <w:rFonts w:asciiTheme="minorHAnsi" w:hAnsiTheme="minorHAnsi" w:cstheme="minorHAnsi"/>
          <w:color w:val="000000" w:themeColor="text1"/>
          <w:sz w:val="24"/>
          <w:szCs w:val="24"/>
        </w:rPr>
      </w:pPr>
      <w:r w:rsidRPr="00571C61">
        <w:rPr>
          <w:rFonts w:asciiTheme="minorHAnsi" w:hAnsiTheme="minorHAnsi" w:cstheme="minorHAnsi"/>
          <w:color w:val="000000" w:themeColor="text1"/>
          <w:sz w:val="24"/>
          <w:szCs w:val="24"/>
        </w:rPr>
        <w:t>(2015).The relationship between motor skills and cognitive skil</w:t>
      </w:r>
      <w:r>
        <w:rPr>
          <w:rFonts w:asciiTheme="minorHAnsi" w:hAnsiTheme="minorHAnsi" w:cstheme="minorHAnsi"/>
          <w:color w:val="000000" w:themeColor="text1"/>
          <w:sz w:val="24"/>
          <w:szCs w:val="24"/>
        </w:rPr>
        <w:t>ls in 4 -16 year olds typically</w:t>
      </w:r>
    </w:p>
    <w:p w:rsidR="00571C61" w:rsidRPr="00251D2C" w:rsidRDefault="00571C61" w:rsidP="003F1FE2">
      <w:pPr>
        <w:pStyle w:val="NormalWeb"/>
        <w:spacing w:before="2" w:after="2"/>
        <w:ind w:left="450" w:hanging="450"/>
        <w:rPr>
          <w:rFonts w:asciiTheme="minorHAnsi" w:hAnsiTheme="minorHAnsi" w:cstheme="minorHAnsi"/>
          <w:color w:val="000000" w:themeColor="text1"/>
          <w:sz w:val="24"/>
          <w:szCs w:val="24"/>
        </w:rPr>
      </w:pPr>
      <w:proofErr w:type="gramStart"/>
      <w:r w:rsidRPr="00571C61">
        <w:rPr>
          <w:rFonts w:asciiTheme="minorHAnsi" w:hAnsiTheme="minorHAnsi" w:cstheme="minorHAnsi"/>
          <w:color w:val="000000" w:themeColor="text1"/>
          <w:sz w:val="24"/>
          <w:szCs w:val="24"/>
        </w:rPr>
        <w:t>developing</w:t>
      </w:r>
      <w:proofErr w:type="gramEnd"/>
      <w:r w:rsidRPr="00571C61">
        <w:rPr>
          <w:rFonts w:asciiTheme="minorHAnsi" w:hAnsiTheme="minorHAnsi" w:cstheme="minorHAnsi"/>
          <w:color w:val="000000" w:themeColor="text1"/>
          <w:sz w:val="24"/>
          <w:szCs w:val="24"/>
        </w:rPr>
        <w:t xml:space="preserve"> children: a systematic review. J </w:t>
      </w:r>
      <w:proofErr w:type="spellStart"/>
      <w:r w:rsidRPr="00571C61">
        <w:rPr>
          <w:rFonts w:asciiTheme="minorHAnsi" w:hAnsiTheme="minorHAnsi" w:cstheme="minorHAnsi"/>
          <w:color w:val="000000" w:themeColor="text1"/>
          <w:sz w:val="24"/>
          <w:szCs w:val="24"/>
        </w:rPr>
        <w:t>Sci</w:t>
      </w:r>
      <w:proofErr w:type="spellEnd"/>
      <w:r w:rsidRPr="00571C61">
        <w:rPr>
          <w:rFonts w:asciiTheme="minorHAnsi" w:hAnsiTheme="minorHAnsi" w:cstheme="minorHAnsi"/>
          <w:color w:val="000000" w:themeColor="text1"/>
          <w:sz w:val="24"/>
          <w:szCs w:val="24"/>
        </w:rPr>
        <w:t xml:space="preserve"> Med Sport 18(6) 697-703</w:t>
      </w:r>
    </w:p>
    <w:p w:rsidR="00E22B74" w:rsidRPr="00251D2C" w:rsidRDefault="00E22B74" w:rsidP="007B5986">
      <w:pPr>
        <w:rPr>
          <w:rFonts w:eastAsia="Times New Roman"/>
          <w:sz w:val="24"/>
          <w:szCs w:val="24"/>
        </w:rPr>
      </w:pPr>
    </w:p>
    <w:p w:rsidR="003453C4" w:rsidRPr="00251D2C" w:rsidRDefault="00C44507" w:rsidP="007B5986">
      <w:pPr>
        <w:rPr>
          <w:sz w:val="24"/>
          <w:szCs w:val="24"/>
        </w:rPr>
      </w:pPr>
      <w:r w:rsidRPr="00251D2C">
        <w:rPr>
          <w:rFonts w:eastAsia="Times New Roman"/>
          <w:sz w:val="24"/>
          <w:szCs w:val="24"/>
        </w:rPr>
        <w:t xml:space="preserve">Welsh Assembly Government (WAG) </w:t>
      </w:r>
      <w:r w:rsidRPr="00251D2C">
        <w:rPr>
          <w:rFonts w:eastAsia="Times New Roman"/>
          <w:i/>
          <w:sz w:val="24"/>
          <w:szCs w:val="24"/>
        </w:rPr>
        <w:t>Learning and Teaching Pedagogy</w:t>
      </w:r>
      <w:r w:rsidRPr="00251D2C">
        <w:rPr>
          <w:rFonts w:eastAsia="Times New Roman"/>
          <w:sz w:val="24"/>
          <w:szCs w:val="24"/>
        </w:rPr>
        <w:t xml:space="preserve"> (2010) available at </w:t>
      </w:r>
      <w:hyperlink r:id="rId13" w:history="1">
        <w:r w:rsidRPr="00251D2C">
          <w:rPr>
            <w:rStyle w:val="Hyperlink"/>
            <w:sz w:val="24"/>
            <w:szCs w:val="24"/>
          </w:rPr>
          <w:t>https://learning.gov.wales/docs/learningwales/publications/130212ltpedagogyen.pdf</w:t>
        </w:r>
      </w:hyperlink>
      <w:r w:rsidRPr="00251D2C">
        <w:rPr>
          <w:sz w:val="24"/>
          <w:szCs w:val="24"/>
        </w:rPr>
        <w:t xml:space="preserve"> (accessed: 15</w:t>
      </w:r>
      <w:r w:rsidRPr="00251D2C">
        <w:rPr>
          <w:sz w:val="24"/>
          <w:szCs w:val="24"/>
          <w:vertAlign w:val="superscript"/>
        </w:rPr>
        <w:t>th</w:t>
      </w:r>
      <w:r w:rsidRPr="00251D2C">
        <w:rPr>
          <w:sz w:val="24"/>
          <w:szCs w:val="24"/>
        </w:rPr>
        <w:t xml:space="preserve"> March 2019)</w:t>
      </w:r>
    </w:p>
    <w:p w:rsidR="003453C4" w:rsidRPr="00251D2C" w:rsidRDefault="003453C4" w:rsidP="007B5986">
      <w:pPr>
        <w:rPr>
          <w:sz w:val="24"/>
          <w:szCs w:val="24"/>
        </w:rPr>
      </w:pPr>
    </w:p>
    <w:p w:rsidR="003453C4" w:rsidRDefault="003453C4" w:rsidP="007B5986">
      <w:r w:rsidRPr="00251D2C">
        <w:rPr>
          <w:sz w:val="24"/>
          <w:szCs w:val="24"/>
        </w:rPr>
        <w:t>Welsh Government</w:t>
      </w:r>
      <w:r w:rsidR="00251D2C" w:rsidRPr="00251D2C">
        <w:rPr>
          <w:sz w:val="24"/>
          <w:szCs w:val="24"/>
        </w:rPr>
        <w:t xml:space="preserve"> </w:t>
      </w:r>
      <w:r w:rsidR="00251D2C" w:rsidRPr="00251D2C">
        <w:rPr>
          <w:i/>
          <w:sz w:val="24"/>
          <w:szCs w:val="24"/>
        </w:rPr>
        <w:t>Curriculum for Wales</w:t>
      </w:r>
      <w:r w:rsidR="00251D2C" w:rsidRPr="00251D2C">
        <w:rPr>
          <w:sz w:val="24"/>
          <w:szCs w:val="24"/>
        </w:rPr>
        <w:t xml:space="preserve"> (revised 2015) available at </w:t>
      </w:r>
      <w:hyperlink r:id="rId14" w:history="1">
        <w:r w:rsidR="00251D2C" w:rsidRPr="00251D2C">
          <w:rPr>
            <w:rStyle w:val="Hyperlink"/>
            <w:sz w:val="24"/>
            <w:szCs w:val="24"/>
          </w:rPr>
          <w:t>https://gov.wales/sites/default/files/publications/2018-02/foundation-phase-framework-revised-2015.pdf</w:t>
        </w:r>
      </w:hyperlink>
      <w:r w:rsidR="00251D2C" w:rsidRPr="00251D2C">
        <w:rPr>
          <w:sz w:val="24"/>
          <w:szCs w:val="24"/>
        </w:rPr>
        <w:t xml:space="preserve"> (accessed</w:t>
      </w:r>
      <w:r w:rsidR="00251D2C">
        <w:rPr>
          <w:sz w:val="24"/>
          <w:szCs w:val="24"/>
        </w:rPr>
        <w:t>:</w:t>
      </w:r>
      <w:r w:rsidR="00251D2C">
        <w:t xml:space="preserve"> </w:t>
      </w:r>
      <w:r w:rsidR="00251D2C" w:rsidRPr="00251D2C">
        <w:rPr>
          <w:sz w:val="24"/>
          <w:szCs w:val="24"/>
        </w:rPr>
        <w:t>18</w:t>
      </w:r>
      <w:r w:rsidR="00251D2C" w:rsidRPr="00251D2C">
        <w:rPr>
          <w:sz w:val="24"/>
          <w:szCs w:val="24"/>
          <w:vertAlign w:val="superscript"/>
        </w:rPr>
        <w:t>th</w:t>
      </w:r>
      <w:r w:rsidR="00251D2C">
        <w:t xml:space="preserve"> Match 2019)</w:t>
      </w:r>
    </w:p>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Default="009A1F22" w:rsidP="007B5986"/>
    <w:p w:rsidR="009A1F22" w:rsidRPr="0006594F" w:rsidRDefault="009A1F22" w:rsidP="009A1F22">
      <w:pPr>
        <w:pStyle w:val="Title"/>
        <w:ind w:left="-284"/>
        <w:rPr>
          <w:u w:val="single"/>
        </w:rPr>
      </w:pPr>
      <w:r w:rsidRPr="0006594F">
        <w:rPr>
          <w:u w:val="single"/>
        </w:rPr>
        <w:lastRenderedPageBreak/>
        <w:t>Assignment Checklist</w:t>
      </w:r>
    </w:p>
    <w:p w:rsidR="009A1F22" w:rsidRPr="009574BA" w:rsidRDefault="009A1F22" w:rsidP="009A1F22">
      <w:pPr>
        <w:pStyle w:val="Title"/>
        <w:ind w:left="-284"/>
      </w:pPr>
    </w:p>
    <w:p w:rsidR="009A1F22" w:rsidRDefault="009A1F22" w:rsidP="009A1F2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9A1F22" w:rsidRDefault="009A1F22" w:rsidP="009A1F2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w:t>
      </w:r>
      <w:bookmarkStart w:id="0" w:name="_GoBack"/>
      <w:bookmarkEnd w:id="0"/>
      <w:r w:rsidRPr="009574BA">
        <w:rPr>
          <w:rFonts w:ascii="Times New Roman" w:eastAsia="Times New Roman" w:hAnsi="Times New Roman"/>
          <w:sz w:val="24"/>
          <w:szCs w:val="24"/>
        </w:rPr>
        <w:t xml:space="preserve"> code</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9A1F22"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9A1F22"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9A1F22" w:rsidRPr="004150A6"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9A1F22" w:rsidRPr="009574BA" w:rsidRDefault="009A1F22" w:rsidP="009A1F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9A1F22" w:rsidRPr="009A1F22" w:rsidRDefault="009A1F22" w:rsidP="009A1F22">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A1F22" w:rsidRPr="009A1F22">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0A00" w:rsidRDefault="00880A00" w:rsidP="0077207E">
      <w:pPr>
        <w:spacing w:line="240" w:lineRule="auto"/>
      </w:pPr>
      <w:r>
        <w:separator/>
      </w:r>
    </w:p>
  </w:endnote>
  <w:endnote w:type="continuationSeparator" w:id="0">
    <w:p w:rsidR="00880A00" w:rsidRDefault="00880A0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101564"/>
      <w:docPartObj>
        <w:docPartGallery w:val="Page Numbers (Bottom of Page)"/>
        <w:docPartUnique/>
      </w:docPartObj>
    </w:sdtPr>
    <w:sdtEndPr>
      <w:rPr>
        <w:noProof/>
      </w:rPr>
    </w:sdtEndPr>
    <w:sdtContent>
      <w:p w:rsidR="00D557F2" w:rsidRDefault="00D557F2">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D557F2" w:rsidRDefault="00D557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0A00" w:rsidRDefault="00880A00" w:rsidP="0077207E">
      <w:pPr>
        <w:spacing w:line="240" w:lineRule="auto"/>
      </w:pPr>
      <w:r>
        <w:separator/>
      </w:r>
    </w:p>
  </w:footnote>
  <w:footnote w:type="continuationSeparator" w:id="0">
    <w:p w:rsidR="00880A00" w:rsidRDefault="00880A00"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57F2" w:rsidRDefault="00D557F2">
    <w:pPr>
      <w:pStyle w:val="Header"/>
    </w:pPr>
    <w:r>
      <w:t>Imogen Evans - 1700981</w:t>
    </w:r>
  </w:p>
  <w:p w:rsidR="00D557F2" w:rsidRDefault="00D557F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3" type="#_x0000_t75" style="width:11.25pt;height:11.25pt" o:bullet="t">
        <v:imagedata r:id="rId1" o:title="mso33FC"/>
      </v:shape>
    </w:pict>
  </w:numPicBullet>
  <w:abstractNum w:abstractNumId="0">
    <w:nsid w:val="40BB186E"/>
    <w:multiLevelType w:val="hybridMultilevel"/>
    <w:tmpl w:val="58F0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50171AB"/>
    <w:multiLevelType w:val="hybridMultilevel"/>
    <w:tmpl w:val="156C535E"/>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784958F6"/>
    <w:multiLevelType w:val="hybridMultilevel"/>
    <w:tmpl w:val="2D764D4A"/>
    <w:lvl w:ilvl="0" w:tplc="7C265AE6">
      <w:start w:val="1"/>
      <w:numFmt w:val="bullet"/>
      <w:lvlText w:val="•"/>
      <w:lvlJc w:val="left"/>
      <w:pPr>
        <w:tabs>
          <w:tab w:val="num" w:pos="720"/>
        </w:tabs>
        <w:ind w:left="720" w:hanging="360"/>
      </w:pPr>
      <w:rPr>
        <w:rFonts w:ascii="Arial" w:hAnsi="Arial" w:hint="default"/>
      </w:rPr>
    </w:lvl>
    <w:lvl w:ilvl="1" w:tplc="96EC5A96" w:tentative="1">
      <w:start w:val="1"/>
      <w:numFmt w:val="bullet"/>
      <w:lvlText w:val="•"/>
      <w:lvlJc w:val="left"/>
      <w:pPr>
        <w:tabs>
          <w:tab w:val="num" w:pos="1440"/>
        </w:tabs>
        <w:ind w:left="1440" w:hanging="360"/>
      </w:pPr>
      <w:rPr>
        <w:rFonts w:ascii="Arial" w:hAnsi="Arial" w:hint="default"/>
      </w:rPr>
    </w:lvl>
    <w:lvl w:ilvl="2" w:tplc="9ED840B2" w:tentative="1">
      <w:start w:val="1"/>
      <w:numFmt w:val="bullet"/>
      <w:lvlText w:val="•"/>
      <w:lvlJc w:val="left"/>
      <w:pPr>
        <w:tabs>
          <w:tab w:val="num" w:pos="2160"/>
        </w:tabs>
        <w:ind w:left="2160" w:hanging="360"/>
      </w:pPr>
      <w:rPr>
        <w:rFonts w:ascii="Arial" w:hAnsi="Arial" w:hint="default"/>
      </w:rPr>
    </w:lvl>
    <w:lvl w:ilvl="3" w:tplc="422C27C6" w:tentative="1">
      <w:start w:val="1"/>
      <w:numFmt w:val="bullet"/>
      <w:lvlText w:val="•"/>
      <w:lvlJc w:val="left"/>
      <w:pPr>
        <w:tabs>
          <w:tab w:val="num" w:pos="2880"/>
        </w:tabs>
        <w:ind w:left="2880" w:hanging="360"/>
      </w:pPr>
      <w:rPr>
        <w:rFonts w:ascii="Arial" w:hAnsi="Arial" w:hint="default"/>
      </w:rPr>
    </w:lvl>
    <w:lvl w:ilvl="4" w:tplc="569C0230" w:tentative="1">
      <w:start w:val="1"/>
      <w:numFmt w:val="bullet"/>
      <w:lvlText w:val="•"/>
      <w:lvlJc w:val="left"/>
      <w:pPr>
        <w:tabs>
          <w:tab w:val="num" w:pos="3600"/>
        </w:tabs>
        <w:ind w:left="3600" w:hanging="360"/>
      </w:pPr>
      <w:rPr>
        <w:rFonts w:ascii="Arial" w:hAnsi="Arial" w:hint="default"/>
      </w:rPr>
    </w:lvl>
    <w:lvl w:ilvl="5" w:tplc="67E8C0FC" w:tentative="1">
      <w:start w:val="1"/>
      <w:numFmt w:val="bullet"/>
      <w:lvlText w:val="•"/>
      <w:lvlJc w:val="left"/>
      <w:pPr>
        <w:tabs>
          <w:tab w:val="num" w:pos="4320"/>
        </w:tabs>
        <w:ind w:left="4320" w:hanging="360"/>
      </w:pPr>
      <w:rPr>
        <w:rFonts w:ascii="Arial" w:hAnsi="Arial" w:hint="default"/>
      </w:rPr>
    </w:lvl>
    <w:lvl w:ilvl="6" w:tplc="0750F6F8" w:tentative="1">
      <w:start w:val="1"/>
      <w:numFmt w:val="bullet"/>
      <w:lvlText w:val="•"/>
      <w:lvlJc w:val="left"/>
      <w:pPr>
        <w:tabs>
          <w:tab w:val="num" w:pos="5040"/>
        </w:tabs>
        <w:ind w:left="5040" w:hanging="360"/>
      </w:pPr>
      <w:rPr>
        <w:rFonts w:ascii="Arial" w:hAnsi="Arial" w:hint="default"/>
      </w:rPr>
    </w:lvl>
    <w:lvl w:ilvl="7" w:tplc="469A14AC" w:tentative="1">
      <w:start w:val="1"/>
      <w:numFmt w:val="bullet"/>
      <w:lvlText w:val="•"/>
      <w:lvlJc w:val="left"/>
      <w:pPr>
        <w:tabs>
          <w:tab w:val="num" w:pos="5760"/>
        </w:tabs>
        <w:ind w:left="5760" w:hanging="360"/>
      </w:pPr>
      <w:rPr>
        <w:rFonts w:ascii="Arial" w:hAnsi="Arial" w:hint="default"/>
      </w:rPr>
    </w:lvl>
    <w:lvl w:ilvl="8" w:tplc="4C304C8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265D"/>
    <w:rsid w:val="00017018"/>
    <w:rsid w:val="00030867"/>
    <w:rsid w:val="000469A5"/>
    <w:rsid w:val="0005305D"/>
    <w:rsid w:val="000B1AA5"/>
    <w:rsid w:val="000D4291"/>
    <w:rsid w:val="000D487F"/>
    <w:rsid w:val="0012487E"/>
    <w:rsid w:val="00133FA6"/>
    <w:rsid w:val="00160F13"/>
    <w:rsid w:val="001836EC"/>
    <w:rsid w:val="00191784"/>
    <w:rsid w:val="001A4B68"/>
    <w:rsid w:val="001B605F"/>
    <w:rsid w:val="001D670B"/>
    <w:rsid w:val="001F7C59"/>
    <w:rsid w:val="002030E4"/>
    <w:rsid w:val="00243614"/>
    <w:rsid w:val="00251D2C"/>
    <w:rsid w:val="00260D7B"/>
    <w:rsid w:val="00261A5F"/>
    <w:rsid w:val="00261AF4"/>
    <w:rsid w:val="00274BB6"/>
    <w:rsid w:val="0028341B"/>
    <w:rsid w:val="00284793"/>
    <w:rsid w:val="002A5D6A"/>
    <w:rsid w:val="002A7AAE"/>
    <w:rsid w:val="002B40B0"/>
    <w:rsid w:val="002C59CB"/>
    <w:rsid w:val="002E203A"/>
    <w:rsid w:val="002E513C"/>
    <w:rsid w:val="00317441"/>
    <w:rsid w:val="00331A3A"/>
    <w:rsid w:val="00344249"/>
    <w:rsid w:val="003453C4"/>
    <w:rsid w:val="00351BBE"/>
    <w:rsid w:val="003839CE"/>
    <w:rsid w:val="003A7530"/>
    <w:rsid w:val="003B2466"/>
    <w:rsid w:val="003F10FA"/>
    <w:rsid w:val="003F1FE2"/>
    <w:rsid w:val="004019CA"/>
    <w:rsid w:val="00401D59"/>
    <w:rsid w:val="004150A6"/>
    <w:rsid w:val="00417FA2"/>
    <w:rsid w:val="00424460"/>
    <w:rsid w:val="00437D19"/>
    <w:rsid w:val="00471CD2"/>
    <w:rsid w:val="00484EC1"/>
    <w:rsid w:val="00491545"/>
    <w:rsid w:val="004A70C6"/>
    <w:rsid w:val="004D57CA"/>
    <w:rsid w:val="004E5105"/>
    <w:rsid w:val="00504D51"/>
    <w:rsid w:val="005374BB"/>
    <w:rsid w:val="00542F4E"/>
    <w:rsid w:val="00545B2E"/>
    <w:rsid w:val="00546B99"/>
    <w:rsid w:val="00571C61"/>
    <w:rsid w:val="005963C3"/>
    <w:rsid w:val="005B6AB6"/>
    <w:rsid w:val="006010DF"/>
    <w:rsid w:val="00626931"/>
    <w:rsid w:val="006827D7"/>
    <w:rsid w:val="0069751F"/>
    <w:rsid w:val="006D4F89"/>
    <w:rsid w:val="007009D9"/>
    <w:rsid w:val="00710C8D"/>
    <w:rsid w:val="0075304D"/>
    <w:rsid w:val="0077207E"/>
    <w:rsid w:val="007875A0"/>
    <w:rsid w:val="007B5986"/>
    <w:rsid w:val="007D2445"/>
    <w:rsid w:val="007D332B"/>
    <w:rsid w:val="007E3711"/>
    <w:rsid w:val="007F33A8"/>
    <w:rsid w:val="00846882"/>
    <w:rsid w:val="00872DA2"/>
    <w:rsid w:val="00880A00"/>
    <w:rsid w:val="008B1215"/>
    <w:rsid w:val="008C5DB5"/>
    <w:rsid w:val="00921EC2"/>
    <w:rsid w:val="00927A72"/>
    <w:rsid w:val="009859DC"/>
    <w:rsid w:val="009A1F22"/>
    <w:rsid w:val="009B68EB"/>
    <w:rsid w:val="00A02860"/>
    <w:rsid w:val="00A36EB8"/>
    <w:rsid w:val="00A41890"/>
    <w:rsid w:val="00A623C2"/>
    <w:rsid w:val="00A72A53"/>
    <w:rsid w:val="00A82338"/>
    <w:rsid w:val="00AD5E06"/>
    <w:rsid w:val="00AE01B4"/>
    <w:rsid w:val="00AE5E36"/>
    <w:rsid w:val="00B05773"/>
    <w:rsid w:val="00B07D54"/>
    <w:rsid w:val="00B31205"/>
    <w:rsid w:val="00B6191E"/>
    <w:rsid w:val="00B76FD2"/>
    <w:rsid w:val="00BE70F0"/>
    <w:rsid w:val="00BF3F1C"/>
    <w:rsid w:val="00C10F21"/>
    <w:rsid w:val="00C3093A"/>
    <w:rsid w:val="00C33FF1"/>
    <w:rsid w:val="00C3455C"/>
    <w:rsid w:val="00C34B28"/>
    <w:rsid w:val="00C44507"/>
    <w:rsid w:val="00C536A6"/>
    <w:rsid w:val="00C6371F"/>
    <w:rsid w:val="00CA255D"/>
    <w:rsid w:val="00CB1CB8"/>
    <w:rsid w:val="00CE7986"/>
    <w:rsid w:val="00D03227"/>
    <w:rsid w:val="00D34C76"/>
    <w:rsid w:val="00D557F2"/>
    <w:rsid w:val="00D6095A"/>
    <w:rsid w:val="00D73825"/>
    <w:rsid w:val="00DF54D0"/>
    <w:rsid w:val="00DF5A32"/>
    <w:rsid w:val="00E10195"/>
    <w:rsid w:val="00E135F0"/>
    <w:rsid w:val="00E22B74"/>
    <w:rsid w:val="00E24CCB"/>
    <w:rsid w:val="00E44E9D"/>
    <w:rsid w:val="00E556DD"/>
    <w:rsid w:val="00E63817"/>
    <w:rsid w:val="00E669A3"/>
    <w:rsid w:val="00E76D68"/>
    <w:rsid w:val="00EA5C3F"/>
    <w:rsid w:val="00EB1D11"/>
    <w:rsid w:val="00EB1F41"/>
    <w:rsid w:val="00EB29E2"/>
    <w:rsid w:val="00ED7B76"/>
    <w:rsid w:val="00EE29ED"/>
    <w:rsid w:val="00F204CB"/>
    <w:rsid w:val="00F328D9"/>
    <w:rsid w:val="00F33DF6"/>
    <w:rsid w:val="00F67C29"/>
    <w:rsid w:val="00FA44F4"/>
    <w:rsid w:val="00FA46F0"/>
    <w:rsid w:val="00FC2290"/>
    <w:rsid w:val="00FD2CFF"/>
    <w:rsid w:val="00FF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C44507"/>
    <w:rPr>
      <w:color w:val="0000FF"/>
      <w:u w:val="single"/>
    </w:rPr>
  </w:style>
  <w:style w:type="paragraph" w:styleId="NormalWeb">
    <w:name w:val="Normal (Web)"/>
    <w:basedOn w:val="Normal"/>
    <w:uiPriority w:val="99"/>
    <w:rsid w:val="003F1FE2"/>
    <w:pPr>
      <w:spacing w:beforeLines="1" w:afterLines="1" w:line="240" w:lineRule="auto"/>
    </w:pPr>
    <w:rPr>
      <w:rFonts w:ascii="Times" w:eastAsia="MS Mincho" w:hAnsi="Times" w:cs="Times New Roman"/>
      <w:sz w:val="20"/>
      <w:szCs w:val="20"/>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C44507"/>
    <w:rPr>
      <w:color w:val="0000FF"/>
      <w:u w:val="single"/>
    </w:rPr>
  </w:style>
  <w:style w:type="paragraph" w:styleId="NormalWeb">
    <w:name w:val="Normal (Web)"/>
    <w:basedOn w:val="Normal"/>
    <w:uiPriority w:val="99"/>
    <w:rsid w:val="003F1FE2"/>
    <w:pPr>
      <w:spacing w:beforeLines="1" w:afterLines="1" w:line="240" w:lineRule="auto"/>
    </w:pPr>
    <w:rPr>
      <w:rFonts w:ascii="Times" w:eastAsia="MS Mincho" w:hAnsi="Times" w:cs="Times New Roman"/>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2556867">
      <w:bodyDiv w:val="1"/>
      <w:marLeft w:val="0"/>
      <w:marRight w:val="0"/>
      <w:marTop w:val="0"/>
      <w:marBottom w:val="0"/>
      <w:divBdr>
        <w:top w:val="none" w:sz="0" w:space="0" w:color="auto"/>
        <w:left w:val="none" w:sz="0" w:space="0" w:color="auto"/>
        <w:bottom w:val="none" w:sz="0" w:space="0" w:color="auto"/>
        <w:right w:val="none" w:sz="0" w:space="0" w:color="auto"/>
      </w:divBdr>
      <w:divsChild>
        <w:div w:id="1802921428">
          <w:marLeft w:val="547"/>
          <w:marRight w:val="0"/>
          <w:marTop w:val="400"/>
          <w:marBottom w:val="0"/>
          <w:divBdr>
            <w:top w:val="none" w:sz="0" w:space="0" w:color="auto"/>
            <w:left w:val="none" w:sz="0" w:space="0" w:color="auto"/>
            <w:bottom w:val="none" w:sz="0" w:space="0" w:color="auto"/>
            <w:right w:val="none" w:sz="0" w:space="0" w:color="auto"/>
          </w:divBdr>
        </w:div>
      </w:divsChild>
    </w:div>
    <w:div w:id="714744358">
      <w:bodyDiv w:val="1"/>
      <w:marLeft w:val="0"/>
      <w:marRight w:val="0"/>
      <w:marTop w:val="0"/>
      <w:marBottom w:val="0"/>
      <w:divBdr>
        <w:top w:val="none" w:sz="0" w:space="0" w:color="auto"/>
        <w:left w:val="none" w:sz="0" w:space="0" w:color="auto"/>
        <w:bottom w:val="none" w:sz="0" w:space="0" w:color="auto"/>
        <w:right w:val="none" w:sz="0" w:space="0" w:color="auto"/>
      </w:divBdr>
      <w:divsChild>
        <w:div w:id="1883905474">
          <w:marLeft w:val="360"/>
          <w:marRight w:val="0"/>
          <w:marTop w:val="20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89541499">
      <w:bodyDiv w:val="1"/>
      <w:marLeft w:val="0"/>
      <w:marRight w:val="0"/>
      <w:marTop w:val="0"/>
      <w:marBottom w:val="0"/>
      <w:divBdr>
        <w:top w:val="none" w:sz="0" w:space="0" w:color="auto"/>
        <w:left w:val="none" w:sz="0" w:space="0" w:color="auto"/>
        <w:bottom w:val="none" w:sz="0" w:space="0" w:color="auto"/>
        <w:right w:val="none" w:sz="0" w:space="0" w:color="auto"/>
      </w:divBdr>
    </w:div>
    <w:div w:id="181798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earning.gov.wales/docs/learningwales/publications/130212ltpedagogyen.pdf" TargetMode="External"/><Relationship Id="rId18"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unicef.org.uk/what-we-do/un-convention-child-righ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hecanada.ca/sites/default/files/pl_position_paper.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ipaworld.org/childs-right-to-play/the-childs-right-to-pla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hysical-literacy.org.uk/" TargetMode="External"/><Relationship Id="rId14" Type="http://schemas.openxmlformats.org/officeDocument/2006/relationships/hyperlink" Target="https://gov.wales/sites/default/files/publications/2018-02/foundation-phase-framework-revised-2015.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0D93"/>
    <w:rsid w:val="00C00D93"/>
    <w:rsid w:val="00E06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B9BCC3D81640909C65F0A2E2562FD2">
    <w:name w:val="69B9BCC3D81640909C65F0A2E2562FD2"/>
    <w:rsid w:val="00C00D9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B9BCC3D81640909C65F0A2E2562FD2">
    <w:name w:val="69B9BCC3D81640909C65F0A2E2562FD2"/>
    <w:rsid w:val="00C00D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612</TotalTime>
  <Pages>10</Pages>
  <Words>2727</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80</cp:revision>
  <cp:lastPrinted>2014-08-18T15:50:00Z</cp:lastPrinted>
  <dcterms:created xsi:type="dcterms:W3CDTF">2019-03-20T22:02:00Z</dcterms:created>
  <dcterms:modified xsi:type="dcterms:W3CDTF">2019-03-22T13:29:00Z</dcterms:modified>
</cp:coreProperties>
</file>