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fontTable.xml.rels" ContentType="application/vnd.openxmlformats-package.relationships+xml"/>
  <Override PartName="/word/_rels/document.xml.rels" ContentType="application/vnd.openxmlformats-package.relationships+xml"/>
  <Override PartName="/word/styles.xml" ContentType="application/vnd.openxmlformats-officedocument.wordprocessingml.styles+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header1.xml" ContentType="application/vnd.openxmlformats-officedocument.wordprocessingml.header+xml"/>
  <Override PartName="/word/document.xml" ContentType="application/vnd.openxmlformats-officedocument.wordprocessingml.document.main+xml"/>
  <Override PartName="/word/settings.xml" ContentType="application/vnd.openxmlformats-officedocument.wordprocessingml.settings+xml"/>
  <Override PartName="/word/numbering.xml" ContentType="application/vnd.openxmlformats-officedocument.wordprocessingml.numbering+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oter3.xml" ContentType="application/vnd.openxmlformats-officedocument.wordprocessingml.footer+xml"/>
  <Override PartName="/word/media/image1.png" ContentType="image/png"/>
  <Override PartName="/word/media/image4.png" ContentType="image/png"/>
  <Override PartName="/word/media/image12.png" ContentType="image/png"/>
  <Override PartName="/word/media/image5.png" ContentType="image/png"/>
  <Override PartName="/word/media/image13.png" ContentType="image/png"/>
  <Override PartName="/word/media/image6.png" ContentType="image/png"/>
  <Override PartName="/word/media/image14.png" ContentType="image/png"/>
  <Override PartName="/word/media/image15.png" ContentType="image/png"/>
  <Override PartName="/word/media/image7.png" ContentType="image/png"/>
  <Override PartName="/word/media/image16.png" ContentType="image/png"/>
  <Override PartName="/word/media/image8.png" ContentType="image/png"/>
  <Override PartName="/word/media/image10.png" ContentType="image/png"/>
  <Override PartName="/word/media/image2.png" ContentType="image/png"/>
  <Override PartName="/word/media/image3.png" ContentType="image/png"/>
  <Override PartName="/word/media/image11.png" ContentType="image/png"/>
  <Override PartName="/word/media/image9.png" ContentType="image/png"/>
  <Override PartName="/word/media/image17.png" ContentType="image/png"/>
  <Override PartName="/word/media/image18.png" ContentType="image/png"/>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jc w:val="left"/>
        <w:rPr>
          <w:sz w:val="28"/>
          <w:szCs w:val="28"/>
        </w:rPr>
      </w:pPr>
      <w:r>
        <w:rPr/>
        <mc:AlternateContent>
          <mc:Choice Requires="wps">
            <w:drawing>
              <wp:inline distT="0" distB="0" distL="0" distR="0" wp14:anchorId="59B8BB17">
                <wp:extent cx="2820670" cy="1125220"/>
                <wp:effectExtent l="0" t="0" r="0" b="0"/>
                <wp:docPr id="1" name="image4.png"/>
                <a:graphic xmlns:a="http://schemas.openxmlformats.org/drawingml/2006/main">
                  <a:graphicData uri="http://schemas.openxmlformats.org/drawingml/2006/picture">
                    <pic:pic xmlns:pic="http://schemas.openxmlformats.org/drawingml/2006/picture">
                      <pic:nvPicPr>
                        <pic:cNvPr id="2" name="image4.png" descr=""/>
                        <pic:cNvPicPr/>
                      </pic:nvPicPr>
                      <pic:blipFill>
                        <a:blip r:embed="rId2"/>
                        <a:stretch/>
                      </pic:blipFill>
                      <pic:spPr>
                        <a:xfrm>
                          <a:off x="0" y="0"/>
                          <a:ext cx="2820600" cy="1125360"/>
                        </a:xfrm>
                        <a:prstGeom prst="rect">
                          <a:avLst/>
                        </a:prstGeom>
                        <a:noFill/>
                        <a:ln w="0">
                          <a:noFill/>
                        </a:ln>
                      </pic:spPr>
                    </pic:pic>
                  </a:graphicData>
                </a:graphic>
              </wp:inline>
            </w:drawing>
          </mc:Choice>
        </mc:AlternateContent>
      </w:r>
    </w:p>
    <w:p>
      <w:pPr>
        <w:pStyle w:val="Normal"/>
        <w:spacing w:before="0" w:after="200"/>
        <w:jc w:val="center"/>
        <w:rPr>
          <w:b/>
          <w:bCs/>
          <w:sz w:val="28"/>
          <w:szCs w:val="28"/>
        </w:rPr>
      </w:pPr>
      <w:r>
        <w:rPr>
          <w:b/>
          <w:bCs/>
          <w:sz w:val="28"/>
          <w:szCs w:val="28"/>
        </w:rPr>
      </w:r>
    </w:p>
    <w:p>
      <w:pPr>
        <w:pStyle w:val="Normal"/>
        <w:spacing w:before="0" w:after="200"/>
        <w:jc w:val="center"/>
        <w:rPr>
          <w:b/>
          <w:bCs/>
          <w:sz w:val="28"/>
          <w:szCs w:val="28"/>
        </w:rPr>
      </w:pPr>
      <w:r>
        <w:rPr>
          <w:b/>
          <w:bCs/>
          <w:sz w:val="28"/>
          <w:szCs w:val="28"/>
        </w:rPr>
        <w:t>Programme Name: Master of Business Administration</w:t>
      </w:r>
    </w:p>
    <w:p>
      <w:pPr>
        <w:pStyle w:val="Normal"/>
        <w:spacing w:before="0" w:after="200"/>
        <w:jc w:val="center"/>
        <w:rPr>
          <w:b/>
          <w:bCs/>
          <w:sz w:val="28"/>
          <w:szCs w:val="28"/>
        </w:rPr>
      </w:pPr>
      <w:r>
        <w:rPr>
          <w:b/>
          <w:bCs/>
          <w:sz w:val="28"/>
          <w:szCs w:val="28"/>
        </w:rPr>
        <w:t>Name and code of module: International Marketing: Principles and Practices, LCMB7026</w:t>
      </w:r>
    </w:p>
    <w:p>
      <w:pPr>
        <w:pStyle w:val="Normal"/>
        <w:spacing w:before="0" w:after="200"/>
        <w:jc w:val="center"/>
        <w:rPr>
          <w:b/>
          <w:bCs/>
          <w:sz w:val="28"/>
          <w:szCs w:val="28"/>
        </w:rPr>
      </w:pPr>
      <w:r>
        <w:rPr>
          <w:b/>
          <w:bCs/>
          <w:sz w:val="28"/>
          <w:szCs w:val="28"/>
        </w:rPr>
        <w:t xml:space="preserve"> </w:t>
      </w:r>
    </w:p>
    <w:p>
      <w:pPr>
        <w:pStyle w:val="Normal"/>
        <w:spacing w:before="0" w:after="200"/>
        <w:jc w:val="center"/>
        <w:rPr>
          <w:b/>
          <w:bCs/>
          <w:sz w:val="28"/>
          <w:szCs w:val="28"/>
        </w:rPr>
      </w:pPr>
      <w:r>
        <w:rPr>
          <w:b/>
          <w:bCs/>
          <w:sz w:val="28"/>
          <w:szCs w:val="28"/>
        </w:rPr>
        <w:t>Title of submission: COMPARE &amp; CONTRAST OF INTERNATIONAL MARKETING STRATEGIES BETWEEN THE USA AND INDIA: A STUDY ON PIZZA HUT</w:t>
      </w:r>
    </w:p>
    <w:p>
      <w:pPr>
        <w:pStyle w:val="Normal"/>
        <w:spacing w:before="0" w:after="200"/>
        <w:jc w:val="center"/>
        <w:rPr>
          <w:b/>
          <w:bCs/>
          <w:sz w:val="28"/>
          <w:szCs w:val="28"/>
        </w:rPr>
      </w:pPr>
      <w:r>
        <w:rPr>
          <w:b/>
          <w:bCs/>
          <w:sz w:val="28"/>
          <w:szCs w:val="28"/>
        </w:rPr>
        <w:t xml:space="preserve"> </w:t>
      </w:r>
    </w:p>
    <w:p>
      <w:pPr>
        <w:pStyle w:val="Normal"/>
        <w:spacing w:before="0" w:after="200"/>
        <w:jc w:val="center"/>
        <w:rPr>
          <w:b/>
          <w:bCs/>
          <w:sz w:val="28"/>
          <w:szCs w:val="28"/>
        </w:rPr>
      </w:pPr>
      <w:r>
        <w:rPr>
          <w:b/>
          <w:bCs/>
          <w:sz w:val="28"/>
          <w:szCs w:val="28"/>
        </w:rPr>
        <w:t>Lecturer’s name: Tushara Balendran</w:t>
      </w:r>
    </w:p>
    <w:p>
      <w:pPr>
        <w:pStyle w:val="Normal"/>
        <w:spacing w:before="0" w:after="200"/>
        <w:jc w:val="center"/>
        <w:rPr>
          <w:b/>
          <w:bCs/>
          <w:sz w:val="28"/>
          <w:szCs w:val="28"/>
        </w:rPr>
      </w:pPr>
      <w:r>
        <w:rPr>
          <w:b/>
          <w:bCs/>
          <w:sz w:val="28"/>
          <w:szCs w:val="28"/>
        </w:rPr>
        <w:t xml:space="preserve">Name and ID of student: </w:t>
      </w:r>
    </w:p>
    <w:p>
      <w:pPr>
        <w:pStyle w:val="Normal"/>
        <w:spacing w:before="0" w:after="200"/>
        <w:jc w:val="center"/>
        <w:rPr>
          <w:b/>
          <w:bCs/>
          <w:sz w:val="28"/>
          <w:szCs w:val="28"/>
        </w:rPr>
      </w:pPr>
      <w:r>
        <w:rPr>
          <w:b/>
          <w:bCs/>
          <w:sz w:val="28"/>
          <w:szCs w:val="28"/>
        </w:rPr>
        <w:t xml:space="preserve">hinaben rajshibhai sundavadra </w:t>
      </w:r>
    </w:p>
    <w:p>
      <w:pPr>
        <w:pStyle w:val="Normal"/>
        <w:spacing w:before="0" w:after="200"/>
        <w:jc w:val="center"/>
        <w:rPr>
          <w:b/>
          <w:bCs/>
          <w:sz w:val="28"/>
          <w:szCs w:val="28"/>
        </w:rPr>
      </w:pPr>
      <w:r>
        <w:rPr>
          <w:b/>
          <w:bCs/>
          <w:sz w:val="28"/>
          <w:szCs w:val="28"/>
        </w:rPr>
        <w:t>2521861</w:t>
      </w:r>
    </w:p>
    <w:p>
      <w:pPr>
        <w:pStyle w:val="Normal"/>
        <w:rPr>
          <w:sz w:val="28"/>
          <w:szCs w:val="28"/>
        </w:rPr>
      </w:pPr>
      <w:r>
        <w:rPr>
          <w:sz w:val="28"/>
          <w:szCs w:val="28"/>
        </w:rPr>
      </w:r>
    </w:p>
    <w:p>
      <w:pPr>
        <w:pStyle w:val="Normal"/>
        <w:rPr/>
      </w:pPr>
      <w:r>
        <w:rPr/>
        <w:t xml:space="preserve"> </w:t>
      </w:r>
    </w:p>
    <w:p>
      <w:pPr>
        <w:pStyle w:val="Normal"/>
        <w:rPr/>
      </w:pPr>
      <w:r>
        <w:rPr/>
      </w:r>
    </w:p>
    <w:p>
      <w:pPr>
        <w:pStyle w:val="Heading1"/>
        <w:rPr/>
      </w:pPr>
      <w:r>
        <w:rPr/>
      </w:r>
      <w:bookmarkStart w:id="0" w:name="_wt0h562qhdb6"/>
      <w:bookmarkStart w:id="1" w:name="_wt0h562qhdb6"/>
      <w:bookmarkEnd w:id="1"/>
      <w:r>
        <w:br w:type="page"/>
      </w:r>
    </w:p>
    <w:p>
      <w:pPr>
        <w:pStyle w:val="Normal"/>
        <w:spacing w:before="0" w:after="0"/>
        <w:jc w:val="center"/>
        <w:rPr>
          <w:b/>
          <w:bCs/>
          <w:sz w:val="28"/>
          <w:szCs w:val="28"/>
        </w:rPr>
      </w:pPr>
      <w:r>
        <w:rPr>
          <w:b/>
          <w:bCs/>
          <w:sz w:val="28"/>
          <w:szCs w:val="28"/>
        </w:rPr>
        <w:t>Table of content</w:t>
      </w:r>
    </w:p>
    <w:sdt>
      <w:sdtPr>
        <w:docPartObj>
          <w:docPartGallery w:val="Table of Contents"/>
          <w:docPartUnique w:val="true"/>
        </w:docPartObj>
      </w:sdtPr>
      <w:sdtContent>
        <w:p>
          <w:pPr>
            <w:pStyle w:val="TOC1"/>
            <w:tabs>
              <w:tab w:val="clear" w:pos="720"/>
              <w:tab w:val="right" w:pos="9019" w:leader="dot"/>
            </w:tabs>
            <w:rPr/>
          </w:pPr>
          <w:r>
            <w:fldChar w:fldCharType="begin"/>
          </w:r>
          <w:r>
            <w:rPr>
              <w:webHidden/>
              <w:rStyle w:val="IndexLink"/>
              <w:vanish w:val="false"/>
              <w:color w:val="auto"/>
            </w:rPr>
            <w:instrText xml:space="preserve"> TOC \z \o "1-9" \u \t "heading 1,1,heading 2,2,heading 3,3,heading 4,4,heading 5,5,heading 6,6" \h</w:instrText>
          </w:r>
          <w:r>
            <w:rPr>
              <w:webHidden/>
              <w:rStyle w:val="IndexLink"/>
              <w:vanish w:val="false"/>
              <w:color w:val="auto"/>
            </w:rPr>
            <w:fldChar w:fldCharType="separate"/>
          </w:r>
          <w:hyperlink w:anchor="_Toc236752225">
            <w:r>
              <w:rPr>
                <w:webHidden/>
                <w:rStyle w:val="IndexLink"/>
                <w:vanish w:val="false"/>
                <w:color w:val="auto"/>
              </w:rPr>
              <w:t>SECTION 1: Report on the International Market Entry Strategy and Marketing Mix</w:t>
            </w:r>
            <w:r>
              <w:rPr>
                <w:webHidden/>
              </w:rPr>
              <w:fldChar w:fldCharType="begin"/>
            </w:r>
            <w:r>
              <w:rPr>
                <w:webHidden/>
              </w:rPr>
              <w:instrText xml:space="preserve">PAGEREF _Toc236752225 \h</w:instrText>
            </w:r>
            <w:r>
              <w:rPr>
                <w:webHidden/>
              </w:rPr>
              <w:fldChar w:fldCharType="separate"/>
            </w:r>
            <w:r>
              <w:rPr>
                <w:rStyle w:val="IndexLink"/>
                <w:vanish w:val="false"/>
              </w:rPr>
              <w:tab/>
              <w:t>2</w:t>
            </w:r>
            <w:r>
              <w:rPr>
                <w:webHidden/>
              </w:rPr>
              <w:fldChar w:fldCharType="end"/>
            </w:r>
          </w:hyperlink>
        </w:p>
        <w:p>
          <w:pPr>
            <w:pStyle w:val="TOC2"/>
            <w:tabs>
              <w:tab w:val="clear" w:pos="720"/>
              <w:tab w:val="right" w:pos="9019" w:leader="dot"/>
            </w:tabs>
            <w:rPr/>
          </w:pPr>
          <w:hyperlink w:anchor="_Toc236752226">
            <w:r>
              <w:rPr>
                <w:webHidden/>
                <w:rStyle w:val="IndexLink"/>
                <w:vanish w:val="false"/>
                <w:color w:val="auto"/>
              </w:rPr>
              <w:t>1. Introduction</w:t>
            </w:r>
            <w:r>
              <w:rPr>
                <w:webHidden/>
              </w:rPr>
              <w:fldChar w:fldCharType="begin"/>
            </w:r>
            <w:r>
              <w:rPr>
                <w:webHidden/>
              </w:rPr>
              <w:instrText xml:space="preserve">PAGEREF _Toc236752226 \h</w:instrText>
            </w:r>
            <w:r>
              <w:rPr>
                <w:webHidden/>
              </w:rPr>
              <w:fldChar w:fldCharType="separate"/>
            </w:r>
            <w:r>
              <w:rPr>
                <w:rStyle w:val="IndexLink"/>
                <w:vanish w:val="false"/>
              </w:rPr>
              <w:tab/>
              <w:t>2</w:t>
            </w:r>
            <w:r>
              <w:rPr>
                <w:webHidden/>
              </w:rPr>
              <w:fldChar w:fldCharType="end"/>
            </w:r>
          </w:hyperlink>
        </w:p>
        <w:p>
          <w:pPr>
            <w:pStyle w:val="TOC2"/>
            <w:tabs>
              <w:tab w:val="clear" w:pos="720"/>
              <w:tab w:val="right" w:pos="9019" w:leader="dot"/>
            </w:tabs>
            <w:rPr/>
          </w:pPr>
          <w:hyperlink w:anchor="_Toc236752227">
            <w:r>
              <w:rPr>
                <w:webHidden/>
                <w:rStyle w:val="IndexLink"/>
                <w:vanish w:val="false"/>
                <w:color w:val="auto"/>
              </w:rPr>
              <w:t>2. Macro-environmental analysis of both countries</w:t>
            </w:r>
            <w:r>
              <w:rPr>
                <w:webHidden/>
              </w:rPr>
              <w:fldChar w:fldCharType="begin"/>
            </w:r>
            <w:r>
              <w:rPr>
                <w:webHidden/>
              </w:rPr>
              <w:instrText xml:space="preserve">PAGEREF _Toc236752227 \h</w:instrText>
            </w:r>
            <w:r>
              <w:rPr>
                <w:webHidden/>
              </w:rPr>
              <w:fldChar w:fldCharType="separate"/>
            </w:r>
            <w:r>
              <w:rPr>
                <w:rStyle w:val="IndexLink"/>
                <w:vanish w:val="false"/>
              </w:rPr>
              <w:tab/>
              <w:t>3</w:t>
            </w:r>
            <w:r>
              <w:rPr>
                <w:webHidden/>
              </w:rPr>
              <w:fldChar w:fldCharType="end"/>
            </w:r>
          </w:hyperlink>
        </w:p>
        <w:p>
          <w:pPr>
            <w:pStyle w:val="TOC2"/>
            <w:tabs>
              <w:tab w:val="clear" w:pos="720"/>
              <w:tab w:val="right" w:pos="9019" w:leader="dot"/>
            </w:tabs>
            <w:rPr/>
          </w:pPr>
          <w:hyperlink w:anchor="_Toc236752228">
            <w:r>
              <w:rPr>
                <w:webHidden/>
                <w:rStyle w:val="IndexLink"/>
                <w:vanish w:val="false"/>
                <w:color w:val="auto"/>
              </w:rPr>
              <w:t>3. Comparing and contrasting cultural factors</w:t>
            </w:r>
            <w:r>
              <w:rPr>
                <w:webHidden/>
              </w:rPr>
              <w:fldChar w:fldCharType="begin"/>
            </w:r>
            <w:r>
              <w:rPr>
                <w:webHidden/>
              </w:rPr>
              <w:instrText xml:space="preserve">PAGEREF _Toc236752228 \h</w:instrText>
            </w:r>
            <w:r>
              <w:rPr>
                <w:webHidden/>
              </w:rPr>
              <w:fldChar w:fldCharType="separate"/>
            </w:r>
            <w:r>
              <w:rPr>
                <w:rStyle w:val="IndexLink"/>
                <w:vanish w:val="false"/>
              </w:rPr>
              <w:tab/>
              <w:t>6</w:t>
            </w:r>
            <w:r>
              <w:rPr>
                <w:webHidden/>
              </w:rPr>
              <w:fldChar w:fldCharType="end"/>
            </w:r>
          </w:hyperlink>
        </w:p>
        <w:p>
          <w:pPr>
            <w:pStyle w:val="TOC2"/>
            <w:tabs>
              <w:tab w:val="clear" w:pos="720"/>
              <w:tab w:val="right" w:pos="9019" w:leader="dot"/>
            </w:tabs>
            <w:rPr/>
          </w:pPr>
          <w:hyperlink w:anchor="_Toc236752229">
            <w:r>
              <w:rPr>
                <w:webHidden/>
                <w:rStyle w:val="IndexLink"/>
                <w:vanish w:val="false"/>
                <w:color w:val="auto"/>
              </w:rPr>
              <w:t>4. STP (Segmentation, Targeting, and Positioning)</w:t>
            </w:r>
            <w:r>
              <w:rPr>
                <w:webHidden/>
              </w:rPr>
              <w:fldChar w:fldCharType="begin"/>
            </w:r>
            <w:r>
              <w:rPr>
                <w:webHidden/>
              </w:rPr>
              <w:instrText xml:space="preserve">PAGEREF _Toc236752229 \h</w:instrText>
            </w:r>
            <w:r>
              <w:rPr>
                <w:webHidden/>
              </w:rPr>
              <w:fldChar w:fldCharType="separate"/>
            </w:r>
            <w:r>
              <w:rPr>
                <w:rStyle w:val="IndexLink"/>
                <w:vanish w:val="false"/>
              </w:rPr>
              <w:tab/>
              <w:t>8</w:t>
            </w:r>
            <w:r>
              <w:rPr>
                <w:webHidden/>
              </w:rPr>
              <w:fldChar w:fldCharType="end"/>
            </w:r>
          </w:hyperlink>
        </w:p>
        <w:p>
          <w:pPr>
            <w:pStyle w:val="TOC2"/>
            <w:tabs>
              <w:tab w:val="clear" w:pos="720"/>
              <w:tab w:val="right" w:pos="9019" w:leader="dot"/>
            </w:tabs>
            <w:rPr/>
          </w:pPr>
          <w:hyperlink w:anchor="_Toc236752230">
            <w:r>
              <w:rPr>
                <w:webHidden/>
                <w:rStyle w:val="IndexLink"/>
                <w:vanish w:val="false"/>
                <w:color w:val="auto"/>
              </w:rPr>
              <w:t>5. International Marketing Mix (7Ps) strategies</w:t>
            </w:r>
            <w:r>
              <w:rPr>
                <w:webHidden/>
              </w:rPr>
              <w:fldChar w:fldCharType="begin"/>
            </w:r>
            <w:r>
              <w:rPr>
                <w:webHidden/>
              </w:rPr>
              <w:instrText xml:space="preserve">PAGEREF _Toc236752230 \h</w:instrText>
            </w:r>
            <w:r>
              <w:rPr>
                <w:webHidden/>
              </w:rPr>
              <w:fldChar w:fldCharType="separate"/>
            </w:r>
            <w:r>
              <w:rPr>
                <w:rStyle w:val="IndexLink"/>
                <w:vanish w:val="false"/>
              </w:rPr>
              <w:tab/>
              <w:t>11</w:t>
            </w:r>
            <w:r>
              <w:rPr>
                <w:webHidden/>
              </w:rPr>
              <w:fldChar w:fldCharType="end"/>
            </w:r>
          </w:hyperlink>
        </w:p>
        <w:p>
          <w:pPr>
            <w:pStyle w:val="TOC2"/>
            <w:tabs>
              <w:tab w:val="clear" w:pos="720"/>
              <w:tab w:val="right" w:pos="9019" w:leader="dot"/>
            </w:tabs>
            <w:rPr/>
          </w:pPr>
          <w:hyperlink w:anchor="_Toc236752231">
            <w:r>
              <w:rPr>
                <w:webHidden/>
                <w:rStyle w:val="IndexLink"/>
                <w:vanish w:val="false"/>
                <w:color w:val="auto"/>
              </w:rPr>
              <w:t>6. Market entry strategy in India</w:t>
            </w:r>
            <w:r>
              <w:rPr>
                <w:webHidden/>
              </w:rPr>
              <w:fldChar w:fldCharType="begin"/>
            </w:r>
            <w:r>
              <w:rPr>
                <w:webHidden/>
              </w:rPr>
              <w:instrText xml:space="preserve">PAGEREF _Toc236752231 \h</w:instrText>
            </w:r>
            <w:r>
              <w:rPr>
                <w:webHidden/>
              </w:rPr>
              <w:fldChar w:fldCharType="separate"/>
            </w:r>
            <w:r>
              <w:rPr>
                <w:rStyle w:val="IndexLink"/>
                <w:vanish w:val="false"/>
              </w:rPr>
              <w:tab/>
              <w:t>19</w:t>
            </w:r>
            <w:r>
              <w:rPr>
                <w:webHidden/>
              </w:rPr>
              <w:fldChar w:fldCharType="end"/>
            </w:r>
          </w:hyperlink>
        </w:p>
        <w:p>
          <w:pPr>
            <w:pStyle w:val="TOC2"/>
            <w:tabs>
              <w:tab w:val="clear" w:pos="720"/>
              <w:tab w:val="right" w:pos="9019" w:leader="dot"/>
            </w:tabs>
            <w:rPr/>
          </w:pPr>
          <w:hyperlink w:anchor="_Toc236752232">
            <w:r>
              <w:rPr>
                <w:webHidden/>
                <w:rStyle w:val="IndexLink"/>
                <w:vanish w:val="false"/>
                <w:color w:val="auto"/>
              </w:rPr>
              <w:t>7. Ethical issues faced by Pizza Hut in India</w:t>
            </w:r>
            <w:r>
              <w:rPr>
                <w:webHidden/>
              </w:rPr>
              <w:fldChar w:fldCharType="begin"/>
            </w:r>
            <w:r>
              <w:rPr>
                <w:webHidden/>
              </w:rPr>
              <w:instrText xml:space="preserve">PAGEREF _Toc236752232 \h</w:instrText>
            </w:r>
            <w:r>
              <w:rPr>
                <w:webHidden/>
              </w:rPr>
              <w:fldChar w:fldCharType="separate"/>
            </w:r>
            <w:r>
              <w:rPr>
                <w:rStyle w:val="IndexLink"/>
                <w:vanish w:val="false"/>
              </w:rPr>
              <w:tab/>
              <w:t>21</w:t>
            </w:r>
            <w:r>
              <w:rPr>
                <w:webHidden/>
              </w:rPr>
              <w:fldChar w:fldCharType="end"/>
            </w:r>
          </w:hyperlink>
        </w:p>
        <w:p>
          <w:pPr>
            <w:pStyle w:val="TOC2"/>
            <w:tabs>
              <w:tab w:val="clear" w:pos="720"/>
              <w:tab w:val="right" w:pos="9019" w:leader="dot"/>
            </w:tabs>
            <w:rPr/>
          </w:pPr>
          <w:hyperlink w:anchor="_Toc236752233">
            <w:r>
              <w:rPr>
                <w:webHidden/>
                <w:rStyle w:val="IndexLink"/>
                <w:vanish w:val="false"/>
                <w:color w:val="auto"/>
              </w:rPr>
              <w:t>8. Recommendations for future international marketing strategies</w:t>
            </w:r>
            <w:r>
              <w:rPr>
                <w:webHidden/>
              </w:rPr>
              <w:fldChar w:fldCharType="begin"/>
            </w:r>
            <w:r>
              <w:rPr>
                <w:webHidden/>
              </w:rPr>
              <w:instrText xml:space="preserve">PAGEREF _Toc236752233 \h</w:instrText>
            </w:r>
            <w:r>
              <w:rPr>
                <w:webHidden/>
              </w:rPr>
              <w:fldChar w:fldCharType="separate"/>
            </w:r>
            <w:r>
              <w:rPr>
                <w:rStyle w:val="IndexLink"/>
                <w:vanish w:val="false"/>
              </w:rPr>
              <w:tab/>
              <w:t>23</w:t>
            </w:r>
            <w:r>
              <w:rPr>
                <w:webHidden/>
              </w:rPr>
              <w:fldChar w:fldCharType="end"/>
            </w:r>
          </w:hyperlink>
        </w:p>
        <w:p>
          <w:pPr>
            <w:pStyle w:val="TOC2"/>
            <w:tabs>
              <w:tab w:val="clear" w:pos="720"/>
              <w:tab w:val="right" w:pos="9019" w:leader="dot"/>
            </w:tabs>
            <w:rPr/>
          </w:pPr>
          <w:hyperlink w:anchor="_Toc236752234">
            <w:r>
              <w:rPr>
                <w:webHidden/>
                <w:rStyle w:val="IndexLink"/>
                <w:vanish w:val="false"/>
                <w:color w:val="auto"/>
              </w:rPr>
              <w:t>8.1 Recommendations for India</w:t>
            </w:r>
            <w:r>
              <w:rPr>
                <w:webHidden/>
              </w:rPr>
              <w:fldChar w:fldCharType="begin"/>
            </w:r>
            <w:r>
              <w:rPr>
                <w:webHidden/>
              </w:rPr>
              <w:instrText xml:space="preserve">PAGEREF _Toc236752234 \h</w:instrText>
            </w:r>
            <w:r>
              <w:rPr>
                <w:webHidden/>
              </w:rPr>
              <w:fldChar w:fldCharType="separate"/>
            </w:r>
            <w:r>
              <w:rPr>
                <w:rStyle w:val="IndexLink"/>
                <w:vanish w:val="false"/>
              </w:rPr>
              <w:tab/>
              <w:t>23</w:t>
            </w:r>
            <w:r>
              <w:rPr>
                <w:webHidden/>
              </w:rPr>
              <w:fldChar w:fldCharType="end"/>
            </w:r>
          </w:hyperlink>
        </w:p>
        <w:p>
          <w:pPr>
            <w:pStyle w:val="TOC2"/>
            <w:tabs>
              <w:tab w:val="clear" w:pos="720"/>
              <w:tab w:val="right" w:pos="9019" w:leader="dot"/>
            </w:tabs>
            <w:rPr/>
          </w:pPr>
          <w:hyperlink w:anchor="_Toc236752235">
            <w:r>
              <w:rPr>
                <w:webHidden/>
                <w:rStyle w:val="IndexLink"/>
                <w:vanish w:val="false"/>
                <w:color w:val="auto"/>
              </w:rPr>
              <w:t>8.2 Recommendations for the USA</w:t>
            </w:r>
            <w:r>
              <w:rPr>
                <w:webHidden/>
              </w:rPr>
              <w:fldChar w:fldCharType="begin"/>
            </w:r>
            <w:r>
              <w:rPr>
                <w:webHidden/>
              </w:rPr>
              <w:instrText xml:space="preserve">PAGEREF _Toc236752235 \h</w:instrText>
            </w:r>
            <w:r>
              <w:rPr>
                <w:webHidden/>
              </w:rPr>
              <w:fldChar w:fldCharType="separate"/>
            </w:r>
            <w:r>
              <w:rPr>
                <w:rStyle w:val="IndexLink"/>
                <w:vanish w:val="false"/>
              </w:rPr>
              <w:tab/>
              <w:t>24</w:t>
            </w:r>
            <w:r>
              <w:rPr>
                <w:webHidden/>
              </w:rPr>
              <w:fldChar w:fldCharType="end"/>
            </w:r>
          </w:hyperlink>
        </w:p>
        <w:p>
          <w:pPr>
            <w:pStyle w:val="TOC2"/>
            <w:tabs>
              <w:tab w:val="clear" w:pos="720"/>
              <w:tab w:val="right" w:pos="9019" w:leader="dot"/>
            </w:tabs>
            <w:rPr/>
          </w:pPr>
          <w:hyperlink w:anchor="_Toc236752236">
            <w:r>
              <w:rPr>
                <w:webHidden/>
                <w:rStyle w:val="IndexLink"/>
                <w:vanish w:val="false"/>
                <w:color w:val="auto"/>
              </w:rPr>
              <w:t>9. Conclusion</w:t>
            </w:r>
            <w:r>
              <w:rPr>
                <w:webHidden/>
              </w:rPr>
              <w:fldChar w:fldCharType="begin"/>
            </w:r>
            <w:r>
              <w:rPr>
                <w:webHidden/>
              </w:rPr>
              <w:instrText xml:space="preserve">PAGEREF _Toc236752236 \h</w:instrText>
            </w:r>
            <w:r>
              <w:rPr>
                <w:webHidden/>
              </w:rPr>
              <w:fldChar w:fldCharType="separate"/>
            </w:r>
            <w:r>
              <w:rPr>
                <w:rStyle w:val="IndexLink"/>
                <w:vanish w:val="false"/>
              </w:rPr>
              <w:tab/>
              <w:t>24</w:t>
            </w:r>
            <w:r>
              <w:rPr>
                <w:webHidden/>
              </w:rPr>
              <w:fldChar w:fldCharType="end"/>
            </w:r>
          </w:hyperlink>
        </w:p>
        <w:p>
          <w:pPr>
            <w:pStyle w:val="TOC1"/>
            <w:tabs>
              <w:tab w:val="clear" w:pos="720"/>
              <w:tab w:val="right" w:pos="9019" w:leader="dot"/>
            </w:tabs>
            <w:rPr/>
          </w:pPr>
          <w:hyperlink w:anchor="_Toc236752237">
            <w:r>
              <w:rPr>
                <w:webHidden/>
                <w:rStyle w:val="IndexLink"/>
                <w:vanish w:val="false"/>
                <w:color w:val="auto"/>
              </w:rPr>
              <w:t>Section 2: Reflective Account</w:t>
            </w:r>
            <w:r>
              <w:rPr>
                <w:webHidden/>
              </w:rPr>
              <w:fldChar w:fldCharType="begin"/>
            </w:r>
            <w:r>
              <w:rPr>
                <w:webHidden/>
              </w:rPr>
              <w:instrText xml:space="preserve">PAGEREF _Toc236752237 \h</w:instrText>
            </w:r>
            <w:r>
              <w:rPr>
                <w:webHidden/>
              </w:rPr>
              <w:fldChar w:fldCharType="separate"/>
            </w:r>
            <w:r>
              <w:rPr>
                <w:rStyle w:val="IndexLink"/>
                <w:vanish w:val="false"/>
              </w:rPr>
              <w:tab/>
              <w:t>26</w:t>
            </w:r>
            <w:r>
              <w:rPr>
                <w:webHidden/>
              </w:rPr>
              <w:fldChar w:fldCharType="end"/>
            </w:r>
          </w:hyperlink>
        </w:p>
        <w:p>
          <w:pPr>
            <w:pStyle w:val="TOC2"/>
            <w:tabs>
              <w:tab w:val="clear" w:pos="720"/>
              <w:tab w:val="right" w:pos="9019" w:leader="dot"/>
            </w:tabs>
            <w:rPr/>
          </w:pPr>
          <w:hyperlink w:anchor="_Toc236752238">
            <w:r>
              <w:rPr>
                <w:webHidden/>
                <w:rStyle w:val="IndexLink"/>
                <w:vanish w:val="false"/>
                <w:color w:val="auto"/>
              </w:rPr>
              <w:t>1. Introduction</w:t>
            </w:r>
            <w:r>
              <w:rPr>
                <w:webHidden/>
              </w:rPr>
              <w:fldChar w:fldCharType="begin"/>
            </w:r>
            <w:r>
              <w:rPr>
                <w:webHidden/>
              </w:rPr>
              <w:instrText xml:space="preserve">PAGEREF _Toc236752238 \h</w:instrText>
            </w:r>
            <w:r>
              <w:rPr>
                <w:webHidden/>
              </w:rPr>
              <w:fldChar w:fldCharType="separate"/>
            </w:r>
            <w:r>
              <w:rPr>
                <w:rStyle w:val="IndexLink"/>
                <w:vanish w:val="false"/>
              </w:rPr>
              <w:tab/>
              <w:t>26</w:t>
            </w:r>
            <w:r>
              <w:rPr>
                <w:webHidden/>
              </w:rPr>
              <w:fldChar w:fldCharType="end"/>
            </w:r>
          </w:hyperlink>
        </w:p>
        <w:p>
          <w:pPr>
            <w:pStyle w:val="TOC2"/>
            <w:tabs>
              <w:tab w:val="clear" w:pos="720"/>
              <w:tab w:val="right" w:pos="9019" w:leader="dot"/>
            </w:tabs>
            <w:rPr/>
          </w:pPr>
          <w:hyperlink w:anchor="_Toc236752239">
            <w:r>
              <w:rPr>
                <w:webHidden/>
                <w:rStyle w:val="IndexLink"/>
                <w:vanish w:val="false"/>
                <w:color w:val="auto"/>
              </w:rPr>
              <w:t>2. Description</w:t>
            </w:r>
            <w:r>
              <w:rPr>
                <w:webHidden/>
              </w:rPr>
              <w:fldChar w:fldCharType="begin"/>
            </w:r>
            <w:r>
              <w:rPr>
                <w:webHidden/>
              </w:rPr>
              <w:instrText xml:space="preserve">PAGEREF _Toc236752239 \h</w:instrText>
            </w:r>
            <w:r>
              <w:rPr>
                <w:webHidden/>
              </w:rPr>
              <w:fldChar w:fldCharType="separate"/>
            </w:r>
            <w:r>
              <w:rPr>
                <w:rStyle w:val="IndexLink"/>
                <w:vanish w:val="false"/>
              </w:rPr>
              <w:tab/>
              <w:t>26</w:t>
            </w:r>
            <w:r>
              <w:rPr>
                <w:webHidden/>
              </w:rPr>
              <w:fldChar w:fldCharType="end"/>
            </w:r>
          </w:hyperlink>
        </w:p>
        <w:p>
          <w:pPr>
            <w:pStyle w:val="TOC2"/>
            <w:tabs>
              <w:tab w:val="clear" w:pos="720"/>
              <w:tab w:val="right" w:pos="9019" w:leader="dot"/>
            </w:tabs>
            <w:rPr/>
          </w:pPr>
          <w:hyperlink w:anchor="_Toc236752240">
            <w:r>
              <w:rPr>
                <w:webHidden/>
                <w:rStyle w:val="IndexLink"/>
                <w:vanish w:val="false"/>
                <w:color w:val="auto"/>
              </w:rPr>
              <w:t>3. Feelings</w:t>
            </w:r>
            <w:r>
              <w:rPr>
                <w:webHidden/>
              </w:rPr>
              <w:fldChar w:fldCharType="begin"/>
            </w:r>
            <w:r>
              <w:rPr>
                <w:webHidden/>
              </w:rPr>
              <w:instrText xml:space="preserve">PAGEREF _Toc236752240 \h</w:instrText>
            </w:r>
            <w:r>
              <w:rPr>
                <w:webHidden/>
              </w:rPr>
              <w:fldChar w:fldCharType="separate"/>
            </w:r>
            <w:r>
              <w:rPr>
                <w:rStyle w:val="IndexLink"/>
                <w:vanish w:val="false"/>
              </w:rPr>
              <w:tab/>
              <w:t>27</w:t>
            </w:r>
            <w:r>
              <w:rPr>
                <w:webHidden/>
              </w:rPr>
              <w:fldChar w:fldCharType="end"/>
            </w:r>
          </w:hyperlink>
        </w:p>
        <w:p>
          <w:pPr>
            <w:pStyle w:val="TOC2"/>
            <w:tabs>
              <w:tab w:val="clear" w:pos="720"/>
              <w:tab w:val="right" w:pos="9019" w:leader="dot"/>
            </w:tabs>
            <w:rPr/>
          </w:pPr>
          <w:hyperlink w:anchor="_Toc236752241">
            <w:r>
              <w:rPr>
                <w:webHidden/>
                <w:rStyle w:val="IndexLink"/>
                <w:vanish w:val="false"/>
                <w:color w:val="auto"/>
              </w:rPr>
              <w:t>4. Evaluation</w:t>
            </w:r>
            <w:r>
              <w:rPr>
                <w:webHidden/>
              </w:rPr>
              <w:fldChar w:fldCharType="begin"/>
            </w:r>
            <w:r>
              <w:rPr>
                <w:webHidden/>
              </w:rPr>
              <w:instrText xml:space="preserve">PAGEREF _Toc236752241 \h</w:instrText>
            </w:r>
            <w:r>
              <w:rPr>
                <w:webHidden/>
              </w:rPr>
              <w:fldChar w:fldCharType="separate"/>
            </w:r>
            <w:r>
              <w:rPr>
                <w:rStyle w:val="IndexLink"/>
                <w:vanish w:val="false"/>
              </w:rPr>
              <w:tab/>
              <w:t>27</w:t>
            </w:r>
            <w:r>
              <w:rPr>
                <w:webHidden/>
              </w:rPr>
              <w:fldChar w:fldCharType="end"/>
            </w:r>
          </w:hyperlink>
        </w:p>
        <w:p>
          <w:pPr>
            <w:pStyle w:val="TOC2"/>
            <w:tabs>
              <w:tab w:val="clear" w:pos="720"/>
              <w:tab w:val="right" w:pos="9019" w:leader="dot"/>
            </w:tabs>
            <w:rPr/>
          </w:pPr>
          <w:hyperlink w:anchor="_Toc236752242">
            <w:r>
              <w:rPr>
                <w:webHidden/>
                <w:rStyle w:val="IndexLink"/>
                <w:vanish w:val="false"/>
                <w:color w:val="auto"/>
              </w:rPr>
              <w:t>5. Analysis</w:t>
            </w:r>
            <w:r>
              <w:rPr>
                <w:webHidden/>
              </w:rPr>
              <w:fldChar w:fldCharType="begin"/>
            </w:r>
            <w:r>
              <w:rPr>
                <w:webHidden/>
              </w:rPr>
              <w:instrText xml:space="preserve">PAGEREF _Toc236752242 \h</w:instrText>
            </w:r>
            <w:r>
              <w:rPr>
                <w:webHidden/>
              </w:rPr>
              <w:fldChar w:fldCharType="separate"/>
            </w:r>
            <w:r>
              <w:rPr>
                <w:rStyle w:val="IndexLink"/>
                <w:vanish w:val="false"/>
              </w:rPr>
              <w:tab/>
              <w:t>28</w:t>
            </w:r>
            <w:r>
              <w:rPr>
                <w:webHidden/>
              </w:rPr>
              <w:fldChar w:fldCharType="end"/>
            </w:r>
          </w:hyperlink>
        </w:p>
        <w:p>
          <w:pPr>
            <w:pStyle w:val="TOC2"/>
            <w:tabs>
              <w:tab w:val="clear" w:pos="720"/>
              <w:tab w:val="right" w:pos="9019" w:leader="dot"/>
            </w:tabs>
            <w:rPr/>
          </w:pPr>
          <w:hyperlink w:anchor="_Toc236752243">
            <w:r>
              <w:rPr>
                <w:webHidden/>
                <w:rStyle w:val="IndexLink"/>
                <w:vanish w:val="false"/>
                <w:color w:val="auto"/>
              </w:rPr>
              <w:t>6. Conclusion &amp; Action Plan</w:t>
            </w:r>
            <w:r>
              <w:rPr>
                <w:webHidden/>
              </w:rPr>
              <w:fldChar w:fldCharType="begin"/>
            </w:r>
            <w:r>
              <w:rPr>
                <w:webHidden/>
              </w:rPr>
              <w:instrText xml:space="preserve">PAGEREF _Toc236752243 \h</w:instrText>
            </w:r>
            <w:r>
              <w:rPr>
                <w:webHidden/>
              </w:rPr>
              <w:fldChar w:fldCharType="separate"/>
            </w:r>
            <w:r>
              <w:rPr>
                <w:rStyle w:val="IndexLink"/>
                <w:vanish w:val="false"/>
              </w:rPr>
              <w:tab/>
              <w:t>28</w:t>
            </w:r>
            <w:r>
              <w:rPr>
                <w:webHidden/>
              </w:rPr>
              <w:fldChar w:fldCharType="end"/>
            </w:r>
          </w:hyperlink>
        </w:p>
        <w:p>
          <w:pPr>
            <w:pStyle w:val="TOC1"/>
            <w:tabs>
              <w:tab w:val="clear" w:pos="720"/>
              <w:tab w:val="right" w:pos="9019" w:leader="dot"/>
            </w:tabs>
            <w:rPr/>
          </w:pPr>
          <w:hyperlink w:anchor="_Toc236752244">
            <w:r>
              <w:rPr>
                <w:webHidden/>
                <w:rStyle w:val="IndexLink"/>
                <w:vanish w:val="false"/>
                <w:color w:val="auto"/>
              </w:rPr>
              <w:t>Reference list</w:t>
            </w:r>
            <w:r>
              <w:rPr>
                <w:webHidden/>
              </w:rPr>
              <w:fldChar w:fldCharType="begin"/>
            </w:r>
            <w:r>
              <w:rPr>
                <w:webHidden/>
              </w:rPr>
              <w:instrText xml:space="preserve">PAGEREF _Toc236752244 \h</w:instrText>
            </w:r>
            <w:r>
              <w:rPr>
                <w:webHidden/>
              </w:rPr>
              <w:fldChar w:fldCharType="separate"/>
            </w:r>
            <w:r>
              <w:rPr>
                <w:rStyle w:val="IndexLink"/>
                <w:vanish w:val="false"/>
              </w:rPr>
              <w:tab/>
              <w:t>31</w:t>
            </w:r>
            <w:r>
              <w:rPr>
                <w:webHidden/>
              </w:rPr>
              <w:fldChar w:fldCharType="end"/>
            </w:r>
          </w:hyperlink>
          <w:r>
            <w:rPr>
              <w:rStyle w:val="IndexLink"/>
              <w:vanish w:val="false"/>
            </w:rPr>
            <w:fldChar w:fldCharType="end"/>
          </w:r>
        </w:p>
      </w:sdtContent>
    </w:sdt>
    <w:p>
      <w:pPr>
        <w:pStyle w:val="Normal"/>
        <w:widowControl w:val="false"/>
        <w:tabs>
          <w:tab w:val="clear" w:pos="720"/>
          <w:tab w:val="right" w:pos="9025" w:leader="dot"/>
        </w:tabs>
        <w:spacing w:lineRule="auto" w:line="240" w:before="60" w:after="0"/>
        <w:jc w:val="left"/>
        <w:rPr>
          <w:b/>
          <w:bCs/>
        </w:rPr>
      </w:pPr>
      <w:r>
        <w:rPr>
          <w:b/>
          <w:bCs/>
        </w:rPr>
      </w:r>
    </w:p>
    <w:p>
      <w:pPr>
        <w:pStyle w:val="Normal"/>
        <w:rPr/>
      </w:pPr>
      <w:r>
        <w:rPr/>
      </w:r>
      <w:r>
        <w:br w:type="page"/>
      </w:r>
    </w:p>
    <w:p>
      <w:pPr>
        <w:pStyle w:val="Heading1"/>
        <w:spacing w:before="0" w:after="0"/>
        <w:rPr/>
      </w:pPr>
      <w:bookmarkStart w:id="2" w:name="_Toc236752225"/>
      <w:r>
        <w:rPr/>
        <w:t>SECTION 1: Report on the International Market Entry Strategy and Marketing Mix</w:t>
      </w:r>
      <w:bookmarkEnd w:id="2"/>
    </w:p>
    <w:p>
      <w:pPr>
        <w:pStyle w:val="Heading2"/>
        <w:rPr/>
      </w:pPr>
      <w:bookmarkStart w:id="3" w:name="_Toc236752226"/>
      <w:r>
        <w:rPr/>
        <w:t>1. Introduction</w:t>
      </w:r>
      <w:bookmarkEnd w:id="3"/>
      <w:r>
        <w:rPr/>
        <w:t xml:space="preserve"> </w:t>
      </w:r>
    </w:p>
    <w:p>
      <w:pPr>
        <w:pStyle w:val="Normal"/>
        <w:rPr/>
      </w:pPr>
      <w:r>
        <w:rPr/>
        <w:t>This report examines the international market entry strategy and marketing mix of Pizza Hut, comparing its operations in its home country, the United States, and its host country, India. The market entry approach adopted by Pizza Hut in India is analysed with the key elements of its marketing mix (ethical and unethical) to evaluate the impact of this international brand as it adapts to different market environments through different theories and frameworks.</w:t>
      </w:r>
    </w:p>
    <w:p>
      <w:pPr>
        <w:pStyle w:val="Normal"/>
        <w:rPr/>
      </w:pPr>
      <w:r>
        <w:rPr/>
        <w:t xml:space="preserve">Pizza Hut is an American multinational restaurant chain famous for different types of pizza. It was started in May 1958 in Kansas by two brothers, named Dan and Frank Carney, who currently have over 16,000 restaurants in almost 100 countries (Pizza Hut, 2025). With more than 60 years of great experiences, Pizza Hut now has 350,000 employees across all 100 countries (Pizza Hut, 2025). </w:t>
      </w:r>
    </w:p>
    <w:p>
      <w:pPr>
        <w:pStyle w:val="Normal"/>
        <w:numPr>
          <w:ilvl w:val="0"/>
          <w:numId w:val="2"/>
        </w:numPr>
        <w:rPr/>
      </w:pPr>
      <w:r>
        <w:rPr/>
        <w:t>The vision is to be the most loved and trusted pizza brand worldwide by delivering exceptional food, service, and customer experiences.</w:t>
      </w:r>
    </w:p>
    <w:p>
      <w:pPr>
        <w:pStyle w:val="Normal"/>
        <w:numPr>
          <w:ilvl w:val="0"/>
          <w:numId w:val="2"/>
        </w:numPr>
        <w:rPr/>
      </w:pPr>
      <w:r>
        <w:rPr/>
        <w:t>The mission is to provide customers with high-quality, delicious pizzas and innovative menu offerings while ensuring convenience, value, and excellent customer service.</w:t>
      </w:r>
    </w:p>
    <w:p>
      <w:pPr>
        <w:pStyle w:val="Normal"/>
        <w:jc w:val="center"/>
        <w:rPr/>
      </w:pPr>
      <w:r>
        <w:rPr/>
        <mc:AlternateContent>
          <mc:Choice Requires="wps">
            <w:drawing>
              <wp:inline distT="0" distB="0" distL="0" distR="0" wp14:anchorId="374FFD15">
                <wp:extent cx="5731510" cy="3822700"/>
                <wp:effectExtent l="0" t="0" r="0" b="0"/>
                <wp:docPr id="3" name="image18.png"/>
                <a:graphic xmlns:a="http://schemas.openxmlformats.org/drawingml/2006/main">
                  <a:graphicData uri="http://schemas.openxmlformats.org/drawingml/2006/picture">
                    <pic:pic xmlns:pic="http://schemas.openxmlformats.org/drawingml/2006/picture">
                      <pic:nvPicPr>
                        <pic:cNvPr id="4" name="image18.png" descr=""/>
                        <pic:cNvPicPr/>
                      </pic:nvPicPr>
                      <pic:blipFill>
                        <a:blip r:embed="rId3"/>
                        <a:stretch/>
                      </pic:blipFill>
                      <pic:spPr>
                        <a:xfrm>
                          <a:off x="0" y="0"/>
                          <a:ext cx="5731560" cy="3822840"/>
                        </a:xfrm>
                        <a:prstGeom prst="rect">
                          <a:avLst/>
                        </a:prstGeom>
                        <a:noFill/>
                        <a:ln w="0">
                          <a:noFill/>
                        </a:ln>
                      </pic:spPr>
                    </pic:pic>
                  </a:graphicData>
                </a:graphic>
              </wp:inline>
            </w:drawing>
          </mc:Choice>
        </mc:AlternateContent>
      </w:r>
    </w:p>
    <w:p>
      <w:pPr>
        <w:pStyle w:val="Normal"/>
        <w:jc w:val="center"/>
        <w:rPr>
          <w:b/>
          <w:bCs/>
        </w:rPr>
      </w:pPr>
      <w:r>
        <w:rPr>
          <w:b/>
          <w:bCs/>
        </w:rPr>
        <w:t>Figure 1: First outlet of Pizza Hut</w:t>
      </w:r>
    </w:p>
    <w:p>
      <w:pPr>
        <w:pStyle w:val="Normal"/>
        <w:jc w:val="center"/>
        <w:rPr/>
      </w:pPr>
      <w:r>
        <w:rPr/>
        <w:t>(Source: Pizza Hut, 2025)</w:t>
      </w:r>
    </w:p>
    <w:p>
      <w:pPr>
        <w:pStyle w:val="Normal"/>
        <w:rPr/>
      </w:pPr>
      <w:r>
        <w:rPr/>
        <w:t xml:space="preserve">In 1996, Pizza Hut entered India with a single restaurant in Bangalore and this category was pioneered by the first multinational restaurant chain (Pizza Hut India, 2026a).  The company has adapted its menu to local preferences by introducing vegetarian options and Indian-inspired flavours. In the current market, Pizza Hut has become one of the leading pizza brands in both countries. </w:t>
      </w:r>
    </w:p>
    <w:p>
      <w:pPr>
        <w:pStyle w:val="Normal"/>
        <w:rPr/>
      </w:pPr>
      <w:r>
        <w:rPr/>
        <w:t>This report analyses Pizza Hut's international marketing strategy in the USA and India using PESTLE, STP, market entry, positioning, and the market entry strategy. It concludes with ethical evaluation, recommendations, reflection, and an action plan.</w:t>
      </w:r>
    </w:p>
    <w:p>
      <w:pPr>
        <w:pStyle w:val="Heading2"/>
        <w:rPr/>
      </w:pPr>
      <w:bookmarkStart w:id="4" w:name="_Toc236752227"/>
      <w:r>
        <w:rPr/>
        <w:t>2. Macro-environmental analysis of both countries</w:t>
      </w:r>
      <w:bookmarkEnd w:id="4"/>
      <w:r>
        <w:rPr/>
        <w:t xml:space="preserve"> </w:t>
      </w:r>
    </w:p>
    <w:p>
      <w:pPr>
        <w:pStyle w:val="Normal"/>
        <w:rPr/>
      </w:pPr>
      <w:r>
        <w:rPr/>
        <w:t xml:space="preserve">A PESTEL analysis helps to evaluate the key external factors, including Political, Economic, Sociological, Technological, Environmental and Legal, that influence a company (David Hayden, 2025). It offers contextual information about brand positioning, the business direction, growth targets, and threats. Political, Economic, Social, and Technological forces are favourable for Pizza Hut as they support market growth, customer demand, and digital expansion. However, Legal and Environmental forces are unfavourable as strict regulations, and sustainability obligations increase operational costs. Both countries, India and the USA, offer large consumer markets and growing digital adoption. However, the USA is a mature, high-income market, whereas India is a rapidly growing, price-sensitive market. </w:t>
      </w:r>
    </w:p>
    <w:p>
      <w:pPr>
        <w:pStyle w:val="Normal"/>
        <w:jc w:val="center"/>
        <w:rPr/>
      </w:pPr>
      <w:r>
        <w:rPr/>
        <mc:AlternateContent>
          <mc:Choice Requires="wps">
            <w:drawing>
              <wp:inline distT="0" distB="0" distL="0" distR="0" wp14:anchorId="0E173881">
                <wp:extent cx="3623945" cy="3623945"/>
                <wp:effectExtent l="0" t="0" r="0" b="0"/>
                <wp:docPr id="5" name="image3.png"/>
                <a:graphic xmlns:a="http://schemas.openxmlformats.org/drawingml/2006/main">
                  <a:graphicData uri="http://schemas.openxmlformats.org/drawingml/2006/picture">
                    <pic:pic xmlns:pic="http://schemas.openxmlformats.org/drawingml/2006/picture">
                      <pic:nvPicPr>
                        <pic:cNvPr id="6" name="image3.png" descr=""/>
                        <pic:cNvPicPr/>
                      </pic:nvPicPr>
                      <pic:blipFill>
                        <a:blip r:embed="rId4"/>
                        <a:stretch/>
                      </pic:blipFill>
                      <pic:spPr>
                        <a:xfrm>
                          <a:off x="0" y="0"/>
                          <a:ext cx="3624120" cy="3624120"/>
                        </a:xfrm>
                        <a:prstGeom prst="rect">
                          <a:avLst/>
                        </a:prstGeom>
                        <a:noFill/>
                        <a:ln w="0">
                          <a:noFill/>
                        </a:ln>
                      </pic:spPr>
                    </pic:pic>
                  </a:graphicData>
                </a:graphic>
              </wp:inline>
            </w:drawing>
          </mc:Choice>
        </mc:AlternateContent>
      </w:r>
    </w:p>
    <w:p>
      <w:pPr>
        <w:pStyle w:val="Normal"/>
        <w:jc w:val="center"/>
        <w:rPr>
          <w:b/>
          <w:bCs/>
        </w:rPr>
      </w:pPr>
      <w:r>
        <w:rPr>
          <w:b/>
          <w:bCs/>
        </w:rPr>
        <w:t xml:space="preserve">Figure 2: PESTEL Framework </w:t>
      </w:r>
    </w:p>
    <w:p>
      <w:pPr>
        <w:pStyle w:val="Normal"/>
        <w:jc w:val="center"/>
        <w:rPr/>
      </w:pPr>
      <w:r>
        <w:rPr/>
        <w:t>(Adopted from David Hayden, 2025)</w:t>
      </w:r>
    </w:p>
    <w:p>
      <w:pPr>
        <w:pStyle w:val="Normal"/>
        <w:rPr/>
      </w:pPr>
      <w:r>
        <w:rPr/>
        <w:t>PESTEE of both the USA and India are analysed to compare and contrast the external environments of these countries for the business of Pizza Hut.</w:t>
      </w:r>
    </w:p>
    <w:p>
      <w:pPr>
        <w:pStyle w:val="Normal"/>
        <w:widowControl w:val="false"/>
        <w:rPr>
          <w:b/>
          <w:bCs/>
          <w:i/>
          <w:i/>
          <w:iCs/>
          <w:u w:val="single"/>
        </w:rPr>
      </w:pPr>
      <w:r>
        <w:rPr>
          <w:b/>
          <w:bCs/>
          <w:i/>
          <w:iCs/>
          <w:u w:val="single"/>
        </w:rPr>
        <w:t>Political</w:t>
      </w:r>
    </w:p>
    <w:p>
      <w:pPr>
        <w:pStyle w:val="Normal"/>
        <w:widowControl w:val="false"/>
        <w:rPr>
          <w:b/>
          <w:bCs/>
        </w:rPr>
      </w:pPr>
      <w:r>
        <w:rPr>
          <w:b/>
          <w:bCs/>
        </w:rPr>
        <w:t>USA</w:t>
      </w:r>
      <w:r>
        <w:rPr/>
        <w:t xml:space="preserve">: The USA has a stable political system with -0.1 points in 2024, an increase from -0.19 points in 2023 (Global Economy, 2024). The food service industry has strict regulations from agencies such as the Food and Drug Administration (FDA) (FDA, 2019).— </w:t>
      </w:r>
      <w:r>
        <w:rPr>
          <w:b/>
          <w:bCs/>
        </w:rPr>
        <w:t>Opportunity</w:t>
      </w:r>
    </w:p>
    <w:p>
      <w:pPr>
        <w:pStyle w:val="Normal"/>
        <w:widowControl w:val="false"/>
        <w:rPr/>
      </w:pPr>
      <w:r>
        <w:rPr>
          <w:b/>
          <w:bCs/>
        </w:rPr>
        <w:t>India</w:t>
      </w:r>
      <w:r>
        <w:rPr/>
        <w:t xml:space="preserve">: The government has permitted 100% Foreign Direct Investment (FDI) in the food processing sector (Government of India, 2025). Government initiatives such as “Make in India” support business growth (PIB, 2025).— </w:t>
      </w:r>
      <w:r>
        <w:rPr>
          <w:b/>
          <w:bCs/>
        </w:rPr>
        <w:t xml:space="preserve">Opportunity </w:t>
      </w:r>
    </w:p>
    <w:p>
      <w:pPr>
        <w:pStyle w:val="Normal"/>
        <w:widowControl w:val="false"/>
        <w:rPr>
          <w:b/>
          <w:bCs/>
          <w:i/>
          <w:i/>
          <w:iCs/>
          <w:u w:val="single"/>
        </w:rPr>
      </w:pPr>
      <w:r>
        <w:rPr>
          <w:b/>
          <w:bCs/>
          <w:i/>
          <w:iCs/>
          <w:u w:val="single"/>
        </w:rPr>
        <w:t>Economic</w:t>
      </w:r>
    </w:p>
    <w:p>
      <w:pPr>
        <w:pStyle w:val="Normal"/>
        <w:widowControl w:val="false"/>
        <w:rPr>
          <w:b/>
          <w:bCs/>
        </w:rPr>
      </w:pPr>
      <w:r>
        <w:rPr>
          <w:b/>
          <w:bCs/>
        </w:rPr>
        <w:t>USA</w:t>
      </w:r>
      <w:r>
        <w:rPr/>
        <w:t xml:space="preserve">: In 2026, the USA had a nominal Gross Domestic Product (GDP) of almost $32.4 trillion (Clark, 2026). It is the world's largest economy. — </w:t>
      </w:r>
      <w:r>
        <w:rPr>
          <w:b/>
          <w:bCs/>
        </w:rPr>
        <w:t xml:space="preserve">Opportunity </w:t>
      </w:r>
    </w:p>
    <w:p>
      <w:pPr>
        <w:pStyle w:val="Normal"/>
        <w:widowControl w:val="false"/>
        <w:rPr>
          <w:b/>
          <w:bCs/>
        </w:rPr>
      </w:pPr>
      <w:r>
        <w:rPr>
          <w:b/>
          <w:bCs/>
        </w:rPr>
        <w:t>India</w:t>
      </w:r>
      <w:r>
        <w:rPr/>
        <w:t xml:space="preserve">: In 2026, GDP growth is estimated at 7.4% by the double engine of consumption and investment (PIB, 2026). — </w:t>
      </w:r>
      <w:r>
        <w:rPr>
          <w:b/>
          <w:bCs/>
        </w:rPr>
        <w:t>Opportunity</w:t>
      </w:r>
    </w:p>
    <w:p>
      <w:pPr>
        <w:pStyle w:val="Normal"/>
        <w:widowControl w:val="false"/>
        <w:rPr>
          <w:b/>
          <w:bCs/>
          <w:i/>
          <w:i/>
          <w:iCs/>
          <w:u w:val="single"/>
        </w:rPr>
      </w:pPr>
      <w:r>
        <w:rPr>
          <w:b/>
          <w:bCs/>
          <w:i/>
          <w:iCs/>
          <w:u w:val="single"/>
        </w:rPr>
        <w:t xml:space="preserve">Socio-cultural </w:t>
      </w:r>
    </w:p>
    <w:p>
      <w:pPr>
        <w:pStyle w:val="Normal"/>
        <w:widowControl w:val="false"/>
        <w:rPr>
          <w:b/>
          <w:bCs/>
        </w:rPr>
      </w:pPr>
      <w:r>
        <w:rPr>
          <w:b/>
          <w:bCs/>
        </w:rPr>
        <w:t>USA</w:t>
      </w:r>
      <w:r>
        <w:rPr/>
        <w:t xml:space="preserve">: 83% of people in America eat fast food at least once a week (The Barbecue Lab, 2022). 32% of adults had fast food during August 2021 to August 2023 (Tsai, 2025). Furthermore, Americans support product varieties including veg and non-veg. — </w:t>
      </w:r>
      <w:r>
        <w:rPr>
          <w:b/>
          <w:bCs/>
        </w:rPr>
        <w:t>Opportunity</w:t>
      </w:r>
    </w:p>
    <w:p>
      <w:pPr>
        <w:pStyle w:val="Normal"/>
        <w:widowControl w:val="false"/>
        <w:rPr/>
      </w:pPr>
      <w:r>
        <w:rPr>
          <w:b/>
          <w:bCs/>
        </w:rPr>
        <w:t>India</w:t>
      </w:r>
      <w:r>
        <w:rPr/>
        <w:t xml:space="preserve">: 45% of urban Indians eat at fast-food restaurants at least once a week, while almost 7% eat on a daily basis (Venkatesan, 2024). </w:t>
      </w:r>
    </w:p>
    <w:p>
      <w:pPr>
        <w:pStyle w:val="Normal"/>
        <w:widowControl w:val="false"/>
        <w:rPr>
          <w:b/>
          <w:bCs/>
        </w:rPr>
      </w:pPr>
      <w:r>
        <w:rPr/>
        <w:t xml:space="preserve">Urbanisation is increasing in India due to its large demographic weight (Kundu, 2025).— </w:t>
      </w:r>
      <w:r>
        <w:rPr>
          <w:b/>
          <w:bCs/>
        </w:rPr>
        <w:t>Opportunity</w:t>
      </w:r>
    </w:p>
    <w:p>
      <w:pPr>
        <w:pStyle w:val="Normal"/>
        <w:widowControl w:val="false"/>
        <w:rPr/>
      </w:pPr>
      <w:r>
        <w:rPr/>
        <w:t xml:space="preserve">However, focusing on culture, almost 9% of Indians consume eggs, while 31% are pure vegetarians (BWC India, 2021).— </w:t>
      </w:r>
      <w:r>
        <w:rPr>
          <w:b/>
          <w:bCs/>
        </w:rPr>
        <w:t>Threat</w:t>
      </w:r>
    </w:p>
    <w:p>
      <w:pPr>
        <w:pStyle w:val="Normal"/>
        <w:widowControl w:val="false"/>
        <w:rPr>
          <w:b/>
          <w:bCs/>
          <w:i/>
          <w:i/>
          <w:iCs/>
          <w:u w:val="single"/>
        </w:rPr>
      </w:pPr>
      <w:r>
        <w:rPr>
          <w:b/>
          <w:bCs/>
          <w:i/>
          <w:iCs/>
          <w:u w:val="single"/>
        </w:rPr>
        <w:t>Technological</w:t>
      </w:r>
    </w:p>
    <w:p>
      <w:pPr>
        <w:pStyle w:val="Normal"/>
        <w:widowControl w:val="false"/>
        <w:rPr>
          <w:b/>
          <w:bCs/>
        </w:rPr>
      </w:pPr>
      <w:r>
        <w:rPr>
          <w:b/>
          <w:bCs/>
        </w:rPr>
        <w:t>USA</w:t>
      </w:r>
      <w:r>
        <w:rPr/>
        <w:t xml:space="preserve">: A total of 13.5 million users are expected between 2024 and 2029 (Statista, 2026). Supports the culture of using online ordering, AI-driven marketing, and delivery platforms.— </w:t>
      </w:r>
      <w:r>
        <w:rPr>
          <w:b/>
          <w:bCs/>
        </w:rPr>
        <w:t xml:space="preserve">Opportunity </w:t>
      </w:r>
    </w:p>
    <w:p>
      <w:pPr>
        <w:pStyle w:val="Normal"/>
        <w:widowControl w:val="false"/>
        <w:rPr>
          <w:b/>
          <w:bCs/>
        </w:rPr>
      </w:pPr>
      <w:r>
        <w:rPr>
          <w:b/>
          <w:bCs/>
        </w:rPr>
        <w:t>India</w:t>
      </w:r>
      <w:r>
        <w:rPr/>
        <w:t xml:space="preserve">: India had 958 million Active Internet Users in 2026, which has 8% year-on-year growth (NDTV, 2026). It focuses on the culture of digital ordering and food delivery platforms, such as Swiggy and Zomato, critical sales channels.— </w:t>
      </w:r>
      <w:r>
        <w:rPr>
          <w:b/>
          <w:bCs/>
        </w:rPr>
        <w:t>Opportunity</w:t>
      </w:r>
    </w:p>
    <w:p>
      <w:pPr>
        <w:pStyle w:val="Normal"/>
        <w:widowControl w:val="false"/>
        <w:rPr>
          <w:b/>
          <w:bCs/>
          <w:i/>
          <w:i/>
          <w:iCs/>
          <w:u w:val="single"/>
        </w:rPr>
      </w:pPr>
      <w:r>
        <w:rPr>
          <w:b/>
          <w:bCs/>
          <w:i/>
          <w:iCs/>
          <w:u w:val="single"/>
        </w:rPr>
        <w:t>Environmental</w:t>
      </w:r>
    </w:p>
    <w:p>
      <w:pPr>
        <w:pStyle w:val="Normal"/>
        <w:widowControl w:val="false"/>
        <w:rPr>
          <w:b/>
          <w:bCs/>
        </w:rPr>
      </w:pPr>
      <w:r>
        <w:rPr>
          <w:b/>
          <w:bCs/>
        </w:rPr>
        <w:t>USA</w:t>
      </w:r>
      <w:r>
        <w:rPr/>
        <w:t xml:space="preserve">: The USA consumers are increasingly concerned about sustainable packaging with food safety (Nordigården et al., 2025). The culture of sustainable-driven products among the USA consumers helps to reduce the use of plastic packaging.  — </w:t>
      </w:r>
      <w:r>
        <w:rPr>
          <w:b/>
          <w:bCs/>
        </w:rPr>
        <w:t>Opportunity</w:t>
      </w:r>
    </w:p>
    <w:p>
      <w:pPr>
        <w:pStyle w:val="Normal"/>
        <w:widowControl w:val="false"/>
        <w:rPr>
          <w:b/>
          <w:bCs/>
        </w:rPr>
      </w:pPr>
      <w:r>
        <w:rPr>
          <w:b/>
          <w:bCs/>
        </w:rPr>
        <w:t>India</w:t>
      </w:r>
      <w:r>
        <w:rPr/>
        <w:t xml:space="preserve">: Single-use plastic products are banned in India (Nøklebye et al., 2023). It encompasses the culture of favouring brands which adopt eco-friendly packaging and sustainable sourcing practices. — </w:t>
      </w:r>
      <w:r>
        <w:rPr>
          <w:b/>
          <w:bCs/>
        </w:rPr>
        <w:t>Opportunity</w:t>
      </w:r>
    </w:p>
    <w:p>
      <w:pPr>
        <w:pStyle w:val="Normal"/>
        <w:widowControl w:val="false"/>
        <w:rPr>
          <w:b/>
          <w:bCs/>
          <w:i/>
          <w:i/>
          <w:iCs/>
          <w:u w:val="single"/>
        </w:rPr>
      </w:pPr>
      <w:r>
        <w:rPr>
          <w:b/>
          <w:bCs/>
          <w:i/>
          <w:iCs/>
          <w:u w:val="single"/>
        </w:rPr>
        <w:t>Legal</w:t>
      </w:r>
    </w:p>
    <w:p>
      <w:pPr>
        <w:pStyle w:val="Normal"/>
        <w:widowControl w:val="false"/>
        <w:rPr>
          <w:b/>
          <w:bCs/>
        </w:rPr>
      </w:pPr>
      <w:r>
        <w:rPr>
          <w:b/>
          <w:bCs/>
        </w:rPr>
        <w:t>USA</w:t>
      </w:r>
      <w:r>
        <w:rPr/>
        <w:t xml:space="preserve">: Strict food safety regulations: Food Safety Modernisation Act (FSMA) (FDA, 2024). Employment law: Fair Labour Standards Act — </w:t>
      </w:r>
      <w:r>
        <w:rPr>
          <w:b/>
          <w:bCs/>
        </w:rPr>
        <w:t>Opportunity</w:t>
      </w:r>
    </w:p>
    <w:p>
      <w:pPr>
        <w:pStyle w:val="Normal"/>
        <w:widowControl w:val="false"/>
        <w:rPr>
          <w:b/>
          <w:bCs/>
        </w:rPr>
      </w:pPr>
      <w:r>
        <w:rPr>
          <w:b/>
          <w:bCs/>
        </w:rPr>
        <w:t>India</w:t>
      </w:r>
      <w:r>
        <w:rPr/>
        <w:t xml:space="preserve">: Strict food safety regulations: Food Safety and Standards Regulation, 2011 (FSSAI, 2025). Employment law to comply with daily working hours and minimum wages — </w:t>
      </w:r>
      <w:r>
        <w:rPr>
          <w:b/>
          <w:bCs/>
        </w:rPr>
        <w:t>Opportunity</w:t>
      </w:r>
    </w:p>
    <w:p>
      <w:pPr>
        <w:pStyle w:val="Normal"/>
        <w:widowControl w:val="false"/>
        <w:rPr>
          <w:b/>
          <w:bCs/>
        </w:rPr>
      </w:pPr>
      <w:r>
        <w:rPr>
          <w:b/>
          <w:bCs/>
        </w:rPr>
      </w:r>
    </w:p>
    <w:p>
      <w:pPr>
        <w:pStyle w:val="Normal"/>
        <w:rPr/>
      </w:pPr>
      <w:r>
        <w:rPr/>
        <w:t xml:space="preserve">The overall PESTEL factors analysis shows the comparison and contrast of the opportunities of Pizza Hut in both countries. Both the USA and India offer opportunities for Pizza Hut, but the nature of these opportunities differs. </w:t>
      </w:r>
    </w:p>
    <w:p>
      <w:pPr>
        <w:pStyle w:val="Normal"/>
        <w:rPr/>
      </w:pPr>
      <w:r>
        <w:rPr/>
        <w:t xml:space="preserve">Economically, the USA provides a mature market with high purchasing power and stable demand, whereas India offers higher growth potential due to its rapidly expanding urbanisation. </w:t>
      </w:r>
    </w:p>
    <w:p>
      <w:pPr>
        <w:pStyle w:val="Normal"/>
        <w:rPr/>
      </w:pPr>
      <w:r>
        <w:rPr/>
        <w:t xml:space="preserve">Socially, the increasing number of fast food eaters is more or less the same in both countries, which helps Pizza Hut to increase its business. American consumers prioritise convenience and product variety, while Indian consumers require greater menu localisation, particularly vegetarian and culturally adapted options. </w:t>
      </w:r>
    </w:p>
    <w:p>
      <w:pPr>
        <w:pStyle w:val="Normal"/>
        <w:rPr/>
      </w:pPr>
      <w:r>
        <w:rPr/>
        <w:t>Technologically, both countries support digital ordering and delivery services, although India is experiencing faster growth in smartphone and digital payment adoption.</w:t>
      </w:r>
    </w:p>
    <w:p>
      <w:pPr>
        <w:pStyle w:val="Normal"/>
        <w:rPr/>
      </w:pPr>
      <w:r>
        <w:rPr/>
        <w:t>Legally, both markets impose strict food safety and labour regulations, but India's regulatory environment can vary across states, creating additional complexity. Environmentally, consumers in both countries increasingly favour sustainable practices. Therefore, Pizza Hut needs to focus on the differences of these countries by localising its marketing strategies.</w:t>
      </w:r>
    </w:p>
    <w:p>
      <w:pPr>
        <w:pStyle w:val="Heading2"/>
        <w:rPr/>
      </w:pPr>
      <w:bookmarkStart w:id="5" w:name="_Toc236752228"/>
      <w:r>
        <w:rPr/>
        <w:t>3. Comparing and contrasting cultural factors</w:t>
      </w:r>
      <w:bookmarkEnd w:id="5"/>
    </w:p>
    <w:p>
      <w:pPr>
        <w:pStyle w:val="Normal"/>
        <w:rPr/>
      </w:pPr>
      <w:r>
        <w:rPr/>
        <w:t>In order to compare the cultural differences of the consumers of India and the USA, Hofstede's cultural dimensions were used. This framework indicates that India has higher power distance and collectivism than the USA, where individualism is more prominent.</w:t>
      </w:r>
    </w:p>
    <w:p>
      <w:pPr>
        <w:pStyle w:val="Normal"/>
        <w:jc w:val="center"/>
        <w:rPr/>
      </w:pPr>
      <w:r>
        <w:rPr/>
        <mc:AlternateContent>
          <mc:Choice Requires="wps">
            <w:drawing>
              <wp:inline distT="0" distB="0" distL="0" distR="0" wp14:anchorId="319FB0E0">
                <wp:extent cx="5731510" cy="2755900"/>
                <wp:effectExtent l="0" t="0" r="0" b="0"/>
                <wp:docPr id="7" name="image1.png"/>
                <a:graphic xmlns:a="http://schemas.openxmlformats.org/drawingml/2006/main">
                  <a:graphicData uri="http://schemas.openxmlformats.org/drawingml/2006/picture">
                    <pic:pic xmlns:pic="http://schemas.openxmlformats.org/drawingml/2006/picture">
                      <pic:nvPicPr>
                        <pic:cNvPr id="8" name="image1.png" descr=""/>
                        <pic:cNvPicPr/>
                      </pic:nvPicPr>
                      <pic:blipFill>
                        <a:blip r:embed="rId5"/>
                        <a:stretch/>
                      </pic:blipFill>
                      <pic:spPr>
                        <a:xfrm>
                          <a:off x="0" y="0"/>
                          <a:ext cx="5731560" cy="2755800"/>
                        </a:xfrm>
                        <a:prstGeom prst="rect">
                          <a:avLst/>
                        </a:prstGeom>
                        <a:noFill/>
                        <a:ln w="0">
                          <a:noFill/>
                        </a:ln>
                      </pic:spPr>
                    </pic:pic>
                  </a:graphicData>
                </a:graphic>
              </wp:inline>
            </w:drawing>
          </mc:Choice>
        </mc:AlternateContent>
      </w:r>
    </w:p>
    <w:p>
      <w:pPr>
        <w:pStyle w:val="Normal"/>
        <w:jc w:val="center"/>
        <w:rPr>
          <w:b/>
          <w:bCs/>
        </w:rPr>
      </w:pPr>
      <w:r>
        <w:rPr>
          <w:b/>
          <w:bCs/>
        </w:rPr>
        <w:t xml:space="preserve">Figure 3: Country Comparison Tool of Hofested </w:t>
      </w:r>
    </w:p>
    <w:p>
      <w:pPr>
        <w:pStyle w:val="Normal"/>
        <w:jc w:val="center"/>
        <w:rPr/>
      </w:pPr>
      <w:r>
        <w:rPr/>
        <w:t>(Source: Hofstede Insights, 2025)</w:t>
      </w:r>
    </w:p>
    <w:p>
      <w:pPr>
        <w:pStyle w:val="Normal"/>
        <w:rPr/>
      </w:pPr>
      <w:r>
        <w:rPr/>
        <w:t>Based on the analysis of Figure 3, the six dimensions show the similarities and differences of culture between India and the USA. One of the most noticeable differences is Power Distance, where India scores 77 compared to the USA’s 40 score. High power distance encompasses a more bureaucratic and hierarchical society (Budhiraja and Modi, 2021). The score indicates that Indian society is more accepting of hierarchical relationships and authority (Figure 3). For Pizza Hut, this means that management structures in India may be more centralised, with employees expecting clear instructions from supervisors. In contrast, employees in the USA generally prefer a more participative and egalitarian work environment. While the Indian approach can support efficient decision-making, it may limit employee initiative and innovation.</w:t>
      </w:r>
    </w:p>
    <w:p>
      <w:pPr>
        <w:pStyle w:val="Normal"/>
        <w:rPr/>
      </w:pPr>
      <w:r>
        <w:rPr/>
        <w:t>In terms of Individualism, the USA scores 60, whereas India scores only 24 (Figure 3). According to Komisarof and Akaliyski (2025), Individualism is characterised by freedom, self-reliance, personal autonomy, and the right to privacy. American consumers tend to make independent purchasing decisions and value personal choice. Consequently, Pizza Hut in the USA can successfully promote open kitchens, customised Personal Pan Pizza by consumers, individual pizza options, and customised ordering experiences (Coley, 2024). In contrast, Indian society is more collectivist, with family and group dining playing a significant role. For example, families in some states, such as Rajasthan, Haryana, Gujarat and Madhya Pradesh are vegetarian (India Today, 2024). As a result, Pizza Hut benefits from offering family meal deals, sharing platters, and group-oriented promotions. This cultural difference requires distinct marketing approaches in each country.</w:t>
      </w:r>
    </w:p>
    <w:p>
      <w:pPr>
        <w:pStyle w:val="Normal"/>
        <w:rPr/>
      </w:pPr>
      <w:r>
        <w:rPr/>
        <w:t>Regarding Motivation towards Achievement and Success (Masculinity), both countries score relatively high, with the USA at 62 and India at 56 (Figure 3). Zheng et al. (2025), stated that Masculinity involves traits, such as assertiveness and competitiveness. Consumers in both markets appreciate quality, value, and achievement-oriented lifestyles. Pizza Hut can therefore position itself as a modern and aspirational brand. However, a report stated that American consumers may place greater emphasis on product quality and service efficiency, while Indian consumers often seek a balance between quality and affordability (AHDB, 2025; (Penumatsa, Tirumalasetty and Vikas, 2023).</w:t>
      </w:r>
    </w:p>
    <w:p>
      <w:pPr>
        <w:pStyle w:val="Normal"/>
        <w:rPr/>
      </w:pPr>
      <w:r>
        <w:rPr/>
        <w:t>In the context of Uncertainty Avoidance, both countries have relatively moderate scores, with India at 40 and the USA at 46, as shown in Figure 3. This suggests that consumers in both markets are generally open to innovation and new product offerings. Pizza Hut can introduce new flavours, digital ordering technologies, and promotional campaigns with a reasonable expectation of acceptance. Nevertheless, customers still expect consistency in food quality and service standards.</w:t>
      </w:r>
    </w:p>
    <w:p>
      <w:pPr>
        <w:pStyle w:val="Normal"/>
        <w:rPr/>
      </w:pPr>
      <w:r>
        <w:rPr/>
        <w:t>The countries show similar scores in Long-Term Orientation, with India scoring 51 and the USA 50. This indicates that consumers in both markets value future benefits while maintaining respect for traditions. Pizza Hut leverages this by balancing innovation with established menu favourites. In India, for example, introducing local flavours while maintaining its global brand identity helps strengthen customer loyalty.</w:t>
      </w:r>
    </w:p>
    <w:p>
      <w:pPr>
        <w:pStyle w:val="Normal"/>
        <w:rPr/>
      </w:pPr>
      <w:r>
        <w:rPr/>
        <w:t>Furthermore and finally, the greatest contrast is found in Indulgence, where the USA scores 68 and India scores 26. American consumers, especially Gen Z, prefer meals at sit-down restaurants and indulgent food experiences (Mathews and Mattox, 2026).  This group of consumers prefer socialising with clothes compared to other consumer groups in the US. This supports demand for premium pizzas, desserts, and value-added services. In India, consumers are relatively more restrained and price-conscious (Chanda, 2023). This factor makes affordability and value-for-money crucial factors influencing the purchasing decisions of Indian customers. So, Pizza Hut has to focus on setting its pricing strategy according to that. Therefore, Hofstede's cultural framework helps Pizza Hut understand cultural differences, enabling effective localisation of products and marketing strategies. However, it oversimplifies national cultures, overlooks regional diversity and changing consumer behaviour, and may not accurately represent individual preferences, limiting its effectiveness in dynamic international markets.</w:t>
      </w:r>
    </w:p>
    <w:p>
      <w:pPr>
        <w:pStyle w:val="Normal"/>
        <w:rPr/>
      </w:pPr>
      <w:r>
        <w:rPr/>
      </w:r>
    </w:p>
    <w:p>
      <w:pPr>
        <w:pStyle w:val="Heading2"/>
        <w:rPr/>
      </w:pPr>
      <w:bookmarkStart w:id="6" w:name="_Toc236752229"/>
      <w:r>
        <w:rPr/>
        <w:t>4. STP (Segmentation, Targeting, and Positioning)</w:t>
      </w:r>
      <w:bookmarkEnd w:id="6"/>
      <w:r>
        <w:rPr/>
        <w:t xml:space="preserve"> </w:t>
      </w:r>
    </w:p>
    <w:tbl>
      <w:tblPr>
        <w:tblStyle w:val="a"/>
        <w:tblW w:w="9000" w:type="dxa"/>
        <w:jc w:val="left"/>
        <w:tblInd w:w="0" w:type="dxa"/>
        <w:tblLayout w:type="fixed"/>
        <w:tblCellMar>
          <w:top w:w="100" w:type="dxa"/>
          <w:left w:w="100" w:type="dxa"/>
          <w:bottom w:w="100" w:type="dxa"/>
          <w:right w:w="100" w:type="dxa"/>
        </w:tblCellMar>
        <w:tblLook w:val="0600" w:noVBand="1" w:noHBand="1" w:lastColumn="0" w:firstColumn="0" w:lastRow="0" w:firstRow="0"/>
      </w:tblPr>
      <w:tblGrid>
        <w:gridCol w:w="1828"/>
        <w:gridCol w:w="3375"/>
        <w:gridCol w:w="3797"/>
      </w:tblGrid>
      <w:tr>
        <w:trPr/>
        <w:tc>
          <w:tcPr>
            <w:tcW w:w="1828" w:type="dxa"/>
            <w:tcBorders>
              <w:top w:val="single" w:sz="8" w:space="0" w:color="000000"/>
              <w:left w:val="single" w:sz="8" w:space="0" w:color="000000"/>
              <w:bottom w:val="single" w:sz="8" w:space="0" w:color="000000"/>
              <w:right w:val="single" w:sz="8" w:space="0" w:color="000000"/>
            </w:tcBorders>
            <w:shd w:color="auto" w:fill="FFD966" w:val="clear"/>
          </w:tcPr>
          <w:p>
            <w:pPr>
              <w:pStyle w:val="Normal"/>
              <w:widowControl w:val="false"/>
              <w:jc w:val="center"/>
              <w:rPr>
                <w:b/>
                <w:bCs/>
              </w:rPr>
            </w:pPr>
            <w:r>
              <w:rPr>
                <w:b/>
                <w:bCs/>
              </w:rPr>
              <w:t>STP Element</w:t>
            </w:r>
          </w:p>
        </w:tc>
        <w:tc>
          <w:tcPr>
            <w:tcW w:w="3375" w:type="dxa"/>
            <w:tcBorders>
              <w:top w:val="single" w:sz="8" w:space="0" w:color="000000"/>
              <w:left w:val="single" w:sz="8" w:space="0" w:color="000000"/>
              <w:bottom w:val="single" w:sz="8" w:space="0" w:color="000000"/>
              <w:right w:val="single" w:sz="8" w:space="0" w:color="000000"/>
            </w:tcBorders>
            <w:shd w:color="auto" w:fill="FFD966" w:val="clear"/>
          </w:tcPr>
          <w:p>
            <w:pPr>
              <w:pStyle w:val="Normal"/>
              <w:widowControl w:val="false"/>
              <w:jc w:val="center"/>
              <w:rPr>
                <w:b/>
                <w:bCs/>
              </w:rPr>
            </w:pPr>
            <w:r>
              <w:rPr>
                <w:b/>
                <w:bCs/>
              </w:rPr>
              <w:t>USA</w:t>
            </w:r>
          </w:p>
        </w:tc>
        <w:tc>
          <w:tcPr>
            <w:tcW w:w="3797" w:type="dxa"/>
            <w:tcBorders>
              <w:top w:val="single" w:sz="8" w:space="0" w:color="000000"/>
              <w:left w:val="single" w:sz="8" w:space="0" w:color="000000"/>
              <w:bottom w:val="single" w:sz="8" w:space="0" w:color="000000"/>
              <w:right w:val="single" w:sz="8" w:space="0" w:color="000000"/>
            </w:tcBorders>
            <w:shd w:color="auto" w:fill="FFD966" w:val="clear"/>
          </w:tcPr>
          <w:p>
            <w:pPr>
              <w:pStyle w:val="Normal"/>
              <w:widowControl w:val="false"/>
              <w:jc w:val="center"/>
              <w:rPr>
                <w:b/>
                <w:bCs/>
              </w:rPr>
            </w:pPr>
            <w:r>
              <w:rPr>
                <w:b/>
                <w:bCs/>
              </w:rPr>
              <w:t>India</w:t>
            </w:r>
          </w:p>
        </w:tc>
      </w:tr>
      <w:tr>
        <w:trPr/>
        <w:tc>
          <w:tcPr>
            <w:tcW w:w="1828" w:type="dxa"/>
            <w:tcBorders>
              <w:top w:val="single" w:sz="8" w:space="0" w:color="000000"/>
              <w:left w:val="single" w:sz="8" w:space="0" w:color="000000"/>
              <w:bottom w:val="single" w:sz="8" w:space="0" w:color="000000"/>
              <w:right w:val="single" w:sz="8" w:space="0" w:color="000000"/>
            </w:tcBorders>
          </w:tcPr>
          <w:p>
            <w:pPr>
              <w:pStyle w:val="Normal"/>
              <w:widowControl w:val="false"/>
              <w:rPr>
                <w:b/>
                <w:bCs/>
              </w:rPr>
            </w:pPr>
            <w:r>
              <w:rPr>
                <w:b/>
                <w:bCs/>
              </w:rPr>
              <w:t>Segmentation</w:t>
            </w:r>
          </w:p>
        </w:tc>
        <w:tc>
          <w:tcPr>
            <w:tcW w:w="3375" w:type="dxa"/>
            <w:tcBorders>
              <w:top w:val="single" w:sz="8" w:space="0" w:color="000000"/>
              <w:left w:val="single" w:sz="8" w:space="0" w:color="000000"/>
              <w:bottom w:val="single" w:sz="8" w:space="0" w:color="000000"/>
              <w:right w:val="single" w:sz="8" w:space="0" w:color="000000"/>
            </w:tcBorders>
          </w:tcPr>
          <w:p>
            <w:pPr>
              <w:pStyle w:val="Normal"/>
              <w:widowControl w:val="false"/>
              <w:rPr/>
            </w:pPr>
            <w:r>
              <w:rPr>
                <w:b/>
                <w:bCs/>
              </w:rPr>
              <w:t>Age</w:t>
            </w:r>
            <w:r>
              <w:rPr/>
              <w:t>: 10 to 80 years old</w:t>
            </w:r>
          </w:p>
          <w:p>
            <w:pPr>
              <w:pStyle w:val="Normal"/>
              <w:widowControl w:val="false"/>
              <w:rPr/>
            </w:pPr>
            <w:r>
              <w:rPr>
                <w:b/>
                <w:bCs/>
              </w:rPr>
              <w:t xml:space="preserve">Income </w:t>
            </w:r>
            <w:r>
              <w:rPr/>
              <w:t>and families: middle- and upper-income families.</w:t>
            </w:r>
          </w:p>
          <w:p>
            <w:pPr>
              <w:pStyle w:val="Normal"/>
              <w:widowControl w:val="false"/>
              <w:rPr/>
            </w:pPr>
            <w:r>
              <w:rPr>
                <w:b/>
                <w:bCs/>
              </w:rPr>
              <w:t>Location</w:t>
            </w:r>
            <w:r>
              <w:rPr/>
              <w:t>: Urban areas.</w:t>
            </w:r>
          </w:p>
          <w:p>
            <w:pPr>
              <w:pStyle w:val="Normal"/>
              <w:widowControl w:val="false"/>
              <w:rPr/>
            </w:pPr>
            <w:r>
              <w:rPr>
                <w:b/>
                <w:bCs/>
              </w:rPr>
              <w:t>Lifestyle</w:t>
            </w:r>
            <w:r>
              <w:rPr/>
              <w:t>: There is no particular choices</w:t>
            </w:r>
          </w:p>
        </w:tc>
        <w:tc>
          <w:tcPr>
            <w:tcW w:w="3797" w:type="dxa"/>
            <w:tcBorders>
              <w:top w:val="single" w:sz="8" w:space="0" w:color="000000"/>
              <w:left w:val="single" w:sz="8" w:space="0" w:color="000000"/>
              <w:bottom w:val="single" w:sz="8" w:space="0" w:color="000000"/>
              <w:right w:val="single" w:sz="8" w:space="0" w:color="000000"/>
            </w:tcBorders>
          </w:tcPr>
          <w:p>
            <w:pPr>
              <w:pStyle w:val="Normal"/>
              <w:widowControl w:val="false"/>
              <w:rPr/>
            </w:pPr>
            <w:r>
              <w:rPr>
                <w:b/>
                <w:bCs/>
              </w:rPr>
              <w:t>Age</w:t>
            </w:r>
            <w:r>
              <w:rPr/>
              <w:t>: 10 to 80 years old</w:t>
            </w:r>
          </w:p>
          <w:p>
            <w:pPr>
              <w:pStyle w:val="Normal"/>
              <w:widowControl w:val="false"/>
              <w:rPr/>
            </w:pPr>
            <w:r>
              <w:rPr>
                <w:b/>
                <w:bCs/>
              </w:rPr>
              <w:t xml:space="preserve">Income </w:t>
            </w:r>
            <w:r>
              <w:rPr/>
              <w:t>and families: Middle- and upper-income families.</w:t>
            </w:r>
          </w:p>
          <w:p>
            <w:pPr>
              <w:pStyle w:val="Normal"/>
              <w:widowControl w:val="false"/>
              <w:rPr/>
            </w:pPr>
            <w:r>
              <w:rPr>
                <w:b/>
                <w:bCs/>
              </w:rPr>
              <w:t>Location</w:t>
            </w:r>
            <w:r>
              <w:rPr/>
              <w:t>: Urban areas, especially metro cities.</w:t>
            </w:r>
          </w:p>
          <w:p>
            <w:pPr>
              <w:pStyle w:val="Normal"/>
              <w:widowControl w:val="false"/>
              <w:rPr/>
            </w:pPr>
            <w:r>
              <w:rPr>
                <w:b/>
                <w:bCs/>
              </w:rPr>
              <w:t>Lifestyle</w:t>
            </w:r>
            <w:r>
              <w:rPr/>
              <w:t>: distinction between vegetarian and non-vegetarian eaters</w:t>
            </w:r>
          </w:p>
        </w:tc>
      </w:tr>
      <w:tr>
        <w:trPr/>
        <w:tc>
          <w:tcPr>
            <w:tcW w:w="1828" w:type="dxa"/>
            <w:tcBorders>
              <w:top w:val="single" w:sz="8" w:space="0" w:color="000000"/>
              <w:left w:val="single" w:sz="8" w:space="0" w:color="000000"/>
              <w:bottom w:val="single" w:sz="8" w:space="0" w:color="000000"/>
              <w:right w:val="single" w:sz="8" w:space="0" w:color="000000"/>
            </w:tcBorders>
          </w:tcPr>
          <w:p>
            <w:pPr>
              <w:pStyle w:val="Normal"/>
              <w:widowControl w:val="false"/>
              <w:rPr>
                <w:b/>
                <w:bCs/>
              </w:rPr>
            </w:pPr>
            <w:r>
              <w:rPr>
                <w:b/>
                <w:bCs/>
              </w:rPr>
              <w:t>Targeting</w:t>
            </w:r>
          </w:p>
        </w:tc>
        <w:tc>
          <w:tcPr>
            <w:tcW w:w="3375" w:type="dxa"/>
            <w:tcBorders>
              <w:top w:val="single" w:sz="8" w:space="0" w:color="000000"/>
              <w:left w:val="single" w:sz="8" w:space="0" w:color="000000"/>
              <w:bottom w:val="single" w:sz="8" w:space="0" w:color="000000"/>
              <w:right w:val="single" w:sz="8" w:space="0" w:color="000000"/>
            </w:tcBorders>
          </w:tcPr>
          <w:p>
            <w:pPr>
              <w:pStyle w:val="Normal"/>
              <w:widowControl w:val="false"/>
              <w:rPr/>
            </w:pPr>
            <w:r>
              <w:rPr/>
              <w:t>Middle and upper-income class, along with students, and families.</w:t>
            </w:r>
          </w:p>
        </w:tc>
        <w:tc>
          <w:tcPr>
            <w:tcW w:w="3797" w:type="dxa"/>
            <w:tcBorders>
              <w:top w:val="single" w:sz="8" w:space="0" w:color="000000"/>
              <w:left w:val="single" w:sz="8" w:space="0" w:color="000000"/>
              <w:bottom w:val="single" w:sz="8" w:space="0" w:color="000000"/>
              <w:right w:val="single" w:sz="8" w:space="0" w:color="000000"/>
            </w:tcBorders>
          </w:tcPr>
          <w:p>
            <w:pPr>
              <w:pStyle w:val="Normal"/>
              <w:widowControl w:val="false"/>
              <w:rPr/>
            </w:pPr>
            <w:r>
              <w:rPr/>
              <w:t>growing middle class, young consumers, students, and families.</w:t>
            </w:r>
          </w:p>
        </w:tc>
      </w:tr>
      <w:tr>
        <w:trPr/>
        <w:tc>
          <w:tcPr>
            <w:tcW w:w="1828" w:type="dxa"/>
            <w:tcBorders>
              <w:top w:val="single" w:sz="8" w:space="0" w:color="000000"/>
              <w:left w:val="single" w:sz="8" w:space="0" w:color="000000"/>
              <w:bottom w:val="single" w:sz="8" w:space="0" w:color="000000"/>
              <w:right w:val="single" w:sz="8" w:space="0" w:color="000000"/>
            </w:tcBorders>
          </w:tcPr>
          <w:p>
            <w:pPr>
              <w:pStyle w:val="Normal"/>
              <w:widowControl w:val="false"/>
              <w:rPr>
                <w:b/>
                <w:bCs/>
              </w:rPr>
            </w:pPr>
            <w:r>
              <w:rPr>
                <w:b/>
                <w:bCs/>
              </w:rPr>
              <w:t>Positioning</w:t>
            </w:r>
          </w:p>
        </w:tc>
        <w:tc>
          <w:tcPr>
            <w:tcW w:w="3375" w:type="dxa"/>
            <w:tcBorders>
              <w:top w:val="single" w:sz="8" w:space="0" w:color="000000"/>
              <w:left w:val="single" w:sz="8" w:space="0" w:color="000000"/>
              <w:bottom w:val="single" w:sz="8" w:space="0" w:color="000000"/>
              <w:right w:val="single" w:sz="8" w:space="0" w:color="000000"/>
            </w:tcBorders>
          </w:tcPr>
          <w:p>
            <w:pPr>
              <w:pStyle w:val="Normal"/>
              <w:widowControl w:val="false"/>
              <w:rPr/>
            </w:pPr>
            <w:r>
              <w:rPr/>
              <w:t>A convenient, innovative, and reliable pizza brand</w:t>
            </w:r>
          </w:p>
        </w:tc>
        <w:tc>
          <w:tcPr>
            <w:tcW w:w="3797" w:type="dxa"/>
            <w:tcBorders>
              <w:top w:val="single" w:sz="8" w:space="0" w:color="000000"/>
              <w:left w:val="single" w:sz="8" w:space="0" w:color="000000"/>
              <w:bottom w:val="single" w:sz="8" w:space="0" w:color="000000"/>
              <w:right w:val="single" w:sz="8" w:space="0" w:color="000000"/>
            </w:tcBorders>
          </w:tcPr>
          <w:p>
            <w:pPr>
              <w:pStyle w:val="Normal"/>
              <w:widowControl w:val="false"/>
              <w:rPr/>
            </w:pPr>
            <w:r>
              <w:rPr/>
              <w:t>Locally adapted pizza brand offering affordable menu options.</w:t>
            </w:r>
          </w:p>
        </w:tc>
      </w:tr>
    </w:tbl>
    <w:p>
      <w:pPr>
        <w:pStyle w:val="Normal"/>
        <w:jc w:val="center"/>
        <w:rPr>
          <w:b/>
          <w:bCs/>
        </w:rPr>
      </w:pPr>
      <w:r>
        <w:rPr>
          <w:b/>
          <w:bCs/>
        </w:rPr>
        <w:t>Table 1: STP Analysis</w:t>
      </w:r>
    </w:p>
    <w:p>
      <w:pPr>
        <w:pStyle w:val="Normal"/>
        <w:rPr>
          <w:b/>
          <w:bCs/>
          <w:u w:val="single"/>
        </w:rPr>
      </w:pPr>
      <w:r>
        <w:rPr>
          <w:b/>
          <w:bCs/>
          <w:u w:val="single"/>
        </w:rPr>
        <w:t xml:space="preserve">Segmentation </w:t>
      </w:r>
    </w:p>
    <w:p>
      <w:pPr>
        <w:pStyle w:val="Normal"/>
        <w:rPr/>
      </w:pPr>
      <w:r>
        <w:rPr/>
        <w:t xml:space="preserve">The segments of a business focus on demographics, lifestyle, and behavioural factors. In both countries, Pizza Hut has been more famous with older people than with younger people (Gelski, 2022). However, all ages from 10 to 80 years old, both male and female, are the segmented customer groups of Pizza Hut. Key customer groups include working professionals, students, families, and convenience-oriented consumers who seek quick and easy meal solutions. In contrast, Pizza Hut segmented the Indian customers based on their income levels, urbanisation, and cultural preferences. This pizza chain also targets college students and families living in metropolitan and tier-one cities. </w:t>
      </w:r>
    </w:p>
    <w:p>
      <w:pPr>
        <w:pStyle w:val="Normal"/>
        <w:rPr>
          <w:b/>
          <w:bCs/>
          <w:u w:val="single"/>
        </w:rPr>
      </w:pPr>
      <w:r>
        <w:rPr>
          <w:b/>
          <w:bCs/>
          <w:u w:val="single"/>
        </w:rPr>
        <w:t xml:space="preserve">Targeting </w:t>
      </w:r>
    </w:p>
    <w:p>
      <w:pPr>
        <w:pStyle w:val="Normal"/>
        <w:rPr/>
      </w:pPr>
      <w:r>
        <w:rPr/>
        <w:t>In the USA, Pizza Hut targets middle- and upper-income families who value quality and customised dining experiences. This brand also targets customers seeking premium products through specialty pizzas and customised meal options.</w:t>
      </w:r>
    </w:p>
    <w:p>
      <w:pPr>
        <w:pStyle w:val="Normal"/>
        <w:rPr/>
      </w:pPr>
      <w:r>
        <w:rPr/>
        <w:t xml:space="preserve">In India, Pizza Hut targets a broader customer base, such as the growing middle class and younger consumers who are increasingly influenced by Western food culture. Indian culture is oriented towards family culture, where a major target segment is based on group activity. This pizza brand also targets price-sensitive consumers through value meals, discounts, and promotional offers. The vegetarian consumers of India are also the target people, as Pizza Hut added some veg items, such as Tandoori Paneer Ultimate Cheese and others (Pizza Hut India, 2026b). </w:t>
      </w:r>
    </w:p>
    <w:p>
      <w:pPr>
        <w:pStyle w:val="Normal"/>
        <w:rPr>
          <w:b/>
          <w:bCs/>
          <w:u w:val="single"/>
        </w:rPr>
      </w:pPr>
      <w:r>
        <w:rPr>
          <w:b/>
          <w:bCs/>
          <w:u w:val="single"/>
        </w:rPr>
        <w:t xml:space="preserve">Positioning </w:t>
      </w:r>
    </w:p>
    <w:p>
      <w:pPr>
        <w:pStyle w:val="Normal"/>
        <w:rPr/>
      </w:pPr>
      <w:r>
        <w:rPr/>
        <w:t xml:space="preserve">As the culture between the USA and India are somewhat different, the positioning strategies of Pizza Hut are also somewhat distinct from each other. In India, Pizza Hut has adopted a more localised positioning strategy by blending its menu with the customer demand and culture they follow. For example, this brand has also added a number of veg items in its menu, such as “Fiery Schezwan Veggie”, “Mozzarella Cheese”, “Duo Peppers-Red” and other options (Pizza Hut India, 2026b). Domino's Pizza and Mojo Pizza are the competitors in the Indian market (Figure 4). Therefore, in this country, it maintains the cultural aspects of the consumers, which has helped to create a good position in the market. </w:t>
      </w:r>
    </w:p>
    <w:p>
      <w:pPr>
        <w:pStyle w:val="Normal"/>
        <w:jc w:val="center"/>
        <w:rPr/>
      </w:pPr>
      <w:r>
        <w:rPr/>
        <mc:AlternateContent>
          <mc:Choice Requires="wps">
            <w:drawing>
              <wp:inline distT="0" distB="0" distL="0" distR="0" wp14:anchorId="09BAC371">
                <wp:extent cx="5731510" cy="3683000"/>
                <wp:effectExtent l="0" t="0" r="0" b="0"/>
                <wp:docPr id="9" name="image11.png"/>
                <a:graphic xmlns:a="http://schemas.openxmlformats.org/drawingml/2006/main">
                  <a:graphicData uri="http://schemas.openxmlformats.org/drawingml/2006/picture">
                    <pic:pic xmlns:pic="http://schemas.openxmlformats.org/drawingml/2006/picture">
                      <pic:nvPicPr>
                        <pic:cNvPr id="10" name="image11.png" descr=""/>
                        <pic:cNvPicPr/>
                      </pic:nvPicPr>
                      <pic:blipFill>
                        <a:blip r:embed="rId6"/>
                        <a:stretch/>
                      </pic:blipFill>
                      <pic:spPr>
                        <a:xfrm>
                          <a:off x="0" y="0"/>
                          <a:ext cx="5731560" cy="3683160"/>
                        </a:xfrm>
                        <a:prstGeom prst="rect">
                          <a:avLst/>
                        </a:prstGeom>
                        <a:noFill/>
                        <a:ln w="0">
                          <a:noFill/>
                        </a:ln>
                      </pic:spPr>
                    </pic:pic>
                  </a:graphicData>
                </a:graphic>
              </wp:inline>
            </w:drawing>
          </mc:Choice>
        </mc:AlternateContent>
      </w:r>
    </w:p>
    <w:p>
      <w:pPr>
        <w:pStyle w:val="Normal"/>
        <w:jc w:val="center"/>
        <w:rPr>
          <w:b/>
          <w:bCs/>
        </w:rPr>
      </w:pPr>
      <w:r>
        <w:rPr>
          <w:b/>
          <w:bCs/>
        </w:rPr>
        <w:t>Figure 4: Positioning map of Pizza Hut in India</w:t>
      </w:r>
    </w:p>
    <w:p>
      <w:pPr>
        <w:pStyle w:val="Normal"/>
        <w:rPr/>
      </w:pPr>
      <w:r>
        <w:rPr/>
        <w:t xml:space="preserve">On the other hand, in the USA, this pizza chain brand positions itself by offering fast delivery and digital ordering solutions. In this market, Pizza Hut competes with Domino's Pizza, Little Caesars and Papa John's (Burke, 2026) (Figure 5). Consumers of Pizza Hut emphasise product variety and value deals, by making the brand attractive to busy people. </w:t>
      </w:r>
    </w:p>
    <w:p>
      <w:pPr>
        <w:pStyle w:val="Normal"/>
        <w:jc w:val="center"/>
        <w:rPr/>
      </w:pPr>
      <w:r>
        <w:rPr/>
        <mc:AlternateContent>
          <mc:Choice Requires="wps">
            <w:drawing>
              <wp:inline distT="0" distB="0" distL="0" distR="0" wp14:anchorId="5D54642C">
                <wp:extent cx="5731510" cy="3454400"/>
                <wp:effectExtent l="0" t="0" r="0" b="0"/>
                <wp:docPr id="11" name="image7.png"/>
                <a:graphic xmlns:a="http://schemas.openxmlformats.org/drawingml/2006/main">
                  <a:graphicData uri="http://schemas.openxmlformats.org/drawingml/2006/picture">
                    <pic:pic xmlns:pic="http://schemas.openxmlformats.org/drawingml/2006/picture">
                      <pic:nvPicPr>
                        <pic:cNvPr id="12" name="image7.png" descr=""/>
                        <pic:cNvPicPr/>
                      </pic:nvPicPr>
                      <pic:blipFill>
                        <a:blip r:embed="rId7"/>
                        <a:stretch/>
                      </pic:blipFill>
                      <pic:spPr>
                        <a:xfrm>
                          <a:off x="0" y="0"/>
                          <a:ext cx="5731560" cy="3454560"/>
                        </a:xfrm>
                        <a:prstGeom prst="rect">
                          <a:avLst/>
                        </a:prstGeom>
                        <a:noFill/>
                        <a:ln w="0">
                          <a:noFill/>
                        </a:ln>
                      </pic:spPr>
                    </pic:pic>
                  </a:graphicData>
                </a:graphic>
              </wp:inline>
            </w:drawing>
          </mc:Choice>
        </mc:AlternateContent>
      </w:r>
    </w:p>
    <w:p>
      <w:pPr>
        <w:pStyle w:val="Normal"/>
        <w:jc w:val="center"/>
        <w:rPr>
          <w:b/>
          <w:bCs/>
        </w:rPr>
      </w:pPr>
      <w:r>
        <w:rPr>
          <w:b/>
          <w:bCs/>
        </w:rPr>
        <w:t>Figure 5: Positioning map of Pizza Hut in the USA</w:t>
      </w:r>
    </w:p>
    <w:p>
      <w:pPr>
        <w:pStyle w:val="Normal"/>
        <w:jc w:val="center"/>
        <w:rPr/>
      </w:pPr>
      <w:r>
        <w:rPr/>
      </w:r>
    </w:p>
    <w:p>
      <w:pPr>
        <w:pStyle w:val="Heading2"/>
        <w:rPr/>
      </w:pPr>
      <w:bookmarkStart w:id="7" w:name="_Toc236752230"/>
      <w:r>
        <w:rPr/>
        <w:t>5. International Marketing Mix (7Ps) strategies</w:t>
      </w:r>
      <w:bookmarkEnd w:id="7"/>
    </w:p>
    <w:p>
      <w:pPr>
        <w:pStyle w:val="Normal"/>
        <w:jc w:val="center"/>
        <w:rPr/>
      </w:pPr>
      <w:r>
        <w:rPr/>
        <mc:AlternateContent>
          <mc:Choice Requires="wps">
            <w:drawing>
              <wp:inline distT="0" distB="0" distL="0" distR="0" wp14:anchorId="05441F63">
                <wp:extent cx="4254500" cy="3924935"/>
                <wp:effectExtent l="0" t="0" r="0" b="0"/>
                <wp:docPr id="13" name="image2.png"/>
                <a:graphic xmlns:a="http://schemas.openxmlformats.org/drawingml/2006/main">
                  <a:graphicData uri="http://schemas.openxmlformats.org/drawingml/2006/picture">
                    <pic:pic xmlns:pic="http://schemas.openxmlformats.org/drawingml/2006/picture">
                      <pic:nvPicPr>
                        <pic:cNvPr id="14" name="image2.png" descr=""/>
                        <pic:cNvPicPr/>
                      </pic:nvPicPr>
                      <pic:blipFill>
                        <a:blip r:embed="rId8"/>
                        <a:srcRect l="8693" t="2010" r="7307" b="5361"/>
                        <a:stretch/>
                      </pic:blipFill>
                      <pic:spPr>
                        <a:xfrm>
                          <a:off x="0" y="0"/>
                          <a:ext cx="4254480" cy="3925080"/>
                        </a:xfrm>
                        <a:prstGeom prst="rect">
                          <a:avLst/>
                        </a:prstGeom>
                        <a:noFill/>
                        <a:ln w="0">
                          <a:noFill/>
                        </a:ln>
                      </pic:spPr>
                    </pic:pic>
                  </a:graphicData>
                </a:graphic>
              </wp:inline>
            </w:drawing>
          </mc:Choice>
        </mc:AlternateContent>
      </w:r>
    </w:p>
    <w:p>
      <w:pPr>
        <w:pStyle w:val="Normal"/>
        <w:jc w:val="center"/>
        <w:rPr>
          <w:b/>
          <w:bCs/>
        </w:rPr>
      </w:pPr>
      <w:r>
        <w:rPr>
          <w:b/>
          <w:bCs/>
        </w:rPr>
        <w:t>Figure 6: 7Ps Marketing Mix</w:t>
      </w:r>
    </w:p>
    <w:p>
      <w:pPr>
        <w:pStyle w:val="Normal"/>
        <w:numPr>
          <w:ilvl w:val="0"/>
          <w:numId w:val="13"/>
        </w:numPr>
        <w:rPr>
          <w:b/>
          <w:bCs/>
        </w:rPr>
      </w:pPr>
      <w:r>
        <w:rPr>
          <w:b/>
          <w:bCs/>
          <w:u w:val="single"/>
        </w:rPr>
        <w:t xml:space="preserve">Product </w:t>
      </w:r>
    </w:p>
    <w:p>
      <w:pPr>
        <w:pStyle w:val="Normal"/>
        <w:rPr>
          <w:b/>
          <w:bCs/>
          <w:i/>
          <w:i/>
          <w:iCs/>
        </w:rPr>
      </w:pPr>
      <w:r>
        <w:rPr>
          <w:b/>
          <w:bCs/>
          <w:i/>
          <w:iCs/>
        </w:rPr>
        <w:t>USA</w:t>
      </w:r>
    </w:p>
    <w:p>
      <w:pPr>
        <w:pStyle w:val="Normal"/>
        <w:numPr>
          <w:ilvl w:val="0"/>
          <w:numId w:val="6"/>
        </w:numPr>
        <w:rPr/>
      </w:pPr>
      <w:r>
        <w:rPr/>
        <w:t xml:space="preserve">Offers a wide range of pizzas, wings, pasta, desserts, and premium speciality pizzas (CSP Daily News, 2016). </w:t>
      </w:r>
    </w:p>
    <w:p>
      <w:pPr>
        <w:pStyle w:val="Normal"/>
        <w:numPr>
          <w:ilvl w:val="0"/>
          <w:numId w:val="6"/>
        </w:numPr>
        <w:rPr/>
      </w:pPr>
      <w:r>
        <w:rPr/>
        <w:t>Focuses on customisation and innovation in products and services.</w:t>
      </w:r>
    </w:p>
    <w:p>
      <w:pPr>
        <w:pStyle w:val="Normal"/>
        <w:numPr>
          <w:ilvl w:val="0"/>
          <w:numId w:val="6"/>
        </w:numPr>
        <w:rPr/>
      </w:pPr>
      <w:r>
        <w:rPr/>
        <w:t>Pizza Hut has introduced the new $5 Flavor menu with different types of items (CSP Daily News, 2016).</w:t>
      </w:r>
    </w:p>
    <w:p>
      <w:pPr>
        <w:pStyle w:val="Normal"/>
        <w:numPr>
          <w:ilvl w:val="0"/>
          <w:numId w:val="6"/>
        </w:numPr>
        <w:rPr/>
      </w:pPr>
      <w:r>
        <w:rPr/>
        <w:t>Pizza varieties, crusts, and toppings, while its product width (brand extension) covers multiple categories, including pizzas, wings, pasta, garlic bread, beverages, desserts, and sides, catering to diverse customer preferences.</w:t>
      </w:r>
    </w:p>
    <w:p>
      <w:pPr>
        <w:pStyle w:val="Normal"/>
        <w:jc w:val="center"/>
        <w:rPr/>
      </w:pPr>
      <w:r>
        <w:rPr/>
        <mc:AlternateContent>
          <mc:Choice Requires="wps">
            <w:drawing>
              <wp:inline distT="0" distB="0" distL="0" distR="0" wp14:anchorId="1AFEA3C4">
                <wp:extent cx="3377565" cy="2443480"/>
                <wp:effectExtent l="0" t="0" r="0" b="0"/>
                <wp:docPr id="15" name="image6.png"/>
                <a:graphic xmlns:a="http://schemas.openxmlformats.org/drawingml/2006/main">
                  <a:graphicData uri="http://schemas.openxmlformats.org/drawingml/2006/picture">
                    <pic:pic xmlns:pic="http://schemas.openxmlformats.org/drawingml/2006/picture">
                      <pic:nvPicPr>
                        <pic:cNvPr id="16" name="image6.png" descr=""/>
                        <pic:cNvPicPr/>
                      </pic:nvPicPr>
                      <pic:blipFill>
                        <a:blip r:embed="rId9"/>
                        <a:stretch/>
                      </pic:blipFill>
                      <pic:spPr>
                        <a:xfrm>
                          <a:off x="0" y="0"/>
                          <a:ext cx="3377520" cy="2443320"/>
                        </a:xfrm>
                        <a:prstGeom prst="rect">
                          <a:avLst/>
                        </a:prstGeom>
                        <a:noFill/>
                        <a:ln w="0">
                          <a:noFill/>
                        </a:ln>
                      </pic:spPr>
                    </pic:pic>
                  </a:graphicData>
                </a:graphic>
              </wp:inline>
            </w:drawing>
          </mc:Choice>
        </mc:AlternateContent>
      </w:r>
    </w:p>
    <w:p>
      <w:pPr>
        <w:pStyle w:val="Normal"/>
        <w:jc w:val="center"/>
        <w:rPr>
          <w:b/>
          <w:bCs/>
        </w:rPr>
      </w:pPr>
      <w:r>
        <w:rPr>
          <w:b/>
          <w:bCs/>
        </w:rPr>
        <w:t>Figure 7: $5 Flavor Menu</w:t>
      </w:r>
    </w:p>
    <w:p>
      <w:pPr>
        <w:pStyle w:val="Normal"/>
        <w:jc w:val="center"/>
        <w:rPr/>
      </w:pPr>
      <w:r>
        <w:rPr/>
        <w:t>(Source: CSP Daily News, 2016)</w:t>
      </w:r>
    </w:p>
    <w:p>
      <w:pPr>
        <w:pStyle w:val="Normal"/>
        <w:rPr/>
      </w:pPr>
      <w:r>
        <w:rPr/>
      </w:r>
    </w:p>
    <w:p>
      <w:pPr>
        <w:pStyle w:val="Normal"/>
        <w:rPr>
          <w:b/>
          <w:bCs/>
          <w:i/>
          <w:i/>
          <w:iCs/>
        </w:rPr>
      </w:pPr>
      <w:r>
        <w:rPr>
          <w:b/>
          <w:bCs/>
          <w:i/>
          <w:iCs/>
        </w:rPr>
        <w:t>India</w:t>
      </w:r>
    </w:p>
    <w:p>
      <w:pPr>
        <w:pStyle w:val="Normal"/>
        <w:numPr>
          <w:ilvl w:val="0"/>
          <w:numId w:val="7"/>
        </w:numPr>
        <w:rPr/>
      </w:pPr>
      <w:r>
        <w:rPr/>
        <w:t xml:space="preserve">Adapts products to local tastes through vegetarian pizzas, Smokey BBQ Veggie, Tandoori Paneer, and spicy flavours (Pizza Hut India, 2026b). </w:t>
      </w:r>
    </w:p>
    <w:p>
      <w:pPr>
        <w:pStyle w:val="Normal"/>
        <w:numPr>
          <w:ilvl w:val="0"/>
          <w:numId w:val="7"/>
        </w:numPr>
        <w:rPr/>
      </w:pPr>
      <w:r>
        <w:rPr/>
        <w:t>Beef and pork products are largely avoided due to cultural preferences (X, 2022).</w:t>
      </w:r>
    </w:p>
    <w:p>
      <w:pPr>
        <w:pStyle w:val="Normal"/>
        <w:jc w:val="center"/>
        <w:rPr/>
      </w:pPr>
      <w:r>
        <w:rPr/>
        <mc:AlternateContent>
          <mc:Choice Requires="wps">
            <w:drawing>
              <wp:inline distT="0" distB="0" distL="0" distR="0" wp14:anchorId="06D8F8F2">
                <wp:extent cx="5734050" cy="3024505"/>
                <wp:effectExtent l="0" t="0" r="0" b="0"/>
                <wp:docPr id="17" name="image15.png"/>
                <a:graphic xmlns:a="http://schemas.openxmlformats.org/drawingml/2006/main">
                  <a:graphicData uri="http://schemas.openxmlformats.org/drawingml/2006/picture">
                    <pic:pic xmlns:pic="http://schemas.openxmlformats.org/drawingml/2006/picture">
                      <pic:nvPicPr>
                        <pic:cNvPr id="18" name="image15.png" descr=""/>
                        <pic:cNvPicPr/>
                      </pic:nvPicPr>
                      <pic:blipFill>
                        <a:blip r:embed="rId10"/>
                        <a:srcRect l="0" t="6873" r="0" b="0"/>
                        <a:stretch/>
                      </pic:blipFill>
                      <pic:spPr>
                        <a:xfrm>
                          <a:off x="0" y="0"/>
                          <a:ext cx="5734080" cy="3024360"/>
                        </a:xfrm>
                        <a:prstGeom prst="rect">
                          <a:avLst/>
                        </a:prstGeom>
                        <a:noFill/>
                        <a:ln w="0">
                          <a:noFill/>
                        </a:ln>
                      </pic:spPr>
                    </pic:pic>
                  </a:graphicData>
                </a:graphic>
              </wp:inline>
            </w:drawing>
          </mc:Choice>
        </mc:AlternateContent>
      </w:r>
    </w:p>
    <w:p>
      <w:pPr>
        <w:pStyle w:val="Normal"/>
        <w:jc w:val="center"/>
        <w:rPr>
          <w:b/>
          <w:bCs/>
        </w:rPr>
      </w:pPr>
      <w:r>
        <w:rPr>
          <w:b/>
          <w:bCs/>
        </w:rPr>
        <w:t>Figure 8: Veg option in India</w:t>
      </w:r>
    </w:p>
    <w:p>
      <w:pPr>
        <w:pStyle w:val="Normal"/>
        <w:jc w:val="center"/>
        <w:rPr/>
      </w:pPr>
      <w:r>
        <w:rPr/>
        <w:t>(Source: Pizza Hut India, 2026b)</w:t>
      </w:r>
    </w:p>
    <w:p>
      <w:pPr>
        <w:pStyle w:val="Normal"/>
        <w:numPr>
          <w:ilvl w:val="0"/>
          <w:numId w:val="13"/>
        </w:numPr>
        <w:rPr>
          <w:b/>
          <w:bCs/>
        </w:rPr>
      </w:pPr>
      <w:r>
        <w:rPr>
          <w:b/>
          <w:bCs/>
          <w:u w:val="single"/>
        </w:rPr>
        <w:t xml:space="preserve">Price </w:t>
      </w:r>
    </w:p>
    <w:p>
      <w:pPr>
        <w:pStyle w:val="Normal"/>
        <w:rPr>
          <w:b/>
          <w:bCs/>
          <w:i/>
          <w:i/>
          <w:iCs/>
        </w:rPr>
      </w:pPr>
      <w:r>
        <w:rPr>
          <w:b/>
          <w:bCs/>
          <w:i/>
          <w:iCs/>
        </w:rPr>
        <w:t>USA</w:t>
      </w:r>
    </w:p>
    <w:p>
      <w:pPr>
        <w:pStyle w:val="Normal"/>
        <w:numPr>
          <w:ilvl w:val="0"/>
          <w:numId w:val="8"/>
        </w:numPr>
        <w:rPr/>
      </w:pPr>
      <w:r>
        <w:rPr/>
        <w:t>The value-based and competitive pricing strategy has been used, for example, Melts start at $6.99, and Personal Pan Pizzas at $7.99 (Pizza Hut, 2026b).</w:t>
      </w:r>
    </w:p>
    <w:p>
      <w:pPr>
        <w:pStyle w:val="Normal"/>
        <w:rPr>
          <w:b/>
          <w:bCs/>
          <w:i/>
          <w:i/>
          <w:iCs/>
        </w:rPr>
      </w:pPr>
      <w:r>
        <w:rPr>
          <w:b/>
          <w:bCs/>
          <w:i/>
          <w:iCs/>
        </w:rPr>
        <w:t>India</w:t>
      </w:r>
    </w:p>
    <w:p>
      <w:pPr>
        <w:pStyle w:val="Normal"/>
        <w:numPr>
          <w:ilvl w:val="0"/>
          <w:numId w:val="1"/>
        </w:numPr>
        <w:rPr/>
      </w:pPr>
      <w:r>
        <w:rPr/>
        <w:t xml:space="preserve">In India, a competitive pricing strategy is also used, such as Pizza starting from Rs 299 (Pizza Hut, 2026a). </w:t>
      </w:r>
    </w:p>
    <w:p>
      <w:pPr>
        <w:pStyle w:val="Normal"/>
        <w:numPr>
          <w:ilvl w:val="0"/>
          <w:numId w:val="1"/>
        </w:numPr>
        <w:rPr/>
      </w:pPr>
      <w:r>
        <w:rPr/>
        <w:t>Gives different types of offers, like discounts on birthdays on every order and Flat off 100 by using a given coupon as shown in Figure 9 (Pizza Hut, 2026a).</w:t>
      </w:r>
    </w:p>
    <w:p>
      <w:pPr>
        <w:pStyle w:val="Normal"/>
        <w:jc w:val="center"/>
        <w:rPr/>
      </w:pPr>
      <w:r>
        <w:rPr/>
        <mc:AlternateContent>
          <mc:Choice Requires="wps">
            <w:drawing>
              <wp:inline distT="0" distB="0" distL="0" distR="0" wp14:anchorId="5786A68F">
                <wp:extent cx="4129405" cy="4745990"/>
                <wp:effectExtent l="0" t="0" r="0" b="0"/>
                <wp:docPr id="19" name="image8.png"/>
                <a:graphic xmlns:a="http://schemas.openxmlformats.org/drawingml/2006/main">
                  <a:graphicData uri="http://schemas.openxmlformats.org/drawingml/2006/picture">
                    <pic:pic xmlns:pic="http://schemas.openxmlformats.org/drawingml/2006/picture">
                      <pic:nvPicPr>
                        <pic:cNvPr id="20" name="image8.png" descr=""/>
                        <pic:cNvPicPr/>
                      </pic:nvPicPr>
                      <pic:blipFill>
                        <a:blip r:embed="rId11"/>
                        <a:stretch/>
                      </pic:blipFill>
                      <pic:spPr>
                        <a:xfrm>
                          <a:off x="0" y="0"/>
                          <a:ext cx="4129560" cy="4745880"/>
                        </a:xfrm>
                        <a:prstGeom prst="rect">
                          <a:avLst/>
                        </a:prstGeom>
                        <a:noFill/>
                        <a:ln w="0">
                          <a:noFill/>
                        </a:ln>
                      </pic:spPr>
                    </pic:pic>
                  </a:graphicData>
                </a:graphic>
              </wp:inline>
            </w:drawing>
          </mc:Choice>
        </mc:AlternateContent>
      </w:r>
    </w:p>
    <w:p>
      <w:pPr>
        <w:pStyle w:val="Normal"/>
        <w:jc w:val="center"/>
        <w:rPr>
          <w:b/>
          <w:bCs/>
        </w:rPr>
      </w:pPr>
      <w:r>
        <w:rPr>
          <w:b/>
          <w:bCs/>
        </w:rPr>
        <w:t>Figure 9: Offers Pizza Hut India</w:t>
      </w:r>
    </w:p>
    <w:p>
      <w:pPr>
        <w:pStyle w:val="Normal"/>
        <w:jc w:val="center"/>
        <w:rPr/>
      </w:pPr>
      <w:r>
        <w:rPr/>
        <w:t>(Source: Pizza Hut, 2026a)</w:t>
      </w:r>
    </w:p>
    <w:p>
      <w:pPr>
        <w:pStyle w:val="Normal"/>
        <w:numPr>
          <w:ilvl w:val="0"/>
          <w:numId w:val="13"/>
        </w:numPr>
        <w:rPr>
          <w:b/>
          <w:bCs/>
        </w:rPr>
      </w:pPr>
      <w:r>
        <w:rPr>
          <w:b/>
          <w:bCs/>
          <w:u w:val="single"/>
        </w:rPr>
        <w:t>Place</w:t>
      </w:r>
    </w:p>
    <w:p>
      <w:pPr>
        <w:pStyle w:val="Normal"/>
        <w:rPr>
          <w:b/>
          <w:bCs/>
          <w:i/>
          <w:i/>
          <w:iCs/>
        </w:rPr>
      </w:pPr>
      <w:r>
        <w:rPr>
          <w:b/>
          <w:bCs/>
          <w:i/>
          <w:iCs/>
        </w:rPr>
        <w:t>USA</w:t>
      </w:r>
    </w:p>
    <w:p>
      <w:pPr>
        <w:pStyle w:val="Normal"/>
        <w:numPr>
          <w:ilvl w:val="0"/>
          <w:numId w:val="11"/>
        </w:numPr>
        <w:rPr/>
      </w:pPr>
      <w:r>
        <w:rPr/>
        <w:t>Across the USA, there are almost 1,500 outlets, including dine-in restaurants, takeaways, drive-throughs, and delivery outlets (Pizza Hut USA, 2026).</w:t>
      </w:r>
    </w:p>
    <w:p>
      <w:pPr>
        <w:pStyle w:val="Normal"/>
        <w:numPr>
          <w:ilvl w:val="0"/>
          <w:numId w:val="11"/>
        </w:numPr>
        <w:rPr/>
      </w:pPr>
      <w:r>
        <w:rPr/>
        <w:t xml:space="preserve">Online delivery options are also available across the country. </w:t>
      </w:r>
    </w:p>
    <w:p>
      <w:pPr>
        <w:pStyle w:val="Normal"/>
        <w:jc w:val="center"/>
        <w:rPr/>
      </w:pPr>
      <w:r>
        <w:rPr/>
        <mc:AlternateContent>
          <mc:Choice Requires="wps">
            <w:drawing>
              <wp:inline distT="0" distB="0" distL="0" distR="0" wp14:anchorId="0BED2FD6">
                <wp:extent cx="4914900" cy="3686175"/>
                <wp:effectExtent l="0" t="0" r="0" b="0"/>
                <wp:docPr id="21" name="image13.png"/>
                <a:graphic xmlns:a="http://schemas.openxmlformats.org/drawingml/2006/main">
                  <a:graphicData uri="http://schemas.openxmlformats.org/drawingml/2006/picture">
                    <pic:pic xmlns:pic="http://schemas.openxmlformats.org/drawingml/2006/picture">
                      <pic:nvPicPr>
                        <pic:cNvPr id="22" name="image13.png" descr=""/>
                        <pic:cNvPicPr/>
                      </pic:nvPicPr>
                      <pic:blipFill>
                        <a:blip r:embed="rId12"/>
                        <a:stretch/>
                      </pic:blipFill>
                      <pic:spPr>
                        <a:xfrm>
                          <a:off x="0" y="0"/>
                          <a:ext cx="4915080" cy="3686040"/>
                        </a:xfrm>
                        <a:prstGeom prst="rect">
                          <a:avLst/>
                        </a:prstGeom>
                        <a:noFill/>
                        <a:ln w="0">
                          <a:noFill/>
                        </a:ln>
                      </pic:spPr>
                    </pic:pic>
                  </a:graphicData>
                </a:graphic>
              </wp:inline>
            </w:drawing>
          </mc:Choice>
        </mc:AlternateContent>
      </w:r>
    </w:p>
    <w:p>
      <w:pPr>
        <w:pStyle w:val="Normal"/>
        <w:jc w:val="center"/>
        <w:rPr>
          <w:b/>
          <w:bCs/>
        </w:rPr>
      </w:pPr>
      <w:r>
        <w:rPr>
          <w:b/>
          <w:bCs/>
        </w:rPr>
        <w:t>Figure 10: Pizza Hut restaurants in the USA</w:t>
      </w:r>
    </w:p>
    <w:p>
      <w:pPr>
        <w:pStyle w:val="Normal"/>
        <w:jc w:val="center"/>
        <w:rPr/>
      </w:pPr>
      <w:r>
        <w:rPr/>
        <w:t>(Source: Pizza Hut USA, 2026)</w:t>
      </w:r>
    </w:p>
    <w:p>
      <w:pPr>
        <w:pStyle w:val="Normal"/>
        <w:rPr/>
      </w:pPr>
      <w:r>
        <w:rPr>
          <w:b/>
          <w:bCs/>
          <w:i/>
          <w:iCs/>
        </w:rPr>
        <w:t>India</w:t>
      </w:r>
    </w:p>
    <w:p>
      <w:pPr>
        <w:pStyle w:val="Normal"/>
        <w:numPr>
          <w:ilvl w:val="0"/>
          <w:numId w:val="14"/>
        </w:numPr>
        <w:rPr/>
      </w:pPr>
      <w:r>
        <w:rPr/>
        <w:t>Pizza Hut operates almost 850 Pizza Hut restaurants across India (Sharma, 2024).</w:t>
      </w:r>
    </w:p>
    <w:p>
      <w:pPr>
        <w:pStyle w:val="Normal"/>
        <w:numPr>
          <w:ilvl w:val="0"/>
          <w:numId w:val="14"/>
        </w:numPr>
        <w:rPr/>
      </w:pPr>
      <w:r>
        <w:rPr/>
        <w:t xml:space="preserve">More than 300 restaurants function as on-the-go consumers, Fast Casual Delco (FCD) restaurants and are tailored to a fast-paced lifestyle (Sharma, 2024). </w:t>
      </w:r>
    </w:p>
    <w:p>
      <w:pPr>
        <w:pStyle w:val="Normal"/>
        <w:numPr>
          <w:ilvl w:val="0"/>
          <w:numId w:val="14"/>
        </w:numPr>
        <w:rPr/>
      </w:pPr>
      <w:r>
        <w:rPr/>
        <w:t xml:space="preserve">Online delivery options are also available across the metro cities by partnering with Swiggy and Zomato (Indian Retailer, 2026). </w:t>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jc w:val="center"/>
        <w:rPr/>
      </w:pPr>
      <w:r>
        <w:rPr/>
        <mc:AlternateContent>
          <mc:Choice Requires="wps">
            <w:drawing>
              <wp:inline distT="0" distB="0" distL="0" distR="0" wp14:anchorId="2CD9679B">
                <wp:extent cx="5731510" cy="3225800"/>
                <wp:effectExtent l="0" t="0" r="0" b="0"/>
                <wp:docPr id="23" name="image10.png"/>
                <a:graphic xmlns:a="http://schemas.openxmlformats.org/drawingml/2006/main">
                  <a:graphicData uri="http://schemas.openxmlformats.org/drawingml/2006/picture">
                    <pic:pic xmlns:pic="http://schemas.openxmlformats.org/drawingml/2006/picture">
                      <pic:nvPicPr>
                        <pic:cNvPr id="24" name="image10.png" descr=""/>
                        <pic:cNvPicPr/>
                      </pic:nvPicPr>
                      <pic:blipFill>
                        <a:blip r:embed="rId13"/>
                        <a:stretch/>
                      </pic:blipFill>
                      <pic:spPr>
                        <a:xfrm>
                          <a:off x="0" y="0"/>
                          <a:ext cx="5731560" cy="3225960"/>
                        </a:xfrm>
                        <a:prstGeom prst="rect">
                          <a:avLst/>
                        </a:prstGeom>
                        <a:noFill/>
                        <a:ln w="0">
                          <a:noFill/>
                        </a:ln>
                      </pic:spPr>
                    </pic:pic>
                  </a:graphicData>
                </a:graphic>
              </wp:inline>
            </w:drawing>
          </mc:Choice>
        </mc:AlternateContent>
      </w:r>
    </w:p>
    <w:p>
      <w:pPr>
        <w:pStyle w:val="Normal"/>
        <w:jc w:val="center"/>
        <w:rPr>
          <w:b/>
          <w:bCs/>
        </w:rPr>
      </w:pPr>
      <w:r>
        <w:rPr>
          <w:b/>
          <w:bCs/>
        </w:rPr>
        <w:t>Figure 11: Pizza Hut restaurants in India</w:t>
      </w:r>
    </w:p>
    <w:p>
      <w:pPr>
        <w:pStyle w:val="Normal"/>
        <w:jc w:val="center"/>
        <w:rPr/>
      </w:pPr>
      <w:r>
        <w:rPr/>
        <w:t>(Source: Sharma, 2024)</w:t>
      </w:r>
    </w:p>
    <w:p>
      <w:pPr>
        <w:pStyle w:val="Normal"/>
        <w:numPr>
          <w:ilvl w:val="0"/>
          <w:numId w:val="13"/>
        </w:numPr>
        <w:rPr>
          <w:b/>
          <w:bCs/>
        </w:rPr>
      </w:pPr>
      <w:r>
        <w:rPr>
          <w:b/>
          <w:bCs/>
          <w:u w:val="single"/>
        </w:rPr>
        <w:t>Promotion</w:t>
      </w:r>
    </w:p>
    <w:p>
      <w:pPr>
        <w:pStyle w:val="Normal"/>
        <w:rPr>
          <w:b/>
          <w:bCs/>
          <w:i/>
          <w:i/>
          <w:iCs/>
        </w:rPr>
      </w:pPr>
      <w:r>
        <w:rPr>
          <w:b/>
          <w:bCs/>
          <w:i/>
          <w:iCs/>
        </w:rPr>
        <w:t>USA</w:t>
      </w:r>
    </w:p>
    <w:p>
      <w:pPr>
        <w:pStyle w:val="Normal"/>
        <w:numPr>
          <w:ilvl w:val="0"/>
          <w:numId w:val="4"/>
        </w:numPr>
        <w:rPr/>
      </w:pPr>
      <w:r>
        <w:rPr/>
        <w:t xml:space="preserve">Focuses on digital marketing, such as Pizza Hut serves up a “Newstalgia” campaign celebrating “what fans know” and “love about the pizza restaurant” with the PAC-MAN box (Hut Life, 2021). </w:t>
      </w:r>
    </w:p>
    <w:p>
      <w:pPr>
        <w:pStyle w:val="Normal"/>
        <w:numPr>
          <w:ilvl w:val="0"/>
          <w:numId w:val="4"/>
        </w:numPr>
        <w:rPr/>
      </w:pPr>
      <w:r>
        <w:rPr/>
        <w:t xml:space="preserve">Loyalty programs, mobile applications, social media campaigns, and sports sponsorships. </w:t>
      </w:r>
    </w:p>
    <w:p>
      <w:pPr>
        <w:pStyle w:val="Normal"/>
        <w:jc w:val="center"/>
        <w:rPr/>
      </w:pPr>
      <w:r>
        <w:rPr/>
        <mc:AlternateContent>
          <mc:Choice Requires="wps">
            <w:drawing>
              <wp:inline distT="0" distB="0" distL="0" distR="0" wp14:anchorId="635E40EA">
                <wp:extent cx="5731510" cy="3225800"/>
                <wp:effectExtent l="0" t="0" r="0" b="0"/>
                <wp:docPr id="25" name="image5.png"/>
                <a:graphic xmlns:a="http://schemas.openxmlformats.org/drawingml/2006/main">
                  <a:graphicData uri="http://schemas.openxmlformats.org/drawingml/2006/picture">
                    <pic:pic xmlns:pic="http://schemas.openxmlformats.org/drawingml/2006/picture">
                      <pic:nvPicPr>
                        <pic:cNvPr id="26" name="image5.png" descr=""/>
                        <pic:cNvPicPr/>
                      </pic:nvPicPr>
                      <pic:blipFill>
                        <a:blip r:embed="rId14"/>
                        <a:stretch/>
                      </pic:blipFill>
                      <pic:spPr>
                        <a:xfrm>
                          <a:off x="0" y="0"/>
                          <a:ext cx="5731560" cy="3225960"/>
                        </a:xfrm>
                        <a:prstGeom prst="rect">
                          <a:avLst/>
                        </a:prstGeom>
                        <a:noFill/>
                        <a:ln w="0">
                          <a:noFill/>
                        </a:ln>
                      </pic:spPr>
                    </pic:pic>
                  </a:graphicData>
                </a:graphic>
              </wp:inline>
            </w:drawing>
          </mc:Choice>
        </mc:AlternateContent>
      </w:r>
    </w:p>
    <w:p>
      <w:pPr>
        <w:pStyle w:val="Normal"/>
        <w:jc w:val="center"/>
        <w:rPr>
          <w:b/>
          <w:bCs/>
        </w:rPr>
      </w:pPr>
      <w:r>
        <w:rPr>
          <w:b/>
          <w:bCs/>
        </w:rPr>
        <w:t>Figure 12: Pac-Man marketing campaign</w:t>
      </w:r>
    </w:p>
    <w:p>
      <w:pPr>
        <w:pStyle w:val="Normal"/>
        <w:jc w:val="center"/>
        <w:rPr/>
      </w:pPr>
      <w:r>
        <w:rPr/>
        <w:t>(Source: Hut Life, 2021)</w:t>
      </w:r>
    </w:p>
    <w:p>
      <w:pPr>
        <w:pStyle w:val="Normal"/>
        <w:rPr>
          <w:b/>
          <w:bCs/>
          <w:i/>
          <w:i/>
          <w:iCs/>
        </w:rPr>
      </w:pPr>
      <w:r>
        <w:rPr>
          <w:b/>
          <w:bCs/>
          <w:i/>
          <w:iCs/>
        </w:rPr>
        <w:t>India</w:t>
      </w:r>
    </w:p>
    <w:p>
      <w:pPr>
        <w:pStyle w:val="Normal"/>
        <w:numPr>
          <w:ilvl w:val="0"/>
          <w:numId w:val="10"/>
        </w:numPr>
        <w:rPr/>
      </w:pPr>
      <w:r>
        <w:rPr/>
        <w:t>Uses social media, influencer marketing, festival promotions, family offers, and local advertising campaigns to increase brand awareness.</w:t>
      </w:r>
    </w:p>
    <w:p>
      <w:pPr>
        <w:pStyle w:val="Normal"/>
        <w:numPr>
          <w:ilvl w:val="0"/>
          <w:numId w:val="10"/>
        </w:numPr>
        <w:rPr/>
      </w:pPr>
      <w:r>
        <w:rPr/>
        <w:t>The digital campaign by Pizza Hut has launched a digital campaign by offering discounts across its dine-in and aggregator channels (Instagram, 2026).</w:t>
      </w:r>
    </w:p>
    <w:p>
      <w:pPr>
        <w:pStyle w:val="Normal"/>
        <w:numPr>
          <w:ilvl w:val="0"/>
          <w:numId w:val="10"/>
        </w:numPr>
        <w:rPr/>
      </w:pPr>
      <w:r>
        <w:rPr/>
        <w:t xml:space="preserve">Pizza Hut has introduced a digital campaign called </w:t>
      </w:r>
      <w:r>
        <w:rPr>
          <w:i/>
          <w:iCs/>
        </w:rPr>
        <w:t>“#UltimatePanSatisfaction”</w:t>
      </w:r>
      <w:r>
        <w:rPr/>
        <w:t xml:space="preserve"> powered by social media and online advertising (Nusra, 2020). </w:t>
      </w:r>
    </w:p>
    <w:p>
      <w:pPr>
        <w:pStyle w:val="Normal"/>
        <w:jc w:val="center"/>
        <w:rPr/>
      </w:pPr>
      <w:r>
        <w:rPr/>
        <mc:AlternateContent>
          <mc:Choice Requires="wps">
            <w:drawing>
              <wp:inline distT="0" distB="0" distL="0" distR="0" wp14:anchorId="74B0E00F">
                <wp:extent cx="3376295" cy="4218305"/>
                <wp:effectExtent l="0" t="0" r="0" b="0"/>
                <wp:docPr id="27" name="image16.png"/>
                <a:graphic xmlns:a="http://schemas.openxmlformats.org/drawingml/2006/main">
                  <a:graphicData uri="http://schemas.openxmlformats.org/drawingml/2006/picture">
                    <pic:pic xmlns:pic="http://schemas.openxmlformats.org/drawingml/2006/picture">
                      <pic:nvPicPr>
                        <pic:cNvPr id="28" name="image16.png" descr=""/>
                        <pic:cNvPicPr/>
                      </pic:nvPicPr>
                      <pic:blipFill>
                        <a:blip r:embed="rId15"/>
                        <a:stretch/>
                      </pic:blipFill>
                      <pic:spPr>
                        <a:xfrm>
                          <a:off x="0" y="0"/>
                          <a:ext cx="3376440" cy="4218480"/>
                        </a:xfrm>
                        <a:prstGeom prst="rect">
                          <a:avLst/>
                        </a:prstGeom>
                        <a:noFill/>
                        <a:ln w="0">
                          <a:noFill/>
                        </a:ln>
                      </pic:spPr>
                    </pic:pic>
                  </a:graphicData>
                </a:graphic>
              </wp:inline>
            </w:drawing>
          </mc:Choice>
        </mc:AlternateContent>
      </w:r>
    </w:p>
    <w:p>
      <w:pPr>
        <w:pStyle w:val="Normal"/>
        <w:jc w:val="center"/>
        <w:rPr>
          <w:b/>
          <w:bCs/>
        </w:rPr>
      </w:pPr>
      <w:r>
        <w:rPr>
          <w:b/>
          <w:bCs/>
        </w:rPr>
        <w:t>Figure 13: Digital marketing in India</w:t>
      </w:r>
    </w:p>
    <w:p>
      <w:pPr>
        <w:pStyle w:val="Normal"/>
        <w:jc w:val="center"/>
        <w:rPr/>
      </w:pPr>
      <w:r>
        <w:rPr/>
        <w:t>(Source: Instagram, 2026)</w:t>
      </w:r>
    </w:p>
    <w:p>
      <w:pPr>
        <w:pStyle w:val="Normal"/>
        <w:numPr>
          <w:ilvl w:val="0"/>
          <w:numId w:val="13"/>
        </w:numPr>
        <w:rPr>
          <w:b/>
          <w:bCs/>
        </w:rPr>
      </w:pPr>
      <w:r>
        <w:rPr>
          <w:b/>
          <w:bCs/>
          <w:u w:val="single"/>
        </w:rPr>
        <w:t>People</w:t>
      </w:r>
    </w:p>
    <w:p>
      <w:pPr>
        <w:pStyle w:val="Normal"/>
        <w:rPr>
          <w:b/>
          <w:bCs/>
          <w:i/>
          <w:i/>
          <w:iCs/>
        </w:rPr>
      </w:pPr>
      <w:r>
        <w:rPr>
          <w:b/>
          <w:bCs/>
          <w:i/>
          <w:iCs/>
        </w:rPr>
        <w:t>USA</w:t>
      </w:r>
    </w:p>
    <w:p>
      <w:pPr>
        <w:pStyle w:val="Normal"/>
        <w:numPr>
          <w:ilvl w:val="0"/>
          <w:numId w:val="16"/>
        </w:numPr>
        <w:rPr/>
      </w:pPr>
      <w:r>
        <w:rPr/>
        <w:t xml:space="preserve">Employees are trained to provide efficient customer service and personalised experiences </w:t>
      </w:r>
    </w:p>
    <w:p>
      <w:pPr>
        <w:pStyle w:val="Normal"/>
        <w:numPr>
          <w:ilvl w:val="0"/>
          <w:numId w:val="16"/>
        </w:numPr>
        <w:rPr/>
      </w:pPr>
      <w:r>
        <w:rPr/>
        <w:t xml:space="preserve">Staff are encouraged to blend learning programs for the managers and team members (Pizza Hut, 2023). </w:t>
      </w:r>
    </w:p>
    <w:p>
      <w:pPr>
        <w:pStyle w:val="Normal"/>
        <w:rPr/>
      </w:pPr>
      <w:r>
        <w:rPr/>
      </w:r>
    </w:p>
    <w:p>
      <w:pPr>
        <w:pStyle w:val="Normal"/>
        <w:rPr>
          <w:b/>
          <w:bCs/>
          <w:i/>
          <w:i/>
          <w:iCs/>
        </w:rPr>
      </w:pPr>
      <w:r>
        <w:rPr>
          <w:b/>
          <w:bCs/>
          <w:i/>
          <w:iCs/>
        </w:rPr>
        <w:t>India</w:t>
      </w:r>
    </w:p>
    <w:p>
      <w:pPr>
        <w:pStyle w:val="Normal"/>
        <w:numPr>
          <w:ilvl w:val="0"/>
          <w:numId w:val="5"/>
        </w:numPr>
        <w:rPr/>
      </w:pPr>
      <w:r>
        <w:rPr/>
        <w:t>Staff training emphasises hospitality, relationship-building, and customer support by creating 15,00 apprenticeships (Restaurant India, 2026).</w:t>
      </w:r>
    </w:p>
    <w:p>
      <w:pPr>
        <w:pStyle w:val="Normal"/>
        <w:numPr>
          <w:ilvl w:val="0"/>
          <w:numId w:val="5"/>
        </w:numPr>
        <w:rPr/>
      </w:pPr>
      <w:r>
        <w:rPr/>
        <w:t xml:space="preserve">Pizza Hut offers employees on-the-job management-level training (PR Newswire, 2015). </w:t>
      </w:r>
    </w:p>
    <w:p>
      <w:pPr>
        <w:pStyle w:val="Normal"/>
        <w:numPr>
          <w:ilvl w:val="0"/>
          <w:numId w:val="13"/>
        </w:numPr>
        <w:rPr>
          <w:b/>
          <w:bCs/>
        </w:rPr>
      </w:pPr>
      <w:r>
        <w:rPr>
          <w:b/>
          <w:bCs/>
          <w:u w:val="single"/>
        </w:rPr>
        <w:t>Process</w:t>
      </w:r>
    </w:p>
    <w:p>
      <w:pPr>
        <w:pStyle w:val="Normal"/>
        <w:rPr>
          <w:b/>
          <w:bCs/>
          <w:i/>
          <w:i/>
          <w:iCs/>
        </w:rPr>
      </w:pPr>
      <w:r>
        <w:rPr>
          <w:b/>
          <w:bCs/>
          <w:i/>
          <w:iCs/>
        </w:rPr>
        <w:t>USA</w:t>
      </w:r>
    </w:p>
    <w:p>
      <w:pPr>
        <w:pStyle w:val="Normal"/>
        <w:numPr>
          <w:ilvl w:val="0"/>
          <w:numId w:val="15"/>
        </w:numPr>
        <w:rPr/>
      </w:pPr>
      <w:r>
        <w:rPr/>
        <w:t xml:space="preserve">Advanced digital ordering systems, like the QuikOrder platform, are used in developing and maintaining internet-ordering systems (Hut Life, 2018).  </w:t>
      </w:r>
    </w:p>
    <w:p>
      <w:pPr>
        <w:pStyle w:val="Normal"/>
        <w:numPr>
          <w:ilvl w:val="0"/>
          <w:numId w:val="15"/>
        </w:numPr>
        <w:rPr/>
      </w:pPr>
      <w:r>
        <w:rPr/>
        <w:t xml:space="preserve">As a customer experience platform, Medallia is used by Pizza Hut USA to improve its engagement with customers (Seymour, 2019). </w:t>
      </w:r>
    </w:p>
    <w:p>
      <w:pPr>
        <w:pStyle w:val="Normal"/>
        <w:numPr>
          <w:ilvl w:val="0"/>
          <w:numId w:val="15"/>
        </w:numPr>
        <w:rPr/>
      </w:pPr>
      <w:r>
        <w:rPr/>
        <w:t xml:space="preserve">Pizza Hut has launched a new mobile app by redesigning the old one to remove friction from the mobile experience (Fantozzi, 2025). </w:t>
      </w:r>
    </w:p>
    <w:p>
      <w:pPr>
        <w:pStyle w:val="Normal"/>
        <w:rPr>
          <w:b/>
          <w:bCs/>
          <w:i/>
          <w:i/>
          <w:iCs/>
        </w:rPr>
      </w:pPr>
      <w:r>
        <w:rPr>
          <w:b/>
          <w:bCs/>
          <w:i/>
          <w:iCs/>
        </w:rPr>
        <w:t>India</w:t>
      </w:r>
    </w:p>
    <w:p>
      <w:pPr>
        <w:pStyle w:val="Normal"/>
        <w:numPr>
          <w:ilvl w:val="0"/>
          <w:numId w:val="3"/>
        </w:numPr>
        <w:rPr/>
      </w:pPr>
      <w:r>
        <w:rPr/>
        <w:t xml:space="preserve">In India, the digital ordering system is also used by this brand (Nusra, 2020). </w:t>
      </w:r>
    </w:p>
    <w:p>
      <w:pPr>
        <w:pStyle w:val="Normal"/>
        <w:numPr>
          <w:ilvl w:val="0"/>
          <w:numId w:val="3"/>
        </w:numPr>
        <w:rPr/>
      </w:pPr>
      <w:r>
        <w:rPr/>
        <w:t xml:space="preserve">In this country, the online application is also available to the people. </w:t>
      </w:r>
    </w:p>
    <w:p>
      <w:pPr>
        <w:pStyle w:val="Normal"/>
        <w:rPr/>
      </w:pPr>
      <w:r>
        <w:rPr/>
      </w:r>
    </w:p>
    <w:p>
      <w:pPr>
        <w:pStyle w:val="Normal"/>
        <w:numPr>
          <w:ilvl w:val="0"/>
          <w:numId w:val="13"/>
        </w:numPr>
        <w:rPr>
          <w:b/>
          <w:bCs/>
        </w:rPr>
      </w:pPr>
      <w:r>
        <w:rPr>
          <w:b/>
          <w:bCs/>
          <w:u w:val="single"/>
        </w:rPr>
        <w:t xml:space="preserve">Physical Evidence </w:t>
      </w:r>
    </w:p>
    <w:p>
      <w:pPr>
        <w:pStyle w:val="Normal"/>
        <w:rPr>
          <w:b/>
          <w:bCs/>
          <w:i/>
          <w:i/>
          <w:iCs/>
        </w:rPr>
      </w:pPr>
      <w:r>
        <w:rPr>
          <w:b/>
          <w:bCs/>
          <w:i/>
          <w:iCs/>
        </w:rPr>
        <w:t>USA</w:t>
      </w:r>
    </w:p>
    <w:p>
      <w:pPr>
        <w:pStyle w:val="Normal"/>
        <w:numPr>
          <w:ilvl w:val="0"/>
          <w:numId w:val="12"/>
        </w:numPr>
        <w:rPr/>
      </w:pPr>
      <w:r>
        <w:rPr/>
        <w:t xml:space="preserve">In the USA, the roofs of all Pizza Hut stores are more or less red to create differences between Pizza Hut restaurants and other restaurants (Pizza Hut, 2015). </w:t>
      </w:r>
    </w:p>
    <w:p>
      <w:pPr>
        <w:pStyle w:val="Normal"/>
        <w:numPr>
          <w:ilvl w:val="0"/>
          <w:numId w:val="12"/>
        </w:numPr>
        <w:rPr/>
      </w:pPr>
      <w:r>
        <w:rPr/>
        <w:t xml:space="preserve">The official website link of Pizza Hut USA: </w:t>
      </w:r>
      <w:hyperlink r:id="rId16">
        <w:r>
          <w:rPr>
            <w:rStyle w:val="Style3"/>
            <w:u w:val="single"/>
          </w:rPr>
          <w:t>https://www.pizzahut.com/</w:t>
        </w:r>
      </w:hyperlink>
      <w:r>
        <w:rPr/>
        <w:t xml:space="preserve"> </w:t>
      </w:r>
    </w:p>
    <w:p>
      <w:pPr>
        <w:pStyle w:val="Normal"/>
        <w:jc w:val="center"/>
        <w:rPr/>
      </w:pPr>
      <w:r>
        <w:rPr/>
      </w:r>
    </w:p>
    <w:p>
      <w:pPr>
        <w:pStyle w:val="Normal"/>
        <w:rPr>
          <w:b/>
          <w:bCs/>
          <w:i/>
          <w:i/>
          <w:iCs/>
        </w:rPr>
      </w:pPr>
      <w:r>
        <w:rPr>
          <w:b/>
          <w:bCs/>
          <w:i/>
          <w:iCs/>
        </w:rPr>
        <w:t>India</w:t>
      </w:r>
    </w:p>
    <w:p>
      <w:pPr>
        <w:pStyle w:val="Normal"/>
        <w:numPr>
          <w:ilvl w:val="0"/>
          <w:numId w:val="9"/>
        </w:numPr>
        <w:rPr/>
      </w:pPr>
      <w:r>
        <w:rPr/>
        <w:t xml:space="preserve">Customers experience the digital process in the store from viewing the menu via QR codes to making payments (Nusra, 2020). </w:t>
      </w:r>
    </w:p>
    <w:p>
      <w:pPr>
        <w:pStyle w:val="Normal"/>
        <w:numPr>
          <w:ilvl w:val="0"/>
          <w:numId w:val="9"/>
        </w:numPr>
        <w:rPr/>
      </w:pPr>
      <w:r>
        <w:rPr/>
        <w:t xml:space="preserve">The official website link of Pizza Hut India: </w:t>
      </w:r>
      <w:hyperlink r:id="rId17">
        <w:r>
          <w:rPr>
            <w:rStyle w:val="Style3"/>
            <w:u w:val="single"/>
          </w:rPr>
          <w:t>https://www.pizzahut.com/</w:t>
        </w:r>
      </w:hyperlink>
      <w:r>
        <w:rPr/>
        <w:t xml:space="preserve"> </w:t>
      </w:r>
    </w:p>
    <w:p>
      <w:pPr>
        <w:pStyle w:val="Heading2"/>
        <w:rPr/>
      </w:pPr>
      <w:bookmarkStart w:id="8" w:name="_Toc236752231"/>
      <w:r>
        <w:rPr/>
        <w:t>6. Market entry strategy in India</w:t>
      </w:r>
      <w:bookmarkEnd w:id="8"/>
    </w:p>
    <w:p>
      <w:pPr>
        <w:pStyle w:val="Normal"/>
        <w:rPr/>
      </w:pPr>
      <w:r>
        <w:rPr/>
        <w:t xml:space="preserve">In the international arena, the right entry allows a business to attract new customers, minimise the risk of losses, and increase its competitiveness with international competitors (Liu and Natalia, 2021). Exporting, licensing, franchising, joint ventures, wholly owned subsidiaries, and strategic alliances are the international market entry strategies. In India, Pizza Hut entered in 1996 in Bangalore by using the franchising strategy.  According to Newbery et al. (2024), Franchising is a business model which helps to leverage resources through a network to enhance its performance in other places. Franchising is one of the most widely used market entry strategies among businesses. </w:t>
      </w:r>
    </w:p>
    <w:p>
      <w:pPr>
        <w:pStyle w:val="Normal"/>
        <w:rPr/>
      </w:pPr>
      <w:r>
        <w:rPr/>
        <w:t xml:space="preserve">In order to understand the market entry strategy of Pizza Hut in India, the Uppsala model has been aligned. Schweizer and Vahlne (2021), stated that the Uppsala model focuses on the fact that managers are constantly changing capabilities due to uncertainty, complexity, volatility, and ambiguity through commitments and the knowledge development process (Figure 14). Furthermore, another study reveals that the Uppsala model emphasises the traditional internationalisation system of multinational corporations (Gao et al., 2022).  </w:t>
      </w:r>
    </w:p>
    <w:p>
      <w:pPr>
        <w:pStyle w:val="Normal"/>
        <w:jc w:val="center"/>
        <w:rPr/>
      </w:pPr>
      <w:r>
        <w:rPr/>
        <mc:AlternateContent>
          <mc:Choice Requires="wps">
            <w:drawing>
              <wp:inline distT="0" distB="0" distL="0" distR="0" wp14:anchorId="057AD051">
                <wp:extent cx="5295900" cy="3505200"/>
                <wp:effectExtent l="0" t="0" r="0" b="0"/>
                <wp:docPr id="29" name="image12.png"/>
                <a:graphic xmlns:a="http://schemas.openxmlformats.org/drawingml/2006/main">
                  <a:graphicData uri="http://schemas.openxmlformats.org/drawingml/2006/picture">
                    <pic:pic xmlns:pic="http://schemas.openxmlformats.org/drawingml/2006/picture">
                      <pic:nvPicPr>
                        <pic:cNvPr id="30" name="image12.png" descr=""/>
                        <pic:cNvPicPr/>
                      </pic:nvPicPr>
                      <pic:blipFill>
                        <a:blip r:embed="rId18"/>
                        <a:stretch/>
                      </pic:blipFill>
                      <pic:spPr>
                        <a:xfrm>
                          <a:off x="0" y="0"/>
                          <a:ext cx="5295960" cy="3505320"/>
                        </a:xfrm>
                        <a:prstGeom prst="rect">
                          <a:avLst/>
                        </a:prstGeom>
                        <a:noFill/>
                        <a:ln w="0">
                          <a:noFill/>
                        </a:ln>
                      </pic:spPr>
                    </pic:pic>
                  </a:graphicData>
                </a:graphic>
              </wp:inline>
            </w:drawing>
          </mc:Choice>
        </mc:AlternateContent>
      </w:r>
    </w:p>
    <w:p>
      <w:pPr>
        <w:pStyle w:val="Normal"/>
        <w:jc w:val="center"/>
        <w:rPr>
          <w:b/>
          <w:bCs/>
        </w:rPr>
      </w:pPr>
      <w:r>
        <w:rPr>
          <w:b/>
          <w:bCs/>
        </w:rPr>
        <w:t xml:space="preserve">Figure 14: Uppsala Model </w:t>
      </w:r>
    </w:p>
    <w:p>
      <w:pPr>
        <w:pStyle w:val="Normal"/>
        <w:jc w:val="center"/>
        <w:rPr/>
      </w:pPr>
      <w:r>
        <w:rPr/>
        <w:t>(Source: Schweizer and Vahlne, 2021)</w:t>
      </w:r>
    </w:p>
    <w:p>
      <w:pPr>
        <w:pStyle w:val="Normal"/>
        <w:rPr/>
      </w:pPr>
      <w:r>
        <w:rPr/>
        <w:t xml:space="preserve">The entry of Pizza Hut in India using the franchising model, where investments come from the franchise partners (PTI, 2017). It is known from the Hofstede cultural dimensions and PESTEL analysis that India represents a culturally and economically distant market from the USA. This factor forces businesses to gain market knowledge before committing substantial resources. As per the Uppsala model, after commitment, Pizza Hut initially adopted a franchising approach to understand the culture of the market. This allowed the company to enter the Indian market with relatively low financial risk. At that time, the economy of India was about to turn around. Furthermore, using the sentiments of the local consumers, Pizza Hut started adopting the local flavours to create more genuine connections with them. </w:t>
      </w:r>
    </w:p>
    <w:p>
      <w:pPr>
        <w:pStyle w:val="Normal"/>
        <w:rPr/>
      </w:pPr>
      <w:r>
        <w:rPr/>
        <w:t xml:space="preserve">Through opening a few franchises in this market, the brand started to gain knowledge about the different cultures, dietary habits, and purchasing behaviour of Indian people. This gradual learning process helped this business to adapt its product by introducing local taste and vegetarian categories, such as Paneer Makhani pizza, Schezwan Veggie pizza and others. </w:t>
      </w:r>
    </w:p>
    <w:p>
      <w:pPr>
        <w:pStyle w:val="Normal"/>
        <w:rPr/>
      </w:pPr>
      <w:r>
        <w:rPr/>
        <w:t xml:space="preserve">However, having some limitations in this market entry strategy can affect the business. Ackermann (2024), reveals that franchise status is endogenous as it is triggered by poor performance. It is reported that in India, the Pizza Hut outlets faced a quarterly loss due to a one-time charge in February 2026 (Salecha, 2026). Thus, dependence on franchise partners reduced direct control over service quality and operational practices. </w:t>
      </w:r>
    </w:p>
    <w:p>
      <w:pPr>
        <w:pStyle w:val="Heading2"/>
        <w:rPr/>
      </w:pPr>
      <w:bookmarkStart w:id="9" w:name="_Toc236752232"/>
      <w:r>
        <w:rPr/>
        <w:t>7. Ethical issues faced by Pizza Hut in India</w:t>
      </w:r>
      <w:bookmarkEnd w:id="9"/>
    </w:p>
    <w:p>
      <w:pPr>
        <w:pStyle w:val="Normal"/>
        <w:rPr/>
      </w:pPr>
      <w:r>
        <w:rPr/>
        <w:t>As a global fast-food brand, Pizza Hut has generally adopted ethical marketing practices in India by respecting local culture, promoting inclusivity, and ensuring product transparency. However, like many fast-food companies, it has also faced criticism regarding certain aspects of its marketing mix. Evaluating both ethical and unethical issues provides a balanced understanding of the brand's operations in the Indian market.</w:t>
      </w:r>
    </w:p>
    <w:p>
      <w:pPr>
        <w:pStyle w:val="Normal"/>
        <w:rPr>
          <w:b/>
          <w:bCs/>
          <w:u w:val="single"/>
        </w:rPr>
      </w:pPr>
      <w:r>
        <w:rPr>
          <w:b/>
          <w:bCs/>
          <w:u w:val="single"/>
        </w:rPr>
        <w:t>Ethical and Unethical Issues</w:t>
      </w:r>
    </w:p>
    <w:p>
      <w:pPr>
        <w:pStyle w:val="Normal"/>
        <w:rPr/>
      </w:pPr>
      <w:r>
        <w:rPr/>
        <w:t xml:space="preserve">In the process and place factors of the marketing mix, Pizza Hut is committed to reduce 100% of single-use plastic from its packaging by the year 2025. In Mumbai, India, Pizza Hut has started its most sustainable-focused store by prioritising the goal of the brand, “Recipe for Good Growth” (Nusra, 2023). The franchise also focuses on wastewater management and energy consumption by installing a solar unit. Therefore, such initiatives create trust and enhance engagement among the customers. </w:t>
      </w:r>
    </w:p>
    <w:p>
      <w:pPr>
        <w:pStyle w:val="Normal"/>
        <w:rPr/>
      </w:pPr>
      <w:r>
        <w:rPr/>
        <w:t>However, one of the key issues is the cultural issue that Pizza Hut faced. In India, Pizza Hut had to give Rs 30,000 as compensation to a Jain family (Hindustan Times, 2015). In 2014, the family alleged that they were pure vegetarians and they ordered veg pizza from Pizza Hut. Despite this, this brand gave them non-vegetarian pizza (Hindustan Times, 2015). The family had highlighted that due to the negligence of the company, their religious sentiments were hurt. This issue is linked to the product under the marketing mix.</w:t>
      </w:r>
    </w:p>
    <w:p>
      <w:pPr>
        <w:pStyle w:val="Normal"/>
        <w:rPr/>
      </w:pPr>
      <w:r>
        <w:rPr/>
        <w:t xml:space="preserve">On the other hand, Pizza Hut follows the Indian government regulations established by the Food Safety and Standards Authority of India (FSSAI) in using its ingredients and suppliers (Debroy, 2024). However, it is reported that in Goregaon, Mumbai, one of the franchise owners, Sapphire Foods India Ltd, was alleged to have 11 violations (Debroy, 2024). Another complaint against a franchise in Aurangabad was “failure to amend mislabelling and display violations” (Debroy, 2024). This also affects the product aligned with the marketing mix strategy of Pizza Hut. </w:t>
      </w:r>
    </w:p>
    <w:p>
      <w:pPr>
        <w:pStyle w:val="Normal"/>
        <w:rPr/>
      </w:pPr>
      <w:r>
        <w:rPr/>
        <w:t xml:space="preserve">There are multiple complaints against different outlets of Pizza Hut in India that the outlets use excessive salt levels, along with the lack of allergenic warnings (Debroy, 2024). Along with this ethical issue, there was an inadequate separation between non-vegetarian and vegetarian items (Debroy, 2024). These cases create a lack of trust in the brand as their demands and culture are affected. </w:t>
      </w:r>
    </w:p>
    <w:p>
      <w:pPr>
        <w:pStyle w:val="Normal"/>
        <w:jc w:val="center"/>
        <w:rPr/>
      </w:pPr>
      <w:r>
        <w:rPr/>
        <mc:AlternateContent>
          <mc:Choice Requires="wps">
            <w:drawing>
              <wp:inline distT="0" distB="0" distL="0" distR="0" wp14:anchorId="49EE34FF">
                <wp:extent cx="5731510" cy="3276600"/>
                <wp:effectExtent l="12700" t="12700" r="12700" b="12700"/>
                <wp:docPr id="31" name="image14.png"/>
                <a:graphic xmlns:a="http://schemas.openxmlformats.org/drawingml/2006/main">
                  <a:graphicData uri="http://schemas.openxmlformats.org/drawingml/2006/picture">
                    <pic:pic xmlns:pic="http://schemas.openxmlformats.org/drawingml/2006/picture">
                      <pic:nvPicPr>
                        <pic:cNvPr id="32" name="image14.png" descr=""/>
                        <pic:cNvPicPr/>
                      </pic:nvPicPr>
                      <pic:blipFill>
                        <a:blip r:embed="rId19"/>
                        <a:stretch/>
                      </pic:blipFill>
                      <pic:spPr>
                        <a:xfrm>
                          <a:off x="0" y="0"/>
                          <a:ext cx="5731560" cy="3276720"/>
                        </a:xfrm>
                        <a:prstGeom prst="rect">
                          <a:avLst/>
                        </a:prstGeom>
                        <a:noFill/>
                        <a:ln w="12700">
                          <a:solidFill>
                            <a:srgbClr val="000000"/>
                          </a:solidFill>
                          <a:round/>
                        </a:ln>
                      </pic:spPr>
                    </pic:pic>
                  </a:graphicData>
                </a:graphic>
              </wp:inline>
            </w:drawing>
          </mc:Choice>
        </mc:AlternateContent>
      </w:r>
    </w:p>
    <w:p>
      <w:pPr>
        <w:pStyle w:val="Normal"/>
        <w:jc w:val="center"/>
        <w:rPr>
          <w:b/>
          <w:bCs/>
        </w:rPr>
      </w:pPr>
      <w:r>
        <w:rPr>
          <w:b/>
          <w:bCs/>
        </w:rPr>
        <w:t xml:space="preserve">Figure 15: Reviews for Pizza Hut on Google Play </w:t>
      </w:r>
    </w:p>
    <w:p>
      <w:pPr>
        <w:pStyle w:val="Normal"/>
        <w:jc w:val="center"/>
        <w:rPr/>
      </w:pPr>
      <w:r>
        <w:rPr/>
        <w:t>(Source: Google Play, 2021)</w:t>
      </w:r>
    </w:p>
    <w:p>
      <w:pPr>
        <w:pStyle w:val="Normal"/>
        <w:rPr/>
      </w:pPr>
      <w:r>
        <w:rPr/>
        <w:t xml:space="preserve">Figure 15 shows the negative feedback from the customers in India based on their service experiences. This indicates the lack of proper process and people in the marketing mix of the restaurants. Customers complain about the services of Pizza, such as delayed delivery and issues with the Pizza Hut app (Google Play, 2021) (Figure 16). These ethical issues indicate a failure in the ethical responsibility of this brand within its marketing mix. </w:t>
      </w:r>
    </w:p>
    <w:p>
      <w:pPr>
        <w:pStyle w:val="Normal"/>
        <w:jc w:val="center"/>
        <w:rPr/>
      </w:pPr>
      <w:r>
        <w:rPr/>
        <mc:AlternateContent>
          <mc:Choice Requires="wps">
            <w:drawing>
              <wp:inline distT="0" distB="0" distL="0" distR="0" wp14:anchorId="47F20169">
                <wp:extent cx="4613275" cy="3762375"/>
                <wp:effectExtent l="12700" t="12700" r="12700" b="12700"/>
                <wp:docPr id="33" name="image17.png"/>
                <a:graphic xmlns:a="http://schemas.openxmlformats.org/drawingml/2006/main">
                  <a:graphicData uri="http://schemas.openxmlformats.org/drawingml/2006/picture">
                    <pic:pic xmlns:pic="http://schemas.openxmlformats.org/drawingml/2006/picture">
                      <pic:nvPicPr>
                        <pic:cNvPr id="34" name="image17.png" descr=""/>
                        <pic:cNvPicPr/>
                      </pic:nvPicPr>
                      <pic:blipFill>
                        <a:blip r:embed="rId20"/>
                        <a:srcRect l="1357" t="0" r="0" b="3892"/>
                        <a:stretch/>
                      </pic:blipFill>
                      <pic:spPr>
                        <a:xfrm>
                          <a:off x="0" y="0"/>
                          <a:ext cx="4613400" cy="3762360"/>
                        </a:xfrm>
                        <a:prstGeom prst="rect">
                          <a:avLst/>
                        </a:prstGeom>
                        <a:noFill/>
                        <a:ln w="12700">
                          <a:solidFill>
                            <a:srgbClr val="000000"/>
                          </a:solidFill>
                          <a:round/>
                        </a:ln>
                      </pic:spPr>
                    </pic:pic>
                  </a:graphicData>
                </a:graphic>
              </wp:inline>
            </w:drawing>
          </mc:Choice>
        </mc:AlternateContent>
      </w:r>
    </w:p>
    <w:p>
      <w:pPr>
        <w:pStyle w:val="Normal"/>
        <w:jc w:val="center"/>
        <w:rPr>
          <w:b/>
          <w:bCs/>
        </w:rPr>
      </w:pPr>
      <w:r>
        <w:rPr>
          <w:b/>
          <w:bCs/>
        </w:rPr>
        <w:t xml:space="preserve">Figure 16: Reviews from employees </w:t>
      </w:r>
    </w:p>
    <w:p>
      <w:pPr>
        <w:pStyle w:val="Normal"/>
        <w:jc w:val="center"/>
        <w:rPr/>
      </w:pPr>
      <w:r>
        <w:rPr/>
        <w:t>(Source: Glassdoor, 2026)</w:t>
      </w:r>
    </w:p>
    <w:p>
      <w:pPr>
        <w:pStyle w:val="Normal"/>
        <w:rPr/>
      </w:pPr>
      <w:r>
        <w:rPr/>
        <w:t xml:space="preserve">Another unethical issue is regarding people in the marketing mix. Figure 16 shows the review on Glassdoor stating the issues in management, partner-dependent service, delayed work, toxic culture and zero autonomy (Glassdoor, 2026). Therefore, these issues create a problem for delivering the services ethically in India. </w:t>
      </w:r>
    </w:p>
    <w:p>
      <w:pPr>
        <w:pStyle w:val="Heading2"/>
        <w:rPr>
          <w:u w:val="single"/>
        </w:rPr>
      </w:pPr>
      <w:bookmarkStart w:id="10" w:name="_Toc236752233"/>
      <w:r>
        <w:rPr/>
        <w:t>8. Recommendations for future international marketing strategies</w:t>
      </w:r>
      <w:bookmarkEnd w:id="10"/>
    </w:p>
    <w:p>
      <w:pPr>
        <w:pStyle w:val="Heading2"/>
        <w:rPr/>
      </w:pPr>
      <w:bookmarkStart w:id="11" w:name="_Toc236752234"/>
      <w:bookmarkStart w:id="12" w:name="_jd9ct7du8qh"/>
      <w:bookmarkEnd w:id="12"/>
      <w:r>
        <w:rPr/>
        <w:t>8.1 Recommendations for India</w:t>
      </w:r>
      <w:bookmarkEnd w:id="11"/>
    </w:p>
    <w:p>
      <w:pPr>
        <w:pStyle w:val="Normal"/>
        <w:rPr>
          <w:b/>
          <w:bCs/>
          <w:u w:val="single"/>
        </w:rPr>
      </w:pPr>
      <w:r>
        <w:rPr>
          <w:b/>
          <w:bCs/>
          <w:u w:val="single"/>
        </w:rPr>
        <w:t>Product: Strengthen cultural sensitivity through vegetarian and non-vegetarian separation</w:t>
      </w:r>
    </w:p>
    <w:p>
      <w:pPr>
        <w:pStyle w:val="Normal"/>
        <w:rPr/>
      </w:pPr>
      <w:r>
        <w:rPr/>
        <w:t xml:space="preserve">In India, cultural sensitivity is creating issues for multinational brands, like Pizza Hut. Pizza Hut needs to establish dedicated preparation stations, utensils, cutting boards, and storage areas for vegetarian and non-vegetarian ingredients. This would minimise the risk of cross-contamination and reassure vegetarian consumers about food purity. For example, of this strategy, McDonald's India has successfully implemented separate preparation counters for vegetarian and non-vegetarian products across 50 cities of India (Ghosal, 2019). This strategy will help to build strong consumer trust by maintaining strict vegetarian standards. </w:t>
      </w:r>
    </w:p>
    <w:p>
      <w:pPr>
        <w:pStyle w:val="Normal"/>
        <w:rPr>
          <w:b/>
          <w:bCs/>
          <w:u w:val="single"/>
        </w:rPr>
      </w:pPr>
      <w:r>
        <w:rPr>
          <w:b/>
          <w:bCs/>
          <w:u w:val="single"/>
        </w:rPr>
        <w:t>People: Improve Employee Well-being and Ethical Workplace Culture</w:t>
      </w:r>
    </w:p>
    <w:p>
      <w:pPr>
        <w:pStyle w:val="Normal"/>
        <w:rPr/>
      </w:pPr>
      <w:r>
        <w:rPr/>
        <w:t>Pizza Hut needs to provide employees with greater autonomy in handling customer issues and daily operational decisions In India. Empowering frontline staff can improve service quality, increase job satisfaction, and reduce workplace stress. Employees who feel trusted and valued are more likely to deliver positive customer experiences.</w:t>
      </w:r>
    </w:p>
    <w:p>
      <w:pPr>
        <w:pStyle w:val="Normal"/>
        <w:rPr/>
      </w:pPr>
      <w:r>
        <w:rPr/>
        <w:t>Furthermore, Pizza Hut should establish anonymous employee feedback systems and regular workplace satisfaction surveys. This would allow management to identify issues such as toxic culture, excessive workload, and operational inefficiencies before they negatively affect employee performance and customer service. The example of Starbucks focuses on the supportive care-taker of the partners by providing training (Li, 2022). Starbucks is considered an employee-focused culture where every employee is referred to as “partners”. These initiatives have helped Starbucks maintain strong service quality and high employee engagement levels.</w:t>
      </w:r>
    </w:p>
    <w:p>
      <w:pPr>
        <w:pStyle w:val="Heading2"/>
        <w:rPr/>
      </w:pPr>
      <w:bookmarkStart w:id="13" w:name="_Toc236752235"/>
      <w:bookmarkStart w:id="14" w:name="_5dgghartxm73"/>
      <w:bookmarkEnd w:id="14"/>
      <w:r>
        <w:rPr/>
        <w:t>8.2 Recommendations for the USA</w:t>
      </w:r>
      <w:bookmarkEnd w:id="13"/>
    </w:p>
    <w:p>
      <w:pPr>
        <w:pStyle w:val="Normal"/>
        <w:rPr>
          <w:b/>
          <w:bCs/>
          <w:u w:val="single"/>
        </w:rPr>
      </w:pPr>
      <w:r>
        <w:rPr>
          <w:b/>
          <w:bCs/>
          <w:u w:val="single"/>
        </w:rPr>
        <w:t>Process: Improve Service Processes and Digital Customer Experience</w:t>
      </w:r>
    </w:p>
    <w:p>
      <w:pPr>
        <w:pStyle w:val="Normal"/>
        <w:rPr/>
      </w:pPr>
      <w:r>
        <w:rPr/>
        <w:t>In order to enhance the process of the international marketing mix, Pizza Hut can implement AI-powered delivery tracking and route optimisation systems in its app within its USA branches. It will help to improve delivery accuracy and reduce waiting times for customers. Real-time order tracking could be provided to customers so they can monitor the status of their orders. This would increase transparency and build customer trust.</w:t>
      </w:r>
    </w:p>
    <w:p>
      <w:pPr>
        <w:pStyle w:val="Normal"/>
        <w:rPr/>
      </w:pPr>
      <w:r>
        <w:rPr/>
        <w:t>For example, in India, Domino’s Pizza redesigned the app by integrating improved UI and adding a new feature where users can find the nutritional values of a pizza (Jain, 2023). Pizza Hut can also redesign its app to reduce service failures, improve customer trust, and strengthen ethical responsibility within its marketing mix in the USA.</w:t>
      </w:r>
    </w:p>
    <w:p>
      <w:pPr>
        <w:pStyle w:val="Heading2"/>
        <w:rPr/>
      </w:pPr>
      <w:bookmarkStart w:id="15" w:name="_Toc236752236"/>
      <w:r>
        <w:rPr/>
        <w:t>9. Conclusion</w:t>
      </w:r>
      <w:bookmarkEnd w:id="15"/>
    </w:p>
    <w:p>
      <w:pPr>
        <w:pStyle w:val="Normal"/>
        <w:rPr/>
      </w:pPr>
      <w:r>
        <w:rPr/>
        <w:t>Pizza Hut has successfully expanded from its home market in the USA to India by adapting its marketing strategies to local cultural, economic, and consumer preferences. The analysis highlights the importance of localisation in its product offerings, positioning, and market entry approach, such as the franchising method in India. While the company has achieved significant growth, addressing ethical concerns related to people, product and process management will be essential for enhancing customer satisfaction, employee well-being, and long-term competitiveness in the Indian market.</w:t>
      </w:r>
    </w:p>
    <w:p>
      <w:pPr>
        <w:pStyle w:val="Normal"/>
        <w:rPr/>
      </w:pPr>
      <w:r>
        <w:rPr/>
      </w:r>
      <w:r>
        <w:br w:type="page"/>
      </w:r>
    </w:p>
    <w:p>
      <w:pPr>
        <w:pStyle w:val="Heading1"/>
        <w:spacing w:before="0" w:after="0"/>
        <w:rPr/>
      </w:pPr>
      <w:bookmarkStart w:id="16" w:name="_Toc236752237"/>
      <w:r>
        <w:rPr/>
        <w:t>Section 2: Reflective Account</w:t>
      </w:r>
      <w:bookmarkEnd w:id="16"/>
      <w:r>
        <w:rPr/>
        <w:t xml:space="preserve"> </w:t>
      </w:r>
    </w:p>
    <w:p>
      <w:pPr>
        <w:pStyle w:val="Heading2"/>
        <w:rPr/>
      </w:pPr>
      <w:bookmarkStart w:id="17" w:name="_Toc236752238"/>
      <w:r>
        <w:rPr/>
        <w:t>1. Introduction</w:t>
      </w:r>
      <w:bookmarkEnd w:id="17"/>
      <w:r>
        <w:rPr/>
        <w:t xml:space="preserve"> </w:t>
      </w:r>
    </w:p>
    <w:p>
      <w:pPr>
        <w:pStyle w:val="Normal"/>
        <w:rPr/>
      </w:pPr>
      <w:r>
        <w:rPr/>
        <w:t xml:space="preserve">Throughout the process in this report, I have followed different approaches for researching and preparing the assessment. Here, I have used Gibbs reflective cycle to follow the six steps of discussing my experiences regarding opportunities and issues in this path. Gibbs’ reflective cycle is a six-staged framework which guides the analysis and evaluation of the experience of an individual (Gibbs, 1988) (See Figure 17). </w:t>
      </w:r>
    </w:p>
    <w:p>
      <w:pPr>
        <w:pStyle w:val="Normal"/>
        <w:jc w:val="center"/>
        <w:rPr/>
      </w:pPr>
      <w:r>
        <w:rPr/>
        <mc:AlternateContent>
          <mc:Choice Requires="wps">
            <w:drawing>
              <wp:inline distT="0" distB="0" distL="0" distR="0" wp14:anchorId="1ADF8ECC">
                <wp:extent cx="3981450" cy="3482975"/>
                <wp:effectExtent l="0" t="0" r="0" b="0"/>
                <wp:docPr id="35" name="image9.png"/>
                <a:graphic xmlns:a="http://schemas.openxmlformats.org/drawingml/2006/main">
                  <a:graphicData uri="http://schemas.openxmlformats.org/drawingml/2006/picture">
                    <pic:pic xmlns:pic="http://schemas.openxmlformats.org/drawingml/2006/picture">
                      <pic:nvPicPr>
                        <pic:cNvPr id="36" name="image9.png" descr=""/>
                        <pic:cNvPicPr/>
                      </pic:nvPicPr>
                      <pic:blipFill>
                        <a:blip r:embed="rId21"/>
                        <a:srcRect l="15551" t="14624" r="21816" b="3078"/>
                        <a:stretch/>
                      </pic:blipFill>
                      <pic:spPr>
                        <a:xfrm>
                          <a:off x="0" y="0"/>
                          <a:ext cx="3981600" cy="3483000"/>
                        </a:xfrm>
                        <a:prstGeom prst="rect">
                          <a:avLst/>
                        </a:prstGeom>
                        <a:noFill/>
                        <a:ln w="0">
                          <a:noFill/>
                        </a:ln>
                      </pic:spPr>
                    </pic:pic>
                  </a:graphicData>
                </a:graphic>
              </wp:inline>
            </w:drawing>
          </mc:Choice>
        </mc:AlternateContent>
      </w:r>
    </w:p>
    <w:p>
      <w:pPr>
        <w:pStyle w:val="Normal"/>
        <w:jc w:val="center"/>
        <w:rPr>
          <w:b/>
          <w:bCs/>
        </w:rPr>
      </w:pPr>
      <w:r>
        <w:rPr>
          <w:b/>
          <w:bCs/>
        </w:rPr>
        <w:t xml:space="preserve">Figure 17: Gibbs’ Reflective Cycle </w:t>
      </w:r>
    </w:p>
    <w:p>
      <w:pPr>
        <w:pStyle w:val="Normal"/>
        <w:jc w:val="center"/>
        <w:rPr/>
      </w:pPr>
      <w:r>
        <w:rPr/>
        <w:t>(Adapted from Gibbs, 1988)</w:t>
      </w:r>
    </w:p>
    <w:p>
      <w:pPr>
        <w:pStyle w:val="Heading2"/>
        <w:rPr/>
      </w:pPr>
      <w:bookmarkStart w:id="18" w:name="_Toc236752239"/>
      <w:r>
        <w:rPr/>
        <w:t>2. Description</w:t>
      </w:r>
      <w:bookmarkEnd w:id="18"/>
      <w:r>
        <w:rPr/>
        <w:t xml:space="preserve"> </w:t>
      </w:r>
    </w:p>
    <w:p>
      <w:pPr>
        <w:pStyle w:val="Normal"/>
        <w:rPr/>
      </w:pPr>
      <w:r>
        <w:rPr/>
        <w:t>I selected Pizza Hut from the list of multinational organisations in the brief of this module. In order to analyse the international marketing strategy, I chose the headquarters and home country of Pizza Hut, which is the USA. On the other hand, analysing the marketing mix, cultural aspects and ethical issues, India is selected as the host country of Pizza Hut. In the report, I used some frameworks to compare and contrast between these two countries. The comparative analysis of PESTEL, Hofstede cultural dimension, STP, and marketing mix of 7Ps is conducted for both the USA and India. I also evaluated Pizza Hut’s market entry strategy in India using the Uppsala Model and assessed ethical and unethical issues associated with the company’s marketing practices.</w:t>
      </w:r>
    </w:p>
    <w:p>
      <w:pPr>
        <w:pStyle w:val="Normal"/>
        <w:rPr/>
      </w:pPr>
      <w:r>
        <w:rPr/>
        <w:t xml:space="preserve">Throughout the report, I compared and contrasted the different aspects between these two countries where Pizza Hut operates. I also compared Pizza Hut’s practices with those of competitors such as Domino’s, McDonald’s and Starbucks by giving recommendations. </w:t>
      </w:r>
    </w:p>
    <w:p>
      <w:pPr>
        <w:pStyle w:val="Heading2"/>
        <w:rPr/>
      </w:pPr>
      <w:bookmarkStart w:id="19" w:name="_Toc236752240"/>
      <w:r>
        <w:rPr/>
        <w:t>3. Feelings</w:t>
      </w:r>
      <w:bookmarkEnd w:id="19"/>
      <w:r>
        <w:rPr/>
        <w:t xml:space="preserve"> </w:t>
      </w:r>
    </w:p>
    <w:p>
      <w:pPr>
        <w:pStyle w:val="Normal"/>
        <w:rPr/>
      </w:pPr>
      <w:r>
        <w:rPr/>
        <w:t>At the beginning of this assessment, I felt confident about researching a globally recognised company such as Pizza Hut as a large amount of information was available from both academic and industry sources. However, I also felt slightly overwhelmed by the wide range of topics that needed to be covered, including market entry strategies, cultural analysis, ethical issues, and marketing mix adaptation.</w:t>
      </w:r>
    </w:p>
    <w:p>
      <w:pPr>
        <w:pStyle w:val="Normal"/>
        <w:rPr/>
      </w:pPr>
      <w:r>
        <w:rPr/>
        <w:t xml:space="preserve">During the research, at a certain moment I became frustrated due to analysing a large number of data from these two countries. The compare and contrast took a huge time as each data are from different sources. Nevertheless, at the end I felt that comparing multiple sources helped me develop a balanced perspective. Therefore, gradually, I felt more confident to connect the theoretical concepts with real world business aspects. </w:t>
      </w:r>
    </w:p>
    <w:p>
      <w:pPr>
        <w:pStyle w:val="Heading2"/>
        <w:rPr/>
      </w:pPr>
      <w:bookmarkStart w:id="20" w:name="_Toc236752241"/>
      <w:r>
        <w:rPr/>
        <w:t>4. Evaluation</w:t>
      </w:r>
      <w:bookmarkEnd w:id="20"/>
    </w:p>
    <w:p>
      <w:pPr>
        <w:pStyle w:val="Normal"/>
        <w:rPr/>
      </w:pPr>
      <w:r>
        <w:rPr/>
        <w:t xml:space="preserve">Throughout the process of researching, one of the main advantages was the availability of extensive sources about the international operations of Pizza Hut. The use of the above-mentioned frameworks helped to structure the report effectively and provided a systematic strategy for analysis between India and the USA. The frameworks helped me to establish a well-defined research on understanding the marketing mix and international entry strategies. I have used multiple figures to give clear concepts on the analysis. </w:t>
      </w:r>
    </w:p>
    <w:p>
      <w:pPr>
        <w:pStyle w:val="Normal"/>
        <w:rPr/>
      </w:pPr>
      <w:r>
        <w:rPr/>
        <w:t>In contrast to these situations, I have faced issues searching for some specific information, like ethical issues of Pizza Hut in India. The limited or scattered information across multiple sources made the data collection process difficult as well as time-consuming. I struggled to manage my time effectively as I had a deadline for the submission of this report. Furthermore, analysing ethical issues requires careful consideration as perceptions of ethical behaviour can vary among the stakeholders. Another challenge was ensuring that all sections remained connected while avoiding repetition. Despite these difficulties, the research process improved my analytical and critical-thinking skills.</w:t>
      </w:r>
    </w:p>
    <w:p>
      <w:pPr>
        <w:pStyle w:val="Heading2"/>
        <w:rPr/>
      </w:pPr>
      <w:bookmarkStart w:id="21" w:name="_Toc236752242"/>
      <w:r>
        <w:rPr/>
        <w:t>5. Analysis</w:t>
      </w:r>
      <w:bookmarkEnd w:id="21"/>
      <w:r>
        <w:rPr/>
        <w:t xml:space="preserve"> </w:t>
      </w:r>
    </w:p>
    <w:p>
      <w:pPr>
        <w:pStyle w:val="Normal"/>
        <w:rPr/>
      </w:pPr>
      <w:r>
        <w:rPr/>
        <w:t>This assessment highlighted the importance of adapting marketing strategies to different international environments. The analysis demonstrated that Pizza Hut’s success in India is largely due to its ability to localise products, pricing, and promotional strategies while maintaining a globally recognised brand image. The application of the Uppsala Model showed that gradual international expansion can reduce uncertainty and support market learning. Hofstede’s framework further illustrated the influence of cultural differences on consumer preferences and organisational practices.</w:t>
      </w:r>
    </w:p>
    <w:p>
      <w:pPr>
        <w:pStyle w:val="Normal"/>
        <w:rPr/>
      </w:pPr>
      <w:r>
        <w:rPr/>
        <w:t xml:space="preserve">I have a certain amount of critical thinking skills that I have used throughout my report. According to Li, Noordin and Yang (2026), critical thinking helps the students to evaluate evidence, construct arguments, and analyse ideas with intellectual facts. However, in certain cases, I still need to improve for my future development. </w:t>
      </w:r>
    </w:p>
    <w:p>
      <w:pPr>
        <w:pStyle w:val="Normal"/>
        <w:rPr/>
      </w:pPr>
      <w:r>
        <w:rPr/>
        <w:t xml:space="preserve">Furthermore, I also enhanced my knowledge on ethical considerations for international marketing strategy.  A study stated that ethics give a business some principles, such as reliability, safety and integrity that enhance the brand image (Caldeira and Infante-Moro, 2025). This emphasised the importance of aligning operational practices with customer expectations and ethical responsibilities. The assessment reinforced the idea that successful international marketing requires more than simply transferring a business model from one country to another.  </w:t>
      </w:r>
    </w:p>
    <w:p>
      <w:pPr>
        <w:pStyle w:val="Heading2"/>
        <w:rPr/>
      </w:pPr>
      <w:bookmarkStart w:id="22" w:name="_Toc236752243"/>
      <w:r>
        <w:rPr/>
        <w:t>6. Conclusion &amp; Action Plan</w:t>
      </w:r>
      <w:bookmarkEnd w:id="22"/>
    </w:p>
    <w:p>
      <w:pPr>
        <w:pStyle w:val="Normal"/>
        <w:rPr/>
      </w:pPr>
      <w:r>
        <w:rPr/>
        <w:t xml:space="preserve">The analysis stated that I have developed a stronger understanding of international marketing and strategic analysis. The assessment also increased my awareness of the role of ethics in business operations. However, there is a gap in some aspects, such as critical thinking, time management and research skills. Therefore, I have developed an action plan focusing on my future skills and abilities for my academic and professional life. </w:t>
      </w:r>
    </w:p>
    <w:p>
      <w:pPr>
        <w:pStyle w:val="Normal"/>
        <w:rPr/>
      </w:pPr>
      <w:r>
        <w:rPr/>
      </w:r>
    </w:p>
    <w:tbl>
      <w:tblPr>
        <w:tblStyle w:val="a0"/>
        <w:tblW w:w="9000" w:type="dxa"/>
        <w:jc w:val="left"/>
        <w:tblInd w:w="0" w:type="dxa"/>
        <w:tblLayout w:type="fixed"/>
        <w:tblCellMar>
          <w:top w:w="100" w:type="dxa"/>
          <w:left w:w="100" w:type="dxa"/>
          <w:bottom w:w="100" w:type="dxa"/>
          <w:right w:w="100" w:type="dxa"/>
        </w:tblCellMar>
        <w:tblLook w:val="0600" w:noVBand="1" w:noHBand="1" w:lastColumn="0" w:firstColumn="0" w:lastRow="0" w:firstRow="0"/>
      </w:tblPr>
      <w:tblGrid>
        <w:gridCol w:w="1800"/>
        <w:gridCol w:w="1800"/>
        <w:gridCol w:w="2098"/>
        <w:gridCol w:w="1875"/>
        <w:gridCol w:w="1427"/>
      </w:tblGrid>
      <w:tr>
        <w:trPr/>
        <w:tc>
          <w:tcPr>
            <w:tcW w:w="1800" w:type="dxa"/>
            <w:tcBorders>
              <w:top w:val="single" w:sz="8" w:space="0" w:color="000000"/>
              <w:left w:val="single" w:sz="8" w:space="0" w:color="000000"/>
              <w:bottom w:val="single" w:sz="8" w:space="0" w:color="000000"/>
              <w:right w:val="single" w:sz="8" w:space="0" w:color="000000"/>
            </w:tcBorders>
          </w:tcPr>
          <w:p>
            <w:pPr>
              <w:pStyle w:val="Normal"/>
              <w:widowControl w:val="false"/>
              <w:jc w:val="center"/>
              <w:rPr>
                <w:b/>
                <w:bCs/>
              </w:rPr>
            </w:pPr>
            <w:r>
              <w:rPr>
                <w:b/>
                <w:bCs/>
              </w:rPr>
              <w:t>Development Area</w:t>
            </w:r>
          </w:p>
        </w:tc>
        <w:tc>
          <w:tcPr>
            <w:tcW w:w="1800" w:type="dxa"/>
            <w:tcBorders>
              <w:top w:val="single" w:sz="8" w:space="0" w:color="000000"/>
              <w:left w:val="single" w:sz="8" w:space="0" w:color="000000"/>
              <w:bottom w:val="single" w:sz="8" w:space="0" w:color="000000"/>
              <w:right w:val="single" w:sz="8" w:space="0" w:color="000000"/>
            </w:tcBorders>
          </w:tcPr>
          <w:p>
            <w:pPr>
              <w:pStyle w:val="Normal"/>
              <w:widowControl w:val="false"/>
              <w:jc w:val="center"/>
              <w:rPr>
                <w:b/>
                <w:bCs/>
              </w:rPr>
            </w:pPr>
            <w:r>
              <w:rPr>
                <w:b/>
                <w:bCs/>
              </w:rPr>
              <w:t>Action to Improve</w:t>
            </w:r>
          </w:p>
        </w:tc>
        <w:tc>
          <w:tcPr>
            <w:tcW w:w="2098" w:type="dxa"/>
            <w:tcBorders>
              <w:top w:val="single" w:sz="8" w:space="0" w:color="000000"/>
              <w:left w:val="single" w:sz="8" w:space="0" w:color="000000"/>
              <w:bottom w:val="single" w:sz="8" w:space="0" w:color="000000"/>
              <w:right w:val="single" w:sz="8" w:space="0" w:color="000000"/>
            </w:tcBorders>
          </w:tcPr>
          <w:p>
            <w:pPr>
              <w:pStyle w:val="Normal"/>
              <w:widowControl w:val="false"/>
              <w:jc w:val="center"/>
              <w:rPr>
                <w:b/>
                <w:bCs/>
              </w:rPr>
            </w:pPr>
            <w:r>
              <w:rPr>
                <w:b/>
                <w:bCs/>
              </w:rPr>
              <w:t>Academic Benefit</w:t>
            </w:r>
          </w:p>
        </w:tc>
        <w:tc>
          <w:tcPr>
            <w:tcW w:w="1875" w:type="dxa"/>
            <w:tcBorders>
              <w:top w:val="single" w:sz="8" w:space="0" w:color="000000"/>
              <w:left w:val="single" w:sz="8" w:space="0" w:color="000000"/>
              <w:bottom w:val="single" w:sz="8" w:space="0" w:color="000000"/>
              <w:right w:val="single" w:sz="8" w:space="0" w:color="000000"/>
            </w:tcBorders>
          </w:tcPr>
          <w:p>
            <w:pPr>
              <w:pStyle w:val="Normal"/>
              <w:widowControl w:val="false"/>
              <w:jc w:val="center"/>
              <w:rPr>
                <w:b/>
                <w:bCs/>
              </w:rPr>
            </w:pPr>
            <w:r>
              <w:rPr>
                <w:b/>
                <w:bCs/>
              </w:rPr>
              <w:t>Professional Benefit</w:t>
            </w:r>
          </w:p>
        </w:tc>
        <w:tc>
          <w:tcPr>
            <w:tcW w:w="1427" w:type="dxa"/>
            <w:tcBorders>
              <w:top w:val="single" w:sz="8" w:space="0" w:color="000000"/>
              <w:left w:val="single" w:sz="8" w:space="0" w:color="000000"/>
              <w:bottom w:val="single" w:sz="8" w:space="0" w:color="000000"/>
              <w:right w:val="single" w:sz="8" w:space="0" w:color="000000"/>
            </w:tcBorders>
          </w:tcPr>
          <w:p>
            <w:pPr>
              <w:pStyle w:val="Normal"/>
              <w:widowControl w:val="false"/>
              <w:jc w:val="center"/>
              <w:rPr>
                <w:b/>
                <w:bCs/>
              </w:rPr>
            </w:pPr>
            <w:r>
              <w:rPr>
                <w:b/>
                <w:bCs/>
              </w:rPr>
              <w:t>Timeline</w:t>
            </w:r>
          </w:p>
        </w:tc>
      </w:tr>
      <w:tr>
        <w:trPr>
          <w:trHeight w:val="638" w:hRule="atLeast"/>
        </w:trPr>
        <w:tc>
          <w:tcPr>
            <w:tcW w:w="1800" w:type="dxa"/>
            <w:tcBorders>
              <w:top w:val="single" w:sz="8" w:space="0" w:color="000000"/>
              <w:left w:val="single" w:sz="8" w:space="0" w:color="000000"/>
              <w:bottom w:val="single" w:sz="8" w:space="0" w:color="000000"/>
              <w:right w:val="single" w:sz="8" w:space="0" w:color="000000"/>
            </w:tcBorders>
          </w:tcPr>
          <w:p>
            <w:pPr>
              <w:pStyle w:val="Normal"/>
              <w:widowControl w:val="false"/>
              <w:rPr/>
            </w:pPr>
            <w:r>
              <w:rPr/>
              <w:t>Research Skills</w:t>
            </w:r>
          </w:p>
        </w:tc>
        <w:tc>
          <w:tcPr>
            <w:tcW w:w="1800" w:type="dxa"/>
            <w:tcBorders>
              <w:top w:val="single" w:sz="8" w:space="0" w:color="000000"/>
              <w:left w:val="single" w:sz="8" w:space="0" w:color="000000"/>
              <w:bottom w:val="single" w:sz="8" w:space="0" w:color="000000"/>
              <w:right w:val="single" w:sz="8" w:space="0" w:color="000000"/>
            </w:tcBorders>
          </w:tcPr>
          <w:p>
            <w:pPr>
              <w:pStyle w:val="Normal"/>
              <w:widowControl w:val="false"/>
              <w:rPr/>
            </w:pPr>
            <w:r>
              <w:rPr/>
              <w:t>Use more academic journals, databases, and industry reports in future projects.</w:t>
            </w:r>
          </w:p>
        </w:tc>
        <w:tc>
          <w:tcPr>
            <w:tcW w:w="2098" w:type="dxa"/>
            <w:tcBorders>
              <w:top w:val="single" w:sz="8" w:space="0" w:color="000000"/>
              <w:left w:val="single" w:sz="8" w:space="0" w:color="000000"/>
              <w:bottom w:val="single" w:sz="8" w:space="0" w:color="000000"/>
              <w:right w:val="single" w:sz="8" w:space="0" w:color="000000"/>
            </w:tcBorders>
          </w:tcPr>
          <w:p>
            <w:pPr>
              <w:pStyle w:val="Normal"/>
              <w:widowControl w:val="false"/>
              <w:rPr/>
            </w:pPr>
            <w:r>
              <w:rPr/>
              <w:t>Produce higher-quality assignments and dissertations.</w:t>
            </w:r>
          </w:p>
        </w:tc>
        <w:tc>
          <w:tcPr>
            <w:tcW w:w="1875" w:type="dxa"/>
            <w:tcBorders>
              <w:top w:val="single" w:sz="8" w:space="0" w:color="000000"/>
              <w:left w:val="single" w:sz="8" w:space="0" w:color="000000"/>
              <w:bottom w:val="single" w:sz="8" w:space="0" w:color="000000"/>
              <w:right w:val="single" w:sz="8" w:space="0" w:color="000000"/>
            </w:tcBorders>
          </w:tcPr>
          <w:p>
            <w:pPr>
              <w:pStyle w:val="Normal"/>
              <w:widowControl w:val="false"/>
              <w:rPr/>
            </w:pPr>
            <w:r>
              <w:rPr/>
              <w:t>Make evidence-based business decisions.</w:t>
            </w:r>
          </w:p>
        </w:tc>
        <w:tc>
          <w:tcPr>
            <w:tcW w:w="1427" w:type="dxa"/>
            <w:tcBorders>
              <w:top w:val="single" w:sz="8" w:space="0" w:color="000000"/>
              <w:left w:val="single" w:sz="8" w:space="0" w:color="000000"/>
              <w:bottom w:val="single" w:sz="8" w:space="0" w:color="000000"/>
              <w:right w:val="single" w:sz="8" w:space="0" w:color="000000"/>
            </w:tcBorders>
          </w:tcPr>
          <w:p>
            <w:pPr>
              <w:pStyle w:val="Normal"/>
              <w:widowControl w:val="false"/>
              <w:rPr/>
            </w:pPr>
            <w:r>
              <w:rPr/>
              <w:t>Next 12 months</w:t>
            </w:r>
          </w:p>
        </w:tc>
      </w:tr>
      <w:tr>
        <w:trPr/>
        <w:tc>
          <w:tcPr>
            <w:tcW w:w="1800" w:type="dxa"/>
            <w:tcBorders>
              <w:top w:val="single" w:sz="8" w:space="0" w:color="000000"/>
              <w:left w:val="single" w:sz="8" w:space="0" w:color="000000"/>
              <w:bottom w:val="single" w:sz="8" w:space="0" w:color="000000"/>
              <w:right w:val="single" w:sz="8" w:space="0" w:color="000000"/>
            </w:tcBorders>
          </w:tcPr>
          <w:p>
            <w:pPr>
              <w:pStyle w:val="Normal"/>
              <w:widowControl w:val="false"/>
              <w:rPr/>
            </w:pPr>
            <w:r>
              <w:rPr/>
              <w:t>Critical Thinking</w:t>
            </w:r>
          </w:p>
        </w:tc>
        <w:tc>
          <w:tcPr>
            <w:tcW w:w="1800" w:type="dxa"/>
            <w:tcBorders>
              <w:top w:val="single" w:sz="8" w:space="0" w:color="000000"/>
              <w:left w:val="single" w:sz="8" w:space="0" w:color="000000"/>
              <w:bottom w:val="single" w:sz="8" w:space="0" w:color="000000"/>
              <w:right w:val="single" w:sz="8" w:space="0" w:color="000000"/>
            </w:tcBorders>
          </w:tcPr>
          <w:p>
            <w:pPr>
              <w:pStyle w:val="Normal"/>
              <w:widowControl w:val="false"/>
              <w:rPr/>
            </w:pPr>
            <w:r>
              <w:rPr/>
              <w:t>Practise evaluating multiple viewpoints and challenging assumptions.</w:t>
            </w:r>
          </w:p>
        </w:tc>
        <w:tc>
          <w:tcPr>
            <w:tcW w:w="2098" w:type="dxa"/>
            <w:tcBorders>
              <w:top w:val="single" w:sz="8" w:space="0" w:color="000000"/>
              <w:left w:val="single" w:sz="8" w:space="0" w:color="000000"/>
              <w:bottom w:val="single" w:sz="8" w:space="0" w:color="000000"/>
              <w:right w:val="single" w:sz="8" w:space="0" w:color="000000"/>
            </w:tcBorders>
          </w:tcPr>
          <w:p>
            <w:pPr>
              <w:pStyle w:val="Normal"/>
              <w:widowControl w:val="false"/>
              <w:rPr/>
            </w:pPr>
            <w:r>
              <w:rPr/>
              <w:t>Strengthen analytical sections of coursework.</w:t>
            </w:r>
          </w:p>
        </w:tc>
        <w:tc>
          <w:tcPr>
            <w:tcW w:w="1875" w:type="dxa"/>
            <w:tcBorders>
              <w:top w:val="single" w:sz="8" w:space="0" w:color="000000"/>
              <w:left w:val="single" w:sz="8" w:space="0" w:color="000000"/>
              <w:bottom w:val="single" w:sz="8" w:space="0" w:color="000000"/>
              <w:right w:val="single" w:sz="8" w:space="0" w:color="000000"/>
            </w:tcBorders>
          </w:tcPr>
          <w:p>
            <w:pPr>
              <w:pStyle w:val="Normal"/>
              <w:widowControl w:val="false"/>
              <w:rPr/>
            </w:pPr>
            <w:r>
              <w:rPr/>
              <w:t>Improve problem-solving and strategic decision-making.</w:t>
            </w:r>
          </w:p>
        </w:tc>
        <w:tc>
          <w:tcPr>
            <w:tcW w:w="1427" w:type="dxa"/>
            <w:tcBorders>
              <w:top w:val="single" w:sz="8" w:space="0" w:color="000000"/>
              <w:left w:val="single" w:sz="8" w:space="0" w:color="000000"/>
              <w:bottom w:val="single" w:sz="8" w:space="0" w:color="000000"/>
              <w:right w:val="single" w:sz="8" w:space="0" w:color="000000"/>
            </w:tcBorders>
          </w:tcPr>
          <w:p>
            <w:pPr>
              <w:pStyle w:val="Normal"/>
              <w:widowControl w:val="false"/>
              <w:rPr/>
            </w:pPr>
            <w:r>
              <w:rPr/>
              <w:t>Ongoing</w:t>
            </w:r>
          </w:p>
        </w:tc>
      </w:tr>
      <w:tr>
        <w:trPr/>
        <w:tc>
          <w:tcPr>
            <w:tcW w:w="1800" w:type="dxa"/>
            <w:tcBorders>
              <w:top w:val="single" w:sz="8" w:space="0" w:color="000000"/>
              <w:left w:val="single" w:sz="8" w:space="0" w:color="000000"/>
              <w:bottom w:val="single" w:sz="8" w:space="0" w:color="000000"/>
              <w:right w:val="single" w:sz="8" w:space="0" w:color="000000"/>
            </w:tcBorders>
          </w:tcPr>
          <w:p>
            <w:pPr>
              <w:pStyle w:val="Normal"/>
              <w:widowControl w:val="false"/>
              <w:rPr/>
            </w:pPr>
            <w:r>
              <w:rPr/>
              <w:t>Academic Writing</w:t>
            </w:r>
          </w:p>
        </w:tc>
        <w:tc>
          <w:tcPr>
            <w:tcW w:w="1800" w:type="dxa"/>
            <w:tcBorders>
              <w:top w:val="single" w:sz="8" w:space="0" w:color="000000"/>
              <w:left w:val="single" w:sz="8" w:space="0" w:color="000000"/>
              <w:bottom w:val="single" w:sz="8" w:space="0" w:color="000000"/>
              <w:right w:val="single" w:sz="8" w:space="0" w:color="000000"/>
            </w:tcBorders>
          </w:tcPr>
          <w:p>
            <w:pPr>
              <w:pStyle w:val="Normal"/>
              <w:widowControl w:val="false"/>
              <w:rPr/>
            </w:pPr>
            <w:r>
              <w:rPr/>
              <w:t>Improve conciseness, academic tone, and critical evaluation.</w:t>
            </w:r>
          </w:p>
        </w:tc>
        <w:tc>
          <w:tcPr>
            <w:tcW w:w="2098" w:type="dxa"/>
            <w:tcBorders>
              <w:top w:val="single" w:sz="8" w:space="0" w:color="000000"/>
              <w:left w:val="single" w:sz="8" w:space="0" w:color="000000"/>
              <w:bottom w:val="single" w:sz="8" w:space="0" w:color="000000"/>
              <w:right w:val="single" w:sz="8" w:space="0" w:color="000000"/>
            </w:tcBorders>
          </w:tcPr>
          <w:p>
            <w:pPr>
              <w:pStyle w:val="Normal"/>
              <w:widowControl w:val="false"/>
              <w:rPr/>
            </w:pPr>
            <w:r>
              <w:rPr/>
              <w:t>Achieve higher grades in assignments.</w:t>
            </w:r>
          </w:p>
        </w:tc>
        <w:tc>
          <w:tcPr>
            <w:tcW w:w="1875" w:type="dxa"/>
            <w:tcBorders>
              <w:top w:val="single" w:sz="8" w:space="0" w:color="000000"/>
              <w:left w:val="single" w:sz="8" w:space="0" w:color="000000"/>
              <w:bottom w:val="single" w:sz="8" w:space="0" w:color="000000"/>
              <w:right w:val="single" w:sz="8" w:space="0" w:color="000000"/>
            </w:tcBorders>
          </w:tcPr>
          <w:p>
            <w:pPr>
              <w:pStyle w:val="Normal"/>
              <w:widowControl w:val="false"/>
              <w:rPr/>
            </w:pPr>
            <w:r>
              <w:rPr/>
              <w:t>Prepare professional business reports and proposals.</w:t>
            </w:r>
          </w:p>
        </w:tc>
        <w:tc>
          <w:tcPr>
            <w:tcW w:w="1427" w:type="dxa"/>
            <w:tcBorders>
              <w:top w:val="single" w:sz="8" w:space="0" w:color="000000"/>
              <w:left w:val="single" w:sz="8" w:space="0" w:color="000000"/>
              <w:bottom w:val="single" w:sz="8" w:space="0" w:color="000000"/>
              <w:right w:val="single" w:sz="8" w:space="0" w:color="000000"/>
            </w:tcBorders>
          </w:tcPr>
          <w:p>
            <w:pPr>
              <w:pStyle w:val="Normal"/>
              <w:widowControl w:val="false"/>
              <w:rPr/>
            </w:pPr>
            <w:r>
              <w:rPr/>
              <w:t>Next 6–8 months</w:t>
            </w:r>
          </w:p>
        </w:tc>
      </w:tr>
      <w:tr>
        <w:trPr/>
        <w:tc>
          <w:tcPr>
            <w:tcW w:w="1800" w:type="dxa"/>
            <w:tcBorders>
              <w:top w:val="single" w:sz="8" w:space="0" w:color="000000"/>
              <w:left w:val="single" w:sz="8" w:space="0" w:color="000000"/>
              <w:bottom w:val="single" w:sz="8" w:space="0" w:color="000000"/>
              <w:right w:val="single" w:sz="8" w:space="0" w:color="000000"/>
            </w:tcBorders>
          </w:tcPr>
          <w:p>
            <w:pPr>
              <w:pStyle w:val="Normal"/>
              <w:widowControl w:val="false"/>
              <w:rPr/>
            </w:pPr>
            <w:r>
              <w:rPr/>
              <w:t>Time Management</w:t>
            </w:r>
          </w:p>
        </w:tc>
        <w:tc>
          <w:tcPr>
            <w:tcW w:w="1800" w:type="dxa"/>
            <w:tcBorders>
              <w:top w:val="single" w:sz="8" w:space="0" w:color="000000"/>
              <w:left w:val="single" w:sz="8" w:space="0" w:color="000000"/>
              <w:bottom w:val="single" w:sz="8" w:space="0" w:color="000000"/>
              <w:right w:val="single" w:sz="8" w:space="0" w:color="000000"/>
            </w:tcBorders>
          </w:tcPr>
          <w:p>
            <w:pPr>
              <w:pStyle w:val="Normal"/>
              <w:widowControl w:val="false"/>
              <w:rPr/>
            </w:pPr>
            <w:r>
              <w:rPr/>
              <w:t>Use project planning tools and create structured schedules.</w:t>
            </w:r>
          </w:p>
        </w:tc>
        <w:tc>
          <w:tcPr>
            <w:tcW w:w="2098" w:type="dxa"/>
            <w:tcBorders>
              <w:top w:val="single" w:sz="8" w:space="0" w:color="000000"/>
              <w:left w:val="single" w:sz="8" w:space="0" w:color="000000"/>
              <w:bottom w:val="single" w:sz="8" w:space="0" w:color="000000"/>
              <w:right w:val="single" w:sz="8" w:space="0" w:color="000000"/>
            </w:tcBorders>
          </w:tcPr>
          <w:p>
            <w:pPr>
              <w:pStyle w:val="Normal"/>
              <w:widowControl w:val="false"/>
              <w:rPr/>
            </w:pPr>
            <w:r>
              <w:rPr/>
              <w:t>Improve assignment quality and reduce stress.</w:t>
            </w:r>
          </w:p>
        </w:tc>
        <w:tc>
          <w:tcPr>
            <w:tcW w:w="1875" w:type="dxa"/>
            <w:tcBorders>
              <w:top w:val="single" w:sz="8" w:space="0" w:color="000000"/>
              <w:left w:val="single" w:sz="8" w:space="0" w:color="000000"/>
              <w:bottom w:val="single" w:sz="8" w:space="0" w:color="000000"/>
              <w:right w:val="single" w:sz="8" w:space="0" w:color="000000"/>
            </w:tcBorders>
          </w:tcPr>
          <w:p>
            <w:pPr>
              <w:pStyle w:val="Normal"/>
              <w:widowControl w:val="false"/>
              <w:rPr/>
            </w:pPr>
            <w:r>
              <w:rPr/>
              <w:t>Increase productivity and efficiency in the workplace.</w:t>
            </w:r>
          </w:p>
        </w:tc>
        <w:tc>
          <w:tcPr>
            <w:tcW w:w="1427" w:type="dxa"/>
            <w:tcBorders>
              <w:top w:val="single" w:sz="8" w:space="0" w:color="000000"/>
              <w:left w:val="single" w:sz="8" w:space="0" w:color="000000"/>
              <w:bottom w:val="single" w:sz="8" w:space="0" w:color="000000"/>
              <w:right w:val="single" w:sz="8" w:space="0" w:color="000000"/>
            </w:tcBorders>
          </w:tcPr>
          <w:p>
            <w:pPr>
              <w:pStyle w:val="Normal"/>
              <w:widowControl w:val="false"/>
              <w:rPr/>
            </w:pPr>
            <w:r>
              <w:rPr/>
              <w:t>Ongoing</w:t>
            </w:r>
          </w:p>
        </w:tc>
      </w:tr>
      <w:tr>
        <w:trPr/>
        <w:tc>
          <w:tcPr>
            <w:tcW w:w="1800" w:type="dxa"/>
            <w:tcBorders>
              <w:top w:val="single" w:sz="8" w:space="0" w:color="000000"/>
              <w:left w:val="single" w:sz="8" w:space="0" w:color="000000"/>
              <w:bottom w:val="single" w:sz="8" w:space="0" w:color="000000"/>
              <w:right w:val="single" w:sz="8" w:space="0" w:color="000000"/>
            </w:tcBorders>
          </w:tcPr>
          <w:p>
            <w:pPr>
              <w:pStyle w:val="Normal"/>
              <w:widowControl w:val="false"/>
              <w:rPr/>
            </w:pPr>
            <w:r>
              <w:rPr/>
              <w:t>Digital and Data Analysis Skills</w:t>
            </w:r>
          </w:p>
        </w:tc>
        <w:tc>
          <w:tcPr>
            <w:tcW w:w="1800" w:type="dxa"/>
            <w:tcBorders>
              <w:top w:val="single" w:sz="8" w:space="0" w:color="000000"/>
              <w:left w:val="single" w:sz="8" w:space="0" w:color="000000"/>
              <w:bottom w:val="single" w:sz="8" w:space="0" w:color="000000"/>
              <w:right w:val="single" w:sz="8" w:space="0" w:color="000000"/>
            </w:tcBorders>
          </w:tcPr>
          <w:p>
            <w:pPr>
              <w:pStyle w:val="Normal"/>
              <w:widowControl w:val="false"/>
              <w:rPr/>
            </w:pPr>
            <w:r>
              <w:rPr/>
              <w:t>Learn advanced Excel, Power BI, Google Analytics, and AI tools.</w:t>
            </w:r>
          </w:p>
        </w:tc>
        <w:tc>
          <w:tcPr>
            <w:tcW w:w="2098" w:type="dxa"/>
            <w:tcBorders>
              <w:top w:val="single" w:sz="8" w:space="0" w:color="000000"/>
              <w:left w:val="single" w:sz="8" w:space="0" w:color="000000"/>
              <w:bottom w:val="single" w:sz="8" w:space="0" w:color="000000"/>
              <w:right w:val="single" w:sz="8" w:space="0" w:color="000000"/>
            </w:tcBorders>
          </w:tcPr>
          <w:p>
            <w:pPr>
              <w:pStyle w:val="Normal"/>
              <w:widowControl w:val="false"/>
              <w:rPr/>
            </w:pPr>
            <w:r>
              <w:rPr/>
              <w:t>Strengthen data-driven research projects.</w:t>
            </w:r>
          </w:p>
        </w:tc>
        <w:tc>
          <w:tcPr>
            <w:tcW w:w="1875" w:type="dxa"/>
            <w:tcBorders>
              <w:top w:val="single" w:sz="8" w:space="0" w:color="000000"/>
              <w:left w:val="single" w:sz="8" w:space="0" w:color="000000"/>
              <w:bottom w:val="single" w:sz="8" w:space="0" w:color="000000"/>
              <w:right w:val="single" w:sz="8" w:space="0" w:color="000000"/>
            </w:tcBorders>
          </w:tcPr>
          <w:p>
            <w:pPr>
              <w:pStyle w:val="Normal"/>
              <w:widowControl w:val="false"/>
              <w:rPr/>
            </w:pPr>
            <w:r>
              <w:rPr/>
              <w:t>Support a future career in marketing and operations management.</w:t>
            </w:r>
          </w:p>
        </w:tc>
        <w:tc>
          <w:tcPr>
            <w:tcW w:w="1427" w:type="dxa"/>
            <w:tcBorders>
              <w:top w:val="single" w:sz="8" w:space="0" w:color="000000"/>
              <w:left w:val="single" w:sz="8" w:space="0" w:color="000000"/>
              <w:bottom w:val="single" w:sz="8" w:space="0" w:color="000000"/>
              <w:right w:val="single" w:sz="8" w:space="0" w:color="000000"/>
            </w:tcBorders>
          </w:tcPr>
          <w:p>
            <w:pPr>
              <w:pStyle w:val="Normal"/>
              <w:widowControl w:val="false"/>
              <w:rPr/>
            </w:pPr>
            <w:r>
              <w:rPr/>
              <w:t>Next 6 months</w:t>
            </w:r>
          </w:p>
        </w:tc>
      </w:tr>
    </w:tbl>
    <w:p>
      <w:pPr>
        <w:pStyle w:val="Normal"/>
        <w:jc w:val="center"/>
        <w:rPr>
          <w:b/>
          <w:bCs/>
        </w:rPr>
      </w:pPr>
      <w:r>
        <w:rPr>
          <w:b/>
          <w:bCs/>
        </w:rPr>
        <w:t>Table 2: Action Plan</w:t>
      </w:r>
    </w:p>
    <w:p>
      <w:pPr>
        <w:pStyle w:val="Normal"/>
        <w:rPr/>
      </w:pPr>
      <w:r>
        <w:rPr/>
      </w:r>
    </w:p>
    <w:p>
      <w:pPr>
        <w:pStyle w:val="Normal"/>
        <w:rPr/>
      </w:pPr>
      <w:r>
        <w:rPr/>
      </w:r>
    </w:p>
    <w:p>
      <w:pPr>
        <w:pStyle w:val="Normal"/>
        <w:rPr/>
      </w:pPr>
      <w:r>
        <w:rPr/>
      </w:r>
    </w:p>
    <w:p>
      <w:pPr>
        <w:pStyle w:val="Normal"/>
        <w:rPr/>
      </w:pPr>
      <w:r>
        <w:rPr/>
      </w:r>
      <w:r>
        <w:br w:type="page"/>
      </w:r>
    </w:p>
    <w:p>
      <w:pPr>
        <w:pStyle w:val="Heading1"/>
        <w:spacing w:before="0" w:after="0"/>
        <w:rPr>
          <w:sz w:val="36"/>
          <w:szCs w:val="36"/>
        </w:rPr>
      </w:pPr>
      <w:bookmarkStart w:id="23" w:name="_Toc236752244"/>
      <w:r>
        <w:rPr>
          <w:sz w:val="36"/>
          <w:szCs w:val="36"/>
        </w:rPr>
        <w:t>Reference list</w:t>
      </w:r>
      <w:bookmarkEnd w:id="23"/>
    </w:p>
    <w:p>
      <w:pPr>
        <w:pStyle w:val="Normal"/>
        <w:spacing w:before="0" w:after="240"/>
        <w:rPr/>
      </w:pPr>
      <w:r>
        <w:rPr/>
        <w:t xml:space="preserve">Ackermann, J. (2024) ‘The effects of franchising on stores, competitors, and consumers’, </w:t>
      </w:r>
      <w:r>
        <w:rPr>
          <w:i/>
          <w:iCs/>
        </w:rPr>
        <w:t>International Journal of Industrial Organization</w:t>
      </w:r>
      <w:r>
        <w:rPr/>
        <w:t>, 93, p. 103055. Available at: https://doi.org/10.1016/j.ijindorg.2024.103055.</w:t>
      </w:r>
    </w:p>
    <w:p>
      <w:pPr>
        <w:pStyle w:val="Normal"/>
        <w:spacing w:before="0" w:after="240"/>
        <w:rPr/>
      </w:pPr>
      <w:r>
        <w:rPr/>
        <w:t xml:space="preserve">AHDB (2025) </w:t>
      </w:r>
      <w:r>
        <w:rPr>
          <w:i/>
          <w:iCs/>
        </w:rPr>
        <w:t>North America: Consumer insight | AHDB</w:t>
      </w:r>
      <w:r>
        <w:rPr/>
        <w:t xml:space="preserve">, </w:t>
      </w:r>
      <w:r>
        <w:rPr>
          <w:i/>
          <w:iCs/>
        </w:rPr>
        <w:t>Ahdb.org.uk</w:t>
      </w:r>
      <w:r>
        <w:rPr/>
        <w:t>. Available at: https://ahdb.org.uk/north-america-consumer-insight (Accessed: 22 June 2026).</w:t>
      </w:r>
    </w:p>
    <w:p>
      <w:pPr>
        <w:pStyle w:val="Normal"/>
        <w:spacing w:before="0" w:after="240"/>
        <w:rPr/>
      </w:pPr>
      <w:r>
        <w:rPr/>
        <w:t xml:space="preserve">Budhiraja, S. and Modi, S. (2021) ‘Virtuousness and un/ethical behaviour: The moderating role of power distance culture in select Indian public sector undertakings’, </w:t>
      </w:r>
      <w:r>
        <w:rPr>
          <w:i/>
          <w:iCs/>
        </w:rPr>
        <w:t>IIMB Management Review</w:t>
      </w:r>
      <w:r>
        <w:rPr/>
        <w:t>, 33(3). Available at: https://doi.org/10.1016/j.iimb.2021.09.002.</w:t>
      </w:r>
    </w:p>
    <w:p>
      <w:pPr>
        <w:pStyle w:val="Normal"/>
        <w:spacing w:before="0" w:after="240"/>
        <w:rPr/>
      </w:pPr>
      <w:r>
        <w:rPr/>
        <w:t xml:space="preserve">Burke, P. (2026) </w:t>
      </w:r>
      <w:r>
        <w:rPr>
          <w:i/>
          <w:iCs/>
        </w:rPr>
        <w:t>America’s best-tasting pizza chain is an old-school favorite, survey finds</w:t>
      </w:r>
      <w:r>
        <w:rPr/>
        <w:t xml:space="preserve">, </w:t>
      </w:r>
      <w:r>
        <w:rPr>
          <w:i/>
          <w:iCs/>
        </w:rPr>
        <w:t>Fox News</w:t>
      </w:r>
      <w:r>
        <w:rPr/>
        <w:t>. Available at: https://www.foxnews.com/food-drink/americas-best-tasting-pizza-chain-old-school-favorite-survey-finds (Accessed: 21 June 2026).</w:t>
      </w:r>
    </w:p>
    <w:p>
      <w:pPr>
        <w:pStyle w:val="Normal"/>
        <w:spacing w:before="0" w:after="240"/>
        <w:rPr/>
      </w:pPr>
      <w:r>
        <w:rPr/>
        <w:t xml:space="preserve">BWC India (2021) </w:t>
      </w:r>
      <w:r>
        <w:rPr>
          <w:i/>
          <w:iCs/>
        </w:rPr>
        <w:t>Beauty Without Cruelty - India</w:t>
      </w:r>
      <w:r>
        <w:rPr/>
        <w:t xml:space="preserve">, </w:t>
      </w:r>
      <w:r>
        <w:rPr>
          <w:i/>
          <w:iCs/>
        </w:rPr>
        <w:t>Bwcindia.org</w:t>
      </w:r>
      <w:r>
        <w:rPr/>
        <w:t>. Available at: https://bwcindia.org/web/Awareness/LearnAbout/Vegetarianism.html (Accessed: 22 June 2026).</w:t>
      </w:r>
    </w:p>
    <w:p>
      <w:pPr>
        <w:pStyle w:val="Normal"/>
        <w:spacing w:before="0" w:after="240"/>
        <w:rPr/>
      </w:pPr>
      <w:r>
        <w:rPr/>
        <w:t xml:space="preserve">Caldeira, R. and Infante-Moro, A. (2025) ‘The Importance of Ethics in Organisations, Their Leaders, and Sustainability’, </w:t>
      </w:r>
      <w:r>
        <w:rPr>
          <w:i/>
          <w:iCs/>
        </w:rPr>
        <w:t>Administrative Sciences</w:t>
      </w:r>
      <w:r>
        <w:rPr/>
        <w:t>, 15(9), pp. 372–372. Available at: https://doi.org/10.3390/admsci15090372.</w:t>
      </w:r>
    </w:p>
    <w:p>
      <w:pPr>
        <w:pStyle w:val="Normal"/>
        <w:spacing w:before="0" w:after="240"/>
        <w:rPr/>
      </w:pPr>
      <w:r>
        <w:rPr/>
        <w:t xml:space="preserve">Chanda, K. (2023) </w:t>
      </w:r>
      <w:r>
        <w:rPr>
          <w:i/>
          <w:iCs/>
        </w:rPr>
        <w:t>Indian Consumers Aren’t Price-conscious, They Are Value Conscious: Uniqlo India CEO</w:t>
      </w:r>
      <w:r>
        <w:rPr/>
        <w:t xml:space="preserve">, </w:t>
      </w:r>
      <w:r>
        <w:rPr>
          <w:i/>
          <w:iCs/>
        </w:rPr>
        <w:t>Forbes India</w:t>
      </w:r>
      <w:r>
        <w:rPr/>
        <w:t>. Available at: https://www.forbesindia.com/article/leadership/indian-consumers-arent-priceconscious-they-are-value-conscious-uniqlo-india-ceo/88803/1 (Accessed: 21 June 2026).</w:t>
      </w:r>
    </w:p>
    <w:p>
      <w:pPr>
        <w:pStyle w:val="Normal"/>
        <w:spacing w:before="0" w:after="240"/>
        <w:rPr/>
      </w:pPr>
      <w:r>
        <w:rPr/>
        <w:t xml:space="preserve">Clark, D. (2026) </w:t>
      </w:r>
      <w:r>
        <w:rPr>
          <w:i/>
          <w:iCs/>
        </w:rPr>
        <w:t>Largest economies worldwide 2026| Statista</w:t>
      </w:r>
      <w:r>
        <w:rPr/>
        <w:t xml:space="preserve">, </w:t>
      </w:r>
      <w:r>
        <w:rPr>
          <w:i/>
          <w:iCs/>
        </w:rPr>
        <w:t>Statista</w:t>
      </w:r>
      <w:r>
        <w:rPr/>
        <w:t>. Available at: https://www.statista.com/statistics/268173/countries-with-the-largest-gross-domestic-product-gdp/?srsltid=AfmBOop266YucZrxdcpR8-QJtuChCi7S8DKcHtn82i74_gHWploqsW8d (Accessed: 20 June 2026).</w:t>
      </w:r>
    </w:p>
    <w:p>
      <w:pPr>
        <w:pStyle w:val="Normal"/>
        <w:spacing w:before="0" w:after="240"/>
        <w:rPr/>
      </w:pPr>
      <w:r>
        <w:rPr/>
        <w:t xml:space="preserve">Coley, B. (2024) </w:t>
      </w:r>
      <w:r>
        <w:rPr>
          <w:i/>
          <w:iCs/>
        </w:rPr>
        <w:t>Pizza Hut Introduces the Personal Pan Pizza Hut</w:t>
      </w:r>
      <w:r>
        <w:rPr/>
        <w:t xml:space="preserve">, </w:t>
      </w:r>
      <w:r>
        <w:rPr>
          <w:i/>
          <w:iCs/>
        </w:rPr>
        <w:t>QSR Magazine</w:t>
      </w:r>
      <w:r>
        <w:rPr/>
        <w:t>. Available at: https://www.qsrmagazine.com/news/pizza-hut-introduces-the-personal-pan-pizza-hut/ (Accessed: 22 June 2026).</w:t>
      </w:r>
    </w:p>
    <w:p>
      <w:pPr>
        <w:pStyle w:val="Normal"/>
        <w:spacing w:before="0" w:after="240"/>
        <w:rPr/>
      </w:pPr>
      <w:r>
        <w:rPr/>
        <w:t xml:space="preserve">CSP Daily News (2016) </w:t>
      </w:r>
      <w:r>
        <w:rPr>
          <w:i/>
          <w:iCs/>
        </w:rPr>
        <w:t>Pizza Hut Introduces $5 Flavor Menu</w:t>
      </w:r>
      <w:r>
        <w:rPr/>
        <w:t xml:space="preserve">, </w:t>
      </w:r>
      <w:r>
        <w:rPr>
          <w:i/>
          <w:iCs/>
        </w:rPr>
        <w:t>CSP Daily News</w:t>
      </w:r>
      <w:r>
        <w:rPr/>
        <w:t>. Available at: https://www.cspdailynews.com/foodservice/pizza-hut-introduces-5-flavor-menu (Accessed: 22 June 2026).</w:t>
      </w:r>
    </w:p>
    <w:p>
      <w:pPr>
        <w:pStyle w:val="Normal"/>
        <w:spacing w:before="0" w:after="240"/>
        <w:rPr/>
      </w:pPr>
      <w:r>
        <w:rPr/>
        <w:t xml:space="preserve">David Hayden (2025) </w:t>
      </w:r>
      <w:r>
        <w:rPr>
          <w:i/>
          <w:iCs/>
        </w:rPr>
        <w:t>PESTLE analysis</w:t>
      </w:r>
      <w:r>
        <w:rPr/>
        <w:t xml:space="preserve">, </w:t>
      </w:r>
      <w:r>
        <w:rPr>
          <w:i/>
          <w:iCs/>
        </w:rPr>
        <w:t>CIPD</w:t>
      </w:r>
      <w:r>
        <w:rPr/>
        <w:t>. Available at: https://www.cipd.org/en/knowledge/factsheets/pestle-analysis-factsheet/ (Accessed: 20 June 2026).</w:t>
      </w:r>
    </w:p>
    <w:p>
      <w:pPr>
        <w:pStyle w:val="Normal"/>
        <w:spacing w:before="0" w:after="240"/>
        <w:rPr/>
      </w:pPr>
      <w:r>
        <w:rPr/>
        <w:t xml:space="preserve">Debroy, S. (2024) </w:t>
      </w:r>
      <w:r>
        <w:rPr>
          <w:i/>
          <w:iCs/>
        </w:rPr>
        <w:t>Pizza outlet gets FDA notice for discrepancies</w:t>
      </w:r>
      <w:r>
        <w:rPr/>
        <w:t xml:space="preserve">, </w:t>
      </w:r>
      <w:r>
        <w:rPr>
          <w:i/>
          <w:iCs/>
        </w:rPr>
        <w:t>The Times of India</w:t>
      </w:r>
      <w:r>
        <w:rPr/>
        <w:t>. Times Of India. Available at: https://timesofindia.indiatimes.com/city/mumbai/pizza-outlet-gets-fda-notice-for-discrepancies/articleshow/109207546.cms (Accessed: 23 June 2026).</w:t>
      </w:r>
    </w:p>
    <w:p>
      <w:pPr>
        <w:pStyle w:val="Normal"/>
        <w:spacing w:before="0" w:after="240"/>
        <w:rPr/>
      </w:pPr>
      <w:r>
        <w:rPr/>
        <w:t xml:space="preserve">Fantozzi, J. (2025) </w:t>
      </w:r>
      <w:r>
        <w:rPr>
          <w:i/>
          <w:iCs/>
        </w:rPr>
        <w:t>Pizza Hut launches redesigned mobile app for new generation</w:t>
      </w:r>
      <w:r>
        <w:rPr/>
        <w:t xml:space="preserve">, </w:t>
      </w:r>
      <w:r>
        <w:rPr>
          <w:i/>
          <w:iCs/>
        </w:rPr>
        <w:t>Nrn.com</w:t>
      </w:r>
      <w:r>
        <w:rPr/>
        <w:t>. Available at: https://www.nrn.com/restaurant-technology/pizza-hut-launches-redesigned-mobile-app-for-new-generation (Accessed: 22 June 2026).</w:t>
      </w:r>
    </w:p>
    <w:p>
      <w:pPr>
        <w:pStyle w:val="Normal"/>
        <w:spacing w:before="0" w:after="240"/>
        <w:rPr/>
      </w:pPr>
      <w:r>
        <w:rPr/>
        <w:t xml:space="preserve">FDA (2019) </w:t>
      </w:r>
      <w:r>
        <w:rPr>
          <w:i/>
          <w:iCs/>
        </w:rPr>
        <w:t>Guidance &amp; Regulation (Food and Dietary Supplements)</w:t>
      </w:r>
      <w:r>
        <w:rPr/>
        <w:t xml:space="preserve">, </w:t>
      </w:r>
      <w:r>
        <w:rPr>
          <w:i/>
          <w:iCs/>
        </w:rPr>
        <w:t>U.S. Food and Drug Administration</w:t>
      </w:r>
      <w:r>
        <w:rPr/>
        <w:t>. Available at: https://www.fda.gov/food/guidance-regulation-food-and-dietary-supplements (Accessed: 20 June 2026).</w:t>
      </w:r>
    </w:p>
    <w:p>
      <w:pPr>
        <w:pStyle w:val="Normal"/>
        <w:spacing w:before="0" w:after="240"/>
        <w:rPr/>
      </w:pPr>
      <w:r>
        <w:rPr/>
        <w:t xml:space="preserve">FDA (2024) </w:t>
      </w:r>
      <w:r>
        <w:rPr>
          <w:i/>
          <w:iCs/>
        </w:rPr>
        <w:t>Food Safety Modernization Act (FSMA)</w:t>
      </w:r>
      <w:r>
        <w:rPr/>
        <w:t xml:space="preserve">, </w:t>
      </w:r>
      <w:r>
        <w:rPr>
          <w:i/>
          <w:iCs/>
        </w:rPr>
        <w:t>Fda.gov</w:t>
      </w:r>
      <w:r>
        <w:rPr/>
        <w:t>. Available at: https://www.fda.gov/food/guidance-regulation-food-and-dietary-supplements/food-safety-modernization-act-fsma (Accessed: 22 June 2026).</w:t>
      </w:r>
    </w:p>
    <w:p>
      <w:pPr>
        <w:pStyle w:val="Normal"/>
        <w:spacing w:before="0" w:after="240"/>
        <w:rPr/>
      </w:pPr>
      <w:r>
        <w:rPr/>
        <w:t xml:space="preserve">FSSAI (2025) </w:t>
      </w:r>
      <w:r>
        <w:rPr>
          <w:i/>
          <w:iCs/>
        </w:rPr>
        <w:t>FSSAI</w:t>
      </w:r>
      <w:r>
        <w:rPr/>
        <w:t xml:space="preserve">, </w:t>
      </w:r>
      <w:r>
        <w:rPr>
          <w:i/>
          <w:iCs/>
        </w:rPr>
        <w:t>fssai.gov.in</w:t>
      </w:r>
      <w:r>
        <w:rPr/>
        <w:t>. Available at: https://fssai.gov.in/cms/food-safety-and-standards-regulations.php (Accessed: 21 June 2026).</w:t>
      </w:r>
    </w:p>
    <w:p>
      <w:pPr>
        <w:pStyle w:val="Normal"/>
        <w:spacing w:before="0" w:after="240"/>
        <w:rPr/>
      </w:pPr>
      <w:r>
        <w:rPr/>
        <w:t xml:space="preserve">Gao, R. </w:t>
      </w:r>
      <w:r>
        <w:rPr>
          <w:i/>
          <w:iCs/>
        </w:rPr>
        <w:t>et al.</w:t>
      </w:r>
      <w:r>
        <w:rPr/>
        <w:t xml:space="preserve"> (2022) ‘Extending Uppsala Model with Springboard Perspective in Emerging Multinational’s Sequential Internationalisation—Evidence from a Construction Company’s Expansion in Africa’, </w:t>
      </w:r>
      <w:r>
        <w:rPr>
          <w:i/>
          <w:iCs/>
        </w:rPr>
        <w:t>Journal of Risk and Financial Management</w:t>
      </w:r>
      <w:r>
        <w:rPr/>
        <w:t>, 15(1), p. 16. Available at: https://doi.org/10.3390/jrfm15010016.</w:t>
      </w:r>
    </w:p>
    <w:p>
      <w:pPr>
        <w:pStyle w:val="Normal"/>
        <w:spacing w:before="0" w:after="240"/>
        <w:rPr/>
      </w:pPr>
      <w:r>
        <w:rPr/>
        <w:t xml:space="preserve">Gelski, J. (2022) </w:t>
      </w:r>
      <w:r>
        <w:rPr>
          <w:i/>
          <w:iCs/>
        </w:rPr>
        <w:t>Younger Consumers Become a Target for Pizza Hut | Food Business News</w:t>
      </w:r>
      <w:r>
        <w:rPr/>
        <w:t xml:space="preserve">, </w:t>
      </w:r>
      <w:r>
        <w:rPr>
          <w:i/>
          <w:iCs/>
        </w:rPr>
        <w:t>www.foodbusinessnews.net</w:t>
      </w:r>
      <w:r>
        <w:rPr/>
        <w:t>. Available at: https://www.foodbusinessnews.net/articles/22863-younger-consumers-become-a-target-for-pizza-hut (Accessed: 21 June 2026).</w:t>
      </w:r>
    </w:p>
    <w:p>
      <w:pPr>
        <w:pStyle w:val="Normal"/>
        <w:spacing w:before="0" w:after="240"/>
        <w:rPr/>
      </w:pPr>
      <w:r>
        <w:rPr/>
        <w:t xml:space="preserve">Ghosal, S. (2019) </w:t>
      </w:r>
      <w:r>
        <w:rPr>
          <w:i/>
          <w:iCs/>
        </w:rPr>
        <w:t>Restaurant India News: How McDonald’s Strengthened Food Safety Standards Across 50 Indian Cities</w:t>
      </w:r>
      <w:r>
        <w:rPr/>
        <w:t xml:space="preserve">, </w:t>
      </w:r>
      <w:r>
        <w:rPr>
          <w:i/>
          <w:iCs/>
        </w:rPr>
        <w:t>Restaurant India</w:t>
      </w:r>
      <w:r>
        <w:rPr/>
        <w:t>. Available at: https://www.restaurantindia.in/news/restaurant-india-news-how-mcdonald-s-strengthened-food-safety-standards-across-50-indian-cities.n16354 (Accessed: 23 June 2026).</w:t>
      </w:r>
    </w:p>
    <w:p>
      <w:pPr>
        <w:pStyle w:val="Normal"/>
        <w:spacing w:before="0" w:after="240"/>
        <w:rPr/>
      </w:pPr>
      <w:r>
        <w:rPr/>
        <w:t xml:space="preserve">Gibbs, G. (1988) </w:t>
      </w:r>
      <w:r>
        <w:rPr>
          <w:i/>
          <w:iCs/>
        </w:rPr>
        <w:t>Learning by doing: A guide to teaching and learning methods</w:t>
      </w:r>
      <w:r>
        <w:rPr/>
        <w:t>. Oxford Further Education Unit.</w:t>
      </w:r>
    </w:p>
    <w:p>
      <w:pPr>
        <w:pStyle w:val="Normal"/>
        <w:spacing w:before="0" w:after="240"/>
        <w:rPr/>
      </w:pPr>
      <w:r>
        <w:rPr/>
        <w:t xml:space="preserve">Glassdoor (2026) </w:t>
      </w:r>
      <w:r>
        <w:rPr>
          <w:i/>
          <w:iCs/>
        </w:rPr>
        <w:t>Pizza Hut Reviews</w:t>
      </w:r>
      <w:r>
        <w:rPr/>
        <w:t xml:space="preserve">, </w:t>
      </w:r>
      <w:r>
        <w:rPr>
          <w:i/>
          <w:iCs/>
        </w:rPr>
        <w:t>glassdoor.co.in</w:t>
      </w:r>
      <w:r>
        <w:rPr/>
        <w:t>. Glassdoor. Available at: https://www.glassdoor.co.in/Reviews/Pizza-Hut-India-Reviews-EI_IE10090.0,9_IL.10,15_IN115.htm (Accessed: 23 June 2026).</w:t>
      </w:r>
    </w:p>
    <w:p>
      <w:pPr>
        <w:pStyle w:val="Normal"/>
        <w:spacing w:before="0" w:after="240"/>
        <w:rPr/>
      </w:pPr>
      <w:r>
        <w:rPr/>
        <w:t xml:space="preserve">Global Economy (2024) </w:t>
      </w:r>
      <w:r>
        <w:rPr>
          <w:i/>
          <w:iCs/>
        </w:rPr>
        <w:t>USA Political stability - data, chart</w:t>
      </w:r>
      <w:r>
        <w:rPr/>
        <w:t>. Available at: https://www.theglobaleconomy.com/USA/wb_political_stability/ (Accessed: 20 June 2026).</w:t>
      </w:r>
    </w:p>
    <w:p>
      <w:pPr>
        <w:pStyle w:val="Normal"/>
        <w:spacing w:before="0" w:after="240"/>
        <w:rPr/>
      </w:pPr>
      <w:r>
        <w:rPr/>
        <w:t xml:space="preserve">Google Play (2021) </w:t>
      </w:r>
      <w:r>
        <w:rPr>
          <w:i/>
          <w:iCs/>
        </w:rPr>
        <w:t>Pizza Hut India - Delivery App</w:t>
      </w:r>
      <w:r>
        <w:rPr/>
        <w:t xml:space="preserve">, </w:t>
      </w:r>
      <w:r>
        <w:rPr>
          <w:i/>
          <w:iCs/>
        </w:rPr>
        <w:t>Google.com</w:t>
      </w:r>
      <w:r>
        <w:rPr/>
        <w:t>. Available at: https://play.google.com/store/apps/details?id=com.phdv.universal&amp;hl=en_IN (Accessed: 23 June 2026).</w:t>
      </w:r>
    </w:p>
    <w:p>
      <w:pPr>
        <w:pStyle w:val="Normal"/>
        <w:spacing w:before="0" w:after="240"/>
        <w:rPr/>
      </w:pPr>
      <w:r>
        <w:rPr/>
        <w:t xml:space="preserve">Government of India (2025) </w:t>
      </w:r>
      <w:r>
        <w:rPr>
          <w:i/>
          <w:iCs/>
        </w:rPr>
        <w:t>GOVERNMENT OF INDIA MINISTRY OF FOOD PROCESSING</w:t>
      </w:r>
      <w:r>
        <w:rPr/>
        <w:t>. Available at: https://sansad.in/getFile/loksabhaquestions/annex/1712/AU707.pdf?source=pqals (Accessed: 20 June 2026).</w:t>
      </w:r>
    </w:p>
    <w:p>
      <w:pPr>
        <w:pStyle w:val="Normal"/>
        <w:spacing w:before="0" w:after="240"/>
        <w:rPr/>
      </w:pPr>
      <w:r>
        <w:rPr/>
        <w:t xml:space="preserve">Hindustan Times (2015) </w:t>
      </w:r>
      <w:r>
        <w:rPr>
          <w:i/>
          <w:iCs/>
        </w:rPr>
        <w:t>Pizza Hut to pay Rs 30k for making vegetarians eat non-veg pizza | Hindustan Times</w:t>
      </w:r>
      <w:r>
        <w:rPr/>
        <w:t xml:space="preserve">, </w:t>
      </w:r>
      <w:r>
        <w:rPr>
          <w:i/>
          <w:iCs/>
        </w:rPr>
        <w:t>Hindustan Times</w:t>
      </w:r>
      <w:r>
        <w:rPr/>
        <w:t>. Available at: https://www.hindustantimes.com/chandigarh/pizza-hut-to-pay-rs-30k-for-making-vegetarians-eat-non-veg-pizza/story-myzxGBrbaHZbyNQG9IBpkJ.html (Accessed: 23 June 2026).</w:t>
      </w:r>
    </w:p>
    <w:p>
      <w:pPr>
        <w:pStyle w:val="Normal"/>
        <w:spacing w:before="0" w:after="240"/>
        <w:rPr/>
      </w:pPr>
      <w:r>
        <w:rPr/>
        <w:t xml:space="preserve">Hofstede Insights (2025) </w:t>
      </w:r>
      <w:r>
        <w:rPr>
          <w:i/>
          <w:iCs/>
        </w:rPr>
        <w:t>Country Comparison Tool</w:t>
      </w:r>
      <w:r>
        <w:rPr/>
        <w:t xml:space="preserve">, </w:t>
      </w:r>
      <w:r>
        <w:rPr>
          <w:i/>
          <w:iCs/>
        </w:rPr>
        <w:t>Theculturefactor.com</w:t>
      </w:r>
      <w:r>
        <w:rPr/>
        <w:t>. Available at: https://www.theculturefactor.com/country-comparison-tool?countries=india%2Cunited+states (Accessed: 20 June 2026).</w:t>
      </w:r>
    </w:p>
    <w:p>
      <w:pPr>
        <w:pStyle w:val="Normal"/>
        <w:spacing w:before="0" w:after="240"/>
        <w:rPr/>
      </w:pPr>
      <w:r>
        <w:rPr/>
        <w:t xml:space="preserve">Hut Life (2018) </w:t>
      </w:r>
      <w:r>
        <w:rPr>
          <w:i/>
          <w:iCs/>
        </w:rPr>
        <w:t>PIZZA HUT® U.S. TO ACQUIRE LEADING ONLINE ORDERING PROVIDER QUIKORDER</w:t>
      </w:r>
      <w:r>
        <w:rPr/>
        <w:t xml:space="preserve">, </w:t>
      </w:r>
      <w:r>
        <w:rPr>
          <w:i/>
          <w:iCs/>
        </w:rPr>
        <w:t>Hut Life – Pizza Hut Brand Blog</w:t>
      </w:r>
      <w:r>
        <w:rPr/>
        <w:t>. Available at: https://blog.pizzahut.com/pizza-hut-u-s-to-acquire-leading-online-ordering-provider-quikorder/ (Accessed: 22 June 2026).</w:t>
      </w:r>
    </w:p>
    <w:p>
      <w:pPr>
        <w:pStyle w:val="Normal"/>
        <w:spacing w:before="0" w:after="240"/>
        <w:rPr/>
      </w:pPr>
      <w:r>
        <w:rPr/>
        <w:t xml:space="preserve">Hut Life (2021) </w:t>
      </w:r>
      <w:r>
        <w:rPr>
          <w:i/>
          <w:iCs/>
        </w:rPr>
        <w:t>Hut Life – Official Pizza Hut Blog</w:t>
      </w:r>
      <w:r>
        <w:rPr/>
        <w:t xml:space="preserve">, </w:t>
      </w:r>
      <w:r>
        <w:rPr>
          <w:i/>
          <w:iCs/>
        </w:rPr>
        <w:t>Hut Life – Pizza Hut Brand Blog</w:t>
      </w:r>
      <w:r>
        <w:rPr/>
        <w:t>. Available at: https://blog.pizzahut.com/pizza-hut-serves-up-newstalgia-with-campaign-celebrating-all-that-fans-know-and-love-about-the-pizza-restaurant/ (Accessed: 22 June 2026).</w:t>
      </w:r>
    </w:p>
    <w:p>
      <w:pPr>
        <w:pStyle w:val="Normal"/>
        <w:spacing w:before="0" w:after="240"/>
        <w:rPr/>
      </w:pPr>
      <w:r>
        <w:rPr/>
        <w:t xml:space="preserve">India Today (2024) </w:t>
      </w:r>
      <w:r>
        <w:rPr>
          <w:i/>
          <w:iCs/>
        </w:rPr>
        <w:t>Top 5 Indian States With Highest Vegetarian Population</w:t>
      </w:r>
      <w:r>
        <w:rPr/>
        <w:t xml:space="preserve">, </w:t>
      </w:r>
      <w:r>
        <w:rPr>
          <w:i/>
          <w:iCs/>
        </w:rPr>
        <w:t>Indiatoday.in</w:t>
      </w:r>
      <w:r>
        <w:rPr/>
        <w:t>. India Today. Available at: https://www.indiatoday.in/visualstories/information/top-5-indian-states-with-highest-vegetarian-population-139829-30-05-2024 (Accessed: 21 June 2026).</w:t>
      </w:r>
    </w:p>
    <w:p>
      <w:pPr>
        <w:pStyle w:val="Normal"/>
        <w:spacing w:before="0" w:after="240"/>
        <w:rPr/>
      </w:pPr>
      <w:r>
        <w:rPr/>
        <w:t xml:space="preserve">Indian Retailer (2026) </w:t>
      </w:r>
      <w:r>
        <w:rPr>
          <w:i/>
          <w:iCs/>
        </w:rPr>
        <w:t>IndianRetailer.com</w:t>
      </w:r>
      <w:r>
        <w:rPr/>
        <w:t xml:space="preserve">, </w:t>
      </w:r>
      <w:r>
        <w:rPr>
          <w:i/>
          <w:iCs/>
        </w:rPr>
        <w:t>Indian Retailer</w:t>
      </w:r>
      <w:r>
        <w:rPr/>
        <w:t>. Available at: https://www.indianretailer.com/news/yum-brands-sells-pizza-hut-business-27-bn-deal (Accessed: 22 June 2026).</w:t>
      </w:r>
    </w:p>
    <w:p>
      <w:pPr>
        <w:pStyle w:val="Normal"/>
        <w:spacing w:before="0" w:after="240"/>
        <w:rPr/>
      </w:pPr>
      <w:r>
        <w:rPr/>
        <w:t xml:space="preserve">Instagram (2026) </w:t>
      </w:r>
      <w:r>
        <w:rPr>
          <w:i/>
          <w:iCs/>
        </w:rPr>
        <w:t>Restaurant India on Instagram</w:t>
      </w:r>
      <w:r>
        <w:rPr/>
        <w:t xml:space="preserve">, </w:t>
      </w:r>
      <w:r>
        <w:rPr>
          <w:i/>
          <w:iCs/>
        </w:rPr>
        <w:t>Instagram</w:t>
      </w:r>
      <w:r>
        <w:rPr/>
        <w:t>. Available at: https://www.instagram.com/p/DZpc_pflqf8/ (Accessed: 21 June 2026).</w:t>
      </w:r>
    </w:p>
    <w:p>
      <w:pPr>
        <w:pStyle w:val="Normal"/>
        <w:spacing w:before="0" w:after="240"/>
        <w:rPr/>
      </w:pPr>
      <w:r>
        <w:rPr/>
        <w:t xml:space="preserve">Jain, S. (2023) </w:t>
      </w:r>
      <w:r>
        <w:rPr>
          <w:i/>
          <w:iCs/>
        </w:rPr>
        <w:t>Case Study | Domino’s Pizza App Redesign - Shaambhavi Jain - Medium</w:t>
      </w:r>
      <w:r>
        <w:rPr/>
        <w:t xml:space="preserve">, </w:t>
      </w:r>
      <w:r>
        <w:rPr>
          <w:i/>
          <w:iCs/>
        </w:rPr>
        <w:t>Medium</w:t>
      </w:r>
      <w:r>
        <w:rPr/>
        <w:t>. Medium. Available at: https://medium.com/@jainshaambhavi/case-study-dominos-pizza-app-redesign-d5d7b840d48f (Accessed: 23 June 2026).</w:t>
      </w:r>
    </w:p>
    <w:p>
      <w:pPr>
        <w:pStyle w:val="Normal"/>
        <w:spacing w:before="0" w:after="240"/>
        <w:rPr/>
      </w:pPr>
      <w:r>
        <w:rPr/>
        <w:t xml:space="preserve">Komisarof, A. and Akaliyski, P. (2025) ‘New developments in Hofstede’s Individualism-Collectivism: A guide for scholars, educators, trainers, and other practitioners’, </w:t>
      </w:r>
      <w:r>
        <w:rPr>
          <w:i/>
          <w:iCs/>
        </w:rPr>
        <w:t>International Journal of Intercultural Relations</w:t>
      </w:r>
      <w:r>
        <w:rPr/>
        <w:t>, 107, p. 102200. Available at: https://doi.org/10.1016/j.ijintrel.2025.102200.</w:t>
      </w:r>
    </w:p>
    <w:p>
      <w:pPr>
        <w:pStyle w:val="Normal"/>
        <w:spacing w:before="0" w:after="240"/>
        <w:rPr/>
      </w:pPr>
      <w:r>
        <w:rPr/>
        <w:t xml:space="preserve">Kundu, A. (2025) </w:t>
      </w:r>
      <w:r>
        <w:rPr>
          <w:i/>
          <w:iCs/>
        </w:rPr>
        <w:t>Trends and Processes of Urbanisation in India</w:t>
      </w:r>
      <w:r>
        <w:rPr/>
        <w:t>. Available at: https://www.iied.org/sites/default/files/pdfs/migrate/G02541.pdf (Accessed: 20 June 2026).</w:t>
      </w:r>
    </w:p>
    <w:p>
      <w:pPr>
        <w:pStyle w:val="Normal"/>
        <w:spacing w:before="0" w:after="240"/>
        <w:rPr/>
      </w:pPr>
      <w:r>
        <w:rPr/>
        <w:t xml:space="preserve">Li, S., Noordin, N. and Yang, T. (2026) ‘Critical Thinking as a Bridge Between Reading, Reflection, and Academic Writing: A Mixed-Methods Study of International Doctoral Candidates’, </w:t>
      </w:r>
      <w:r>
        <w:rPr>
          <w:i/>
          <w:iCs/>
        </w:rPr>
        <w:t>Sage Open</w:t>
      </w:r>
      <w:r>
        <w:rPr/>
        <w:t>, 16(1). Available at: https://doi.org/10.1177/21582440261415778.</w:t>
      </w:r>
    </w:p>
    <w:p>
      <w:pPr>
        <w:pStyle w:val="Normal"/>
        <w:spacing w:before="0" w:after="240"/>
        <w:rPr/>
      </w:pPr>
      <w:r>
        <w:rPr/>
        <w:t xml:space="preserve">Li, X. (2022) ‘The discursive construction of corporate identity in the corporate social responsibility reports: A case study of Starbucks’, </w:t>
      </w:r>
      <w:r>
        <w:rPr>
          <w:i/>
          <w:iCs/>
        </w:rPr>
        <w:t>Frontiers in Psychology</w:t>
      </w:r>
      <w:r>
        <w:rPr/>
        <w:t>, 13(1). Available at: https://doi.org/10.3389/fpsyg.2022.940541.</w:t>
      </w:r>
    </w:p>
    <w:p>
      <w:pPr>
        <w:pStyle w:val="Normal"/>
        <w:spacing w:before="0" w:after="240"/>
        <w:rPr/>
      </w:pPr>
      <w:r>
        <w:rPr/>
        <w:t xml:space="preserve">Liu, P. and Natalia, K. (2021) ‘The Role of Marketing Strategy in Entering the International Market’, </w:t>
      </w:r>
      <w:r>
        <w:rPr>
          <w:i/>
          <w:iCs/>
        </w:rPr>
        <w:t>2021 5th International Conference on E-Business and Internet</w:t>
      </w:r>
      <w:r>
        <w:rPr/>
        <w:t xml:space="preserve"> [Preprint]. Available at: https://doi.org/10.1145/3497701.3497706.</w:t>
      </w:r>
    </w:p>
    <w:p>
      <w:pPr>
        <w:pStyle w:val="Normal"/>
        <w:spacing w:before="0" w:after="240"/>
        <w:rPr/>
      </w:pPr>
      <w:r>
        <w:rPr/>
        <w:t xml:space="preserve">Mathews, B. and Mattox, K. (2026) </w:t>
      </w:r>
      <w:r>
        <w:rPr>
          <w:i/>
          <w:iCs/>
        </w:rPr>
        <w:t>What US consumers want from restaurants in 2026</w:t>
      </w:r>
      <w:r>
        <w:rPr/>
        <w:t xml:space="preserve">, </w:t>
      </w:r>
      <w:r>
        <w:rPr>
          <w:i/>
          <w:iCs/>
        </w:rPr>
        <w:t>McKinsey &amp; Company</w:t>
      </w:r>
      <w:r>
        <w:rPr/>
        <w:t>. Available at: https://www.mckinsey.com/industries/retail/our-insights/what-us-consumers-want-from-restaurants-in-2026 (Accessed: 21 June 2026).</w:t>
      </w:r>
    </w:p>
    <w:p>
      <w:pPr>
        <w:pStyle w:val="Normal"/>
        <w:spacing w:before="0" w:after="240"/>
        <w:rPr/>
      </w:pPr>
      <w:r>
        <w:rPr/>
        <w:t xml:space="preserve">NDTV (2026) </w:t>
      </w:r>
      <w:r>
        <w:rPr>
          <w:i/>
          <w:iCs/>
        </w:rPr>
        <w:t>India’s Internet User Base Crosses 950 Million In 2025: Report</w:t>
      </w:r>
      <w:r>
        <w:rPr/>
        <w:t xml:space="preserve">, </w:t>
      </w:r>
      <w:r>
        <w:rPr>
          <w:i/>
          <w:iCs/>
        </w:rPr>
        <w:t>www.ndtv.com</w:t>
      </w:r>
      <w:r>
        <w:rPr/>
        <w:t>. NDTV. Available at: https://www.ndtv.com/india-news/indias-internet-user-base-crosses-950-million-in-2025-report-10906612 (Accessed: 22 June 2026).</w:t>
      </w:r>
    </w:p>
    <w:p>
      <w:pPr>
        <w:pStyle w:val="Normal"/>
        <w:spacing w:before="0" w:after="240"/>
        <w:rPr/>
      </w:pPr>
      <w:r>
        <w:rPr/>
        <w:t xml:space="preserve">Newbery, R. </w:t>
      </w:r>
      <w:r>
        <w:rPr>
          <w:i/>
          <w:iCs/>
        </w:rPr>
        <w:t>et al.</w:t>
      </w:r>
      <w:r>
        <w:rPr/>
        <w:t xml:space="preserve"> (2024) ‘Reconceptualizing Franchisee Performance: A Configurational Approach in a Base‐of‐the‐Pyramid Context’, </w:t>
      </w:r>
      <w:r>
        <w:rPr>
          <w:i/>
          <w:iCs/>
        </w:rPr>
        <w:t>British Journal of Management</w:t>
      </w:r>
      <w:r>
        <w:rPr/>
        <w:t xml:space="preserve"> [Preprint]. Available at: https://doi.org/10.1111/1467-8551.12826.</w:t>
      </w:r>
    </w:p>
    <w:p>
      <w:pPr>
        <w:pStyle w:val="Normal"/>
        <w:spacing w:before="0" w:after="240"/>
        <w:rPr/>
      </w:pPr>
      <w:r>
        <w:rPr/>
        <w:t xml:space="preserve">Nøklebye, E. </w:t>
      </w:r>
      <w:r>
        <w:rPr>
          <w:i/>
          <w:iCs/>
        </w:rPr>
        <w:t>et al.</w:t>
      </w:r>
      <w:r>
        <w:rPr/>
        <w:t xml:space="preserve"> (2023) ‘Plastic bans in India – Addressing the socio-economic and environmental complexities’, </w:t>
      </w:r>
      <w:r>
        <w:rPr>
          <w:i/>
          <w:iCs/>
        </w:rPr>
        <w:t>Environmental Science &amp; Policy</w:t>
      </w:r>
      <w:r>
        <w:rPr/>
        <w:t>, 139, pp. 219–227. Available at: https://doi.org/10.1016/j.envsci.2022.11.005.</w:t>
      </w:r>
    </w:p>
    <w:p>
      <w:pPr>
        <w:pStyle w:val="Normal"/>
        <w:spacing w:before="0" w:after="240"/>
        <w:rPr/>
      </w:pPr>
      <w:r>
        <w:rPr/>
        <w:t xml:space="preserve">Nordigården, D. </w:t>
      </w:r>
      <w:r>
        <w:rPr>
          <w:i/>
          <w:iCs/>
        </w:rPr>
        <w:t>et al.</w:t>
      </w:r>
      <w:r>
        <w:rPr/>
        <w:t xml:space="preserve"> (2025) </w:t>
      </w:r>
      <w:r>
        <w:rPr>
          <w:i/>
          <w:iCs/>
        </w:rPr>
        <w:t>Do US consumers care about sustainable packaging in 2025?</w:t>
      </w:r>
      <w:r>
        <w:rPr/>
        <w:t xml:space="preserve">, </w:t>
      </w:r>
      <w:r>
        <w:rPr>
          <w:i/>
          <w:iCs/>
        </w:rPr>
        <w:t>McKinsey &amp; Company</w:t>
      </w:r>
      <w:r>
        <w:rPr/>
        <w:t>. Available at: https://www.mckinsey.com/industries/packaging-and-paper/our-insights/do-us-consumers-care-about-sustainable-packaging-in-2025 (Accessed: 21 June 2026).</w:t>
      </w:r>
    </w:p>
    <w:p>
      <w:pPr>
        <w:pStyle w:val="Normal"/>
        <w:spacing w:before="0" w:after="240"/>
        <w:rPr/>
      </w:pPr>
      <w:r>
        <w:rPr/>
        <w:t xml:space="preserve">Nusra (2020) </w:t>
      </w:r>
      <w:r>
        <w:rPr>
          <w:i/>
          <w:iCs/>
        </w:rPr>
        <w:t>How Pizza Hut has achieved 60% growth with delivery, takeaway</w:t>
      </w:r>
      <w:r>
        <w:rPr/>
        <w:t xml:space="preserve">, </w:t>
      </w:r>
      <w:r>
        <w:rPr>
          <w:i/>
          <w:iCs/>
        </w:rPr>
        <w:t>Restaurant India</w:t>
      </w:r>
      <w:r>
        <w:rPr/>
        <w:t>. Available at: https://www.restaurantindia.in/article/how-pizza-hut-has-achieved-60-growth-with-delivery-takeaway.13755 (Accessed: 23 June 2026).</w:t>
      </w:r>
    </w:p>
    <w:p>
      <w:pPr>
        <w:pStyle w:val="Normal"/>
        <w:spacing w:before="0" w:after="240"/>
        <w:rPr/>
      </w:pPr>
      <w:r>
        <w:rPr/>
        <w:t xml:space="preserve">Nusra (2023) </w:t>
      </w:r>
      <w:r>
        <w:rPr>
          <w:i/>
          <w:iCs/>
        </w:rPr>
        <w:t>Pizza Hut Opens its most Sustainable Store in India at Mahim</w:t>
      </w:r>
      <w:r>
        <w:rPr/>
        <w:t xml:space="preserve">, </w:t>
      </w:r>
      <w:r>
        <w:rPr>
          <w:i/>
          <w:iCs/>
        </w:rPr>
        <w:t>Restaurant India</w:t>
      </w:r>
      <w:r>
        <w:rPr/>
        <w:t>. Available at: https://www.restaurantindia.in/news/pizza-hut-opens-its-most-sustainable-store-in-india-at-mahim.n21345 (Accessed: 23 June 2026).</w:t>
      </w:r>
    </w:p>
    <w:p>
      <w:pPr>
        <w:pStyle w:val="Normal"/>
        <w:spacing w:before="0" w:after="240"/>
        <w:rPr/>
      </w:pPr>
      <w:r>
        <w:rPr/>
        <w:t>Penumatsa, P., Tirumalasetty, S. and Vikas, T. (2023) ‘An Empirical Study to Assess the Perception of Indian Consumers with Respect to Local Brands’, 8, p. 431. Available at: https://www.ijrti.org/papers/IJRTI2309058.pdf.</w:t>
      </w:r>
    </w:p>
    <w:p>
      <w:pPr>
        <w:pStyle w:val="Normal"/>
        <w:spacing w:before="0" w:after="240"/>
        <w:rPr/>
      </w:pPr>
      <w:r>
        <w:rPr/>
        <w:t xml:space="preserve">PIB (2025) </w:t>
      </w:r>
      <w:r>
        <w:rPr>
          <w:i/>
          <w:iCs/>
        </w:rPr>
        <w:t>Initiatives under ‘Make in India’ and ‘Startup’Programmes;</w:t>
      </w:r>
      <w:r>
        <w:rPr/>
        <w:t xml:space="preserve">, </w:t>
      </w:r>
      <w:r>
        <w:rPr>
          <w:i/>
          <w:iCs/>
        </w:rPr>
        <w:t>Pib.gov.in</w:t>
      </w:r>
      <w:r>
        <w:rPr/>
        <w:t>. Available at: https://www.pib.gov.in/Pressreleaseshare.aspx?PRID=1738170®=48&amp;lang=2 (Accessed: 20 June 2026).</w:t>
      </w:r>
    </w:p>
    <w:p>
      <w:pPr>
        <w:pStyle w:val="Normal"/>
        <w:spacing w:before="0" w:after="240"/>
        <w:rPr/>
      </w:pPr>
      <w:r>
        <w:rPr/>
        <w:t xml:space="preserve">PIB (2026) </w:t>
      </w:r>
      <w:r>
        <w:rPr>
          <w:i/>
          <w:iCs/>
        </w:rPr>
        <w:t>INDIA’S GDP GROWTH FOR FY26 IS ESTIMATED AT 7.4 PER CENT DRIVEN BY THE DOUBLE ENGINE OF CONSUMPTION AND INVESTMENT</w:t>
      </w:r>
      <w:r>
        <w:rPr/>
        <w:t xml:space="preserve">, </w:t>
      </w:r>
      <w:r>
        <w:rPr>
          <w:i/>
          <w:iCs/>
        </w:rPr>
        <w:t>Pib.gov.in</w:t>
      </w:r>
      <w:r>
        <w:rPr/>
        <w:t>. Available at: https://www.pib.gov.in/PressReleasePage.aspx?PRID=2219912®=3&amp;lang=2 (Accessed: 20 June 2026).</w:t>
      </w:r>
    </w:p>
    <w:p>
      <w:pPr>
        <w:pStyle w:val="Normal"/>
        <w:spacing w:before="0" w:after="240"/>
        <w:rPr/>
      </w:pPr>
      <w:r>
        <w:rPr/>
        <w:t xml:space="preserve">Pizza Hut (2015) </w:t>
      </w:r>
      <w:r>
        <w:rPr>
          <w:i/>
          <w:iCs/>
        </w:rPr>
        <w:t>#TBT: The Story of Pizza Hut’s Red Roof</w:t>
      </w:r>
      <w:r>
        <w:rPr/>
        <w:t xml:space="preserve">, </w:t>
      </w:r>
      <w:r>
        <w:rPr>
          <w:i/>
          <w:iCs/>
        </w:rPr>
        <w:t>Hut Life – Pizza Hut Brand Blog</w:t>
      </w:r>
      <w:r>
        <w:rPr/>
        <w:t>. Available at: https://blog.pizzahut.com/tbt-the-story-of-pizza-huts-red-roof/ (Accessed: 23 June 2026).</w:t>
      </w:r>
    </w:p>
    <w:p>
      <w:pPr>
        <w:pStyle w:val="Normal"/>
        <w:spacing w:before="0" w:after="240"/>
        <w:rPr/>
      </w:pPr>
      <w:r>
        <w:rPr/>
        <w:t xml:space="preserve">Pizza Hut (2023) </w:t>
      </w:r>
      <w:r>
        <w:rPr>
          <w:i/>
          <w:iCs/>
        </w:rPr>
        <w:t>Who We Are - jobs.pizzahut.com</w:t>
      </w:r>
      <w:r>
        <w:rPr/>
        <w:t xml:space="preserve">, </w:t>
      </w:r>
      <w:r>
        <w:rPr>
          <w:i/>
          <w:iCs/>
        </w:rPr>
        <w:t>jobs.pizzahut.com -</w:t>
      </w:r>
      <w:r>
        <w:rPr/>
        <w:t>. Available at: https://jobs.pizzahut.com/whoweare/ (Accessed: 22 June 2026).</w:t>
      </w:r>
    </w:p>
    <w:p>
      <w:pPr>
        <w:pStyle w:val="Normal"/>
        <w:spacing w:before="0" w:after="240"/>
        <w:rPr/>
      </w:pPr>
      <w:r>
        <w:rPr/>
        <w:t xml:space="preserve">Pizza Hut (2025) </w:t>
      </w:r>
      <w:r>
        <w:rPr>
          <w:i/>
          <w:iCs/>
        </w:rPr>
        <w:t>Hut Life – Official Pizza Hut Blog</w:t>
      </w:r>
      <w:r>
        <w:rPr/>
        <w:t xml:space="preserve">, </w:t>
      </w:r>
      <w:r>
        <w:rPr>
          <w:i/>
          <w:iCs/>
        </w:rPr>
        <w:t>Hut Life – Pizza Hut Brand Blog</w:t>
      </w:r>
      <w:r>
        <w:rPr/>
        <w:t>. Available at: https://blog.pizzahut.com/our-story/ (Accessed: 20 June 2026).</w:t>
      </w:r>
    </w:p>
    <w:p>
      <w:pPr>
        <w:pStyle w:val="Normal"/>
        <w:spacing w:before="0" w:after="240"/>
        <w:rPr/>
      </w:pPr>
      <w:r>
        <w:rPr/>
        <w:t xml:space="preserve">Pizza Hut (2026a) </w:t>
      </w:r>
      <w:r>
        <w:rPr>
          <w:i/>
          <w:iCs/>
        </w:rPr>
        <w:t>Pizza Hut</w:t>
      </w:r>
      <w:r>
        <w:rPr/>
        <w:t xml:space="preserve">, </w:t>
      </w:r>
      <w:r>
        <w:rPr>
          <w:i/>
          <w:iCs/>
        </w:rPr>
        <w:t>www.pizzahut.co.in</w:t>
      </w:r>
      <w:r>
        <w:rPr/>
        <w:t>. Available at: https://www.pizzahut.co.in/ (Accessed: 22 June 2026).</w:t>
      </w:r>
    </w:p>
    <w:p>
      <w:pPr>
        <w:pStyle w:val="Normal"/>
        <w:spacing w:before="0" w:after="240"/>
        <w:rPr/>
      </w:pPr>
      <w:r>
        <w:rPr/>
        <w:t xml:space="preserve">Pizza Hut (2026b) </w:t>
      </w:r>
      <w:r>
        <w:rPr>
          <w:i/>
          <w:iCs/>
        </w:rPr>
        <w:t>USA: Pizza Hut</w:t>
      </w:r>
      <w:r>
        <w:rPr/>
        <w:t xml:space="preserve">, </w:t>
      </w:r>
      <w:r>
        <w:rPr>
          <w:i/>
          <w:iCs/>
        </w:rPr>
        <w:t>Pizza Hut Menu &amp; Prices</w:t>
      </w:r>
      <w:r>
        <w:rPr/>
        <w:t>. Available at: https://www.pizzahutsmenu.com/ (Accessed: 22 June 2026).</w:t>
      </w:r>
    </w:p>
    <w:p>
      <w:pPr>
        <w:pStyle w:val="Normal"/>
        <w:spacing w:before="0" w:after="240"/>
        <w:rPr/>
      </w:pPr>
      <w:r>
        <w:rPr/>
        <w:t xml:space="preserve">Pizza Hut India (2026a) </w:t>
      </w:r>
      <w:r>
        <w:rPr>
          <w:i/>
          <w:iCs/>
        </w:rPr>
        <w:t>Order Pizza for Delivery from Pizza Hut India</w:t>
      </w:r>
      <w:r>
        <w:rPr/>
        <w:t xml:space="preserve">, </w:t>
      </w:r>
      <w:r>
        <w:rPr>
          <w:i/>
          <w:iCs/>
        </w:rPr>
        <w:t>www.pizzahut.co.in</w:t>
      </w:r>
      <w:r>
        <w:rPr/>
        <w:t>. Available at: https://www.pizzahut.co.in/aboutus (Accessed: 20 June 2026).</w:t>
      </w:r>
    </w:p>
    <w:p>
      <w:pPr>
        <w:pStyle w:val="Normal"/>
        <w:spacing w:before="0" w:after="240"/>
        <w:rPr/>
      </w:pPr>
      <w:r>
        <w:rPr/>
        <w:t xml:space="preserve">Pizza Hut India (2026b) </w:t>
      </w:r>
      <w:r>
        <w:rPr>
          <w:i/>
          <w:iCs/>
        </w:rPr>
        <w:t>Order Pizza for Delivery from Pizza Hut India | Pizza Hut IN</w:t>
      </w:r>
      <w:r>
        <w:rPr/>
        <w:t xml:space="preserve">, </w:t>
      </w:r>
      <w:r>
        <w:rPr>
          <w:i/>
          <w:iCs/>
        </w:rPr>
        <w:t>www.pizzahut.co.in</w:t>
      </w:r>
      <w:r>
        <w:rPr/>
        <w:t>. Available at: https://www.pizzahut.co.in/menu/pizzas (Accessed: 22 June 2026).</w:t>
      </w:r>
    </w:p>
    <w:p>
      <w:pPr>
        <w:pStyle w:val="Normal"/>
        <w:spacing w:before="0" w:after="240"/>
        <w:rPr/>
      </w:pPr>
      <w:r>
        <w:rPr/>
        <w:t xml:space="preserve">Pizza Hut USA (2026) </w:t>
      </w:r>
      <w:r>
        <w:rPr>
          <w:i/>
          <w:iCs/>
        </w:rPr>
        <w:t>Drive Thru Near Me - The Hut Lane</w:t>
      </w:r>
      <w:r>
        <w:rPr>
          <w:i/>
          <w:iCs/>
          <w:vertAlign w:val="superscript"/>
        </w:rPr>
        <w:t>TM</w:t>
      </w:r>
      <w:r>
        <w:rPr>
          <w:i/>
          <w:iCs/>
        </w:rPr>
        <w:t xml:space="preserve"> | Pizza Hut</w:t>
      </w:r>
      <w:r>
        <w:rPr/>
        <w:t xml:space="preserve">, </w:t>
      </w:r>
      <w:r>
        <w:rPr>
          <w:i/>
          <w:iCs/>
        </w:rPr>
        <w:t>Pizzahut.com</w:t>
      </w:r>
      <w:r>
        <w:rPr/>
        <w:t>. Available at: https://www.pizzahut.com/c/content/drive-thru-near-me (Accessed: 20 June 2026).</w:t>
      </w:r>
    </w:p>
    <w:p>
      <w:pPr>
        <w:pStyle w:val="Normal"/>
        <w:spacing w:before="0" w:after="240"/>
        <w:rPr/>
      </w:pPr>
      <w:r>
        <w:rPr/>
        <w:t xml:space="preserve">PR Newswire (2015) </w:t>
      </w:r>
      <w:r>
        <w:rPr>
          <w:i/>
          <w:iCs/>
        </w:rPr>
        <w:t>Pizza Hut Introduces ‘Life Unboxed EDU’ Program To Provide Continuing Education Opportunities To Employees And Their Families</w:t>
      </w:r>
      <w:r>
        <w:rPr/>
        <w:t xml:space="preserve">, </w:t>
      </w:r>
      <w:r>
        <w:rPr>
          <w:i/>
          <w:iCs/>
        </w:rPr>
        <w:t>Prnewswire.com</w:t>
      </w:r>
      <w:r>
        <w:rPr/>
        <w:t>. Cision PR Newswire. Available at: https://www.prnewswire.com/news-releases/pizza-hut-introduces-life-unboxed-edu-program-to-provide-continuing-education-opportunities-to-employees-and-their-families-300193277.html (Accessed: 22 June 2026).</w:t>
      </w:r>
    </w:p>
    <w:p>
      <w:pPr>
        <w:pStyle w:val="Normal"/>
        <w:spacing w:before="0" w:after="240"/>
        <w:rPr/>
      </w:pPr>
      <w:r>
        <w:rPr/>
        <w:t xml:space="preserve">PTI (2017) </w:t>
      </w:r>
      <w:r>
        <w:rPr>
          <w:i/>
          <w:iCs/>
        </w:rPr>
        <w:t>Pizza Hut aims to double outlets in India by 2022</w:t>
      </w:r>
      <w:r>
        <w:rPr/>
        <w:t xml:space="preserve">, </w:t>
      </w:r>
      <w:r>
        <w:rPr>
          <w:i/>
          <w:iCs/>
        </w:rPr>
        <w:t>ETBrandEquity.com</w:t>
      </w:r>
      <w:r>
        <w:rPr/>
        <w:t>. PTI. Available at: https://brandequity.economictimes.indiatimes.com/news/business-of-brands/pizza-hut-aims-to-double-outlets-in-india-by-2022/56987023 (Accessed: 23 June 2026).</w:t>
      </w:r>
    </w:p>
    <w:p>
      <w:pPr>
        <w:pStyle w:val="Normal"/>
        <w:spacing w:before="0" w:after="240"/>
        <w:rPr/>
      </w:pPr>
      <w:r>
        <w:rPr/>
        <w:t xml:space="preserve">Restaurant India (2026) </w:t>
      </w:r>
      <w:r>
        <w:rPr>
          <w:i/>
          <w:iCs/>
        </w:rPr>
        <w:t>RestaurantIndia</w:t>
      </w:r>
      <w:r>
        <w:rPr/>
        <w:t xml:space="preserve">, </w:t>
      </w:r>
      <w:r>
        <w:rPr>
          <w:i/>
          <w:iCs/>
        </w:rPr>
        <w:t>Restaurant India</w:t>
      </w:r>
      <w:r>
        <w:rPr/>
        <w:t>. Available at: https://www.restaurantindia.in/article/have-you-ever-wondered-a-degree-in-pizza-studies-join-pizza-hut-s-new-initiative.6578 (Accessed: 22 June 2026).</w:t>
      </w:r>
    </w:p>
    <w:p>
      <w:pPr>
        <w:pStyle w:val="Normal"/>
        <w:spacing w:before="0" w:after="240"/>
        <w:rPr/>
      </w:pPr>
      <w:r>
        <w:rPr/>
        <w:t xml:space="preserve">Salecha, K. (2026) ‘Pizza Hut India operator Devyani posts wider loss, names new CEO’, </w:t>
      </w:r>
      <w:r>
        <w:rPr>
          <w:i/>
          <w:iCs/>
        </w:rPr>
        <w:t>Reuters</w:t>
      </w:r>
      <w:r>
        <w:rPr/>
        <w:t>. Available at: https://www.reuters.com/world/india/kfc-india-operator-elevates-cfo-manish-dawar-ceo-2026-02-04/ (Accessed: 23 June 2026).</w:t>
      </w:r>
    </w:p>
    <w:p>
      <w:pPr>
        <w:pStyle w:val="Normal"/>
        <w:spacing w:before="0" w:after="240"/>
        <w:rPr/>
      </w:pPr>
      <w:r>
        <w:rPr/>
        <w:t xml:space="preserve">Schweizer, R. and Vahlne, J.-E. (2021) ‘Non-linear internationalization and the Uppsala model – On the importance of individuals’, </w:t>
      </w:r>
      <w:r>
        <w:rPr>
          <w:i/>
          <w:iCs/>
        </w:rPr>
        <w:t>Journal of Business Research</w:t>
      </w:r>
      <w:r>
        <w:rPr/>
        <w:t>, 140(1), pp. 583–592. Available at: https://doi.org/10.1016/j.jbusres.2021.11.025.</w:t>
      </w:r>
    </w:p>
    <w:p>
      <w:pPr>
        <w:pStyle w:val="Normal"/>
        <w:spacing w:before="0" w:after="240"/>
        <w:rPr/>
      </w:pPr>
      <w:r>
        <w:rPr/>
        <w:t xml:space="preserve">Seymour, A. (2019) </w:t>
      </w:r>
      <w:r>
        <w:rPr>
          <w:i/>
          <w:iCs/>
        </w:rPr>
        <w:t>Pizza Hut USA deploys cloud technology to improve customer experience</w:t>
      </w:r>
      <w:r>
        <w:rPr/>
        <w:t xml:space="preserve">, </w:t>
      </w:r>
      <w:r>
        <w:rPr>
          <w:i/>
          <w:iCs/>
        </w:rPr>
        <w:t>Catering Insight USA</w:t>
      </w:r>
      <w:r>
        <w:rPr/>
        <w:t>. Available at: https://usa.cateringinsight.com/pizza-hut-usa-deploys-cloud-technology-to-improve-customer-experience/ (Accessed: 22 June 2026).</w:t>
      </w:r>
    </w:p>
    <w:p>
      <w:pPr>
        <w:pStyle w:val="Normal"/>
        <w:spacing w:before="0" w:after="240"/>
        <w:rPr/>
      </w:pPr>
      <w:r>
        <w:rPr/>
        <w:t xml:space="preserve">Sharma, A. (2024) </w:t>
      </w:r>
      <w:r>
        <w:rPr>
          <w:i/>
          <w:iCs/>
        </w:rPr>
        <w:t>Pizza Hut targeting young demographic in India; focus on value offerings - ET Retail</w:t>
      </w:r>
      <w:r>
        <w:rPr/>
        <w:t xml:space="preserve">, </w:t>
      </w:r>
      <w:r>
        <w:rPr>
          <w:i/>
          <w:iCs/>
        </w:rPr>
        <w:t>ETRetail.com</w:t>
      </w:r>
      <w:r>
        <w:rPr/>
        <w:t>. Available at: https://retail.economictimes.indiatimes.com/news/food-entertainment/food-services/pizza-hut-targeting-young-demographic-in-india-focus-on-value-offerings/108588914 (Accessed: 22 June 2026).</w:t>
      </w:r>
    </w:p>
    <w:p>
      <w:pPr>
        <w:pStyle w:val="Normal"/>
        <w:spacing w:before="0" w:after="240"/>
        <w:rPr/>
      </w:pPr>
      <w:r>
        <w:rPr/>
        <w:t xml:space="preserve">Statista (2026) </w:t>
      </w:r>
      <w:r>
        <w:rPr>
          <w:i/>
          <w:iCs/>
        </w:rPr>
        <w:t>U.S.: internet users 2020-2029| Statista</w:t>
      </w:r>
      <w:r>
        <w:rPr/>
        <w:t xml:space="preserve">, </w:t>
      </w:r>
      <w:r>
        <w:rPr>
          <w:i/>
          <w:iCs/>
        </w:rPr>
        <w:t>Statista</w:t>
      </w:r>
      <w:r>
        <w:rPr/>
        <w:t>. Available at: https://www.statista.com/statistics/325645/usa-number-of-internet-users/?srsltid=AfmBOor9lO50pfn1oqB2OMIjGmT9ZQ6ZWjs5r3Jmo0c4qpQMnBu6XaHb (Accessed: 23 June 2026).</w:t>
      </w:r>
    </w:p>
    <w:p>
      <w:pPr>
        <w:pStyle w:val="Normal"/>
        <w:spacing w:before="0" w:after="240"/>
        <w:rPr/>
      </w:pPr>
      <w:r>
        <w:rPr/>
        <w:t xml:space="preserve">The Barbecue Lab (2022) </w:t>
      </w:r>
      <w:r>
        <w:rPr>
          <w:i/>
          <w:iCs/>
        </w:rPr>
        <w:t>Fast Food Statistics</w:t>
      </w:r>
      <w:r>
        <w:rPr/>
        <w:t xml:space="preserve">, </w:t>
      </w:r>
      <w:r>
        <w:rPr>
          <w:i/>
          <w:iCs/>
        </w:rPr>
        <w:t>The Barbecue Lab</w:t>
      </w:r>
      <w:r>
        <w:rPr/>
        <w:t>. The Barbecue Lab. Available at: https://thebarbecuelab.com/fast-food/ (Accessed: 20 June 2026).</w:t>
      </w:r>
    </w:p>
    <w:p>
      <w:pPr>
        <w:pStyle w:val="Normal"/>
        <w:spacing w:before="0" w:after="240"/>
        <w:rPr/>
      </w:pPr>
      <w:r>
        <w:rPr/>
        <w:t xml:space="preserve">Tsai, B. (2025) </w:t>
      </w:r>
      <w:r>
        <w:rPr>
          <w:i/>
          <w:iCs/>
        </w:rPr>
        <w:t>How Much Fast Food Do We Eat in America? | Blogs | CDC</w:t>
      </w:r>
      <w:r>
        <w:rPr/>
        <w:t xml:space="preserve">, </w:t>
      </w:r>
      <w:r>
        <w:rPr>
          <w:i/>
          <w:iCs/>
        </w:rPr>
        <w:t>Cdc.gov</w:t>
      </w:r>
      <w:r>
        <w:rPr/>
        <w:t>. Available at: https://blogs.cdc.gov/nchs/2025/06/26/7784/ (Accessed: 22 June 2026).</w:t>
      </w:r>
    </w:p>
    <w:p>
      <w:pPr>
        <w:pStyle w:val="Normal"/>
        <w:spacing w:before="0" w:after="240"/>
        <w:rPr/>
      </w:pPr>
      <w:r>
        <w:rPr/>
        <w:t xml:space="preserve">Venkatesan, N. (2024) </w:t>
      </w:r>
      <w:r>
        <w:rPr>
          <w:i/>
          <w:iCs/>
        </w:rPr>
        <w:t>Food quality top of the mind for urban Indians while ordering from fast-food chains: Survey</w:t>
      </w:r>
      <w:r>
        <w:rPr/>
        <w:t xml:space="preserve">, </w:t>
      </w:r>
      <w:r>
        <w:rPr>
          <w:i/>
          <w:iCs/>
        </w:rPr>
        <w:t>mint</w:t>
      </w:r>
      <w:r>
        <w:rPr/>
        <w:t>. Available at: https://www.livemint.com/news/food-quality-top-of-the-mind-for-urban-indians-while-ordering-from-fast-food-chains-survey-11714705270453.html (Accessed: 20 June 2026).</w:t>
      </w:r>
    </w:p>
    <w:p>
      <w:pPr>
        <w:pStyle w:val="Normal"/>
        <w:spacing w:before="0" w:after="240"/>
        <w:rPr/>
      </w:pPr>
      <w:r>
        <w:rPr/>
        <w:t xml:space="preserve">X (2022) </w:t>
      </w:r>
      <w:r>
        <w:rPr>
          <w:i/>
          <w:iCs/>
        </w:rPr>
        <w:t>Pizza Hut: X post</w:t>
      </w:r>
      <w:r>
        <w:rPr/>
        <w:t>. Available at: https://x.com/PizzaHutIN/status/1479850211241512968 (Accessed: 22 June 2026).</w:t>
      </w:r>
    </w:p>
    <w:p>
      <w:pPr>
        <w:pStyle w:val="Normal"/>
        <w:spacing w:before="0" w:after="240"/>
        <w:rPr/>
      </w:pPr>
      <w:r>
        <w:rPr/>
        <w:t xml:space="preserve">Zheng, F. </w:t>
      </w:r>
      <w:r>
        <w:rPr>
          <w:i/>
          <w:iCs/>
        </w:rPr>
        <w:t>et al.</w:t>
      </w:r>
      <w:r>
        <w:rPr/>
        <w:t xml:space="preserve"> (2025) ‘Hofstede’s cultural dimensions and proactive behavior as the antecedents of entrepreneurial innovativeness’, </w:t>
      </w:r>
      <w:r>
        <w:rPr>
          <w:i/>
          <w:iCs/>
        </w:rPr>
        <w:t>Acta Psychologica</w:t>
      </w:r>
      <w:r>
        <w:rPr/>
        <w:t>, 256, pp. 1–12. Available at: https://doi.org/10.1016/j.actpsy.2025.104948.</w:t>
      </w:r>
    </w:p>
    <w:p>
      <w:pPr>
        <w:pStyle w:val="Normal"/>
        <w:rPr/>
      </w:pPr>
      <w:r>
        <w:rPr/>
      </w:r>
    </w:p>
    <w:sectPr>
      <w:headerReference w:type="even" r:id="rId22"/>
      <w:headerReference w:type="default" r:id="rId23"/>
      <w:headerReference w:type="first" r:id="rId24"/>
      <w:footerReference w:type="even" r:id="rId25"/>
      <w:footerReference w:type="default" r:id="rId26"/>
      <w:footerReference w:type="first" r:id="rId27"/>
      <w:type w:val="nextPage"/>
      <w:pgSz w:w="11906" w:h="16838"/>
      <w:pgMar w:left="1440" w:right="1440" w:gutter="0" w:header="720" w:top="1440" w:footer="720" w:bottom="1440"/>
      <w:pgNumType w:start="0" w:fmt="decimal"/>
      <w:formProt w:val="false"/>
      <w:titlePg/>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ans">
    <w:altName w:val="Arial"/>
    <w:charset w:val="01"/>
    <w:family w:val="roman"/>
    <w:pitch w:val="variable"/>
    <w:embedRegular r:id="rId1" w:fontKey="{01014A78-CABC-4EF0-12AC-5CD89AEFDE01}"/>
  </w:font>
  <w:font w:name="Arial">
    <w:charset w:val="01"/>
    <w:family w:val="swiss"/>
    <w:pitch w:val="variable"/>
  </w:font>
  <w:font w:name="Segoe UI">
    <w:charset w:val="01"/>
    <w:family w:val="swiss"/>
    <w:pitch w:val="variable"/>
    <w:embedRegular r:id="rId2" w:fontKey="{02014A78-CABC-4EF0-12AC-5CD89AEFDE02}"/>
  </w:font>
  <w:font w:name="Wingdings">
    <w:charset w:val="02"/>
    <w:family w:val="auto"/>
    <w:pitch w:val="variable"/>
    <w:embedRegular r:id="rId3" w:fontKey="{03014A78-CABC-4EF0-12AC-5CD89AEFDE03}"/>
  </w:font>
  <w:font w:name="Wingdings 2">
    <w:charset w:val="02"/>
    <w:family w:val="auto"/>
    <w:pitch w:val="variable"/>
    <w:embedRegular r:id="rId4" w:fontKey="{04014A78-CABC-4EF0-12AC-5CD89AEFDE04}"/>
  </w:font>
  <w:font w:name="OpenSymbol">
    <w:altName w:val="Arial Unicode MS"/>
    <w:charset w:val="01"/>
    <w:family w:val="auto"/>
    <w:pitch w:val="variable"/>
    <w:embedRegular r:id="rId5" w:fontKey="{05014A78-CABC-4EF0-12AC-5CD89AEFDE05}"/>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right"/>
      <w:rPr/>
    </w:pPr>
    <w:r>
      <w:rPr/>
      <w:fldChar w:fldCharType="begin"/>
    </w:r>
    <w:r>
      <w:rPr/>
      <w:instrText xml:space="preserve"> PAGE </w:instrText>
    </w:r>
    <w:r>
      <w:rPr/>
      <w:fldChar w:fldCharType="separate"/>
    </w:r>
    <w:r>
      <w:rPr/>
      <w:t>5</w:t>
    </w:r>
    <w:r>
      <w:rPr/>
      <w:fldChar w:fldCharType="end"/>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rPr/>
    </w:pPr>
    <w:r>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right"/>
      <w:rPr/>
    </w:pPr>
    <w:r>
      <w:rPr/>
      <w:t>INTERNATIONAL MARKETING STRATEGIES OF PIZZA HUT</w:t>
    </w:r>
  </w:p>
</w:hdr>
</file>

<file path=word/header3.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0"/>
        </w:tabs>
        <w:ind w:left="720" w:hanging="360"/>
      </w:pPr>
      <w:rPr>
        <w:rFonts w:ascii="Wingdings" w:hAnsi="Wingdings" w:cs="Wingdings" w:hint="default"/>
        <w:u w:val="none"/>
      </w:rPr>
    </w:lvl>
    <w:lvl w:ilvl="1">
      <w:start w:val="1"/>
      <w:numFmt w:val="bullet"/>
      <w:lvlText w:val=""/>
      <w:lvlJc w:val="left"/>
      <w:pPr>
        <w:tabs>
          <w:tab w:val="num" w:pos="0"/>
        </w:tabs>
        <w:ind w:left="1440" w:hanging="360"/>
      </w:pPr>
      <w:rPr>
        <w:rFonts w:ascii="Wingdings 2" w:hAnsi="Wingdings 2" w:cs="Wingdings 2" w:hint="default"/>
        <w:u w:val="none"/>
      </w:rPr>
    </w:lvl>
    <w:lvl w:ilvl="2">
      <w:start w:val="1"/>
      <w:numFmt w:val="bullet"/>
      <w:lvlText w:val="■"/>
      <w:lvlJc w:val="left"/>
      <w:pPr>
        <w:tabs>
          <w:tab w:val="num" w:pos="0"/>
        </w:tabs>
        <w:ind w:left="2160" w:hanging="360"/>
      </w:pPr>
      <w:rPr>
        <w:rFonts w:ascii="OpenSymbol" w:hAnsi="OpenSymbol" w:cs="OpenSymbol" w:hint="default"/>
        <w:u w:val="none"/>
      </w:rPr>
    </w:lvl>
    <w:lvl w:ilvl="3">
      <w:start w:val="1"/>
      <w:numFmt w:val="bullet"/>
      <w:lvlText w:val=""/>
      <w:lvlJc w:val="left"/>
      <w:pPr>
        <w:tabs>
          <w:tab w:val="num" w:pos="0"/>
        </w:tabs>
        <w:ind w:left="2880" w:hanging="360"/>
      </w:pPr>
      <w:rPr>
        <w:rFonts w:ascii="Wingdings" w:hAnsi="Wingdings" w:cs="Wingdings" w:hint="default"/>
        <w:u w:val="none"/>
      </w:rPr>
    </w:lvl>
    <w:lvl w:ilvl="4">
      <w:start w:val="1"/>
      <w:numFmt w:val="bullet"/>
      <w:lvlText w:val=""/>
      <w:lvlJc w:val="left"/>
      <w:pPr>
        <w:tabs>
          <w:tab w:val="num" w:pos="0"/>
        </w:tabs>
        <w:ind w:left="3600" w:hanging="360"/>
      </w:pPr>
      <w:rPr>
        <w:rFonts w:ascii="Wingdings 2" w:hAnsi="Wingdings 2" w:cs="Wingdings 2" w:hint="default"/>
        <w:u w:val="none"/>
      </w:rPr>
    </w:lvl>
    <w:lvl w:ilvl="5">
      <w:start w:val="1"/>
      <w:numFmt w:val="bullet"/>
      <w:lvlText w:val="■"/>
      <w:lvlJc w:val="left"/>
      <w:pPr>
        <w:tabs>
          <w:tab w:val="num" w:pos="0"/>
        </w:tabs>
        <w:ind w:left="4320" w:hanging="360"/>
      </w:pPr>
      <w:rPr>
        <w:rFonts w:ascii="OpenSymbol" w:hAnsi="OpenSymbol" w:cs="OpenSymbol" w:hint="default"/>
        <w:u w:val="none"/>
      </w:rPr>
    </w:lvl>
    <w:lvl w:ilvl="6">
      <w:start w:val="1"/>
      <w:numFmt w:val="bullet"/>
      <w:lvlText w:val=""/>
      <w:lvlJc w:val="left"/>
      <w:pPr>
        <w:tabs>
          <w:tab w:val="num" w:pos="0"/>
        </w:tabs>
        <w:ind w:left="5040" w:hanging="360"/>
      </w:pPr>
      <w:rPr>
        <w:rFonts w:ascii="Wingdings" w:hAnsi="Wingdings" w:cs="Wingdings" w:hint="default"/>
        <w:u w:val="none"/>
      </w:rPr>
    </w:lvl>
    <w:lvl w:ilvl="7">
      <w:start w:val="1"/>
      <w:numFmt w:val="bullet"/>
      <w:lvlText w:val=""/>
      <w:lvlJc w:val="left"/>
      <w:pPr>
        <w:tabs>
          <w:tab w:val="num" w:pos="0"/>
        </w:tabs>
        <w:ind w:left="5760" w:hanging="360"/>
      </w:pPr>
      <w:rPr>
        <w:rFonts w:ascii="Wingdings 2" w:hAnsi="Wingdings 2" w:cs="Wingdings 2" w:hint="default"/>
        <w:u w:val="none"/>
      </w:rPr>
    </w:lvl>
    <w:lvl w:ilvl="8">
      <w:start w:val="1"/>
      <w:numFmt w:val="bullet"/>
      <w:lvlText w:val="■"/>
      <w:lvlJc w:val="left"/>
      <w:pPr>
        <w:tabs>
          <w:tab w:val="num" w:pos="0"/>
        </w:tabs>
        <w:ind w:left="6480" w:hanging="360"/>
      </w:pPr>
      <w:rPr>
        <w:rFonts w:ascii="OpenSymbol" w:hAnsi="OpenSymbol" w:cs="OpenSymbol" w:hint="default"/>
        <w:u w:val="none"/>
      </w:rPr>
    </w:lvl>
  </w:abstractNum>
  <w:abstractNum w:abstractNumId="2">
    <w:lvl w:ilvl="0">
      <w:start w:val="1"/>
      <w:numFmt w:val="bullet"/>
      <w:lvlText w:val=""/>
      <w:lvlJc w:val="left"/>
      <w:pPr>
        <w:tabs>
          <w:tab w:val="num" w:pos="0"/>
        </w:tabs>
        <w:ind w:left="720" w:hanging="360"/>
      </w:pPr>
      <w:rPr>
        <w:rFonts w:ascii="Wingdings" w:hAnsi="Wingdings" w:cs="Wingdings" w:hint="default"/>
        <w:u w:val="none"/>
      </w:rPr>
    </w:lvl>
    <w:lvl w:ilvl="1">
      <w:start w:val="1"/>
      <w:numFmt w:val="bullet"/>
      <w:lvlText w:val=""/>
      <w:lvlJc w:val="left"/>
      <w:pPr>
        <w:tabs>
          <w:tab w:val="num" w:pos="0"/>
        </w:tabs>
        <w:ind w:left="1440" w:hanging="360"/>
      </w:pPr>
      <w:rPr>
        <w:rFonts w:ascii="Wingdings 2" w:hAnsi="Wingdings 2" w:cs="Wingdings 2" w:hint="default"/>
        <w:u w:val="none"/>
      </w:rPr>
    </w:lvl>
    <w:lvl w:ilvl="2">
      <w:start w:val="1"/>
      <w:numFmt w:val="bullet"/>
      <w:lvlText w:val="■"/>
      <w:lvlJc w:val="left"/>
      <w:pPr>
        <w:tabs>
          <w:tab w:val="num" w:pos="0"/>
        </w:tabs>
        <w:ind w:left="2160" w:hanging="360"/>
      </w:pPr>
      <w:rPr>
        <w:rFonts w:ascii="OpenSymbol" w:hAnsi="OpenSymbol" w:cs="OpenSymbol" w:hint="default"/>
        <w:u w:val="none"/>
      </w:rPr>
    </w:lvl>
    <w:lvl w:ilvl="3">
      <w:start w:val="1"/>
      <w:numFmt w:val="bullet"/>
      <w:lvlText w:val=""/>
      <w:lvlJc w:val="left"/>
      <w:pPr>
        <w:tabs>
          <w:tab w:val="num" w:pos="0"/>
        </w:tabs>
        <w:ind w:left="2880" w:hanging="360"/>
      </w:pPr>
      <w:rPr>
        <w:rFonts w:ascii="Wingdings" w:hAnsi="Wingdings" w:cs="Wingdings" w:hint="default"/>
        <w:u w:val="none"/>
      </w:rPr>
    </w:lvl>
    <w:lvl w:ilvl="4">
      <w:start w:val="1"/>
      <w:numFmt w:val="bullet"/>
      <w:lvlText w:val=""/>
      <w:lvlJc w:val="left"/>
      <w:pPr>
        <w:tabs>
          <w:tab w:val="num" w:pos="0"/>
        </w:tabs>
        <w:ind w:left="3600" w:hanging="360"/>
      </w:pPr>
      <w:rPr>
        <w:rFonts w:ascii="Wingdings 2" w:hAnsi="Wingdings 2" w:cs="Wingdings 2" w:hint="default"/>
        <w:u w:val="none"/>
      </w:rPr>
    </w:lvl>
    <w:lvl w:ilvl="5">
      <w:start w:val="1"/>
      <w:numFmt w:val="bullet"/>
      <w:lvlText w:val="■"/>
      <w:lvlJc w:val="left"/>
      <w:pPr>
        <w:tabs>
          <w:tab w:val="num" w:pos="0"/>
        </w:tabs>
        <w:ind w:left="4320" w:hanging="360"/>
      </w:pPr>
      <w:rPr>
        <w:rFonts w:ascii="OpenSymbol" w:hAnsi="OpenSymbol" w:cs="OpenSymbol" w:hint="default"/>
        <w:u w:val="none"/>
      </w:rPr>
    </w:lvl>
    <w:lvl w:ilvl="6">
      <w:start w:val="1"/>
      <w:numFmt w:val="bullet"/>
      <w:lvlText w:val=""/>
      <w:lvlJc w:val="left"/>
      <w:pPr>
        <w:tabs>
          <w:tab w:val="num" w:pos="0"/>
        </w:tabs>
        <w:ind w:left="5040" w:hanging="360"/>
      </w:pPr>
      <w:rPr>
        <w:rFonts w:ascii="Wingdings" w:hAnsi="Wingdings" w:cs="Wingdings" w:hint="default"/>
        <w:u w:val="none"/>
      </w:rPr>
    </w:lvl>
    <w:lvl w:ilvl="7">
      <w:start w:val="1"/>
      <w:numFmt w:val="bullet"/>
      <w:lvlText w:val=""/>
      <w:lvlJc w:val="left"/>
      <w:pPr>
        <w:tabs>
          <w:tab w:val="num" w:pos="0"/>
        </w:tabs>
        <w:ind w:left="5760" w:hanging="360"/>
      </w:pPr>
      <w:rPr>
        <w:rFonts w:ascii="Wingdings 2" w:hAnsi="Wingdings 2" w:cs="Wingdings 2" w:hint="default"/>
        <w:u w:val="none"/>
      </w:rPr>
    </w:lvl>
    <w:lvl w:ilvl="8">
      <w:start w:val="1"/>
      <w:numFmt w:val="bullet"/>
      <w:lvlText w:val="■"/>
      <w:lvlJc w:val="left"/>
      <w:pPr>
        <w:tabs>
          <w:tab w:val="num" w:pos="0"/>
        </w:tabs>
        <w:ind w:left="6480" w:hanging="360"/>
      </w:pPr>
      <w:rPr>
        <w:rFonts w:ascii="OpenSymbol" w:hAnsi="OpenSymbol" w:cs="OpenSymbol" w:hint="default"/>
        <w:u w:val="none"/>
      </w:rPr>
    </w:lvl>
  </w:abstractNum>
  <w:abstractNum w:abstractNumId="3">
    <w:lvl w:ilvl="0">
      <w:start w:val="1"/>
      <w:numFmt w:val="bullet"/>
      <w:lvlText w:val=""/>
      <w:lvlJc w:val="left"/>
      <w:pPr>
        <w:tabs>
          <w:tab w:val="num" w:pos="0"/>
        </w:tabs>
        <w:ind w:left="720" w:hanging="360"/>
      </w:pPr>
      <w:rPr>
        <w:rFonts w:ascii="Wingdings" w:hAnsi="Wingdings" w:cs="Wingdings" w:hint="default"/>
        <w:u w:val="none"/>
      </w:rPr>
    </w:lvl>
    <w:lvl w:ilvl="1">
      <w:start w:val="1"/>
      <w:numFmt w:val="bullet"/>
      <w:lvlText w:val=""/>
      <w:lvlJc w:val="left"/>
      <w:pPr>
        <w:tabs>
          <w:tab w:val="num" w:pos="0"/>
        </w:tabs>
        <w:ind w:left="1440" w:hanging="360"/>
      </w:pPr>
      <w:rPr>
        <w:rFonts w:ascii="Wingdings 2" w:hAnsi="Wingdings 2" w:cs="Wingdings 2" w:hint="default"/>
        <w:u w:val="none"/>
      </w:rPr>
    </w:lvl>
    <w:lvl w:ilvl="2">
      <w:start w:val="1"/>
      <w:numFmt w:val="bullet"/>
      <w:lvlText w:val="■"/>
      <w:lvlJc w:val="left"/>
      <w:pPr>
        <w:tabs>
          <w:tab w:val="num" w:pos="0"/>
        </w:tabs>
        <w:ind w:left="2160" w:hanging="360"/>
      </w:pPr>
      <w:rPr>
        <w:rFonts w:ascii="OpenSymbol" w:hAnsi="OpenSymbol" w:cs="OpenSymbol" w:hint="default"/>
        <w:u w:val="none"/>
      </w:rPr>
    </w:lvl>
    <w:lvl w:ilvl="3">
      <w:start w:val="1"/>
      <w:numFmt w:val="bullet"/>
      <w:lvlText w:val=""/>
      <w:lvlJc w:val="left"/>
      <w:pPr>
        <w:tabs>
          <w:tab w:val="num" w:pos="0"/>
        </w:tabs>
        <w:ind w:left="2880" w:hanging="360"/>
      </w:pPr>
      <w:rPr>
        <w:rFonts w:ascii="Wingdings" w:hAnsi="Wingdings" w:cs="Wingdings" w:hint="default"/>
        <w:u w:val="none"/>
      </w:rPr>
    </w:lvl>
    <w:lvl w:ilvl="4">
      <w:start w:val="1"/>
      <w:numFmt w:val="bullet"/>
      <w:lvlText w:val=""/>
      <w:lvlJc w:val="left"/>
      <w:pPr>
        <w:tabs>
          <w:tab w:val="num" w:pos="0"/>
        </w:tabs>
        <w:ind w:left="3600" w:hanging="360"/>
      </w:pPr>
      <w:rPr>
        <w:rFonts w:ascii="Wingdings 2" w:hAnsi="Wingdings 2" w:cs="Wingdings 2" w:hint="default"/>
        <w:u w:val="none"/>
      </w:rPr>
    </w:lvl>
    <w:lvl w:ilvl="5">
      <w:start w:val="1"/>
      <w:numFmt w:val="bullet"/>
      <w:lvlText w:val="■"/>
      <w:lvlJc w:val="left"/>
      <w:pPr>
        <w:tabs>
          <w:tab w:val="num" w:pos="0"/>
        </w:tabs>
        <w:ind w:left="4320" w:hanging="360"/>
      </w:pPr>
      <w:rPr>
        <w:rFonts w:ascii="OpenSymbol" w:hAnsi="OpenSymbol" w:cs="OpenSymbol" w:hint="default"/>
        <w:u w:val="none"/>
      </w:rPr>
    </w:lvl>
    <w:lvl w:ilvl="6">
      <w:start w:val="1"/>
      <w:numFmt w:val="bullet"/>
      <w:lvlText w:val=""/>
      <w:lvlJc w:val="left"/>
      <w:pPr>
        <w:tabs>
          <w:tab w:val="num" w:pos="0"/>
        </w:tabs>
        <w:ind w:left="5040" w:hanging="360"/>
      </w:pPr>
      <w:rPr>
        <w:rFonts w:ascii="Wingdings" w:hAnsi="Wingdings" w:cs="Wingdings" w:hint="default"/>
        <w:u w:val="none"/>
      </w:rPr>
    </w:lvl>
    <w:lvl w:ilvl="7">
      <w:start w:val="1"/>
      <w:numFmt w:val="bullet"/>
      <w:lvlText w:val=""/>
      <w:lvlJc w:val="left"/>
      <w:pPr>
        <w:tabs>
          <w:tab w:val="num" w:pos="0"/>
        </w:tabs>
        <w:ind w:left="5760" w:hanging="360"/>
      </w:pPr>
      <w:rPr>
        <w:rFonts w:ascii="Wingdings 2" w:hAnsi="Wingdings 2" w:cs="Wingdings 2" w:hint="default"/>
        <w:u w:val="none"/>
      </w:rPr>
    </w:lvl>
    <w:lvl w:ilvl="8">
      <w:start w:val="1"/>
      <w:numFmt w:val="bullet"/>
      <w:lvlText w:val="■"/>
      <w:lvlJc w:val="left"/>
      <w:pPr>
        <w:tabs>
          <w:tab w:val="num" w:pos="0"/>
        </w:tabs>
        <w:ind w:left="6480" w:hanging="360"/>
      </w:pPr>
      <w:rPr>
        <w:rFonts w:ascii="OpenSymbol" w:hAnsi="OpenSymbol" w:cs="OpenSymbol" w:hint="default"/>
        <w:u w:val="none"/>
      </w:rPr>
    </w:lvl>
  </w:abstractNum>
  <w:abstractNum w:abstractNumId="4">
    <w:lvl w:ilvl="0">
      <w:start w:val="1"/>
      <w:numFmt w:val="bullet"/>
      <w:lvlText w:val=""/>
      <w:lvlJc w:val="left"/>
      <w:pPr>
        <w:tabs>
          <w:tab w:val="num" w:pos="0"/>
        </w:tabs>
        <w:ind w:left="720" w:hanging="360"/>
      </w:pPr>
      <w:rPr>
        <w:rFonts w:ascii="Wingdings" w:hAnsi="Wingdings" w:cs="Wingdings" w:hint="default"/>
        <w:u w:val="none"/>
      </w:rPr>
    </w:lvl>
    <w:lvl w:ilvl="1">
      <w:start w:val="1"/>
      <w:numFmt w:val="bullet"/>
      <w:lvlText w:val=""/>
      <w:lvlJc w:val="left"/>
      <w:pPr>
        <w:tabs>
          <w:tab w:val="num" w:pos="0"/>
        </w:tabs>
        <w:ind w:left="1440" w:hanging="360"/>
      </w:pPr>
      <w:rPr>
        <w:rFonts w:ascii="Wingdings 2" w:hAnsi="Wingdings 2" w:cs="Wingdings 2" w:hint="default"/>
        <w:u w:val="none"/>
      </w:rPr>
    </w:lvl>
    <w:lvl w:ilvl="2">
      <w:start w:val="1"/>
      <w:numFmt w:val="bullet"/>
      <w:lvlText w:val="■"/>
      <w:lvlJc w:val="left"/>
      <w:pPr>
        <w:tabs>
          <w:tab w:val="num" w:pos="0"/>
        </w:tabs>
        <w:ind w:left="2160" w:hanging="360"/>
      </w:pPr>
      <w:rPr>
        <w:rFonts w:ascii="OpenSymbol" w:hAnsi="OpenSymbol" w:cs="OpenSymbol" w:hint="default"/>
        <w:u w:val="none"/>
      </w:rPr>
    </w:lvl>
    <w:lvl w:ilvl="3">
      <w:start w:val="1"/>
      <w:numFmt w:val="bullet"/>
      <w:lvlText w:val=""/>
      <w:lvlJc w:val="left"/>
      <w:pPr>
        <w:tabs>
          <w:tab w:val="num" w:pos="0"/>
        </w:tabs>
        <w:ind w:left="2880" w:hanging="360"/>
      </w:pPr>
      <w:rPr>
        <w:rFonts w:ascii="Wingdings" w:hAnsi="Wingdings" w:cs="Wingdings" w:hint="default"/>
        <w:u w:val="none"/>
      </w:rPr>
    </w:lvl>
    <w:lvl w:ilvl="4">
      <w:start w:val="1"/>
      <w:numFmt w:val="bullet"/>
      <w:lvlText w:val=""/>
      <w:lvlJc w:val="left"/>
      <w:pPr>
        <w:tabs>
          <w:tab w:val="num" w:pos="0"/>
        </w:tabs>
        <w:ind w:left="3600" w:hanging="360"/>
      </w:pPr>
      <w:rPr>
        <w:rFonts w:ascii="Wingdings 2" w:hAnsi="Wingdings 2" w:cs="Wingdings 2" w:hint="default"/>
        <w:u w:val="none"/>
      </w:rPr>
    </w:lvl>
    <w:lvl w:ilvl="5">
      <w:start w:val="1"/>
      <w:numFmt w:val="bullet"/>
      <w:lvlText w:val="■"/>
      <w:lvlJc w:val="left"/>
      <w:pPr>
        <w:tabs>
          <w:tab w:val="num" w:pos="0"/>
        </w:tabs>
        <w:ind w:left="4320" w:hanging="360"/>
      </w:pPr>
      <w:rPr>
        <w:rFonts w:ascii="OpenSymbol" w:hAnsi="OpenSymbol" w:cs="OpenSymbol" w:hint="default"/>
        <w:u w:val="none"/>
      </w:rPr>
    </w:lvl>
    <w:lvl w:ilvl="6">
      <w:start w:val="1"/>
      <w:numFmt w:val="bullet"/>
      <w:lvlText w:val=""/>
      <w:lvlJc w:val="left"/>
      <w:pPr>
        <w:tabs>
          <w:tab w:val="num" w:pos="0"/>
        </w:tabs>
        <w:ind w:left="5040" w:hanging="360"/>
      </w:pPr>
      <w:rPr>
        <w:rFonts w:ascii="Wingdings" w:hAnsi="Wingdings" w:cs="Wingdings" w:hint="default"/>
        <w:u w:val="none"/>
      </w:rPr>
    </w:lvl>
    <w:lvl w:ilvl="7">
      <w:start w:val="1"/>
      <w:numFmt w:val="bullet"/>
      <w:lvlText w:val=""/>
      <w:lvlJc w:val="left"/>
      <w:pPr>
        <w:tabs>
          <w:tab w:val="num" w:pos="0"/>
        </w:tabs>
        <w:ind w:left="5760" w:hanging="360"/>
      </w:pPr>
      <w:rPr>
        <w:rFonts w:ascii="Wingdings 2" w:hAnsi="Wingdings 2" w:cs="Wingdings 2" w:hint="default"/>
        <w:u w:val="none"/>
      </w:rPr>
    </w:lvl>
    <w:lvl w:ilvl="8">
      <w:start w:val="1"/>
      <w:numFmt w:val="bullet"/>
      <w:lvlText w:val="■"/>
      <w:lvlJc w:val="left"/>
      <w:pPr>
        <w:tabs>
          <w:tab w:val="num" w:pos="0"/>
        </w:tabs>
        <w:ind w:left="6480" w:hanging="360"/>
      </w:pPr>
      <w:rPr>
        <w:rFonts w:ascii="OpenSymbol" w:hAnsi="OpenSymbol" w:cs="OpenSymbol" w:hint="default"/>
        <w:u w:val="none"/>
      </w:rPr>
    </w:lvl>
  </w:abstractNum>
  <w:abstractNum w:abstractNumId="5">
    <w:lvl w:ilvl="0">
      <w:start w:val="1"/>
      <w:numFmt w:val="bullet"/>
      <w:lvlText w:val=""/>
      <w:lvlJc w:val="left"/>
      <w:pPr>
        <w:tabs>
          <w:tab w:val="num" w:pos="0"/>
        </w:tabs>
        <w:ind w:left="720" w:hanging="360"/>
      </w:pPr>
      <w:rPr>
        <w:rFonts w:ascii="Wingdings" w:hAnsi="Wingdings" w:cs="Wingdings" w:hint="default"/>
        <w:u w:val="none"/>
      </w:rPr>
    </w:lvl>
    <w:lvl w:ilvl="1">
      <w:start w:val="1"/>
      <w:numFmt w:val="bullet"/>
      <w:lvlText w:val=""/>
      <w:lvlJc w:val="left"/>
      <w:pPr>
        <w:tabs>
          <w:tab w:val="num" w:pos="0"/>
        </w:tabs>
        <w:ind w:left="1440" w:hanging="360"/>
      </w:pPr>
      <w:rPr>
        <w:rFonts w:ascii="Wingdings 2" w:hAnsi="Wingdings 2" w:cs="Wingdings 2" w:hint="default"/>
        <w:u w:val="none"/>
      </w:rPr>
    </w:lvl>
    <w:lvl w:ilvl="2">
      <w:start w:val="1"/>
      <w:numFmt w:val="bullet"/>
      <w:lvlText w:val="■"/>
      <w:lvlJc w:val="left"/>
      <w:pPr>
        <w:tabs>
          <w:tab w:val="num" w:pos="0"/>
        </w:tabs>
        <w:ind w:left="2160" w:hanging="360"/>
      </w:pPr>
      <w:rPr>
        <w:rFonts w:ascii="OpenSymbol" w:hAnsi="OpenSymbol" w:cs="OpenSymbol" w:hint="default"/>
        <w:u w:val="none"/>
      </w:rPr>
    </w:lvl>
    <w:lvl w:ilvl="3">
      <w:start w:val="1"/>
      <w:numFmt w:val="bullet"/>
      <w:lvlText w:val=""/>
      <w:lvlJc w:val="left"/>
      <w:pPr>
        <w:tabs>
          <w:tab w:val="num" w:pos="0"/>
        </w:tabs>
        <w:ind w:left="2880" w:hanging="360"/>
      </w:pPr>
      <w:rPr>
        <w:rFonts w:ascii="Wingdings" w:hAnsi="Wingdings" w:cs="Wingdings" w:hint="default"/>
        <w:u w:val="none"/>
      </w:rPr>
    </w:lvl>
    <w:lvl w:ilvl="4">
      <w:start w:val="1"/>
      <w:numFmt w:val="bullet"/>
      <w:lvlText w:val=""/>
      <w:lvlJc w:val="left"/>
      <w:pPr>
        <w:tabs>
          <w:tab w:val="num" w:pos="0"/>
        </w:tabs>
        <w:ind w:left="3600" w:hanging="360"/>
      </w:pPr>
      <w:rPr>
        <w:rFonts w:ascii="Wingdings 2" w:hAnsi="Wingdings 2" w:cs="Wingdings 2" w:hint="default"/>
        <w:u w:val="none"/>
      </w:rPr>
    </w:lvl>
    <w:lvl w:ilvl="5">
      <w:start w:val="1"/>
      <w:numFmt w:val="bullet"/>
      <w:lvlText w:val="■"/>
      <w:lvlJc w:val="left"/>
      <w:pPr>
        <w:tabs>
          <w:tab w:val="num" w:pos="0"/>
        </w:tabs>
        <w:ind w:left="4320" w:hanging="360"/>
      </w:pPr>
      <w:rPr>
        <w:rFonts w:ascii="OpenSymbol" w:hAnsi="OpenSymbol" w:cs="OpenSymbol" w:hint="default"/>
        <w:u w:val="none"/>
      </w:rPr>
    </w:lvl>
    <w:lvl w:ilvl="6">
      <w:start w:val="1"/>
      <w:numFmt w:val="bullet"/>
      <w:lvlText w:val=""/>
      <w:lvlJc w:val="left"/>
      <w:pPr>
        <w:tabs>
          <w:tab w:val="num" w:pos="0"/>
        </w:tabs>
        <w:ind w:left="5040" w:hanging="360"/>
      </w:pPr>
      <w:rPr>
        <w:rFonts w:ascii="Wingdings" w:hAnsi="Wingdings" w:cs="Wingdings" w:hint="default"/>
        <w:u w:val="none"/>
      </w:rPr>
    </w:lvl>
    <w:lvl w:ilvl="7">
      <w:start w:val="1"/>
      <w:numFmt w:val="bullet"/>
      <w:lvlText w:val=""/>
      <w:lvlJc w:val="left"/>
      <w:pPr>
        <w:tabs>
          <w:tab w:val="num" w:pos="0"/>
        </w:tabs>
        <w:ind w:left="5760" w:hanging="360"/>
      </w:pPr>
      <w:rPr>
        <w:rFonts w:ascii="Wingdings 2" w:hAnsi="Wingdings 2" w:cs="Wingdings 2" w:hint="default"/>
        <w:u w:val="none"/>
      </w:rPr>
    </w:lvl>
    <w:lvl w:ilvl="8">
      <w:start w:val="1"/>
      <w:numFmt w:val="bullet"/>
      <w:lvlText w:val="■"/>
      <w:lvlJc w:val="left"/>
      <w:pPr>
        <w:tabs>
          <w:tab w:val="num" w:pos="0"/>
        </w:tabs>
        <w:ind w:left="6480" w:hanging="360"/>
      </w:pPr>
      <w:rPr>
        <w:rFonts w:ascii="OpenSymbol" w:hAnsi="OpenSymbol" w:cs="OpenSymbol" w:hint="default"/>
        <w:u w:val="none"/>
      </w:rPr>
    </w:lvl>
  </w:abstractNum>
  <w:abstractNum w:abstractNumId="6">
    <w:lvl w:ilvl="0">
      <w:start w:val="1"/>
      <w:numFmt w:val="bullet"/>
      <w:lvlText w:val=""/>
      <w:lvlJc w:val="left"/>
      <w:pPr>
        <w:tabs>
          <w:tab w:val="num" w:pos="0"/>
        </w:tabs>
        <w:ind w:left="720" w:hanging="360"/>
      </w:pPr>
      <w:rPr>
        <w:rFonts w:ascii="Wingdings" w:hAnsi="Wingdings" w:cs="Wingdings" w:hint="default"/>
        <w:u w:val="none"/>
      </w:rPr>
    </w:lvl>
    <w:lvl w:ilvl="1">
      <w:start w:val="1"/>
      <w:numFmt w:val="bullet"/>
      <w:lvlText w:val=""/>
      <w:lvlJc w:val="left"/>
      <w:pPr>
        <w:tabs>
          <w:tab w:val="num" w:pos="0"/>
        </w:tabs>
        <w:ind w:left="1440" w:hanging="360"/>
      </w:pPr>
      <w:rPr>
        <w:rFonts w:ascii="Wingdings 2" w:hAnsi="Wingdings 2" w:cs="Wingdings 2" w:hint="default"/>
        <w:u w:val="none"/>
      </w:rPr>
    </w:lvl>
    <w:lvl w:ilvl="2">
      <w:start w:val="1"/>
      <w:numFmt w:val="bullet"/>
      <w:lvlText w:val="■"/>
      <w:lvlJc w:val="left"/>
      <w:pPr>
        <w:tabs>
          <w:tab w:val="num" w:pos="0"/>
        </w:tabs>
        <w:ind w:left="2160" w:hanging="360"/>
      </w:pPr>
      <w:rPr>
        <w:rFonts w:ascii="OpenSymbol" w:hAnsi="OpenSymbol" w:cs="OpenSymbol" w:hint="default"/>
        <w:u w:val="none"/>
      </w:rPr>
    </w:lvl>
    <w:lvl w:ilvl="3">
      <w:start w:val="1"/>
      <w:numFmt w:val="bullet"/>
      <w:lvlText w:val=""/>
      <w:lvlJc w:val="left"/>
      <w:pPr>
        <w:tabs>
          <w:tab w:val="num" w:pos="0"/>
        </w:tabs>
        <w:ind w:left="2880" w:hanging="360"/>
      </w:pPr>
      <w:rPr>
        <w:rFonts w:ascii="Wingdings" w:hAnsi="Wingdings" w:cs="Wingdings" w:hint="default"/>
        <w:u w:val="none"/>
      </w:rPr>
    </w:lvl>
    <w:lvl w:ilvl="4">
      <w:start w:val="1"/>
      <w:numFmt w:val="bullet"/>
      <w:lvlText w:val=""/>
      <w:lvlJc w:val="left"/>
      <w:pPr>
        <w:tabs>
          <w:tab w:val="num" w:pos="0"/>
        </w:tabs>
        <w:ind w:left="3600" w:hanging="360"/>
      </w:pPr>
      <w:rPr>
        <w:rFonts w:ascii="Wingdings 2" w:hAnsi="Wingdings 2" w:cs="Wingdings 2" w:hint="default"/>
        <w:u w:val="none"/>
      </w:rPr>
    </w:lvl>
    <w:lvl w:ilvl="5">
      <w:start w:val="1"/>
      <w:numFmt w:val="bullet"/>
      <w:lvlText w:val="■"/>
      <w:lvlJc w:val="left"/>
      <w:pPr>
        <w:tabs>
          <w:tab w:val="num" w:pos="0"/>
        </w:tabs>
        <w:ind w:left="4320" w:hanging="360"/>
      </w:pPr>
      <w:rPr>
        <w:rFonts w:ascii="OpenSymbol" w:hAnsi="OpenSymbol" w:cs="OpenSymbol" w:hint="default"/>
        <w:u w:val="none"/>
      </w:rPr>
    </w:lvl>
    <w:lvl w:ilvl="6">
      <w:start w:val="1"/>
      <w:numFmt w:val="bullet"/>
      <w:lvlText w:val=""/>
      <w:lvlJc w:val="left"/>
      <w:pPr>
        <w:tabs>
          <w:tab w:val="num" w:pos="0"/>
        </w:tabs>
        <w:ind w:left="5040" w:hanging="360"/>
      </w:pPr>
      <w:rPr>
        <w:rFonts w:ascii="Wingdings" w:hAnsi="Wingdings" w:cs="Wingdings" w:hint="default"/>
        <w:u w:val="none"/>
      </w:rPr>
    </w:lvl>
    <w:lvl w:ilvl="7">
      <w:start w:val="1"/>
      <w:numFmt w:val="bullet"/>
      <w:lvlText w:val=""/>
      <w:lvlJc w:val="left"/>
      <w:pPr>
        <w:tabs>
          <w:tab w:val="num" w:pos="0"/>
        </w:tabs>
        <w:ind w:left="5760" w:hanging="360"/>
      </w:pPr>
      <w:rPr>
        <w:rFonts w:ascii="Wingdings 2" w:hAnsi="Wingdings 2" w:cs="Wingdings 2" w:hint="default"/>
        <w:u w:val="none"/>
      </w:rPr>
    </w:lvl>
    <w:lvl w:ilvl="8">
      <w:start w:val="1"/>
      <w:numFmt w:val="bullet"/>
      <w:lvlText w:val="■"/>
      <w:lvlJc w:val="left"/>
      <w:pPr>
        <w:tabs>
          <w:tab w:val="num" w:pos="0"/>
        </w:tabs>
        <w:ind w:left="6480" w:hanging="360"/>
      </w:pPr>
      <w:rPr>
        <w:rFonts w:ascii="OpenSymbol" w:hAnsi="OpenSymbol" w:cs="OpenSymbol" w:hint="default"/>
        <w:u w:val="none"/>
      </w:rPr>
    </w:lvl>
  </w:abstractNum>
  <w:abstractNum w:abstractNumId="7">
    <w:lvl w:ilvl="0">
      <w:start w:val="1"/>
      <w:numFmt w:val="bullet"/>
      <w:lvlText w:val=""/>
      <w:lvlJc w:val="left"/>
      <w:pPr>
        <w:tabs>
          <w:tab w:val="num" w:pos="0"/>
        </w:tabs>
        <w:ind w:left="720" w:hanging="360"/>
      </w:pPr>
      <w:rPr>
        <w:rFonts w:ascii="Wingdings" w:hAnsi="Wingdings" w:cs="Wingdings" w:hint="default"/>
        <w:u w:val="none"/>
      </w:rPr>
    </w:lvl>
    <w:lvl w:ilvl="1">
      <w:start w:val="1"/>
      <w:numFmt w:val="bullet"/>
      <w:lvlText w:val=""/>
      <w:lvlJc w:val="left"/>
      <w:pPr>
        <w:tabs>
          <w:tab w:val="num" w:pos="0"/>
        </w:tabs>
        <w:ind w:left="1440" w:hanging="360"/>
      </w:pPr>
      <w:rPr>
        <w:rFonts w:ascii="Wingdings 2" w:hAnsi="Wingdings 2" w:cs="Wingdings 2" w:hint="default"/>
        <w:u w:val="none"/>
      </w:rPr>
    </w:lvl>
    <w:lvl w:ilvl="2">
      <w:start w:val="1"/>
      <w:numFmt w:val="bullet"/>
      <w:lvlText w:val="■"/>
      <w:lvlJc w:val="left"/>
      <w:pPr>
        <w:tabs>
          <w:tab w:val="num" w:pos="0"/>
        </w:tabs>
        <w:ind w:left="2160" w:hanging="360"/>
      </w:pPr>
      <w:rPr>
        <w:rFonts w:ascii="OpenSymbol" w:hAnsi="OpenSymbol" w:cs="OpenSymbol" w:hint="default"/>
        <w:u w:val="none"/>
      </w:rPr>
    </w:lvl>
    <w:lvl w:ilvl="3">
      <w:start w:val="1"/>
      <w:numFmt w:val="bullet"/>
      <w:lvlText w:val=""/>
      <w:lvlJc w:val="left"/>
      <w:pPr>
        <w:tabs>
          <w:tab w:val="num" w:pos="0"/>
        </w:tabs>
        <w:ind w:left="2880" w:hanging="360"/>
      </w:pPr>
      <w:rPr>
        <w:rFonts w:ascii="Wingdings" w:hAnsi="Wingdings" w:cs="Wingdings" w:hint="default"/>
        <w:u w:val="none"/>
      </w:rPr>
    </w:lvl>
    <w:lvl w:ilvl="4">
      <w:start w:val="1"/>
      <w:numFmt w:val="bullet"/>
      <w:lvlText w:val=""/>
      <w:lvlJc w:val="left"/>
      <w:pPr>
        <w:tabs>
          <w:tab w:val="num" w:pos="0"/>
        </w:tabs>
        <w:ind w:left="3600" w:hanging="360"/>
      </w:pPr>
      <w:rPr>
        <w:rFonts w:ascii="Wingdings 2" w:hAnsi="Wingdings 2" w:cs="Wingdings 2" w:hint="default"/>
        <w:u w:val="none"/>
      </w:rPr>
    </w:lvl>
    <w:lvl w:ilvl="5">
      <w:start w:val="1"/>
      <w:numFmt w:val="bullet"/>
      <w:lvlText w:val="■"/>
      <w:lvlJc w:val="left"/>
      <w:pPr>
        <w:tabs>
          <w:tab w:val="num" w:pos="0"/>
        </w:tabs>
        <w:ind w:left="4320" w:hanging="360"/>
      </w:pPr>
      <w:rPr>
        <w:rFonts w:ascii="OpenSymbol" w:hAnsi="OpenSymbol" w:cs="OpenSymbol" w:hint="default"/>
        <w:u w:val="none"/>
      </w:rPr>
    </w:lvl>
    <w:lvl w:ilvl="6">
      <w:start w:val="1"/>
      <w:numFmt w:val="bullet"/>
      <w:lvlText w:val=""/>
      <w:lvlJc w:val="left"/>
      <w:pPr>
        <w:tabs>
          <w:tab w:val="num" w:pos="0"/>
        </w:tabs>
        <w:ind w:left="5040" w:hanging="360"/>
      </w:pPr>
      <w:rPr>
        <w:rFonts w:ascii="Wingdings" w:hAnsi="Wingdings" w:cs="Wingdings" w:hint="default"/>
        <w:u w:val="none"/>
      </w:rPr>
    </w:lvl>
    <w:lvl w:ilvl="7">
      <w:start w:val="1"/>
      <w:numFmt w:val="bullet"/>
      <w:lvlText w:val=""/>
      <w:lvlJc w:val="left"/>
      <w:pPr>
        <w:tabs>
          <w:tab w:val="num" w:pos="0"/>
        </w:tabs>
        <w:ind w:left="5760" w:hanging="360"/>
      </w:pPr>
      <w:rPr>
        <w:rFonts w:ascii="Wingdings 2" w:hAnsi="Wingdings 2" w:cs="Wingdings 2" w:hint="default"/>
        <w:u w:val="none"/>
      </w:rPr>
    </w:lvl>
    <w:lvl w:ilvl="8">
      <w:start w:val="1"/>
      <w:numFmt w:val="bullet"/>
      <w:lvlText w:val="■"/>
      <w:lvlJc w:val="left"/>
      <w:pPr>
        <w:tabs>
          <w:tab w:val="num" w:pos="0"/>
        </w:tabs>
        <w:ind w:left="6480" w:hanging="360"/>
      </w:pPr>
      <w:rPr>
        <w:rFonts w:ascii="OpenSymbol" w:hAnsi="OpenSymbol" w:cs="OpenSymbol" w:hint="default"/>
        <w:u w:val="none"/>
      </w:rPr>
    </w:lvl>
  </w:abstractNum>
  <w:abstractNum w:abstractNumId="8">
    <w:lvl w:ilvl="0">
      <w:start w:val="1"/>
      <w:numFmt w:val="bullet"/>
      <w:lvlText w:val=""/>
      <w:lvlJc w:val="left"/>
      <w:pPr>
        <w:tabs>
          <w:tab w:val="num" w:pos="0"/>
        </w:tabs>
        <w:ind w:left="720" w:hanging="360"/>
      </w:pPr>
      <w:rPr>
        <w:rFonts w:ascii="Wingdings" w:hAnsi="Wingdings" w:cs="Wingdings" w:hint="default"/>
        <w:u w:val="none"/>
      </w:rPr>
    </w:lvl>
    <w:lvl w:ilvl="1">
      <w:start w:val="1"/>
      <w:numFmt w:val="bullet"/>
      <w:lvlText w:val=""/>
      <w:lvlJc w:val="left"/>
      <w:pPr>
        <w:tabs>
          <w:tab w:val="num" w:pos="0"/>
        </w:tabs>
        <w:ind w:left="1440" w:hanging="360"/>
      </w:pPr>
      <w:rPr>
        <w:rFonts w:ascii="Wingdings 2" w:hAnsi="Wingdings 2" w:cs="Wingdings 2" w:hint="default"/>
        <w:u w:val="none"/>
      </w:rPr>
    </w:lvl>
    <w:lvl w:ilvl="2">
      <w:start w:val="1"/>
      <w:numFmt w:val="bullet"/>
      <w:lvlText w:val="■"/>
      <w:lvlJc w:val="left"/>
      <w:pPr>
        <w:tabs>
          <w:tab w:val="num" w:pos="0"/>
        </w:tabs>
        <w:ind w:left="2160" w:hanging="360"/>
      </w:pPr>
      <w:rPr>
        <w:rFonts w:ascii="OpenSymbol" w:hAnsi="OpenSymbol" w:cs="OpenSymbol" w:hint="default"/>
        <w:u w:val="none"/>
      </w:rPr>
    </w:lvl>
    <w:lvl w:ilvl="3">
      <w:start w:val="1"/>
      <w:numFmt w:val="bullet"/>
      <w:lvlText w:val=""/>
      <w:lvlJc w:val="left"/>
      <w:pPr>
        <w:tabs>
          <w:tab w:val="num" w:pos="0"/>
        </w:tabs>
        <w:ind w:left="2880" w:hanging="360"/>
      </w:pPr>
      <w:rPr>
        <w:rFonts w:ascii="Wingdings" w:hAnsi="Wingdings" w:cs="Wingdings" w:hint="default"/>
        <w:u w:val="none"/>
      </w:rPr>
    </w:lvl>
    <w:lvl w:ilvl="4">
      <w:start w:val="1"/>
      <w:numFmt w:val="bullet"/>
      <w:lvlText w:val=""/>
      <w:lvlJc w:val="left"/>
      <w:pPr>
        <w:tabs>
          <w:tab w:val="num" w:pos="0"/>
        </w:tabs>
        <w:ind w:left="3600" w:hanging="360"/>
      </w:pPr>
      <w:rPr>
        <w:rFonts w:ascii="Wingdings 2" w:hAnsi="Wingdings 2" w:cs="Wingdings 2" w:hint="default"/>
        <w:u w:val="none"/>
      </w:rPr>
    </w:lvl>
    <w:lvl w:ilvl="5">
      <w:start w:val="1"/>
      <w:numFmt w:val="bullet"/>
      <w:lvlText w:val="■"/>
      <w:lvlJc w:val="left"/>
      <w:pPr>
        <w:tabs>
          <w:tab w:val="num" w:pos="0"/>
        </w:tabs>
        <w:ind w:left="4320" w:hanging="360"/>
      </w:pPr>
      <w:rPr>
        <w:rFonts w:ascii="OpenSymbol" w:hAnsi="OpenSymbol" w:cs="OpenSymbol" w:hint="default"/>
        <w:u w:val="none"/>
      </w:rPr>
    </w:lvl>
    <w:lvl w:ilvl="6">
      <w:start w:val="1"/>
      <w:numFmt w:val="bullet"/>
      <w:lvlText w:val=""/>
      <w:lvlJc w:val="left"/>
      <w:pPr>
        <w:tabs>
          <w:tab w:val="num" w:pos="0"/>
        </w:tabs>
        <w:ind w:left="5040" w:hanging="360"/>
      </w:pPr>
      <w:rPr>
        <w:rFonts w:ascii="Wingdings" w:hAnsi="Wingdings" w:cs="Wingdings" w:hint="default"/>
        <w:u w:val="none"/>
      </w:rPr>
    </w:lvl>
    <w:lvl w:ilvl="7">
      <w:start w:val="1"/>
      <w:numFmt w:val="bullet"/>
      <w:lvlText w:val=""/>
      <w:lvlJc w:val="left"/>
      <w:pPr>
        <w:tabs>
          <w:tab w:val="num" w:pos="0"/>
        </w:tabs>
        <w:ind w:left="5760" w:hanging="360"/>
      </w:pPr>
      <w:rPr>
        <w:rFonts w:ascii="Wingdings 2" w:hAnsi="Wingdings 2" w:cs="Wingdings 2" w:hint="default"/>
        <w:u w:val="none"/>
      </w:rPr>
    </w:lvl>
    <w:lvl w:ilvl="8">
      <w:start w:val="1"/>
      <w:numFmt w:val="bullet"/>
      <w:lvlText w:val="■"/>
      <w:lvlJc w:val="left"/>
      <w:pPr>
        <w:tabs>
          <w:tab w:val="num" w:pos="0"/>
        </w:tabs>
        <w:ind w:left="6480" w:hanging="360"/>
      </w:pPr>
      <w:rPr>
        <w:rFonts w:ascii="OpenSymbol" w:hAnsi="OpenSymbol" w:cs="OpenSymbol" w:hint="default"/>
        <w:u w:val="none"/>
      </w:rPr>
    </w:lvl>
  </w:abstractNum>
  <w:abstractNum w:abstractNumId="9">
    <w:lvl w:ilvl="0">
      <w:start w:val="1"/>
      <w:numFmt w:val="bullet"/>
      <w:lvlText w:val=""/>
      <w:lvlJc w:val="left"/>
      <w:pPr>
        <w:tabs>
          <w:tab w:val="num" w:pos="0"/>
        </w:tabs>
        <w:ind w:left="720" w:hanging="360"/>
      </w:pPr>
      <w:rPr>
        <w:rFonts w:ascii="Wingdings" w:hAnsi="Wingdings" w:cs="Wingdings" w:hint="default"/>
        <w:u w:val="none"/>
      </w:rPr>
    </w:lvl>
    <w:lvl w:ilvl="1">
      <w:start w:val="1"/>
      <w:numFmt w:val="bullet"/>
      <w:lvlText w:val=""/>
      <w:lvlJc w:val="left"/>
      <w:pPr>
        <w:tabs>
          <w:tab w:val="num" w:pos="0"/>
        </w:tabs>
        <w:ind w:left="1440" w:hanging="360"/>
      </w:pPr>
      <w:rPr>
        <w:rFonts w:ascii="Wingdings 2" w:hAnsi="Wingdings 2" w:cs="Wingdings 2" w:hint="default"/>
        <w:u w:val="none"/>
      </w:rPr>
    </w:lvl>
    <w:lvl w:ilvl="2">
      <w:start w:val="1"/>
      <w:numFmt w:val="bullet"/>
      <w:lvlText w:val="■"/>
      <w:lvlJc w:val="left"/>
      <w:pPr>
        <w:tabs>
          <w:tab w:val="num" w:pos="0"/>
        </w:tabs>
        <w:ind w:left="2160" w:hanging="360"/>
      </w:pPr>
      <w:rPr>
        <w:rFonts w:ascii="OpenSymbol" w:hAnsi="OpenSymbol" w:cs="OpenSymbol" w:hint="default"/>
        <w:u w:val="none"/>
      </w:rPr>
    </w:lvl>
    <w:lvl w:ilvl="3">
      <w:start w:val="1"/>
      <w:numFmt w:val="bullet"/>
      <w:lvlText w:val=""/>
      <w:lvlJc w:val="left"/>
      <w:pPr>
        <w:tabs>
          <w:tab w:val="num" w:pos="0"/>
        </w:tabs>
        <w:ind w:left="2880" w:hanging="360"/>
      </w:pPr>
      <w:rPr>
        <w:rFonts w:ascii="Wingdings" w:hAnsi="Wingdings" w:cs="Wingdings" w:hint="default"/>
        <w:u w:val="none"/>
      </w:rPr>
    </w:lvl>
    <w:lvl w:ilvl="4">
      <w:start w:val="1"/>
      <w:numFmt w:val="bullet"/>
      <w:lvlText w:val=""/>
      <w:lvlJc w:val="left"/>
      <w:pPr>
        <w:tabs>
          <w:tab w:val="num" w:pos="0"/>
        </w:tabs>
        <w:ind w:left="3600" w:hanging="360"/>
      </w:pPr>
      <w:rPr>
        <w:rFonts w:ascii="Wingdings 2" w:hAnsi="Wingdings 2" w:cs="Wingdings 2" w:hint="default"/>
        <w:u w:val="none"/>
      </w:rPr>
    </w:lvl>
    <w:lvl w:ilvl="5">
      <w:start w:val="1"/>
      <w:numFmt w:val="bullet"/>
      <w:lvlText w:val="■"/>
      <w:lvlJc w:val="left"/>
      <w:pPr>
        <w:tabs>
          <w:tab w:val="num" w:pos="0"/>
        </w:tabs>
        <w:ind w:left="4320" w:hanging="360"/>
      </w:pPr>
      <w:rPr>
        <w:rFonts w:ascii="OpenSymbol" w:hAnsi="OpenSymbol" w:cs="OpenSymbol" w:hint="default"/>
        <w:u w:val="none"/>
      </w:rPr>
    </w:lvl>
    <w:lvl w:ilvl="6">
      <w:start w:val="1"/>
      <w:numFmt w:val="bullet"/>
      <w:lvlText w:val=""/>
      <w:lvlJc w:val="left"/>
      <w:pPr>
        <w:tabs>
          <w:tab w:val="num" w:pos="0"/>
        </w:tabs>
        <w:ind w:left="5040" w:hanging="360"/>
      </w:pPr>
      <w:rPr>
        <w:rFonts w:ascii="Wingdings" w:hAnsi="Wingdings" w:cs="Wingdings" w:hint="default"/>
        <w:u w:val="none"/>
      </w:rPr>
    </w:lvl>
    <w:lvl w:ilvl="7">
      <w:start w:val="1"/>
      <w:numFmt w:val="bullet"/>
      <w:lvlText w:val=""/>
      <w:lvlJc w:val="left"/>
      <w:pPr>
        <w:tabs>
          <w:tab w:val="num" w:pos="0"/>
        </w:tabs>
        <w:ind w:left="5760" w:hanging="360"/>
      </w:pPr>
      <w:rPr>
        <w:rFonts w:ascii="Wingdings 2" w:hAnsi="Wingdings 2" w:cs="Wingdings 2" w:hint="default"/>
        <w:u w:val="none"/>
      </w:rPr>
    </w:lvl>
    <w:lvl w:ilvl="8">
      <w:start w:val="1"/>
      <w:numFmt w:val="bullet"/>
      <w:lvlText w:val="■"/>
      <w:lvlJc w:val="left"/>
      <w:pPr>
        <w:tabs>
          <w:tab w:val="num" w:pos="0"/>
        </w:tabs>
        <w:ind w:left="6480" w:hanging="360"/>
      </w:pPr>
      <w:rPr>
        <w:rFonts w:ascii="OpenSymbol" w:hAnsi="OpenSymbol" w:cs="OpenSymbol" w:hint="default"/>
        <w:u w:val="none"/>
      </w:rPr>
    </w:lvl>
  </w:abstractNum>
  <w:abstractNum w:abstractNumId="10">
    <w:lvl w:ilvl="0">
      <w:start w:val="1"/>
      <w:numFmt w:val="bullet"/>
      <w:lvlText w:val=""/>
      <w:lvlJc w:val="left"/>
      <w:pPr>
        <w:tabs>
          <w:tab w:val="num" w:pos="0"/>
        </w:tabs>
        <w:ind w:left="720" w:hanging="360"/>
      </w:pPr>
      <w:rPr>
        <w:rFonts w:ascii="Wingdings" w:hAnsi="Wingdings" w:cs="Wingdings" w:hint="default"/>
        <w:u w:val="none"/>
      </w:rPr>
    </w:lvl>
    <w:lvl w:ilvl="1">
      <w:start w:val="1"/>
      <w:numFmt w:val="bullet"/>
      <w:lvlText w:val=""/>
      <w:lvlJc w:val="left"/>
      <w:pPr>
        <w:tabs>
          <w:tab w:val="num" w:pos="0"/>
        </w:tabs>
        <w:ind w:left="1440" w:hanging="360"/>
      </w:pPr>
      <w:rPr>
        <w:rFonts w:ascii="Wingdings 2" w:hAnsi="Wingdings 2" w:cs="Wingdings 2" w:hint="default"/>
        <w:u w:val="none"/>
      </w:rPr>
    </w:lvl>
    <w:lvl w:ilvl="2">
      <w:start w:val="1"/>
      <w:numFmt w:val="bullet"/>
      <w:lvlText w:val="■"/>
      <w:lvlJc w:val="left"/>
      <w:pPr>
        <w:tabs>
          <w:tab w:val="num" w:pos="0"/>
        </w:tabs>
        <w:ind w:left="2160" w:hanging="360"/>
      </w:pPr>
      <w:rPr>
        <w:rFonts w:ascii="OpenSymbol" w:hAnsi="OpenSymbol" w:cs="OpenSymbol" w:hint="default"/>
        <w:u w:val="none"/>
      </w:rPr>
    </w:lvl>
    <w:lvl w:ilvl="3">
      <w:start w:val="1"/>
      <w:numFmt w:val="bullet"/>
      <w:lvlText w:val=""/>
      <w:lvlJc w:val="left"/>
      <w:pPr>
        <w:tabs>
          <w:tab w:val="num" w:pos="0"/>
        </w:tabs>
        <w:ind w:left="2880" w:hanging="360"/>
      </w:pPr>
      <w:rPr>
        <w:rFonts w:ascii="Wingdings" w:hAnsi="Wingdings" w:cs="Wingdings" w:hint="default"/>
        <w:u w:val="none"/>
      </w:rPr>
    </w:lvl>
    <w:lvl w:ilvl="4">
      <w:start w:val="1"/>
      <w:numFmt w:val="bullet"/>
      <w:lvlText w:val=""/>
      <w:lvlJc w:val="left"/>
      <w:pPr>
        <w:tabs>
          <w:tab w:val="num" w:pos="0"/>
        </w:tabs>
        <w:ind w:left="3600" w:hanging="360"/>
      </w:pPr>
      <w:rPr>
        <w:rFonts w:ascii="Wingdings 2" w:hAnsi="Wingdings 2" w:cs="Wingdings 2" w:hint="default"/>
        <w:u w:val="none"/>
      </w:rPr>
    </w:lvl>
    <w:lvl w:ilvl="5">
      <w:start w:val="1"/>
      <w:numFmt w:val="bullet"/>
      <w:lvlText w:val="■"/>
      <w:lvlJc w:val="left"/>
      <w:pPr>
        <w:tabs>
          <w:tab w:val="num" w:pos="0"/>
        </w:tabs>
        <w:ind w:left="4320" w:hanging="360"/>
      </w:pPr>
      <w:rPr>
        <w:rFonts w:ascii="OpenSymbol" w:hAnsi="OpenSymbol" w:cs="OpenSymbol" w:hint="default"/>
        <w:u w:val="none"/>
      </w:rPr>
    </w:lvl>
    <w:lvl w:ilvl="6">
      <w:start w:val="1"/>
      <w:numFmt w:val="bullet"/>
      <w:lvlText w:val=""/>
      <w:lvlJc w:val="left"/>
      <w:pPr>
        <w:tabs>
          <w:tab w:val="num" w:pos="0"/>
        </w:tabs>
        <w:ind w:left="5040" w:hanging="360"/>
      </w:pPr>
      <w:rPr>
        <w:rFonts w:ascii="Wingdings" w:hAnsi="Wingdings" w:cs="Wingdings" w:hint="default"/>
        <w:u w:val="none"/>
      </w:rPr>
    </w:lvl>
    <w:lvl w:ilvl="7">
      <w:start w:val="1"/>
      <w:numFmt w:val="bullet"/>
      <w:lvlText w:val=""/>
      <w:lvlJc w:val="left"/>
      <w:pPr>
        <w:tabs>
          <w:tab w:val="num" w:pos="0"/>
        </w:tabs>
        <w:ind w:left="5760" w:hanging="360"/>
      </w:pPr>
      <w:rPr>
        <w:rFonts w:ascii="Wingdings 2" w:hAnsi="Wingdings 2" w:cs="Wingdings 2" w:hint="default"/>
        <w:u w:val="none"/>
      </w:rPr>
    </w:lvl>
    <w:lvl w:ilvl="8">
      <w:start w:val="1"/>
      <w:numFmt w:val="bullet"/>
      <w:lvlText w:val="■"/>
      <w:lvlJc w:val="left"/>
      <w:pPr>
        <w:tabs>
          <w:tab w:val="num" w:pos="0"/>
        </w:tabs>
        <w:ind w:left="6480" w:hanging="360"/>
      </w:pPr>
      <w:rPr>
        <w:rFonts w:ascii="OpenSymbol" w:hAnsi="OpenSymbol" w:cs="OpenSymbol" w:hint="default"/>
        <w:u w:val="none"/>
      </w:rPr>
    </w:lvl>
  </w:abstractNum>
  <w:abstractNum w:abstractNumId="11">
    <w:lvl w:ilvl="0">
      <w:start w:val="1"/>
      <w:numFmt w:val="bullet"/>
      <w:lvlText w:val=""/>
      <w:lvlJc w:val="left"/>
      <w:pPr>
        <w:tabs>
          <w:tab w:val="num" w:pos="0"/>
        </w:tabs>
        <w:ind w:left="720" w:hanging="360"/>
      </w:pPr>
      <w:rPr>
        <w:rFonts w:ascii="Wingdings" w:hAnsi="Wingdings" w:cs="Wingdings" w:hint="default"/>
        <w:u w:val="none"/>
      </w:rPr>
    </w:lvl>
    <w:lvl w:ilvl="1">
      <w:start w:val="1"/>
      <w:numFmt w:val="bullet"/>
      <w:lvlText w:val=""/>
      <w:lvlJc w:val="left"/>
      <w:pPr>
        <w:tabs>
          <w:tab w:val="num" w:pos="0"/>
        </w:tabs>
        <w:ind w:left="1440" w:hanging="360"/>
      </w:pPr>
      <w:rPr>
        <w:rFonts w:ascii="Wingdings 2" w:hAnsi="Wingdings 2" w:cs="Wingdings 2" w:hint="default"/>
        <w:u w:val="none"/>
      </w:rPr>
    </w:lvl>
    <w:lvl w:ilvl="2">
      <w:start w:val="1"/>
      <w:numFmt w:val="bullet"/>
      <w:lvlText w:val="■"/>
      <w:lvlJc w:val="left"/>
      <w:pPr>
        <w:tabs>
          <w:tab w:val="num" w:pos="0"/>
        </w:tabs>
        <w:ind w:left="2160" w:hanging="360"/>
      </w:pPr>
      <w:rPr>
        <w:rFonts w:ascii="OpenSymbol" w:hAnsi="OpenSymbol" w:cs="OpenSymbol" w:hint="default"/>
        <w:u w:val="none"/>
      </w:rPr>
    </w:lvl>
    <w:lvl w:ilvl="3">
      <w:start w:val="1"/>
      <w:numFmt w:val="bullet"/>
      <w:lvlText w:val=""/>
      <w:lvlJc w:val="left"/>
      <w:pPr>
        <w:tabs>
          <w:tab w:val="num" w:pos="0"/>
        </w:tabs>
        <w:ind w:left="2880" w:hanging="360"/>
      </w:pPr>
      <w:rPr>
        <w:rFonts w:ascii="Wingdings" w:hAnsi="Wingdings" w:cs="Wingdings" w:hint="default"/>
        <w:u w:val="none"/>
      </w:rPr>
    </w:lvl>
    <w:lvl w:ilvl="4">
      <w:start w:val="1"/>
      <w:numFmt w:val="bullet"/>
      <w:lvlText w:val=""/>
      <w:lvlJc w:val="left"/>
      <w:pPr>
        <w:tabs>
          <w:tab w:val="num" w:pos="0"/>
        </w:tabs>
        <w:ind w:left="3600" w:hanging="360"/>
      </w:pPr>
      <w:rPr>
        <w:rFonts w:ascii="Wingdings 2" w:hAnsi="Wingdings 2" w:cs="Wingdings 2" w:hint="default"/>
        <w:u w:val="none"/>
      </w:rPr>
    </w:lvl>
    <w:lvl w:ilvl="5">
      <w:start w:val="1"/>
      <w:numFmt w:val="bullet"/>
      <w:lvlText w:val="■"/>
      <w:lvlJc w:val="left"/>
      <w:pPr>
        <w:tabs>
          <w:tab w:val="num" w:pos="0"/>
        </w:tabs>
        <w:ind w:left="4320" w:hanging="360"/>
      </w:pPr>
      <w:rPr>
        <w:rFonts w:ascii="OpenSymbol" w:hAnsi="OpenSymbol" w:cs="OpenSymbol" w:hint="default"/>
        <w:u w:val="none"/>
      </w:rPr>
    </w:lvl>
    <w:lvl w:ilvl="6">
      <w:start w:val="1"/>
      <w:numFmt w:val="bullet"/>
      <w:lvlText w:val=""/>
      <w:lvlJc w:val="left"/>
      <w:pPr>
        <w:tabs>
          <w:tab w:val="num" w:pos="0"/>
        </w:tabs>
        <w:ind w:left="5040" w:hanging="360"/>
      </w:pPr>
      <w:rPr>
        <w:rFonts w:ascii="Wingdings" w:hAnsi="Wingdings" w:cs="Wingdings" w:hint="default"/>
        <w:u w:val="none"/>
      </w:rPr>
    </w:lvl>
    <w:lvl w:ilvl="7">
      <w:start w:val="1"/>
      <w:numFmt w:val="bullet"/>
      <w:lvlText w:val=""/>
      <w:lvlJc w:val="left"/>
      <w:pPr>
        <w:tabs>
          <w:tab w:val="num" w:pos="0"/>
        </w:tabs>
        <w:ind w:left="5760" w:hanging="360"/>
      </w:pPr>
      <w:rPr>
        <w:rFonts w:ascii="Wingdings 2" w:hAnsi="Wingdings 2" w:cs="Wingdings 2" w:hint="default"/>
        <w:u w:val="none"/>
      </w:rPr>
    </w:lvl>
    <w:lvl w:ilvl="8">
      <w:start w:val="1"/>
      <w:numFmt w:val="bullet"/>
      <w:lvlText w:val="■"/>
      <w:lvlJc w:val="left"/>
      <w:pPr>
        <w:tabs>
          <w:tab w:val="num" w:pos="0"/>
        </w:tabs>
        <w:ind w:left="6480" w:hanging="360"/>
      </w:pPr>
      <w:rPr>
        <w:rFonts w:ascii="OpenSymbol" w:hAnsi="OpenSymbol" w:cs="OpenSymbol" w:hint="default"/>
        <w:u w:val="none"/>
      </w:rPr>
    </w:lvl>
  </w:abstractNum>
  <w:abstractNum w:abstractNumId="12">
    <w:lvl w:ilvl="0">
      <w:start w:val="1"/>
      <w:numFmt w:val="bullet"/>
      <w:lvlText w:val=""/>
      <w:lvlJc w:val="left"/>
      <w:pPr>
        <w:tabs>
          <w:tab w:val="num" w:pos="0"/>
        </w:tabs>
        <w:ind w:left="720" w:hanging="360"/>
      </w:pPr>
      <w:rPr>
        <w:rFonts w:ascii="Wingdings" w:hAnsi="Wingdings" w:cs="Wingdings" w:hint="default"/>
        <w:u w:val="none"/>
      </w:rPr>
    </w:lvl>
    <w:lvl w:ilvl="1">
      <w:start w:val="1"/>
      <w:numFmt w:val="bullet"/>
      <w:lvlText w:val=""/>
      <w:lvlJc w:val="left"/>
      <w:pPr>
        <w:tabs>
          <w:tab w:val="num" w:pos="0"/>
        </w:tabs>
        <w:ind w:left="1440" w:hanging="360"/>
      </w:pPr>
      <w:rPr>
        <w:rFonts w:ascii="Wingdings 2" w:hAnsi="Wingdings 2" w:cs="Wingdings 2" w:hint="default"/>
        <w:u w:val="none"/>
      </w:rPr>
    </w:lvl>
    <w:lvl w:ilvl="2">
      <w:start w:val="1"/>
      <w:numFmt w:val="bullet"/>
      <w:lvlText w:val="■"/>
      <w:lvlJc w:val="left"/>
      <w:pPr>
        <w:tabs>
          <w:tab w:val="num" w:pos="0"/>
        </w:tabs>
        <w:ind w:left="2160" w:hanging="360"/>
      </w:pPr>
      <w:rPr>
        <w:rFonts w:ascii="OpenSymbol" w:hAnsi="OpenSymbol" w:cs="OpenSymbol" w:hint="default"/>
        <w:u w:val="none"/>
      </w:rPr>
    </w:lvl>
    <w:lvl w:ilvl="3">
      <w:start w:val="1"/>
      <w:numFmt w:val="bullet"/>
      <w:lvlText w:val=""/>
      <w:lvlJc w:val="left"/>
      <w:pPr>
        <w:tabs>
          <w:tab w:val="num" w:pos="0"/>
        </w:tabs>
        <w:ind w:left="2880" w:hanging="360"/>
      </w:pPr>
      <w:rPr>
        <w:rFonts w:ascii="Wingdings" w:hAnsi="Wingdings" w:cs="Wingdings" w:hint="default"/>
        <w:u w:val="none"/>
      </w:rPr>
    </w:lvl>
    <w:lvl w:ilvl="4">
      <w:start w:val="1"/>
      <w:numFmt w:val="bullet"/>
      <w:lvlText w:val=""/>
      <w:lvlJc w:val="left"/>
      <w:pPr>
        <w:tabs>
          <w:tab w:val="num" w:pos="0"/>
        </w:tabs>
        <w:ind w:left="3600" w:hanging="360"/>
      </w:pPr>
      <w:rPr>
        <w:rFonts w:ascii="Wingdings 2" w:hAnsi="Wingdings 2" w:cs="Wingdings 2" w:hint="default"/>
        <w:u w:val="none"/>
      </w:rPr>
    </w:lvl>
    <w:lvl w:ilvl="5">
      <w:start w:val="1"/>
      <w:numFmt w:val="bullet"/>
      <w:lvlText w:val="■"/>
      <w:lvlJc w:val="left"/>
      <w:pPr>
        <w:tabs>
          <w:tab w:val="num" w:pos="0"/>
        </w:tabs>
        <w:ind w:left="4320" w:hanging="360"/>
      </w:pPr>
      <w:rPr>
        <w:rFonts w:ascii="OpenSymbol" w:hAnsi="OpenSymbol" w:cs="OpenSymbol" w:hint="default"/>
        <w:u w:val="none"/>
      </w:rPr>
    </w:lvl>
    <w:lvl w:ilvl="6">
      <w:start w:val="1"/>
      <w:numFmt w:val="bullet"/>
      <w:lvlText w:val=""/>
      <w:lvlJc w:val="left"/>
      <w:pPr>
        <w:tabs>
          <w:tab w:val="num" w:pos="0"/>
        </w:tabs>
        <w:ind w:left="5040" w:hanging="360"/>
      </w:pPr>
      <w:rPr>
        <w:rFonts w:ascii="Wingdings" w:hAnsi="Wingdings" w:cs="Wingdings" w:hint="default"/>
        <w:u w:val="none"/>
      </w:rPr>
    </w:lvl>
    <w:lvl w:ilvl="7">
      <w:start w:val="1"/>
      <w:numFmt w:val="bullet"/>
      <w:lvlText w:val=""/>
      <w:lvlJc w:val="left"/>
      <w:pPr>
        <w:tabs>
          <w:tab w:val="num" w:pos="0"/>
        </w:tabs>
        <w:ind w:left="5760" w:hanging="360"/>
      </w:pPr>
      <w:rPr>
        <w:rFonts w:ascii="Wingdings 2" w:hAnsi="Wingdings 2" w:cs="Wingdings 2" w:hint="default"/>
        <w:u w:val="none"/>
      </w:rPr>
    </w:lvl>
    <w:lvl w:ilvl="8">
      <w:start w:val="1"/>
      <w:numFmt w:val="bullet"/>
      <w:lvlText w:val="■"/>
      <w:lvlJc w:val="left"/>
      <w:pPr>
        <w:tabs>
          <w:tab w:val="num" w:pos="0"/>
        </w:tabs>
        <w:ind w:left="6480" w:hanging="360"/>
      </w:pPr>
      <w:rPr>
        <w:rFonts w:ascii="OpenSymbol" w:hAnsi="OpenSymbol" w:cs="OpenSymbol" w:hint="default"/>
        <w:u w:val="none"/>
      </w:rPr>
    </w:lvl>
  </w:abstractNum>
  <w:abstractNum w:abstractNumId="13">
    <w:lvl w:ilvl="0">
      <w:start w:val="1"/>
      <w:numFmt w:val="upperLetter"/>
      <w:lvlText w:val="%1."/>
      <w:lvlJc w:val="left"/>
      <w:pPr>
        <w:tabs>
          <w:tab w:val="num" w:pos="0"/>
        </w:tabs>
        <w:ind w:left="720" w:hanging="360"/>
      </w:pPr>
      <w:rPr>
        <w:u w:val="none"/>
      </w:rPr>
    </w:lvl>
    <w:lvl w:ilvl="1">
      <w:start w:val="1"/>
      <w:numFmt w:val="lowerLetter"/>
      <w:lvlText w:val="%2."/>
      <w:lvlJc w:val="left"/>
      <w:pPr>
        <w:tabs>
          <w:tab w:val="num" w:pos="0"/>
        </w:tabs>
        <w:ind w:left="1440" w:hanging="360"/>
      </w:pPr>
      <w:rPr>
        <w:u w:val="none"/>
      </w:rPr>
    </w:lvl>
    <w:lvl w:ilvl="2">
      <w:start w:val="1"/>
      <w:numFmt w:val="lowerRoman"/>
      <w:lvlText w:val="%3."/>
      <w:lvlJc w:val="right"/>
      <w:pPr>
        <w:tabs>
          <w:tab w:val="num" w:pos="0"/>
        </w:tabs>
        <w:ind w:left="2160" w:hanging="360"/>
      </w:pPr>
      <w:rPr>
        <w:u w:val="none"/>
      </w:rPr>
    </w:lvl>
    <w:lvl w:ilvl="3">
      <w:start w:val="1"/>
      <w:numFmt w:val="decimal"/>
      <w:lvlText w:val="%4."/>
      <w:lvlJc w:val="left"/>
      <w:pPr>
        <w:tabs>
          <w:tab w:val="num" w:pos="0"/>
        </w:tabs>
        <w:ind w:left="2880" w:hanging="360"/>
      </w:pPr>
      <w:rPr>
        <w:u w:val="none"/>
      </w:rPr>
    </w:lvl>
    <w:lvl w:ilvl="4">
      <w:start w:val="1"/>
      <w:numFmt w:val="lowerLetter"/>
      <w:lvlText w:val="%5."/>
      <w:lvlJc w:val="left"/>
      <w:pPr>
        <w:tabs>
          <w:tab w:val="num" w:pos="0"/>
        </w:tabs>
        <w:ind w:left="3600" w:hanging="360"/>
      </w:pPr>
      <w:rPr>
        <w:u w:val="none"/>
      </w:rPr>
    </w:lvl>
    <w:lvl w:ilvl="5">
      <w:start w:val="1"/>
      <w:numFmt w:val="lowerRoman"/>
      <w:lvlText w:val="%6."/>
      <w:lvlJc w:val="right"/>
      <w:pPr>
        <w:tabs>
          <w:tab w:val="num" w:pos="0"/>
        </w:tabs>
        <w:ind w:left="4320" w:hanging="360"/>
      </w:pPr>
      <w:rPr>
        <w:u w:val="none"/>
      </w:rPr>
    </w:lvl>
    <w:lvl w:ilvl="6">
      <w:start w:val="1"/>
      <w:numFmt w:val="decimal"/>
      <w:lvlText w:val="%7."/>
      <w:lvlJc w:val="left"/>
      <w:pPr>
        <w:tabs>
          <w:tab w:val="num" w:pos="0"/>
        </w:tabs>
        <w:ind w:left="5040" w:hanging="360"/>
      </w:pPr>
      <w:rPr>
        <w:u w:val="none"/>
      </w:rPr>
    </w:lvl>
    <w:lvl w:ilvl="7">
      <w:start w:val="1"/>
      <w:numFmt w:val="lowerLetter"/>
      <w:lvlText w:val="%8."/>
      <w:lvlJc w:val="left"/>
      <w:pPr>
        <w:tabs>
          <w:tab w:val="num" w:pos="0"/>
        </w:tabs>
        <w:ind w:left="5760" w:hanging="360"/>
      </w:pPr>
      <w:rPr>
        <w:u w:val="none"/>
      </w:rPr>
    </w:lvl>
    <w:lvl w:ilvl="8">
      <w:start w:val="1"/>
      <w:numFmt w:val="lowerRoman"/>
      <w:lvlText w:val="%9."/>
      <w:lvlJc w:val="right"/>
      <w:pPr>
        <w:tabs>
          <w:tab w:val="num" w:pos="0"/>
        </w:tabs>
        <w:ind w:left="6480" w:hanging="360"/>
      </w:pPr>
      <w:rPr>
        <w:u w:val="none"/>
      </w:rPr>
    </w:lvl>
  </w:abstractNum>
  <w:abstractNum w:abstractNumId="14">
    <w:lvl w:ilvl="0">
      <w:start w:val="1"/>
      <w:numFmt w:val="bullet"/>
      <w:lvlText w:val=""/>
      <w:lvlJc w:val="left"/>
      <w:pPr>
        <w:tabs>
          <w:tab w:val="num" w:pos="0"/>
        </w:tabs>
        <w:ind w:left="720" w:hanging="360"/>
      </w:pPr>
      <w:rPr>
        <w:rFonts w:ascii="Wingdings" w:hAnsi="Wingdings" w:cs="Wingdings" w:hint="default"/>
        <w:u w:val="none"/>
      </w:rPr>
    </w:lvl>
    <w:lvl w:ilvl="1">
      <w:start w:val="1"/>
      <w:numFmt w:val="bullet"/>
      <w:lvlText w:val=""/>
      <w:lvlJc w:val="left"/>
      <w:pPr>
        <w:tabs>
          <w:tab w:val="num" w:pos="0"/>
        </w:tabs>
        <w:ind w:left="1440" w:hanging="360"/>
      </w:pPr>
      <w:rPr>
        <w:rFonts w:ascii="Wingdings 2" w:hAnsi="Wingdings 2" w:cs="Wingdings 2" w:hint="default"/>
        <w:u w:val="none"/>
      </w:rPr>
    </w:lvl>
    <w:lvl w:ilvl="2">
      <w:start w:val="1"/>
      <w:numFmt w:val="bullet"/>
      <w:lvlText w:val="■"/>
      <w:lvlJc w:val="left"/>
      <w:pPr>
        <w:tabs>
          <w:tab w:val="num" w:pos="0"/>
        </w:tabs>
        <w:ind w:left="2160" w:hanging="360"/>
      </w:pPr>
      <w:rPr>
        <w:rFonts w:ascii="OpenSymbol" w:hAnsi="OpenSymbol" w:cs="OpenSymbol" w:hint="default"/>
        <w:u w:val="none"/>
      </w:rPr>
    </w:lvl>
    <w:lvl w:ilvl="3">
      <w:start w:val="1"/>
      <w:numFmt w:val="bullet"/>
      <w:lvlText w:val=""/>
      <w:lvlJc w:val="left"/>
      <w:pPr>
        <w:tabs>
          <w:tab w:val="num" w:pos="0"/>
        </w:tabs>
        <w:ind w:left="2880" w:hanging="360"/>
      </w:pPr>
      <w:rPr>
        <w:rFonts w:ascii="Wingdings" w:hAnsi="Wingdings" w:cs="Wingdings" w:hint="default"/>
        <w:u w:val="none"/>
      </w:rPr>
    </w:lvl>
    <w:lvl w:ilvl="4">
      <w:start w:val="1"/>
      <w:numFmt w:val="bullet"/>
      <w:lvlText w:val=""/>
      <w:lvlJc w:val="left"/>
      <w:pPr>
        <w:tabs>
          <w:tab w:val="num" w:pos="0"/>
        </w:tabs>
        <w:ind w:left="3600" w:hanging="360"/>
      </w:pPr>
      <w:rPr>
        <w:rFonts w:ascii="Wingdings 2" w:hAnsi="Wingdings 2" w:cs="Wingdings 2" w:hint="default"/>
        <w:u w:val="none"/>
      </w:rPr>
    </w:lvl>
    <w:lvl w:ilvl="5">
      <w:start w:val="1"/>
      <w:numFmt w:val="bullet"/>
      <w:lvlText w:val="■"/>
      <w:lvlJc w:val="left"/>
      <w:pPr>
        <w:tabs>
          <w:tab w:val="num" w:pos="0"/>
        </w:tabs>
        <w:ind w:left="4320" w:hanging="360"/>
      </w:pPr>
      <w:rPr>
        <w:rFonts w:ascii="OpenSymbol" w:hAnsi="OpenSymbol" w:cs="OpenSymbol" w:hint="default"/>
        <w:u w:val="none"/>
      </w:rPr>
    </w:lvl>
    <w:lvl w:ilvl="6">
      <w:start w:val="1"/>
      <w:numFmt w:val="bullet"/>
      <w:lvlText w:val=""/>
      <w:lvlJc w:val="left"/>
      <w:pPr>
        <w:tabs>
          <w:tab w:val="num" w:pos="0"/>
        </w:tabs>
        <w:ind w:left="5040" w:hanging="360"/>
      </w:pPr>
      <w:rPr>
        <w:rFonts w:ascii="Wingdings" w:hAnsi="Wingdings" w:cs="Wingdings" w:hint="default"/>
        <w:u w:val="none"/>
      </w:rPr>
    </w:lvl>
    <w:lvl w:ilvl="7">
      <w:start w:val="1"/>
      <w:numFmt w:val="bullet"/>
      <w:lvlText w:val=""/>
      <w:lvlJc w:val="left"/>
      <w:pPr>
        <w:tabs>
          <w:tab w:val="num" w:pos="0"/>
        </w:tabs>
        <w:ind w:left="5760" w:hanging="360"/>
      </w:pPr>
      <w:rPr>
        <w:rFonts w:ascii="Wingdings 2" w:hAnsi="Wingdings 2" w:cs="Wingdings 2" w:hint="default"/>
        <w:u w:val="none"/>
      </w:rPr>
    </w:lvl>
    <w:lvl w:ilvl="8">
      <w:start w:val="1"/>
      <w:numFmt w:val="bullet"/>
      <w:lvlText w:val="■"/>
      <w:lvlJc w:val="left"/>
      <w:pPr>
        <w:tabs>
          <w:tab w:val="num" w:pos="0"/>
        </w:tabs>
        <w:ind w:left="6480" w:hanging="360"/>
      </w:pPr>
      <w:rPr>
        <w:rFonts w:ascii="OpenSymbol" w:hAnsi="OpenSymbol" w:cs="OpenSymbol" w:hint="default"/>
        <w:u w:val="none"/>
      </w:rPr>
    </w:lvl>
  </w:abstractNum>
  <w:abstractNum w:abstractNumId="15">
    <w:lvl w:ilvl="0">
      <w:start w:val="1"/>
      <w:numFmt w:val="bullet"/>
      <w:lvlText w:val=""/>
      <w:lvlJc w:val="left"/>
      <w:pPr>
        <w:tabs>
          <w:tab w:val="num" w:pos="0"/>
        </w:tabs>
        <w:ind w:left="720" w:hanging="360"/>
      </w:pPr>
      <w:rPr>
        <w:rFonts w:ascii="Wingdings" w:hAnsi="Wingdings" w:cs="Wingdings" w:hint="default"/>
        <w:u w:val="none"/>
      </w:rPr>
    </w:lvl>
    <w:lvl w:ilvl="1">
      <w:start w:val="1"/>
      <w:numFmt w:val="bullet"/>
      <w:lvlText w:val=""/>
      <w:lvlJc w:val="left"/>
      <w:pPr>
        <w:tabs>
          <w:tab w:val="num" w:pos="0"/>
        </w:tabs>
        <w:ind w:left="1440" w:hanging="360"/>
      </w:pPr>
      <w:rPr>
        <w:rFonts w:ascii="Wingdings 2" w:hAnsi="Wingdings 2" w:cs="Wingdings 2" w:hint="default"/>
        <w:u w:val="none"/>
      </w:rPr>
    </w:lvl>
    <w:lvl w:ilvl="2">
      <w:start w:val="1"/>
      <w:numFmt w:val="bullet"/>
      <w:lvlText w:val="■"/>
      <w:lvlJc w:val="left"/>
      <w:pPr>
        <w:tabs>
          <w:tab w:val="num" w:pos="0"/>
        </w:tabs>
        <w:ind w:left="2160" w:hanging="360"/>
      </w:pPr>
      <w:rPr>
        <w:rFonts w:ascii="OpenSymbol" w:hAnsi="OpenSymbol" w:cs="OpenSymbol" w:hint="default"/>
        <w:u w:val="none"/>
      </w:rPr>
    </w:lvl>
    <w:lvl w:ilvl="3">
      <w:start w:val="1"/>
      <w:numFmt w:val="bullet"/>
      <w:lvlText w:val=""/>
      <w:lvlJc w:val="left"/>
      <w:pPr>
        <w:tabs>
          <w:tab w:val="num" w:pos="0"/>
        </w:tabs>
        <w:ind w:left="2880" w:hanging="360"/>
      </w:pPr>
      <w:rPr>
        <w:rFonts w:ascii="Wingdings" w:hAnsi="Wingdings" w:cs="Wingdings" w:hint="default"/>
        <w:u w:val="none"/>
      </w:rPr>
    </w:lvl>
    <w:lvl w:ilvl="4">
      <w:start w:val="1"/>
      <w:numFmt w:val="bullet"/>
      <w:lvlText w:val=""/>
      <w:lvlJc w:val="left"/>
      <w:pPr>
        <w:tabs>
          <w:tab w:val="num" w:pos="0"/>
        </w:tabs>
        <w:ind w:left="3600" w:hanging="360"/>
      </w:pPr>
      <w:rPr>
        <w:rFonts w:ascii="Wingdings 2" w:hAnsi="Wingdings 2" w:cs="Wingdings 2" w:hint="default"/>
        <w:u w:val="none"/>
      </w:rPr>
    </w:lvl>
    <w:lvl w:ilvl="5">
      <w:start w:val="1"/>
      <w:numFmt w:val="bullet"/>
      <w:lvlText w:val="■"/>
      <w:lvlJc w:val="left"/>
      <w:pPr>
        <w:tabs>
          <w:tab w:val="num" w:pos="0"/>
        </w:tabs>
        <w:ind w:left="4320" w:hanging="360"/>
      </w:pPr>
      <w:rPr>
        <w:rFonts w:ascii="OpenSymbol" w:hAnsi="OpenSymbol" w:cs="OpenSymbol" w:hint="default"/>
        <w:u w:val="none"/>
      </w:rPr>
    </w:lvl>
    <w:lvl w:ilvl="6">
      <w:start w:val="1"/>
      <w:numFmt w:val="bullet"/>
      <w:lvlText w:val=""/>
      <w:lvlJc w:val="left"/>
      <w:pPr>
        <w:tabs>
          <w:tab w:val="num" w:pos="0"/>
        </w:tabs>
        <w:ind w:left="5040" w:hanging="360"/>
      </w:pPr>
      <w:rPr>
        <w:rFonts w:ascii="Wingdings" w:hAnsi="Wingdings" w:cs="Wingdings" w:hint="default"/>
        <w:u w:val="none"/>
      </w:rPr>
    </w:lvl>
    <w:lvl w:ilvl="7">
      <w:start w:val="1"/>
      <w:numFmt w:val="bullet"/>
      <w:lvlText w:val=""/>
      <w:lvlJc w:val="left"/>
      <w:pPr>
        <w:tabs>
          <w:tab w:val="num" w:pos="0"/>
        </w:tabs>
        <w:ind w:left="5760" w:hanging="360"/>
      </w:pPr>
      <w:rPr>
        <w:rFonts w:ascii="Wingdings 2" w:hAnsi="Wingdings 2" w:cs="Wingdings 2" w:hint="default"/>
        <w:u w:val="none"/>
      </w:rPr>
    </w:lvl>
    <w:lvl w:ilvl="8">
      <w:start w:val="1"/>
      <w:numFmt w:val="bullet"/>
      <w:lvlText w:val="■"/>
      <w:lvlJc w:val="left"/>
      <w:pPr>
        <w:tabs>
          <w:tab w:val="num" w:pos="0"/>
        </w:tabs>
        <w:ind w:left="6480" w:hanging="360"/>
      </w:pPr>
      <w:rPr>
        <w:rFonts w:ascii="OpenSymbol" w:hAnsi="OpenSymbol" w:cs="OpenSymbol" w:hint="default"/>
        <w:u w:val="none"/>
      </w:rPr>
    </w:lvl>
  </w:abstractNum>
  <w:abstractNum w:abstractNumId="16">
    <w:lvl w:ilvl="0">
      <w:start w:val="1"/>
      <w:numFmt w:val="bullet"/>
      <w:lvlText w:val=""/>
      <w:lvlJc w:val="left"/>
      <w:pPr>
        <w:tabs>
          <w:tab w:val="num" w:pos="0"/>
        </w:tabs>
        <w:ind w:left="720" w:hanging="360"/>
      </w:pPr>
      <w:rPr>
        <w:rFonts w:ascii="Wingdings" w:hAnsi="Wingdings" w:cs="Wingdings" w:hint="default"/>
        <w:u w:val="none"/>
      </w:rPr>
    </w:lvl>
    <w:lvl w:ilvl="1">
      <w:start w:val="1"/>
      <w:numFmt w:val="bullet"/>
      <w:lvlText w:val=""/>
      <w:lvlJc w:val="left"/>
      <w:pPr>
        <w:tabs>
          <w:tab w:val="num" w:pos="0"/>
        </w:tabs>
        <w:ind w:left="1440" w:hanging="360"/>
      </w:pPr>
      <w:rPr>
        <w:rFonts w:ascii="Wingdings 2" w:hAnsi="Wingdings 2" w:cs="Wingdings 2" w:hint="default"/>
        <w:u w:val="none"/>
      </w:rPr>
    </w:lvl>
    <w:lvl w:ilvl="2">
      <w:start w:val="1"/>
      <w:numFmt w:val="bullet"/>
      <w:lvlText w:val="■"/>
      <w:lvlJc w:val="left"/>
      <w:pPr>
        <w:tabs>
          <w:tab w:val="num" w:pos="0"/>
        </w:tabs>
        <w:ind w:left="2160" w:hanging="360"/>
      </w:pPr>
      <w:rPr>
        <w:rFonts w:ascii="OpenSymbol" w:hAnsi="OpenSymbol" w:cs="OpenSymbol" w:hint="default"/>
        <w:u w:val="none"/>
      </w:rPr>
    </w:lvl>
    <w:lvl w:ilvl="3">
      <w:start w:val="1"/>
      <w:numFmt w:val="bullet"/>
      <w:lvlText w:val=""/>
      <w:lvlJc w:val="left"/>
      <w:pPr>
        <w:tabs>
          <w:tab w:val="num" w:pos="0"/>
        </w:tabs>
        <w:ind w:left="2880" w:hanging="360"/>
      </w:pPr>
      <w:rPr>
        <w:rFonts w:ascii="Wingdings" w:hAnsi="Wingdings" w:cs="Wingdings" w:hint="default"/>
        <w:u w:val="none"/>
      </w:rPr>
    </w:lvl>
    <w:lvl w:ilvl="4">
      <w:start w:val="1"/>
      <w:numFmt w:val="bullet"/>
      <w:lvlText w:val=""/>
      <w:lvlJc w:val="left"/>
      <w:pPr>
        <w:tabs>
          <w:tab w:val="num" w:pos="0"/>
        </w:tabs>
        <w:ind w:left="3600" w:hanging="360"/>
      </w:pPr>
      <w:rPr>
        <w:rFonts w:ascii="Wingdings 2" w:hAnsi="Wingdings 2" w:cs="Wingdings 2" w:hint="default"/>
        <w:u w:val="none"/>
      </w:rPr>
    </w:lvl>
    <w:lvl w:ilvl="5">
      <w:start w:val="1"/>
      <w:numFmt w:val="bullet"/>
      <w:lvlText w:val="■"/>
      <w:lvlJc w:val="left"/>
      <w:pPr>
        <w:tabs>
          <w:tab w:val="num" w:pos="0"/>
        </w:tabs>
        <w:ind w:left="4320" w:hanging="360"/>
      </w:pPr>
      <w:rPr>
        <w:rFonts w:ascii="OpenSymbol" w:hAnsi="OpenSymbol" w:cs="OpenSymbol" w:hint="default"/>
        <w:u w:val="none"/>
      </w:rPr>
    </w:lvl>
    <w:lvl w:ilvl="6">
      <w:start w:val="1"/>
      <w:numFmt w:val="bullet"/>
      <w:lvlText w:val=""/>
      <w:lvlJc w:val="left"/>
      <w:pPr>
        <w:tabs>
          <w:tab w:val="num" w:pos="0"/>
        </w:tabs>
        <w:ind w:left="5040" w:hanging="360"/>
      </w:pPr>
      <w:rPr>
        <w:rFonts w:ascii="Wingdings" w:hAnsi="Wingdings" w:cs="Wingdings" w:hint="default"/>
        <w:u w:val="none"/>
      </w:rPr>
    </w:lvl>
    <w:lvl w:ilvl="7">
      <w:start w:val="1"/>
      <w:numFmt w:val="bullet"/>
      <w:lvlText w:val=""/>
      <w:lvlJc w:val="left"/>
      <w:pPr>
        <w:tabs>
          <w:tab w:val="num" w:pos="0"/>
        </w:tabs>
        <w:ind w:left="5760" w:hanging="360"/>
      </w:pPr>
      <w:rPr>
        <w:rFonts w:ascii="Wingdings 2" w:hAnsi="Wingdings 2" w:cs="Wingdings 2" w:hint="default"/>
        <w:u w:val="none"/>
      </w:rPr>
    </w:lvl>
    <w:lvl w:ilvl="8">
      <w:start w:val="1"/>
      <w:numFmt w:val="bullet"/>
      <w:lvlText w:val="■"/>
      <w:lvlJc w:val="left"/>
      <w:pPr>
        <w:tabs>
          <w:tab w:val="num" w:pos="0"/>
        </w:tabs>
        <w:ind w:left="6480" w:hanging="360"/>
      </w:pPr>
      <w:rPr>
        <w:rFonts w:ascii="OpenSymbol" w:hAnsi="OpenSymbol" w:cs="OpenSymbol" w:hint="default"/>
        <w:u w:val="none"/>
      </w:rPr>
    </w:lvl>
  </w:abstractNum>
  <w:abstractNum w:abstractNumId="17">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bering>
</file>

<file path=word/settings.xml><?xml version="1.0" encoding="utf-8"?>
<w:settings xmlns:w="http://schemas.openxmlformats.org/wordprocessingml/2006/main">
  <w:zoom w:percent="100"/>
  <w:embedTrueTypeFonts/>
  <w:defaultTabStop w:val="720"/>
  <w:autoHyphenation w:val="true"/>
  <w:hyphenationZone w:val="0"/>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IN"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rial" w:hAnsi="Arial" w:eastAsia="Arial" w:cs="Arial"/>
        <w:sz w:val="24"/>
        <w:szCs w:val="24"/>
        <w:lang w:val="en-GB" w:eastAsia="en-IN" w:bidi="ar-SA"/>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suppressAutoHyphens w:val="true"/>
      <w:bidi w:val="0"/>
      <w:spacing w:lineRule="auto" w:line="360" w:before="0" w:after="0"/>
      <w:jc w:val="both"/>
    </w:pPr>
    <w:rPr>
      <w:rFonts w:ascii="Arial" w:hAnsi="Arial" w:eastAsia="Arial" w:cs="Arial"/>
      <w:color w:val="auto"/>
      <w:kern w:val="0"/>
      <w:sz w:val="24"/>
      <w:szCs w:val="24"/>
      <w:lang w:val="en-GB" w:eastAsia="en-IN" w:bidi="ar-SA"/>
    </w:rPr>
  </w:style>
  <w:style w:type="paragraph" w:styleId="Heading1">
    <w:name w:val="heading 1"/>
    <w:basedOn w:val="Normal"/>
    <w:next w:val="Normal"/>
    <w:uiPriority w:val="9"/>
    <w:qFormat/>
    <w:pPr>
      <w:keepNext w:val="true"/>
      <w:keepLines/>
      <w:outlineLvl w:val="0"/>
    </w:pPr>
    <w:rPr>
      <w:b/>
      <w:bCs/>
      <w:sz w:val="28"/>
      <w:szCs w:val="28"/>
    </w:rPr>
  </w:style>
  <w:style w:type="paragraph" w:styleId="Heading2">
    <w:name w:val="heading 2"/>
    <w:basedOn w:val="Normal"/>
    <w:next w:val="Normal"/>
    <w:uiPriority w:val="9"/>
    <w:unhideWhenUsed/>
    <w:qFormat/>
    <w:pPr>
      <w:keepNext w:val="true"/>
      <w:keepLines/>
      <w:outlineLvl w:val="1"/>
    </w:pPr>
    <w:rPr>
      <w:b/>
      <w:bCs/>
      <w:sz w:val="26"/>
      <w:szCs w:val="26"/>
    </w:rPr>
  </w:style>
  <w:style w:type="paragraph" w:styleId="Heading3">
    <w:name w:val="heading 3"/>
    <w:basedOn w:val="Normal"/>
    <w:next w:val="Normal"/>
    <w:uiPriority w:val="9"/>
    <w:semiHidden/>
    <w:unhideWhenUsed/>
    <w:qFormat/>
    <w:pPr>
      <w:keepNext w:val="true"/>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val="true"/>
      <w:keepLines/>
      <w:spacing w:before="280" w:after="80"/>
      <w:outlineLvl w:val="3"/>
    </w:pPr>
    <w:rPr>
      <w:color w:val="666666"/>
    </w:rPr>
  </w:style>
  <w:style w:type="paragraph" w:styleId="Heading5">
    <w:name w:val="heading 5"/>
    <w:basedOn w:val="Normal"/>
    <w:next w:val="Normal"/>
    <w:uiPriority w:val="9"/>
    <w:semiHidden/>
    <w:unhideWhenUsed/>
    <w:qFormat/>
    <w:pPr>
      <w:keepNext w:val="true"/>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val="true"/>
      <w:keepLines/>
      <w:spacing w:before="240" w:after="80"/>
      <w:outlineLvl w:val="5"/>
    </w:pPr>
    <w:rPr>
      <w:i/>
      <w:iCs/>
      <w:color w:val="666666"/>
      <w:sz w:val="22"/>
      <w:szCs w:val="22"/>
    </w:rPr>
  </w:style>
  <w:style w:type="character" w:styleId="DefaultParagraphFont" w:default="1">
    <w:name w:val="Default Paragraph Font"/>
    <w:uiPriority w:val="1"/>
    <w:semiHidden/>
    <w:unhideWhenUsed/>
    <w:qFormat/>
    <w:rPr/>
  </w:style>
  <w:style w:type="character" w:styleId="CommentTextChar" w:customStyle="1">
    <w:name w:val="Comment Text Char"/>
    <w:basedOn w:val="DefaultParagraphFont"/>
    <w:link w:val="CommentText"/>
    <w:uiPriority w:val="99"/>
    <w:semiHidden/>
    <w:qFormat/>
    <w:rPr>
      <w:sz w:val="20"/>
      <w:szCs w:val="20"/>
    </w:rPr>
  </w:style>
  <w:style w:type="character" w:styleId="CommentReference">
    <w:name w:val="annotation reference"/>
    <w:basedOn w:val="DefaultParagraphFont"/>
    <w:uiPriority w:val="99"/>
    <w:semiHidden/>
    <w:unhideWhenUsed/>
    <w:qFormat/>
    <w:rPr>
      <w:sz w:val="16"/>
      <w:szCs w:val="16"/>
    </w:rPr>
  </w:style>
  <w:style w:type="character" w:styleId="BalloonTextChar" w:customStyle="1">
    <w:name w:val="Balloon Text Char"/>
    <w:basedOn w:val="DefaultParagraphFont"/>
    <w:link w:val="BalloonText"/>
    <w:uiPriority w:val="99"/>
    <w:semiHidden/>
    <w:qFormat/>
    <w:rsid w:val="00605fe2"/>
    <w:rPr>
      <w:rFonts w:ascii="Segoe UI" w:hAnsi="Segoe UI" w:cs="Segoe UI"/>
      <w:sz w:val="18"/>
      <w:szCs w:val="18"/>
    </w:rPr>
  </w:style>
  <w:style w:type="character" w:styleId="Hyperlink">
    <w:name w:val="Hyperlink"/>
    <w:basedOn w:val="DefaultParagraphFont"/>
    <w:uiPriority w:val="99"/>
    <w:unhideWhenUsed/>
    <w:rsid w:val="00605fe2"/>
    <w:rPr>
      <w:color w:themeColor="hyperlink" w:val="0000FF"/>
      <w:u w:val="single"/>
    </w:rPr>
  </w:style>
  <w:style w:type="character" w:styleId="IndexLink">
    <w:name w:val="Index Link"/>
    <w:qFormat/>
    <w:rPr/>
  </w:style>
  <w:style w:type="paragraph" w:styleId="Heading">
    <w:name w:val="Heading"/>
    <w:basedOn w:val="Normal"/>
    <w:next w:val="BodyText"/>
    <w:qFormat/>
    <w:pPr>
      <w:keepNext w:val="true"/>
      <w:spacing w:before="240" w:after="120"/>
    </w:pPr>
    <w:rPr>
      <w:rFonts w:ascii="Liberation Sans" w:hAnsi="Liberation Sans" w:eastAsia="Liberation Sans" w:cs="Liberation Sans"/>
      <w:sz w:val="28"/>
      <w:szCs w:val="28"/>
    </w:rPr>
  </w:style>
  <w:style w:type="paragraph" w:styleId="BodyText">
    <w:name w:val="Body Text"/>
    <w:basedOn w:val="Normal"/>
    <w:pPr>
      <w:spacing w:lineRule="auto" w:line="276" w:before="0" w:after="140"/>
    </w:pPr>
    <w:rPr/>
  </w:style>
  <w:style w:type="paragraph" w:styleId="List">
    <w:name w:val="List"/>
    <w:basedOn w:val="BodyText"/>
    <w:pPr/>
    <w:rPr/>
  </w:style>
  <w:style w:type="paragraph" w:styleId="Caption">
    <w:name w:val="caption"/>
    <w:basedOn w:val="Normal"/>
    <w:qFormat/>
    <w:pPr>
      <w:suppressLineNumbers/>
      <w:spacing w:before="120" w:after="120"/>
    </w:pPr>
    <w:rPr>
      <w:i/>
      <w:iCs/>
      <w:sz w:val="24"/>
      <w:szCs w:val="24"/>
    </w:rPr>
  </w:style>
  <w:style w:type="paragraph" w:styleId="Index">
    <w:name w:val="Index"/>
    <w:basedOn w:val="Normal"/>
    <w:qFormat/>
    <w:pPr>
      <w:suppressLineNumbers/>
    </w:pPr>
    <w:rPr/>
  </w:style>
  <w:style w:type="paragraph" w:styleId="Title">
    <w:name w:val="Title"/>
    <w:basedOn w:val="Normal"/>
    <w:next w:val="Normal"/>
    <w:uiPriority w:val="10"/>
    <w:qFormat/>
    <w:pPr>
      <w:keepNext w:val="true"/>
      <w:keepLines/>
      <w:spacing w:before="0" w:after="60"/>
    </w:pPr>
    <w:rPr>
      <w:sz w:val="52"/>
      <w:szCs w:val="52"/>
    </w:rPr>
  </w:style>
  <w:style w:type="paragraph" w:styleId="Subtitle">
    <w:name w:val="Subtitle"/>
    <w:basedOn w:val="Normal"/>
    <w:next w:val="Normal"/>
    <w:uiPriority w:val="11"/>
    <w:qFormat/>
    <w:pPr>
      <w:keepNext w:val="true"/>
      <w:keepLines/>
      <w:spacing w:before="0" w:after="320"/>
    </w:pPr>
    <w:rPr>
      <w:color w:val="666666"/>
      <w:sz w:val="30"/>
      <w:szCs w:val="30"/>
    </w:rPr>
  </w:style>
  <w:style w:type="paragraph" w:styleId="CommentText">
    <w:name w:val="annotation text"/>
    <w:basedOn w:val="Normal"/>
    <w:link w:val="CommentTextChar"/>
    <w:uiPriority w:val="99"/>
    <w:semiHidden/>
    <w:unhideWhenUsed/>
    <w:pPr>
      <w:spacing w:lineRule="auto" w:line="240"/>
    </w:pPr>
    <w:rPr>
      <w:sz w:val="20"/>
      <w:szCs w:val="20"/>
    </w:rPr>
  </w:style>
  <w:style w:type="paragraph" w:styleId="BalloonText">
    <w:name w:val="Balloon Text"/>
    <w:basedOn w:val="Normal"/>
    <w:link w:val="BalloonTextChar"/>
    <w:uiPriority w:val="99"/>
    <w:semiHidden/>
    <w:unhideWhenUsed/>
    <w:qFormat/>
    <w:rsid w:val="00605fe2"/>
    <w:pPr>
      <w:spacing w:lineRule="auto" w:line="240"/>
    </w:pPr>
    <w:rPr>
      <w:rFonts w:ascii="Segoe UI" w:hAnsi="Segoe UI" w:cs="Segoe UI"/>
      <w:sz w:val="18"/>
      <w:szCs w:val="18"/>
    </w:rPr>
  </w:style>
  <w:style w:type="paragraph" w:styleId="TOC1">
    <w:name w:val="toc 1"/>
    <w:basedOn w:val="Normal"/>
    <w:next w:val="Normal"/>
    <w:autoRedefine/>
    <w:uiPriority w:val="39"/>
    <w:unhideWhenUsed/>
    <w:rsid w:val="00605fe2"/>
    <w:pPr>
      <w:spacing w:before="0" w:after="100"/>
    </w:pPr>
    <w:rPr/>
  </w:style>
  <w:style w:type="paragraph" w:styleId="TOC2">
    <w:name w:val="toc 2"/>
    <w:basedOn w:val="Normal"/>
    <w:next w:val="Normal"/>
    <w:autoRedefine/>
    <w:uiPriority w:val="39"/>
    <w:unhideWhenUsed/>
    <w:rsid w:val="00605fe2"/>
    <w:pPr>
      <w:spacing w:before="0" w:after="100"/>
      <w:ind w:left="240"/>
    </w:pPr>
    <w:rPr/>
  </w:style>
  <w:style w:type="paragraph" w:styleId="HeaderandFooter">
    <w:name w:val="Header and Footer"/>
    <w:basedOn w:val="Normal"/>
    <w:qFormat/>
    <w:pPr/>
    <w:rPr/>
  </w:style>
  <w:style w:type="paragraph" w:styleId="Header">
    <w:name w:val="header"/>
    <w:basedOn w:val="HeaderandFooter"/>
    <w:pPr/>
    <w:rPr/>
  </w:style>
  <w:style w:type="paragraph" w:styleId="Footer">
    <w:name w:val="footer"/>
    <w:basedOn w:val="HeaderandFooter"/>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customStyle="1" w:styleId="TableNormal0">
    <w:name w:val="TableNormal"/>
    <w:tblPr>
      <w:tblCellMar>
        <w:top w:w="100" w:type="dxa"/>
        <w:left w:w="100" w:type="dxa"/>
        <w:bottom w:w="100" w:type="dxa"/>
        <w:right w:w="100"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 Id="rId9" Type="http://schemas.openxmlformats.org/officeDocument/2006/relationships/image" Target="media/image8.png"/><Relationship Id="rId10" Type="http://schemas.openxmlformats.org/officeDocument/2006/relationships/image" Target="media/image9.png"/><Relationship Id="rId11" Type="http://schemas.openxmlformats.org/officeDocument/2006/relationships/image" Target="media/image10.png"/><Relationship Id="rId12" Type="http://schemas.openxmlformats.org/officeDocument/2006/relationships/image" Target="media/image11.png"/><Relationship Id="rId13" Type="http://schemas.openxmlformats.org/officeDocument/2006/relationships/image" Target="media/image12.png"/><Relationship Id="rId14" Type="http://schemas.openxmlformats.org/officeDocument/2006/relationships/image" Target="media/image13.png"/><Relationship Id="rId15" Type="http://schemas.openxmlformats.org/officeDocument/2006/relationships/image" Target="media/image14.png"/><Relationship Id="rId16" Type="http://schemas.openxmlformats.org/officeDocument/2006/relationships/hyperlink" Target="https://www.pizzahut.com/" TargetMode="External"/><Relationship Id="rId17" Type="http://schemas.openxmlformats.org/officeDocument/2006/relationships/hyperlink" Target="https://www.pizzahut.com/" TargetMode="External"/><Relationship Id="rId18" Type="http://schemas.openxmlformats.org/officeDocument/2006/relationships/image" Target="media/image15.png"/><Relationship Id="rId19" Type="http://schemas.openxmlformats.org/officeDocument/2006/relationships/image" Target="media/image16.png"/><Relationship Id="rId20" Type="http://schemas.openxmlformats.org/officeDocument/2006/relationships/image" Target="media/image17.png"/><Relationship Id="rId21" Type="http://schemas.openxmlformats.org/officeDocument/2006/relationships/image" Target="media/image18.png"/><Relationship Id="rId22" Type="http://schemas.openxmlformats.org/officeDocument/2006/relationships/header" Target="header1.xml"/><Relationship Id="rId23" Type="http://schemas.openxmlformats.org/officeDocument/2006/relationships/header" Target="header2.xml"/><Relationship Id="rId24" Type="http://schemas.openxmlformats.org/officeDocument/2006/relationships/header" Target="header3.xml"/><Relationship Id="rId25" Type="http://schemas.openxmlformats.org/officeDocument/2006/relationships/footer" Target="footer1.xml"/><Relationship Id="rId26" Type="http://schemas.openxmlformats.org/officeDocument/2006/relationships/footer" Target="footer2.xml"/><Relationship Id="rId27" Type="http://schemas.openxmlformats.org/officeDocument/2006/relationships/footer" Target="footer3.xml"/><Relationship Id="rId28" Type="http://schemas.openxmlformats.org/officeDocument/2006/relationships/numbering" Target="numbering.xml"/><Relationship Id="rId29" Type="http://schemas.openxmlformats.org/officeDocument/2006/relationships/fontTable" Target="fontTable.xml"/><Relationship Id="rId30" Type="http://schemas.openxmlformats.org/officeDocument/2006/relationships/settings" Target="settings.xml"/><Relationship Id="rId31" Type="http://schemas.openxmlformats.org/officeDocument/2006/relationships/theme" Target="theme/theme1.xml"/>
</Relationships>
</file>

<file path=word/_rels/fontTable.xml.rels><?xml version="1.0" encoding="UTF-8"?>
<Relationships xmlns="http://schemas.openxmlformats.org/package/2006/relationships"><Relationship Id="rId1" Type="http://schemas.openxmlformats.org/officeDocument/2006/relationships/font" Target="fonts/font1.odttf"/><Relationship Id="rId2" Type="http://schemas.openxmlformats.org/officeDocument/2006/relationships/font" Target="fonts/font2.odttf"/><Relationship Id="rId3" Type="http://schemas.openxmlformats.org/officeDocument/2006/relationships/font" Target="fonts/font3.odttf"/><Relationship Id="rId4" Type="http://schemas.openxmlformats.org/officeDocument/2006/relationships/font" Target="fonts/font4.odttf"/><Relationship Id="rId5" Type="http://schemas.openxmlformats.org/officeDocument/2006/relationships/font" Target="fonts/font5.odttf"/>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pitchFamily="0" charset="1"/>
        <a:ea typeface=""/>
        <a:cs typeface=""/>
      </a:majorFont>
      <a:minorFont>
        <a:latin typeface="Cambria"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tint val="100000"/>
                <a:shade val="100000"/>
              </a:schemeClr>
            </a:gs>
            <a:gs pos="100000">
              <a:schemeClr val="phClr">
                <a:tint val="50000"/>
                <a:shade val="100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docProps/app.xml><?xml version="1.0" encoding="utf-8"?>
<Properties xmlns="http://schemas.openxmlformats.org/officeDocument/2006/extended-properties" xmlns:vt="http://schemas.openxmlformats.org/officeDocument/2006/docPropsVTypes">
  <Template>Normal</Template>
  <TotalTime>0</TotalTime>
  <Application>LibreOfficeDev/24.8.7.2.0$Android_AARCH64 LibreOffice_project/</Application>
  <AppVersion>15.0000</AppVersion>
  <Pages>39</Pages>
  <Words>6942</Words>
  <Characters>45243</Characters>
  <CharactersWithSpaces>51907</CharactersWithSpaces>
  <Paragraphs>354</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2026-08-05T10:40:00Z</dcterms:created>
  <dc:creator>Writex_42A</dc:creator>
  <dc:description/>
  <dc:language>en-US</dc:language>
  <cp:lastModifiedBy/>
  <dcterms:modified xsi:type="dcterms:W3CDTF">2026-08-08T17:31:52Z</dcterms:modified>
  <cp:revision>3</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6f52db09-eb4e-4d4c-b5fb-bd7023ba1785</vt:lpwstr>
  </property>
</Properties>
</file>