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9D0" w:rsidRPr="00C909D0" w:rsidRDefault="00C909D0" w:rsidP="00C909D0">
      <w:pPr>
        <w:spacing w:after="0" w:line="240" w:lineRule="auto"/>
        <w:ind w:right="-334"/>
        <w:rPr>
          <w:rFonts w:ascii="Georgia" w:eastAsia="SimSun" w:hAnsi="Georgia" w:cs="Times New Roman"/>
          <w:color w:val="000000"/>
          <w:sz w:val="21"/>
          <w:szCs w:val="21"/>
          <w:lang w:val="en-GB" w:eastAsia="zh-CN"/>
        </w:rPr>
      </w:pPr>
      <w:r w:rsidRPr="00C909D0">
        <w:rPr>
          <w:rFonts w:ascii="Georgia" w:eastAsia="SimSun" w:hAnsi="Georgia" w:cs="Times New Roman"/>
          <w:noProof/>
          <w:color w:val="000000"/>
          <w:sz w:val="21"/>
          <w:szCs w:val="21"/>
          <w:lang w:eastAsia="en-AU"/>
        </w:rPr>
        <w:drawing>
          <wp:anchor distT="0" distB="0" distL="114300" distR="114300" simplePos="0" relativeHeight="251658240" behindDoc="0" locked="0" layoutInCell="1" allowOverlap="1">
            <wp:simplePos x="0" y="0"/>
            <wp:positionH relativeFrom="column">
              <wp:posOffset>-95250</wp:posOffset>
            </wp:positionH>
            <wp:positionV relativeFrom="paragraph">
              <wp:posOffset>-619125</wp:posOffset>
            </wp:positionV>
            <wp:extent cx="1905000" cy="638175"/>
            <wp:effectExtent l="19050" t="19050" r="19050" b="28575"/>
            <wp:wrapNone/>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anchor>
        </w:drawing>
      </w:r>
    </w:p>
    <w:p w:rsidR="00C909D0" w:rsidRPr="00C909D0" w:rsidRDefault="00C909D0" w:rsidP="00C909D0">
      <w:pPr>
        <w:spacing w:after="0" w:line="240" w:lineRule="auto"/>
        <w:ind w:left="-180" w:right="-334"/>
        <w:jc w:val="center"/>
        <w:rPr>
          <w:rFonts w:ascii="Arial" w:eastAsia="SimSun" w:hAnsi="Arial" w:cs="Arial"/>
          <w:b/>
          <w:color w:val="000000"/>
          <w:sz w:val="28"/>
          <w:szCs w:val="28"/>
          <w:lang w:val="cy-GB" w:eastAsia="zh-CN"/>
        </w:rPr>
      </w:pPr>
      <w:r w:rsidRPr="00C909D0">
        <w:rPr>
          <w:rFonts w:ascii="Arial" w:eastAsia="SimSun" w:hAnsi="Arial" w:cs="Arial"/>
          <w:b/>
          <w:color w:val="000000"/>
          <w:sz w:val="28"/>
          <w:szCs w:val="28"/>
          <w:lang w:val="cy-GB" w:eastAsia="zh-CN"/>
        </w:rPr>
        <w:t xml:space="preserve">Postgraduate/Distance Learning </w:t>
      </w:r>
    </w:p>
    <w:p w:rsidR="00C909D0" w:rsidRPr="00C909D0" w:rsidRDefault="00C909D0" w:rsidP="00C909D0">
      <w:pPr>
        <w:spacing w:after="0" w:line="240" w:lineRule="auto"/>
        <w:ind w:left="-180" w:right="-334"/>
        <w:jc w:val="center"/>
        <w:rPr>
          <w:rFonts w:ascii="Arial" w:eastAsia="SimSun" w:hAnsi="Arial" w:cs="Arial"/>
          <w:b/>
          <w:color w:val="000000"/>
          <w:sz w:val="28"/>
          <w:szCs w:val="28"/>
          <w:lang w:val="en-GB" w:eastAsia="zh-CN"/>
        </w:rPr>
      </w:pPr>
      <w:r w:rsidRPr="00C909D0">
        <w:rPr>
          <w:rFonts w:ascii="Arial" w:eastAsia="SimSun" w:hAnsi="Arial" w:cs="Arial"/>
          <w:b/>
          <w:color w:val="000000"/>
          <w:sz w:val="28"/>
          <w:szCs w:val="28"/>
          <w:lang w:val="cy-GB" w:eastAsia="zh-CN"/>
        </w:rPr>
        <w:t>Assignment coversheet &amp; feedback form</w:t>
      </w:r>
    </w:p>
    <w:p w:rsidR="00C909D0" w:rsidRPr="00C909D0" w:rsidRDefault="00C909D0" w:rsidP="00C909D0">
      <w:pPr>
        <w:spacing w:after="0" w:line="240" w:lineRule="auto"/>
        <w:rPr>
          <w:rFonts w:ascii="Arial" w:eastAsia="SimSun" w:hAnsi="Arial" w:cs="Arial"/>
          <w:sz w:val="28"/>
          <w:szCs w:val="28"/>
          <w:lang w:val="cy-GB" w:eastAsia="zh-CN"/>
        </w:rPr>
      </w:pPr>
    </w:p>
    <w:p w:rsidR="00C909D0" w:rsidRPr="00C909D0" w:rsidRDefault="00C909D0" w:rsidP="00C909D0">
      <w:pPr>
        <w:keepNext/>
        <w:spacing w:after="0" w:line="240" w:lineRule="auto"/>
        <w:ind w:left="720"/>
        <w:jc w:val="center"/>
        <w:outlineLvl w:val="2"/>
        <w:rPr>
          <w:rFonts w:ascii="Tahoma" w:eastAsia="SimSun" w:hAnsi="Tahoma" w:cs="Tahoma"/>
          <w:b/>
          <w:bCs/>
          <w:sz w:val="20"/>
          <w:szCs w:val="20"/>
          <w:lang w:val="cy-GB" w:eastAsia="zh-CN"/>
        </w:rPr>
      </w:pPr>
      <w:r w:rsidRPr="00C909D0">
        <w:rPr>
          <w:rFonts w:ascii="Tahoma" w:eastAsia="SimSun" w:hAnsi="Tahoma" w:cs="Tahoma"/>
          <w:b/>
          <w:bCs/>
          <w:sz w:val="20"/>
          <w:szCs w:val="20"/>
          <w:lang w:val="cy-GB" w:eastAsia="zh-CN"/>
        </w:rPr>
        <w:t>THIS SHEET MUST BE THE FIRST PAGE OF THE ASSIGNMENT YOU ARE SUBMITTING  (DO NOT SEND AS A SEPARATE FILE)</w:t>
      </w:r>
    </w:p>
    <w:p w:rsidR="00C909D0" w:rsidRPr="00C909D0" w:rsidRDefault="00C909D0" w:rsidP="00C909D0">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909D0" w:rsidRPr="00C909D0" w:rsidTr="00BD7591">
        <w:trPr>
          <w:trHeight w:val="614"/>
        </w:trPr>
        <w:tc>
          <w:tcPr>
            <w:tcW w:w="8856" w:type="dxa"/>
            <w:gridSpan w:val="5"/>
          </w:tcPr>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b/>
                <w:color w:val="000000"/>
                <w:lang w:val="en-GB" w:eastAsia="zh-CN"/>
              </w:rPr>
              <w:t>For completion by the student</w:t>
            </w:r>
            <w:r w:rsidRPr="00C909D0">
              <w:rPr>
                <w:rFonts w:ascii="Arial" w:eastAsia="SimSun" w:hAnsi="Arial" w:cs="Arial"/>
                <w:color w:val="000000"/>
                <w:lang w:val="en-GB" w:eastAsia="zh-CN"/>
              </w:rPr>
              <w:t>:</w:t>
            </w:r>
          </w:p>
        </w:tc>
      </w:tr>
      <w:tr w:rsidR="00C909D0" w:rsidRPr="00C909D0" w:rsidTr="00BD7591">
        <w:trPr>
          <w:trHeight w:val="718"/>
        </w:trPr>
        <w:tc>
          <w:tcPr>
            <w:tcW w:w="8856" w:type="dxa"/>
            <w:gridSpan w:val="5"/>
          </w:tcPr>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Name:</w:t>
            </w:r>
            <w:r>
              <w:rPr>
                <w:rFonts w:ascii="Arial" w:eastAsia="SimSun" w:hAnsi="Arial" w:cs="Arial"/>
                <w:color w:val="000000"/>
                <w:lang w:val="en-GB" w:eastAsia="zh-CN"/>
              </w:rPr>
              <w:t xml:space="preserve"> Zoe Fraussen</w:t>
            </w:r>
          </w:p>
          <w:p w:rsidR="00C909D0" w:rsidRPr="00C909D0" w:rsidRDefault="00C909D0" w:rsidP="00C909D0">
            <w:pPr>
              <w:spacing w:after="0" w:line="240" w:lineRule="auto"/>
              <w:ind w:right="34"/>
              <w:rPr>
                <w:rFonts w:ascii="Arial" w:eastAsia="SimSun" w:hAnsi="Arial" w:cs="Arial"/>
                <w:color w:val="000000"/>
                <w:lang w:val="en-GB" w:eastAsia="zh-CN"/>
              </w:rPr>
            </w:pPr>
          </w:p>
        </w:tc>
      </w:tr>
      <w:tr w:rsidR="00C909D0" w:rsidRPr="00C909D0" w:rsidTr="00BD7591">
        <w:trPr>
          <w:trHeight w:val="849"/>
        </w:trPr>
        <w:tc>
          <w:tcPr>
            <w:tcW w:w="4788" w:type="dxa"/>
          </w:tcPr>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code:</w:t>
            </w:r>
            <w:r>
              <w:rPr>
                <w:rFonts w:ascii="Arial" w:eastAsia="SimSun" w:hAnsi="Arial" w:cs="Arial"/>
                <w:color w:val="000000"/>
                <w:lang w:val="en-GB" w:eastAsia="zh-CN"/>
              </w:rPr>
              <w:t xml:space="preserve"> HPCA7009</w:t>
            </w:r>
          </w:p>
          <w:p w:rsidR="00C909D0" w:rsidRPr="00C909D0" w:rsidRDefault="00C909D0" w:rsidP="00C909D0">
            <w:pPr>
              <w:spacing w:after="0" w:line="240" w:lineRule="auto"/>
              <w:ind w:right="34"/>
              <w:rPr>
                <w:rFonts w:ascii="Arial" w:eastAsia="SimSun" w:hAnsi="Arial" w:cs="Arial"/>
                <w:color w:val="000000"/>
                <w:lang w:val="en-GB" w:eastAsia="zh-CN"/>
              </w:rPr>
            </w:pPr>
          </w:p>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title:</w:t>
            </w:r>
            <w:r>
              <w:t xml:space="preserve"> </w:t>
            </w:r>
            <w:r w:rsidRPr="00C909D0">
              <w:rPr>
                <w:rFonts w:ascii="Arial" w:eastAsia="SimSun" w:hAnsi="Arial" w:cs="Arial"/>
                <w:color w:val="000000"/>
                <w:lang w:val="en-GB" w:eastAsia="zh-CN"/>
              </w:rPr>
              <w:t>Skyscapes, Cosmology and Archaeology</w:t>
            </w:r>
          </w:p>
          <w:p w:rsidR="00C909D0" w:rsidRPr="00C909D0" w:rsidRDefault="00C909D0" w:rsidP="00C909D0">
            <w:pPr>
              <w:spacing w:after="0" w:line="240" w:lineRule="auto"/>
              <w:ind w:right="34"/>
              <w:rPr>
                <w:rFonts w:ascii="Arial" w:eastAsia="SimSun" w:hAnsi="Arial" w:cs="Arial"/>
                <w:color w:val="000000"/>
                <w:lang w:val="en-GB" w:eastAsia="zh-CN"/>
              </w:rPr>
            </w:pPr>
          </w:p>
          <w:p w:rsidR="00C909D0" w:rsidRPr="00C909D0" w:rsidRDefault="00C909D0" w:rsidP="00C909D0">
            <w:pPr>
              <w:spacing w:after="0" w:line="240" w:lineRule="auto"/>
              <w:ind w:right="34"/>
              <w:rPr>
                <w:rFonts w:ascii="Arial" w:eastAsia="SimSun" w:hAnsi="Arial" w:cs="Arial"/>
                <w:color w:val="000000"/>
                <w:lang w:val="en-GB" w:eastAsia="zh-CN"/>
              </w:rPr>
            </w:pPr>
          </w:p>
        </w:tc>
        <w:tc>
          <w:tcPr>
            <w:tcW w:w="2266" w:type="dxa"/>
            <w:gridSpan w:val="3"/>
          </w:tcPr>
          <w:p w:rsid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ID number:</w:t>
            </w:r>
          </w:p>
          <w:p w:rsidR="00C909D0" w:rsidRPr="00C909D0" w:rsidRDefault="00C909D0" w:rsidP="00C909D0">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1812864</w:t>
            </w:r>
          </w:p>
        </w:tc>
        <w:tc>
          <w:tcPr>
            <w:tcW w:w="1802" w:type="dxa"/>
          </w:tcPr>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Educational support needs:</w:t>
            </w:r>
          </w:p>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Yes/</w:t>
            </w:r>
            <w:r w:rsidRPr="00C909D0">
              <w:rPr>
                <w:rFonts w:ascii="Arial" w:eastAsia="SimSun" w:hAnsi="Arial" w:cs="Arial"/>
                <w:b/>
                <w:color w:val="000000"/>
                <w:lang w:val="en-GB" w:eastAsia="zh-CN"/>
              </w:rPr>
              <w:t>No</w:t>
            </w:r>
          </w:p>
        </w:tc>
      </w:tr>
      <w:tr w:rsidR="00C909D0" w:rsidRPr="00C909D0" w:rsidTr="00BD7591">
        <w:trPr>
          <w:trHeight w:val="1139"/>
        </w:trPr>
        <w:tc>
          <w:tcPr>
            <w:tcW w:w="8856" w:type="dxa"/>
            <w:gridSpan w:val="5"/>
          </w:tcPr>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tutor:</w:t>
            </w:r>
            <w:r>
              <w:rPr>
                <w:rFonts w:ascii="Arial" w:eastAsia="SimSun" w:hAnsi="Arial" w:cs="Arial"/>
                <w:color w:val="000000"/>
                <w:lang w:val="en-GB" w:eastAsia="zh-CN"/>
              </w:rPr>
              <w:t xml:space="preserve"> </w:t>
            </w:r>
            <w:r w:rsidRPr="00C909D0">
              <w:rPr>
                <w:rFonts w:ascii="Arial" w:eastAsia="SimSun" w:hAnsi="Arial" w:cs="Arial"/>
                <w:color w:val="000000"/>
                <w:lang w:val="en-GB" w:eastAsia="zh-CN"/>
              </w:rPr>
              <w:t>Fabio Silva</w:t>
            </w:r>
          </w:p>
          <w:p w:rsidR="00C909D0" w:rsidRPr="00C909D0" w:rsidRDefault="00C909D0" w:rsidP="00C909D0">
            <w:pPr>
              <w:spacing w:after="0" w:line="240" w:lineRule="auto"/>
              <w:ind w:right="34"/>
              <w:rPr>
                <w:rFonts w:ascii="Arial" w:eastAsia="SimSun" w:hAnsi="Arial" w:cs="Arial"/>
                <w:color w:val="000000"/>
                <w:lang w:val="en-GB" w:eastAsia="zh-CN"/>
              </w:rPr>
            </w:pPr>
          </w:p>
          <w:p w:rsidR="00C909D0" w:rsidRPr="00C909D0" w:rsidRDefault="00C909D0" w:rsidP="00C909D0">
            <w:pPr>
              <w:spacing w:after="0" w:line="240" w:lineRule="auto"/>
              <w:ind w:right="34"/>
              <w:rPr>
                <w:rFonts w:ascii="Arial" w:eastAsia="SimSun" w:hAnsi="Arial" w:cs="Arial"/>
                <w:color w:val="000000"/>
                <w:lang w:val="en-GB" w:eastAsia="zh-CN"/>
              </w:rPr>
            </w:pPr>
          </w:p>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Assignment due date:</w:t>
            </w:r>
            <w:r>
              <w:rPr>
                <w:rFonts w:ascii="Arial" w:eastAsia="SimSun" w:hAnsi="Arial" w:cs="Arial"/>
                <w:color w:val="000000"/>
                <w:lang w:val="en-GB" w:eastAsia="zh-CN"/>
              </w:rPr>
              <w:t xml:space="preserve"> 4 March 2019</w:t>
            </w:r>
          </w:p>
        </w:tc>
      </w:tr>
      <w:tr w:rsidR="00C909D0" w:rsidRPr="00C909D0" w:rsidTr="00BD7591">
        <w:trPr>
          <w:trHeight w:val="978"/>
        </w:trPr>
        <w:tc>
          <w:tcPr>
            <w:tcW w:w="8856" w:type="dxa"/>
            <w:gridSpan w:val="5"/>
            <w:tcBorders>
              <w:bottom w:val="single" w:sz="4" w:space="0" w:color="000000"/>
            </w:tcBorders>
          </w:tcPr>
          <w:p w:rsidR="00C909D0" w:rsidRPr="00C909D0" w:rsidRDefault="00C909D0" w:rsidP="00C909D0">
            <w:pPr>
              <w:spacing w:after="0" w:line="240" w:lineRule="auto"/>
              <w:rPr>
                <w:rFonts w:ascii="Arial" w:eastAsia="SimSun" w:hAnsi="Arial" w:cs="Arial"/>
                <w:lang w:val="en-GB" w:eastAsia="zh-CN"/>
              </w:rPr>
            </w:pPr>
            <w:r w:rsidRPr="00C909D0">
              <w:rPr>
                <w:rFonts w:ascii="Arial" w:eastAsia="SimSun" w:hAnsi="Arial" w:cs="Arial"/>
                <w:lang w:val="en-GB" w:eastAsia="zh-CN"/>
              </w:rPr>
              <w:t>If your module has multiple submissions please indicate which piece of work this is.</w:t>
            </w:r>
          </w:p>
          <w:p w:rsidR="00C909D0" w:rsidRPr="00C909D0" w:rsidRDefault="00C909D0" w:rsidP="00C909D0">
            <w:pPr>
              <w:spacing w:after="0" w:line="240" w:lineRule="auto"/>
              <w:rPr>
                <w:rFonts w:ascii="Arial" w:eastAsia="SimSun" w:hAnsi="Arial" w:cs="Arial"/>
                <w:lang w:val="en-GB" w:eastAsia="zh-CN"/>
              </w:rPr>
            </w:pPr>
          </w:p>
          <w:p w:rsidR="00C909D0" w:rsidRPr="00C909D0" w:rsidRDefault="00C909D0" w:rsidP="00C909D0">
            <w:pPr>
              <w:spacing w:after="0" w:line="240" w:lineRule="auto"/>
              <w:rPr>
                <w:rFonts w:ascii="Arial" w:eastAsia="SimSun" w:hAnsi="Arial" w:cs="Arial"/>
                <w:lang w:val="en-GB" w:eastAsia="zh-CN"/>
              </w:rPr>
            </w:pPr>
            <w:r w:rsidRPr="00C909D0">
              <w:rPr>
                <w:rFonts w:ascii="Arial" w:eastAsia="SimSun" w:hAnsi="Arial" w:cs="Arial"/>
                <w:lang w:val="en-GB" w:eastAsia="zh-CN"/>
              </w:rPr>
              <w:t>1</w:t>
            </w:r>
            <w:r w:rsidRPr="00C909D0">
              <w:rPr>
                <w:rFonts w:ascii="Arial" w:eastAsia="SimSun" w:hAnsi="Arial" w:cs="Arial"/>
                <w:vertAlign w:val="superscript"/>
                <w:lang w:val="en-GB" w:eastAsia="zh-CN"/>
              </w:rPr>
              <w:t xml:space="preserve">st </w:t>
            </w:r>
            <w:r>
              <w:rPr>
                <w:rFonts w:ascii="Arial" w:eastAsia="SimSun" w:hAnsi="Arial" w:cs="Arial"/>
                <w:lang w:val="en-GB" w:eastAsia="zh-CN"/>
              </w:rPr>
              <w:fldChar w:fldCharType="begin">
                <w:ffData>
                  <w:name w:val="Check13"/>
                  <w:enabled/>
                  <w:calcOnExit w:val="0"/>
                  <w:checkBox>
                    <w:sizeAuto/>
                    <w:default w:val="1"/>
                  </w:checkBox>
                </w:ffData>
              </w:fldChar>
            </w:r>
            <w:bookmarkStart w:id="0" w:name="Check13"/>
            <w:r>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Pr>
                <w:rFonts w:ascii="Arial" w:eastAsia="SimSun" w:hAnsi="Arial" w:cs="Arial"/>
                <w:lang w:val="en-GB" w:eastAsia="zh-CN"/>
              </w:rPr>
              <w:fldChar w:fldCharType="end"/>
            </w:r>
            <w:bookmarkEnd w:id="0"/>
            <w:r w:rsidRPr="00C909D0">
              <w:rPr>
                <w:rFonts w:ascii="Arial" w:eastAsia="SimSun" w:hAnsi="Arial" w:cs="Arial"/>
                <w:lang w:val="en-GB" w:eastAsia="zh-CN"/>
              </w:rPr>
              <w:t xml:space="preserve">    2</w:t>
            </w:r>
            <w:r w:rsidRPr="00C909D0">
              <w:rPr>
                <w:rFonts w:ascii="Arial" w:eastAsia="SimSun" w:hAnsi="Arial" w:cs="Arial"/>
                <w:vertAlign w:val="superscript"/>
                <w:lang w:val="en-GB" w:eastAsia="zh-CN"/>
              </w:rPr>
              <w:t>nd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C909D0">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1"/>
            <w:r w:rsidRPr="00C909D0">
              <w:rPr>
                <w:rFonts w:ascii="Arial" w:eastAsia="SimSun" w:hAnsi="Arial" w:cs="Arial"/>
                <w:lang w:val="en-GB" w:eastAsia="zh-CN"/>
              </w:rPr>
              <w:t xml:space="preserve">     3</w:t>
            </w:r>
            <w:r w:rsidRPr="00C909D0">
              <w:rPr>
                <w:rFonts w:ascii="Arial" w:eastAsia="SimSun" w:hAnsi="Arial" w:cs="Arial"/>
                <w:vertAlign w:val="superscript"/>
                <w:lang w:val="en-GB" w:eastAsia="zh-CN"/>
              </w:rPr>
              <w:t>rd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C909D0">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2"/>
            <w:r w:rsidRPr="00C909D0">
              <w:rPr>
                <w:rFonts w:ascii="Arial" w:eastAsia="SimSun" w:hAnsi="Arial" w:cs="Arial"/>
                <w:lang w:val="en-GB" w:eastAsia="zh-CN"/>
              </w:rPr>
              <w:t xml:space="preserve">      4</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C909D0">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3"/>
            <w:r w:rsidRPr="00C909D0">
              <w:rPr>
                <w:rFonts w:ascii="Arial" w:eastAsia="SimSun" w:hAnsi="Arial" w:cs="Arial"/>
                <w:lang w:val="en-GB" w:eastAsia="zh-CN"/>
              </w:rPr>
              <w:t xml:space="preserve">      5</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C909D0">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4"/>
            <w:r w:rsidRPr="00C909D0">
              <w:rPr>
                <w:rFonts w:ascii="Arial" w:eastAsia="SimSun" w:hAnsi="Arial" w:cs="Arial"/>
                <w:lang w:val="en-GB" w:eastAsia="zh-CN"/>
              </w:rPr>
              <w:t xml:space="preserve">      6</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C909D0">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5"/>
          </w:p>
        </w:tc>
      </w:tr>
      <w:tr w:rsidR="00C909D0" w:rsidRPr="00C909D0" w:rsidTr="00BD7591">
        <w:trPr>
          <w:trHeight w:val="978"/>
        </w:trPr>
        <w:tc>
          <w:tcPr>
            <w:tcW w:w="8856" w:type="dxa"/>
            <w:gridSpan w:val="5"/>
            <w:shd w:val="clear" w:color="auto" w:fill="D9D9D9"/>
          </w:tcPr>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I confirm that this is my original work and that I have adhered to the University policy on plagiarism.</w:t>
            </w:r>
          </w:p>
          <w:p w:rsidR="00C909D0" w:rsidRPr="00C909D0" w:rsidRDefault="00C909D0" w:rsidP="00C909D0">
            <w:pPr>
              <w:spacing w:after="0" w:line="240" w:lineRule="auto"/>
              <w:ind w:right="34"/>
              <w:rPr>
                <w:rFonts w:ascii="Arial" w:eastAsia="SimSun" w:hAnsi="Arial" w:cs="Arial"/>
                <w:color w:val="000000"/>
                <w:lang w:val="en-GB" w:eastAsia="zh-CN"/>
              </w:rPr>
            </w:pPr>
            <w:proofErr w:type="gramStart"/>
            <w:r w:rsidRPr="00C909D0">
              <w:rPr>
                <w:rFonts w:ascii="Arial" w:eastAsia="SimSun" w:hAnsi="Arial" w:cs="Arial"/>
                <w:color w:val="000000"/>
                <w:lang w:val="en-GB" w:eastAsia="zh-CN"/>
              </w:rPr>
              <w:t>Signed</w:t>
            </w:r>
            <w:r>
              <w:rPr>
                <w:rFonts w:ascii="Arial" w:eastAsia="SimSun" w:hAnsi="Arial" w:cs="Arial"/>
                <w:color w:val="000000"/>
                <w:lang w:val="en-GB" w:eastAsia="zh-CN"/>
              </w:rPr>
              <w:t xml:space="preserve"> </w:t>
            </w:r>
            <w:r w:rsidRPr="00C909D0">
              <w:rPr>
                <w:rFonts w:ascii="Arial" w:eastAsia="SimSun" w:hAnsi="Arial" w:cs="Arial"/>
                <w:color w:val="000000"/>
                <w:lang w:val="en-GB" w:eastAsia="zh-CN"/>
              </w:rPr>
              <w:t xml:space="preserve"> </w:t>
            </w:r>
            <w:r>
              <w:rPr>
                <w:rFonts w:ascii="Arial" w:eastAsia="SimSun" w:hAnsi="Arial" w:cs="Arial"/>
                <w:color w:val="000000"/>
                <w:lang w:val="en-GB" w:eastAsia="zh-CN"/>
              </w:rPr>
              <w:t>Zoe</w:t>
            </w:r>
            <w:proofErr w:type="gramEnd"/>
            <w:r>
              <w:rPr>
                <w:rFonts w:ascii="Arial" w:eastAsia="SimSun" w:hAnsi="Arial" w:cs="Arial"/>
                <w:color w:val="000000"/>
                <w:lang w:val="en-GB" w:eastAsia="zh-CN"/>
              </w:rPr>
              <w:t xml:space="preserve"> Fraussen</w:t>
            </w:r>
            <w:r w:rsidRPr="00C909D0">
              <w:rPr>
                <w:rFonts w:ascii="Arial" w:eastAsia="SimSun" w:hAnsi="Arial" w:cs="Arial"/>
                <w:color w:val="000000"/>
                <w:lang w:val="en-GB" w:eastAsia="zh-CN"/>
              </w:rPr>
              <w:t>……………………………………………………</w:t>
            </w:r>
          </w:p>
          <w:p w:rsidR="00C909D0" w:rsidRPr="00C909D0" w:rsidRDefault="00C909D0" w:rsidP="00C909D0">
            <w:pPr>
              <w:spacing w:after="0" w:line="240" w:lineRule="auto"/>
              <w:ind w:right="34"/>
              <w:rPr>
                <w:rFonts w:ascii="Calibri" w:eastAsia="SimSun" w:hAnsi="Calibri" w:cs="Calibri"/>
                <w:b/>
                <w:color w:val="000000"/>
                <w:sz w:val="44"/>
                <w:szCs w:val="44"/>
                <w:lang w:val="en-GB" w:eastAsia="zh-CN"/>
              </w:rPr>
            </w:pPr>
            <w:r w:rsidRPr="00C909D0">
              <w:rPr>
                <w:rFonts w:ascii="Calibri" w:eastAsia="SimSun" w:hAnsi="Calibri" w:cs="Tahoma"/>
                <w:b/>
                <w:color w:val="000000"/>
                <w:sz w:val="24"/>
                <w:szCs w:val="24"/>
                <w:lang w:val="en-GB" w:eastAsia="zh-CN"/>
              </w:rPr>
              <w:t xml:space="preserve">Email submission: if you are submitting this form via email, please tick this box </w:t>
            </w:r>
            <w:r>
              <w:rPr>
                <w:rFonts w:ascii="Arial" w:eastAsia="SimSun" w:hAnsi="Arial" w:cs="Arial"/>
                <w:lang w:val="en-GB" w:eastAsia="zh-CN"/>
              </w:rPr>
              <w:fldChar w:fldCharType="begin">
                <w:ffData>
                  <w:name w:val=""/>
                  <w:enabled/>
                  <w:calcOnExit w:val="0"/>
                  <w:checkBox>
                    <w:sizeAuto/>
                    <w:default w:val="1"/>
                  </w:checkBox>
                </w:ffData>
              </w:fldChar>
            </w:r>
            <w:r>
              <w:rPr>
                <w:rFonts w:ascii="Arial" w:eastAsia="SimSun" w:hAnsi="Arial" w:cs="Arial"/>
                <w:lang w:val="en-GB" w:eastAsia="zh-CN"/>
              </w:rPr>
              <w:instrText xml:space="preserve"> FORMCHECKBOX </w:instrText>
            </w:r>
            <w:r w:rsidR="004E3741">
              <w:rPr>
                <w:rFonts w:ascii="Arial" w:eastAsia="SimSun" w:hAnsi="Arial" w:cs="Arial"/>
                <w:lang w:val="en-GB" w:eastAsia="zh-CN"/>
              </w:rPr>
            </w:r>
            <w:r w:rsidR="004E3741">
              <w:rPr>
                <w:rFonts w:ascii="Arial" w:eastAsia="SimSun" w:hAnsi="Arial" w:cs="Arial"/>
                <w:lang w:val="en-GB" w:eastAsia="zh-CN"/>
              </w:rPr>
              <w:fldChar w:fldCharType="separate"/>
            </w:r>
            <w:r>
              <w:rPr>
                <w:rFonts w:ascii="Arial" w:eastAsia="SimSun" w:hAnsi="Arial" w:cs="Arial"/>
                <w:lang w:val="en-GB" w:eastAsia="zh-CN"/>
              </w:rPr>
              <w:fldChar w:fldCharType="end"/>
            </w:r>
          </w:p>
          <w:p w:rsidR="00C909D0" w:rsidRPr="00C909D0" w:rsidRDefault="00C909D0" w:rsidP="00C909D0">
            <w:pPr>
              <w:spacing w:after="0" w:line="240" w:lineRule="auto"/>
              <w:ind w:right="34"/>
              <w:rPr>
                <w:rFonts w:ascii="Arial" w:eastAsia="SimSun" w:hAnsi="Arial" w:cs="Arial"/>
                <w:color w:val="000000"/>
                <w:lang w:val="en-GB" w:eastAsia="zh-CN"/>
              </w:rPr>
            </w:pPr>
            <w:r w:rsidRPr="00C909D0">
              <w:rPr>
                <w:rFonts w:ascii="Calibri" w:eastAsia="SimSun" w:hAnsi="Calibri" w:cs="Tahoma"/>
                <w:b/>
                <w:color w:val="000000"/>
                <w:sz w:val="24"/>
                <w:szCs w:val="24"/>
                <w:lang w:val="en-GB" w:eastAsia="zh-CN"/>
              </w:rPr>
              <w:t>(</w:t>
            </w:r>
            <w:proofErr w:type="gramStart"/>
            <w:r w:rsidRPr="00C909D0">
              <w:rPr>
                <w:rFonts w:ascii="Calibri" w:eastAsia="SimSun" w:hAnsi="Calibri" w:cs="Tahoma"/>
                <w:b/>
                <w:color w:val="000000"/>
                <w:sz w:val="24"/>
                <w:szCs w:val="24"/>
                <w:lang w:val="en-GB" w:eastAsia="zh-CN"/>
              </w:rPr>
              <w:t>as</w:t>
            </w:r>
            <w:proofErr w:type="gramEnd"/>
            <w:r w:rsidRPr="00C909D0">
              <w:rPr>
                <w:rFonts w:ascii="Calibri" w:eastAsia="SimSun" w:hAnsi="Calibri" w:cs="Tahoma"/>
                <w:b/>
                <w:color w:val="000000"/>
                <w:sz w:val="24"/>
                <w:szCs w:val="24"/>
                <w:lang w:val="en-GB" w:eastAsia="zh-CN"/>
              </w:rPr>
              <w:t xml:space="preserve"> a substitute for your signature) to confirm that you agree to the above declaration.</w:t>
            </w:r>
          </w:p>
        </w:tc>
      </w:tr>
      <w:tr w:rsidR="00C909D0" w:rsidRPr="00C909D0" w:rsidTr="00BD7591">
        <w:trPr>
          <w:trHeight w:val="3972"/>
        </w:trPr>
        <w:tc>
          <w:tcPr>
            <w:tcW w:w="8856" w:type="dxa"/>
            <w:gridSpan w:val="5"/>
          </w:tcPr>
          <w:p w:rsidR="00C909D0" w:rsidRPr="00C909D0" w:rsidRDefault="00C909D0" w:rsidP="00C909D0">
            <w:pPr>
              <w:spacing w:after="0" w:line="240" w:lineRule="auto"/>
              <w:rPr>
                <w:rFonts w:ascii="Arial" w:eastAsia="SimSun" w:hAnsi="Arial" w:cs="Times New Roman"/>
                <w:b/>
                <w:sz w:val="24"/>
                <w:szCs w:val="24"/>
                <w:lang w:val="en-GB" w:eastAsia="zh-CN"/>
              </w:rPr>
            </w:pPr>
          </w:p>
          <w:p w:rsidR="00C909D0" w:rsidRPr="00C909D0" w:rsidRDefault="00C909D0" w:rsidP="00C909D0">
            <w:pPr>
              <w:spacing w:after="0" w:line="240" w:lineRule="auto"/>
              <w:rPr>
                <w:rFonts w:ascii="Arial" w:eastAsia="SimSun" w:hAnsi="Arial" w:cs="Times New Roman"/>
                <w:sz w:val="24"/>
                <w:szCs w:val="24"/>
                <w:lang w:val="en-GB" w:eastAsia="zh-CN"/>
              </w:rPr>
            </w:pPr>
            <w:r w:rsidRPr="00C909D0">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909D0" w:rsidRPr="00C909D0" w:rsidTr="00BD7591">
              <w:tc>
                <w:tcPr>
                  <w:tcW w:w="6970" w:type="dxa"/>
                </w:tcPr>
                <w:p w:rsidR="00C909D0" w:rsidRPr="00C909D0" w:rsidRDefault="00C909D0" w:rsidP="00C909D0">
                  <w:pPr>
                    <w:spacing w:after="0" w:line="240" w:lineRule="auto"/>
                    <w:rPr>
                      <w:rFonts w:ascii="Arial" w:eastAsia="SimSun" w:hAnsi="Arial" w:cs="Times New Roman"/>
                      <w:sz w:val="20"/>
                      <w:szCs w:val="20"/>
                      <w:lang w:val="en-GB" w:eastAsia="zh-CN"/>
                    </w:rPr>
                  </w:pPr>
                </w:p>
                <w:p w:rsidR="00C909D0" w:rsidRPr="00C909D0" w:rsidRDefault="00C909D0" w:rsidP="00C909D0">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1</w:t>
                  </w:r>
                  <w:r w:rsidRPr="00C909D0">
                    <w:rPr>
                      <w:rFonts w:ascii="Arial" w:eastAsia="SimSun" w:hAnsi="Arial" w:cs="Times New Roman"/>
                      <w:sz w:val="20"/>
                      <w:szCs w:val="20"/>
                      <w:vertAlign w:val="superscript"/>
                      <w:lang w:val="en-GB" w:eastAsia="zh-CN"/>
                    </w:rPr>
                    <w:t>st</w:t>
                  </w:r>
                  <w:r w:rsidRPr="00C909D0">
                    <w:rPr>
                      <w:rFonts w:ascii="Arial" w:eastAsia="SimSun" w:hAnsi="Arial" w:cs="Times New Roman"/>
                      <w:sz w:val="20"/>
                      <w:szCs w:val="20"/>
                      <w:lang w:val="en-GB" w:eastAsia="zh-CN"/>
                    </w:rPr>
                    <w:t xml:space="preserve"> Marker’s Provisional mark</w:t>
                  </w:r>
                </w:p>
              </w:tc>
              <w:tc>
                <w:tcPr>
                  <w:tcW w:w="1660" w:type="dxa"/>
                </w:tcPr>
                <w:p w:rsidR="00C909D0" w:rsidRPr="00C909D0" w:rsidRDefault="00C909D0" w:rsidP="00C909D0">
                  <w:pPr>
                    <w:spacing w:after="0" w:line="240" w:lineRule="auto"/>
                    <w:rPr>
                      <w:rFonts w:ascii="Arial" w:eastAsia="SimSun" w:hAnsi="Arial" w:cs="Times New Roman"/>
                      <w:sz w:val="20"/>
                      <w:szCs w:val="20"/>
                      <w:lang w:val="en-GB" w:eastAsia="zh-CN"/>
                    </w:rPr>
                  </w:pPr>
                </w:p>
              </w:tc>
            </w:tr>
            <w:tr w:rsidR="00C909D0" w:rsidRPr="00C909D0" w:rsidTr="00BD7591">
              <w:tc>
                <w:tcPr>
                  <w:tcW w:w="6970" w:type="dxa"/>
                </w:tcPr>
                <w:p w:rsidR="00C909D0" w:rsidRPr="00C909D0" w:rsidRDefault="00C909D0" w:rsidP="00C909D0">
                  <w:pPr>
                    <w:spacing w:after="0" w:line="240" w:lineRule="auto"/>
                    <w:rPr>
                      <w:rFonts w:ascii="Arial" w:eastAsia="SimSun" w:hAnsi="Arial" w:cs="Times New Roman"/>
                      <w:sz w:val="20"/>
                      <w:szCs w:val="20"/>
                      <w:lang w:val="en-GB" w:eastAsia="zh-CN"/>
                    </w:rPr>
                  </w:pPr>
                </w:p>
                <w:p w:rsidR="00C909D0" w:rsidRPr="00C909D0" w:rsidRDefault="00C909D0" w:rsidP="00C909D0">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2</w:t>
                  </w:r>
                  <w:r w:rsidRPr="00C909D0">
                    <w:rPr>
                      <w:rFonts w:ascii="Arial" w:eastAsia="SimSun" w:hAnsi="Arial" w:cs="Times New Roman"/>
                      <w:sz w:val="20"/>
                      <w:szCs w:val="20"/>
                      <w:vertAlign w:val="superscript"/>
                      <w:lang w:val="en-GB" w:eastAsia="zh-CN"/>
                    </w:rPr>
                    <w:t>nd</w:t>
                  </w:r>
                  <w:r w:rsidRPr="00C909D0">
                    <w:rPr>
                      <w:rFonts w:ascii="Arial" w:eastAsia="SimSun" w:hAnsi="Arial" w:cs="Times New Roman"/>
                      <w:sz w:val="20"/>
                      <w:szCs w:val="20"/>
                      <w:lang w:val="en-GB" w:eastAsia="zh-CN"/>
                    </w:rPr>
                    <w:t xml:space="preserve"> Marker’s/Moderator’s provisional mark</w:t>
                  </w:r>
                </w:p>
              </w:tc>
              <w:tc>
                <w:tcPr>
                  <w:tcW w:w="1660" w:type="dxa"/>
                </w:tcPr>
                <w:p w:rsidR="00C909D0" w:rsidRPr="00C909D0" w:rsidRDefault="00C909D0" w:rsidP="00C909D0">
                  <w:pPr>
                    <w:spacing w:after="0" w:line="240" w:lineRule="auto"/>
                    <w:rPr>
                      <w:rFonts w:ascii="Arial" w:eastAsia="SimSun" w:hAnsi="Arial" w:cs="Times New Roman"/>
                      <w:sz w:val="20"/>
                      <w:szCs w:val="20"/>
                      <w:lang w:val="en-GB" w:eastAsia="zh-CN"/>
                    </w:rPr>
                  </w:pPr>
                </w:p>
              </w:tc>
            </w:tr>
            <w:tr w:rsidR="00C909D0" w:rsidRPr="00C909D0" w:rsidTr="00BD7591">
              <w:tc>
                <w:tcPr>
                  <w:tcW w:w="6970" w:type="dxa"/>
                </w:tcPr>
                <w:p w:rsidR="00C909D0" w:rsidRPr="00C909D0" w:rsidRDefault="00C909D0" w:rsidP="00C909D0">
                  <w:pPr>
                    <w:spacing w:after="0" w:line="240" w:lineRule="auto"/>
                    <w:rPr>
                      <w:rFonts w:ascii="Arial" w:eastAsia="SimSun" w:hAnsi="Arial" w:cs="Times New Roman"/>
                      <w:color w:val="000000"/>
                      <w:sz w:val="20"/>
                      <w:szCs w:val="20"/>
                      <w:lang w:val="en-GB" w:eastAsia="zh-CN"/>
                    </w:rPr>
                  </w:pPr>
                  <w:r w:rsidRPr="00C909D0">
                    <w:rPr>
                      <w:rFonts w:ascii="Arial" w:eastAsia="SimSun" w:hAnsi="Arial" w:cs="Times New Roman"/>
                      <w:color w:val="000000"/>
                      <w:sz w:val="20"/>
                      <w:szCs w:val="20"/>
                      <w:lang w:val="en-GB" w:eastAsia="zh-CN"/>
                    </w:rPr>
                    <w:t xml:space="preserve">Agreed Internal Mark: </w:t>
                  </w:r>
                </w:p>
                <w:p w:rsidR="00C909D0" w:rsidRPr="00C909D0" w:rsidRDefault="00C909D0" w:rsidP="00C909D0">
                  <w:pPr>
                    <w:spacing w:after="0" w:line="240" w:lineRule="auto"/>
                    <w:rPr>
                      <w:rFonts w:ascii="Arial" w:eastAsia="SimSun" w:hAnsi="Arial" w:cs="Times New Roman"/>
                      <w:sz w:val="20"/>
                      <w:szCs w:val="20"/>
                      <w:highlight w:val="yellow"/>
                      <w:lang w:val="en-GB" w:eastAsia="zh-CN"/>
                    </w:rPr>
                  </w:pPr>
                </w:p>
              </w:tc>
              <w:tc>
                <w:tcPr>
                  <w:tcW w:w="1660" w:type="dxa"/>
                </w:tcPr>
                <w:p w:rsidR="00C909D0" w:rsidRPr="00C909D0" w:rsidRDefault="00C909D0" w:rsidP="00C909D0">
                  <w:pPr>
                    <w:spacing w:after="0" w:line="240" w:lineRule="auto"/>
                    <w:rPr>
                      <w:rFonts w:ascii="Arial" w:eastAsia="SimSun" w:hAnsi="Arial" w:cs="Times New Roman"/>
                      <w:sz w:val="20"/>
                      <w:szCs w:val="20"/>
                      <w:highlight w:val="yellow"/>
                      <w:lang w:val="en-GB" w:eastAsia="zh-CN"/>
                    </w:rPr>
                  </w:pPr>
                </w:p>
              </w:tc>
            </w:tr>
            <w:tr w:rsidR="00C909D0" w:rsidRPr="00C909D0" w:rsidTr="00BD7591">
              <w:tc>
                <w:tcPr>
                  <w:tcW w:w="6970" w:type="dxa"/>
                </w:tcPr>
                <w:p w:rsidR="00C909D0" w:rsidRPr="00C909D0" w:rsidRDefault="00C909D0" w:rsidP="00C909D0">
                  <w:pPr>
                    <w:spacing w:after="0" w:line="240" w:lineRule="auto"/>
                    <w:rPr>
                      <w:rFonts w:ascii="Arial" w:eastAsia="SimSun" w:hAnsi="Arial" w:cs="Times New Roman"/>
                      <w:sz w:val="20"/>
                      <w:szCs w:val="20"/>
                      <w:lang w:val="en-GB" w:eastAsia="zh-CN"/>
                    </w:rPr>
                  </w:pPr>
                </w:p>
                <w:p w:rsidR="00C909D0" w:rsidRPr="00C909D0" w:rsidRDefault="00C909D0" w:rsidP="00C909D0">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External Examiner’s mark (if relevant)</w:t>
                  </w:r>
                </w:p>
              </w:tc>
              <w:tc>
                <w:tcPr>
                  <w:tcW w:w="1660" w:type="dxa"/>
                </w:tcPr>
                <w:p w:rsidR="00C909D0" w:rsidRPr="00C909D0" w:rsidRDefault="00C909D0" w:rsidP="00C909D0">
                  <w:pPr>
                    <w:spacing w:after="0" w:line="240" w:lineRule="auto"/>
                    <w:rPr>
                      <w:rFonts w:ascii="Arial" w:eastAsia="SimSun" w:hAnsi="Arial" w:cs="Times New Roman"/>
                      <w:sz w:val="20"/>
                      <w:szCs w:val="20"/>
                      <w:lang w:val="en-GB" w:eastAsia="zh-CN"/>
                    </w:rPr>
                  </w:pPr>
                </w:p>
              </w:tc>
            </w:tr>
            <w:tr w:rsidR="00C909D0" w:rsidRPr="00C909D0" w:rsidTr="00BD7591">
              <w:tc>
                <w:tcPr>
                  <w:tcW w:w="6970" w:type="dxa"/>
                </w:tcPr>
                <w:p w:rsidR="00C909D0" w:rsidRPr="00C909D0" w:rsidRDefault="00C909D0" w:rsidP="00C909D0">
                  <w:pPr>
                    <w:spacing w:after="0" w:line="240" w:lineRule="auto"/>
                    <w:rPr>
                      <w:rFonts w:ascii="Arial" w:eastAsia="SimSun" w:hAnsi="Arial" w:cs="Times New Roman"/>
                      <w:sz w:val="20"/>
                      <w:szCs w:val="20"/>
                      <w:lang w:val="en-GB" w:eastAsia="zh-CN"/>
                    </w:rPr>
                  </w:pPr>
                </w:p>
                <w:p w:rsidR="00C909D0" w:rsidRPr="00C909D0" w:rsidRDefault="00C909D0" w:rsidP="00C909D0">
                  <w:pPr>
                    <w:spacing w:after="0" w:line="240" w:lineRule="auto"/>
                    <w:rPr>
                      <w:rFonts w:ascii="Arial" w:eastAsia="SimSun" w:hAnsi="Arial" w:cs="Times New Roman"/>
                      <w:b/>
                      <w:sz w:val="20"/>
                      <w:szCs w:val="20"/>
                      <w:lang w:val="en-GB" w:eastAsia="zh-CN"/>
                    </w:rPr>
                  </w:pPr>
                  <w:r w:rsidRPr="00C909D0">
                    <w:rPr>
                      <w:rFonts w:ascii="Arial" w:eastAsia="SimSun" w:hAnsi="Arial" w:cs="Times New Roman"/>
                      <w:b/>
                      <w:sz w:val="20"/>
                      <w:szCs w:val="20"/>
                      <w:lang w:val="en-GB" w:eastAsia="zh-CN"/>
                    </w:rPr>
                    <w:t>Final Mark</w:t>
                  </w:r>
                </w:p>
                <w:p w:rsidR="00C909D0" w:rsidRPr="00C909D0" w:rsidRDefault="00C909D0" w:rsidP="00C909D0">
                  <w:pPr>
                    <w:spacing w:after="0" w:line="240" w:lineRule="auto"/>
                    <w:rPr>
                      <w:rFonts w:ascii="Arial" w:eastAsia="SimSun" w:hAnsi="Arial" w:cs="Times New Roman"/>
                      <w:sz w:val="20"/>
                      <w:szCs w:val="20"/>
                      <w:lang w:val="en-GB" w:eastAsia="zh-CN"/>
                    </w:rPr>
                  </w:pPr>
                </w:p>
              </w:tc>
              <w:tc>
                <w:tcPr>
                  <w:tcW w:w="1660" w:type="dxa"/>
                </w:tcPr>
                <w:p w:rsidR="00C909D0" w:rsidRPr="00C909D0" w:rsidRDefault="00C909D0" w:rsidP="00C909D0">
                  <w:pPr>
                    <w:spacing w:after="0" w:line="240" w:lineRule="auto"/>
                    <w:rPr>
                      <w:rFonts w:ascii="Arial" w:eastAsia="SimSun" w:hAnsi="Arial" w:cs="Times New Roman"/>
                      <w:sz w:val="20"/>
                      <w:szCs w:val="20"/>
                      <w:lang w:val="en-GB" w:eastAsia="zh-CN"/>
                    </w:rPr>
                  </w:pPr>
                </w:p>
              </w:tc>
            </w:tr>
          </w:tbl>
          <w:p w:rsidR="00C909D0" w:rsidRPr="00C909D0" w:rsidRDefault="00C909D0" w:rsidP="00C909D0">
            <w:pPr>
              <w:spacing w:after="0" w:line="240" w:lineRule="auto"/>
              <w:ind w:left="142" w:right="34"/>
              <w:rPr>
                <w:rFonts w:ascii="Arial" w:eastAsia="SimSun" w:hAnsi="Arial" w:cs="Arial"/>
                <w:b/>
                <w:color w:val="000000"/>
                <w:lang w:val="en-GB" w:eastAsia="zh-CN"/>
              </w:rPr>
            </w:pPr>
          </w:p>
          <w:p w:rsidR="00C909D0" w:rsidRPr="00C909D0" w:rsidRDefault="00C909D0" w:rsidP="00C909D0">
            <w:pPr>
              <w:spacing w:after="0" w:line="240" w:lineRule="auto"/>
              <w:ind w:left="142" w:right="34"/>
              <w:rPr>
                <w:rFonts w:ascii="Arial" w:eastAsia="SimSun" w:hAnsi="Arial" w:cs="Arial"/>
                <w:color w:val="000000"/>
                <w:lang w:val="en-GB" w:eastAsia="zh-CN"/>
              </w:rPr>
            </w:pPr>
            <w:r w:rsidRPr="00C909D0">
              <w:rPr>
                <w:rFonts w:ascii="Arial" w:eastAsia="SimSun" w:hAnsi="Arial" w:cs="Arial"/>
                <w:b/>
                <w:color w:val="000000"/>
                <w:lang w:val="en-GB" w:eastAsia="zh-CN"/>
              </w:rPr>
              <w:t>NB.</w:t>
            </w:r>
            <w:r w:rsidRPr="00C909D0">
              <w:rPr>
                <w:rFonts w:ascii="Arial" w:eastAsia="SimSun" w:hAnsi="Arial" w:cs="Arial"/>
                <w:color w:val="000000"/>
                <w:lang w:val="en-GB" w:eastAsia="zh-CN"/>
              </w:rPr>
              <w:t xml:space="preserve">  All marks are provisional until confirmed by the Final Examination Board.</w:t>
            </w:r>
          </w:p>
          <w:p w:rsidR="00C909D0" w:rsidRPr="00C909D0" w:rsidRDefault="00C909D0" w:rsidP="00C909D0">
            <w:pPr>
              <w:spacing w:after="0" w:line="240" w:lineRule="auto"/>
              <w:rPr>
                <w:rFonts w:ascii="Arial" w:eastAsia="SimSun" w:hAnsi="Arial" w:cs="Arial"/>
                <w:b/>
                <w:color w:val="000000"/>
                <w:lang w:val="en-GB" w:eastAsia="zh-CN"/>
              </w:rPr>
            </w:pPr>
          </w:p>
          <w:p w:rsidR="00C909D0" w:rsidRPr="00C909D0" w:rsidRDefault="00C909D0" w:rsidP="00C909D0">
            <w:pPr>
              <w:spacing w:after="0" w:line="240" w:lineRule="auto"/>
              <w:rPr>
                <w:rFonts w:ascii="Arial" w:eastAsia="SimSun" w:hAnsi="Arial" w:cs="Arial"/>
                <w:b/>
                <w:color w:val="000000"/>
                <w:lang w:val="en-GB" w:eastAsia="zh-CN"/>
              </w:rPr>
            </w:pPr>
          </w:p>
          <w:p w:rsidR="00C909D0" w:rsidRPr="00C909D0" w:rsidRDefault="00C909D0" w:rsidP="00C909D0">
            <w:pPr>
              <w:spacing w:after="0" w:line="240" w:lineRule="auto"/>
              <w:rPr>
                <w:rFonts w:ascii="Arial" w:eastAsia="SimSun" w:hAnsi="Arial" w:cs="Arial"/>
                <w:b/>
                <w:color w:val="000000"/>
                <w:lang w:val="en-GB" w:eastAsia="zh-CN"/>
              </w:rPr>
            </w:pPr>
          </w:p>
          <w:p w:rsidR="00C909D0" w:rsidRPr="00C909D0" w:rsidRDefault="00C909D0" w:rsidP="00C909D0">
            <w:pPr>
              <w:spacing w:after="0" w:line="240" w:lineRule="auto"/>
              <w:rPr>
                <w:rFonts w:ascii="Arial" w:eastAsia="SimSun" w:hAnsi="Arial" w:cs="Arial"/>
                <w:b/>
                <w:color w:val="000000"/>
                <w:lang w:val="en-GB" w:eastAsia="zh-CN"/>
              </w:rPr>
            </w:pPr>
          </w:p>
          <w:p w:rsidR="00C909D0" w:rsidRPr="00C909D0" w:rsidRDefault="00C909D0" w:rsidP="00C909D0">
            <w:pPr>
              <w:spacing w:after="0" w:line="240" w:lineRule="auto"/>
              <w:rPr>
                <w:rFonts w:ascii="Arial" w:eastAsia="SimSun" w:hAnsi="Arial" w:cs="Arial"/>
                <w:b/>
                <w:color w:val="000000"/>
                <w:lang w:val="en-GB" w:eastAsia="zh-CN"/>
              </w:rPr>
            </w:pPr>
            <w:r w:rsidRPr="00C909D0">
              <w:rPr>
                <w:rFonts w:ascii="Arial" w:eastAsia="SimSun" w:hAnsi="Arial" w:cs="Arial"/>
                <w:b/>
                <w:color w:val="000000"/>
                <w:lang w:val="en-GB" w:eastAsia="zh-CN"/>
              </w:rPr>
              <w:t>For completion by Marker 1 :</w:t>
            </w:r>
          </w:p>
          <w:p w:rsidR="00C909D0" w:rsidRPr="00C909D0" w:rsidRDefault="00C909D0" w:rsidP="00C909D0">
            <w:pPr>
              <w:spacing w:before="100" w:beforeAutospacing="1" w:after="100" w:afterAutospacing="1" w:line="240" w:lineRule="auto"/>
              <w:rPr>
                <w:rFonts w:ascii="Arial" w:eastAsia="SimSun" w:hAnsi="Arial" w:cs="Arial"/>
                <w:color w:val="000000"/>
                <w:lang w:val="en-GB" w:eastAsia="zh-CN"/>
              </w:rPr>
            </w:pPr>
            <w:r w:rsidRPr="00C909D0">
              <w:rPr>
                <w:rFonts w:ascii="Arial" w:eastAsia="SimSun" w:hAnsi="Arial" w:cs="Arial"/>
                <w:color w:val="000000"/>
                <w:lang w:val="en-GB" w:eastAsia="zh-CN"/>
              </w:rPr>
              <w:t>Comments:</w:t>
            </w:r>
          </w:p>
          <w:p w:rsidR="00C909D0" w:rsidRPr="00C909D0" w:rsidRDefault="00C909D0" w:rsidP="00C909D0">
            <w:pPr>
              <w:spacing w:before="100" w:beforeAutospacing="1" w:after="100" w:afterAutospacing="1" w:line="240" w:lineRule="auto"/>
              <w:rPr>
                <w:rFonts w:ascii="Arial" w:eastAsia="SimSun" w:hAnsi="Arial" w:cs="Arial"/>
                <w:color w:val="000000"/>
                <w:lang w:val="en-GB" w:eastAsia="zh-CN"/>
              </w:rPr>
            </w:pPr>
          </w:p>
        </w:tc>
      </w:tr>
      <w:tr w:rsidR="00C909D0" w:rsidRPr="00C909D0" w:rsidTr="00BD7591">
        <w:trPr>
          <w:trHeight w:val="492"/>
        </w:trPr>
        <w:tc>
          <w:tcPr>
            <w:tcW w:w="6768" w:type="dxa"/>
            <w:gridSpan w:val="3"/>
          </w:tcPr>
          <w:p w:rsidR="00C909D0" w:rsidRPr="00C909D0" w:rsidRDefault="00C909D0" w:rsidP="00C909D0">
            <w:pPr>
              <w:spacing w:before="100" w:beforeAutospacing="1" w:after="10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lastRenderedPageBreak/>
              <w:t>Marker’s signature:</w:t>
            </w:r>
          </w:p>
        </w:tc>
        <w:tc>
          <w:tcPr>
            <w:tcW w:w="2088" w:type="dxa"/>
            <w:gridSpan w:val="2"/>
          </w:tcPr>
          <w:p w:rsidR="00C909D0" w:rsidRPr="00C909D0" w:rsidRDefault="00C909D0" w:rsidP="00C909D0">
            <w:pPr>
              <w:spacing w:before="100" w:beforeAutospacing="1" w:after="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t>Date:</w:t>
            </w:r>
          </w:p>
        </w:tc>
      </w:tr>
      <w:tr w:rsidR="00C909D0" w:rsidRPr="00C909D0" w:rsidTr="00BD7591">
        <w:tc>
          <w:tcPr>
            <w:tcW w:w="8856" w:type="dxa"/>
            <w:gridSpan w:val="5"/>
          </w:tcPr>
          <w:p w:rsidR="00C909D0" w:rsidRPr="00C909D0" w:rsidRDefault="00C909D0" w:rsidP="00C909D0">
            <w:pPr>
              <w:spacing w:after="0" w:line="240" w:lineRule="auto"/>
              <w:ind w:right="-334"/>
              <w:rPr>
                <w:rFonts w:ascii="Arial" w:eastAsia="SimSun" w:hAnsi="Arial" w:cs="Arial"/>
                <w:bCs/>
                <w:i/>
                <w:color w:val="000000"/>
                <w:lang w:val="en-GB" w:eastAsia="zh-CN"/>
              </w:rPr>
            </w:pPr>
          </w:p>
          <w:p w:rsidR="00C909D0" w:rsidRPr="00C909D0" w:rsidRDefault="00C909D0" w:rsidP="00C909D0">
            <w:pPr>
              <w:spacing w:after="0" w:line="240" w:lineRule="auto"/>
              <w:ind w:right="-334"/>
              <w:rPr>
                <w:rFonts w:ascii="Arial" w:eastAsia="SimSun" w:hAnsi="Arial" w:cs="Arial"/>
                <w:b/>
                <w:bCs/>
                <w:color w:val="000000"/>
                <w:lang w:val="en-GB" w:eastAsia="zh-CN"/>
              </w:rPr>
            </w:pPr>
            <w:r w:rsidRPr="00C909D0">
              <w:rPr>
                <w:rFonts w:ascii="Arial" w:eastAsia="SimSun" w:hAnsi="Arial" w:cs="Arial"/>
                <w:b/>
                <w:bCs/>
                <w:color w:val="000000"/>
                <w:lang w:val="en-GB" w:eastAsia="zh-CN"/>
              </w:rPr>
              <w:t>For completion by Marker 2/Moderator:</w:t>
            </w:r>
          </w:p>
          <w:p w:rsidR="00C909D0" w:rsidRPr="00C909D0" w:rsidRDefault="00C909D0" w:rsidP="00C909D0">
            <w:pPr>
              <w:spacing w:after="0" w:line="240" w:lineRule="auto"/>
              <w:ind w:right="-334"/>
              <w:rPr>
                <w:rFonts w:ascii="Arial" w:eastAsia="SimSun" w:hAnsi="Arial" w:cs="Arial"/>
                <w:b/>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Comments:</w:t>
            </w: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tc>
      </w:tr>
      <w:tr w:rsidR="00C909D0" w:rsidRPr="00C909D0" w:rsidTr="00BD7591">
        <w:trPr>
          <w:trHeight w:val="720"/>
        </w:trPr>
        <w:tc>
          <w:tcPr>
            <w:tcW w:w="5211" w:type="dxa"/>
            <w:gridSpan w:val="2"/>
          </w:tcPr>
          <w:p w:rsidR="00C909D0" w:rsidRPr="00C909D0" w:rsidRDefault="00C909D0" w:rsidP="00C909D0">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Marker’s Signature:</w:t>
            </w:r>
          </w:p>
        </w:tc>
        <w:tc>
          <w:tcPr>
            <w:tcW w:w="3645" w:type="dxa"/>
            <w:gridSpan w:val="3"/>
          </w:tcPr>
          <w:p w:rsidR="00C909D0" w:rsidRPr="00C909D0" w:rsidRDefault="00C909D0" w:rsidP="00C909D0">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Date:</w:t>
            </w:r>
          </w:p>
        </w:tc>
      </w:tr>
      <w:tr w:rsidR="00C909D0" w:rsidRPr="00C909D0" w:rsidTr="00BD7591">
        <w:trPr>
          <w:trHeight w:val="720"/>
        </w:trPr>
        <w:tc>
          <w:tcPr>
            <w:tcW w:w="8856" w:type="dxa"/>
            <w:gridSpan w:val="5"/>
          </w:tcPr>
          <w:p w:rsidR="00C909D0" w:rsidRPr="00C909D0" w:rsidRDefault="00C909D0" w:rsidP="00C909D0">
            <w:pPr>
              <w:spacing w:after="0" w:line="240" w:lineRule="auto"/>
              <w:rPr>
                <w:rFonts w:ascii="Arial" w:eastAsia="SimSun" w:hAnsi="Arial" w:cs="Arial"/>
                <w:b/>
                <w:lang w:val="en-GB" w:eastAsia="zh-CN"/>
              </w:rPr>
            </w:pPr>
            <w:r w:rsidRPr="00C909D0">
              <w:rPr>
                <w:rFonts w:ascii="Arial" w:eastAsia="SimSun" w:hAnsi="Arial" w:cs="Arial"/>
                <w:b/>
                <w:lang w:val="en-GB" w:eastAsia="zh-CN"/>
              </w:rPr>
              <w:t>AGREED INTERNAL MARK (where necessary):</w:t>
            </w: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r w:rsidRPr="00C909D0">
              <w:rPr>
                <w:rFonts w:ascii="Arial" w:eastAsia="SimSun" w:hAnsi="Arial" w:cs="Arial"/>
                <w:b/>
                <w:lang w:val="en-GB" w:eastAsia="zh-CN"/>
              </w:rPr>
              <w:t>Comment on process of arriving at agreed mark:</w:t>
            </w: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p w:rsidR="00C909D0" w:rsidRPr="00C909D0" w:rsidRDefault="00C909D0" w:rsidP="00C909D0">
            <w:pPr>
              <w:spacing w:after="0" w:line="240" w:lineRule="auto"/>
              <w:rPr>
                <w:rFonts w:ascii="Arial" w:eastAsia="SimSun" w:hAnsi="Arial" w:cs="Arial"/>
                <w:b/>
                <w:lang w:val="en-GB" w:eastAsia="zh-CN"/>
              </w:rPr>
            </w:pPr>
          </w:p>
        </w:tc>
      </w:tr>
      <w:tr w:rsidR="00C909D0" w:rsidRPr="00C909D0" w:rsidTr="00BD7591">
        <w:trPr>
          <w:trHeight w:val="720"/>
        </w:trPr>
        <w:tc>
          <w:tcPr>
            <w:tcW w:w="8856" w:type="dxa"/>
            <w:gridSpan w:val="5"/>
          </w:tcPr>
          <w:p w:rsidR="00C909D0" w:rsidRPr="00C909D0" w:rsidRDefault="00C909D0" w:rsidP="00C909D0">
            <w:pPr>
              <w:spacing w:after="0" w:line="240" w:lineRule="auto"/>
              <w:rPr>
                <w:rFonts w:ascii="Arial" w:eastAsia="SimSun" w:hAnsi="Arial" w:cs="Arial"/>
                <w:b/>
                <w:lang w:val="en-GB" w:eastAsia="zh-CN"/>
              </w:rPr>
            </w:pPr>
            <w:r w:rsidRPr="00C909D0">
              <w:rPr>
                <w:rFonts w:ascii="Arial" w:eastAsia="SimSun" w:hAnsi="Arial" w:cs="Arial"/>
                <w:b/>
                <w:lang w:val="en-GB" w:eastAsia="zh-CN"/>
              </w:rPr>
              <w:t>External Examiner’s comments (if relevant)</w:t>
            </w: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p w:rsidR="00C909D0" w:rsidRPr="00C909D0" w:rsidRDefault="00C909D0" w:rsidP="00C909D0">
            <w:pPr>
              <w:spacing w:after="0" w:line="240" w:lineRule="auto"/>
              <w:ind w:right="-334"/>
              <w:rPr>
                <w:rFonts w:ascii="Arial" w:eastAsia="SimSun" w:hAnsi="Arial" w:cs="Arial"/>
                <w:bCs/>
                <w:color w:val="000000"/>
                <w:lang w:val="en-GB" w:eastAsia="zh-CN"/>
              </w:rPr>
            </w:pPr>
          </w:p>
        </w:tc>
      </w:tr>
      <w:tr w:rsidR="00C909D0" w:rsidRPr="00C909D0" w:rsidTr="00BD7591">
        <w:trPr>
          <w:trHeight w:val="720"/>
        </w:trPr>
        <w:tc>
          <w:tcPr>
            <w:tcW w:w="5211" w:type="dxa"/>
            <w:gridSpan w:val="2"/>
          </w:tcPr>
          <w:p w:rsidR="00C909D0" w:rsidRPr="00C909D0" w:rsidRDefault="00C909D0" w:rsidP="00C909D0">
            <w:pPr>
              <w:spacing w:after="0" w:line="240" w:lineRule="auto"/>
              <w:rPr>
                <w:rFonts w:ascii="Arial" w:eastAsia="SimSun" w:hAnsi="Arial" w:cs="Arial"/>
                <w:lang w:val="en-GB" w:eastAsia="zh-CN"/>
              </w:rPr>
            </w:pPr>
            <w:r w:rsidRPr="00C909D0">
              <w:rPr>
                <w:rFonts w:ascii="Arial" w:eastAsia="SimSun" w:hAnsi="Arial" w:cs="Arial"/>
                <w:lang w:val="en-GB" w:eastAsia="zh-CN"/>
              </w:rPr>
              <w:t>External Examiner’s Signature:</w:t>
            </w:r>
          </w:p>
        </w:tc>
        <w:tc>
          <w:tcPr>
            <w:tcW w:w="3645" w:type="dxa"/>
            <w:gridSpan w:val="3"/>
          </w:tcPr>
          <w:p w:rsidR="00C909D0" w:rsidRPr="00C909D0" w:rsidRDefault="00C909D0" w:rsidP="00C909D0">
            <w:pPr>
              <w:spacing w:after="0" w:line="240" w:lineRule="auto"/>
              <w:rPr>
                <w:rFonts w:ascii="Arial" w:eastAsia="SimSun" w:hAnsi="Arial" w:cs="Arial"/>
                <w:lang w:val="en-GB" w:eastAsia="zh-CN"/>
              </w:rPr>
            </w:pPr>
            <w:r w:rsidRPr="00C909D0">
              <w:rPr>
                <w:rFonts w:ascii="Arial" w:eastAsia="SimSun" w:hAnsi="Arial" w:cs="Arial"/>
                <w:lang w:val="en-GB" w:eastAsia="zh-CN"/>
              </w:rPr>
              <w:t>Date:</w:t>
            </w:r>
          </w:p>
        </w:tc>
      </w:tr>
    </w:tbl>
    <w:p w:rsidR="009E14AC" w:rsidRDefault="009E14AC" w:rsidP="006325E5">
      <w:pPr>
        <w:spacing w:line="360" w:lineRule="auto"/>
      </w:pPr>
    </w:p>
    <w:p w:rsidR="009C5A33" w:rsidRPr="00486D20" w:rsidRDefault="00360E1B" w:rsidP="00CE089C">
      <w:pPr>
        <w:spacing w:line="360" w:lineRule="auto"/>
        <w:jc w:val="center"/>
        <w:rPr>
          <w:b/>
        </w:rPr>
      </w:pPr>
      <w:r w:rsidRPr="00486D20">
        <w:rPr>
          <w:b/>
        </w:rPr>
        <w:lastRenderedPageBreak/>
        <w:t xml:space="preserve">A Critical Review </w:t>
      </w:r>
      <w:r w:rsidR="00CE089C" w:rsidRPr="00486D20">
        <w:rPr>
          <w:b/>
        </w:rPr>
        <w:t>of Two Paper</w:t>
      </w:r>
      <w:r w:rsidR="00B94AD0" w:rsidRPr="00486D20">
        <w:rPr>
          <w:b/>
        </w:rPr>
        <w:t>s</w:t>
      </w:r>
      <w:r w:rsidR="00CE089C" w:rsidRPr="00486D20">
        <w:rPr>
          <w:b/>
        </w:rPr>
        <w:t xml:space="preserve"> from the Oxford IX Symposium Regarding the Archaeological Site of Chankillo</w:t>
      </w:r>
    </w:p>
    <w:p w:rsidR="006206E2" w:rsidRPr="00486D20" w:rsidRDefault="006206E2" w:rsidP="006325E5">
      <w:pPr>
        <w:spacing w:line="360" w:lineRule="auto"/>
        <w:ind w:firstLine="720"/>
      </w:pPr>
      <w:bookmarkStart w:id="6" w:name="_GoBack"/>
      <w:r w:rsidRPr="00486D20">
        <w:t xml:space="preserve">Ancient </w:t>
      </w:r>
      <w:r w:rsidR="008D3118" w:rsidRPr="00486D20">
        <w:t>archaeological</w:t>
      </w:r>
      <w:r w:rsidRPr="00486D20">
        <w:t xml:space="preserve"> monuments can offe</w:t>
      </w:r>
      <w:r w:rsidR="006325E5" w:rsidRPr="00486D20">
        <w:t>r great insights into the</w:t>
      </w:r>
      <w:r w:rsidRPr="00486D20">
        <w:t xml:space="preserve"> astronomical knowledge and importance of </w:t>
      </w:r>
      <w:r w:rsidR="006325E5" w:rsidRPr="00486D20">
        <w:t>ancient</w:t>
      </w:r>
      <w:r w:rsidRPr="00486D20">
        <w:t xml:space="preserve"> cultures. However, one can never truly know the real significance and meaning of a</w:t>
      </w:r>
      <w:r w:rsidR="006325E5" w:rsidRPr="00486D20">
        <w:t>n</w:t>
      </w:r>
      <w:r w:rsidRPr="00486D20">
        <w:t xml:space="preserve"> </w:t>
      </w:r>
      <w:r w:rsidR="006325E5" w:rsidRPr="00486D20">
        <w:t>archaeological</w:t>
      </w:r>
      <w:r w:rsidRPr="00486D20">
        <w:t xml:space="preserve"> site. In the case of Chankillo, Peru</w:t>
      </w:r>
      <w:r w:rsidR="00B94AD0" w:rsidRPr="00486D20">
        <w:t>,</w:t>
      </w:r>
      <w:r w:rsidRPr="00486D20">
        <w:t xml:space="preserve"> there is much debate </w:t>
      </w:r>
      <w:r w:rsidR="00C062AB" w:rsidRPr="00486D20">
        <w:t>its purpose</w:t>
      </w:r>
      <w:r w:rsidRPr="00486D20">
        <w:t xml:space="preserve">. </w:t>
      </w:r>
      <w:r w:rsidR="00C062AB" w:rsidRPr="00486D20">
        <w:t xml:space="preserve">The site of Chankillo is considered the oldest observatory in the Americas and consists of a temple, plaza, and thirteen stone towers built along a hill forming an </w:t>
      </w:r>
      <w:r w:rsidR="00C05B84" w:rsidRPr="00486D20">
        <w:t>artificial</w:t>
      </w:r>
      <w:r w:rsidR="00C062AB" w:rsidRPr="00486D20">
        <w:t xml:space="preserve"> horizon. </w:t>
      </w:r>
      <w:r w:rsidR="006325E5" w:rsidRPr="00486D20">
        <w:t xml:space="preserve">Published in the </w:t>
      </w:r>
      <w:r w:rsidR="008D3118" w:rsidRPr="00486D20">
        <w:t xml:space="preserve">2011 </w:t>
      </w:r>
      <w:r w:rsidR="006325E5" w:rsidRPr="00486D20">
        <w:t xml:space="preserve">Oxford IX </w:t>
      </w:r>
      <w:r w:rsidR="00CC43A9" w:rsidRPr="00486D20">
        <w:t>symposium</w:t>
      </w:r>
      <w:r w:rsidR="006325E5" w:rsidRPr="00486D20">
        <w:t xml:space="preserve"> the </w:t>
      </w:r>
      <w:r w:rsidR="008D3118" w:rsidRPr="00486D20">
        <w:t>chapters</w:t>
      </w:r>
      <w:r w:rsidR="00CC43A9" w:rsidRPr="00486D20">
        <w:t xml:space="preserve"> </w:t>
      </w:r>
      <w:r w:rsidR="006325E5" w:rsidRPr="00486D20">
        <w:t>“The Social and Ritual Context of Horizon Astrono</w:t>
      </w:r>
      <w:r w:rsidR="00C062AB" w:rsidRPr="00486D20">
        <w:t>mical Observations at Chankillo</w:t>
      </w:r>
      <w:r w:rsidR="006325E5" w:rsidRPr="00486D20">
        <w:t>”</w:t>
      </w:r>
      <w:r w:rsidR="008D3118" w:rsidRPr="00486D20">
        <w:t xml:space="preserve"> by Ghezzi and Ruggles</w:t>
      </w:r>
      <w:r w:rsidR="00835487" w:rsidRPr="00486D20">
        <w:t xml:space="preserve"> </w:t>
      </w:r>
      <w:r w:rsidR="006325E5" w:rsidRPr="00486D20">
        <w:t>and “Astronomy and Ceremony at C</w:t>
      </w:r>
      <w:r w:rsidR="00C062AB" w:rsidRPr="00486D20">
        <w:t>hankillo: an Andean Perspective</w:t>
      </w:r>
      <w:r w:rsidR="006325E5" w:rsidRPr="00486D20">
        <w:t>”</w:t>
      </w:r>
      <w:r w:rsidR="008D3118" w:rsidRPr="00486D20">
        <w:t xml:space="preserve"> by Malville,</w:t>
      </w:r>
      <w:r w:rsidRPr="00486D20">
        <w:t xml:space="preserve"> both provide </w:t>
      </w:r>
      <w:r w:rsidR="006325E5" w:rsidRPr="00486D20">
        <w:t xml:space="preserve">different methodologies for examining the </w:t>
      </w:r>
      <w:r w:rsidRPr="00486D20">
        <w:t xml:space="preserve">existence of Chankillo. </w:t>
      </w:r>
      <w:r w:rsidR="006325E5" w:rsidRPr="00486D20">
        <w:t>Through exploring</w:t>
      </w:r>
      <w:r w:rsidRPr="00486D20">
        <w:t xml:space="preserve"> the inher</w:t>
      </w:r>
      <w:r w:rsidR="00B94AD0" w:rsidRPr="00486D20">
        <w:t>en</w:t>
      </w:r>
      <w:r w:rsidRPr="00486D20">
        <w:t xml:space="preserve">t bias of western archaeoastronomy and the use of </w:t>
      </w:r>
      <w:r w:rsidR="006325E5" w:rsidRPr="00486D20">
        <w:t xml:space="preserve">non-astronomical </w:t>
      </w:r>
      <w:r w:rsidRPr="00486D20">
        <w:t>archaeology evidence</w:t>
      </w:r>
      <w:r w:rsidR="00B94AD0" w:rsidRPr="00486D20">
        <w:t>,</w:t>
      </w:r>
      <w:r w:rsidRPr="00486D20">
        <w:t xml:space="preserve"> </w:t>
      </w:r>
      <w:r w:rsidR="006325E5" w:rsidRPr="00486D20">
        <w:t xml:space="preserve">this paper </w:t>
      </w:r>
      <w:r w:rsidRPr="00486D20">
        <w:t xml:space="preserve">will allow the reader to take a critical look at both articles and examine which theories present a better argument. </w:t>
      </w:r>
    </w:p>
    <w:p w:rsidR="00E61A61" w:rsidRPr="00486D20" w:rsidRDefault="001B5649" w:rsidP="00661E92">
      <w:pPr>
        <w:spacing w:line="360" w:lineRule="auto"/>
        <w:ind w:firstLine="720"/>
      </w:pPr>
      <w:r w:rsidRPr="00486D20">
        <w:t>The paper w</w:t>
      </w:r>
      <w:r w:rsidR="00CC43A9" w:rsidRPr="00486D20">
        <w:t>ritten b</w:t>
      </w:r>
      <w:r w:rsidRPr="00486D20">
        <w:t xml:space="preserve">y Ghezzi and Ruggles for the Oxford IX </w:t>
      </w:r>
      <w:r w:rsidR="00CC43A9" w:rsidRPr="00486D20">
        <w:t>symposium</w:t>
      </w:r>
      <w:r w:rsidRPr="00486D20">
        <w:t xml:space="preserve"> is a further look into the role of the structures of Chankillo in light of new arch</w:t>
      </w:r>
      <w:r w:rsidR="008D3118" w:rsidRPr="00486D20">
        <w:t>a</w:t>
      </w:r>
      <w:r w:rsidRPr="00486D20">
        <w:t>eoastron</w:t>
      </w:r>
      <w:r w:rsidR="008D3118" w:rsidRPr="00486D20">
        <w:t>omy</w:t>
      </w:r>
      <w:r w:rsidRPr="00486D20">
        <w:t xml:space="preserve"> evidence. The paper has a </w:t>
      </w:r>
      <w:r w:rsidR="00CC43A9" w:rsidRPr="00486D20">
        <w:t>firm</w:t>
      </w:r>
      <w:r w:rsidRPr="00486D20">
        <w:t xml:space="preserve"> methodology, using a lot of new </w:t>
      </w:r>
      <w:r w:rsidR="008D3118" w:rsidRPr="00486D20">
        <w:t>statistics</w:t>
      </w:r>
      <w:r w:rsidR="00CC43A9" w:rsidRPr="00486D20">
        <w:t xml:space="preserve"> and evidence found at the site by Ghezzi and his team</w:t>
      </w:r>
      <w:r w:rsidR="00F52AE5" w:rsidRPr="00486D20">
        <w:rPr>
          <w:rStyle w:val="FootnoteReference"/>
        </w:rPr>
        <w:footnoteReference w:id="1"/>
      </w:r>
      <w:r w:rsidRPr="00486D20">
        <w:t xml:space="preserve">. </w:t>
      </w:r>
      <w:r w:rsidR="008D3118" w:rsidRPr="00486D20">
        <w:t>This new evidence supports the theory of two observing points where ceremonies would occur to watch the sunset or sunrise, and a large presence of a warrior elite whom the ceremonies gave legitimacy to</w:t>
      </w:r>
      <w:r w:rsidR="00661E92" w:rsidRPr="00486D20">
        <w:t xml:space="preserve">. </w:t>
      </w:r>
      <w:r w:rsidRPr="00486D20">
        <w:t>The paper also builds on a lot of theories suggested in previous work done by both authors. The western bias sometime</w:t>
      </w:r>
      <w:r w:rsidR="00F52AE5" w:rsidRPr="00486D20">
        <w:t>s</w:t>
      </w:r>
      <w:r w:rsidRPr="00486D20">
        <w:t xml:space="preserve"> shown by Ruggles is slightly offset by Peruvian archaeologist Ghezzi, but the paper still seems to use Western ideas of warriors and social status that does not seem to be built from any </w:t>
      </w:r>
      <w:r w:rsidR="008D3118" w:rsidRPr="00486D20">
        <w:t>archaeological</w:t>
      </w:r>
      <w:r w:rsidRPr="00486D20">
        <w:t xml:space="preserve"> evidence of the culture at the time</w:t>
      </w:r>
      <w:r w:rsidR="008D3118" w:rsidRPr="00486D20">
        <w:t xml:space="preserve"> (</w:t>
      </w:r>
      <w:r w:rsidR="00724CF3" w:rsidRPr="00486D20">
        <w:t>Arkush and Stanish, 2005, p.4</w:t>
      </w:r>
      <w:r w:rsidR="00CC43A9" w:rsidRPr="00486D20">
        <w:t>)</w:t>
      </w:r>
      <w:r w:rsidR="00CC43A9" w:rsidRPr="00486D20">
        <w:rPr>
          <w:rStyle w:val="FootnoteReference"/>
        </w:rPr>
        <w:footnoteReference w:id="2"/>
      </w:r>
      <w:r w:rsidRPr="00486D20">
        <w:t>. By speculating with pure data collec</w:t>
      </w:r>
      <w:r w:rsidR="00724CF3" w:rsidRPr="00486D20">
        <w:t xml:space="preserve">ted at the site in the frame of other ancient observatories, there is little representation of evidence of </w:t>
      </w:r>
      <w:r w:rsidRPr="00486D20">
        <w:t>the culture at the time and the differences that may have been present when compared to the rest of the world.</w:t>
      </w:r>
      <w:r w:rsidR="00CC43A9" w:rsidRPr="00486D20">
        <w:t xml:space="preserve"> </w:t>
      </w:r>
    </w:p>
    <w:p w:rsidR="00293CFB" w:rsidRPr="00486D20" w:rsidRDefault="00293CFB" w:rsidP="00293CFB">
      <w:pPr>
        <w:spacing w:line="360" w:lineRule="auto"/>
        <w:ind w:firstLine="720"/>
      </w:pPr>
      <w:r w:rsidRPr="00486D20">
        <w:lastRenderedPageBreak/>
        <w:t xml:space="preserve">Ruggles uses the frame of archaeoastronomy </w:t>
      </w:r>
      <w:r w:rsidR="00B94AD0" w:rsidRPr="00486D20">
        <w:t>in</w:t>
      </w:r>
      <w:r w:rsidRPr="00486D20">
        <w:t xml:space="preserve"> all </w:t>
      </w:r>
      <w:r w:rsidR="00B94AD0" w:rsidRPr="00486D20">
        <w:t xml:space="preserve">of </w:t>
      </w:r>
      <w:r w:rsidRPr="00486D20">
        <w:t xml:space="preserve">his work and </w:t>
      </w:r>
      <w:r w:rsidR="00724CF3" w:rsidRPr="00486D20">
        <w:t>for this paper</w:t>
      </w:r>
      <w:r w:rsidR="00B94AD0" w:rsidRPr="00486D20">
        <w:t xml:space="preserve"> he</w:t>
      </w:r>
      <w:r w:rsidR="00724CF3" w:rsidRPr="00486D20">
        <w:t xml:space="preserve"> has </w:t>
      </w:r>
      <w:r w:rsidRPr="00486D20">
        <w:t>teamed up with</w:t>
      </w:r>
      <w:r w:rsidR="00F52AE5" w:rsidRPr="00486D20">
        <w:t xml:space="preserve"> archaeologist Ghezzi</w:t>
      </w:r>
      <w:r w:rsidR="00724CF3" w:rsidRPr="00486D20">
        <w:t>,</w:t>
      </w:r>
      <w:r w:rsidR="00F52AE5" w:rsidRPr="00486D20">
        <w:t xml:space="preserve"> who has worked on the site of Chankillo previously</w:t>
      </w:r>
      <w:r w:rsidR="00724CF3" w:rsidRPr="00486D20">
        <w:t>,</w:t>
      </w:r>
      <w:r w:rsidR="00F52AE5" w:rsidRPr="00486D20">
        <w:t xml:space="preserve"> to better understand the use of the thirteen towers at Chankillo. This paper does</w:t>
      </w:r>
      <w:r w:rsidRPr="00486D20">
        <w:t xml:space="preserve"> seem to be building on their own portfolios, sourcing a lot of their own previous work done individually</w:t>
      </w:r>
      <w:r w:rsidR="00F52AE5" w:rsidRPr="00486D20">
        <w:t xml:space="preserve"> and toget</w:t>
      </w:r>
      <w:r w:rsidR="00724CF3" w:rsidRPr="00486D20">
        <w:t>her</w:t>
      </w:r>
      <w:r w:rsidR="00360E1B" w:rsidRPr="00486D20">
        <w:rPr>
          <w:rStyle w:val="FootnoteReference"/>
        </w:rPr>
        <w:footnoteReference w:id="3"/>
      </w:r>
      <w:r w:rsidR="00724CF3" w:rsidRPr="00486D20">
        <w:t>. While i</w:t>
      </w:r>
      <w:r w:rsidR="00F52AE5" w:rsidRPr="00486D20">
        <w:t>t does reference other astronomical and archaeoastronomy work</w:t>
      </w:r>
      <w:r w:rsidR="00F52AE5" w:rsidRPr="00486D20">
        <w:rPr>
          <w:rStyle w:val="FootnoteReference"/>
        </w:rPr>
        <w:footnoteReference w:id="4"/>
      </w:r>
      <w:r w:rsidR="00724CF3" w:rsidRPr="00486D20">
        <w:t xml:space="preserve"> and the</w:t>
      </w:r>
      <w:r w:rsidR="00F52AE5" w:rsidRPr="00486D20">
        <w:t xml:space="preserve"> focus on</w:t>
      </w:r>
      <w:r w:rsidRPr="00486D20">
        <w:t xml:space="preserve"> </w:t>
      </w:r>
      <w:r w:rsidR="00F52AE5" w:rsidRPr="00486D20">
        <w:t>archaeoastronomy</w:t>
      </w:r>
      <w:r w:rsidRPr="00486D20">
        <w:t xml:space="preserve"> viewpoints </w:t>
      </w:r>
      <w:r w:rsidR="00F52AE5" w:rsidRPr="00486D20">
        <w:t xml:space="preserve">is </w:t>
      </w:r>
      <w:r w:rsidR="00724CF3" w:rsidRPr="00486D20">
        <w:t xml:space="preserve">then </w:t>
      </w:r>
      <w:r w:rsidR="00F52AE5" w:rsidRPr="00486D20">
        <w:t xml:space="preserve">offset by some work from other </w:t>
      </w:r>
      <w:r w:rsidR="00724CF3" w:rsidRPr="00486D20">
        <w:t>archaeologists</w:t>
      </w:r>
      <w:r w:rsidR="00F52AE5" w:rsidRPr="00486D20">
        <w:t xml:space="preserve"> </w:t>
      </w:r>
      <w:r w:rsidR="00724CF3" w:rsidRPr="00486D20">
        <w:t xml:space="preserve">than Ghezzi, </w:t>
      </w:r>
      <w:r w:rsidR="00F52AE5" w:rsidRPr="00486D20">
        <w:t>there is little to no reference to any anthropological work done</w:t>
      </w:r>
      <w:r w:rsidR="00F52AE5" w:rsidRPr="00486D20">
        <w:rPr>
          <w:rStyle w:val="FootnoteReference"/>
        </w:rPr>
        <w:footnoteReference w:id="5"/>
      </w:r>
      <w:r w:rsidR="00724CF3" w:rsidRPr="00486D20">
        <w:t>. W</w:t>
      </w:r>
      <w:r w:rsidR="00F52AE5" w:rsidRPr="00486D20">
        <w:t xml:space="preserve">hich may </w:t>
      </w:r>
      <w:r w:rsidR="00724CF3" w:rsidRPr="00486D20">
        <w:t>account</w:t>
      </w:r>
      <w:r w:rsidR="00F52AE5" w:rsidRPr="00486D20">
        <w:t xml:space="preserve"> for the lack of cultural perspective of the Andes region of the time. Ghezzi and Ruggles do well in this paper to provide multiple primary sources and present a lot of measurements and calculations which show they have been to the site and seem to know it </w:t>
      </w:r>
      <w:r w:rsidR="00C13AE5" w:rsidRPr="00486D20">
        <w:t>very well</w:t>
      </w:r>
      <w:r w:rsidR="00F52AE5" w:rsidRPr="00486D20">
        <w:t xml:space="preserve">. </w:t>
      </w:r>
    </w:p>
    <w:p w:rsidR="00661E92" w:rsidRPr="00486D20" w:rsidRDefault="00E61A61" w:rsidP="00661E92">
      <w:pPr>
        <w:spacing w:line="360" w:lineRule="auto"/>
        <w:ind w:firstLine="720"/>
      </w:pPr>
      <w:r w:rsidRPr="00486D20">
        <w:t>Although also written for the Oxford IX symposium, Malville</w:t>
      </w:r>
      <w:r w:rsidR="00C13AE5" w:rsidRPr="00486D20">
        <w:t>’</w:t>
      </w:r>
      <w:r w:rsidRPr="00486D20">
        <w:t xml:space="preserve">s </w:t>
      </w:r>
      <w:r w:rsidR="00C13AE5" w:rsidRPr="00486D20">
        <w:t>chapter</w:t>
      </w:r>
      <w:r w:rsidRPr="00486D20">
        <w:t xml:space="preserve"> seems to be more of a response to the work previously done by Ghezzi and Ruggles. Whilst presenting new ideas on the use of cultural analysis and </w:t>
      </w:r>
      <w:r w:rsidR="00293CFB" w:rsidRPr="00486D20">
        <w:t>anthropological</w:t>
      </w:r>
      <w:r w:rsidRPr="00486D20">
        <w:t xml:space="preserve"> evidence, Malville does compare his theories to Ghezzi</w:t>
      </w:r>
      <w:r w:rsidR="00C13AE5" w:rsidRPr="00486D20">
        <w:t>’s</w:t>
      </w:r>
      <w:r w:rsidRPr="00486D20">
        <w:t xml:space="preserve"> “Ritual warfare noted by Ghezzi (2006) may have been one of the several ceremonies associated with the structure”</w:t>
      </w:r>
      <w:r w:rsidR="00C13AE5" w:rsidRPr="00486D20">
        <w:rPr>
          <w:rStyle w:val="FootnoteReference"/>
        </w:rPr>
        <w:footnoteReference w:id="6"/>
      </w:r>
      <w:r w:rsidRPr="00486D20">
        <w:t xml:space="preserve"> but seems reluctan</w:t>
      </w:r>
      <w:r w:rsidR="00C13AE5" w:rsidRPr="00486D20">
        <w:t>t to add his own clearly defined</w:t>
      </w:r>
      <w:r w:rsidRPr="00486D20">
        <w:t xml:space="preserve"> theory of what may have occurred at the site.</w:t>
      </w:r>
      <w:r w:rsidR="00C13AE5" w:rsidRPr="00486D20">
        <w:t xml:space="preserve"> Malville speculated on the use of the thirteen towers as a solar observatory but admits that the small errors in spacing and the small size of the viewing points give credence to the use of the towers outside of marking the June solstice (Malville, 2011, p.158)</w:t>
      </w:r>
      <w:r w:rsidR="00C13AE5" w:rsidRPr="00486D20">
        <w:rPr>
          <w:rStyle w:val="FootnoteReference"/>
        </w:rPr>
        <w:footnoteReference w:id="7"/>
      </w:r>
      <w:r w:rsidR="00661E92" w:rsidRPr="00486D20">
        <w:t xml:space="preserve">. </w:t>
      </w:r>
      <w:r w:rsidRPr="00486D20">
        <w:t>The speculation provided works well with all evidence that Malville has used but there does not seem to be such a definite answer to what the sites archaeological importance might come from. The introduction of new evidence of huacas does give the reader more insight into the culture of the time and seems to fit Chankillo in with other structures built around the same time (Malville, 156)</w:t>
      </w:r>
      <w:r w:rsidR="00F52AE5" w:rsidRPr="00486D20">
        <w:rPr>
          <w:rStyle w:val="FootnoteReference"/>
        </w:rPr>
        <w:footnoteReference w:id="8"/>
      </w:r>
      <w:r w:rsidR="00C13AE5" w:rsidRPr="00486D20">
        <w:t xml:space="preserve"> but does not give a solid theory on the astronomical purpose of the site</w:t>
      </w:r>
      <w:r w:rsidRPr="00486D20">
        <w:t xml:space="preserve">. </w:t>
      </w:r>
      <w:r w:rsidR="00CC43A9" w:rsidRPr="00486D20">
        <w:t xml:space="preserve"> </w:t>
      </w:r>
    </w:p>
    <w:p w:rsidR="006206E2" w:rsidRPr="00486D20" w:rsidRDefault="00CC43A9" w:rsidP="00661E92">
      <w:pPr>
        <w:spacing w:line="360" w:lineRule="auto"/>
        <w:ind w:firstLine="720"/>
      </w:pPr>
      <w:r w:rsidRPr="00486D20">
        <w:lastRenderedPageBreak/>
        <w:t xml:space="preserve">By </w:t>
      </w:r>
      <w:r w:rsidR="00C13AE5" w:rsidRPr="00486D20">
        <w:t>focussing</w:t>
      </w:r>
      <w:r w:rsidR="006206E2" w:rsidRPr="00486D20">
        <w:t xml:space="preserve"> more on the cultural aspects </w:t>
      </w:r>
      <w:r w:rsidR="00C13AE5" w:rsidRPr="00486D20">
        <w:t xml:space="preserve">of Chankillo </w:t>
      </w:r>
      <w:r w:rsidR="006206E2" w:rsidRPr="00486D20">
        <w:t xml:space="preserve">that have been found through </w:t>
      </w:r>
      <w:r w:rsidRPr="00486D20">
        <w:t xml:space="preserve">archaeology </w:t>
      </w:r>
      <w:r w:rsidR="00293CFB" w:rsidRPr="00486D20">
        <w:t xml:space="preserve">and anthropology </w:t>
      </w:r>
      <w:r w:rsidRPr="00486D20">
        <w:t>rather than through archaeoastronomy</w:t>
      </w:r>
      <w:r w:rsidR="006206E2" w:rsidRPr="00486D20">
        <w:t xml:space="preserve"> and </w:t>
      </w:r>
      <w:r w:rsidR="00C13AE5" w:rsidRPr="00486D20">
        <w:t>by</w:t>
      </w:r>
      <w:r w:rsidRPr="00486D20">
        <w:t xml:space="preserve"> </w:t>
      </w:r>
      <w:r w:rsidR="006206E2" w:rsidRPr="00486D20">
        <w:t xml:space="preserve">looking at other </w:t>
      </w:r>
      <w:r w:rsidRPr="00486D20">
        <w:t xml:space="preserve">ancient </w:t>
      </w:r>
      <w:r w:rsidR="006206E2" w:rsidRPr="00486D20">
        <w:t>sites and text</w:t>
      </w:r>
      <w:r w:rsidRPr="00486D20">
        <w:t>s found in the Andes</w:t>
      </w:r>
      <w:r w:rsidR="00C13AE5" w:rsidRPr="00486D20">
        <w:t>,</w:t>
      </w:r>
      <w:r w:rsidRPr="00486D20">
        <w:t xml:space="preserve"> Malville concludes</w:t>
      </w:r>
      <w:r w:rsidR="006206E2" w:rsidRPr="00486D20">
        <w:t xml:space="preserve"> that there are some </w:t>
      </w:r>
      <w:r w:rsidR="00C13AE5" w:rsidRPr="00486D20">
        <w:t>archaeoastronomy</w:t>
      </w:r>
      <w:r w:rsidR="006206E2" w:rsidRPr="00486D20">
        <w:t xml:space="preserve"> elements of the structure but that it would not make sens</w:t>
      </w:r>
      <w:r w:rsidRPr="00486D20">
        <w:t>e as a purely astrological site. Malville argues</w:t>
      </w:r>
      <w:r w:rsidR="006206E2" w:rsidRPr="00486D20">
        <w:t xml:space="preserve"> </w:t>
      </w:r>
      <w:r w:rsidR="00D72292" w:rsidRPr="00486D20">
        <w:t>“The presence of a scatter of pottery, shells, and lithics is essentially the only substantial evidence for an observatory”</w:t>
      </w:r>
      <w:r w:rsidR="00D72292" w:rsidRPr="00486D20">
        <w:rPr>
          <w:rStyle w:val="FootnoteReference"/>
        </w:rPr>
        <w:t xml:space="preserve"> </w:t>
      </w:r>
      <w:r w:rsidR="00D72292" w:rsidRPr="00486D20">
        <w:rPr>
          <w:rStyle w:val="FootnoteReference"/>
        </w:rPr>
        <w:footnoteReference w:id="9"/>
      </w:r>
      <w:r w:rsidR="00D72292" w:rsidRPr="00486D20">
        <w:t xml:space="preserve">. </w:t>
      </w:r>
      <w:r w:rsidR="00293CFB" w:rsidRPr="00486D20">
        <w:t>Although Ghezzi is the archaeologist</w:t>
      </w:r>
      <w:r w:rsidR="00B94AD0" w:rsidRPr="00486D20">
        <w:t>,</w:t>
      </w:r>
      <w:r w:rsidR="00293CFB" w:rsidRPr="00486D20">
        <w:t xml:space="preserve"> Malville approaches Chankillo with methodology based more </w:t>
      </w:r>
      <w:r w:rsidR="00F52AE5" w:rsidRPr="00486D20">
        <w:t>in archaeology</w:t>
      </w:r>
      <w:r w:rsidR="000D2DAC">
        <w:t xml:space="preserve"> and anthropology</w:t>
      </w:r>
      <w:r w:rsidR="00F52AE5" w:rsidRPr="00486D20">
        <w:t>. His sources</w:t>
      </w:r>
      <w:r w:rsidR="00293CFB" w:rsidRPr="00486D20">
        <w:t xml:space="preserve"> come from archaeologist</w:t>
      </w:r>
      <w:r w:rsidR="00B94AD0" w:rsidRPr="00486D20">
        <w:t>s</w:t>
      </w:r>
      <w:r w:rsidR="00293CFB" w:rsidRPr="00486D20">
        <w:t xml:space="preserve"> such as Shady and Cummins</w:t>
      </w:r>
      <w:r w:rsidR="00293CFB" w:rsidRPr="00486D20">
        <w:rPr>
          <w:rStyle w:val="FootnoteReference"/>
        </w:rPr>
        <w:footnoteReference w:id="10"/>
      </w:r>
      <w:r w:rsidR="00293CFB" w:rsidRPr="00486D20">
        <w:t>, with many</w:t>
      </w:r>
      <w:r w:rsidR="00D72292" w:rsidRPr="00486D20">
        <w:t xml:space="preserve"> references</w:t>
      </w:r>
      <w:r w:rsidR="00293CFB" w:rsidRPr="00486D20">
        <w:t xml:space="preserve"> focussing on culture and less on astronomy. </w:t>
      </w:r>
      <w:r w:rsidR="00D72292" w:rsidRPr="00486D20">
        <w:t>Malville provides a more reflective look at the site using a theory of cultural relativism. His</w:t>
      </w:r>
      <w:r w:rsidR="006206E2" w:rsidRPr="00486D20">
        <w:t xml:space="preserve"> </w:t>
      </w:r>
      <w:r w:rsidR="00D72292" w:rsidRPr="00486D20">
        <w:t>methodology</w:t>
      </w:r>
      <w:r w:rsidR="006206E2" w:rsidRPr="00486D20">
        <w:t xml:space="preserve"> is more focussed on looking at the culture of the time. </w:t>
      </w:r>
      <w:r w:rsidR="00D72292" w:rsidRPr="00486D20">
        <w:t>Malville d</w:t>
      </w:r>
      <w:r w:rsidR="006206E2" w:rsidRPr="00486D20">
        <w:t>id not s</w:t>
      </w:r>
      <w:r w:rsidR="00D72292" w:rsidRPr="00486D20">
        <w:t>eem to do his own measurements at Chankillo and thus has</w:t>
      </w:r>
      <w:r w:rsidR="006206E2" w:rsidRPr="00486D20">
        <w:t xml:space="preserve"> more of a res</w:t>
      </w:r>
      <w:r w:rsidR="006620D3" w:rsidRPr="00486D20">
        <w:t xml:space="preserve">ponsive </w:t>
      </w:r>
      <w:r w:rsidR="00D72292" w:rsidRPr="00486D20">
        <w:t>and researched based paper</w:t>
      </w:r>
      <w:r w:rsidR="006206E2" w:rsidRPr="00486D20">
        <w:t xml:space="preserve">. </w:t>
      </w:r>
    </w:p>
    <w:p w:rsidR="00661E92" w:rsidRPr="00486D20" w:rsidRDefault="00661E92" w:rsidP="00360E1B">
      <w:pPr>
        <w:spacing w:line="360" w:lineRule="auto"/>
        <w:ind w:firstLine="720"/>
      </w:pPr>
      <w:r w:rsidRPr="00486D20">
        <w:t xml:space="preserve">Both papers come to very similar conclusions on the site of Chankillo, that there is evidence of a solar observatory </w:t>
      </w:r>
      <w:r w:rsidR="00D72292" w:rsidRPr="00486D20">
        <w:t xml:space="preserve">and some astronomical practices but that the true purpose is difficult to parse. Both </w:t>
      </w:r>
      <w:r w:rsidRPr="00486D20">
        <w:t xml:space="preserve">papers also mention the seemingly unnecessary complicated </w:t>
      </w:r>
      <w:r w:rsidR="00D72292" w:rsidRPr="00486D20">
        <w:t>structures “horizon astronomy can be practiced using simpler means than the markers and observing points at Chankillo” (Ghezzi and Ruggles, 2011, p.151)</w:t>
      </w:r>
      <w:r w:rsidR="00D72292" w:rsidRPr="00486D20">
        <w:rPr>
          <w:rStyle w:val="FootnoteReference"/>
        </w:rPr>
        <w:footnoteReference w:id="11"/>
      </w:r>
      <w:r w:rsidR="00D72292" w:rsidRPr="00486D20">
        <w:t xml:space="preserve">. </w:t>
      </w:r>
      <w:r w:rsidRPr="00486D20">
        <w:t xml:space="preserve">This lends ideas to the structure having more meaning outside of being a </w:t>
      </w:r>
      <w:r w:rsidR="00D72292" w:rsidRPr="00486D20">
        <w:t>calendar</w:t>
      </w:r>
      <w:r w:rsidRPr="00486D20">
        <w:t xml:space="preserve"> and b</w:t>
      </w:r>
      <w:r w:rsidR="00D72292" w:rsidRPr="00486D20">
        <w:t>oth papers seek to discover the legitimacy of this idea</w:t>
      </w:r>
      <w:r w:rsidRPr="00486D20">
        <w:t xml:space="preserve">. </w:t>
      </w:r>
      <w:r w:rsidR="00D72292" w:rsidRPr="00486D20">
        <w:t xml:space="preserve">Ghezzi, Ruggles and Malville all have similar </w:t>
      </w:r>
      <w:r w:rsidR="00C12D01" w:rsidRPr="00486D20">
        <w:t>philosophies</w:t>
      </w:r>
      <w:r w:rsidR="00D72292" w:rsidRPr="00486D20">
        <w:t xml:space="preserve"> in their approach to Chankillo and as both papers </w:t>
      </w:r>
      <w:r w:rsidR="00360E1B" w:rsidRPr="00486D20">
        <w:t>were clearly done by academics in the field as they are well and clearly referenced and contain a deep understanding of the site. The papers were also written for academics in the field,</w:t>
      </w:r>
      <w:r w:rsidR="006620D3" w:rsidRPr="00486D20">
        <w:t xml:space="preserve"> however,</w:t>
      </w:r>
      <w:r w:rsidR="00360E1B" w:rsidRPr="00486D20">
        <w:t xml:space="preserve"> they are not filled with too unapproachable jargon and a lay person could understand the basis of each paper but they were both written for an audience with prior knowledge of the site and the fundamentals of archaeoastronomy. </w:t>
      </w:r>
      <w:r w:rsidR="00CF0E13" w:rsidRPr="00486D20">
        <w:t xml:space="preserve">Ruggles </w:t>
      </w:r>
      <w:r w:rsidR="00360E1B" w:rsidRPr="00486D20">
        <w:t xml:space="preserve">is a leading figure in </w:t>
      </w:r>
      <w:r w:rsidR="00CF0E13" w:rsidRPr="00486D20">
        <w:t xml:space="preserve">the study of </w:t>
      </w:r>
      <w:r w:rsidR="00360E1B" w:rsidRPr="00486D20">
        <w:t>archaeoastronomy</w:t>
      </w:r>
      <w:r w:rsidR="00CF0E13" w:rsidRPr="00486D20">
        <w:t xml:space="preserve"> and shows good use </w:t>
      </w:r>
      <w:r w:rsidR="00360E1B" w:rsidRPr="00486D20">
        <w:t>of methodologies in the field but M</w:t>
      </w:r>
      <w:r w:rsidR="00CF0E13" w:rsidRPr="00486D20">
        <w:t>alville does take into account evidence found by other fields of</w:t>
      </w:r>
      <w:r w:rsidR="00360E1B" w:rsidRPr="00486D20">
        <w:t xml:space="preserve"> study in what could be assumed as a P</w:t>
      </w:r>
      <w:r w:rsidR="00262E75" w:rsidRPr="00486D20">
        <w:t>ost-</w:t>
      </w:r>
      <w:r w:rsidR="00C07862" w:rsidRPr="00486D20">
        <w:t xml:space="preserve">Post-Processualism approach </w:t>
      </w:r>
      <w:r w:rsidR="00360E1B" w:rsidRPr="00486D20">
        <w:t>to the field</w:t>
      </w:r>
      <w:r w:rsidR="00360E1B" w:rsidRPr="00486D20">
        <w:rPr>
          <w:rStyle w:val="FootnoteReference"/>
        </w:rPr>
        <w:footnoteReference w:id="12"/>
      </w:r>
      <w:r w:rsidR="00360E1B" w:rsidRPr="00486D20">
        <w:t xml:space="preserve">, focussing on ontology and moving away from classical archaeology. </w:t>
      </w:r>
    </w:p>
    <w:p w:rsidR="00360E1B" w:rsidRPr="00486D20" w:rsidRDefault="00C07862" w:rsidP="00360E1B">
      <w:pPr>
        <w:spacing w:line="360" w:lineRule="auto"/>
        <w:ind w:firstLine="720"/>
      </w:pPr>
      <w:r w:rsidRPr="00486D20">
        <w:lastRenderedPageBreak/>
        <w:t>Both papers explore the inherit problem with any discussion on ancient site, that the true meaning is often impossible to fin</w:t>
      </w:r>
      <w:r w:rsidR="00B94AD0" w:rsidRPr="00486D20">
        <w:t>d</w:t>
      </w:r>
      <w:r w:rsidRPr="00486D20">
        <w:t xml:space="preserve">, with most information being lost to the ages. Where </w:t>
      </w:r>
      <w:r w:rsidR="00360E1B" w:rsidRPr="00486D20">
        <w:t xml:space="preserve">Ghezzi and Ruggles </w:t>
      </w:r>
      <w:r w:rsidR="006620D3" w:rsidRPr="00486D20">
        <w:t>use</w:t>
      </w:r>
      <w:r w:rsidR="00360E1B" w:rsidRPr="00486D20">
        <w:t xml:space="preserve"> modern measurements of the site</w:t>
      </w:r>
      <w:r w:rsidR="00486D20">
        <w:t xml:space="preserve"> and modern assumptions of ancient astronomical practices</w:t>
      </w:r>
      <w:r w:rsidR="00360E1B" w:rsidRPr="00486D20">
        <w:t xml:space="preserve">, this can lend to placing Western and modern interpretations of the knowledge of ancient cultures. Malville then attempts to place Chankillo in the culture of the time, taken more from anthropological and archaeological studies. In their differences both papers come to similar conclusions of the site and the limits of modern studies of archaeoastronomy. As texts on the site of Chankillo both should be analysed and used together along with other papers written. There will never be one defining answer of the site of Chankillo and all options and theories are important to explore. </w:t>
      </w:r>
    </w:p>
    <w:bookmarkEnd w:id="6"/>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360E1B" w:rsidRPr="00486D20" w:rsidRDefault="00360E1B" w:rsidP="006325E5">
      <w:pPr>
        <w:spacing w:line="360" w:lineRule="auto"/>
      </w:pPr>
    </w:p>
    <w:p w:rsidR="00CE089C" w:rsidRPr="00486D20" w:rsidRDefault="00CE089C" w:rsidP="006325E5">
      <w:pPr>
        <w:spacing w:line="360" w:lineRule="auto"/>
      </w:pPr>
    </w:p>
    <w:p w:rsidR="00E61A61" w:rsidRPr="00486D20" w:rsidRDefault="00360E1B" w:rsidP="006325E5">
      <w:pPr>
        <w:spacing w:line="360" w:lineRule="auto"/>
        <w:rPr>
          <w:b/>
        </w:rPr>
      </w:pPr>
      <w:r w:rsidRPr="00486D20">
        <w:rPr>
          <w:b/>
        </w:rPr>
        <w:lastRenderedPageBreak/>
        <w:t>Bibliography</w:t>
      </w:r>
    </w:p>
    <w:p w:rsidR="00CE089C" w:rsidRPr="00486D20" w:rsidRDefault="00CE089C" w:rsidP="006325E5">
      <w:pPr>
        <w:spacing w:line="360" w:lineRule="auto"/>
        <w:rPr>
          <w:rFonts w:cstheme="minorHAnsi"/>
        </w:rPr>
      </w:pPr>
      <w:r w:rsidRPr="00486D20">
        <w:t xml:space="preserve">Arkush, E., Stanish, C. “Interpreting conflict in the ancient Andes: implications for the archaeology </w:t>
      </w:r>
      <w:r w:rsidRPr="00486D20">
        <w:rPr>
          <w:rFonts w:cstheme="minorHAnsi"/>
        </w:rPr>
        <w:t xml:space="preserve">of warfare” </w:t>
      </w:r>
      <w:r w:rsidRPr="00486D20">
        <w:rPr>
          <w:rFonts w:cstheme="minorHAnsi"/>
          <w:i/>
        </w:rPr>
        <w:t>Current Anthropology</w:t>
      </w:r>
      <w:r w:rsidRPr="00486D20">
        <w:rPr>
          <w:rFonts w:cstheme="minorHAnsi"/>
        </w:rPr>
        <w:t>, 46(1) (2005)</w:t>
      </w:r>
    </w:p>
    <w:p w:rsidR="00CE089C" w:rsidRPr="00486D20" w:rsidRDefault="00CE089C" w:rsidP="006325E5">
      <w:pPr>
        <w:spacing w:line="360" w:lineRule="auto"/>
      </w:pPr>
      <w:r w:rsidRPr="00486D20">
        <w:t xml:space="preserve">Bauer, B. S. &amp; Dearborn, D. S. P, </w:t>
      </w:r>
      <w:r w:rsidRPr="00486D20">
        <w:rPr>
          <w:i/>
        </w:rPr>
        <w:t>Astronomy and Empire in the Ancient Andes: the Cultural Origins of Inca Sky Watching</w:t>
      </w:r>
      <w:r w:rsidRPr="00486D20">
        <w:t xml:space="preserve"> (University of Texas Press, Austin, 1995)</w:t>
      </w:r>
    </w:p>
    <w:p w:rsidR="00CE089C" w:rsidRPr="00486D20" w:rsidRDefault="00CE089C" w:rsidP="006325E5">
      <w:pPr>
        <w:spacing w:line="360" w:lineRule="auto"/>
        <w:rPr>
          <w:rFonts w:cstheme="minorHAnsi"/>
          <w:shd w:val="clear" w:color="auto" w:fill="FFFFFF"/>
        </w:rPr>
      </w:pPr>
      <w:r w:rsidRPr="00486D20">
        <w:rPr>
          <w:rFonts w:cstheme="minorHAnsi"/>
          <w:shd w:val="clear" w:color="auto" w:fill="FFFFFF"/>
        </w:rPr>
        <w:t xml:space="preserve">Bentley, R. A., </w:t>
      </w:r>
      <w:proofErr w:type="spellStart"/>
      <w:r w:rsidRPr="00486D20">
        <w:rPr>
          <w:rFonts w:cstheme="minorHAnsi"/>
          <w:shd w:val="clear" w:color="auto" w:fill="FFFFFF"/>
        </w:rPr>
        <w:t>Maschner</w:t>
      </w:r>
      <w:proofErr w:type="spellEnd"/>
      <w:r w:rsidRPr="00486D20">
        <w:rPr>
          <w:rFonts w:cstheme="minorHAnsi"/>
          <w:shd w:val="clear" w:color="auto" w:fill="FFFFFF"/>
        </w:rPr>
        <w:t>, H. D., &amp; Chippindale, C. (ed.) </w:t>
      </w:r>
      <w:r w:rsidRPr="00486D20">
        <w:rPr>
          <w:rFonts w:cstheme="minorHAnsi"/>
          <w:i/>
          <w:iCs/>
          <w:shd w:val="clear" w:color="auto" w:fill="FFFFFF"/>
        </w:rPr>
        <w:t>Handbook of archaeological theories</w:t>
      </w:r>
      <w:r w:rsidRPr="00486D20">
        <w:rPr>
          <w:rFonts w:cstheme="minorHAnsi"/>
          <w:i/>
          <w:shd w:val="clear" w:color="auto" w:fill="FFFFFF"/>
        </w:rPr>
        <w:t>.</w:t>
      </w:r>
      <w:r w:rsidRPr="00486D20">
        <w:rPr>
          <w:rFonts w:cstheme="minorHAnsi"/>
          <w:shd w:val="clear" w:color="auto" w:fill="FFFFFF"/>
        </w:rPr>
        <w:t xml:space="preserve"> (Rowman &amp; Littlefield, USA, 2008)</w:t>
      </w:r>
    </w:p>
    <w:p w:rsidR="00CE089C" w:rsidRPr="00486D20" w:rsidRDefault="00CE089C" w:rsidP="006325E5">
      <w:pPr>
        <w:spacing w:line="360" w:lineRule="auto"/>
        <w:rPr>
          <w:rFonts w:cstheme="minorHAnsi"/>
        </w:rPr>
      </w:pPr>
      <w:r w:rsidRPr="00486D20">
        <w:rPr>
          <w:rFonts w:cstheme="minorHAnsi"/>
        </w:rPr>
        <w:t xml:space="preserve">Campion, Nick ‘Skyscapes: Locating Archaeoastronomy within Academia’, </w:t>
      </w:r>
      <w:r w:rsidRPr="00486D20">
        <w:rPr>
          <w:rFonts w:cstheme="minorHAnsi"/>
          <w:i/>
        </w:rPr>
        <w:t>Skyscapes: The Role and Importance of the Sky in Archaeology</w:t>
      </w:r>
      <w:r w:rsidRPr="00486D20">
        <w:rPr>
          <w:rFonts w:cstheme="minorHAnsi"/>
        </w:rPr>
        <w:t xml:space="preserve"> (2015)</w:t>
      </w:r>
    </w:p>
    <w:p w:rsidR="00CE089C" w:rsidRPr="00486D20" w:rsidRDefault="00CE089C" w:rsidP="006325E5">
      <w:pPr>
        <w:spacing w:line="360" w:lineRule="auto"/>
      </w:pPr>
      <w:r w:rsidRPr="00486D20">
        <w:t xml:space="preserve">Cummins, T. </w:t>
      </w:r>
      <w:r w:rsidRPr="00486D20">
        <w:rPr>
          <w:i/>
        </w:rPr>
        <w:t>Art, Architecture, and Culture</w:t>
      </w:r>
      <w:r w:rsidRPr="00486D20">
        <w:t xml:space="preserve"> (</w:t>
      </w:r>
      <w:proofErr w:type="spellStart"/>
      <w:r w:rsidRPr="00486D20">
        <w:t>Cotsen</w:t>
      </w:r>
      <w:proofErr w:type="spellEnd"/>
      <w:r w:rsidRPr="00486D20">
        <w:t xml:space="preserve"> Institute of Archaeology, Los Angeles 2008)</w:t>
      </w:r>
    </w:p>
    <w:p w:rsidR="00CE089C" w:rsidRPr="00486D20" w:rsidRDefault="00CE089C" w:rsidP="00661E92">
      <w:pPr>
        <w:spacing w:line="360" w:lineRule="auto"/>
      </w:pPr>
      <w:r w:rsidRPr="00486D20">
        <w:t xml:space="preserve">Ghezzi, I and C Ruggles “The Social and Ritual Context of Horizon Astronomical Observations at Chankillo”, </w:t>
      </w:r>
      <w:r w:rsidRPr="00486D20">
        <w:rPr>
          <w:i/>
        </w:rPr>
        <w:t>Oxford IX International Symposium on Archaeoastronomy</w:t>
      </w:r>
      <w:r w:rsidRPr="00486D20">
        <w:t xml:space="preserve">. Proceedings IAU Symposium No. 278 (2011). </w:t>
      </w:r>
    </w:p>
    <w:p w:rsidR="00CE089C" w:rsidRPr="00486D20" w:rsidRDefault="00CE089C" w:rsidP="006325E5">
      <w:pPr>
        <w:spacing w:line="360" w:lineRule="auto"/>
      </w:pPr>
      <w:r w:rsidRPr="00486D20">
        <w:t xml:space="preserve">Ghezzi, I. &amp; Ruggles, C. L. N.  “Chankillo: a 2300-year-old solar observatory in coastal Peru”, </w:t>
      </w:r>
      <w:r w:rsidRPr="00486D20">
        <w:rPr>
          <w:i/>
        </w:rPr>
        <w:t>Science</w:t>
      </w:r>
      <w:r w:rsidRPr="00486D20">
        <w:t xml:space="preserve"> 315 (2007) 1239–1243 </w:t>
      </w:r>
    </w:p>
    <w:p w:rsidR="00CE089C" w:rsidRPr="00486D20" w:rsidRDefault="00CE089C" w:rsidP="00661E92">
      <w:pPr>
        <w:spacing w:line="360" w:lineRule="auto"/>
      </w:pPr>
      <w:r w:rsidRPr="00486D20">
        <w:t xml:space="preserve">Malville, K “Astronomy and Ceremony at Chankillo: an Andean Perspective”, </w:t>
      </w:r>
      <w:r w:rsidRPr="00486D20">
        <w:rPr>
          <w:i/>
        </w:rPr>
        <w:t>Oxford IX International Symposium on Archaeoastronomy</w:t>
      </w:r>
      <w:r w:rsidRPr="00486D20">
        <w:t>. Proceedings IAU Symposium No. 278. (2011)</w:t>
      </w:r>
    </w:p>
    <w:p w:rsidR="00CE089C" w:rsidRPr="00486D20" w:rsidRDefault="00CE089C" w:rsidP="006325E5">
      <w:pPr>
        <w:spacing w:line="360" w:lineRule="auto"/>
      </w:pPr>
      <w:r w:rsidRPr="00486D20">
        <w:t xml:space="preserve">Shady, R. </w:t>
      </w:r>
      <w:r w:rsidRPr="00486D20">
        <w:rPr>
          <w:i/>
        </w:rPr>
        <w:t>Andean Archaeology III: North and South</w:t>
      </w:r>
      <w:r w:rsidRPr="00486D20">
        <w:t xml:space="preserve"> (Springer, New York 2006)</w:t>
      </w:r>
    </w:p>
    <w:p w:rsidR="00CE089C" w:rsidRPr="00486D20" w:rsidRDefault="00CE089C" w:rsidP="006325E5">
      <w:pPr>
        <w:spacing w:line="360" w:lineRule="auto"/>
      </w:pPr>
      <w:r w:rsidRPr="00486D20">
        <w:t>Topic, J. R. &amp; Topic, T. L. “</w:t>
      </w:r>
      <w:proofErr w:type="spellStart"/>
      <w:r w:rsidRPr="00486D20">
        <w:t>Hacia</w:t>
      </w:r>
      <w:proofErr w:type="spellEnd"/>
      <w:r w:rsidRPr="00486D20">
        <w:t xml:space="preserve"> </w:t>
      </w:r>
      <w:proofErr w:type="spellStart"/>
      <w:r w:rsidRPr="00486D20">
        <w:t>una</w:t>
      </w:r>
      <w:proofErr w:type="spellEnd"/>
      <w:r w:rsidRPr="00486D20">
        <w:t xml:space="preserve"> </w:t>
      </w:r>
      <w:proofErr w:type="spellStart"/>
      <w:r w:rsidRPr="00486D20">
        <w:t>comprensi´on</w:t>
      </w:r>
      <w:proofErr w:type="spellEnd"/>
      <w:r w:rsidRPr="00486D20">
        <w:t xml:space="preserve"> conceptual de la </w:t>
      </w:r>
      <w:proofErr w:type="spellStart"/>
      <w:r w:rsidRPr="00486D20">
        <w:t>guerra</w:t>
      </w:r>
      <w:proofErr w:type="spellEnd"/>
      <w:r w:rsidRPr="00486D20">
        <w:t xml:space="preserve"> </w:t>
      </w:r>
      <w:proofErr w:type="spellStart"/>
      <w:r w:rsidRPr="00486D20">
        <w:t>andina</w:t>
      </w:r>
      <w:proofErr w:type="spellEnd"/>
      <w:r w:rsidRPr="00486D20">
        <w:t xml:space="preserve">”, </w:t>
      </w:r>
      <w:proofErr w:type="spellStart"/>
      <w:r w:rsidRPr="00486D20">
        <w:rPr>
          <w:i/>
        </w:rPr>
        <w:t>Arqueolog´ıa</w:t>
      </w:r>
      <w:proofErr w:type="spellEnd"/>
      <w:r w:rsidRPr="00486D20">
        <w:rPr>
          <w:i/>
        </w:rPr>
        <w:t xml:space="preserve">, </w:t>
      </w:r>
      <w:proofErr w:type="spellStart"/>
      <w:r w:rsidRPr="00486D20">
        <w:rPr>
          <w:i/>
        </w:rPr>
        <w:t>Antropolog´ıa</w:t>
      </w:r>
      <w:proofErr w:type="spellEnd"/>
      <w:r w:rsidRPr="00486D20">
        <w:rPr>
          <w:i/>
        </w:rPr>
        <w:t xml:space="preserve"> e </w:t>
      </w:r>
      <w:proofErr w:type="spellStart"/>
      <w:r w:rsidRPr="00486D20">
        <w:rPr>
          <w:i/>
        </w:rPr>
        <w:t>Historia</w:t>
      </w:r>
      <w:proofErr w:type="spellEnd"/>
      <w:r w:rsidRPr="00486D20">
        <w:rPr>
          <w:i/>
        </w:rPr>
        <w:t xml:space="preserve"> </w:t>
      </w:r>
      <w:proofErr w:type="spellStart"/>
      <w:r w:rsidRPr="00486D20">
        <w:rPr>
          <w:i/>
        </w:rPr>
        <w:t>en</w:t>
      </w:r>
      <w:proofErr w:type="spellEnd"/>
      <w:r w:rsidRPr="00486D20">
        <w:rPr>
          <w:i/>
        </w:rPr>
        <w:t xml:space="preserve"> </w:t>
      </w:r>
      <w:proofErr w:type="spellStart"/>
      <w:r w:rsidRPr="00486D20">
        <w:rPr>
          <w:i/>
        </w:rPr>
        <w:t>los</w:t>
      </w:r>
      <w:proofErr w:type="spellEnd"/>
      <w:r w:rsidRPr="00486D20">
        <w:rPr>
          <w:i/>
        </w:rPr>
        <w:t xml:space="preserve"> Andes: </w:t>
      </w:r>
      <w:proofErr w:type="spellStart"/>
      <w:r w:rsidRPr="00486D20">
        <w:rPr>
          <w:i/>
        </w:rPr>
        <w:t>Homenaje</w:t>
      </w:r>
      <w:proofErr w:type="spellEnd"/>
      <w:r w:rsidRPr="00486D20">
        <w:rPr>
          <w:i/>
        </w:rPr>
        <w:t xml:space="preserve"> a </w:t>
      </w:r>
      <w:proofErr w:type="spellStart"/>
      <w:r w:rsidRPr="00486D20">
        <w:rPr>
          <w:i/>
        </w:rPr>
        <w:t>Mar´ıa</w:t>
      </w:r>
      <w:proofErr w:type="spellEnd"/>
      <w:r w:rsidRPr="00486D20">
        <w:rPr>
          <w:i/>
        </w:rPr>
        <w:t xml:space="preserve"> </w:t>
      </w:r>
      <w:proofErr w:type="spellStart"/>
      <w:r w:rsidRPr="00486D20">
        <w:rPr>
          <w:i/>
        </w:rPr>
        <w:t>Rostworowski</w:t>
      </w:r>
      <w:proofErr w:type="spellEnd"/>
      <w:r w:rsidRPr="00486D20">
        <w:t>, trans. by J. Flores Espinoza, (1997)</w:t>
      </w:r>
    </w:p>
    <w:sectPr w:rsidR="00CE089C" w:rsidRPr="00486D20">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741" w:rsidRDefault="004E3741" w:rsidP="00CC43A9">
      <w:pPr>
        <w:spacing w:after="0" w:line="240" w:lineRule="auto"/>
      </w:pPr>
      <w:r>
        <w:separator/>
      </w:r>
    </w:p>
  </w:endnote>
  <w:endnote w:type="continuationSeparator" w:id="0">
    <w:p w:rsidR="004E3741" w:rsidRDefault="004E3741" w:rsidP="00CC4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741" w:rsidRDefault="004E3741" w:rsidP="00CC43A9">
      <w:pPr>
        <w:spacing w:after="0" w:line="240" w:lineRule="auto"/>
      </w:pPr>
      <w:r>
        <w:separator/>
      </w:r>
    </w:p>
  </w:footnote>
  <w:footnote w:type="continuationSeparator" w:id="0">
    <w:p w:rsidR="004E3741" w:rsidRDefault="004E3741" w:rsidP="00CC43A9">
      <w:pPr>
        <w:spacing w:after="0" w:line="240" w:lineRule="auto"/>
      </w:pPr>
      <w:r>
        <w:continuationSeparator/>
      </w:r>
    </w:p>
  </w:footnote>
  <w:footnote w:id="1">
    <w:p w:rsidR="00724CF3" w:rsidRDefault="00F52AE5">
      <w:pPr>
        <w:pStyle w:val="FootnoteText"/>
      </w:pPr>
      <w:r>
        <w:rPr>
          <w:rStyle w:val="FootnoteReference"/>
        </w:rPr>
        <w:footnoteRef/>
      </w:r>
      <w:r>
        <w:t xml:space="preserve"> </w:t>
      </w:r>
      <w:r w:rsidR="009D205D" w:rsidRPr="009D205D">
        <w:t xml:space="preserve">Ghezzi, I and C Ruggles “The Social and Ritual Context of Horizon Astronomical Observations at Chankillo”, </w:t>
      </w:r>
      <w:r w:rsidR="009D205D" w:rsidRPr="009D205D">
        <w:rPr>
          <w:i/>
        </w:rPr>
        <w:t>Oxford IX International Symposium on Archaeoastronomy</w:t>
      </w:r>
      <w:r w:rsidR="009D205D" w:rsidRPr="009D205D">
        <w:t xml:space="preserve">. Proceedings IAU Symposium No. 278 (2011). </w:t>
      </w:r>
      <w:r w:rsidR="008D3118">
        <w:t>p.149</w:t>
      </w:r>
    </w:p>
  </w:footnote>
  <w:footnote w:id="2">
    <w:p w:rsidR="00CC43A9" w:rsidRDefault="00CC43A9">
      <w:pPr>
        <w:pStyle w:val="FootnoteText"/>
      </w:pPr>
      <w:r>
        <w:rPr>
          <w:rStyle w:val="FootnoteReference"/>
        </w:rPr>
        <w:footnoteRef/>
      </w:r>
      <w:r>
        <w:t xml:space="preserve"> </w:t>
      </w:r>
      <w:r w:rsidRPr="009D205D">
        <w:t xml:space="preserve">The location of Chankillo as a fortress has been assumed by a number of </w:t>
      </w:r>
      <w:r w:rsidR="008D3118" w:rsidRPr="009D205D">
        <w:t>archaeologists</w:t>
      </w:r>
      <w:r w:rsidRPr="009D205D">
        <w:t>, and the warrior paintings found show the presence of a form of military in the area but the European assumption of warriors as a higher social</w:t>
      </w:r>
      <w:r w:rsidR="008D3118" w:rsidRPr="009D205D">
        <w:t xml:space="preserve"> </w:t>
      </w:r>
      <w:r w:rsidRPr="009D205D">
        <w:t>class does not seem founded in evidence from the area</w:t>
      </w:r>
      <w:r w:rsidR="008D3118" w:rsidRPr="009D205D">
        <w:t xml:space="preserve">. </w:t>
      </w:r>
      <w:r w:rsidR="009D205D" w:rsidRPr="009D205D">
        <w:t xml:space="preserve">Arkush, E., Stanish, C. “Interpreting conflict in the ancient Andes: implications for the archaeology </w:t>
      </w:r>
      <w:r w:rsidR="009D205D" w:rsidRPr="009D205D">
        <w:rPr>
          <w:rFonts w:cstheme="minorHAnsi"/>
        </w:rPr>
        <w:t xml:space="preserve">of warfare” </w:t>
      </w:r>
      <w:r w:rsidR="009D205D" w:rsidRPr="009D205D">
        <w:rPr>
          <w:rFonts w:cstheme="minorHAnsi"/>
          <w:i/>
        </w:rPr>
        <w:t>Current Anthropology</w:t>
      </w:r>
      <w:r w:rsidR="009D205D" w:rsidRPr="009D205D">
        <w:rPr>
          <w:rFonts w:cstheme="minorHAnsi"/>
        </w:rPr>
        <w:t>, 46(1) (2005)</w:t>
      </w:r>
      <w:r w:rsidR="00724CF3" w:rsidRPr="009D205D">
        <w:t xml:space="preserve"> p.4</w:t>
      </w:r>
      <w:r w:rsidR="00724CF3">
        <w:t xml:space="preserve"> </w:t>
      </w:r>
    </w:p>
  </w:footnote>
  <w:footnote w:id="3">
    <w:p w:rsidR="00360E1B" w:rsidRDefault="00360E1B">
      <w:pPr>
        <w:pStyle w:val="FootnoteText"/>
      </w:pPr>
      <w:r>
        <w:rPr>
          <w:rStyle w:val="FootnoteReference"/>
        </w:rPr>
        <w:footnoteRef/>
      </w:r>
      <w:r>
        <w:t xml:space="preserve"> The paper </w:t>
      </w:r>
      <w:r w:rsidRPr="00360E1B">
        <w:t>“Chankillo: a 2300-year-old sola</w:t>
      </w:r>
      <w:r>
        <w:t>r observatory in coastal Peru” by Ghezzi and Ruggles is referenced in both papers and provides a lot of introductory knowledge of the site</w:t>
      </w:r>
    </w:p>
  </w:footnote>
  <w:footnote w:id="4">
    <w:p w:rsidR="00F52AE5" w:rsidRDefault="00F52AE5">
      <w:pPr>
        <w:pStyle w:val="FootnoteText"/>
      </w:pPr>
      <w:r>
        <w:rPr>
          <w:rStyle w:val="FootnoteReference"/>
        </w:rPr>
        <w:footnoteRef/>
      </w:r>
      <w:r>
        <w:t xml:space="preserve"> </w:t>
      </w:r>
      <w:r w:rsidR="00C13AE5">
        <w:t xml:space="preserve">The paper references both Bauer, B. S. &amp; Dearborn, D. S. P. 1995, “Astronomy and Empire in the Ancient Andes: the Cultural Origins of Inca Sky Watching” and </w:t>
      </w:r>
      <w:proofErr w:type="spellStart"/>
      <w:r w:rsidR="00C13AE5">
        <w:t>Aveni</w:t>
      </w:r>
      <w:proofErr w:type="spellEnd"/>
      <w:r w:rsidR="00C13AE5">
        <w:t>, A. F. (ed.) 1992, “The Sky in Mayan Literature”</w:t>
      </w:r>
    </w:p>
  </w:footnote>
  <w:footnote w:id="5">
    <w:p w:rsidR="00F52AE5" w:rsidRDefault="00F52AE5">
      <w:pPr>
        <w:pStyle w:val="FootnoteText"/>
      </w:pPr>
      <w:r>
        <w:rPr>
          <w:rStyle w:val="FootnoteReference"/>
        </w:rPr>
        <w:footnoteRef/>
      </w:r>
      <w:r>
        <w:t xml:space="preserve"> </w:t>
      </w:r>
      <w:r w:rsidR="00C13AE5">
        <w:t xml:space="preserve">The only anthropological reference used is </w:t>
      </w:r>
      <w:r w:rsidR="009D205D">
        <w:t>Topic, J. R. &amp; Topic, T. L. “</w:t>
      </w:r>
      <w:proofErr w:type="spellStart"/>
      <w:r w:rsidR="009D205D">
        <w:t>Hacia</w:t>
      </w:r>
      <w:proofErr w:type="spellEnd"/>
      <w:r w:rsidR="009D205D">
        <w:t xml:space="preserve"> </w:t>
      </w:r>
      <w:proofErr w:type="spellStart"/>
      <w:r w:rsidR="009D205D">
        <w:t>una</w:t>
      </w:r>
      <w:proofErr w:type="spellEnd"/>
      <w:r w:rsidR="009D205D">
        <w:t xml:space="preserve"> </w:t>
      </w:r>
      <w:proofErr w:type="spellStart"/>
      <w:r w:rsidR="009D205D">
        <w:t>comprensi´on</w:t>
      </w:r>
      <w:proofErr w:type="spellEnd"/>
      <w:r w:rsidR="009D205D">
        <w:t xml:space="preserve"> conceptual de la </w:t>
      </w:r>
      <w:proofErr w:type="spellStart"/>
      <w:r w:rsidR="009D205D">
        <w:t>guerra</w:t>
      </w:r>
      <w:proofErr w:type="spellEnd"/>
      <w:r w:rsidR="009D205D">
        <w:t xml:space="preserve"> </w:t>
      </w:r>
      <w:proofErr w:type="spellStart"/>
      <w:r w:rsidR="009D205D">
        <w:t>andina</w:t>
      </w:r>
      <w:proofErr w:type="spellEnd"/>
      <w:r w:rsidR="009D205D">
        <w:t xml:space="preserve">”, </w:t>
      </w:r>
      <w:proofErr w:type="spellStart"/>
      <w:r w:rsidR="009D205D" w:rsidRPr="009D205D">
        <w:rPr>
          <w:i/>
        </w:rPr>
        <w:t>Arqueolog´ıa</w:t>
      </w:r>
      <w:proofErr w:type="spellEnd"/>
      <w:r w:rsidR="009D205D" w:rsidRPr="009D205D">
        <w:rPr>
          <w:i/>
        </w:rPr>
        <w:t xml:space="preserve">, </w:t>
      </w:r>
      <w:proofErr w:type="spellStart"/>
      <w:r w:rsidR="009D205D" w:rsidRPr="009D205D">
        <w:rPr>
          <w:i/>
        </w:rPr>
        <w:t>Antropolog´ıa</w:t>
      </w:r>
      <w:proofErr w:type="spellEnd"/>
      <w:r w:rsidR="009D205D" w:rsidRPr="009D205D">
        <w:rPr>
          <w:i/>
        </w:rPr>
        <w:t xml:space="preserve"> e </w:t>
      </w:r>
      <w:proofErr w:type="spellStart"/>
      <w:r w:rsidR="009D205D" w:rsidRPr="009D205D">
        <w:rPr>
          <w:i/>
        </w:rPr>
        <w:t>Historia</w:t>
      </w:r>
      <w:proofErr w:type="spellEnd"/>
      <w:r w:rsidR="009D205D" w:rsidRPr="009D205D">
        <w:rPr>
          <w:i/>
        </w:rPr>
        <w:t xml:space="preserve"> </w:t>
      </w:r>
      <w:proofErr w:type="spellStart"/>
      <w:r w:rsidR="009D205D" w:rsidRPr="009D205D">
        <w:rPr>
          <w:i/>
        </w:rPr>
        <w:t>en</w:t>
      </w:r>
      <w:proofErr w:type="spellEnd"/>
      <w:r w:rsidR="009D205D" w:rsidRPr="009D205D">
        <w:rPr>
          <w:i/>
        </w:rPr>
        <w:t xml:space="preserve"> </w:t>
      </w:r>
      <w:proofErr w:type="spellStart"/>
      <w:r w:rsidR="009D205D" w:rsidRPr="009D205D">
        <w:rPr>
          <w:i/>
        </w:rPr>
        <w:t>los</w:t>
      </w:r>
      <w:proofErr w:type="spellEnd"/>
      <w:r w:rsidR="009D205D" w:rsidRPr="009D205D">
        <w:rPr>
          <w:i/>
        </w:rPr>
        <w:t xml:space="preserve"> Andes: </w:t>
      </w:r>
      <w:proofErr w:type="spellStart"/>
      <w:r w:rsidR="009D205D" w:rsidRPr="009D205D">
        <w:rPr>
          <w:i/>
        </w:rPr>
        <w:t>Homenaje</w:t>
      </w:r>
      <w:proofErr w:type="spellEnd"/>
      <w:r w:rsidR="009D205D" w:rsidRPr="009D205D">
        <w:rPr>
          <w:i/>
        </w:rPr>
        <w:t xml:space="preserve"> a </w:t>
      </w:r>
      <w:proofErr w:type="spellStart"/>
      <w:r w:rsidR="009D205D" w:rsidRPr="009D205D">
        <w:rPr>
          <w:i/>
        </w:rPr>
        <w:t>Mar´ıa</w:t>
      </w:r>
      <w:proofErr w:type="spellEnd"/>
      <w:r w:rsidR="009D205D" w:rsidRPr="009D205D">
        <w:rPr>
          <w:i/>
        </w:rPr>
        <w:t xml:space="preserve"> </w:t>
      </w:r>
      <w:proofErr w:type="spellStart"/>
      <w:r w:rsidR="009D205D" w:rsidRPr="009D205D">
        <w:rPr>
          <w:i/>
        </w:rPr>
        <w:t>Rostworowski</w:t>
      </w:r>
      <w:proofErr w:type="spellEnd"/>
      <w:r w:rsidR="009D205D">
        <w:t>, trans. by J. Flores Espinoza, (1997)</w:t>
      </w:r>
      <w:r w:rsidR="00C13AE5">
        <w:t>, which also focusses on archaeology.</w:t>
      </w:r>
    </w:p>
  </w:footnote>
  <w:footnote w:id="6">
    <w:p w:rsidR="00C13AE5" w:rsidRDefault="00C13AE5">
      <w:pPr>
        <w:pStyle w:val="FootnoteText"/>
      </w:pPr>
      <w:r>
        <w:rPr>
          <w:rStyle w:val="FootnoteReference"/>
        </w:rPr>
        <w:footnoteRef/>
      </w:r>
      <w:r>
        <w:t xml:space="preserve"> </w:t>
      </w:r>
      <w:r w:rsidR="009D205D">
        <w:t xml:space="preserve">Malville, K “Astronomy and Ceremony at Chankillo: an Andean Perspective”, </w:t>
      </w:r>
      <w:r w:rsidR="009D205D" w:rsidRPr="009D205D">
        <w:rPr>
          <w:i/>
        </w:rPr>
        <w:t>Oxford IX International Symposium on Archaeoastronomy</w:t>
      </w:r>
      <w:r w:rsidR="009D205D">
        <w:t>. Proceedings IAU Symposium No. 278. (2011)</w:t>
      </w:r>
    </w:p>
  </w:footnote>
  <w:footnote w:id="7">
    <w:p w:rsidR="00C13AE5" w:rsidRDefault="00C13AE5">
      <w:pPr>
        <w:pStyle w:val="FootnoteText"/>
      </w:pPr>
      <w:r>
        <w:rPr>
          <w:rStyle w:val="FootnoteReference"/>
        </w:rPr>
        <w:footnoteRef/>
      </w:r>
      <w:r w:rsidR="00CE089C">
        <w:t xml:space="preserve"> Malville, 2011, p. 158</w:t>
      </w:r>
      <w:r w:rsidR="00486D20">
        <w:t xml:space="preserve">, </w:t>
      </w:r>
    </w:p>
  </w:footnote>
  <w:footnote w:id="8">
    <w:p w:rsidR="00C13AE5" w:rsidRDefault="00F52AE5">
      <w:pPr>
        <w:pStyle w:val="FootnoteText"/>
      </w:pPr>
      <w:r>
        <w:rPr>
          <w:rStyle w:val="FootnoteReference"/>
        </w:rPr>
        <w:footnoteRef/>
      </w:r>
      <w:r w:rsidR="00CE089C">
        <w:t xml:space="preserve"> Malville, 2011, p.156</w:t>
      </w:r>
    </w:p>
  </w:footnote>
  <w:footnote w:id="9">
    <w:p w:rsidR="00360E1B" w:rsidRDefault="00D72292" w:rsidP="00D72292">
      <w:pPr>
        <w:pStyle w:val="FootnoteText"/>
      </w:pPr>
      <w:r>
        <w:rPr>
          <w:rStyle w:val="FootnoteReference"/>
        </w:rPr>
        <w:footnoteRef/>
      </w:r>
      <w:r w:rsidR="00CE089C">
        <w:t>Malville, 2011, p.159</w:t>
      </w:r>
    </w:p>
  </w:footnote>
  <w:footnote w:id="10">
    <w:p w:rsidR="00293CFB" w:rsidRDefault="00293CFB">
      <w:pPr>
        <w:pStyle w:val="FootnoteText"/>
      </w:pPr>
      <w:r>
        <w:rPr>
          <w:rStyle w:val="FootnoteReference"/>
        </w:rPr>
        <w:footnoteRef/>
      </w:r>
      <w:r>
        <w:t xml:space="preserve"> Malville has sourced both Cummins, T. 2008, </w:t>
      </w:r>
      <w:r w:rsidR="00CE089C" w:rsidRPr="00CE089C">
        <w:rPr>
          <w:i/>
        </w:rPr>
        <w:t>Art, Architecture, and Culture</w:t>
      </w:r>
      <w:r w:rsidR="00CE089C">
        <w:t xml:space="preserve"> (2008)</w:t>
      </w:r>
      <w:r>
        <w:t xml:space="preserve"> </w:t>
      </w:r>
      <w:r w:rsidR="00CE089C">
        <w:t>and Shady, R.</w:t>
      </w:r>
      <w:r>
        <w:t xml:space="preserve"> </w:t>
      </w:r>
      <w:r w:rsidRPr="00CE089C">
        <w:rPr>
          <w:i/>
        </w:rPr>
        <w:t>Andean Archaeology III: North and South</w:t>
      </w:r>
      <w:r w:rsidR="00CE089C">
        <w:t xml:space="preserve"> (2006)</w:t>
      </w:r>
    </w:p>
  </w:footnote>
  <w:footnote w:id="11">
    <w:p w:rsidR="00D72292" w:rsidRDefault="00D72292">
      <w:pPr>
        <w:pStyle w:val="FootnoteText"/>
      </w:pPr>
      <w:r>
        <w:rPr>
          <w:rStyle w:val="FootnoteReference"/>
        </w:rPr>
        <w:footnoteRef/>
      </w:r>
      <w:r w:rsidR="00CE089C">
        <w:t xml:space="preserve"> Ghezzi and Ruggles, 2011, p</w:t>
      </w:r>
      <w:r>
        <w:t>.151</w:t>
      </w:r>
    </w:p>
  </w:footnote>
  <w:footnote w:id="12">
    <w:p w:rsidR="00360E1B" w:rsidRPr="00CE089C" w:rsidRDefault="00360E1B">
      <w:pPr>
        <w:pStyle w:val="FootnoteText"/>
      </w:pPr>
      <w:r>
        <w:rPr>
          <w:rStyle w:val="FootnoteReference"/>
        </w:rPr>
        <w:footnoteRef/>
      </w:r>
      <w:r>
        <w:t xml:space="preserve"> </w:t>
      </w:r>
      <w:r w:rsidR="00CE089C" w:rsidRPr="00CE089C">
        <w:rPr>
          <w:rFonts w:cstheme="minorHAnsi"/>
          <w:shd w:val="clear" w:color="auto" w:fill="FFFFFF"/>
        </w:rPr>
        <w:t xml:space="preserve">Bentley, R. A., </w:t>
      </w:r>
      <w:proofErr w:type="spellStart"/>
      <w:r w:rsidR="00CE089C" w:rsidRPr="00CE089C">
        <w:rPr>
          <w:rFonts w:cstheme="minorHAnsi"/>
          <w:shd w:val="clear" w:color="auto" w:fill="FFFFFF"/>
        </w:rPr>
        <w:t>Maschner</w:t>
      </w:r>
      <w:proofErr w:type="spellEnd"/>
      <w:r w:rsidR="00CE089C" w:rsidRPr="00CE089C">
        <w:rPr>
          <w:rFonts w:cstheme="minorHAnsi"/>
          <w:shd w:val="clear" w:color="auto" w:fill="FFFFFF"/>
        </w:rPr>
        <w:t>, H. D., &amp; Chippindale, C. (ed.) </w:t>
      </w:r>
      <w:r w:rsidR="00CE089C" w:rsidRPr="00CE089C">
        <w:rPr>
          <w:rFonts w:cstheme="minorHAnsi"/>
          <w:i/>
          <w:iCs/>
          <w:shd w:val="clear" w:color="auto" w:fill="FFFFFF"/>
        </w:rPr>
        <w:t>Handbook of archaeological theories</w:t>
      </w:r>
      <w:r w:rsidR="00CE089C" w:rsidRPr="00CE089C">
        <w:rPr>
          <w:rFonts w:cstheme="minorHAnsi"/>
          <w:i/>
          <w:shd w:val="clear" w:color="auto" w:fill="FFFFFF"/>
        </w:rPr>
        <w:t>.</w:t>
      </w:r>
      <w:r w:rsidR="00CE089C" w:rsidRPr="00CE089C">
        <w:rPr>
          <w:rFonts w:cstheme="minorHAnsi"/>
          <w:shd w:val="clear" w:color="auto" w:fill="FFFFFF"/>
        </w:rPr>
        <w:t xml:space="preserve"> (Rowman &amp; Littlefield, USA, 2008)</w:t>
      </w:r>
      <w:r w:rsidRPr="00CE089C">
        <w:t xml:space="preserve"> p. 35</w:t>
      </w:r>
      <w:r w:rsidR="00486D20">
        <w:t xml:space="preserve">, </w:t>
      </w:r>
      <w:r w:rsidR="00486D20" w:rsidRPr="00486D20">
        <w:t>Campion, Nick ‘Skyscapes: Locating Archaeoastronomy within Academia’, Skyscapes: The Role and Importance of the Sky in Archaeology (2015)</w:t>
      </w:r>
      <w:r w:rsidR="00486D20">
        <w:t xml:space="preserve"> </w:t>
      </w:r>
      <w:proofErr w:type="spellStart"/>
      <w:r w:rsidR="00486D20">
        <w:t>p.xiii</w:t>
      </w:r>
      <w:proofErr w:type="spellEnd"/>
      <w:r w:rsidR="00486D20">
        <w:t>-xiv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6253762"/>
      <w:docPartObj>
        <w:docPartGallery w:val="Page Numbers (Top of Page)"/>
        <w:docPartUnique/>
      </w:docPartObj>
    </w:sdtPr>
    <w:sdtEndPr>
      <w:rPr>
        <w:noProof/>
      </w:rPr>
    </w:sdtEndPr>
    <w:sdtContent>
      <w:p w:rsidR="00C05B84" w:rsidRDefault="00C05B84">
        <w:pPr>
          <w:pStyle w:val="Header"/>
          <w:jc w:val="right"/>
        </w:pPr>
        <w:r>
          <w:fldChar w:fldCharType="begin"/>
        </w:r>
        <w:r>
          <w:instrText xml:space="preserve"> PAGE   \* MERGEFORMAT </w:instrText>
        </w:r>
        <w:r>
          <w:fldChar w:fldCharType="separate"/>
        </w:r>
        <w:r w:rsidR="000D2DAC">
          <w:rPr>
            <w:noProof/>
          </w:rPr>
          <w:t>3</w:t>
        </w:r>
        <w:r>
          <w:rPr>
            <w:noProof/>
          </w:rPr>
          <w:fldChar w:fldCharType="end"/>
        </w:r>
      </w:p>
    </w:sdtContent>
  </w:sdt>
  <w:p w:rsidR="00C05B84" w:rsidRDefault="00C05B84" w:rsidP="00C05B84">
    <w:pPr>
      <w:pStyle w:val="Header"/>
      <w:tabs>
        <w:tab w:val="clear" w:pos="4680"/>
        <w:tab w:val="clear" w:pos="9360"/>
        <w:tab w:val="left" w:pos="2340"/>
      </w:tabs>
    </w:pPr>
    <w:r>
      <w:t>Zoe Fraussen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A33"/>
    <w:rsid w:val="000D2DAC"/>
    <w:rsid w:val="00152C51"/>
    <w:rsid w:val="001B32BE"/>
    <w:rsid w:val="001B5649"/>
    <w:rsid w:val="00262E75"/>
    <w:rsid w:val="00293CFB"/>
    <w:rsid w:val="003058FF"/>
    <w:rsid w:val="00360E1B"/>
    <w:rsid w:val="0039113E"/>
    <w:rsid w:val="00397669"/>
    <w:rsid w:val="00486D20"/>
    <w:rsid w:val="004E3741"/>
    <w:rsid w:val="006206E2"/>
    <w:rsid w:val="006325E5"/>
    <w:rsid w:val="00661E92"/>
    <w:rsid w:val="006620D3"/>
    <w:rsid w:val="00724CF3"/>
    <w:rsid w:val="00747575"/>
    <w:rsid w:val="00835487"/>
    <w:rsid w:val="008D3118"/>
    <w:rsid w:val="00927618"/>
    <w:rsid w:val="009C5A33"/>
    <w:rsid w:val="009D205D"/>
    <w:rsid w:val="009E14AC"/>
    <w:rsid w:val="00B23E57"/>
    <w:rsid w:val="00B94AD0"/>
    <w:rsid w:val="00C05B84"/>
    <w:rsid w:val="00C062AB"/>
    <w:rsid w:val="00C07862"/>
    <w:rsid w:val="00C12D01"/>
    <w:rsid w:val="00C13AE5"/>
    <w:rsid w:val="00C748F1"/>
    <w:rsid w:val="00C909D0"/>
    <w:rsid w:val="00CC43A9"/>
    <w:rsid w:val="00CE089C"/>
    <w:rsid w:val="00CF0E13"/>
    <w:rsid w:val="00D30401"/>
    <w:rsid w:val="00D72292"/>
    <w:rsid w:val="00D941A2"/>
    <w:rsid w:val="00E61A61"/>
    <w:rsid w:val="00EC7A07"/>
    <w:rsid w:val="00F52AE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8870199-E0A5-4CAB-8410-6CD742AA3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C43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43A9"/>
    <w:rPr>
      <w:sz w:val="20"/>
      <w:szCs w:val="20"/>
    </w:rPr>
  </w:style>
  <w:style w:type="character" w:styleId="FootnoteReference">
    <w:name w:val="footnote reference"/>
    <w:basedOn w:val="DefaultParagraphFont"/>
    <w:uiPriority w:val="99"/>
    <w:semiHidden/>
    <w:unhideWhenUsed/>
    <w:rsid w:val="00CC43A9"/>
    <w:rPr>
      <w:vertAlign w:val="superscript"/>
    </w:rPr>
  </w:style>
  <w:style w:type="paragraph" w:styleId="Header">
    <w:name w:val="header"/>
    <w:basedOn w:val="Normal"/>
    <w:link w:val="HeaderChar"/>
    <w:uiPriority w:val="99"/>
    <w:unhideWhenUsed/>
    <w:rsid w:val="00C05B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B84"/>
  </w:style>
  <w:style w:type="paragraph" w:styleId="Footer">
    <w:name w:val="footer"/>
    <w:basedOn w:val="Normal"/>
    <w:link w:val="FooterChar"/>
    <w:uiPriority w:val="99"/>
    <w:unhideWhenUsed/>
    <w:rsid w:val="00C05B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664723">
      <w:bodyDiv w:val="1"/>
      <w:marLeft w:val="0"/>
      <w:marRight w:val="0"/>
      <w:marTop w:val="0"/>
      <w:marBottom w:val="0"/>
      <w:divBdr>
        <w:top w:val="none" w:sz="0" w:space="0" w:color="auto"/>
        <w:left w:val="none" w:sz="0" w:space="0" w:color="auto"/>
        <w:bottom w:val="none" w:sz="0" w:space="0" w:color="auto"/>
        <w:right w:val="none" w:sz="0" w:space="0" w:color="auto"/>
      </w:divBdr>
      <w:divsChild>
        <w:div w:id="826435840">
          <w:marLeft w:val="0"/>
          <w:marRight w:val="0"/>
          <w:marTop w:val="0"/>
          <w:marBottom w:val="0"/>
          <w:divBdr>
            <w:top w:val="none" w:sz="0" w:space="0" w:color="auto"/>
            <w:left w:val="none" w:sz="0" w:space="0" w:color="auto"/>
            <w:bottom w:val="none" w:sz="0" w:space="0" w:color="auto"/>
            <w:right w:val="none" w:sz="0" w:space="0" w:color="auto"/>
          </w:divBdr>
          <w:divsChild>
            <w:div w:id="1907178992">
              <w:marLeft w:val="0"/>
              <w:marRight w:val="0"/>
              <w:marTop w:val="0"/>
              <w:marBottom w:val="0"/>
              <w:divBdr>
                <w:top w:val="none" w:sz="0" w:space="0" w:color="auto"/>
                <w:left w:val="none" w:sz="0" w:space="0" w:color="auto"/>
                <w:bottom w:val="none" w:sz="0" w:space="0" w:color="auto"/>
                <w:right w:val="none" w:sz="0" w:space="0" w:color="auto"/>
              </w:divBdr>
              <w:divsChild>
                <w:div w:id="1194074891">
                  <w:marLeft w:val="0"/>
                  <w:marRight w:val="0"/>
                  <w:marTop w:val="0"/>
                  <w:marBottom w:val="0"/>
                  <w:divBdr>
                    <w:top w:val="none" w:sz="0" w:space="0" w:color="auto"/>
                    <w:left w:val="none" w:sz="0" w:space="0" w:color="auto"/>
                    <w:bottom w:val="none" w:sz="0" w:space="0" w:color="auto"/>
                    <w:right w:val="none" w:sz="0" w:space="0" w:color="auto"/>
                  </w:divBdr>
                  <w:divsChild>
                    <w:div w:id="1049383096">
                      <w:marLeft w:val="0"/>
                      <w:marRight w:val="0"/>
                      <w:marTop w:val="0"/>
                      <w:marBottom w:val="0"/>
                      <w:divBdr>
                        <w:top w:val="none" w:sz="0" w:space="0" w:color="auto"/>
                        <w:left w:val="none" w:sz="0" w:space="0" w:color="auto"/>
                        <w:bottom w:val="none" w:sz="0" w:space="0" w:color="auto"/>
                        <w:right w:val="none" w:sz="0" w:space="0" w:color="auto"/>
                      </w:divBdr>
                      <w:divsChild>
                        <w:div w:id="770080378">
                          <w:marLeft w:val="0"/>
                          <w:marRight w:val="0"/>
                          <w:marTop w:val="0"/>
                          <w:marBottom w:val="0"/>
                          <w:divBdr>
                            <w:top w:val="none" w:sz="0" w:space="0" w:color="auto"/>
                            <w:left w:val="none" w:sz="0" w:space="0" w:color="auto"/>
                            <w:bottom w:val="none" w:sz="0" w:space="0" w:color="auto"/>
                            <w:right w:val="none" w:sz="0" w:space="0" w:color="auto"/>
                          </w:divBdr>
                          <w:divsChild>
                            <w:div w:id="125897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176925">
                  <w:marLeft w:val="0"/>
                  <w:marRight w:val="0"/>
                  <w:marTop w:val="0"/>
                  <w:marBottom w:val="0"/>
                  <w:divBdr>
                    <w:top w:val="none" w:sz="0" w:space="0" w:color="auto"/>
                    <w:left w:val="none" w:sz="0" w:space="0" w:color="auto"/>
                    <w:bottom w:val="none" w:sz="0" w:space="0" w:color="auto"/>
                    <w:right w:val="none" w:sz="0" w:space="0" w:color="auto"/>
                  </w:divBdr>
                  <w:divsChild>
                    <w:div w:id="928274237">
                      <w:marLeft w:val="0"/>
                      <w:marRight w:val="0"/>
                      <w:marTop w:val="0"/>
                      <w:marBottom w:val="0"/>
                      <w:divBdr>
                        <w:top w:val="none" w:sz="0" w:space="0" w:color="auto"/>
                        <w:left w:val="none" w:sz="0" w:space="0" w:color="auto"/>
                        <w:bottom w:val="none" w:sz="0" w:space="0" w:color="auto"/>
                        <w:right w:val="none" w:sz="0" w:space="0" w:color="auto"/>
                      </w:divBdr>
                      <w:divsChild>
                        <w:div w:id="1765765987">
                          <w:marLeft w:val="0"/>
                          <w:marRight w:val="0"/>
                          <w:marTop w:val="0"/>
                          <w:marBottom w:val="0"/>
                          <w:divBdr>
                            <w:top w:val="none" w:sz="0" w:space="0" w:color="auto"/>
                            <w:left w:val="none" w:sz="0" w:space="0" w:color="auto"/>
                            <w:bottom w:val="none" w:sz="0" w:space="0" w:color="auto"/>
                            <w:right w:val="none" w:sz="0" w:space="0" w:color="auto"/>
                          </w:divBdr>
                          <w:divsChild>
                            <w:div w:id="84499348">
                              <w:marLeft w:val="0"/>
                              <w:marRight w:val="0"/>
                              <w:marTop w:val="0"/>
                              <w:marBottom w:val="0"/>
                              <w:divBdr>
                                <w:top w:val="none" w:sz="0" w:space="0" w:color="auto"/>
                                <w:left w:val="none" w:sz="0" w:space="0" w:color="auto"/>
                                <w:bottom w:val="none" w:sz="0" w:space="0" w:color="auto"/>
                                <w:right w:val="none" w:sz="0" w:space="0" w:color="auto"/>
                              </w:divBdr>
                              <w:divsChild>
                                <w:div w:id="1044790920">
                                  <w:marLeft w:val="0"/>
                                  <w:marRight w:val="0"/>
                                  <w:marTop w:val="0"/>
                                  <w:marBottom w:val="0"/>
                                  <w:divBdr>
                                    <w:top w:val="none" w:sz="0" w:space="0" w:color="auto"/>
                                    <w:left w:val="none" w:sz="0" w:space="0" w:color="auto"/>
                                    <w:bottom w:val="none" w:sz="0" w:space="0" w:color="auto"/>
                                    <w:right w:val="none" w:sz="0" w:space="0" w:color="auto"/>
                                  </w:divBdr>
                                  <w:divsChild>
                                    <w:div w:id="63322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544441">
                  <w:marLeft w:val="0"/>
                  <w:marRight w:val="0"/>
                  <w:marTop w:val="0"/>
                  <w:marBottom w:val="0"/>
                  <w:divBdr>
                    <w:top w:val="none" w:sz="0" w:space="0" w:color="auto"/>
                    <w:left w:val="none" w:sz="0" w:space="0" w:color="auto"/>
                    <w:bottom w:val="none" w:sz="0" w:space="0" w:color="auto"/>
                    <w:right w:val="none" w:sz="0" w:space="0" w:color="auto"/>
                  </w:divBdr>
                  <w:divsChild>
                    <w:div w:id="1400864352">
                      <w:marLeft w:val="0"/>
                      <w:marRight w:val="0"/>
                      <w:marTop w:val="0"/>
                      <w:marBottom w:val="0"/>
                      <w:divBdr>
                        <w:top w:val="none" w:sz="0" w:space="0" w:color="auto"/>
                        <w:left w:val="none" w:sz="0" w:space="0" w:color="auto"/>
                        <w:bottom w:val="none" w:sz="0" w:space="0" w:color="auto"/>
                        <w:right w:val="none" w:sz="0" w:space="0" w:color="auto"/>
                      </w:divBdr>
                      <w:divsChild>
                        <w:div w:id="1782796189">
                          <w:marLeft w:val="0"/>
                          <w:marRight w:val="0"/>
                          <w:marTop w:val="0"/>
                          <w:marBottom w:val="0"/>
                          <w:divBdr>
                            <w:top w:val="none" w:sz="0" w:space="0" w:color="auto"/>
                            <w:left w:val="none" w:sz="0" w:space="0" w:color="auto"/>
                            <w:bottom w:val="none" w:sz="0" w:space="0" w:color="auto"/>
                            <w:right w:val="none" w:sz="0" w:space="0" w:color="auto"/>
                          </w:divBdr>
                          <w:divsChild>
                            <w:div w:id="19038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C9730A4-F824-4EFA-992E-62822CA0F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7</Pages>
  <Words>1626</Words>
  <Characters>9272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fraussen</dc:creator>
  <cp:keywords/>
  <dc:description/>
  <cp:lastModifiedBy>zoe fraussen</cp:lastModifiedBy>
  <cp:revision>7</cp:revision>
  <dcterms:created xsi:type="dcterms:W3CDTF">2019-03-03T15:17:00Z</dcterms:created>
  <dcterms:modified xsi:type="dcterms:W3CDTF">2019-03-04T04:32:00Z</dcterms:modified>
</cp:coreProperties>
</file>