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eastAsia="en-GB"/>
        </w:rPr>
        <w:id w:val="36042097"/>
        <w:docPartObj>
          <w:docPartGallery w:val="Cover Pages"/>
          <w:docPartUnique/>
        </w:docPartObj>
      </w:sdtPr>
      <w:sdtEndPr>
        <w:rPr>
          <w:rFonts w:ascii="Times New Roman" w:eastAsia="Times New Roman" w:hAnsi="Times New Roman" w:cs="Times New Roman"/>
          <w:caps w:val="0"/>
          <w:sz w:val="24"/>
          <w:szCs w:val="24"/>
        </w:rPr>
      </w:sdtEndPr>
      <w:sdtContent>
        <w:tbl>
          <w:tblPr>
            <w:tblW w:w="5000" w:type="pct"/>
            <w:jc w:val="center"/>
            <w:tblLook w:val="04A0"/>
          </w:tblPr>
          <w:tblGrid>
            <w:gridCol w:w="9242"/>
          </w:tblGrid>
          <w:tr w:rsidR="007240E4">
            <w:trPr>
              <w:trHeight w:val="2880"/>
              <w:jc w:val="center"/>
            </w:trPr>
            <w:sdt>
              <w:sdtPr>
                <w:rPr>
                  <w:rFonts w:asciiTheme="majorHAnsi" w:eastAsiaTheme="majorEastAsia" w:hAnsiTheme="majorHAnsi" w:cstheme="majorBidi"/>
                  <w:caps/>
                  <w:lang w:val="en-GB" w:eastAsia="en-GB"/>
                </w:rPr>
                <w:alias w:val="Company"/>
                <w:id w:val="15524243"/>
                <w:placeholder>
                  <w:docPart w:val="11B216A4B9E549E8B580C8587FD666D8"/>
                </w:placeholder>
                <w:dataBinding w:prefixMappings="xmlns:ns0='http://schemas.openxmlformats.org/officeDocument/2006/extended-properties'" w:xpath="/ns0:Properties[1]/ns0:Company[1]" w:storeItemID="{6668398D-A668-4E3E-A5EB-62B293D839F1}"/>
                <w:text/>
              </w:sdtPr>
              <w:sdtEndPr>
                <w:rPr>
                  <w:rFonts w:ascii="Arial" w:hAnsi="Arial" w:cs="Arial"/>
                  <w:b/>
                  <w:i/>
                  <w:sz w:val="24"/>
                  <w:szCs w:val="24"/>
                  <w:u w:val="single"/>
                  <w:lang w:val="en-US" w:eastAsia="en-US"/>
                </w:rPr>
              </w:sdtEndPr>
              <w:sdtContent>
                <w:tc>
                  <w:tcPr>
                    <w:tcW w:w="5000" w:type="pct"/>
                  </w:tcPr>
                  <w:p w:rsidR="007240E4" w:rsidRDefault="007240E4" w:rsidP="007240E4">
                    <w:pPr>
                      <w:pStyle w:val="NoSpacing"/>
                      <w:jc w:val="center"/>
                      <w:rPr>
                        <w:rFonts w:asciiTheme="majorHAnsi" w:eastAsiaTheme="majorEastAsia" w:hAnsiTheme="majorHAnsi" w:cstheme="majorBidi"/>
                        <w:caps/>
                      </w:rPr>
                    </w:pPr>
                    <w:r w:rsidRPr="007240E4">
                      <w:rPr>
                        <w:rFonts w:ascii="Arial" w:eastAsiaTheme="majorEastAsia" w:hAnsi="Arial" w:cs="Arial"/>
                        <w:b/>
                        <w:i/>
                        <w:caps/>
                        <w:sz w:val="24"/>
                        <w:szCs w:val="24"/>
                        <w:u w:val="single"/>
                        <w:lang w:val="en-GB"/>
                      </w:rPr>
                      <w:t>UNIVERSITY OF WALES TRINITY SAINT DAVID</w:t>
                    </w:r>
                  </w:p>
                </w:tc>
              </w:sdtContent>
            </w:sdt>
          </w:tr>
          <w:tr w:rsidR="007240E4">
            <w:trPr>
              <w:trHeight w:val="1440"/>
              <w:jc w:val="center"/>
            </w:trPr>
            <w:tc>
              <w:tcPr>
                <w:tcW w:w="5000" w:type="pct"/>
                <w:tcBorders>
                  <w:bottom w:val="single" w:sz="4" w:space="0" w:color="4F81BD" w:themeColor="accent1"/>
                </w:tcBorders>
                <w:vAlign w:val="center"/>
              </w:tcPr>
              <w:p w:rsidR="00685D60" w:rsidRPr="00685D60" w:rsidRDefault="007240E4" w:rsidP="007240E4">
                <w:pPr>
                  <w:pStyle w:val="NoSpacing"/>
                  <w:jc w:val="center"/>
                  <w:rPr>
                    <w:rFonts w:ascii="Arial" w:hAnsi="Arial" w:cs="Arial"/>
                    <w:color w:val="000000"/>
                    <w:sz w:val="36"/>
                    <w:szCs w:val="36"/>
                    <w:lang w:val="en-GB"/>
                  </w:rPr>
                </w:pPr>
                <w:r w:rsidRPr="00685D60">
                  <w:rPr>
                    <w:rFonts w:ascii="Arial" w:hAnsi="Arial" w:cs="Arial"/>
                    <w:color w:val="000000"/>
                    <w:sz w:val="36"/>
                    <w:szCs w:val="36"/>
                    <w:lang w:val="en-GB"/>
                  </w:rPr>
                  <w:t xml:space="preserve">Critically Evaluate the Processes and Procedures Adopted by the First Attending Officer (FAO) at a Crime Scene in Order to Reduce the Possibilities of Cross Contamination </w:t>
                </w:r>
              </w:p>
              <w:p w:rsidR="00685D60" w:rsidRPr="00685D60" w:rsidRDefault="007240E4" w:rsidP="007240E4">
                <w:pPr>
                  <w:pStyle w:val="NoSpacing"/>
                  <w:jc w:val="center"/>
                  <w:rPr>
                    <w:rFonts w:ascii="Arial" w:hAnsi="Arial" w:cs="Arial"/>
                    <w:color w:val="000000"/>
                    <w:sz w:val="36"/>
                    <w:szCs w:val="36"/>
                    <w:lang w:val="en-GB"/>
                  </w:rPr>
                </w:pPr>
                <w:r w:rsidRPr="00685D60">
                  <w:rPr>
                    <w:rFonts w:ascii="Arial" w:hAnsi="Arial" w:cs="Arial"/>
                    <w:b/>
                    <w:color w:val="000000"/>
                    <w:sz w:val="36"/>
                    <w:szCs w:val="36"/>
                    <w:lang w:val="en-GB"/>
                  </w:rPr>
                  <w:t>&amp;</w:t>
                </w:r>
                <w:r w:rsidRPr="00685D60">
                  <w:rPr>
                    <w:rFonts w:ascii="Arial" w:hAnsi="Arial" w:cs="Arial"/>
                    <w:color w:val="000000"/>
                    <w:sz w:val="36"/>
                    <w:szCs w:val="36"/>
                    <w:lang w:val="en-GB"/>
                  </w:rPr>
                  <w:t xml:space="preserve"> </w:t>
                </w:r>
              </w:p>
              <w:p w:rsidR="007240E4" w:rsidRPr="00685D60" w:rsidRDefault="007240E4" w:rsidP="007240E4">
                <w:pPr>
                  <w:pStyle w:val="NoSpacing"/>
                  <w:jc w:val="center"/>
                  <w:rPr>
                    <w:rFonts w:ascii="Arial" w:hAnsi="Arial" w:cs="Arial"/>
                    <w:color w:val="000000"/>
                    <w:sz w:val="40"/>
                    <w:szCs w:val="40"/>
                    <w:lang w:val="en-GB"/>
                  </w:rPr>
                </w:pPr>
                <w:r w:rsidRPr="00685D60">
                  <w:rPr>
                    <w:rFonts w:ascii="Arial" w:hAnsi="Arial" w:cs="Arial"/>
                    <w:color w:val="000000"/>
                    <w:sz w:val="36"/>
                    <w:szCs w:val="36"/>
                    <w:lang w:val="en-GB"/>
                  </w:rPr>
                  <w:t>Critically Analyse the Methods in Practice for the Recovery and Examination of Forensic Evidence at Crime Scenes, Evaluating the Legislation, Strategies, Policies and Procedures with Regard to Forensic Recovery and Examination</w:t>
                </w:r>
              </w:p>
              <w:p w:rsidR="00685D60" w:rsidRPr="007240E4" w:rsidRDefault="00685D60" w:rsidP="007240E4">
                <w:pPr>
                  <w:pStyle w:val="NoSpacing"/>
                  <w:jc w:val="center"/>
                  <w:rPr>
                    <w:rFonts w:asciiTheme="majorHAnsi" w:eastAsiaTheme="majorEastAsia" w:hAnsiTheme="majorHAnsi" w:cstheme="majorBidi"/>
                    <w:sz w:val="48"/>
                    <w:szCs w:val="48"/>
                  </w:rPr>
                </w:pPr>
              </w:p>
            </w:tc>
          </w:tr>
          <w:tr w:rsidR="007240E4">
            <w:trPr>
              <w:trHeight w:val="720"/>
              <w:jc w:val="center"/>
            </w:trPr>
            <w:sdt>
              <w:sdtPr>
                <w:rPr>
                  <w:rFonts w:ascii="Arial" w:eastAsiaTheme="majorEastAsia" w:hAnsi="Arial" w:cs="Arial"/>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240E4" w:rsidRPr="007240E4" w:rsidRDefault="007240E4" w:rsidP="007240E4">
                    <w:pPr>
                      <w:pStyle w:val="NoSpacing"/>
                      <w:jc w:val="center"/>
                      <w:rPr>
                        <w:rFonts w:asciiTheme="majorHAnsi" w:eastAsiaTheme="majorEastAsia" w:hAnsiTheme="majorHAnsi" w:cstheme="majorBidi"/>
                        <w:sz w:val="48"/>
                        <w:szCs w:val="48"/>
                      </w:rPr>
                    </w:pPr>
                    <w:r w:rsidRPr="00685D60">
                      <w:rPr>
                        <w:rFonts w:ascii="Arial" w:eastAsiaTheme="majorEastAsia" w:hAnsi="Arial" w:cs="Arial"/>
                        <w:sz w:val="40"/>
                        <w:szCs w:val="40"/>
                      </w:rPr>
                      <w:t>Forensic Recovery and Examination - Assignment 1 - Lecturer: Wynne Jones</w:t>
                    </w:r>
                  </w:p>
                </w:tc>
              </w:sdtContent>
            </w:sdt>
          </w:tr>
          <w:tr w:rsidR="007240E4">
            <w:trPr>
              <w:trHeight w:val="360"/>
              <w:jc w:val="center"/>
            </w:trPr>
            <w:tc>
              <w:tcPr>
                <w:tcW w:w="5000" w:type="pct"/>
                <w:vAlign w:val="center"/>
              </w:tcPr>
              <w:p w:rsidR="007240E4" w:rsidRDefault="007240E4">
                <w:pPr>
                  <w:pStyle w:val="NoSpacing"/>
                  <w:jc w:val="center"/>
                </w:pPr>
              </w:p>
            </w:tc>
          </w:tr>
          <w:tr w:rsidR="007240E4">
            <w:trPr>
              <w:trHeight w:val="360"/>
              <w:jc w:val="center"/>
            </w:trPr>
            <w:sdt>
              <w:sdtPr>
                <w:rPr>
                  <w:rFonts w:ascii="Arial" w:hAnsi="Arial" w:cs="Arial"/>
                  <w:b/>
                  <w:bCs/>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7240E4" w:rsidRDefault="007240E4" w:rsidP="007240E4">
                    <w:pPr>
                      <w:pStyle w:val="NoSpacing"/>
                      <w:jc w:val="center"/>
                      <w:rPr>
                        <w:b/>
                        <w:bCs/>
                      </w:rPr>
                    </w:pPr>
                    <w:r w:rsidRPr="007240E4">
                      <w:rPr>
                        <w:rFonts w:ascii="Arial" w:hAnsi="Arial" w:cs="Arial"/>
                        <w:b/>
                        <w:bCs/>
                        <w:sz w:val="24"/>
                        <w:szCs w:val="24"/>
                        <w:lang w:val="en-GB"/>
                      </w:rPr>
                      <w:t>Callum Samuel - ID : 1801402</w:t>
                    </w:r>
                  </w:p>
                </w:tc>
              </w:sdtContent>
            </w:sdt>
          </w:tr>
          <w:tr w:rsidR="007240E4">
            <w:trPr>
              <w:trHeight w:val="360"/>
              <w:jc w:val="center"/>
            </w:trPr>
            <w:tc>
              <w:tcPr>
                <w:tcW w:w="5000" w:type="pct"/>
                <w:vAlign w:val="center"/>
              </w:tcPr>
              <w:p w:rsidR="007240E4" w:rsidRPr="007240E4" w:rsidRDefault="007240E4">
                <w:pPr>
                  <w:pStyle w:val="NoSpacing"/>
                  <w:jc w:val="center"/>
                  <w:rPr>
                    <w:rFonts w:ascii="Arial" w:hAnsi="Arial" w:cs="Arial"/>
                    <w:b/>
                    <w:bCs/>
                    <w:sz w:val="24"/>
                    <w:szCs w:val="24"/>
                  </w:rPr>
                </w:pPr>
                <w:r w:rsidRPr="007240E4">
                  <w:rPr>
                    <w:rFonts w:ascii="Arial" w:hAnsi="Arial" w:cs="Arial"/>
                    <w:b/>
                    <w:bCs/>
                    <w:sz w:val="24"/>
                    <w:szCs w:val="24"/>
                  </w:rPr>
                  <w:t>Deadline - 06.11.20</w:t>
                </w:r>
              </w:p>
            </w:tc>
          </w:tr>
        </w:tbl>
        <w:p w:rsidR="007240E4" w:rsidRDefault="007240E4"/>
        <w:p w:rsidR="007240E4" w:rsidRDefault="007240E4"/>
        <w:tbl>
          <w:tblPr>
            <w:tblpPr w:leftFromText="187" w:rightFromText="187" w:horzAnchor="margin" w:tblpXSpec="center" w:tblpYSpec="bottom"/>
            <w:tblW w:w="5000" w:type="pct"/>
            <w:tblLook w:val="04A0"/>
          </w:tblPr>
          <w:tblGrid>
            <w:gridCol w:w="9242"/>
          </w:tblGrid>
          <w:tr w:rsidR="007240E4">
            <w:tc>
              <w:tcPr>
                <w:tcW w:w="5000" w:type="pct"/>
              </w:tcPr>
              <w:p w:rsidR="007240E4" w:rsidRDefault="007240E4">
                <w:pPr>
                  <w:pStyle w:val="NoSpacing"/>
                </w:pPr>
              </w:p>
            </w:tc>
          </w:tr>
        </w:tbl>
        <w:p w:rsidR="007240E4" w:rsidRDefault="007240E4"/>
        <w:p w:rsidR="007240E4" w:rsidRDefault="007240E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Content>
    </w:sdt>
    <w:p w:rsidR="008F6EFE" w:rsidRPr="008F6EFE" w:rsidRDefault="008F6EFE" w:rsidP="008F6EFE">
      <w:pPr>
        <w:spacing w:after="0" w:line="240" w:lineRule="auto"/>
        <w:rPr>
          <w:rFonts w:ascii="Times New Roman" w:eastAsia="Times New Roman" w:hAnsi="Times New Roman" w:cs="Times New Roman"/>
          <w:sz w:val="24"/>
          <w:szCs w:val="24"/>
        </w:rPr>
      </w:pPr>
    </w:p>
    <w:p w:rsidR="008F6EFE" w:rsidRPr="008F6EFE" w:rsidRDefault="008F6EFE" w:rsidP="008F6EFE">
      <w:pPr>
        <w:spacing w:line="480" w:lineRule="auto"/>
        <w:rPr>
          <w:rFonts w:ascii="Times New Roman" w:eastAsia="Times New Roman" w:hAnsi="Times New Roman" w:cs="Times New Roman"/>
          <w:sz w:val="24"/>
          <w:szCs w:val="24"/>
        </w:rPr>
      </w:pPr>
      <w:r w:rsidRPr="00761B15">
        <w:rPr>
          <w:rFonts w:ascii="Arial" w:hAnsi="Arial" w:cs="Arial"/>
          <w:b/>
          <w:color w:val="000000"/>
          <w:sz w:val="24"/>
          <w:szCs w:val="24"/>
        </w:rPr>
        <w:t>Part A. Critically Evaluate the Processes and Procedures Adopted by the First Attending Officer (FAO) at a Crime Scene in Order to Reduce the Possibilities of Cross Contamination.</w:t>
      </w:r>
      <w:r w:rsidR="00D66653" w:rsidRPr="00D66653">
        <w:rPr>
          <w:rFonts w:ascii="Times New Roman" w:eastAsia="Times New Roman" w:hAnsi="Times New Roman" w:cs="Times New Roman"/>
          <w:sz w:val="24"/>
          <w:szCs w:val="24"/>
        </w:rPr>
        <w:pict>
          <v:rect id="_x0000_i1025" style="width:0;height:1.5pt" o:hralign="center" o:hrstd="t" o:hr="t" fillcolor="#a0a0a0" stroked="f"/>
        </w:pict>
      </w: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The role of the First Attending Officer - FAO - when responding to crime is arguably both the most difficult and one of the most crucial responsibilities with regards to the possible criminal investigation that may occur following an incident. Although as stated by the College of Policing (2016), the first priority for every officer is to preserve and protect life and prevent harm or further injury of all individuals present - including potential suspects themselves -, it is also the important responsibility of the FAO to control and preserve the crime scene and secure evidence.</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The first attending officer after prioritising the preservation of life and after an initial scene assessment given to the control room following METHANE or the most likely alternative for most crime scenes, ETHANE principles (JESIP, 2020), would then have the responsibility of scene management and a variety of fast track actions ensuring evidence, victims, suspects and witnesses, all of which have important value for an investigation, are managed (College of Policing, 2019).</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The College of Policing (2019) and Metropolitan Police (2019) state that positive and fast track actions carried out wi</w:t>
      </w:r>
      <w:r w:rsidR="00AF27D4">
        <w:rPr>
          <w:rFonts w:ascii="Arial" w:eastAsia="Times New Roman" w:hAnsi="Arial" w:cs="Arial"/>
          <w:color w:val="000000"/>
          <w:sz w:val="24"/>
          <w:szCs w:val="24"/>
        </w:rPr>
        <w:t>thin what’s referred to as the "Golden Hour"</w:t>
      </w:r>
      <w:r w:rsidRPr="008F6EFE">
        <w:rPr>
          <w:rFonts w:ascii="Arial" w:eastAsia="Times New Roman" w:hAnsi="Arial" w:cs="Arial"/>
          <w:color w:val="000000"/>
          <w:sz w:val="24"/>
          <w:szCs w:val="24"/>
        </w:rPr>
        <w:t xml:space="preserve"> - which HMICFRS (2017) defines as the first hour of a crime being committed and the time where there is the most potential for forensic evidence recovery - can prevent cross contamination of evidence and minimise the risk of evidence that could be lost and </w:t>
      </w:r>
      <w:r w:rsidRPr="008F6EFE">
        <w:rPr>
          <w:rFonts w:ascii="Arial" w:eastAsia="Times New Roman" w:hAnsi="Arial" w:cs="Arial"/>
          <w:color w:val="000000"/>
          <w:sz w:val="24"/>
          <w:szCs w:val="24"/>
        </w:rPr>
        <w:lastRenderedPageBreak/>
        <w:t>therefore, maximise the likelihood of obtaining crucial evidence that may be required as admissible evidence in court. </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According to Fowler and </w:t>
      </w:r>
      <w:proofErr w:type="spellStart"/>
      <w:r w:rsidRPr="008F6EFE">
        <w:rPr>
          <w:rFonts w:ascii="Arial" w:eastAsia="Times New Roman" w:hAnsi="Arial" w:cs="Arial"/>
          <w:color w:val="000000"/>
          <w:sz w:val="24"/>
          <w:szCs w:val="24"/>
        </w:rPr>
        <w:t>Horswell</w:t>
      </w:r>
      <w:proofErr w:type="spellEnd"/>
      <w:r w:rsidRPr="008F6EFE">
        <w:rPr>
          <w:rFonts w:ascii="Arial" w:eastAsia="Times New Roman" w:hAnsi="Arial" w:cs="Arial"/>
          <w:color w:val="000000"/>
          <w:sz w:val="24"/>
          <w:szCs w:val="24"/>
        </w:rPr>
        <w:t xml:space="preserve"> (2004) the reason for such containment and the importance of cross contamination prevention can be found when looking at E</w:t>
      </w:r>
      <w:r w:rsidR="003766FA">
        <w:rPr>
          <w:rFonts w:ascii="Arial" w:eastAsia="Times New Roman" w:hAnsi="Arial" w:cs="Arial"/>
          <w:color w:val="000000"/>
          <w:sz w:val="24"/>
          <w:szCs w:val="24"/>
        </w:rPr>
        <w:t>d</w:t>
      </w:r>
      <w:r w:rsidRPr="008F6EFE">
        <w:rPr>
          <w:rFonts w:ascii="Arial" w:eastAsia="Times New Roman" w:hAnsi="Arial" w:cs="Arial"/>
          <w:color w:val="000000"/>
          <w:sz w:val="24"/>
          <w:szCs w:val="24"/>
        </w:rPr>
        <w:t xml:space="preserve">mond </w:t>
      </w:r>
      <w:proofErr w:type="spellStart"/>
      <w:r w:rsidRPr="008F6EFE">
        <w:rPr>
          <w:rFonts w:ascii="Arial" w:eastAsia="Times New Roman" w:hAnsi="Arial" w:cs="Arial"/>
          <w:color w:val="000000"/>
          <w:sz w:val="24"/>
          <w:szCs w:val="24"/>
        </w:rPr>
        <w:t>Locard’s</w:t>
      </w:r>
      <w:proofErr w:type="spellEnd"/>
      <w:r w:rsidRPr="008F6EFE">
        <w:rPr>
          <w:rFonts w:ascii="Arial" w:eastAsia="Times New Roman" w:hAnsi="Arial" w:cs="Arial"/>
          <w:color w:val="000000"/>
          <w:sz w:val="24"/>
          <w:szCs w:val="24"/>
        </w:rPr>
        <w:t xml:space="preserve"> principle of exchange. Fowler and </w:t>
      </w:r>
      <w:proofErr w:type="spellStart"/>
      <w:r w:rsidRPr="008F6EFE">
        <w:rPr>
          <w:rFonts w:ascii="Arial" w:eastAsia="Times New Roman" w:hAnsi="Arial" w:cs="Arial"/>
          <w:color w:val="000000"/>
          <w:sz w:val="24"/>
          <w:szCs w:val="24"/>
        </w:rPr>
        <w:t>Horswell</w:t>
      </w:r>
      <w:proofErr w:type="spellEnd"/>
      <w:r w:rsidRPr="008F6EFE">
        <w:rPr>
          <w:rFonts w:ascii="Arial" w:eastAsia="Times New Roman" w:hAnsi="Arial" w:cs="Arial"/>
          <w:color w:val="000000"/>
          <w:sz w:val="24"/>
          <w:szCs w:val="24"/>
        </w:rPr>
        <w:t xml:space="preserve"> (2004) state that </w:t>
      </w:r>
      <w:proofErr w:type="spellStart"/>
      <w:r w:rsidRPr="008F6EFE">
        <w:rPr>
          <w:rFonts w:ascii="Arial" w:eastAsia="Times New Roman" w:hAnsi="Arial" w:cs="Arial"/>
          <w:color w:val="000000"/>
          <w:sz w:val="24"/>
          <w:szCs w:val="24"/>
        </w:rPr>
        <w:t>Locard’s</w:t>
      </w:r>
      <w:proofErr w:type="spellEnd"/>
      <w:r w:rsidRPr="008F6EFE">
        <w:rPr>
          <w:rFonts w:ascii="Arial" w:eastAsia="Times New Roman" w:hAnsi="Arial" w:cs="Arial"/>
          <w:color w:val="000000"/>
          <w:sz w:val="24"/>
          <w:szCs w:val="24"/>
        </w:rPr>
        <w:t xml:space="preserve"> principle is best explained when </w:t>
      </w:r>
      <w:proofErr w:type="spellStart"/>
      <w:r w:rsidRPr="008F6EFE">
        <w:rPr>
          <w:rFonts w:ascii="Arial" w:eastAsia="Times New Roman" w:hAnsi="Arial" w:cs="Arial"/>
          <w:color w:val="000000"/>
          <w:sz w:val="24"/>
          <w:szCs w:val="24"/>
        </w:rPr>
        <w:t>Locard</w:t>
      </w:r>
      <w:proofErr w:type="spellEnd"/>
      <w:r w:rsidRPr="008F6EFE">
        <w:rPr>
          <w:rFonts w:ascii="Arial" w:eastAsia="Times New Roman" w:hAnsi="Arial" w:cs="Arial"/>
          <w:color w:val="000000"/>
          <w:sz w:val="24"/>
          <w:szCs w:val="24"/>
        </w:rPr>
        <w:t xml:space="preserve"> surmised that “every contact leaves a trace”, a statement supported by Kirk (1952) when they stated “Wherever he steps, wherever he touches, whatever he leaves, even without consciousness, will serve as a silent witness against him.”. The Forensic Science Regulator (2015) defines contamination as “the introduction</w:t>
      </w:r>
      <w:r w:rsidR="001E45E8">
        <w:rPr>
          <w:rFonts w:ascii="Times New Roman" w:eastAsia="Times New Roman" w:hAnsi="Times New Roman" w:cs="Times New Roman"/>
          <w:sz w:val="24"/>
          <w:szCs w:val="24"/>
        </w:rPr>
        <w:t xml:space="preserve"> </w:t>
      </w:r>
      <w:r w:rsidRPr="008F6EFE">
        <w:rPr>
          <w:rFonts w:ascii="Arial" w:eastAsia="Times New Roman" w:hAnsi="Arial" w:cs="Arial"/>
          <w:color w:val="000000"/>
          <w:sz w:val="24"/>
          <w:szCs w:val="24"/>
        </w:rPr>
        <w:t>of DNA, or biological material containing DNA, to an exhibit at or after the point</w:t>
      </w:r>
      <w:r w:rsidR="001E45E8">
        <w:rPr>
          <w:rFonts w:ascii="Times New Roman" w:eastAsia="Times New Roman" w:hAnsi="Times New Roman" w:cs="Times New Roman"/>
          <w:sz w:val="24"/>
          <w:szCs w:val="24"/>
        </w:rPr>
        <w:t xml:space="preserve"> </w:t>
      </w:r>
      <w:r w:rsidRPr="008F6EFE">
        <w:rPr>
          <w:rFonts w:ascii="Arial" w:eastAsia="Times New Roman" w:hAnsi="Arial" w:cs="Arial"/>
          <w:color w:val="000000"/>
          <w:sz w:val="24"/>
          <w:szCs w:val="24"/>
        </w:rPr>
        <w:t xml:space="preserve">when a controlled forensic process starts”. Both statements made by </w:t>
      </w:r>
      <w:proofErr w:type="spellStart"/>
      <w:r w:rsidRPr="008F6EFE">
        <w:rPr>
          <w:rFonts w:ascii="Arial" w:eastAsia="Times New Roman" w:hAnsi="Arial" w:cs="Arial"/>
          <w:color w:val="000000"/>
          <w:sz w:val="24"/>
          <w:szCs w:val="24"/>
        </w:rPr>
        <w:t>Locard</w:t>
      </w:r>
      <w:proofErr w:type="spellEnd"/>
      <w:r w:rsidRPr="008F6EFE">
        <w:rPr>
          <w:rFonts w:ascii="Arial" w:eastAsia="Times New Roman" w:hAnsi="Arial" w:cs="Arial"/>
          <w:color w:val="000000"/>
          <w:sz w:val="24"/>
          <w:szCs w:val="24"/>
        </w:rPr>
        <w:t xml:space="preserve"> (Fowler and </w:t>
      </w:r>
      <w:proofErr w:type="spellStart"/>
      <w:r w:rsidRPr="008F6EFE">
        <w:rPr>
          <w:rFonts w:ascii="Arial" w:eastAsia="Times New Roman" w:hAnsi="Arial" w:cs="Arial"/>
          <w:color w:val="000000"/>
          <w:sz w:val="24"/>
          <w:szCs w:val="24"/>
        </w:rPr>
        <w:t>Horswell</w:t>
      </w:r>
      <w:proofErr w:type="spellEnd"/>
      <w:r w:rsidRPr="008F6EFE">
        <w:rPr>
          <w:rFonts w:ascii="Arial" w:eastAsia="Times New Roman" w:hAnsi="Arial" w:cs="Arial"/>
          <w:color w:val="000000"/>
          <w:sz w:val="24"/>
          <w:szCs w:val="24"/>
        </w:rPr>
        <w:t>, 2004) and Kirk (1952) reinforce the idea and importance of securing a crime scene as Kirk (1952) further stated that physical evidence cannot be wrong, simply human failure to find or understand it can diminish the value of it (Kirk, 1952), therefore, it becomes c</w:t>
      </w:r>
      <w:r w:rsidR="00AF27D4">
        <w:rPr>
          <w:rFonts w:ascii="Arial" w:eastAsia="Times New Roman" w:hAnsi="Arial" w:cs="Arial"/>
          <w:color w:val="000000"/>
          <w:sz w:val="24"/>
          <w:szCs w:val="24"/>
        </w:rPr>
        <w:t>lear as to why the "Golden Hour"</w:t>
      </w:r>
      <w:r w:rsidRPr="008F6EFE">
        <w:rPr>
          <w:rFonts w:ascii="Arial" w:eastAsia="Times New Roman" w:hAnsi="Arial" w:cs="Arial"/>
          <w:color w:val="000000"/>
          <w:sz w:val="24"/>
          <w:szCs w:val="24"/>
        </w:rPr>
        <w:t xml:space="preserve"> is important and a major priority for the FAO to secure the scene.</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AF27D4" w:rsidP="008F6EFE">
      <w:pPr>
        <w:spacing w:after="0" w:line="480" w:lineRule="auto"/>
        <w:rPr>
          <w:rFonts w:ascii="Times New Roman" w:eastAsia="Times New Roman" w:hAnsi="Times New Roman" w:cs="Times New Roman"/>
          <w:sz w:val="24"/>
          <w:szCs w:val="24"/>
        </w:rPr>
      </w:pPr>
      <w:r>
        <w:rPr>
          <w:rFonts w:ascii="Arial" w:eastAsia="Times New Roman" w:hAnsi="Arial" w:cs="Arial"/>
          <w:color w:val="000000"/>
          <w:sz w:val="24"/>
          <w:szCs w:val="24"/>
        </w:rPr>
        <w:t>The procedures and actions or "control measures"</w:t>
      </w:r>
      <w:r w:rsidR="008F6EFE" w:rsidRPr="008F6EFE">
        <w:rPr>
          <w:rFonts w:ascii="Arial" w:eastAsia="Times New Roman" w:hAnsi="Arial" w:cs="Arial"/>
          <w:color w:val="000000"/>
          <w:sz w:val="24"/>
          <w:szCs w:val="24"/>
        </w:rPr>
        <w:t xml:space="preserve"> taken by the FAO to reduce the possibility of cross contamination are quite extensive, with ENSFI (2012) stating that one the first scene management actions should be to establish a cordon and lock down the crime scene with an inner, outer, and potentially a traffic cordon should the area be large enough to require diversions. The College of Policing (2019) highlights the importance and purpose of cordons when they state they help control sightseers, protect the public and preserve the scene from any potential interference with the </w:t>
      </w:r>
      <w:r w:rsidR="008F6EFE" w:rsidRPr="008F6EFE">
        <w:rPr>
          <w:rFonts w:ascii="Arial" w:eastAsia="Times New Roman" w:hAnsi="Arial" w:cs="Arial"/>
          <w:color w:val="000000"/>
          <w:sz w:val="24"/>
          <w:szCs w:val="24"/>
        </w:rPr>
        <w:lastRenderedPageBreak/>
        <w:t xml:space="preserve">forensic evidence. Furthermore, </w:t>
      </w:r>
      <w:proofErr w:type="spellStart"/>
      <w:r w:rsidR="008F6EFE" w:rsidRPr="008F6EFE">
        <w:rPr>
          <w:rFonts w:ascii="Arial" w:eastAsia="Times New Roman" w:hAnsi="Arial" w:cs="Arial"/>
          <w:color w:val="000000"/>
          <w:sz w:val="24"/>
          <w:szCs w:val="24"/>
        </w:rPr>
        <w:t>Gehl</w:t>
      </w:r>
      <w:proofErr w:type="spellEnd"/>
      <w:r w:rsidR="008F6EFE" w:rsidRPr="008F6EFE">
        <w:rPr>
          <w:rFonts w:ascii="Arial" w:eastAsia="Times New Roman" w:hAnsi="Arial" w:cs="Arial"/>
          <w:color w:val="000000"/>
          <w:sz w:val="24"/>
          <w:szCs w:val="24"/>
        </w:rPr>
        <w:t xml:space="preserve"> and </w:t>
      </w:r>
      <w:proofErr w:type="spellStart"/>
      <w:r w:rsidR="008F6EFE" w:rsidRPr="008F6EFE">
        <w:rPr>
          <w:rFonts w:ascii="Arial" w:eastAsia="Times New Roman" w:hAnsi="Arial" w:cs="Arial"/>
          <w:color w:val="000000"/>
          <w:sz w:val="24"/>
          <w:szCs w:val="24"/>
        </w:rPr>
        <w:t>Plecas</w:t>
      </w:r>
      <w:proofErr w:type="spellEnd"/>
      <w:r w:rsidR="008F6EFE" w:rsidRPr="008F6EFE">
        <w:rPr>
          <w:rFonts w:ascii="Arial" w:eastAsia="Times New Roman" w:hAnsi="Arial" w:cs="Arial"/>
          <w:color w:val="000000"/>
          <w:sz w:val="24"/>
          <w:szCs w:val="24"/>
        </w:rPr>
        <w:t xml:space="preserve"> (2016) state that note taking in the form of sketches, and most importantly the creation and maintenance of a crime scene log is crucial for when the continuity of evidence may be brought into question at a later date or when information is handed over to the CID and CSI’s. ENSFI (2012) argues that it is the responsibility of all attending personnel as well as the FAO to guarantee their actions do not in any way comprise the recovery of forensic evidence, therefore, adherence to the crime scene log as well as the mandatory requirement of personal protective equipment - PPE - is crucial, even in the form of basic gloves for the first attending officer of any rank, as well as them being responsible for enforcing the same or higher standards even for senior officers attempting to enter the scene.</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ENSFI (2012) states that following the securing of the scene by the FAO, sometimes onlookers may still be present and offer assistance to the FAO in the form of stating or identifying other witnesses, relatives or contacts of the victim, or identify suspects if they are still present at the scene, furthermore, </w:t>
      </w:r>
      <w:proofErr w:type="spellStart"/>
      <w:r w:rsidRPr="008F6EFE">
        <w:rPr>
          <w:rFonts w:ascii="Arial" w:eastAsia="Times New Roman" w:hAnsi="Arial" w:cs="Arial"/>
          <w:color w:val="000000"/>
          <w:sz w:val="24"/>
          <w:szCs w:val="24"/>
        </w:rPr>
        <w:t>Gehl</w:t>
      </w:r>
      <w:proofErr w:type="spellEnd"/>
      <w:r w:rsidRPr="008F6EFE">
        <w:rPr>
          <w:rFonts w:ascii="Arial" w:eastAsia="Times New Roman" w:hAnsi="Arial" w:cs="Arial"/>
          <w:color w:val="000000"/>
          <w:sz w:val="24"/>
          <w:szCs w:val="24"/>
        </w:rPr>
        <w:t xml:space="preserve"> and </w:t>
      </w:r>
      <w:proofErr w:type="spellStart"/>
      <w:r w:rsidRPr="008F6EFE">
        <w:rPr>
          <w:rFonts w:ascii="Arial" w:eastAsia="Times New Roman" w:hAnsi="Arial" w:cs="Arial"/>
          <w:color w:val="000000"/>
          <w:sz w:val="24"/>
          <w:szCs w:val="24"/>
        </w:rPr>
        <w:t>Plecas</w:t>
      </w:r>
      <w:proofErr w:type="spellEnd"/>
      <w:r w:rsidRPr="008F6EFE">
        <w:rPr>
          <w:rFonts w:ascii="Arial" w:eastAsia="Times New Roman" w:hAnsi="Arial" w:cs="Arial"/>
          <w:color w:val="000000"/>
          <w:sz w:val="24"/>
          <w:szCs w:val="24"/>
        </w:rPr>
        <w:t xml:space="preserve"> (2016) state that</w:t>
      </w:r>
      <w:r w:rsidR="007240E4">
        <w:rPr>
          <w:rFonts w:ascii="Arial" w:eastAsia="Times New Roman" w:hAnsi="Arial" w:cs="Arial"/>
          <w:color w:val="000000"/>
          <w:sz w:val="24"/>
          <w:szCs w:val="24"/>
        </w:rPr>
        <w:t xml:space="preserve"> it is the role of the FAO to </w:t>
      </w:r>
      <w:r w:rsidRPr="008F6EFE">
        <w:rPr>
          <w:rFonts w:ascii="Arial" w:eastAsia="Times New Roman" w:hAnsi="Arial" w:cs="Arial"/>
          <w:color w:val="000000"/>
          <w:sz w:val="24"/>
          <w:szCs w:val="24"/>
        </w:rPr>
        <w:t>paint a picture and preserve as much detail as possible, with the possibility of locating victims, suspects, witnesses and obtaining any local CCTV or witness camera footage being of great help to establish what happened at the scene of the crime. </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The College of Policing (2016) notes that important considerations for FAO include: Victims - identify, support and sensitively preserve evidence - Crime Scene - identify, preserve and carry out scene log - Suspects - identify, arrest, preserve potential evidence - Witnesses - similar to victims in that they should be identified, supported </w:t>
      </w:r>
      <w:r w:rsidRPr="008F6EFE">
        <w:rPr>
          <w:rFonts w:ascii="Arial" w:eastAsia="Times New Roman" w:hAnsi="Arial" w:cs="Arial"/>
          <w:color w:val="000000"/>
          <w:sz w:val="24"/>
          <w:szCs w:val="24"/>
        </w:rPr>
        <w:lastRenderedPageBreak/>
        <w:t>and sensitively have evidence preserved - Log - including any decisions backed by rationale at the time, can include thought process behind active and ongoing risk assessments, as well as identify resources, circumstances and conditions such as weather that may inform decisions - Family / Community - identify and inform as well as potentially identify any primary support required, such as referrals for assistance - Physical Evidence - preservation of evidence at risk of exposure, identify important factors such as escape routes or any local CCTV being present and potentially be of assistance - Intelligence - identify assets for what they are, prioritise and maximise focus on those assets and consider sources of information from the community or remaining onlookers as they can easily be a help or hindrance - Prevent Contamination - safeguard of victims, scene itself, witnesses and suspects are paramount - Line of Responsibility - identify, inform, brief and coordinate actions with other officers at the scene and regularly regroup to review current process and ascertain if more officers, resources or assistance is needed from the control room (College of Policing, 2016).</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The importance of all these actions are demonstrated by Metropolitan Police (2019) when they state the actions of the FAO are invaluable, as the early fast track actions to secure evidence and prevent cross contamination lay the groundwork for investigations and assist in establishing basic and non-forensic facts that will later inform the more detailed aspects of the investigative process. Simple information such as date, time and location, as well as general description of the scene alongside identifying who is present and why, along with any important details such as points of entry or exit, any injuries present for any suspects, victims or witnesses, as well as basic description of potential evidence, descriptions include what the </w:t>
      </w:r>
      <w:r w:rsidRPr="008F6EFE">
        <w:rPr>
          <w:rFonts w:ascii="Arial" w:eastAsia="Times New Roman" w:hAnsi="Arial" w:cs="Arial"/>
          <w:color w:val="000000"/>
          <w:sz w:val="24"/>
          <w:szCs w:val="24"/>
        </w:rPr>
        <w:lastRenderedPageBreak/>
        <w:t>evidence may be and where it was located or found, all assist with the investigation (Metropolitan Police, 2019).</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Although the methods of cross contamination prevention as well as the role of FAO has been established, the reasoning behind such actions as well as the importance of why the procedures are used can be found when looking at historic and famous cases that have failed either at an investigative outcome or at court, and resulted in the measures that are used by the police today to be far stricter. Essex Police (2020) comments that serious mistakes at the crime scene of the death of </w:t>
      </w:r>
      <w:r w:rsidR="001E45E8">
        <w:rPr>
          <w:rFonts w:ascii="Arial" w:eastAsia="Times New Roman" w:hAnsi="Arial" w:cs="Arial"/>
          <w:color w:val="000000"/>
          <w:sz w:val="24"/>
          <w:szCs w:val="24"/>
        </w:rPr>
        <w:t xml:space="preserve">Mr </w:t>
      </w:r>
      <w:r w:rsidRPr="008F6EFE">
        <w:rPr>
          <w:rFonts w:ascii="Arial" w:eastAsia="Times New Roman" w:hAnsi="Arial" w:cs="Arial"/>
          <w:color w:val="000000"/>
          <w:sz w:val="24"/>
          <w:szCs w:val="24"/>
        </w:rPr>
        <w:t>Stuart Lubbock were made, first of all conside</w:t>
      </w:r>
      <w:r w:rsidR="001E45E8">
        <w:rPr>
          <w:rFonts w:ascii="Arial" w:eastAsia="Times New Roman" w:hAnsi="Arial" w:cs="Arial"/>
          <w:color w:val="000000"/>
          <w:sz w:val="24"/>
          <w:szCs w:val="24"/>
        </w:rPr>
        <w:t>ring the death of the victim</w:t>
      </w:r>
      <w:r w:rsidRPr="008F6EFE">
        <w:rPr>
          <w:rFonts w:ascii="Arial" w:eastAsia="Times New Roman" w:hAnsi="Arial" w:cs="Arial"/>
          <w:color w:val="000000"/>
          <w:sz w:val="24"/>
          <w:szCs w:val="24"/>
        </w:rPr>
        <w:t xml:space="preserve"> as initially non-suspicious and simply an accident, and then later allowing guests who were at the actual party, as well as guests who were not supposedly there, to come and go from the crime scene premise as and when they pleased, a situation the force believes resulted in key items of forensic interest disappearing and other remaining items being compromised due to a lack of continuity and therefore being permanently lost as an asset for the investigation. Following a post-mortem examination, Essex Police (2020) found that the victim suffered what was described as “horrific anal injuries” which occurred as a result of a serious sexual assault prior to the victim’s death, with vital information and forensic evidence being lost as the FAO and the investigation team present at the scene of the crime, did not carry out their duties as extensively as they arguably should have, resulting in the rape and murder still being unsolved, despite taking place over 19 years ago (Essex Police,</w:t>
      </w:r>
      <w:r w:rsidR="001E45E8">
        <w:rPr>
          <w:rFonts w:ascii="Arial" w:eastAsia="Times New Roman" w:hAnsi="Arial" w:cs="Arial"/>
          <w:color w:val="000000"/>
          <w:sz w:val="24"/>
          <w:szCs w:val="24"/>
        </w:rPr>
        <w:t xml:space="preserve"> 2020). The awful case of Mr</w:t>
      </w:r>
      <w:r w:rsidRPr="008F6EFE">
        <w:rPr>
          <w:rFonts w:ascii="Arial" w:eastAsia="Times New Roman" w:hAnsi="Arial" w:cs="Arial"/>
          <w:color w:val="000000"/>
          <w:sz w:val="24"/>
          <w:szCs w:val="24"/>
        </w:rPr>
        <w:t xml:space="preserve"> Lubbock and the subsequent investigative errors demonstrate clearly why processes and procedures adopted by the FAO are vital in preventing and reducing the possibilities of cross contamination.</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Although many actions are taken by the FAO to prevent cross contamination, the Forensic Science Regulator (2015) notes that complications may arise that deter or reduce such efforts. For example, the regulator (Forensic Science Regulator, 2015) notes that a FAO will not be equipped to wear adequate PPE such as the usual full suit, gloves, masks and overshoes, as expected for the CSI, with the</w:t>
      </w:r>
      <w:r w:rsidR="001E330F">
        <w:rPr>
          <w:rFonts w:ascii="Arial" w:eastAsia="Times New Roman" w:hAnsi="Arial" w:cs="Arial"/>
          <w:color w:val="000000"/>
          <w:sz w:val="24"/>
          <w:szCs w:val="24"/>
        </w:rPr>
        <w:t xml:space="preserve"> only likelihood being the F</w:t>
      </w:r>
      <w:r w:rsidRPr="008F6EFE">
        <w:rPr>
          <w:rFonts w:ascii="Arial" w:eastAsia="Times New Roman" w:hAnsi="Arial" w:cs="Arial"/>
          <w:color w:val="000000"/>
          <w:sz w:val="24"/>
          <w:szCs w:val="24"/>
        </w:rPr>
        <w:t>AO possibly possessing gloves, and at a greater push, maybe a mask but this is still not adequate enough to prevent contamination, with similar issues seen for medical personnel as they would also not have full PPE required to prevent contamination. Additionally, the UNODC (2009) note that complications such as weather conditions can provide issues for FAO’s with regards to preserving evidence, as evidence outside may be lost due to the downfall of rain or snow, potentially losing vital information such as blood for DNA or objects and impressions potentially losing evidential potency or general markings that may assist in an investigation (UNODC, 2009).</w:t>
      </w:r>
    </w:p>
    <w:p w:rsidR="008F6EFE" w:rsidRPr="008F6EFE" w:rsidRDefault="008F6EFE" w:rsidP="008F6EFE">
      <w:pPr>
        <w:spacing w:after="0" w:line="480" w:lineRule="auto"/>
        <w:rPr>
          <w:rFonts w:ascii="Times New Roman" w:eastAsia="Times New Roman" w:hAnsi="Times New Roman" w:cs="Times New Roman"/>
          <w:sz w:val="24"/>
          <w:szCs w:val="24"/>
        </w:rPr>
      </w:pPr>
    </w:p>
    <w:p w:rsidR="00761B15" w:rsidRDefault="008F6EFE" w:rsidP="008F6EFE">
      <w:pPr>
        <w:spacing w:after="0" w:line="480" w:lineRule="auto"/>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Furthermore, in incidents such as terror attacks similar to the Manchester Arena Bombing or the more recent London Bridge incident where a suspect was shot for wearing a fake suicide vest, the first attending officers may be armed response and not routine or forensic specialists, therefore, the priorities of these officers are towards the preservation of life or to stop a terrorist, as opposed to the preservation of evidence, meaning first aid may first be given without PPE, or other procedures in mind, rendering the prospect and probability of cross contamination being incredibly high. However, overall the procedures in place to minimise the loss of forensic evidence and the actions taken by the FAO are clearly designed to be </w:t>
      </w:r>
      <w:r w:rsidRPr="008F6EFE">
        <w:rPr>
          <w:rFonts w:ascii="Arial" w:eastAsia="Times New Roman" w:hAnsi="Arial" w:cs="Arial"/>
          <w:color w:val="000000"/>
          <w:sz w:val="24"/>
          <w:szCs w:val="24"/>
        </w:rPr>
        <w:lastRenderedPageBreak/>
        <w:t>simultaneously the most practical, as well as the most considerate with regards to respect for the investigative process, therefore, the processes and procedures when carried out correctly seem entirely justified when considering their effectiveness in a successful criminal trial at court.</w:t>
      </w:r>
    </w:p>
    <w:p w:rsidR="00761B15" w:rsidRDefault="00761B15">
      <w:pPr>
        <w:rPr>
          <w:rFonts w:ascii="Arial" w:eastAsia="Times New Roman" w:hAnsi="Arial" w:cs="Arial"/>
          <w:color w:val="000000"/>
          <w:sz w:val="24"/>
          <w:szCs w:val="24"/>
        </w:rPr>
      </w:pPr>
      <w:r>
        <w:rPr>
          <w:rFonts w:ascii="Arial" w:eastAsia="Times New Roman" w:hAnsi="Arial" w:cs="Arial"/>
          <w:color w:val="000000"/>
          <w:sz w:val="24"/>
          <w:szCs w:val="24"/>
        </w:rPr>
        <w:br w:type="page"/>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D66653" w:rsidP="008F6EFE">
      <w:pPr>
        <w:spacing w:after="0" w:line="240" w:lineRule="auto"/>
        <w:rPr>
          <w:rFonts w:ascii="Times New Roman" w:eastAsia="Times New Roman" w:hAnsi="Times New Roman" w:cs="Times New Roman"/>
          <w:sz w:val="24"/>
          <w:szCs w:val="24"/>
        </w:rPr>
      </w:pPr>
      <w:r w:rsidRPr="00D66653">
        <w:rPr>
          <w:rFonts w:ascii="Times New Roman" w:eastAsia="Times New Roman" w:hAnsi="Times New Roman" w:cs="Times New Roman"/>
          <w:sz w:val="24"/>
          <w:szCs w:val="24"/>
        </w:rPr>
        <w:pict>
          <v:rect id="_x0000_i1026" style="width:0;height:1.5pt" o:hralign="center" o:hrstd="t" o:hr="t" fillcolor="#a0a0a0" stroked="f"/>
        </w:pict>
      </w:r>
    </w:p>
    <w:p w:rsidR="008F6EFE" w:rsidRDefault="008F6EFE">
      <w:pPr>
        <w:rPr>
          <w:rFonts w:ascii="Arial" w:hAnsi="Arial" w:cs="Arial"/>
          <w:color w:val="000000"/>
          <w:sz w:val="24"/>
          <w:szCs w:val="24"/>
        </w:rPr>
      </w:pPr>
    </w:p>
    <w:p w:rsidR="008F6EFE" w:rsidRPr="00761B15" w:rsidRDefault="008F6EFE" w:rsidP="008F6EFE">
      <w:pPr>
        <w:spacing w:line="480" w:lineRule="auto"/>
        <w:rPr>
          <w:rFonts w:ascii="Arial" w:hAnsi="Arial" w:cs="Arial"/>
          <w:b/>
          <w:color w:val="000000"/>
          <w:sz w:val="24"/>
          <w:szCs w:val="24"/>
        </w:rPr>
      </w:pPr>
      <w:r w:rsidRPr="00761B15">
        <w:rPr>
          <w:rFonts w:ascii="Arial" w:hAnsi="Arial" w:cs="Arial"/>
          <w:b/>
          <w:color w:val="000000"/>
          <w:sz w:val="24"/>
          <w:szCs w:val="24"/>
        </w:rPr>
        <w:t>Part B. Critically Analyse the Methods in Practice for the Recovery and Examination of Forensic Evidence at Crime Scenes, Evaluating the Legislation, Strategies, Policies and Procedures with Regard to Forensic Recovery and Examination.</w:t>
      </w:r>
    </w:p>
    <w:p w:rsidR="008F6EFE" w:rsidRPr="008F6EFE" w:rsidRDefault="00D66653" w:rsidP="008F6EFE">
      <w:pPr>
        <w:spacing w:after="0" w:line="240" w:lineRule="auto"/>
        <w:rPr>
          <w:rFonts w:ascii="Times New Roman" w:eastAsia="Times New Roman" w:hAnsi="Times New Roman" w:cs="Times New Roman"/>
          <w:sz w:val="24"/>
          <w:szCs w:val="24"/>
        </w:rPr>
      </w:pPr>
      <w:r w:rsidRPr="00D66653">
        <w:rPr>
          <w:rFonts w:ascii="Times New Roman" w:eastAsia="Times New Roman" w:hAnsi="Times New Roman" w:cs="Times New Roman"/>
          <w:sz w:val="24"/>
          <w:szCs w:val="24"/>
        </w:rPr>
        <w:pict>
          <v:rect id="_x0000_i1027" style="width:0;height:1.5pt" o:hralign="center" o:hrstd="t" o:hr="t" fillcolor="#a0a0a0" stroked="f"/>
        </w:pict>
      </w:r>
    </w:p>
    <w:p w:rsidR="008F6EFE" w:rsidRDefault="008F6EFE">
      <w:pPr>
        <w:rPr>
          <w:rFonts w:ascii="Arial" w:hAnsi="Arial" w:cs="Arial"/>
          <w:color w:val="000000"/>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The College of Policing (2017) state that carrying out a forensic analysis and investigating a crime scene can provide evidence of the following: that a crime has been committed, a suspect was either present or not present, establish identities of victims, suspects or witnesses, corroborate or disprove witness accounts, as well as interpret the scene at which events transpired and potentially link two separate scenes together. Furthermore, with regards to the recovery and examination of forensic evidence at crime scenes, the police use a variety of methods to carefully extract delicate information from a variety of sources, including the way in which evidence is packaged. </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The Forensic Science Regulator (2015) highlights the importance of proper evidence handling and collection when they state consumable resources such as tamper evident containers and swabs, or any form of evidential packaging should be considered as single-use commodities to prevent any possibility of cross contamination, a factor famously made known by </w:t>
      </w:r>
      <w:proofErr w:type="spellStart"/>
      <w:r w:rsidRPr="008F6EFE">
        <w:rPr>
          <w:rFonts w:ascii="Arial" w:eastAsia="Times New Roman" w:hAnsi="Arial" w:cs="Arial"/>
          <w:color w:val="000000"/>
          <w:sz w:val="24"/>
          <w:szCs w:val="24"/>
        </w:rPr>
        <w:t>Locard’s</w:t>
      </w:r>
      <w:proofErr w:type="spellEnd"/>
      <w:r w:rsidRPr="008F6EFE">
        <w:rPr>
          <w:rFonts w:ascii="Arial" w:eastAsia="Times New Roman" w:hAnsi="Arial" w:cs="Arial"/>
          <w:color w:val="000000"/>
          <w:sz w:val="24"/>
          <w:szCs w:val="24"/>
        </w:rPr>
        <w:t xml:space="preserve"> principle of exchange (Fowler and </w:t>
      </w:r>
      <w:proofErr w:type="spellStart"/>
      <w:r w:rsidRPr="008F6EFE">
        <w:rPr>
          <w:rFonts w:ascii="Arial" w:eastAsia="Times New Roman" w:hAnsi="Arial" w:cs="Arial"/>
          <w:color w:val="000000"/>
          <w:sz w:val="24"/>
          <w:szCs w:val="24"/>
        </w:rPr>
        <w:t>Horswell</w:t>
      </w:r>
      <w:proofErr w:type="spellEnd"/>
      <w:r w:rsidRPr="008F6EFE">
        <w:rPr>
          <w:rFonts w:ascii="Arial" w:eastAsia="Times New Roman" w:hAnsi="Arial" w:cs="Arial"/>
          <w:color w:val="000000"/>
          <w:sz w:val="24"/>
          <w:szCs w:val="24"/>
        </w:rPr>
        <w:t xml:space="preserve">, 2004). To combat this, ENFSI (2012) state that any recovered material should be packaged at the earliest opportunity and handled as little as </w:t>
      </w:r>
      <w:r w:rsidRPr="008F6EFE">
        <w:rPr>
          <w:rFonts w:ascii="Arial" w:eastAsia="Times New Roman" w:hAnsi="Arial" w:cs="Arial"/>
          <w:color w:val="000000"/>
          <w:sz w:val="24"/>
          <w:szCs w:val="24"/>
        </w:rPr>
        <w:lastRenderedPageBreak/>
        <w:t xml:space="preserve">possible, with the avoidance of placing evidence on surfaces, clothing or any individuals that may be involved with the incident, to prevent what’s known as </w:t>
      </w:r>
      <w:r w:rsidR="00AF27D4">
        <w:rPr>
          <w:rFonts w:ascii="Arial" w:eastAsia="Times New Roman" w:hAnsi="Arial" w:cs="Arial"/>
          <w:color w:val="000000"/>
          <w:sz w:val="24"/>
          <w:szCs w:val="24"/>
        </w:rPr>
        <w:t>"</w:t>
      </w:r>
      <w:r w:rsidRPr="008F6EFE">
        <w:rPr>
          <w:rFonts w:ascii="Arial" w:eastAsia="Times New Roman" w:hAnsi="Arial" w:cs="Arial"/>
          <w:color w:val="000000"/>
          <w:sz w:val="24"/>
          <w:szCs w:val="24"/>
        </w:rPr>
        <w:t>secondary transfer</w:t>
      </w:r>
      <w:r w:rsidR="00AF27D4">
        <w:rPr>
          <w:rFonts w:ascii="Arial" w:eastAsia="Times New Roman" w:hAnsi="Arial" w:cs="Arial"/>
          <w:color w:val="000000"/>
          <w:sz w:val="24"/>
          <w:szCs w:val="24"/>
        </w:rPr>
        <w:t>"</w:t>
      </w:r>
      <w:r w:rsidRPr="008F6EFE">
        <w:rPr>
          <w:rFonts w:ascii="Arial" w:eastAsia="Times New Roman" w:hAnsi="Arial" w:cs="Arial"/>
          <w:color w:val="000000"/>
          <w:sz w:val="24"/>
          <w:szCs w:val="24"/>
        </w:rPr>
        <w:t xml:space="preserve"> (ENFSI, 2012). ENFSI (2012) continue and state that evidence after recovery must be protected from both alteration and interference as well as the possibility of the previously mentioned cross contamination but also any material degradation as a result of poor packaging or any other inappropriate actions. Additionally, the regulator (Forensic Science Regulator, 2015) comments that credibility of such evidence when under these conditions are supported by the need of constant protection in containers when transporting material, as well as being held in safe location when housed, and is further illustrated by their packaged designed nature, such as a tamper proof seals on the evidential bags that prevent discreet openings of evidence, as a new bag with dates and information is required after every evidential examination due to the bag being unable to </w:t>
      </w:r>
      <w:proofErr w:type="spellStart"/>
      <w:r w:rsidRPr="008F6EFE">
        <w:rPr>
          <w:rFonts w:ascii="Arial" w:eastAsia="Times New Roman" w:hAnsi="Arial" w:cs="Arial"/>
          <w:color w:val="000000"/>
          <w:sz w:val="24"/>
          <w:szCs w:val="24"/>
        </w:rPr>
        <w:t>reseal</w:t>
      </w:r>
      <w:proofErr w:type="spellEnd"/>
      <w:r w:rsidRPr="008F6EFE">
        <w:rPr>
          <w:rFonts w:ascii="Arial" w:eastAsia="Times New Roman" w:hAnsi="Arial" w:cs="Arial"/>
          <w:color w:val="000000"/>
          <w:sz w:val="24"/>
          <w:szCs w:val="24"/>
        </w:rPr>
        <w:t xml:space="preserve"> itself, therefore, the procedure ensures clear continuity of evidence throughout the exhibit’s investigative experience. </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When analysing a crime scene </w:t>
      </w:r>
      <w:r w:rsidR="00FF6019">
        <w:rPr>
          <w:rFonts w:ascii="Arial" w:eastAsia="Times New Roman" w:hAnsi="Arial" w:cs="Arial"/>
          <w:color w:val="000000"/>
          <w:sz w:val="24"/>
          <w:szCs w:val="24"/>
        </w:rPr>
        <w:t xml:space="preserve">in full PPE </w:t>
      </w:r>
      <w:r w:rsidRPr="008F6EFE">
        <w:rPr>
          <w:rFonts w:ascii="Arial" w:eastAsia="Times New Roman" w:hAnsi="Arial" w:cs="Arial"/>
          <w:color w:val="000000"/>
          <w:sz w:val="24"/>
          <w:szCs w:val="24"/>
        </w:rPr>
        <w:t>there are various considerations for the scene investigators with regards to evidential catego</w:t>
      </w:r>
      <w:r w:rsidR="00AF27D4">
        <w:rPr>
          <w:rFonts w:ascii="Arial" w:eastAsia="Times New Roman" w:hAnsi="Arial" w:cs="Arial"/>
          <w:color w:val="000000"/>
          <w:sz w:val="24"/>
          <w:szCs w:val="24"/>
        </w:rPr>
        <w:t>ries. UNODC (2009) states that "</w:t>
      </w:r>
      <w:r w:rsidR="008F4F3A">
        <w:rPr>
          <w:rFonts w:ascii="Arial" w:eastAsia="Times New Roman" w:hAnsi="Arial" w:cs="Arial"/>
          <w:color w:val="000000"/>
          <w:sz w:val="24"/>
          <w:szCs w:val="24"/>
        </w:rPr>
        <w:t>Physical E</w:t>
      </w:r>
      <w:r w:rsidR="00AF27D4">
        <w:rPr>
          <w:rFonts w:ascii="Arial" w:eastAsia="Times New Roman" w:hAnsi="Arial" w:cs="Arial"/>
          <w:color w:val="000000"/>
          <w:sz w:val="24"/>
          <w:szCs w:val="24"/>
        </w:rPr>
        <w:t>vidence"</w:t>
      </w:r>
      <w:r w:rsidRPr="008F6EFE">
        <w:rPr>
          <w:rFonts w:ascii="Arial" w:eastAsia="Times New Roman" w:hAnsi="Arial" w:cs="Arial"/>
          <w:color w:val="000000"/>
          <w:sz w:val="24"/>
          <w:szCs w:val="24"/>
        </w:rPr>
        <w:t xml:space="preserve"> can be any object ranging from microscopic to huge that is considered or suspected to be linked to a scene of a crime with this category of evidence including aspects such as: objects, body materials, and impressions. UNODC (2009) continues and notes that the use of physical evidence is often for identification or for a comparison with other materials which can evolve as an investigation progresses as being classified as either conclusive or corroborative evidence, should it match or contradict either the defence or prosecution’s theory </w:t>
      </w:r>
      <w:r w:rsidRPr="008F6EFE">
        <w:rPr>
          <w:rFonts w:ascii="Arial" w:eastAsia="Times New Roman" w:hAnsi="Arial" w:cs="Arial"/>
          <w:color w:val="000000"/>
          <w:sz w:val="24"/>
          <w:szCs w:val="24"/>
        </w:rPr>
        <w:lastRenderedPageBreak/>
        <w:t>and version of events. As previously stated, the handling of these evidentiary exhibits are vital to be admissible in court as evidence can be lost if the continuity or chain-of-custody is lost or not effectively maintained (Forensic Science Regulator, 2015).</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Additionally, another category of evidence that investigators retrieve from crime scenes and examine is referr</w:t>
      </w:r>
      <w:r w:rsidR="00AF27D4">
        <w:rPr>
          <w:rFonts w:ascii="Arial" w:eastAsia="Times New Roman" w:hAnsi="Arial" w:cs="Arial"/>
          <w:color w:val="000000"/>
          <w:sz w:val="24"/>
          <w:szCs w:val="24"/>
        </w:rPr>
        <w:t>ed to as "Trace Evidence"</w:t>
      </w:r>
      <w:r w:rsidRPr="008F6EFE">
        <w:rPr>
          <w:rFonts w:ascii="Arial" w:eastAsia="Times New Roman" w:hAnsi="Arial" w:cs="Arial"/>
          <w:color w:val="000000"/>
          <w:sz w:val="24"/>
          <w:szCs w:val="24"/>
        </w:rPr>
        <w:t xml:space="preserve">. Forensics Library (2019) states that </w:t>
      </w:r>
      <w:proofErr w:type="spellStart"/>
      <w:r w:rsidRPr="008F6EFE">
        <w:rPr>
          <w:rFonts w:ascii="Arial" w:eastAsia="Times New Roman" w:hAnsi="Arial" w:cs="Arial"/>
          <w:color w:val="000000"/>
          <w:sz w:val="24"/>
          <w:szCs w:val="24"/>
        </w:rPr>
        <w:t>Locard’s</w:t>
      </w:r>
      <w:proofErr w:type="spellEnd"/>
      <w:r w:rsidRPr="008F6EFE">
        <w:rPr>
          <w:rFonts w:ascii="Arial" w:eastAsia="Times New Roman" w:hAnsi="Arial" w:cs="Arial"/>
          <w:color w:val="000000"/>
          <w:sz w:val="24"/>
          <w:szCs w:val="24"/>
        </w:rPr>
        <w:t xml:space="preserve"> principle of exchange is best demonstrated when it comes to trace evidence as this type of evidence is often gathered after a perpetrator unconsciously comes into contact with different surfaces or fibres that may either leave behind traces or pick up traces from the particular exhibit they made contact with. Furthermore, Bull (Bull, et al, 2009) and Forensics Library (2019) states that the types of trace evidence are: fibres, glass, hair, paint, and soil, with each type of substance having had experiments carried out on them by Bull (Bull, et al, 2009) to conclude that the retention of each type is largely impacted by four main factors such as: washing, activity, time, and texture</w:t>
      </w:r>
      <w:r w:rsidR="004B6682">
        <w:rPr>
          <w:rFonts w:ascii="Arial" w:eastAsia="Times New Roman" w:hAnsi="Arial" w:cs="Arial"/>
          <w:color w:val="000000"/>
          <w:sz w:val="24"/>
          <w:szCs w:val="24"/>
        </w:rPr>
        <w:t>, making the recovery and examination of exhibits to be required both urgently and as carefully as possible.</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The final method of evidential examination that wi</w:t>
      </w:r>
      <w:r w:rsidR="00D553DB">
        <w:rPr>
          <w:rFonts w:ascii="Arial" w:eastAsia="Times New Roman" w:hAnsi="Arial" w:cs="Arial"/>
          <w:color w:val="000000"/>
          <w:sz w:val="24"/>
          <w:szCs w:val="24"/>
        </w:rPr>
        <w:t>ll be looked at is "Blood" and "Deoxyribonucleic Acid", also known as "DNA"</w:t>
      </w:r>
      <w:r w:rsidRPr="008F6EFE">
        <w:rPr>
          <w:rFonts w:ascii="Arial" w:eastAsia="Times New Roman" w:hAnsi="Arial" w:cs="Arial"/>
          <w:color w:val="000000"/>
          <w:sz w:val="24"/>
          <w:szCs w:val="24"/>
        </w:rPr>
        <w:t xml:space="preserve">. Kunz (Kunz, et al, 2010) states that blood pattern analysis is the process that the police and CSI use to interpret events and provide a theoretical reconstruction of a crime based on the size, position, location and condition of blood located at a particular crime scene. Furthermore, Kunz (Kunz, et al, 2010) states that the visual appearance of blood for example, being an elongated drip or a somewhat thick blob, can give immediate indicators to </w:t>
      </w:r>
      <w:r w:rsidRPr="008F6EFE">
        <w:rPr>
          <w:rFonts w:ascii="Arial" w:eastAsia="Times New Roman" w:hAnsi="Arial" w:cs="Arial"/>
          <w:color w:val="000000"/>
          <w:sz w:val="24"/>
          <w:szCs w:val="24"/>
        </w:rPr>
        <w:lastRenderedPageBreak/>
        <w:t>investigators to establish whether the blood was projected, what type of velocity impact - low, medium or high - as well as any other contact the blood may or may not have had based on the scene itself, with the potential of a large wall of blood having a section with no impact of blood, potentially implying or proving something stopped it from colliding with the wall, possibly a key evidential item or the perpetrator themselves having been covered instead (Kunz, et al, 2010).</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proofErr w:type="spellStart"/>
      <w:r w:rsidRPr="008F6EFE">
        <w:rPr>
          <w:rFonts w:ascii="Arial" w:eastAsia="Times New Roman" w:hAnsi="Arial" w:cs="Arial"/>
          <w:color w:val="000000"/>
          <w:sz w:val="24"/>
          <w:szCs w:val="24"/>
        </w:rPr>
        <w:t>Grine</w:t>
      </w:r>
      <w:proofErr w:type="spellEnd"/>
      <w:r w:rsidRPr="008F6EFE">
        <w:rPr>
          <w:rFonts w:ascii="Arial" w:eastAsia="Times New Roman" w:hAnsi="Arial" w:cs="Arial"/>
          <w:color w:val="000000"/>
          <w:sz w:val="24"/>
          <w:szCs w:val="24"/>
        </w:rPr>
        <w:t xml:space="preserve"> and </w:t>
      </w:r>
      <w:proofErr w:type="spellStart"/>
      <w:r w:rsidRPr="008F6EFE">
        <w:rPr>
          <w:rFonts w:ascii="Arial" w:eastAsia="Times New Roman" w:hAnsi="Arial" w:cs="Arial"/>
          <w:color w:val="000000"/>
          <w:sz w:val="24"/>
          <w:szCs w:val="24"/>
        </w:rPr>
        <w:t>Rackley</w:t>
      </w:r>
      <w:proofErr w:type="spellEnd"/>
      <w:r w:rsidRPr="008F6EFE">
        <w:rPr>
          <w:rFonts w:ascii="Arial" w:eastAsia="Times New Roman" w:hAnsi="Arial" w:cs="Arial"/>
          <w:color w:val="000000"/>
          <w:sz w:val="24"/>
          <w:szCs w:val="24"/>
        </w:rPr>
        <w:t xml:space="preserve"> (2018) discuss how presumptive tests can assist investigators to potentially detect bodily tissue or fluid such as blood, unseen to the human eye </w:t>
      </w:r>
      <w:r w:rsidR="009853DF">
        <w:rPr>
          <w:rFonts w:ascii="Arial" w:eastAsia="Times New Roman" w:hAnsi="Arial" w:cs="Arial"/>
          <w:color w:val="000000"/>
          <w:sz w:val="24"/>
          <w:szCs w:val="24"/>
        </w:rPr>
        <w:t xml:space="preserve">due to the potential use of bleach or other cleaning substances, </w:t>
      </w:r>
      <w:r w:rsidRPr="008F6EFE">
        <w:rPr>
          <w:rFonts w:ascii="Arial" w:eastAsia="Times New Roman" w:hAnsi="Arial" w:cs="Arial"/>
          <w:color w:val="000000"/>
          <w:sz w:val="24"/>
          <w:szCs w:val="24"/>
        </w:rPr>
        <w:t xml:space="preserve">as the tests also enable analysts to decide which forensic tests to do next in an investigation or in what order, as well as prioritise exhibits that show signs of evidence, as opposed to analysing every single exhibit within a specific building of a crime scene. Despite the tests potentially showing signs of </w:t>
      </w:r>
      <w:proofErr w:type="spellStart"/>
      <w:r w:rsidRPr="008F6EFE">
        <w:rPr>
          <w:rFonts w:ascii="Arial" w:eastAsia="Times New Roman" w:hAnsi="Arial" w:cs="Arial"/>
          <w:color w:val="000000"/>
          <w:sz w:val="24"/>
          <w:szCs w:val="24"/>
        </w:rPr>
        <w:t>Luminol</w:t>
      </w:r>
      <w:proofErr w:type="spellEnd"/>
      <w:r w:rsidRPr="008F6EFE">
        <w:rPr>
          <w:rFonts w:ascii="Arial" w:eastAsia="Times New Roman" w:hAnsi="Arial" w:cs="Arial"/>
          <w:color w:val="000000"/>
          <w:sz w:val="24"/>
          <w:szCs w:val="24"/>
        </w:rPr>
        <w:t xml:space="preserve"> which is the substance that often reacts to traces of blood, </w:t>
      </w:r>
      <w:proofErr w:type="spellStart"/>
      <w:r w:rsidRPr="008F6EFE">
        <w:rPr>
          <w:rFonts w:ascii="Arial" w:eastAsia="Times New Roman" w:hAnsi="Arial" w:cs="Arial"/>
          <w:color w:val="000000"/>
          <w:sz w:val="24"/>
          <w:szCs w:val="24"/>
        </w:rPr>
        <w:t>Halkides</w:t>
      </w:r>
      <w:proofErr w:type="spellEnd"/>
      <w:r w:rsidRPr="008F6EFE">
        <w:rPr>
          <w:rFonts w:ascii="Arial" w:eastAsia="Times New Roman" w:hAnsi="Arial" w:cs="Arial"/>
          <w:color w:val="000000"/>
          <w:sz w:val="24"/>
          <w:szCs w:val="24"/>
        </w:rPr>
        <w:t xml:space="preserve"> (2013) states that results </w:t>
      </w:r>
      <w:r w:rsidR="003C1008">
        <w:rPr>
          <w:rFonts w:ascii="Arial" w:eastAsia="Times New Roman" w:hAnsi="Arial" w:cs="Arial"/>
          <w:color w:val="000000"/>
          <w:sz w:val="24"/>
          <w:szCs w:val="24"/>
        </w:rPr>
        <w:t xml:space="preserve">by the forensic recovery team </w:t>
      </w:r>
      <w:r w:rsidRPr="008F6EFE">
        <w:rPr>
          <w:rFonts w:ascii="Arial" w:eastAsia="Times New Roman" w:hAnsi="Arial" w:cs="Arial"/>
          <w:color w:val="000000"/>
          <w:sz w:val="24"/>
          <w:szCs w:val="24"/>
        </w:rPr>
        <w:t xml:space="preserve">should not be reported as a positive test for blood, only </w:t>
      </w:r>
      <w:r w:rsidR="00107FC7">
        <w:rPr>
          <w:rFonts w:ascii="Arial" w:eastAsia="Times New Roman" w:hAnsi="Arial" w:cs="Arial"/>
          <w:color w:val="000000"/>
          <w:sz w:val="24"/>
          <w:szCs w:val="24"/>
        </w:rPr>
        <w:t xml:space="preserve">a </w:t>
      </w:r>
      <w:r w:rsidRPr="008F6EFE">
        <w:rPr>
          <w:rFonts w:ascii="Arial" w:eastAsia="Times New Roman" w:hAnsi="Arial" w:cs="Arial"/>
          <w:color w:val="000000"/>
          <w:sz w:val="24"/>
          <w:szCs w:val="24"/>
        </w:rPr>
        <w:t xml:space="preserve">positive test for </w:t>
      </w:r>
      <w:proofErr w:type="spellStart"/>
      <w:r w:rsidRPr="008F6EFE">
        <w:rPr>
          <w:rFonts w:ascii="Arial" w:eastAsia="Times New Roman" w:hAnsi="Arial" w:cs="Arial"/>
          <w:color w:val="000000"/>
          <w:sz w:val="24"/>
          <w:szCs w:val="24"/>
        </w:rPr>
        <w:t>Luminol</w:t>
      </w:r>
      <w:proofErr w:type="spellEnd"/>
      <w:r w:rsidRPr="008F6EFE">
        <w:rPr>
          <w:rFonts w:ascii="Arial" w:eastAsia="Times New Roman" w:hAnsi="Arial" w:cs="Arial"/>
          <w:color w:val="000000"/>
          <w:sz w:val="24"/>
          <w:szCs w:val="24"/>
        </w:rPr>
        <w:t>, as many cases including the conviction and later exoneration of Amanda Knox prove that evidence provided by the presumptive tests do not always return with evidence of DNA, as other subs</w:t>
      </w:r>
      <w:r w:rsidR="00107FC7">
        <w:rPr>
          <w:rFonts w:ascii="Arial" w:eastAsia="Times New Roman" w:hAnsi="Arial" w:cs="Arial"/>
          <w:color w:val="000000"/>
          <w:sz w:val="24"/>
          <w:szCs w:val="24"/>
        </w:rPr>
        <w:t>tances can trigger the test</w:t>
      </w:r>
      <w:r w:rsidRPr="008F6EFE">
        <w:rPr>
          <w:rFonts w:ascii="Arial" w:eastAsia="Times New Roman" w:hAnsi="Arial" w:cs="Arial"/>
          <w:color w:val="000000"/>
          <w:sz w:val="24"/>
          <w:szCs w:val="24"/>
        </w:rPr>
        <w:t xml:space="preserve"> to find </w:t>
      </w:r>
      <w:proofErr w:type="spellStart"/>
      <w:r w:rsidRPr="008F6EFE">
        <w:rPr>
          <w:rFonts w:ascii="Arial" w:eastAsia="Times New Roman" w:hAnsi="Arial" w:cs="Arial"/>
          <w:color w:val="000000"/>
          <w:sz w:val="24"/>
          <w:szCs w:val="24"/>
        </w:rPr>
        <w:t>Luminol</w:t>
      </w:r>
      <w:proofErr w:type="spellEnd"/>
      <w:r w:rsidRPr="008F6EFE">
        <w:rPr>
          <w:rFonts w:ascii="Arial" w:eastAsia="Times New Roman" w:hAnsi="Arial" w:cs="Arial"/>
          <w:color w:val="000000"/>
          <w:sz w:val="24"/>
          <w:szCs w:val="24"/>
        </w:rPr>
        <w:t>, such as animals blood or similar chemicals, therefore it is not always accurate and should be used as a basic guide before thorough tests are carried out (</w:t>
      </w:r>
      <w:proofErr w:type="spellStart"/>
      <w:r w:rsidRPr="008F6EFE">
        <w:rPr>
          <w:rFonts w:ascii="Arial" w:eastAsia="Times New Roman" w:hAnsi="Arial" w:cs="Arial"/>
          <w:color w:val="000000"/>
          <w:sz w:val="24"/>
          <w:szCs w:val="24"/>
        </w:rPr>
        <w:t>Halkides</w:t>
      </w:r>
      <w:proofErr w:type="spellEnd"/>
      <w:r w:rsidRPr="008F6EFE">
        <w:rPr>
          <w:rFonts w:ascii="Arial" w:eastAsia="Times New Roman" w:hAnsi="Arial" w:cs="Arial"/>
          <w:color w:val="000000"/>
          <w:sz w:val="24"/>
          <w:szCs w:val="24"/>
        </w:rPr>
        <w:t>, 2013 and Injustice Anywhere, 2016).</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RSE (2017) discuss how analysts and forensic scientists when investigating DNA, should independently interpret samples for individual exhibits, before making </w:t>
      </w:r>
      <w:r w:rsidRPr="008F6EFE">
        <w:rPr>
          <w:rFonts w:ascii="Arial" w:eastAsia="Times New Roman" w:hAnsi="Arial" w:cs="Arial"/>
          <w:color w:val="000000"/>
          <w:sz w:val="24"/>
          <w:szCs w:val="24"/>
        </w:rPr>
        <w:lastRenderedPageBreak/>
        <w:t xml:space="preserve">correlations towards a wider picture, with this individual strategy reducing the risk of confirmation bias stated as a possibility by RSE (2017). Following DNA </w:t>
      </w:r>
      <w:r w:rsidR="00ED49A0">
        <w:rPr>
          <w:rFonts w:ascii="Arial" w:eastAsia="Times New Roman" w:hAnsi="Arial" w:cs="Arial"/>
          <w:color w:val="000000"/>
          <w:sz w:val="24"/>
          <w:szCs w:val="24"/>
        </w:rPr>
        <w:t xml:space="preserve">examinations and </w:t>
      </w:r>
      <w:r w:rsidRPr="008F6EFE">
        <w:rPr>
          <w:rFonts w:ascii="Arial" w:eastAsia="Times New Roman" w:hAnsi="Arial" w:cs="Arial"/>
          <w:color w:val="000000"/>
          <w:sz w:val="24"/>
          <w:szCs w:val="24"/>
        </w:rPr>
        <w:t>interpretations being made in isolation, RSE (2017) states that comparisons between multiple sources are made to determine if DNA exhibits are from the same source, or a different source, which in turn can determine the source of an individual's DNA if they are indeed the same</w:t>
      </w:r>
      <w:r w:rsidR="00D977F4">
        <w:rPr>
          <w:rFonts w:ascii="Arial" w:eastAsia="Times New Roman" w:hAnsi="Arial" w:cs="Arial"/>
          <w:color w:val="000000"/>
          <w:sz w:val="24"/>
          <w:szCs w:val="24"/>
        </w:rPr>
        <w:t>.</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Default="008F6EFE" w:rsidP="008F6EFE">
      <w:pPr>
        <w:spacing w:after="0" w:line="480" w:lineRule="auto"/>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RSE (2017) concludes by stating DNA is not an exact science, as match probability despite being relatively low, the organisation states that in cases where DNA may be statistically similar and for example, if a suspect’s DNA has a probability of being found in 20 people across the UK, RSE (2017) states the defence would argue there is therefore a 1 in 20 or a 5% chance the DNA is actually the suspect’s, a statistic too low to be considered conclusive evidence or anything of value, whereas the prosecution would supposedly argue that the statistic implies there is a 1 in 3 million chance that is the suspect is innocent, a number too high and likely to ignore. RSE (2017) therefore states that </w:t>
      </w:r>
      <w:r w:rsidR="00D977F4">
        <w:rPr>
          <w:rFonts w:ascii="Arial" w:eastAsia="Times New Roman" w:hAnsi="Arial" w:cs="Arial"/>
          <w:color w:val="000000"/>
          <w:sz w:val="24"/>
          <w:szCs w:val="24"/>
        </w:rPr>
        <w:t>the recovery and handling of this delicate evidence is important to demonstrate objective facts, and not be misinterpreted from incorrect handling or cross contamination.</w:t>
      </w:r>
    </w:p>
    <w:p w:rsidR="00D977F4" w:rsidRPr="008F6EFE" w:rsidRDefault="00D977F4"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Although entertainment media may portray DNA or associated items suspected to hold DNA to be the holy grail of an investigation, Cole (2013) states that unfortunately in reality DNA isn’t as full proof or crucial to an investigation as it seems. Cole (2013) notes that this misconception on the accuracy of DNA obtained by crime scene investigators may give victims a sense of false hope, as despite the investigators trying to obtain as much evidence as possible, exhibits such as a </w:t>
      </w:r>
      <w:r w:rsidRPr="008F6EFE">
        <w:rPr>
          <w:rFonts w:ascii="Arial" w:eastAsia="Times New Roman" w:hAnsi="Arial" w:cs="Arial"/>
          <w:color w:val="000000"/>
          <w:sz w:val="24"/>
          <w:szCs w:val="24"/>
        </w:rPr>
        <w:lastRenderedPageBreak/>
        <w:t>suspect's saliva only has a DNA match success rate of 40%, although a low success rate, this is an aspect of a trial that might convince a jury if they are told DNA does or does not match a suspect</w:t>
      </w:r>
      <w:r w:rsidR="00D977F4">
        <w:rPr>
          <w:rFonts w:ascii="Arial" w:eastAsia="Times New Roman" w:hAnsi="Arial" w:cs="Arial"/>
          <w:color w:val="000000"/>
          <w:sz w:val="24"/>
          <w:szCs w:val="24"/>
        </w:rPr>
        <w:t>, this further justifies</w:t>
      </w:r>
      <w:r w:rsidR="00ED49A0">
        <w:rPr>
          <w:rFonts w:ascii="Arial" w:eastAsia="Times New Roman" w:hAnsi="Arial" w:cs="Arial"/>
          <w:color w:val="000000"/>
          <w:sz w:val="24"/>
          <w:szCs w:val="24"/>
        </w:rPr>
        <w:t xml:space="preserve"> the </w:t>
      </w:r>
      <w:r w:rsidR="00D977F4">
        <w:rPr>
          <w:rFonts w:ascii="Arial" w:eastAsia="Times New Roman" w:hAnsi="Arial" w:cs="Arial"/>
          <w:color w:val="000000"/>
          <w:sz w:val="24"/>
          <w:szCs w:val="24"/>
        </w:rPr>
        <w:t xml:space="preserve">actions of the </w:t>
      </w:r>
      <w:r w:rsidR="00107FC7">
        <w:rPr>
          <w:rFonts w:ascii="Arial" w:eastAsia="Times New Roman" w:hAnsi="Arial" w:cs="Arial"/>
          <w:color w:val="000000"/>
          <w:sz w:val="24"/>
          <w:szCs w:val="24"/>
        </w:rPr>
        <w:t xml:space="preserve">CID and </w:t>
      </w:r>
      <w:r w:rsidR="00D977F4">
        <w:rPr>
          <w:rFonts w:ascii="Arial" w:eastAsia="Times New Roman" w:hAnsi="Arial" w:cs="Arial"/>
          <w:color w:val="000000"/>
          <w:sz w:val="24"/>
          <w:szCs w:val="24"/>
        </w:rPr>
        <w:t xml:space="preserve">CSI and the </w:t>
      </w:r>
      <w:r w:rsidR="00D443FB">
        <w:rPr>
          <w:rFonts w:ascii="Arial" w:eastAsia="Times New Roman" w:hAnsi="Arial" w:cs="Arial"/>
          <w:color w:val="000000"/>
          <w:sz w:val="24"/>
          <w:szCs w:val="24"/>
        </w:rPr>
        <w:t>need to correctly</w:t>
      </w:r>
      <w:r w:rsidR="00ED49A0">
        <w:rPr>
          <w:rFonts w:ascii="Arial" w:eastAsia="Times New Roman" w:hAnsi="Arial" w:cs="Arial"/>
          <w:color w:val="000000"/>
          <w:sz w:val="24"/>
          <w:szCs w:val="24"/>
        </w:rPr>
        <w:t xml:space="preserve"> extract evidence of all types, and not just DNA</w:t>
      </w:r>
      <w:r w:rsidRPr="008F6EFE">
        <w:rPr>
          <w:rFonts w:ascii="Arial" w:eastAsia="Times New Roman" w:hAnsi="Arial" w:cs="Arial"/>
          <w:color w:val="000000"/>
          <w:sz w:val="24"/>
          <w:szCs w:val="24"/>
        </w:rPr>
        <w:t xml:space="preserve"> (Cole, 2013).</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Pr="008F6EFE" w:rsidRDefault="008F6EFE" w:rsidP="008F6EFE">
      <w:pPr>
        <w:spacing w:after="0" w:line="480" w:lineRule="auto"/>
        <w:rPr>
          <w:rFonts w:ascii="Times New Roman" w:eastAsia="Times New Roman" w:hAnsi="Times New Roman" w:cs="Times New Roman"/>
          <w:sz w:val="24"/>
          <w:szCs w:val="24"/>
        </w:rPr>
      </w:pPr>
      <w:r w:rsidRPr="008F6EFE">
        <w:rPr>
          <w:rFonts w:ascii="Arial" w:eastAsia="Times New Roman" w:hAnsi="Arial" w:cs="Arial"/>
          <w:color w:val="000000"/>
          <w:sz w:val="24"/>
          <w:szCs w:val="24"/>
        </w:rPr>
        <w:t xml:space="preserve">Unfortunately despite procedures, legislation and thorough protocols being placed with regards to the forensic recovery and examination of forensic evidence, investigative errors can occur that may result in prosecutions failing despite having relatively strong evidence to convict, such was the case with OJ Simpson. </w:t>
      </w:r>
      <w:proofErr w:type="spellStart"/>
      <w:r w:rsidRPr="008F6EFE">
        <w:rPr>
          <w:rFonts w:ascii="Arial" w:eastAsia="Times New Roman" w:hAnsi="Arial" w:cs="Arial"/>
          <w:color w:val="000000"/>
          <w:sz w:val="24"/>
          <w:szCs w:val="24"/>
        </w:rPr>
        <w:t>Aizman</w:t>
      </w:r>
      <w:proofErr w:type="spellEnd"/>
      <w:r w:rsidRPr="008F6EFE">
        <w:rPr>
          <w:rFonts w:ascii="Arial" w:eastAsia="Times New Roman" w:hAnsi="Arial" w:cs="Arial"/>
          <w:color w:val="000000"/>
          <w:sz w:val="24"/>
          <w:szCs w:val="24"/>
        </w:rPr>
        <w:t xml:space="preserve"> (2014) states some of the various errors in the case include: no documentation for some evidence, lack of continuity of evidence which prevented large quantities of evidence from being used, evidential neglect as blood was</w:t>
      </w:r>
      <w:r w:rsidR="00D553DB">
        <w:rPr>
          <w:rFonts w:ascii="Arial" w:eastAsia="Times New Roman" w:hAnsi="Arial" w:cs="Arial"/>
          <w:color w:val="000000"/>
          <w:sz w:val="24"/>
          <w:szCs w:val="24"/>
        </w:rPr>
        <w:t xml:space="preserve"> only found on a pair of socks two</w:t>
      </w:r>
      <w:r w:rsidRPr="008F6EFE">
        <w:rPr>
          <w:rFonts w:ascii="Arial" w:eastAsia="Times New Roman" w:hAnsi="Arial" w:cs="Arial"/>
          <w:color w:val="000000"/>
          <w:sz w:val="24"/>
          <w:szCs w:val="24"/>
        </w:rPr>
        <w:t xml:space="preserve"> months after recovery, improperly sealed evidential packages being left in </w:t>
      </w:r>
      <w:r w:rsidR="00D553DB">
        <w:rPr>
          <w:rFonts w:ascii="Arial" w:eastAsia="Times New Roman" w:hAnsi="Arial" w:cs="Arial"/>
          <w:color w:val="000000"/>
          <w:sz w:val="24"/>
          <w:szCs w:val="24"/>
        </w:rPr>
        <w:t xml:space="preserve">a </w:t>
      </w:r>
      <w:r w:rsidRPr="008F6EFE">
        <w:rPr>
          <w:rFonts w:ascii="Arial" w:eastAsia="Times New Roman" w:hAnsi="Arial" w:cs="Arial"/>
          <w:color w:val="000000"/>
          <w:sz w:val="24"/>
          <w:szCs w:val="24"/>
        </w:rPr>
        <w:t>warm van on a hot day, and blood samples placed in an officer’s pocket accidentally being taken back to the crime scene after its removal due to the officer supposedly forgetting he had the vials on him (Associated Press, 2014).</w:t>
      </w:r>
    </w:p>
    <w:p w:rsidR="008F6EFE" w:rsidRPr="008F6EFE" w:rsidRDefault="008F6EFE" w:rsidP="008F6EFE">
      <w:pPr>
        <w:spacing w:after="0" w:line="480" w:lineRule="auto"/>
        <w:rPr>
          <w:rFonts w:ascii="Times New Roman" w:eastAsia="Times New Roman" w:hAnsi="Times New Roman" w:cs="Times New Roman"/>
          <w:sz w:val="24"/>
          <w:szCs w:val="24"/>
        </w:rPr>
      </w:pPr>
    </w:p>
    <w:p w:rsidR="008F6EFE" w:rsidRDefault="008F6EFE" w:rsidP="008F6EFE">
      <w:pPr>
        <w:spacing w:after="0" w:line="480" w:lineRule="auto"/>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To conclude, despite the many processes and procedures the police carry out to correctly handle, find and investigate forensic evidence, human error can unfortunately lead to investigations and prosecutions failing. Furthermore, although the actions of the police at every stage of the investigative process is often recorded, the defence and individuals such as Michael Mansfield can sometimes convince a jury that although evidence may be present, how the evidence got there is important, further stating that interpretation of facts is something that is subjective, and an aspect of evidence that might bring into question the potential of confirmation bias as </w:t>
      </w:r>
      <w:r w:rsidRPr="008F6EFE">
        <w:rPr>
          <w:rFonts w:ascii="Arial" w:eastAsia="Times New Roman" w:hAnsi="Arial" w:cs="Arial"/>
          <w:color w:val="000000"/>
          <w:sz w:val="24"/>
          <w:szCs w:val="24"/>
        </w:rPr>
        <w:lastRenderedPageBreak/>
        <w:t xml:space="preserve">researched by Bowers and </w:t>
      </w:r>
      <w:proofErr w:type="spellStart"/>
      <w:r w:rsidRPr="008F6EFE">
        <w:rPr>
          <w:rFonts w:ascii="Arial" w:eastAsia="Times New Roman" w:hAnsi="Arial" w:cs="Arial"/>
          <w:color w:val="000000"/>
          <w:sz w:val="24"/>
          <w:szCs w:val="24"/>
        </w:rPr>
        <w:t>Koen</w:t>
      </w:r>
      <w:proofErr w:type="spellEnd"/>
      <w:r w:rsidRPr="008F6EFE">
        <w:rPr>
          <w:rFonts w:ascii="Arial" w:eastAsia="Times New Roman" w:hAnsi="Arial" w:cs="Arial"/>
          <w:color w:val="000000"/>
          <w:sz w:val="24"/>
          <w:szCs w:val="24"/>
        </w:rPr>
        <w:t xml:space="preserve"> (2018) stating various examples of convictions overturned are due to apparent interpretation bias being identified, as well as Morgan (2019) stating that 22% of cases taken to the Court of Appeal relied on forensic evidence that was argued by lawyers to have been misinterpreted. Although as made clear by experts and previously stated throughout, forensic evidence is not always reliant on DNA, there is always a variety of evidential proof sourced from different avenues, and it is from all of these avenues and due to the correct application of policy with regards to both recovery and examination, the reason why many investigations end with a suspect being arrested, and eventually successfully convicted.</w:t>
      </w:r>
    </w:p>
    <w:p w:rsidR="008F6EFE" w:rsidRDefault="008F6EFE">
      <w:pPr>
        <w:rPr>
          <w:rFonts w:ascii="Arial" w:eastAsia="Times New Roman" w:hAnsi="Arial" w:cs="Arial"/>
          <w:color w:val="000000"/>
          <w:sz w:val="24"/>
          <w:szCs w:val="24"/>
        </w:rPr>
      </w:pPr>
      <w:r>
        <w:rPr>
          <w:rFonts w:ascii="Arial" w:eastAsia="Times New Roman" w:hAnsi="Arial" w:cs="Arial"/>
          <w:color w:val="000000"/>
          <w:sz w:val="24"/>
          <w:szCs w:val="24"/>
        </w:rPr>
        <w:br w:type="page"/>
      </w:r>
    </w:p>
    <w:p w:rsidR="008F6EFE" w:rsidRDefault="008F6EFE" w:rsidP="008F6EFE">
      <w:pPr>
        <w:spacing w:after="0" w:line="480" w:lineRule="auto"/>
        <w:rPr>
          <w:rFonts w:ascii="Arial" w:eastAsia="Times New Roman" w:hAnsi="Arial" w:cs="Arial"/>
          <w:sz w:val="24"/>
          <w:szCs w:val="24"/>
        </w:rPr>
      </w:pPr>
      <w:r w:rsidRPr="008F6EFE">
        <w:rPr>
          <w:rFonts w:ascii="Arial" w:eastAsia="Times New Roman" w:hAnsi="Arial" w:cs="Arial"/>
          <w:sz w:val="24"/>
          <w:szCs w:val="24"/>
          <w:u w:val="single"/>
        </w:rPr>
        <w:lastRenderedPageBreak/>
        <w:t>Reference List</w:t>
      </w: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Aizman</w:t>
      </w:r>
      <w:proofErr w:type="spellEnd"/>
      <w:r w:rsidRPr="008F6EFE">
        <w:rPr>
          <w:rFonts w:ascii="Arial" w:eastAsia="Times New Roman" w:hAnsi="Arial" w:cs="Arial"/>
          <w:color w:val="000000"/>
          <w:sz w:val="24"/>
          <w:szCs w:val="24"/>
        </w:rPr>
        <w:t xml:space="preserve">, D. (2014). </w:t>
      </w:r>
      <w:r w:rsidRPr="008F6EFE">
        <w:rPr>
          <w:rFonts w:ascii="Arial" w:eastAsia="Times New Roman" w:hAnsi="Arial" w:cs="Arial"/>
          <w:i/>
          <w:iCs/>
          <w:color w:val="000000"/>
          <w:sz w:val="24"/>
          <w:szCs w:val="24"/>
        </w:rPr>
        <w:t>Lessons Learned From Evidence Gathering Mistakes In OJ Simpson Case</w:t>
      </w:r>
      <w:r w:rsidRPr="008F6EFE">
        <w:rPr>
          <w:rFonts w:ascii="Arial" w:eastAsia="Times New Roman" w:hAnsi="Arial" w:cs="Arial"/>
          <w:color w:val="000000"/>
          <w:sz w:val="24"/>
          <w:szCs w:val="24"/>
        </w:rPr>
        <w:t xml:space="preserve">. [online] </w:t>
      </w:r>
      <w:proofErr w:type="spellStart"/>
      <w:r w:rsidRPr="008F6EFE">
        <w:rPr>
          <w:rFonts w:ascii="Arial" w:eastAsia="Times New Roman" w:hAnsi="Arial" w:cs="Arial"/>
          <w:color w:val="000000"/>
          <w:sz w:val="24"/>
          <w:szCs w:val="24"/>
        </w:rPr>
        <w:t>Aizman</w:t>
      </w:r>
      <w:proofErr w:type="spellEnd"/>
      <w:r w:rsidRPr="008F6EFE">
        <w:rPr>
          <w:rFonts w:ascii="Arial" w:eastAsia="Times New Roman" w:hAnsi="Arial" w:cs="Arial"/>
          <w:color w:val="000000"/>
          <w:sz w:val="24"/>
          <w:szCs w:val="24"/>
        </w:rPr>
        <w:t xml:space="preserve"> Law Firm. Available at: </w:t>
      </w:r>
      <w:hyperlink r:id="rId5" w:history="1">
        <w:r w:rsidRPr="008F6EFE">
          <w:rPr>
            <w:rFonts w:ascii="Arial" w:eastAsia="Times New Roman" w:hAnsi="Arial" w:cs="Arial"/>
            <w:color w:val="1155CC"/>
            <w:sz w:val="24"/>
            <w:szCs w:val="24"/>
            <w:u w:val="single"/>
          </w:rPr>
          <w:t>https://aizmanlaw.com/lessons-learned-evidence-gathering-mistakes-simpson-case/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Arnaud, C. (2017). </w:t>
      </w:r>
      <w:r w:rsidRPr="008F6EFE">
        <w:rPr>
          <w:rFonts w:ascii="Arial" w:eastAsia="Times New Roman" w:hAnsi="Arial" w:cs="Arial"/>
          <w:i/>
          <w:iCs/>
          <w:color w:val="000000"/>
          <w:sz w:val="24"/>
          <w:szCs w:val="24"/>
        </w:rPr>
        <w:t>Thirty years of DNA Forensics: How DNA has Revolutionized Criminal Investigations</w:t>
      </w:r>
      <w:r w:rsidRPr="008F6EFE">
        <w:rPr>
          <w:rFonts w:ascii="Arial" w:eastAsia="Times New Roman" w:hAnsi="Arial" w:cs="Arial"/>
          <w:color w:val="000000"/>
          <w:sz w:val="24"/>
          <w:szCs w:val="24"/>
        </w:rPr>
        <w:t xml:space="preserve">. Science &amp; Technology Analytical Chemistry, [online] 95(37). Available at: </w:t>
      </w:r>
      <w:hyperlink r:id="rId6" w:history="1">
        <w:r w:rsidRPr="008F6EFE">
          <w:rPr>
            <w:rFonts w:ascii="Arial" w:eastAsia="Times New Roman" w:hAnsi="Arial" w:cs="Arial"/>
            <w:color w:val="1155CC"/>
            <w:sz w:val="24"/>
            <w:szCs w:val="24"/>
            <w:u w:val="single"/>
          </w:rPr>
          <w:t>https://cen.acs.org/articles/95/i37/Thirty-years-DNA-forensics-DNA.html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Associated Press. (2014). </w:t>
      </w:r>
      <w:r w:rsidRPr="008F6EFE">
        <w:rPr>
          <w:rFonts w:ascii="Arial" w:eastAsia="Times New Roman" w:hAnsi="Arial" w:cs="Arial"/>
          <w:i/>
          <w:iCs/>
          <w:color w:val="000000"/>
          <w:sz w:val="24"/>
          <w:szCs w:val="24"/>
        </w:rPr>
        <w:t>O.J. Simpson Case Taught Police What Not To Do At A Crime Scene</w:t>
      </w:r>
      <w:r w:rsidRPr="008F6EFE">
        <w:rPr>
          <w:rFonts w:ascii="Arial" w:eastAsia="Times New Roman" w:hAnsi="Arial" w:cs="Arial"/>
          <w:color w:val="000000"/>
          <w:sz w:val="24"/>
          <w:szCs w:val="24"/>
        </w:rPr>
        <w:t xml:space="preserve">. [online] Associated Press. Available at: </w:t>
      </w:r>
      <w:hyperlink r:id="rId7" w:history="1">
        <w:r w:rsidRPr="008F6EFE">
          <w:rPr>
            <w:rFonts w:ascii="Arial" w:eastAsia="Times New Roman" w:hAnsi="Arial" w:cs="Arial"/>
            <w:color w:val="1155CC"/>
            <w:sz w:val="24"/>
            <w:szCs w:val="24"/>
            <w:u w:val="single"/>
          </w:rPr>
          <w:t>https://www.pasadenastarnews.com/2014/06/08/oj-simpson-case-taught-police-what-not-to-do-at-a-crime-scene/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Baldwin, H. and May, C. (2017). </w:t>
      </w:r>
      <w:r w:rsidRPr="008F6EFE">
        <w:rPr>
          <w:rFonts w:ascii="Arial" w:eastAsia="Times New Roman" w:hAnsi="Arial" w:cs="Arial"/>
          <w:i/>
          <w:iCs/>
          <w:color w:val="000000"/>
          <w:sz w:val="24"/>
          <w:szCs w:val="24"/>
        </w:rPr>
        <w:t>Crime Scene Contamination Issues</w:t>
      </w:r>
      <w:r w:rsidRPr="008F6EFE">
        <w:rPr>
          <w:rFonts w:ascii="Arial" w:eastAsia="Times New Roman" w:hAnsi="Arial" w:cs="Arial"/>
          <w:color w:val="000000"/>
          <w:sz w:val="24"/>
          <w:szCs w:val="24"/>
        </w:rPr>
        <w:t xml:space="preserve">. [online] Crime Scene Investigator Network. Available at: </w:t>
      </w:r>
      <w:hyperlink r:id="rId8" w:history="1">
        <w:r w:rsidRPr="008F6EFE">
          <w:rPr>
            <w:rFonts w:ascii="Arial" w:eastAsia="Times New Roman" w:hAnsi="Arial" w:cs="Arial"/>
            <w:color w:val="1155CC"/>
            <w:sz w:val="24"/>
            <w:szCs w:val="24"/>
            <w:u w:val="single"/>
          </w:rPr>
          <w:t>https://www.crime-scene-investigator.net/crime-scene-contamination-issues.html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BBC News. (2020). </w:t>
      </w:r>
      <w:r w:rsidRPr="008F6EFE">
        <w:rPr>
          <w:rFonts w:ascii="Arial" w:eastAsia="Times New Roman" w:hAnsi="Arial" w:cs="Arial"/>
          <w:i/>
          <w:iCs/>
          <w:color w:val="000000"/>
          <w:sz w:val="24"/>
          <w:szCs w:val="24"/>
        </w:rPr>
        <w:t>Michael Barrymore Pool Death: Police Made 'Crime Scene Mistakes'</w:t>
      </w:r>
      <w:r w:rsidRPr="008F6EFE">
        <w:rPr>
          <w:rFonts w:ascii="Arial" w:eastAsia="Times New Roman" w:hAnsi="Arial" w:cs="Arial"/>
          <w:color w:val="000000"/>
          <w:sz w:val="24"/>
          <w:szCs w:val="24"/>
        </w:rPr>
        <w:t xml:space="preserve">. [online] BBC News. Available at: </w:t>
      </w:r>
      <w:hyperlink r:id="rId9" w:history="1">
        <w:r w:rsidRPr="008F6EFE">
          <w:rPr>
            <w:rFonts w:ascii="Arial" w:eastAsia="Times New Roman" w:hAnsi="Arial" w:cs="Arial"/>
            <w:color w:val="1155CC"/>
            <w:sz w:val="24"/>
            <w:szCs w:val="24"/>
            <w:u w:val="single"/>
          </w:rPr>
          <w:t>https://www.bbc.co.uk/news/uk-england-essex-51315670</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Bowers, M. and </w:t>
      </w:r>
      <w:proofErr w:type="spellStart"/>
      <w:r w:rsidRPr="008F6EFE">
        <w:rPr>
          <w:rFonts w:ascii="Arial" w:eastAsia="Times New Roman" w:hAnsi="Arial" w:cs="Arial"/>
          <w:color w:val="000000"/>
          <w:sz w:val="24"/>
          <w:szCs w:val="24"/>
        </w:rPr>
        <w:t>Koen</w:t>
      </w:r>
      <w:proofErr w:type="spellEnd"/>
      <w:r w:rsidRPr="008F6EFE">
        <w:rPr>
          <w:rFonts w:ascii="Arial" w:eastAsia="Times New Roman" w:hAnsi="Arial" w:cs="Arial"/>
          <w:color w:val="000000"/>
          <w:sz w:val="24"/>
          <w:szCs w:val="24"/>
        </w:rPr>
        <w:t xml:space="preserve">, W. (2018). </w:t>
      </w:r>
      <w:r w:rsidRPr="008F6EFE">
        <w:rPr>
          <w:rFonts w:ascii="Arial" w:eastAsia="Times New Roman" w:hAnsi="Arial" w:cs="Arial"/>
          <w:i/>
          <w:iCs/>
          <w:color w:val="000000"/>
          <w:sz w:val="24"/>
          <w:szCs w:val="24"/>
        </w:rPr>
        <w:t>The Psychology And Sociology Of Wrongful Convictions: Forensic Science Reform</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Elsevier. Available at: </w:t>
      </w:r>
      <w:hyperlink r:id="rId10" w:history="1">
        <w:r w:rsidRPr="008F6EFE">
          <w:rPr>
            <w:rFonts w:ascii="Arial" w:eastAsia="Times New Roman" w:hAnsi="Arial" w:cs="Arial"/>
            <w:color w:val="1155CC"/>
            <w:sz w:val="24"/>
            <w:szCs w:val="24"/>
            <w:u w:val="single"/>
          </w:rPr>
          <w:t>https://www.sciencedirect.com/science/article/pii/B9780128026557000071</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Bradbury, S. and </w:t>
      </w:r>
      <w:proofErr w:type="spellStart"/>
      <w:r w:rsidRPr="008F6EFE">
        <w:rPr>
          <w:rFonts w:ascii="Arial" w:eastAsia="Times New Roman" w:hAnsi="Arial" w:cs="Arial"/>
          <w:color w:val="000000"/>
          <w:sz w:val="24"/>
          <w:szCs w:val="24"/>
        </w:rPr>
        <w:t>Feist</w:t>
      </w:r>
      <w:proofErr w:type="spellEnd"/>
      <w:r w:rsidRPr="008F6EFE">
        <w:rPr>
          <w:rFonts w:ascii="Arial" w:eastAsia="Times New Roman" w:hAnsi="Arial" w:cs="Arial"/>
          <w:color w:val="000000"/>
          <w:sz w:val="24"/>
          <w:szCs w:val="24"/>
        </w:rPr>
        <w:t xml:space="preserve">, A. (2005). </w:t>
      </w:r>
      <w:r w:rsidRPr="008F6EFE">
        <w:rPr>
          <w:rFonts w:ascii="Arial" w:eastAsia="Times New Roman" w:hAnsi="Arial" w:cs="Arial"/>
          <w:i/>
          <w:iCs/>
          <w:color w:val="000000"/>
          <w:sz w:val="24"/>
          <w:szCs w:val="24"/>
        </w:rPr>
        <w:t>The Use Of Forensic Science In Volume Crime Investigations: A Review Of The Research Literature</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London: Home Office. Available at: </w:t>
      </w:r>
      <w:hyperlink r:id="rId11" w:history="1">
        <w:r w:rsidRPr="008F6EFE">
          <w:rPr>
            <w:rFonts w:ascii="Arial" w:eastAsia="Times New Roman" w:hAnsi="Arial" w:cs="Arial"/>
            <w:color w:val="1155CC"/>
            <w:sz w:val="24"/>
            <w:szCs w:val="24"/>
            <w:u w:val="single"/>
          </w:rPr>
          <w:t>https://assets.publishing.service.gov.uk/government/uploads/system/uploads/attachment_data/file/115849/hoor4305.pdf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Bull, R., Holliday, R. and Smith, L. (2011). </w:t>
      </w:r>
      <w:r w:rsidRPr="008F6EFE">
        <w:rPr>
          <w:rFonts w:ascii="Arial" w:eastAsia="Times New Roman" w:hAnsi="Arial" w:cs="Arial"/>
          <w:i/>
          <w:iCs/>
          <w:color w:val="000000"/>
          <w:sz w:val="24"/>
          <w:szCs w:val="24"/>
        </w:rPr>
        <w:t>Understanding Juror Perceptions of Forensic Evidence: Investigating the Impact of Case Context on Perceptions of Forensic Evidence Strength</w:t>
      </w:r>
      <w:r w:rsidRPr="008F6EFE">
        <w:rPr>
          <w:rFonts w:ascii="Arial" w:eastAsia="Times New Roman" w:hAnsi="Arial" w:cs="Arial"/>
          <w:color w:val="000000"/>
          <w:sz w:val="24"/>
          <w:szCs w:val="24"/>
        </w:rPr>
        <w:t xml:space="preserve">. Journal of Forensic Sciences, [online] 56(2). Available at: </w:t>
      </w:r>
      <w:hyperlink r:id="rId12" w:history="1">
        <w:r w:rsidRPr="008F6EFE">
          <w:rPr>
            <w:rFonts w:ascii="Arial" w:eastAsia="Times New Roman" w:hAnsi="Arial" w:cs="Arial"/>
            <w:color w:val="1155CC"/>
            <w:sz w:val="24"/>
            <w:szCs w:val="24"/>
            <w:u w:val="single"/>
          </w:rPr>
          <w:t>https://onlinelibrary.wiley.com/doi/full/10.1111/j.1556-4029.2010.01671.x?casa_token=PSQq6yrT26oAAAAA%3ATxmId34rMbGaCIIBnMq46xxP0wjXsPK6OLn1R8Ap5Ghlf9kBSeN89WdMvG3xna8TN6ulxtns6Ce1Z2rl3A</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Bull, R. and Smith, L. (2013). </w:t>
      </w:r>
      <w:r w:rsidRPr="008F6EFE">
        <w:rPr>
          <w:rFonts w:ascii="Arial" w:eastAsia="Times New Roman" w:hAnsi="Arial" w:cs="Arial"/>
          <w:i/>
          <w:iCs/>
          <w:color w:val="000000"/>
          <w:sz w:val="24"/>
          <w:szCs w:val="24"/>
        </w:rPr>
        <w:t>Exploring the Disclosure of Forensic Evidence in Police Interviews with Suspects</w:t>
      </w:r>
      <w:r w:rsidRPr="008F6EFE">
        <w:rPr>
          <w:rFonts w:ascii="Arial" w:eastAsia="Times New Roman" w:hAnsi="Arial" w:cs="Arial"/>
          <w:color w:val="000000"/>
          <w:sz w:val="24"/>
          <w:szCs w:val="24"/>
        </w:rPr>
        <w:t xml:space="preserve">. Journal of Police and Criminal Psychology, [online] 29(2), pp.81-86. Available at: </w:t>
      </w:r>
      <w:hyperlink r:id="rId13" w:history="1">
        <w:r w:rsidRPr="008F6EFE">
          <w:rPr>
            <w:rFonts w:ascii="Arial" w:eastAsia="Times New Roman" w:hAnsi="Arial" w:cs="Arial"/>
            <w:color w:val="1155CC"/>
            <w:sz w:val="24"/>
            <w:szCs w:val="24"/>
            <w:u w:val="single"/>
          </w:rPr>
          <w:t>https://idp.springer.com/authorize/casa?redirect_uri=https://link.springer.com/content/pdf/10.1007/s11896-013-9131-0.pdf&amp;casa_token=_Dq2-jvRHkAAAAAA:1D78JkElldtzkQyvUQWClWB4owze4UhiiJSssOqyWPaJc7UcyTQ04TuPvHFO_O8t0wQaQ9DT_zCMwyKVDGg</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Bull, P., Cohen, J., </w:t>
      </w:r>
      <w:proofErr w:type="spellStart"/>
      <w:r w:rsidRPr="008F6EFE">
        <w:rPr>
          <w:rFonts w:ascii="Arial" w:eastAsia="Times New Roman" w:hAnsi="Arial" w:cs="Arial"/>
          <w:color w:val="000000"/>
          <w:sz w:val="24"/>
          <w:szCs w:val="24"/>
        </w:rPr>
        <w:t>Freudiger-Bonzon</w:t>
      </w:r>
      <w:proofErr w:type="spellEnd"/>
      <w:r w:rsidRPr="008F6EFE">
        <w:rPr>
          <w:rFonts w:ascii="Arial" w:eastAsia="Times New Roman" w:hAnsi="Arial" w:cs="Arial"/>
          <w:color w:val="000000"/>
          <w:sz w:val="24"/>
          <w:szCs w:val="24"/>
        </w:rPr>
        <w:t xml:space="preserve">, J., </w:t>
      </w:r>
      <w:proofErr w:type="spellStart"/>
      <w:r w:rsidRPr="008F6EFE">
        <w:rPr>
          <w:rFonts w:ascii="Arial" w:eastAsia="Times New Roman" w:hAnsi="Arial" w:cs="Arial"/>
          <w:color w:val="000000"/>
          <w:sz w:val="24"/>
          <w:szCs w:val="24"/>
        </w:rPr>
        <w:t>McGookin</w:t>
      </w:r>
      <w:proofErr w:type="spellEnd"/>
      <w:r w:rsidRPr="008F6EFE">
        <w:rPr>
          <w:rFonts w:ascii="Arial" w:eastAsia="Times New Roman" w:hAnsi="Arial" w:cs="Arial"/>
          <w:color w:val="000000"/>
          <w:sz w:val="24"/>
          <w:szCs w:val="24"/>
        </w:rPr>
        <w:t xml:space="preserve">, I., </w:t>
      </w:r>
      <w:proofErr w:type="spellStart"/>
      <w:r w:rsidRPr="008F6EFE">
        <w:rPr>
          <w:rFonts w:ascii="Arial" w:eastAsia="Times New Roman" w:hAnsi="Arial" w:cs="Arial"/>
          <w:color w:val="000000"/>
          <w:sz w:val="24"/>
          <w:szCs w:val="24"/>
        </w:rPr>
        <w:t>Muress</w:t>
      </w:r>
      <w:proofErr w:type="spellEnd"/>
      <w:r w:rsidRPr="008F6EFE">
        <w:rPr>
          <w:rFonts w:ascii="Arial" w:eastAsia="Times New Roman" w:hAnsi="Arial" w:cs="Arial"/>
          <w:color w:val="000000"/>
          <w:sz w:val="24"/>
          <w:szCs w:val="24"/>
        </w:rPr>
        <w:t xml:space="preserve">, S., </w:t>
      </w:r>
      <w:proofErr w:type="spellStart"/>
      <w:r w:rsidRPr="008F6EFE">
        <w:rPr>
          <w:rFonts w:ascii="Arial" w:eastAsia="Times New Roman" w:hAnsi="Arial" w:cs="Arial"/>
          <w:color w:val="000000"/>
          <w:sz w:val="24"/>
          <w:szCs w:val="24"/>
        </w:rPr>
        <w:t>Murly-Gotto</w:t>
      </w:r>
      <w:proofErr w:type="spellEnd"/>
      <w:r w:rsidRPr="008F6EFE">
        <w:rPr>
          <w:rFonts w:ascii="Arial" w:eastAsia="Times New Roman" w:hAnsi="Arial" w:cs="Arial"/>
          <w:color w:val="000000"/>
          <w:sz w:val="24"/>
          <w:szCs w:val="24"/>
        </w:rPr>
        <w:t xml:space="preserve">, J. and O'Connor, R. (2009). </w:t>
      </w:r>
      <w:r w:rsidRPr="008F6EFE">
        <w:rPr>
          <w:rFonts w:ascii="Arial" w:eastAsia="Times New Roman" w:hAnsi="Arial" w:cs="Arial"/>
          <w:i/>
          <w:iCs/>
          <w:color w:val="000000"/>
          <w:sz w:val="24"/>
          <w:szCs w:val="24"/>
        </w:rPr>
        <w:t>The Relevance of the Evolution of Experimental Studies for the Interpretation and Evaluation of some Trace Physical Evidence</w:t>
      </w:r>
      <w:r w:rsidRPr="008F6EFE">
        <w:rPr>
          <w:rFonts w:ascii="Arial" w:eastAsia="Times New Roman" w:hAnsi="Arial" w:cs="Arial"/>
          <w:color w:val="000000"/>
          <w:sz w:val="24"/>
          <w:szCs w:val="24"/>
        </w:rPr>
        <w:t xml:space="preserve">. Science &amp; Justice, [online] 49(4). Available at: </w:t>
      </w:r>
      <w:hyperlink r:id="rId14" w:history="1">
        <w:r w:rsidRPr="008F6EFE">
          <w:rPr>
            <w:rFonts w:ascii="Arial" w:eastAsia="Times New Roman" w:hAnsi="Arial" w:cs="Arial"/>
            <w:color w:val="1155CC"/>
            <w:sz w:val="24"/>
            <w:szCs w:val="24"/>
            <w:u w:val="single"/>
          </w:rPr>
          <w:t>https://core.ac.uk/download/pdf/1752938.pdf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Burril</w:t>
      </w:r>
      <w:proofErr w:type="spellEnd"/>
      <w:r w:rsidRPr="008F6EFE">
        <w:rPr>
          <w:rFonts w:ascii="Arial" w:eastAsia="Times New Roman" w:hAnsi="Arial" w:cs="Arial"/>
          <w:color w:val="000000"/>
          <w:sz w:val="24"/>
          <w:szCs w:val="24"/>
        </w:rPr>
        <w:t xml:space="preserve">, J., Daniel, B. and </w:t>
      </w:r>
      <w:proofErr w:type="spellStart"/>
      <w:r w:rsidRPr="008F6EFE">
        <w:rPr>
          <w:rFonts w:ascii="Arial" w:eastAsia="Times New Roman" w:hAnsi="Arial" w:cs="Arial"/>
          <w:color w:val="000000"/>
          <w:sz w:val="24"/>
          <w:szCs w:val="24"/>
        </w:rPr>
        <w:t>Frascione</w:t>
      </w:r>
      <w:proofErr w:type="spellEnd"/>
      <w:r w:rsidRPr="008F6EFE">
        <w:rPr>
          <w:rFonts w:ascii="Arial" w:eastAsia="Times New Roman" w:hAnsi="Arial" w:cs="Arial"/>
          <w:color w:val="000000"/>
          <w:sz w:val="24"/>
          <w:szCs w:val="24"/>
        </w:rPr>
        <w:t xml:space="preserve">, N. (2018). </w:t>
      </w:r>
      <w:r w:rsidRPr="008F6EFE">
        <w:rPr>
          <w:rFonts w:ascii="Arial" w:eastAsia="Times New Roman" w:hAnsi="Arial" w:cs="Arial"/>
          <w:i/>
          <w:iCs/>
          <w:color w:val="000000"/>
          <w:sz w:val="24"/>
          <w:szCs w:val="24"/>
        </w:rPr>
        <w:t>A Review of Trace “Touch DNA” Deposits: Variability Factors and An Exploration of Cellular Composition</w:t>
      </w:r>
      <w:r w:rsidRPr="008F6EFE">
        <w:rPr>
          <w:rFonts w:ascii="Arial" w:eastAsia="Times New Roman" w:hAnsi="Arial" w:cs="Arial"/>
          <w:color w:val="000000"/>
          <w:sz w:val="24"/>
          <w:szCs w:val="24"/>
        </w:rPr>
        <w:t xml:space="preserve">. Forensic Science International: Genetics, [online] 39, pp.8-18. Available at: </w:t>
      </w:r>
      <w:hyperlink r:id="rId15" w:history="1">
        <w:r w:rsidRPr="008F6EFE">
          <w:rPr>
            <w:rFonts w:ascii="Arial" w:eastAsia="Times New Roman" w:hAnsi="Arial" w:cs="Arial"/>
            <w:color w:val="1155CC"/>
            <w:sz w:val="24"/>
            <w:szCs w:val="24"/>
            <w:u w:val="single"/>
          </w:rPr>
          <w:t>https://www.sciencedirect.com/science/article/pii/S1872497318302746?casa_token=e0scblmfsMoAAAAA:GyeIHf34QV9fRCzucD3tTQoXt6ub-VhiYuKDzAUucj0n_5y2QYRilfvvLoz6PayW70IVLJzR9fsAYw</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Cole, S. (2013). </w:t>
      </w:r>
      <w:r w:rsidRPr="008F6EFE">
        <w:rPr>
          <w:rFonts w:ascii="Arial" w:eastAsia="Times New Roman" w:hAnsi="Arial" w:cs="Arial"/>
          <w:i/>
          <w:iCs/>
          <w:color w:val="000000"/>
          <w:sz w:val="24"/>
          <w:szCs w:val="24"/>
        </w:rPr>
        <w:t>A Surfeit of Science: The "CSI Effect" and the Media Appropriation of the Public Understanding of Science</w:t>
      </w:r>
      <w:r w:rsidRPr="008F6EFE">
        <w:rPr>
          <w:rFonts w:ascii="Arial" w:eastAsia="Times New Roman" w:hAnsi="Arial" w:cs="Arial"/>
          <w:color w:val="000000"/>
          <w:sz w:val="24"/>
          <w:szCs w:val="24"/>
        </w:rPr>
        <w:t xml:space="preserve">. Public Understanding of Science, [online] 24(2). Available at: </w:t>
      </w:r>
      <w:hyperlink r:id="rId16" w:history="1">
        <w:r w:rsidRPr="008F6EFE">
          <w:rPr>
            <w:rFonts w:ascii="Arial" w:eastAsia="Times New Roman" w:hAnsi="Arial" w:cs="Arial"/>
            <w:color w:val="1155CC"/>
            <w:sz w:val="24"/>
            <w:szCs w:val="24"/>
            <w:u w:val="single"/>
          </w:rPr>
          <w:t>https://journals.sagepub.com/doi/full/10.1177/0963662513481294?casa_toke</w:t>
        </w:r>
        <w:r w:rsidRPr="008F6EFE">
          <w:rPr>
            <w:rFonts w:ascii="Arial" w:eastAsia="Times New Roman" w:hAnsi="Arial" w:cs="Arial"/>
            <w:color w:val="1155CC"/>
            <w:sz w:val="24"/>
            <w:szCs w:val="24"/>
            <w:u w:val="single"/>
          </w:rPr>
          <w:lastRenderedPageBreak/>
          <w:t>n=90XL5s6tsa8AAAAA%3AwaS-zw7wsS18aF1c-SukxhTwBUYRbNgTPESVZmDNfSXMBrLTU-XLvJbL8KhasTWHt4SGKPs25ZsRh_c</w:t>
        </w:r>
      </w:hyperlink>
      <w:r w:rsidRPr="008F6EFE">
        <w:rPr>
          <w:rFonts w:ascii="Arial" w:eastAsia="Times New Roman" w:hAnsi="Arial" w:cs="Arial"/>
          <w:color w:val="000000"/>
          <w:sz w:val="24"/>
          <w:szCs w:val="24"/>
        </w:rPr>
        <w:t xml:space="preserve"> [Accessed 4 November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College of Policing. (2016). </w:t>
      </w:r>
      <w:r w:rsidRPr="008F6EFE">
        <w:rPr>
          <w:rFonts w:ascii="Arial" w:eastAsia="Times New Roman" w:hAnsi="Arial" w:cs="Arial"/>
          <w:i/>
          <w:iCs/>
          <w:color w:val="000000"/>
          <w:sz w:val="24"/>
          <w:szCs w:val="24"/>
        </w:rPr>
        <w:t>First Response</w:t>
      </w:r>
      <w:r w:rsidRPr="008F6EFE">
        <w:rPr>
          <w:rFonts w:ascii="Arial" w:eastAsia="Times New Roman" w:hAnsi="Arial" w:cs="Arial"/>
          <w:color w:val="000000"/>
          <w:sz w:val="24"/>
          <w:szCs w:val="24"/>
        </w:rPr>
        <w:t xml:space="preserve">. [online] College of Policing. Available at: </w:t>
      </w:r>
      <w:hyperlink r:id="rId17" w:history="1">
        <w:r w:rsidRPr="008F6EFE">
          <w:rPr>
            <w:rFonts w:ascii="Arial" w:eastAsia="Times New Roman" w:hAnsi="Arial" w:cs="Arial"/>
            <w:color w:val="1155CC"/>
            <w:sz w:val="24"/>
            <w:szCs w:val="24"/>
            <w:u w:val="single"/>
          </w:rPr>
          <w:t>https://www.app.college.police.uk/app-content/major-investigation-and-public-protection/domestic-abuse/first-response/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College of Policing. (2017). </w:t>
      </w:r>
      <w:r w:rsidRPr="008F6EFE">
        <w:rPr>
          <w:rFonts w:ascii="Arial" w:eastAsia="Times New Roman" w:hAnsi="Arial" w:cs="Arial"/>
          <w:i/>
          <w:iCs/>
          <w:color w:val="000000"/>
          <w:sz w:val="24"/>
          <w:szCs w:val="24"/>
        </w:rPr>
        <w:t>Forensics</w:t>
      </w:r>
      <w:r w:rsidRPr="008F6EFE">
        <w:rPr>
          <w:rFonts w:ascii="Arial" w:eastAsia="Times New Roman" w:hAnsi="Arial" w:cs="Arial"/>
          <w:color w:val="000000"/>
          <w:sz w:val="24"/>
          <w:szCs w:val="24"/>
        </w:rPr>
        <w:t xml:space="preserve">. [online] College of Policing. Available at: </w:t>
      </w:r>
      <w:hyperlink r:id="rId18" w:history="1">
        <w:r w:rsidRPr="008F6EFE">
          <w:rPr>
            <w:rFonts w:ascii="Arial" w:eastAsia="Times New Roman" w:hAnsi="Arial" w:cs="Arial"/>
            <w:color w:val="1155CC"/>
            <w:sz w:val="24"/>
            <w:szCs w:val="24"/>
            <w:u w:val="single"/>
          </w:rPr>
          <w:t>https://www.app.college.police.uk/app-content/investigations/forensics/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College of Policing. (2019). </w:t>
      </w:r>
      <w:r w:rsidRPr="008F6EFE">
        <w:rPr>
          <w:rFonts w:ascii="Arial" w:eastAsia="Times New Roman" w:hAnsi="Arial" w:cs="Arial"/>
          <w:i/>
          <w:iCs/>
          <w:color w:val="000000"/>
          <w:sz w:val="24"/>
          <w:szCs w:val="24"/>
        </w:rPr>
        <w:t>Investigation Process</w:t>
      </w:r>
      <w:r w:rsidRPr="008F6EFE">
        <w:rPr>
          <w:rFonts w:ascii="Arial" w:eastAsia="Times New Roman" w:hAnsi="Arial" w:cs="Arial"/>
          <w:color w:val="000000"/>
          <w:sz w:val="24"/>
          <w:szCs w:val="24"/>
        </w:rPr>
        <w:t xml:space="preserve">. [online] College of Policing. Available at: </w:t>
      </w:r>
      <w:hyperlink r:id="rId19" w:history="1">
        <w:r w:rsidRPr="008F6EFE">
          <w:rPr>
            <w:rFonts w:ascii="Arial" w:eastAsia="Times New Roman" w:hAnsi="Arial" w:cs="Arial"/>
            <w:color w:val="1155CC"/>
            <w:sz w:val="24"/>
            <w:szCs w:val="24"/>
            <w:u w:val="single"/>
          </w:rPr>
          <w:t>https://www.app.college.police.uk/app-content/investigations/investigation-process/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Connor, P., Hutton, G., Johnston, D. and McKinnon, G. (2020). </w:t>
      </w:r>
      <w:r w:rsidRPr="008F6EFE">
        <w:rPr>
          <w:rFonts w:ascii="Arial" w:eastAsia="Times New Roman" w:hAnsi="Arial" w:cs="Arial"/>
          <w:i/>
          <w:iCs/>
          <w:color w:val="000000"/>
          <w:sz w:val="24"/>
          <w:szCs w:val="24"/>
        </w:rPr>
        <w:t>Blackstone's Police Investigators' Manual 2020</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Oxford: Oxford University Press. Available at: </w:t>
      </w:r>
      <w:hyperlink r:id="rId20" w:history="1">
        <w:r w:rsidRPr="008F6EFE">
          <w:rPr>
            <w:rFonts w:ascii="Arial" w:eastAsia="Times New Roman" w:hAnsi="Arial" w:cs="Arial"/>
            <w:color w:val="1155CC"/>
            <w:sz w:val="24"/>
            <w:szCs w:val="24"/>
            <w:u w:val="single"/>
          </w:rPr>
          <w:t>https://moodle.uwtsd.ac.uk/pluginfile.php/426333/mod_resource/content/1/Blackstones%20FAO.pdf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Cook, T., </w:t>
      </w:r>
      <w:proofErr w:type="spellStart"/>
      <w:r w:rsidRPr="008F6EFE">
        <w:rPr>
          <w:rFonts w:ascii="Arial" w:eastAsia="Times New Roman" w:hAnsi="Arial" w:cs="Arial"/>
          <w:color w:val="000000"/>
          <w:sz w:val="24"/>
          <w:szCs w:val="24"/>
        </w:rPr>
        <w:t>Hibbit</w:t>
      </w:r>
      <w:proofErr w:type="spellEnd"/>
      <w:r w:rsidRPr="008F6EFE">
        <w:rPr>
          <w:rFonts w:ascii="Arial" w:eastAsia="Times New Roman" w:hAnsi="Arial" w:cs="Arial"/>
          <w:color w:val="000000"/>
          <w:sz w:val="24"/>
          <w:szCs w:val="24"/>
        </w:rPr>
        <w:t xml:space="preserve">, S. and Hill, M. (2013). </w:t>
      </w:r>
      <w:r w:rsidRPr="008F6EFE">
        <w:rPr>
          <w:rFonts w:ascii="Arial" w:eastAsia="Times New Roman" w:hAnsi="Arial" w:cs="Arial"/>
          <w:i/>
          <w:iCs/>
          <w:color w:val="000000"/>
          <w:sz w:val="24"/>
          <w:szCs w:val="24"/>
        </w:rPr>
        <w:t>Blackstone’s Crime Investigator's Handbook</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Oxford: Oxford University Press. Preview Used and </w:t>
      </w:r>
      <w:r w:rsidRPr="008F6EFE">
        <w:rPr>
          <w:rFonts w:ascii="Arial" w:eastAsia="Times New Roman" w:hAnsi="Arial" w:cs="Arial"/>
          <w:color w:val="000000"/>
          <w:sz w:val="24"/>
          <w:szCs w:val="24"/>
        </w:rPr>
        <w:lastRenderedPageBreak/>
        <w:t xml:space="preserve">Available at: </w:t>
      </w:r>
      <w:hyperlink r:id="rId21" w:history="1">
        <w:r w:rsidRPr="008F6EFE">
          <w:rPr>
            <w:rFonts w:ascii="Arial" w:eastAsia="Times New Roman" w:hAnsi="Arial" w:cs="Arial"/>
            <w:color w:val="1155CC"/>
            <w:sz w:val="24"/>
            <w:szCs w:val="24"/>
            <w:u w:val="single"/>
          </w:rPr>
          <w:t>https://www.amazon.co.uk/Blackstones-Crime-Investigators-Handbook-Tony/dp/0199662932</w:t>
        </w:r>
      </w:hyperlink>
      <w:r w:rsidRPr="008F6EFE">
        <w:rPr>
          <w:rFonts w:ascii="Arial" w:eastAsia="Times New Roman" w:hAnsi="Arial" w:cs="Arial"/>
          <w:color w:val="000000"/>
          <w:sz w:val="24"/>
          <w:szCs w:val="24"/>
        </w:rPr>
        <w:t>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CPS. (2017). </w:t>
      </w:r>
      <w:r w:rsidRPr="008F6EFE">
        <w:rPr>
          <w:rFonts w:ascii="Arial" w:eastAsia="Times New Roman" w:hAnsi="Arial" w:cs="Arial"/>
          <w:i/>
          <w:iCs/>
          <w:color w:val="000000"/>
          <w:sz w:val="24"/>
          <w:szCs w:val="24"/>
        </w:rPr>
        <w:t>Reporting A Crime</w:t>
      </w:r>
      <w:r w:rsidRPr="008F6EFE">
        <w:rPr>
          <w:rFonts w:ascii="Arial" w:eastAsia="Times New Roman" w:hAnsi="Arial" w:cs="Arial"/>
          <w:color w:val="000000"/>
          <w:sz w:val="24"/>
          <w:szCs w:val="24"/>
        </w:rPr>
        <w:t xml:space="preserve">. [online] CPS - Crown Prosecution Service. Available at: </w:t>
      </w:r>
      <w:hyperlink r:id="rId22" w:history="1">
        <w:r w:rsidRPr="008F6EFE">
          <w:rPr>
            <w:rFonts w:ascii="Arial" w:eastAsia="Times New Roman" w:hAnsi="Arial" w:cs="Arial"/>
            <w:color w:val="1155CC"/>
            <w:sz w:val="24"/>
            <w:szCs w:val="24"/>
            <w:u w:val="single"/>
          </w:rPr>
          <w:t>https://www.cps.gov.uk/reporting-crime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Crime Museum. (2010). </w:t>
      </w:r>
      <w:r w:rsidRPr="008F6EFE">
        <w:rPr>
          <w:rFonts w:ascii="Arial" w:eastAsia="Times New Roman" w:hAnsi="Arial" w:cs="Arial"/>
          <w:i/>
          <w:iCs/>
          <w:color w:val="000000"/>
          <w:sz w:val="24"/>
          <w:szCs w:val="24"/>
        </w:rPr>
        <w:t>Forensics At The OJ Simpson Trial</w:t>
      </w:r>
      <w:r w:rsidRPr="008F6EFE">
        <w:rPr>
          <w:rFonts w:ascii="Arial" w:eastAsia="Times New Roman" w:hAnsi="Arial" w:cs="Arial"/>
          <w:color w:val="000000"/>
          <w:sz w:val="24"/>
          <w:szCs w:val="24"/>
        </w:rPr>
        <w:t xml:space="preserve">. [online] Crime Museum. Available at: </w:t>
      </w:r>
      <w:hyperlink r:id="rId23" w:history="1">
        <w:r w:rsidRPr="008F6EFE">
          <w:rPr>
            <w:rFonts w:ascii="Arial" w:eastAsia="Times New Roman" w:hAnsi="Arial" w:cs="Arial"/>
            <w:color w:val="1155CC"/>
            <w:sz w:val="24"/>
            <w:szCs w:val="24"/>
            <w:u w:val="single"/>
          </w:rPr>
          <w:t>https://www.crimemuseum.org/crime-library/famous-murders/forensic-investigation-of-the-oj-simpson-trial/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Criminal Procedure and Investigations Act 1996. Available at: </w:t>
      </w:r>
      <w:hyperlink r:id="rId24" w:history="1">
        <w:r w:rsidRPr="008F6EFE">
          <w:rPr>
            <w:rFonts w:ascii="Arial" w:eastAsia="Times New Roman" w:hAnsi="Arial" w:cs="Arial"/>
            <w:color w:val="1155CC"/>
            <w:sz w:val="24"/>
            <w:szCs w:val="24"/>
            <w:u w:val="single"/>
          </w:rPr>
          <w:t>https://www.legislation.gov.uk/ukpga/1996/25/contents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Dawson, L. and </w:t>
      </w:r>
      <w:proofErr w:type="spellStart"/>
      <w:r w:rsidRPr="008F6EFE">
        <w:rPr>
          <w:rFonts w:ascii="Arial" w:eastAsia="Times New Roman" w:hAnsi="Arial" w:cs="Arial"/>
          <w:color w:val="000000"/>
          <w:sz w:val="24"/>
          <w:szCs w:val="24"/>
        </w:rPr>
        <w:t>Gannicliffe</w:t>
      </w:r>
      <w:proofErr w:type="spellEnd"/>
      <w:r w:rsidRPr="008F6EFE">
        <w:rPr>
          <w:rFonts w:ascii="Arial" w:eastAsia="Times New Roman" w:hAnsi="Arial" w:cs="Arial"/>
          <w:color w:val="000000"/>
          <w:sz w:val="24"/>
          <w:szCs w:val="24"/>
        </w:rPr>
        <w:t xml:space="preserve">, C. (2017). </w:t>
      </w:r>
      <w:r w:rsidRPr="008F6EFE">
        <w:rPr>
          <w:rFonts w:ascii="Arial" w:eastAsia="Times New Roman" w:hAnsi="Arial" w:cs="Arial"/>
          <w:i/>
          <w:iCs/>
          <w:color w:val="000000"/>
          <w:sz w:val="24"/>
          <w:szCs w:val="24"/>
        </w:rPr>
        <w:t>Managing The Myths - The CSI Effect In Forensic Science</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Aberdeen: Microbiology Society. Available at: </w:t>
      </w:r>
      <w:hyperlink r:id="rId25" w:history="1">
        <w:r w:rsidRPr="008F6EFE">
          <w:rPr>
            <w:rFonts w:ascii="Arial" w:eastAsia="Times New Roman" w:hAnsi="Arial" w:cs="Arial"/>
            <w:color w:val="1155CC"/>
            <w:sz w:val="24"/>
            <w:szCs w:val="24"/>
            <w:u w:val="single"/>
          </w:rPr>
          <w:t>https://microbiologysociety.org/publication/past-issues/microbiology-in-popular-culture/article/managing-the-myths-the-csi-effect-in-forensic-science.html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Duke Law. (2017). </w:t>
      </w:r>
      <w:r w:rsidRPr="008F6EFE">
        <w:rPr>
          <w:rFonts w:ascii="Arial" w:eastAsia="Times New Roman" w:hAnsi="Arial" w:cs="Arial"/>
          <w:i/>
          <w:iCs/>
          <w:color w:val="000000"/>
          <w:sz w:val="24"/>
          <w:szCs w:val="24"/>
        </w:rPr>
        <w:t>An Overview Of Presumptive And Confirmatory Testing In The Forensic Sciences.</w:t>
      </w:r>
      <w:r w:rsidRPr="008F6EFE">
        <w:rPr>
          <w:rFonts w:ascii="Arial" w:eastAsia="Times New Roman" w:hAnsi="Arial" w:cs="Arial"/>
          <w:color w:val="000000"/>
          <w:sz w:val="24"/>
          <w:szCs w:val="24"/>
        </w:rPr>
        <w:t xml:space="preserve"> [online] Duke University School of Law. Available at: </w:t>
      </w:r>
      <w:hyperlink r:id="rId26" w:history="1">
        <w:r w:rsidRPr="008F6EFE">
          <w:rPr>
            <w:rFonts w:ascii="Arial" w:eastAsia="Times New Roman" w:hAnsi="Arial" w:cs="Arial"/>
            <w:color w:val="1155CC"/>
            <w:sz w:val="24"/>
            <w:szCs w:val="24"/>
            <w:u w:val="single"/>
          </w:rPr>
          <w:t>https://sites.law.duke.edu/forensicsforum/2017/03/17/an-overview-of-</w:t>
        </w:r>
        <w:r w:rsidRPr="008F6EFE">
          <w:rPr>
            <w:rFonts w:ascii="Arial" w:eastAsia="Times New Roman" w:hAnsi="Arial" w:cs="Arial"/>
            <w:color w:val="1155CC"/>
            <w:sz w:val="24"/>
            <w:szCs w:val="24"/>
            <w:u w:val="single"/>
          </w:rPr>
          <w:lastRenderedPageBreak/>
          <w:t>presumptive-and-confirmatory-testing-in-the-forensic-sciences/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ENFSI. (2012). </w:t>
      </w:r>
      <w:r w:rsidRPr="008F6EFE">
        <w:rPr>
          <w:rFonts w:ascii="Arial" w:eastAsia="Times New Roman" w:hAnsi="Arial" w:cs="Arial"/>
          <w:i/>
          <w:iCs/>
          <w:color w:val="000000"/>
          <w:sz w:val="24"/>
          <w:szCs w:val="24"/>
        </w:rPr>
        <w:t>Scenes Of Crime Examination - Best Practice Manual</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Wiesbaden: ENFSI - European Network of Forensic Science Institutes. Available at: </w:t>
      </w:r>
      <w:hyperlink r:id="rId27" w:history="1">
        <w:r w:rsidRPr="008F6EFE">
          <w:rPr>
            <w:rFonts w:ascii="Arial" w:eastAsia="Times New Roman" w:hAnsi="Arial" w:cs="Arial"/>
            <w:color w:val="1155CC"/>
            <w:sz w:val="24"/>
            <w:szCs w:val="24"/>
            <w:u w:val="single"/>
          </w:rPr>
          <w:t>https://moodle.uwtsd.ac.uk/pluginfile.php/354373/mod_resource/content/1/ENFSI%20forensic.pdf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Essex Police. (2020). </w:t>
      </w:r>
      <w:r w:rsidRPr="008F6EFE">
        <w:rPr>
          <w:rFonts w:ascii="Arial" w:eastAsia="Times New Roman" w:hAnsi="Arial" w:cs="Arial"/>
          <w:i/>
          <w:iCs/>
          <w:color w:val="000000"/>
          <w:sz w:val="24"/>
          <w:szCs w:val="24"/>
        </w:rPr>
        <w:t>Detectives Appeal For Fresh Information About The Rape And Murder Of Stuart Lubbock</w:t>
      </w:r>
      <w:r w:rsidRPr="008F6EFE">
        <w:rPr>
          <w:rFonts w:ascii="Arial" w:eastAsia="Times New Roman" w:hAnsi="Arial" w:cs="Arial"/>
          <w:color w:val="000000"/>
          <w:sz w:val="24"/>
          <w:szCs w:val="24"/>
        </w:rPr>
        <w:t xml:space="preserve">. [online] Essex Police. Available at: </w:t>
      </w:r>
      <w:hyperlink r:id="rId28" w:history="1">
        <w:r w:rsidRPr="008F6EFE">
          <w:rPr>
            <w:rFonts w:ascii="Arial" w:eastAsia="Times New Roman" w:hAnsi="Arial" w:cs="Arial"/>
            <w:color w:val="1155CC"/>
            <w:sz w:val="24"/>
            <w:szCs w:val="24"/>
            <w:u w:val="single"/>
          </w:rPr>
          <w:t>https://www.essex.police.uk/news/essex/news/news/2020/february/detectives-appeal-for-fresh-information-about-the-rape-and-murder-of-stuart-lubbock/</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Forensic Evidence. (2020). </w:t>
      </w:r>
      <w:r w:rsidRPr="008F6EFE">
        <w:rPr>
          <w:rFonts w:ascii="Arial" w:eastAsia="Times New Roman" w:hAnsi="Arial" w:cs="Arial"/>
          <w:i/>
          <w:iCs/>
          <w:color w:val="000000"/>
          <w:sz w:val="24"/>
          <w:szCs w:val="24"/>
        </w:rPr>
        <w:t>Forensic Evidence: UK's Premier Expert Witness Service</w:t>
      </w:r>
      <w:r w:rsidRPr="008F6EFE">
        <w:rPr>
          <w:rFonts w:ascii="Arial" w:eastAsia="Times New Roman" w:hAnsi="Arial" w:cs="Arial"/>
          <w:color w:val="000000"/>
          <w:sz w:val="24"/>
          <w:szCs w:val="24"/>
        </w:rPr>
        <w:t xml:space="preserve">. [online] Forensic Evidence. Available at: </w:t>
      </w:r>
      <w:hyperlink r:id="rId29" w:history="1">
        <w:r w:rsidRPr="008F6EFE">
          <w:rPr>
            <w:rFonts w:ascii="Arial" w:eastAsia="Times New Roman" w:hAnsi="Arial" w:cs="Arial"/>
            <w:color w:val="1155CC"/>
            <w:sz w:val="24"/>
            <w:szCs w:val="24"/>
            <w:u w:val="single"/>
          </w:rPr>
          <w:t>http://www.forensic-evidence.co.uk/</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Forensic Library. (2018). </w:t>
      </w:r>
      <w:r w:rsidRPr="008F6EFE">
        <w:rPr>
          <w:rFonts w:ascii="Arial" w:eastAsia="Times New Roman" w:hAnsi="Arial" w:cs="Arial"/>
          <w:i/>
          <w:iCs/>
          <w:color w:val="000000"/>
          <w:sz w:val="24"/>
          <w:szCs w:val="24"/>
        </w:rPr>
        <w:t>Crime Scenes - First Attending Officer</w:t>
      </w:r>
      <w:r w:rsidRPr="008F6EFE">
        <w:rPr>
          <w:rFonts w:ascii="Arial" w:eastAsia="Times New Roman" w:hAnsi="Arial" w:cs="Arial"/>
          <w:color w:val="000000"/>
          <w:sz w:val="24"/>
          <w:szCs w:val="24"/>
        </w:rPr>
        <w:t xml:space="preserve">. [online] The Forensics Library. Available at: </w:t>
      </w:r>
      <w:hyperlink r:id="rId30" w:history="1">
        <w:r w:rsidRPr="008F6EFE">
          <w:rPr>
            <w:rFonts w:ascii="Arial" w:eastAsia="Times New Roman" w:hAnsi="Arial" w:cs="Arial"/>
            <w:color w:val="1155CC"/>
            <w:sz w:val="24"/>
            <w:szCs w:val="24"/>
            <w:u w:val="single"/>
          </w:rPr>
          <w:t>https://aboutforensics.co.uk/crime-scenes/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lastRenderedPageBreak/>
        <w:t xml:space="preserve">Forensic Library. (2019). </w:t>
      </w:r>
      <w:r w:rsidRPr="008F6EFE">
        <w:rPr>
          <w:rFonts w:ascii="Arial" w:eastAsia="Times New Roman" w:hAnsi="Arial" w:cs="Arial"/>
          <w:i/>
          <w:iCs/>
          <w:color w:val="000000"/>
          <w:sz w:val="24"/>
          <w:szCs w:val="24"/>
        </w:rPr>
        <w:t>Trace Evidence</w:t>
      </w:r>
      <w:r w:rsidRPr="008F6EFE">
        <w:rPr>
          <w:rFonts w:ascii="Arial" w:eastAsia="Times New Roman" w:hAnsi="Arial" w:cs="Arial"/>
          <w:color w:val="000000"/>
          <w:sz w:val="24"/>
          <w:szCs w:val="24"/>
        </w:rPr>
        <w:t xml:space="preserve">. [online] The Forensics Library. Available at: </w:t>
      </w:r>
      <w:hyperlink r:id="rId31" w:history="1">
        <w:r w:rsidRPr="008F6EFE">
          <w:rPr>
            <w:rFonts w:ascii="Arial" w:eastAsia="Times New Roman" w:hAnsi="Arial" w:cs="Arial"/>
            <w:color w:val="1155CC"/>
            <w:sz w:val="24"/>
            <w:szCs w:val="24"/>
            <w:u w:val="single"/>
          </w:rPr>
          <w:t>https://aboutforensics.co.uk/trace-evidence/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Forensic Science Regulator. (2015). </w:t>
      </w:r>
      <w:r w:rsidRPr="008F6EFE">
        <w:rPr>
          <w:rFonts w:ascii="Arial" w:eastAsia="Times New Roman" w:hAnsi="Arial" w:cs="Arial"/>
          <w:i/>
          <w:iCs/>
          <w:color w:val="000000"/>
          <w:sz w:val="24"/>
          <w:szCs w:val="24"/>
        </w:rPr>
        <w:t>The Control And Avoidance Of Contamination In Crime Scene Examination Involving DNA Evidence Recovery</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London: Forensic Science Regulator. Available at: </w:t>
      </w:r>
      <w:hyperlink r:id="rId32" w:history="1">
        <w:r w:rsidRPr="008F6EFE">
          <w:rPr>
            <w:rFonts w:ascii="Arial" w:eastAsia="Times New Roman" w:hAnsi="Arial" w:cs="Arial"/>
            <w:color w:val="1155CC"/>
            <w:sz w:val="24"/>
            <w:szCs w:val="24"/>
            <w:u w:val="single"/>
          </w:rPr>
          <w:t>https://assets.publishing.service.gov.uk/government/uploads/system/uploads/attachment_data/file/393866/206_FSR_SOC_contamination_consultation.pdf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Fowler, C. and </w:t>
      </w:r>
      <w:proofErr w:type="spellStart"/>
      <w:r w:rsidRPr="008F6EFE">
        <w:rPr>
          <w:rFonts w:ascii="Arial" w:eastAsia="Times New Roman" w:hAnsi="Arial" w:cs="Arial"/>
          <w:color w:val="000000"/>
          <w:sz w:val="24"/>
          <w:szCs w:val="24"/>
        </w:rPr>
        <w:t>Horswell</w:t>
      </w:r>
      <w:proofErr w:type="spellEnd"/>
      <w:r w:rsidRPr="008F6EFE">
        <w:rPr>
          <w:rFonts w:ascii="Arial" w:eastAsia="Times New Roman" w:hAnsi="Arial" w:cs="Arial"/>
          <w:color w:val="000000"/>
          <w:sz w:val="24"/>
          <w:szCs w:val="24"/>
        </w:rPr>
        <w:t xml:space="preserve">, J. (2004). </w:t>
      </w:r>
      <w:r w:rsidRPr="008F6EFE">
        <w:rPr>
          <w:rFonts w:ascii="Arial" w:eastAsia="Times New Roman" w:hAnsi="Arial" w:cs="Arial"/>
          <w:i/>
          <w:iCs/>
          <w:color w:val="000000"/>
          <w:sz w:val="24"/>
          <w:szCs w:val="24"/>
        </w:rPr>
        <w:t>The Practice Of Crime Scene Investigation - International Forensic Science And Investigation</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London: CRC Press. Available at: </w:t>
      </w:r>
      <w:hyperlink r:id="rId33" w:anchor="v=onepage&amp;q&amp;f=false" w:history="1">
        <w:r w:rsidRPr="008F6EFE">
          <w:rPr>
            <w:rFonts w:ascii="Arial" w:eastAsia="Times New Roman" w:hAnsi="Arial" w:cs="Arial"/>
            <w:color w:val="1155CC"/>
            <w:sz w:val="24"/>
            <w:szCs w:val="24"/>
            <w:u w:val="single"/>
          </w:rPr>
          <w:t>https://books.google.co.uk/books?hl=en&amp;lr=&amp;id=Ai7wOMS1z0EC&amp;oi=fnd&amp;pg=PA45&amp;dq=%27s&amp;ots=rp18cMasFK&amp;sig=l1jGr96o9CaP1FS2wAqTDdYMgV8#v=onepage&amp;q&amp;f=false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Gehl</w:t>
      </w:r>
      <w:proofErr w:type="spellEnd"/>
      <w:r w:rsidRPr="008F6EFE">
        <w:rPr>
          <w:rFonts w:ascii="Arial" w:eastAsia="Times New Roman" w:hAnsi="Arial" w:cs="Arial"/>
          <w:color w:val="000000"/>
          <w:sz w:val="24"/>
          <w:szCs w:val="24"/>
        </w:rPr>
        <w:t xml:space="preserve">, R. and </w:t>
      </w:r>
      <w:proofErr w:type="spellStart"/>
      <w:r w:rsidRPr="008F6EFE">
        <w:rPr>
          <w:rFonts w:ascii="Arial" w:eastAsia="Times New Roman" w:hAnsi="Arial" w:cs="Arial"/>
          <w:color w:val="000000"/>
          <w:sz w:val="24"/>
          <w:szCs w:val="24"/>
        </w:rPr>
        <w:t>Plecas</w:t>
      </w:r>
      <w:proofErr w:type="spellEnd"/>
      <w:r w:rsidRPr="008F6EFE">
        <w:rPr>
          <w:rFonts w:ascii="Arial" w:eastAsia="Times New Roman" w:hAnsi="Arial" w:cs="Arial"/>
          <w:color w:val="000000"/>
          <w:sz w:val="24"/>
          <w:szCs w:val="24"/>
        </w:rPr>
        <w:t xml:space="preserve">, D. (2016). </w:t>
      </w:r>
      <w:r w:rsidRPr="008F6EFE">
        <w:rPr>
          <w:rFonts w:ascii="Arial" w:eastAsia="Times New Roman" w:hAnsi="Arial" w:cs="Arial"/>
          <w:i/>
          <w:iCs/>
          <w:color w:val="000000"/>
          <w:sz w:val="24"/>
          <w:szCs w:val="24"/>
        </w:rPr>
        <w:t>Introduction To Criminal Investigation: Processes, Practices And Thinking</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New Westminster: Justice Institute of British Columbia. Available at: </w:t>
      </w:r>
      <w:hyperlink r:id="rId34" w:history="1">
        <w:r w:rsidRPr="008F6EFE">
          <w:rPr>
            <w:rFonts w:ascii="Arial" w:eastAsia="Times New Roman" w:hAnsi="Arial" w:cs="Arial"/>
            <w:color w:val="1155CC"/>
            <w:sz w:val="24"/>
            <w:szCs w:val="24"/>
            <w:u w:val="single"/>
          </w:rPr>
          <w:t>http://solr.bccampus.ca:8001/bcc/file/0c9b47a1-9309-470c-b83c-ed55f5e2a9ea/1/Introduction-to-Criminal-Investigation-Processes-Practices-and-Thinking.pdf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lastRenderedPageBreak/>
        <w:t xml:space="preserve">Gill, P. (2016). </w:t>
      </w:r>
      <w:r w:rsidRPr="008F6EFE">
        <w:rPr>
          <w:rFonts w:ascii="Arial" w:eastAsia="Times New Roman" w:hAnsi="Arial" w:cs="Arial"/>
          <w:i/>
          <w:iCs/>
          <w:color w:val="000000"/>
          <w:sz w:val="24"/>
          <w:szCs w:val="24"/>
        </w:rPr>
        <w:t xml:space="preserve">Analysis and Implications of the Miscarriages of Justice of Amanda Knox and </w:t>
      </w:r>
      <w:proofErr w:type="spellStart"/>
      <w:r w:rsidRPr="008F6EFE">
        <w:rPr>
          <w:rFonts w:ascii="Arial" w:eastAsia="Times New Roman" w:hAnsi="Arial" w:cs="Arial"/>
          <w:i/>
          <w:iCs/>
          <w:color w:val="000000"/>
          <w:sz w:val="24"/>
          <w:szCs w:val="24"/>
        </w:rPr>
        <w:t>Raffaele</w:t>
      </w:r>
      <w:proofErr w:type="spellEnd"/>
      <w:r w:rsidRPr="008F6EFE">
        <w:rPr>
          <w:rFonts w:ascii="Arial" w:eastAsia="Times New Roman" w:hAnsi="Arial" w:cs="Arial"/>
          <w:i/>
          <w:iCs/>
          <w:color w:val="000000"/>
          <w:sz w:val="24"/>
          <w:szCs w:val="24"/>
        </w:rPr>
        <w:t xml:space="preserve"> </w:t>
      </w:r>
      <w:proofErr w:type="spellStart"/>
      <w:r w:rsidRPr="008F6EFE">
        <w:rPr>
          <w:rFonts w:ascii="Arial" w:eastAsia="Times New Roman" w:hAnsi="Arial" w:cs="Arial"/>
          <w:i/>
          <w:iCs/>
          <w:color w:val="000000"/>
          <w:sz w:val="24"/>
          <w:szCs w:val="24"/>
        </w:rPr>
        <w:t>Sollecito</w:t>
      </w:r>
      <w:proofErr w:type="spellEnd"/>
      <w:r w:rsidRPr="008F6EFE">
        <w:rPr>
          <w:rFonts w:ascii="Arial" w:eastAsia="Times New Roman" w:hAnsi="Arial" w:cs="Arial"/>
          <w:color w:val="000000"/>
          <w:sz w:val="24"/>
          <w:szCs w:val="24"/>
        </w:rPr>
        <w:t xml:space="preserve">. Forensic Science International: Genetics, [online] 23, pp.9-18. Available at: </w:t>
      </w:r>
      <w:hyperlink r:id="rId35" w:history="1">
        <w:r w:rsidRPr="008F6EFE">
          <w:rPr>
            <w:rFonts w:ascii="Arial" w:eastAsia="Times New Roman" w:hAnsi="Arial" w:cs="Arial"/>
            <w:color w:val="1155CC"/>
            <w:sz w:val="24"/>
            <w:szCs w:val="24"/>
            <w:u w:val="single"/>
          </w:rPr>
          <w:t>https://www.sciencedirect.com/science/article/pii/S1872497316300333</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Grine</w:t>
      </w:r>
      <w:proofErr w:type="spellEnd"/>
      <w:r w:rsidRPr="008F6EFE">
        <w:rPr>
          <w:rFonts w:ascii="Arial" w:eastAsia="Times New Roman" w:hAnsi="Arial" w:cs="Arial"/>
          <w:color w:val="000000"/>
          <w:sz w:val="24"/>
          <w:szCs w:val="24"/>
        </w:rPr>
        <w:t xml:space="preserve">, A. and </w:t>
      </w:r>
      <w:proofErr w:type="spellStart"/>
      <w:r w:rsidRPr="008F6EFE">
        <w:rPr>
          <w:rFonts w:ascii="Arial" w:eastAsia="Times New Roman" w:hAnsi="Arial" w:cs="Arial"/>
          <w:color w:val="000000"/>
          <w:sz w:val="24"/>
          <w:szCs w:val="24"/>
        </w:rPr>
        <w:t>Rackley</w:t>
      </w:r>
      <w:proofErr w:type="spellEnd"/>
      <w:r w:rsidRPr="008F6EFE">
        <w:rPr>
          <w:rFonts w:ascii="Arial" w:eastAsia="Times New Roman" w:hAnsi="Arial" w:cs="Arial"/>
          <w:color w:val="000000"/>
          <w:sz w:val="24"/>
          <w:szCs w:val="24"/>
        </w:rPr>
        <w:t xml:space="preserve">, S. (2018). </w:t>
      </w:r>
      <w:r w:rsidRPr="008F6EFE">
        <w:rPr>
          <w:rFonts w:ascii="Arial" w:eastAsia="Times New Roman" w:hAnsi="Arial" w:cs="Arial"/>
          <w:i/>
          <w:iCs/>
          <w:color w:val="000000"/>
          <w:sz w:val="24"/>
          <w:szCs w:val="24"/>
        </w:rPr>
        <w:t>Presumptive And Confirmatory Forensics Tests</w:t>
      </w:r>
      <w:r w:rsidRPr="008F6EFE">
        <w:rPr>
          <w:rFonts w:ascii="Arial" w:eastAsia="Times New Roman" w:hAnsi="Arial" w:cs="Arial"/>
          <w:color w:val="000000"/>
          <w:sz w:val="24"/>
          <w:szCs w:val="24"/>
        </w:rPr>
        <w:t xml:space="preserve">. [online] University of North Carolina. Available at: </w:t>
      </w:r>
      <w:hyperlink r:id="rId36" w:history="1">
        <w:r w:rsidRPr="008F6EFE">
          <w:rPr>
            <w:rFonts w:ascii="Arial" w:eastAsia="Times New Roman" w:hAnsi="Arial" w:cs="Arial"/>
            <w:color w:val="1155CC"/>
            <w:sz w:val="24"/>
            <w:szCs w:val="24"/>
            <w:u w:val="single"/>
          </w:rPr>
          <w:t>https://www.sog.unc.edu/sites/www.sog.unc.edu/files/course_materials/Presumptive%20and%20Confirmatory%20Forensic%20Tests.pdf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Halkides</w:t>
      </w:r>
      <w:proofErr w:type="spellEnd"/>
      <w:r w:rsidRPr="008F6EFE">
        <w:rPr>
          <w:rFonts w:ascii="Arial" w:eastAsia="Times New Roman" w:hAnsi="Arial" w:cs="Arial"/>
          <w:color w:val="000000"/>
          <w:sz w:val="24"/>
          <w:szCs w:val="24"/>
        </w:rPr>
        <w:t xml:space="preserve">, C. (2012). </w:t>
      </w:r>
      <w:r w:rsidRPr="008F6EFE">
        <w:rPr>
          <w:rFonts w:ascii="Arial" w:eastAsia="Times New Roman" w:hAnsi="Arial" w:cs="Arial"/>
          <w:i/>
          <w:iCs/>
          <w:color w:val="000000"/>
          <w:sz w:val="24"/>
          <w:szCs w:val="24"/>
        </w:rPr>
        <w:t>Presumptive Blood Testing In The Chamberlain, Taylor, Lovejoy, And Knox/</w:t>
      </w:r>
      <w:proofErr w:type="spellStart"/>
      <w:r w:rsidRPr="008F6EFE">
        <w:rPr>
          <w:rFonts w:ascii="Arial" w:eastAsia="Times New Roman" w:hAnsi="Arial" w:cs="Arial"/>
          <w:i/>
          <w:iCs/>
          <w:color w:val="000000"/>
          <w:sz w:val="24"/>
          <w:szCs w:val="24"/>
        </w:rPr>
        <w:t>Sollecito</w:t>
      </w:r>
      <w:proofErr w:type="spellEnd"/>
      <w:r w:rsidRPr="008F6EFE">
        <w:rPr>
          <w:rFonts w:ascii="Arial" w:eastAsia="Times New Roman" w:hAnsi="Arial" w:cs="Arial"/>
          <w:i/>
          <w:iCs/>
          <w:color w:val="000000"/>
          <w:sz w:val="24"/>
          <w:szCs w:val="24"/>
        </w:rPr>
        <w:t xml:space="preserve"> Cases</w:t>
      </w:r>
      <w:r w:rsidRPr="008F6EFE">
        <w:rPr>
          <w:rFonts w:ascii="Arial" w:eastAsia="Times New Roman" w:hAnsi="Arial" w:cs="Arial"/>
          <w:color w:val="000000"/>
          <w:sz w:val="24"/>
          <w:szCs w:val="24"/>
        </w:rPr>
        <w:t xml:space="preserve">. [online] University of North Carolina Wilmington. Available at: </w:t>
      </w:r>
      <w:hyperlink r:id="rId37" w:anchor=":~:text=Amanda%20Knox%20and%20Raffaele%20Sollecito&amp;text=A%20second%20presumptive%20field%20test,only%20positive%20indications%20of%20blood" w:history="1">
        <w:r w:rsidRPr="008F6EFE">
          <w:rPr>
            <w:rFonts w:ascii="Arial" w:eastAsia="Times New Roman" w:hAnsi="Arial" w:cs="Arial"/>
            <w:color w:val="1155CC"/>
            <w:sz w:val="24"/>
            <w:szCs w:val="24"/>
            <w:u w:val="single"/>
          </w:rPr>
          <w:t>http://viewfromwilmington.blogspot.com/2012/07/presumptive-blood-testing-in.html#:~:text=Amanda%20Knox%20and%20Raffaele%20Sollecito&amp;text=A%20second%20presumptive%20field%20test,only%20positive%20indications%20of%20blood</w:t>
        </w:r>
      </w:hyperlink>
      <w:r w:rsidRPr="008F6EFE">
        <w:rPr>
          <w:rFonts w:ascii="Arial" w:eastAsia="Times New Roman" w:hAnsi="Arial" w:cs="Arial"/>
          <w:color w:val="000000"/>
          <w:sz w:val="24"/>
          <w:szCs w:val="24"/>
        </w:rPr>
        <w:t>.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HMICFRS. (2017). </w:t>
      </w:r>
      <w:r w:rsidRPr="008F6EFE">
        <w:rPr>
          <w:rFonts w:ascii="Arial" w:eastAsia="Times New Roman" w:hAnsi="Arial" w:cs="Arial"/>
          <w:i/>
          <w:iCs/>
          <w:color w:val="000000"/>
          <w:sz w:val="24"/>
          <w:szCs w:val="24"/>
        </w:rPr>
        <w:t>Annual Police Effectiveness, Efficiency And Legitimacy Inspection: Police Effectiveness - An Inspection Of The Police Service Of Northern Ireland</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Belfast: HMICFRS - Her Majesty's Inspectorate of Constabulary and Fire &amp; Rescue Services. Available at: </w:t>
      </w:r>
      <w:hyperlink r:id="rId38" w:history="1">
        <w:r w:rsidRPr="008F6EFE">
          <w:rPr>
            <w:rFonts w:ascii="Arial" w:eastAsia="Times New Roman" w:hAnsi="Arial" w:cs="Arial"/>
            <w:color w:val="1155CC"/>
            <w:sz w:val="24"/>
            <w:szCs w:val="24"/>
            <w:u w:val="single"/>
          </w:rPr>
          <w:t>https://www.justiceinspectorates.gov.uk/hmicfrs/wp-content/uploads/peel-police-effectiveness-2017-psni.pdf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Injustice Anywhere. (2016). </w:t>
      </w:r>
      <w:r w:rsidRPr="008F6EFE">
        <w:rPr>
          <w:rFonts w:ascii="Arial" w:eastAsia="Times New Roman" w:hAnsi="Arial" w:cs="Arial"/>
          <w:i/>
          <w:iCs/>
          <w:color w:val="000000"/>
          <w:sz w:val="24"/>
          <w:szCs w:val="24"/>
        </w:rPr>
        <w:t xml:space="preserve">Injustice Anywhere: The Amanda Knox &amp; </w:t>
      </w:r>
      <w:proofErr w:type="spellStart"/>
      <w:r w:rsidRPr="008F6EFE">
        <w:rPr>
          <w:rFonts w:ascii="Arial" w:eastAsia="Times New Roman" w:hAnsi="Arial" w:cs="Arial"/>
          <w:i/>
          <w:iCs/>
          <w:color w:val="000000"/>
          <w:sz w:val="24"/>
          <w:szCs w:val="24"/>
        </w:rPr>
        <w:t>Raffaele</w:t>
      </w:r>
      <w:proofErr w:type="spellEnd"/>
      <w:r w:rsidRPr="008F6EFE">
        <w:rPr>
          <w:rFonts w:ascii="Arial" w:eastAsia="Times New Roman" w:hAnsi="Arial" w:cs="Arial"/>
          <w:i/>
          <w:iCs/>
          <w:color w:val="000000"/>
          <w:sz w:val="24"/>
          <w:szCs w:val="24"/>
        </w:rPr>
        <w:t xml:space="preserve"> </w:t>
      </w:r>
      <w:proofErr w:type="spellStart"/>
      <w:r w:rsidRPr="008F6EFE">
        <w:rPr>
          <w:rFonts w:ascii="Arial" w:eastAsia="Times New Roman" w:hAnsi="Arial" w:cs="Arial"/>
          <w:i/>
          <w:iCs/>
          <w:color w:val="000000"/>
          <w:sz w:val="24"/>
          <w:szCs w:val="24"/>
        </w:rPr>
        <w:t>Sollecito</w:t>
      </w:r>
      <w:proofErr w:type="spellEnd"/>
      <w:r w:rsidRPr="008F6EFE">
        <w:rPr>
          <w:rFonts w:ascii="Arial" w:eastAsia="Times New Roman" w:hAnsi="Arial" w:cs="Arial"/>
          <w:i/>
          <w:iCs/>
          <w:color w:val="000000"/>
          <w:sz w:val="24"/>
          <w:szCs w:val="24"/>
        </w:rPr>
        <w:t xml:space="preserve"> Case - </w:t>
      </w:r>
      <w:proofErr w:type="spellStart"/>
      <w:r w:rsidRPr="008F6EFE">
        <w:rPr>
          <w:rFonts w:ascii="Arial" w:eastAsia="Times New Roman" w:hAnsi="Arial" w:cs="Arial"/>
          <w:i/>
          <w:iCs/>
          <w:color w:val="000000"/>
          <w:sz w:val="24"/>
          <w:szCs w:val="24"/>
        </w:rPr>
        <w:t>Luminol</w:t>
      </w:r>
      <w:proofErr w:type="spellEnd"/>
      <w:r w:rsidRPr="008F6EFE">
        <w:rPr>
          <w:rFonts w:ascii="Arial" w:eastAsia="Times New Roman" w:hAnsi="Arial" w:cs="Arial"/>
          <w:i/>
          <w:iCs/>
          <w:color w:val="000000"/>
          <w:sz w:val="24"/>
          <w:szCs w:val="24"/>
        </w:rPr>
        <w:t xml:space="preserve"> Tests Negative For Blood</w:t>
      </w:r>
      <w:r w:rsidRPr="008F6EFE">
        <w:rPr>
          <w:rFonts w:ascii="Arial" w:eastAsia="Times New Roman" w:hAnsi="Arial" w:cs="Arial"/>
          <w:color w:val="000000"/>
          <w:sz w:val="24"/>
          <w:szCs w:val="24"/>
        </w:rPr>
        <w:t xml:space="preserve">. [online] Injustice Anywhere. Available at: </w:t>
      </w:r>
      <w:hyperlink r:id="rId39" w:history="1">
        <w:r w:rsidRPr="008F6EFE">
          <w:rPr>
            <w:rFonts w:ascii="Arial" w:eastAsia="Times New Roman" w:hAnsi="Arial" w:cs="Arial"/>
            <w:color w:val="1155CC"/>
            <w:sz w:val="24"/>
            <w:szCs w:val="24"/>
            <w:u w:val="single"/>
          </w:rPr>
          <w:t>http://www.amandaknoxcase.net/luminol/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JESIP. (2020). </w:t>
      </w:r>
      <w:r w:rsidRPr="008F6EFE">
        <w:rPr>
          <w:rFonts w:ascii="Arial" w:eastAsia="Times New Roman" w:hAnsi="Arial" w:cs="Arial"/>
          <w:i/>
          <w:iCs/>
          <w:color w:val="000000"/>
          <w:sz w:val="24"/>
          <w:szCs w:val="24"/>
        </w:rPr>
        <w:t>Early Stages Of An Incident &amp; M/ETHANE</w:t>
      </w:r>
      <w:r w:rsidRPr="008F6EFE">
        <w:rPr>
          <w:rFonts w:ascii="Arial" w:eastAsia="Times New Roman" w:hAnsi="Arial" w:cs="Arial"/>
          <w:color w:val="000000"/>
          <w:sz w:val="24"/>
          <w:szCs w:val="24"/>
        </w:rPr>
        <w:t xml:space="preserve">. [online] JESIP - Joint Emergency Services Interoperability Principles. Available at: </w:t>
      </w:r>
      <w:hyperlink r:id="rId40" w:history="1">
        <w:r w:rsidRPr="008F6EFE">
          <w:rPr>
            <w:rFonts w:ascii="Arial" w:eastAsia="Times New Roman" w:hAnsi="Arial" w:cs="Arial"/>
            <w:color w:val="1155CC"/>
            <w:sz w:val="24"/>
            <w:szCs w:val="24"/>
            <w:u w:val="single"/>
          </w:rPr>
          <w:t>https://www.jesip.org.uk/early-stages-methane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Kirk, P. (1953). </w:t>
      </w:r>
      <w:r w:rsidRPr="008F6EFE">
        <w:rPr>
          <w:rFonts w:ascii="Arial" w:eastAsia="Times New Roman" w:hAnsi="Arial" w:cs="Arial"/>
          <w:i/>
          <w:iCs/>
          <w:color w:val="000000"/>
          <w:sz w:val="24"/>
          <w:szCs w:val="24"/>
        </w:rPr>
        <w:t>Crime Investigation: Physical Evidence And The Police Laboratory</w:t>
      </w:r>
      <w:r w:rsidRPr="008F6EFE">
        <w:rPr>
          <w:rFonts w:ascii="Arial" w:eastAsia="Times New Roman" w:hAnsi="Arial" w:cs="Arial"/>
          <w:color w:val="000000"/>
          <w:sz w:val="24"/>
          <w:szCs w:val="24"/>
        </w:rPr>
        <w:t xml:space="preserve">. New York: </w:t>
      </w:r>
      <w:proofErr w:type="spellStart"/>
      <w:r w:rsidRPr="008F6EFE">
        <w:rPr>
          <w:rFonts w:ascii="Arial" w:eastAsia="Times New Roman" w:hAnsi="Arial" w:cs="Arial"/>
          <w:color w:val="000000"/>
          <w:sz w:val="24"/>
          <w:szCs w:val="24"/>
        </w:rPr>
        <w:t>Interscience</w:t>
      </w:r>
      <w:proofErr w:type="spellEnd"/>
      <w:r w:rsidRPr="008F6EFE">
        <w:rPr>
          <w:rFonts w:ascii="Arial" w:eastAsia="Times New Roman" w:hAnsi="Arial" w:cs="Arial"/>
          <w:color w:val="000000"/>
          <w:sz w:val="24"/>
          <w:szCs w:val="24"/>
        </w:rPr>
        <w:t xml:space="preserve"> Publishers.</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Kunz, S., </w:t>
      </w:r>
      <w:proofErr w:type="spellStart"/>
      <w:r w:rsidRPr="008F6EFE">
        <w:rPr>
          <w:rFonts w:ascii="Arial" w:eastAsia="Times New Roman" w:hAnsi="Arial" w:cs="Arial"/>
          <w:color w:val="000000"/>
          <w:sz w:val="24"/>
          <w:szCs w:val="24"/>
        </w:rPr>
        <w:t>Mützel</w:t>
      </w:r>
      <w:proofErr w:type="spellEnd"/>
      <w:r w:rsidRPr="008F6EFE">
        <w:rPr>
          <w:rFonts w:ascii="Arial" w:eastAsia="Times New Roman" w:hAnsi="Arial" w:cs="Arial"/>
          <w:color w:val="000000"/>
          <w:sz w:val="24"/>
          <w:szCs w:val="24"/>
        </w:rPr>
        <w:t xml:space="preserve">, E., </w:t>
      </w:r>
      <w:proofErr w:type="spellStart"/>
      <w:r w:rsidRPr="008F6EFE">
        <w:rPr>
          <w:rFonts w:ascii="Arial" w:eastAsia="Times New Roman" w:hAnsi="Arial" w:cs="Arial"/>
          <w:color w:val="000000"/>
          <w:sz w:val="24"/>
          <w:szCs w:val="24"/>
        </w:rPr>
        <w:t>Peschel</w:t>
      </w:r>
      <w:proofErr w:type="spellEnd"/>
      <w:r w:rsidRPr="008F6EFE">
        <w:rPr>
          <w:rFonts w:ascii="Arial" w:eastAsia="Times New Roman" w:hAnsi="Arial" w:cs="Arial"/>
          <w:color w:val="000000"/>
          <w:sz w:val="24"/>
          <w:szCs w:val="24"/>
        </w:rPr>
        <w:t xml:space="preserve">, O. and Rothschild, M. (2010). </w:t>
      </w:r>
      <w:r w:rsidRPr="008F6EFE">
        <w:rPr>
          <w:rFonts w:ascii="Arial" w:eastAsia="Times New Roman" w:hAnsi="Arial" w:cs="Arial"/>
          <w:i/>
          <w:iCs/>
          <w:color w:val="000000"/>
          <w:sz w:val="24"/>
          <w:szCs w:val="24"/>
        </w:rPr>
        <w:t>Blood Stain Pattern Analysis</w:t>
      </w:r>
      <w:r w:rsidRPr="008F6EFE">
        <w:rPr>
          <w:rFonts w:ascii="Arial" w:eastAsia="Times New Roman" w:hAnsi="Arial" w:cs="Arial"/>
          <w:color w:val="000000"/>
          <w:sz w:val="24"/>
          <w:szCs w:val="24"/>
        </w:rPr>
        <w:t xml:space="preserve">. Forensic Science, Medicine, and Pathology, [online] 7(3), pp.257-270. Available at: </w:t>
      </w:r>
      <w:hyperlink r:id="rId41" w:history="1">
        <w:r w:rsidRPr="008F6EFE">
          <w:rPr>
            <w:rFonts w:ascii="Arial" w:eastAsia="Times New Roman" w:hAnsi="Arial" w:cs="Arial"/>
            <w:color w:val="1155CC"/>
            <w:sz w:val="24"/>
            <w:szCs w:val="24"/>
            <w:u w:val="single"/>
          </w:rPr>
          <w:t>https://link.springer.com/article/10.1007/s12024-010-9198-1</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Kwok, R., Lim, Z., Lim, W., Lim, Z., </w:t>
      </w:r>
      <w:proofErr w:type="spellStart"/>
      <w:r w:rsidRPr="008F6EFE">
        <w:rPr>
          <w:rFonts w:ascii="Arial" w:eastAsia="Times New Roman" w:hAnsi="Arial" w:cs="Arial"/>
          <w:color w:val="000000"/>
          <w:sz w:val="24"/>
          <w:szCs w:val="24"/>
        </w:rPr>
        <w:t>Syn</w:t>
      </w:r>
      <w:proofErr w:type="spellEnd"/>
      <w:r w:rsidRPr="008F6EFE">
        <w:rPr>
          <w:rFonts w:ascii="Arial" w:eastAsia="Times New Roman" w:hAnsi="Arial" w:cs="Arial"/>
          <w:color w:val="000000"/>
          <w:sz w:val="24"/>
          <w:szCs w:val="24"/>
        </w:rPr>
        <w:t xml:space="preserve">, C., Tan, J. and Wong, H. (2019). </w:t>
      </w:r>
      <w:r w:rsidRPr="008F6EFE">
        <w:rPr>
          <w:rFonts w:ascii="Arial" w:eastAsia="Times New Roman" w:hAnsi="Arial" w:cs="Arial"/>
          <w:i/>
          <w:iCs/>
          <w:color w:val="000000"/>
          <w:sz w:val="24"/>
          <w:szCs w:val="24"/>
        </w:rPr>
        <w:t>DNA Profiling Success Rates of Commonly Submitted Crime Scene Items</w:t>
      </w:r>
      <w:r w:rsidRPr="008F6EFE">
        <w:rPr>
          <w:rFonts w:ascii="Arial" w:eastAsia="Times New Roman" w:hAnsi="Arial" w:cs="Arial"/>
          <w:color w:val="000000"/>
          <w:sz w:val="24"/>
          <w:szCs w:val="24"/>
        </w:rPr>
        <w:t xml:space="preserve">. Forensic Science International: Genetics Supplement Series, [online] 7(1), pp.597-599. Available at: </w:t>
      </w:r>
      <w:hyperlink r:id="rId42" w:anchor=":~:text=The%20average%20DNA%20profiling%20success,%25%20and%2070.7%25%2C%20respectively" w:history="1">
        <w:r w:rsidRPr="008F6EFE">
          <w:rPr>
            <w:rFonts w:ascii="Arial" w:eastAsia="Times New Roman" w:hAnsi="Arial" w:cs="Arial"/>
            <w:color w:val="1155CC"/>
            <w:sz w:val="24"/>
            <w:szCs w:val="24"/>
            <w:u w:val="single"/>
          </w:rPr>
          <w:t>https://www.sciencedirect.com/science/article/pii/S1875176819301647#:~:text</w:t>
        </w:r>
        <w:r w:rsidRPr="008F6EFE">
          <w:rPr>
            <w:rFonts w:ascii="Arial" w:eastAsia="Times New Roman" w:hAnsi="Arial" w:cs="Arial"/>
            <w:color w:val="1155CC"/>
            <w:sz w:val="24"/>
            <w:szCs w:val="24"/>
            <w:u w:val="single"/>
          </w:rPr>
          <w:lastRenderedPageBreak/>
          <w:t>=The%20average%20DNA%20profiling%20success,%25%20and%2070.7%25%2C%20respectively</w:t>
        </w:r>
      </w:hyperlink>
      <w:r w:rsidRPr="008F6EFE">
        <w:rPr>
          <w:rFonts w:ascii="Arial" w:eastAsia="Times New Roman" w:hAnsi="Arial" w:cs="Arial"/>
          <w:color w:val="000000"/>
          <w:sz w:val="24"/>
          <w:szCs w:val="24"/>
        </w:rPr>
        <w:t>.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Metropolitan Police. (2019). </w:t>
      </w:r>
      <w:r w:rsidRPr="008F6EFE">
        <w:rPr>
          <w:rFonts w:ascii="Arial" w:eastAsia="Times New Roman" w:hAnsi="Arial" w:cs="Arial"/>
          <w:i/>
          <w:iCs/>
          <w:color w:val="000000"/>
          <w:sz w:val="24"/>
          <w:szCs w:val="24"/>
        </w:rPr>
        <w:t>Homicide Investigation Policy</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London: Metropolitan Police. Available at: </w:t>
      </w:r>
      <w:hyperlink r:id="rId43" w:history="1">
        <w:r w:rsidRPr="008F6EFE">
          <w:rPr>
            <w:rFonts w:ascii="Arial" w:eastAsia="Times New Roman" w:hAnsi="Arial" w:cs="Arial"/>
            <w:color w:val="1155CC"/>
            <w:sz w:val="24"/>
            <w:szCs w:val="24"/>
            <w:u w:val="single"/>
          </w:rPr>
          <w:t>https://www.met.police.uk/SysSiteAssets/foi-media/metropolitan-police/disclosure_2019/january_2019/information-rights-unit---london-homicide-manual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Morgan, R. (2019). </w:t>
      </w:r>
      <w:r w:rsidRPr="008F6EFE">
        <w:rPr>
          <w:rFonts w:ascii="Arial" w:eastAsia="Times New Roman" w:hAnsi="Arial" w:cs="Arial"/>
          <w:i/>
          <w:iCs/>
          <w:color w:val="000000"/>
          <w:sz w:val="24"/>
          <w:szCs w:val="24"/>
        </w:rPr>
        <w:t>Forensic Science: The Dangers Of Misinterpreted Evidence</w:t>
      </w:r>
      <w:r w:rsidRPr="008F6EFE">
        <w:rPr>
          <w:rFonts w:ascii="Arial" w:eastAsia="Times New Roman" w:hAnsi="Arial" w:cs="Arial"/>
          <w:color w:val="000000"/>
          <w:sz w:val="24"/>
          <w:szCs w:val="24"/>
        </w:rPr>
        <w:t xml:space="preserve">. [online] University College London. Available at: </w:t>
      </w:r>
      <w:hyperlink r:id="rId44" w:history="1">
        <w:r w:rsidRPr="008F6EFE">
          <w:rPr>
            <w:rFonts w:ascii="Arial" w:eastAsia="Times New Roman" w:hAnsi="Arial" w:cs="Arial"/>
            <w:color w:val="1155CC"/>
            <w:sz w:val="24"/>
            <w:szCs w:val="24"/>
            <w:u w:val="single"/>
          </w:rPr>
          <w:t>https://www.ucl.ac.uk/made-at-ucl/stories/forensic-science-dangers-misinterpreted-evidence</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NFSTC. (2013). </w:t>
      </w:r>
      <w:r w:rsidRPr="008F6EFE">
        <w:rPr>
          <w:rFonts w:ascii="Arial" w:eastAsia="Times New Roman" w:hAnsi="Arial" w:cs="Arial"/>
          <w:i/>
          <w:iCs/>
          <w:color w:val="000000"/>
          <w:sz w:val="24"/>
          <w:szCs w:val="24"/>
        </w:rPr>
        <w:t>Crime Scene Investigation: How It's Done</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Tallahassee: NFSTC - National Forensic Science Technology Centre. Available at: </w:t>
      </w:r>
      <w:hyperlink r:id="rId45" w:history="1">
        <w:r w:rsidRPr="008F6EFE">
          <w:rPr>
            <w:rFonts w:ascii="Arial" w:eastAsia="Times New Roman" w:hAnsi="Arial" w:cs="Arial"/>
            <w:color w:val="1155CC"/>
            <w:sz w:val="24"/>
            <w:szCs w:val="24"/>
            <w:u w:val="single"/>
          </w:rPr>
          <w:t>http://www.forensicsciencesimplified.org/csi/how.html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Podlas</w:t>
      </w:r>
      <w:proofErr w:type="spellEnd"/>
      <w:r w:rsidRPr="008F6EFE">
        <w:rPr>
          <w:rFonts w:ascii="Arial" w:eastAsia="Times New Roman" w:hAnsi="Arial" w:cs="Arial"/>
          <w:color w:val="000000"/>
          <w:sz w:val="24"/>
          <w:szCs w:val="24"/>
        </w:rPr>
        <w:t xml:space="preserve">, K. (2005). </w:t>
      </w:r>
      <w:r w:rsidRPr="008F6EFE">
        <w:rPr>
          <w:rFonts w:ascii="Arial" w:eastAsia="Times New Roman" w:hAnsi="Arial" w:cs="Arial"/>
          <w:i/>
          <w:iCs/>
          <w:color w:val="000000"/>
          <w:sz w:val="24"/>
          <w:szCs w:val="24"/>
        </w:rPr>
        <w:t>"The CSI Effect": Exposing the Media Myth</w:t>
      </w:r>
      <w:r w:rsidRPr="008F6EFE">
        <w:rPr>
          <w:rFonts w:ascii="Arial" w:eastAsia="Times New Roman" w:hAnsi="Arial" w:cs="Arial"/>
          <w:color w:val="000000"/>
          <w:sz w:val="24"/>
          <w:szCs w:val="24"/>
        </w:rPr>
        <w:t xml:space="preserve">. Media and Entertainment Law Journal, [online] 16(2). Available at: </w:t>
      </w:r>
      <w:hyperlink r:id="rId46" w:history="1">
        <w:r w:rsidRPr="008F6EFE">
          <w:rPr>
            <w:rFonts w:ascii="Arial" w:eastAsia="Times New Roman" w:hAnsi="Arial" w:cs="Arial"/>
            <w:color w:val="1155CC"/>
            <w:sz w:val="24"/>
            <w:szCs w:val="24"/>
            <w:u w:val="single"/>
          </w:rPr>
          <w:t>https://core.ac.uk/download/pdf/144229758.pdf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Police and Criminal Evidence Act 1984. Available at: </w:t>
      </w:r>
      <w:hyperlink r:id="rId47" w:history="1">
        <w:r w:rsidRPr="008F6EFE">
          <w:rPr>
            <w:rFonts w:ascii="Arial" w:eastAsia="Times New Roman" w:hAnsi="Arial" w:cs="Arial"/>
            <w:color w:val="1155CC"/>
            <w:sz w:val="24"/>
            <w:szCs w:val="24"/>
            <w:u w:val="single"/>
          </w:rPr>
          <w:t>https://www.legislation.gov.uk/ukpga/1984/60/contents</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RSE. (2017). </w:t>
      </w:r>
      <w:r w:rsidRPr="008F6EFE">
        <w:rPr>
          <w:rFonts w:ascii="Arial" w:eastAsia="Times New Roman" w:hAnsi="Arial" w:cs="Arial"/>
          <w:i/>
          <w:iCs/>
          <w:color w:val="000000"/>
          <w:sz w:val="24"/>
          <w:szCs w:val="24"/>
        </w:rPr>
        <w:t>Forensic DNA Analysis</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Edinburgh: RSE - The Royal Society of Edinburgh. Available at: </w:t>
      </w:r>
      <w:hyperlink r:id="rId48" w:history="1">
        <w:r w:rsidRPr="008F6EFE">
          <w:rPr>
            <w:rFonts w:ascii="Arial" w:eastAsia="Times New Roman" w:hAnsi="Arial" w:cs="Arial"/>
            <w:color w:val="1155CC"/>
            <w:sz w:val="24"/>
            <w:szCs w:val="24"/>
            <w:u w:val="single"/>
          </w:rPr>
          <w:t>https://royalsociety.org/-/media/about-us/programmes/science-and-law/royal-society-forensic-dna-analysis-primer-for-courts.pdf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proofErr w:type="spellStart"/>
      <w:r w:rsidRPr="008F6EFE">
        <w:rPr>
          <w:rFonts w:ascii="Arial" w:eastAsia="Times New Roman" w:hAnsi="Arial" w:cs="Arial"/>
          <w:color w:val="000000"/>
          <w:sz w:val="24"/>
          <w:szCs w:val="24"/>
        </w:rPr>
        <w:t>Soham</w:t>
      </w:r>
      <w:proofErr w:type="spellEnd"/>
      <w:r w:rsidRPr="008F6EFE">
        <w:rPr>
          <w:rFonts w:ascii="Arial" w:eastAsia="Times New Roman" w:hAnsi="Arial" w:cs="Arial"/>
          <w:color w:val="000000"/>
          <w:sz w:val="24"/>
          <w:szCs w:val="24"/>
        </w:rPr>
        <w:t xml:space="preserve"> Murders. (2015). </w:t>
      </w:r>
      <w:r w:rsidRPr="008F6EFE">
        <w:rPr>
          <w:rFonts w:ascii="Arial" w:eastAsia="Times New Roman" w:hAnsi="Arial" w:cs="Arial"/>
          <w:i/>
          <w:iCs/>
          <w:color w:val="000000"/>
          <w:sz w:val="24"/>
          <w:szCs w:val="24"/>
        </w:rPr>
        <w:t>FAO (First Attending Officer)</w:t>
      </w:r>
      <w:r w:rsidRPr="008F6EFE">
        <w:rPr>
          <w:rFonts w:ascii="Arial" w:eastAsia="Times New Roman" w:hAnsi="Arial" w:cs="Arial"/>
          <w:color w:val="000000"/>
          <w:sz w:val="24"/>
          <w:szCs w:val="24"/>
        </w:rPr>
        <w:t xml:space="preserve">. [online] The </w:t>
      </w:r>
      <w:proofErr w:type="spellStart"/>
      <w:r w:rsidRPr="008F6EFE">
        <w:rPr>
          <w:rFonts w:ascii="Arial" w:eastAsia="Times New Roman" w:hAnsi="Arial" w:cs="Arial"/>
          <w:color w:val="000000"/>
          <w:sz w:val="24"/>
          <w:szCs w:val="24"/>
        </w:rPr>
        <w:t>Soham</w:t>
      </w:r>
      <w:proofErr w:type="spellEnd"/>
      <w:r w:rsidRPr="008F6EFE">
        <w:rPr>
          <w:rFonts w:ascii="Arial" w:eastAsia="Times New Roman" w:hAnsi="Arial" w:cs="Arial"/>
          <w:color w:val="000000"/>
          <w:sz w:val="24"/>
          <w:szCs w:val="24"/>
        </w:rPr>
        <w:t xml:space="preserve"> Murders. Available at: </w:t>
      </w:r>
      <w:hyperlink r:id="rId49" w:history="1">
        <w:r w:rsidRPr="008F6EFE">
          <w:rPr>
            <w:rFonts w:ascii="Arial" w:eastAsia="Times New Roman" w:hAnsi="Arial" w:cs="Arial"/>
            <w:color w:val="1155CC"/>
            <w:sz w:val="24"/>
            <w:szCs w:val="24"/>
            <w:u w:val="single"/>
          </w:rPr>
          <w:t>https://thesohammurderantoniasumner.weebly.com/fao-first-attending-officer.html#</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UNODC. (2009). </w:t>
      </w:r>
      <w:r w:rsidRPr="008F6EFE">
        <w:rPr>
          <w:rFonts w:ascii="Arial" w:eastAsia="Times New Roman" w:hAnsi="Arial" w:cs="Arial"/>
          <w:i/>
          <w:iCs/>
          <w:color w:val="000000"/>
          <w:sz w:val="24"/>
          <w:szCs w:val="24"/>
        </w:rPr>
        <w:t>Crime Scene And Physical Evidence Awareness For Non-Forensic Personnel</w:t>
      </w:r>
      <w:r w:rsidRPr="008F6EFE">
        <w:rPr>
          <w:rFonts w:ascii="Arial" w:eastAsia="Times New Roman" w:hAnsi="Arial" w:cs="Arial"/>
          <w:color w:val="000000"/>
          <w:sz w:val="24"/>
          <w:szCs w:val="24"/>
        </w:rPr>
        <w:t>. [</w:t>
      </w:r>
      <w:proofErr w:type="spellStart"/>
      <w:r w:rsidRPr="008F6EFE">
        <w:rPr>
          <w:rFonts w:ascii="Arial" w:eastAsia="Times New Roman" w:hAnsi="Arial" w:cs="Arial"/>
          <w:color w:val="000000"/>
          <w:sz w:val="24"/>
          <w:szCs w:val="24"/>
        </w:rPr>
        <w:t>ebook</w:t>
      </w:r>
      <w:proofErr w:type="spellEnd"/>
      <w:r w:rsidRPr="008F6EFE">
        <w:rPr>
          <w:rFonts w:ascii="Arial" w:eastAsia="Times New Roman" w:hAnsi="Arial" w:cs="Arial"/>
          <w:color w:val="000000"/>
          <w:sz w:val="24"/>
          <w:szCs w:val="24"/>
        </w:rPr>
        <w:t xml:space="preserve">] Vienna: UNODC - United Nations Office on Drugs and Crime. Available at: </w:t>
      </w:r>
      <w:hyperlink r:id="rId50" w:history="1">
        <w:r w:rsidRPr="008F6EFE">
          <w:rPr>
            <w:rFonts w:ascii="Arial" w:eastAsia="Times New Roman" w:hAnsi="Arial" w:cs="Arial"/>
            <w:color w:val="1155CC"/>
            <w:sz w:val="24"/>
            <w:szCs w:val="24"/>
            <w:u w:val="single"/>
          </w:rPr>
          <w:t>https://www.unodc.org/documents/scientific/Crime_scene_awareness__Ebook.pdf</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rPr>
          <w:rFonts w:ascii="Arial" w:eastAsia="Times New Roman" w:hAnsi="Arial" w:cs="Arial"/>
          <w:sz w:val="24"/>
          <w:szCs w:val="24"/>
        </w:rPr>
      </w:pPr>
    </w:p>
    <w:p w:rsidR="008F6EFE" w:rsidRPr="008F6EFE" w:rsidRDefault="008F6EFE" w:rsidP="00474D1E">
      <w:pPr>
        <w:numPr>
          <w:ilvl w:val="0"/>
          <w:numId w:val="49"/>
        </w:numPr>
        <w:spacing w:after="0" w:line="480" w:lineRule="auto"/>
        <w:textAlignment w:val="baseline"/>
        <w:rPr>
          <w:rFonts w:ascii="Arial" w:eastAsia="Times New Roman" w:hAnsi="Arial" w:cs="Arial"/>
          <w:color w:val="000000"/>
          <w:sz w:val="24"/>
          <w:szCs w:val="24"/>
        </w:rPr>
      </w:pPr>
      <w:r w:rsidRPr="008F6EFE">
        <w:rPr>
          <w:rFonts w:ascii="Arial" w:eastAsia="Times New Roman" w:hAnsi="Arial" w:cs="Arial"/>
          <w:color w:val="000000"/>
          <w:sz w:val="24"/>
          <w:szCs w:val="24"/>
        </w:rPr>
        <w:t xml:space="preserve">Weir, B. (2008). </w:t>
      </w:r>
      <w:r w:rsidRPr="008F6EFE">
        <w:rPr>
          <w:rFonts w:ascii="Arial" w:eastAsia="Times New Roman" w:hAnsi="Arial" w:cs="Arial"/>
          <w:i/>
          <w:iCs/>
          <w:color w:val="000000"/>
          <w:sz w:val="24"/>
          <w:szCs w:val="24"/>
        </w:rPr>
        <w:t>The Rarity of DNA Profiles</w:t>
      </w:r>
      <w:r w:rsidRPr="008F6EFE">
        <w:rPr>
          <w:rFonts w:ascii="Arial" w:eastAsia="Times New Roman" w:hAnsi="Arial" w:cs="Arial"/>
          <w:color w:val="000000"/>
          <w:sz w:val="24"/>
          <w:szCs w:val="24"/>
        </w:rPr>
        <w:t xml:space="preserve">. Annals of Applied Statistics, [online] 1(2), pp.358-370. Available at: </w:t>
      </w:r>
      <w:hyperlink r:id="rId51" w:history="1">
        <w:r w:rsidRPr="008F6EFE">
          <w:rPr>
            <w:rFonts w:ascii="Arial" w:eastAsia="Times New Roman" w:hAnsi="Arial" w:cs="Arial"/>
            <w:color w:val="1155CC"/>
            <w:sz w:val="24"/>
            <w:szCs w:val="24"/>
            <w:u w:val="single"/>
          </w:rPr>
          <w:t>https://www.ncbi.nlm.nih.gov/pmc/articles/PMC2585748/</w:t>
        </w:r>
      </w:hyperlink>
      <w:r w:rsidRPr="008F6EFE">
        <w:rPr>
          <w:rFonts w:ascii="Arial" w:eastAsia="Times New Roman" w:hAnsi="Arial" w:cs="Arial"/>
          <w:color w:val="000000"/>
          <w:sz w:val="24"/>
          <w:szCs w:val="24"/>
        </w:rPr>
        <w:t xml:space="preserve"> [Accessed 17 October 2020].</w:t>
      </w:r>
    </w:p>
    <w:p w:rsidR="008F6EFE" w:rsidRPr="008F6EFE" w:rsidRDefault="008F6EFE" w:rsidP="008F6EFE">
      <w:pPr>
        <w:spacing w:after="0" w:line="480" w:lineRule="auto"/>
        <w:textAlignment w:val="baseline"/>
        <w:rPr>
          <w:rFonts w:ascii="Arial" w:eastAsia="Times New Roman" w:hAnsi="Arial" w:cs="Arial"/>
          <w:color w:val="000000"/>
          <w:sz w:val="24"/>
          <w:szCs w:val="24"/>
        </w:rPr>
      </w:pPr>
    </w:p>
    <w:p w:rsidR="008F6EFE" w:rsidRPr="008F6EFE" w:rsidRDefault="008F6EFE" w:rsidP="00474D1E">
      <w:pPr>
        <w:pStyle w:val="ListParagraph"/>
        <w:numPr>
          <w:ilvl w:val="0"/>
          <w:numId w:val="49"/>
        </w:numPr>
        <w:spacing w:after="0" w:line="480" w:lineRule="auto"/>
        <w:rPr>
          <w:rFonts w:ascii="Arial" w:eastAsia="Times New Roman" w:hAnsi="Arial" w:cs="Arial"/>
          <w:sz w:val="24"/>
          <w:szCs w:val="24"/>
        </w:rPr>
      </w:pPr>
      <w:r w:rsidRPr="008F6EFE">
        <w:rPr>
          <w:rFonts w:ascii="Arial" w:eastAsia="Times New Roman" w:hAnsi="Arial" w:cs="Arial"/>
          <w:color w:val="000000"/>
          <w:sz w:val="24"/>
          <w:szCs w:val="24"/>
        </w:rPr>
        <w:t xml:space="preserve">Your Genome. (2014). </w:t>
      </w:r>
      <w:r w:rsidRPr="008F6EFE">
        <w:rPr>
          <w:rFonts w:ascii="Arial" w:eastAsia="Times New Roman" w:hAnsi="Arial" w:cs="Arial"/>
          <w:i/>
          <w:iCs/>
          <w:color w:val="000000"/>
          <w:sz w:val="24"/>
          <w:szCs w:val="24"/>
        </w:rPr>
        <w:t>What Is The UK National DNA Database? (NDNAD)</w:t>
      </w:r>
      <w:r w:rsidRPr="008F6EFE">
        <w:rPr>
          <w:rFonts w:ascii="Arial" w:eastAsia="Times New Roman" w:hAnsi="Arial" w:cs="Arial"/>
          <w:color w:val="000000"/>
          <w:sz w:val="24"/>
          <w:szCs w:val="24"/>
        </w:rPr>
        <w:t xml:space="preserve">. [online] Your Genome. Available at: </w:t>
      </w:r>
      <w:hyperlink r:id="rId52" w:history="1">
        <w:r w:rsidRPr="008F6EFE">
          <w:rPr>
            <w:rFonts w:ascii="Arial" w:eastAsia="Times New Roman" w:hAnsi="Arial" w:cs="Arial"/>
            <w:color w:val="1155CC"/>
            <w:sz w:val="24"/>
            <w:szCs w:val="24"/>
            <w:u w:val="single"/>
          </w:rPr>
          <w:t>https://www.yourgenome.org/facts/what-is-the-uk-national-dna-database</w:t>
        </w:r>
      </w:hyperlink>
      <w:r w:rsidRPr="008F6EFE">
        <w:rPr>
          <w:rFonts w:ascii="Arial" w:eastAsia="Times New Roman" w:hAnsi="Arial" w:cs="Arial"/>
          <w:color w:val="000000"/>
          <w:sz w:val="24"/>
          <w:szCs w:val="24"/>
        </w:rPr>
        <w:t xml:space="preserve"> [Accessed 17 October 2020].</w:t>
      </w:r>
    </w:p>
    <w:sectPr w:rsidR="008F6EFE" w:rsidRPr="008F6EFE" w:rsidSect="007240E4">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55575"/>
    <w:multiLevelType w:val="multilevel"/>
    <w:tmpl w:val="74B8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E116E"/>
    <w:multiLevelType w:val="multilevel"/>
    <w:tmpl w:val="ACEE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5067FC"/>
    <w:multiLevelType w:val="multilevel"/>
    <w:tmpl w:val="145E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0570CE"/>
    <w:multiLevelType w:val="multilevel"/>
    <w:tmpl w:val="C4B25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605604"/>
    <w:multiLevelType w:val="multilevel"/>
    <w:tmpl w:val="2D44E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E40FF0"/>
    <w:multiLevelType w:val="multilevel"/>
    <w:tmpl w:val="3FF87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192385"/>
    <w:multiLevelType w:val="multilevel"/>
    <w:tmpl w:val="B4C4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5D71EB"/>
    <w:multiLevelType w:val="multilevel"/>
    <w:tmpl w:val="0FAA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5F265C"/>
    <w:multiLevelType w:val="multilevel"/>
    <w:tmpl w:val="9B628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6F75F9"/>
    <w:multiLevelType w:val="multilevel"/>
    <w:tmpl w:val="2CEA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865347"/>
    <w:multiLevelType w:val="multilevel"/>
    <w:tmpl w:val="1AAA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A16165"/>
    <w:multiLevelType w:val="multilevel"/>
    <w:tmpl w:val="66D8E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A4925F5"/>
    <w:multiLevelType w:val="multilevel"/>
    <w:tmpl w:val="BF50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126E8D"/>
    <w:multiLevelType w:val="multilevel"/>
    <w:tmpl w:val="B3CA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BB4E57"/>
    <w:multiLevelType w:val="multilevel"/>
    <w:tmpl w:val="2F8C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CB2FB9"/>
    <w:multiLevelType w:val="multilevel"/>
    <w:tmpl w:val="FC0C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2595EC7"/>
    <w:multiLevelType w:val="multilevel"/>
    <w:tmpl w:val="79B4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9F3AC2"/>
    <w:multiLevelType w:val="multilevel"/>
    <w:tmpl w:val="B4C0D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290743"/>
    <w:multiLevelType w:val="multilevel"/>
    <w:tmpl w:val="ABF4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828497B"/>
    <w:multiLevelType w:val="multilevel"/>
    <w:tmpl w:val="6DB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AD4950"/>
    <w:multiLevelType w:val="multilevel"/>
    <w:tmpl w:val="8EC20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85123F"/>
    <w:multiLevelType w:val="multilevel"/>
    <w:tmpl w:val="683C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0C82458"/>
    <w:multiLevelType w:val="multilevel"/>
    <w:tmpl w:val="D8A8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157233A"/>
    <w:multiLevelType w:val="multilevel"/>
    <w:tmpl w:val="4C76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8071E70"/>
    <w:multiLevelType w:val="multilevel"/>
    <w:tmpl w:val="E5E4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09626B"/>
    <w:multiLevelType w:val="multilevel"/>
    <w:tmpl w:val="C6A0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EE54B9"/>
    <w:multiLevelType w:val="multilevel"/>
    <w:tmpl w:val="F550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015387C"/>
    <w:multiLevelType w:val="multilevel"/>
    <w:tmpl w:val="434E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4B19A4"/>
    <w:multiLevelType w:val="multilevel"/>
    <w:tmpl w:val="98CEA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2B4635"/>
    <w:multiLevelType w:val="multilevel"/>
    <w:tmpl w:val="204A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631C56"/>
    <w:multiLevelType w:val="multilevel"/>
    <w:tmpl w:val="73BED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670828"/>
    <w:multiLevelType w:val="multilevel"/>
    <w:tmpl w:val="0CF8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79336E"/>
    <w:multiLevelType w:val="multilevel"/>
    <w:tmpl w:val="8DA8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36A5D72"/>
    <w:multiLevelType w:val="multilevel"/>
    <w:tmpl w:val="45BE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39261DB"/>
    <w:multiLevelType w:val="multilevel"/>
    <w:tmpl w:val="AE02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9B3D08"/>
    <w:multiLevelType w:val="multilevel"/>
    <w:tmpl w:val="415A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DD7593A"/>
    <w:multiLevelType w:val="multilevel"/>
    <w:tmpl w:val="A2089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C46ABE"/>
    <w:multiLevelType w:val="multilevel"/>
    <w:tmpl w:val="6F7A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1DD2FE2"/>
    <w:multiLevelType w:val="multilevel"/>
    <w:tmpl w:val="5C6AE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3532C60"/>
    <w:multiLevelType w:val="multilevel"/>
    <w:tmpl w:val="53F2E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6CE346C"/>
    <w:multiLevelType w:val="multilevel"/>
    <w:tmpl w:val="92D20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C1959D1"/>
    <w:multiLevelType w:val="multilevel"/>
    <w:tmpl w:val="E9C0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1319D4"/>
    <w:multiLevelType w:val="multilevel"/>
    <w:tmpl w:val="290C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3B0344"/>
    <w:multiLevelType w:val="multilevel"/>
    <w:tmpl w:val="12EC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14357C0"/>
    <w:multiLevelType w:val="multilevel"/>
    <w:tmpl w:val="2EAE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0660EA"/>
    <w:multiLevelType w:val="multilevel"/>
    <w:tmpl w:val="56F0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B5B21FB"/>
    <w:multiLevelType w:val="multilevel"/>
    <w:tmpl w:val="8336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8A2184"/>
    <w:multiLevelType w:val="multilevel"/>
    <w:tmpl w:val="E8B2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E420BDC"/>
    <w:multiLevelType w:val="multilevel"/>
    <w:tmpl w:val="434E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6"/>
  </w:num>
  <w:num w:numId="3">
    <w:abstractNumId w:val="20"/>
  </w:num>
  <w:num w:numId="4">
    <w:abstractNumId w:val="2"/>
  </w:num>
  <w:num w:numId="5">
    <w:abstractNumId w:val="23"/>
  </w:num>
  <w:num w:numId="6">
    <w:abstractNumId w:val="11"/>
  </w:num>
  <w:num w:numId="7">
    <w:abstractNumId w:val="7"/>
  </w:num>
  <w:num w:numId="8">
    <w:abstractNumId w:val="19"/>
  </w:num>
  <w:num w:numId="9">
    <w:abstractNumId w:val="47"/>
  </w:num>
  <w:num w:numId="10">
    <w:abstractNumId w:val="38"/>
  </w:num>
  <w:num w:numId="11">
    <w:abstractNumId w:val="12"/>
  </w:num>
  <w:num w:numId="12">
    <w:abstractNumId w:val="32"/>
  </w:num>
  <w:num w:numId="13">
    <w:abstractNumId w:val="30"/>
  </w:num>
  <w:num w:numId="14">
    <w:abstractNumId w:val="0"/>
  </w:num>
  <w:num w:numId="15">
    <w:abstractNumId w:val="1"/>
  </w:num>
  <w:num w:numId="16">
    <w:abstractNumId w:val="15"/>
  </w:num>
  <w:num w:numId="17">
    <w:abstractNumId w:val="4"/>
  </w:num>
  <w:num w:numId="18">
    <w:abstractNumId w:val="33"/>
  </w:num>
  <w:num w:numId="19">
    <w:abstractNumId w:val="17"/>
  </w:num>
  <w:num w:numId="20">
    <w:abstractNumId w:val="25"/>
  </w:num>
  <w:num w:numId="21">
    <w:abstractNumId w:val="8"/>
  </w:num>
  <w:num w:numId="22">
    <w:abstractNumId w:val="9"/>
  </w:num>
  <w:num w:numId="23">
    <w:abstractNumId w:val="31"/>
  </w:num>
  <w:num w:numId="24">
    <w:abstractNumId w:val="44"/>
  </w:num>
  <w:num w:numId="25">
    <w:abstractNumId w:val="18"/>
  </w:num>
  <w:num w:numId="26">
    <w:abstractNumId w:val="5"/>
  </w:num>
  <w:num w:numId="27">
    <w:abstractNumId w:val="28"/>
  </w:num>
  <w:num w:numId="28">
    <w:abstractNumId w:val="10"/>
  </w:num>
  <w:num w:numId="29">
    <w:abstractNumId w:val="13"/>
  </w:num>
  <w:num w:numId="30">
    <w:abstractNumId w:val="24"/>
  </w:num>
  <w:num w:numId="31">
    <w:abstractNumId w:val="14"/>
  </w:num>
  <w:num w:numId="32">
    <w:abstractNumId w:val="29"/>
  </w:num>
  <w:num w:numId="33">
    <w:abstractNumId w:val="40"/>
  </w:num>
  <w:num w:numId="34">
    <w:abstractNumId w:val="39"/>
  </w:num>
  <w:num w:numId="35">
    <w:abstractNumId w:val="43"/>
  </w:num>
  <w:num w:numId="36">
    <w:abstractNumId w:val="26"/>
  </w:num>
  <w:num w:numId="37">
    <w:abstractNumId w:val="46"/>
  </w:num>
  <w:num w:numId="38">
    <w:abstractNumId w:val="21"/>
  </w:num>
  <w:num w:numId="39">
    <w:abstractNumId w:val="45"/>
  </w:num>
  <w:num w:numId="40">
    <w:abstractNumId w:val="42"/>
  </w:num>
  <w:num w:numId="41">
    <w:abstractNumId w:val="36"/>
  </w:num>
  <w:num w:numId="42">
    <w:abstractNumId w:val="37"/>
  </w:num>
  <w:num w:numId="43">
    <w:abstractNumId w:val="6"/>
  </w:num>
  <w:num w:numId="44">
    <w:abstractNumId w:val="41"/>
  </w:num>
  <w:num w:numId="45">
    <w:abstractNumId w:val="35"/>
  </w:num>
  <w:num w:numId="46">
    <w:abstractNumId w:val="22"/>
  </w:num>
  <w:num w:numId="47">
    <w:abstractNumId w:val="3"/>
  </w:num>
  <w:num w:numId="48">
    <w:abstractNumId w:val="48"/>
  </w:num>
  <w:num w:numId="4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useFELayout/>
  </w:compat>
  <w:rsids>
    <w:rsidRoot w:val="008F6EFE"/>
    <w:rsid w:val="00107FC7"/>
    <w:rsid w:val="001E330F"/>
    <w:rsid w:val="001E45E8"/>
    <w:rsid w:val="00203FE7"/>
    <w:rsid w:val="00332A36"/>
    <w:rsid w:val="003766FA"/>
    <w:rsid w:val="003C1008"/>
    <w:rsid w:val="00474D1E"/>
    <w:rsid w:val="004B6682"/>
    <w:rsid w:val="00685D60"/>
    <w:rsid w:val="007240E4"/>
    <w:rsid w:val="00761B15"/>
    <w:rsid w:val="008A07A2"/>
    <w:rsid w:val="008F4F3A"/>
    <w:rsid w:val="008F6EFE"/>
    <w:rsid w:val="009853DF"/>
    <w:rsid w:val="00A87633"/>
    <w:rsid w:val="00AF27D4"/>
    <w:rsid w:val="00CA04D9"/>
    <w:rsid w:val="00D443FB"/>
    <w:rsid w:val="00D553DB"/>
    <w:rsid w:val="00D66653"/>
    <w:rsid w:val="00D977F4"/>
    <w:rsid w:val="00E0611C"/>
    <w:rsid w:val="00ED49A0"/>
    <w:rsid w:val="00FF60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7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6EF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F6EFE"/>
    <w:rPr>
      <w:color w:val="0000FF"/>
      <w:u w:val="single"/>
    </w:rPr>
  </w:style>
  <w:style w:type="paragraph" w:styleId="ListParagraph">
    <w:name w:val="List Paragraph"/>
    <w:basedOn w:val="Normal"/>
    <w:uiPriority w:val="34"/>
    <w:qFormat/>
    <w:rsid w:val="008F6EFE"/>
    <w:pPr>
      <w:ind w:left="720"/>
      <w:contextualSpacing/>
    </w:pPr>
  </w:style>
  <w:style w:type="paragraph" w:styleId="NoSpacing">
    <w:name w:val="No Spacing"/>
    <w:link w:val="NoSpacingChar"/>
    <w:uiPriority w:val="1"/>
    <w:qFormat/>
    <w:rsid w:val="007240E4"/>
    <w:pPr>
      <w:spacing w:after="0" w:line="240" w:lineRule="auto"/>
    </w:pPr>
    <w:rPr>
      <w:lang w:val="en-US" w:eastAsia="en-US"/>
    </w:rPr>
  </w:style>
  <w:style w:type="character" w:customStyle="1" w:styleId="NoSpacingChar">
    <w:name w:val="No Spacing Char"/>
    <w:basedOn w:val="DefaultParagraphFont"/>
    <w:link w:val="NoSpacing"/>
    <w:uiPriority w:val="1"/>
    <w:rsid w:val="007240E4"/>
    <w:rPr>
      <w:lang w:val="en-US" w:eastAsia="en-US"/>
    </w:rPr>
  </w:style>
  <w:style w:type="paragraph" w:styleId="BalloonText">
    <w:name w:val="Balloon Text"/>
    <w:basedOn w:val="Normal"/>
    <w:link w:val="BalloonTextChar"/>
    <w:uiPriority w:val="99"/>
    <w:semiHidden/>
    <w:unhideWhenUsed/>
    <w:rsid w:val="007240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0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3023298">
      <w:bodyDiv w:val="1"/>
      <w:marLeft w:val="0"/>
      <w:marRight w:val="0"/>
      <w:marTop w:val="0"/>
      <w:marBottom w:val="0"/>
      <w:divBdr>
        <w:top w:val="none" w:sz="0" w:space="0" w:color="auto"/>
        <w:left w:val="none" w:sz="0" w:space="0" w:color="auto"/>
        <w:bottom w:val="none" w:sz="0" w:space="0" w:color="auto"/>
        <w:right w:val="none" w:sz="0" w:space="0" w:color="auto"/>
      </w:divBdr>
    </w:div>
    <w:div w:id="850992512">
      <w:bodyDiv w:val="1"/>
      <w:marLeft w:val="0"/>
      <w:marRight w:val="0"/>
      <w:marTop w:val="0"/>
      <w:marBottom w:val="0"/>
      <w:divBdr>
        <w:top w:val="none" w:sz="0" w:space="0" w:color="auto"/>
        <w:left w:val="none" w:sz="0" w:space="0" w:color="auto"/>
        <w:bottom w:val="none" w:sz="0" w:space="0" w:color="auto"/>
        <w:right w:val="none" w:sz="0" w:space="0" w:color="auto"/>
      </w:divBdr>
    </w:div>
    <w:div w:id="1223448270">
      <w:bodyDiv w:val="1"/>
      <w:marLeft w:val="0"/>
      <w:marRight w:val="0"/>
      <w:marTop w:val="0"/>
      <w:marBottom w:val="0"/>
      <w:divBdr>
        <w:top w:val="none" w:sz="0" w:space="0" w:color="auto"/>
        <w:left w:val="none" w:sz="0" w:space="0" w:color="auto"/>
        <w:bottom w:val="none" w:sz="0" w:space="0" w:color="auto"/>
        <w:right w:val="none" w:sz="0" w:space="0" w:color="auto"/>
      </w:divBdr>
    </w:div>
    <w:div w:id="1234582013">
      <w:bodyDiv w:val="1"/>
      <w:marLeft w:val="0"/>
      <w:marRight w:val="0"/>
      <w:marTop w:val="0"/>
      <w:marBottom w:val="0"/>
      <w:divBdr>
        <w:top w:val="none" w:sz="0" w:space="0" w:color="auto"/>
        <w:left w:val="none" w:sz="0" w:space="0" w:color="auto"/>
        <w:bottom w:val="none" w:sz="0" w:space="0" w:color="auto"/>
        <w:right w:val="none" w:sz="0" w:space="0" w:color="auto"/>
      </w:divBdr>
    </w:div>
    <w:div w:id="1816144251">
      <w:bodyDiv w:val="1"/>
      <w:marLeft w:val="0"/>
      <w:marRight w:val="0"/>
      <w:marTop w:val="0"/>
      <w:marBottom w:val="0"/>
      <w:divBdr>
        <w:top w:val="none" w:sz="0" w:space="0" w:color="auto"/>
        <w:left w:val="none" w:sz="0" w:space="0" w:color="auto"/>
        <w:bottom w:val="none" w:sz="0" w:space="0" w:color="auto"/>
        <w:right w:val="none" w:sz="0" w:space="0" w:color="auto"/>
      </w:divBdr>
    </w:div>
    <w:div w:id="214094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idp.springer.com/authorize/casa?redirect_uri=https://link.springer.com/content/pdf/10.1007/s11896-013-9131-0.pdf&amp;casa_token=_Dq2-jvRHkAAAAAA:1D78JkElldtzkQyvUQWClWB4owze4UhiiJSssOqyWPaJc7UcyTQ04TuPvHFO_O8t0wQaQ9DT_zCMwyKVDGg" TargetMode="External"/><Relationship Id="rId18" Type="http://schemas.openxmlformats.org/officeDocument/2006/relationships/hyperlink" Target="https://www.app.college.police.uk/app-content/investigations/forensics/" TargetMode="External"/><Relationship Id="rId26" Type="http://schemas.openxmlformats.org/officeDocument/2006/relationships/hyperlink" Target="https://sites.law.duke.edu/forensicsforum/2017/03/17/an-overview-of-presumptive-and-confirmatory-testing-in-the-forensic-sciences/" TargetMode="External"/><Relationship Id="rId39" Type="http://schemas.openxmlformats.org/officeDocument/2006/relationships/hyperlink" Target="http://www.amandaknoxcase.net/luminol/" TargetMode="External"/><Relationship Id="rId21" Type="http://schemas.openxmlformats.org/officeDocument/2006/relationships/hyperlink" Target="https://www.amazon.co.uk/Blackstones-Crime-Investigators-Handbook-Tony/dp/0199662932" TargetMode="External"/><Relationship Id="rId34" Type="http://schemas.openxmlformats.org/officeDocument/2006/relationships/hyperlink" Target="http://solr.bccampus.ca:8001/bcc/file/0c9b47a1-9309-470c-b83c-ed55f5e2a9ea/1/Introduction-to-Criminal-Investigation-Processes-Practices-and-Thinking.pdf" TargetMode="External"/><Relationship Id="rId42" Type="http://schemas.openxmlformats.org/officeDocument/2006/relationships/hyperlink" Target="https://www.sciencedirect.com/science/article/pii/S1875176819301647" TargetMode="External"/><Relationship Id="rId47" Type="http://schemas.openxmlformats.org/officeDocument/2006/relationships/hyperlink" Target="https://www.legislation.gov.uk/ukpga/1984/60/contents" TargetMode="External"/><Relationship Id="rId50" Type="http://schemas.openxmlformats.org/officeDocument/2006/relationships/hyperlink" Target="https://www.unodc.org/documents/scientific/Crime_scene_awareness__Ebook.pdf" TargetMode="External"/><Relationship Id="rId55" Type="http://schemas.openxmlformats.org/officeDocument/2006/relationships/theme" Target="theme/theme1.xml"/><Relationship Id="rId7" Type="http://schemas.openxmlformats.org/officeDocument/2006/relationships/hyperlink" Target="https://www.pasadenastarnews.com/2014/06/08/oj-simpson-case-taught-police-what-not-to-do-at-a-crime-scene/" TargetMode="External"/><Relationship Id="rId12" Type="http://schemas.openxmlformats.org/officeDocument/2006/relationships/hyperlink" Target="https://onlinelibrary.wiley.com/doi/full/10.1111/j.1556-4029.2010.01671.x?casa_token=PSQq6yrT26oAAAAA%3ATxmId34rMbGaCIIBnMq46xxP0wjXsPK6OLn1R8Ap5Ghlf9kBSeN89WdMvG3xna8TN6ulxtns6Ce1Z2rl3A" TargetMode="External"/><Relationship Id="rId17" Type="http://schemas.openxmlformats.org/officeDocument/2006/relationships/hyperlink" Target="https://www.app.college.police.uk/app-content/major-investigation-and-public-protection/domestic-abuse/first-response/" TargetMode="External"/><Relationship Id="rId25" Type="http://schemas.openxmlformats.org/officeDocument/2006/relationships/hyperlink" Target="https://microbiologysociety.org/publication/past-issues/microbiology-in-popular-culture/article/managing-the-myths-the-csi-effect-in-forensic-science.html" TargetMode="External"/><Relationship Id="rId33" Type="http://schemas.openxmlformats.org/officeDocument/2006/relationships/hyperlink" Target="https://books.google.co.uk/books?hl=en&amp;lr=&amp;id=Ai7wOMS1z0EC&amp;oi=fnd&amp;pg=PA45&amp;dq=%27s&amp;ots=rp18cMasFK&amp;sig=l1jGr96o9CaP1FS2wAqTDdYMgV8" TargetMode="External"/><Relationship Id="rId38" Type="http://schemas.openxmlformats.org/officeDocument/2006/relationships/hyperlink" Target="https://www.justiceinspectorates.gov.uk/hmicfrs/wp-content/uploads/peel-police-effectiveness-2017-psni.pdf" TargetMode="External"/><Relationship Id="rId46" Type="http://schemas.openxmlformats.org/officeDocument/2006/relationships/hyperlink" Target="https://core.ac.uk/download/pdf/144229758.pdf" TargetMode="External"/><Relationship Id="rId2" Type="http://schemas.openxmlformats.org/officeDocument/2006/relationships/styles" Target="styles.xml"/><Relationship Id="rId16" Type="http://schemas.openxmlformats.org/officeDocument/2006/relationships/hyperlink" Target="https://journals.sagepub.com/doi/full/10.1177/0963662513481294?casa_token=90XL5s6tsa8AAAAA%3AwaS-zw7wsS18aF1c-SukxhTwBUYRbNgTPESVZmDNfSXMBrLTU-XLvJbL8KhasTWHt4SGKPs25ZsRh_c" TargetMode="External"/><Relationship Id="rId20" Type="http://schemas.openxmlformats.org/officeDocument/2006/relationships/hyperlink" Target="https://moodle.uwtsd.ac.uk/pluginfile.php/426333/mod_resource/content/1/Blackstones%20FAO.pdf" TargetMode="External"/><Relationship Id="rId29" Type="http://schemas.openxmlformats.org/officeDocument/2006/relationships/hyperlink" Target="http://www.forensic-evidence.co.uk/" TargetMode="External"/><Relationship Id="rId41" Type="http://schemas.openxmlformats.org/officeDocument/2006/relationships/hyperlink" Target="https://link.springer.com/article/10.1007/s12024-010-9198-1" TargetMode="External"/><Relationship Id="rId54"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hyperlink" Target="https://cen.acs.org/articles/95/i37/Thirty-years-DNA-forensics-DNA.html" TargetMode="External"/><Relationship Id="rId11" Type="http://schemas.openxmlformats.org/officeDocument/2006/relationships/hyperlink" Target="https://assets.publishing.service.gov.uk/government/uploads/system/uploads/attachment_data/file/115849/hoor4305.pdf" TargetMode="External"/><Relationship Id="rId24" Type="http://schemas.openxmlformats.org/officeDocument/2006/relationships/hyperlink" Target="https://www.legislation.gov.uk/ukpga/1996/25/contents" TargetMode="External"/><Relationship Id="rId32" Type="http://schemas.openxmlformats.org/officeDocument/2006/relationships/hyperlink" Target="https://assets.publishing.service.gov.uk/government/uploads/system/uploads/attachment_data/file/393866/206_FSR_SOC_contamination_consultation.pdf" TargetMode="External"/><Relationship Id="rId37" Type="http://schemas.openxmlformats.org/officeDocument/2006/relationships/hyperlink" Target="http://viewfromwilmington.blogspot.com/2012/07/presumptive-blood-testing-in.html" TargetMode="External"/><Relationship Id="rId40" Type="http://schemas.openxmlformats.org/officeDocument/2006/relationships/hyperlink" Target="https://www.jesip.org.uk/early-stages-methane" TargetMode="External"/><Relationship Id="rId45" Type="http://schemas.openxmlformats.org/officeDocument/2006/relationships/hyperlink" Target="http://www.forensicsciencesimplified.org/csi/how.html" TargetMode="External"/><Relationship Id="rId53" Type="http://schemas.openxmlformats.org/officeDocument/2006/relationships/fontTable" Target="fontTable.xml"/><Relationship Id="rId5" Type="http://schemas.openxmlformats.org/officeDocument/2006/relationships/hyperlink" Target="https://aizmanlaw.com/lessons-learned-evidence-gathering-mistakes-simpson-case/" TargetMode="External"/><Relationship Id="rId15" Type="http://schemas.openxmlformats.org/officeDocument/2006/relationships/hyperlink" Target="https://www.sciencedirect.com/science/article/pii/S1872497318302746?casa_token=e0scblmfsMoAAAAA:GyeIHf34QV9fRCzucD3tTQoXt6ub-VhiYuKDzAUucj0n_5y2QYRilfvvLoz6PayW70IVLJzR9fsAYw" TargetMode="External"/><Relationship Id="rId23" Type="http://schemas.openxmlformats.org/officeDocument/2006/relationships/hyperlink" Target="https://www.crimemuseum.org/crime-library/famous-murders/forensic-investigation-of-the-oj-simpson-trial/" TargetMode="External"/><Relationship Id="rId28" Type="http://schemas.openxmlformats.org/officeDocument/2006/relationships/hyperlink" Target="https://www.essex.police.uk/news/essex/news/news/2020/february/detectives-appeal-for-fresh-information-about-the-rape-and-murder-of-stuart-lubbock/" TargetMode="External"/><Relationship Id="rId36" Type="http://schemas.openxmlformats.org/officeDocument/2006/relationships/hyperlink" Target="https://www.sog.unc.edu/sites/www.sog.unc.edu/files/course_materials/Presumptive%20and%20Confirmatory%20Forensic%20Tests.pdf" TargetMode="External"/><Relationship Id="rId49" Type="http://schemas.openxmlformats.org/officeDocument/2006/relationships/hyperlink" Target="https://thesohammurderantoniasumner.weebly.com/fao-first-attending-officer.html" TargetMode="External"/><Relationship Id="rId10" Type="http://schemas.openxmlformats.org/officeDocument/2006/relationships/hyperlink" Target="https://www.sciencedirect.com/science/article/pii/B9780128026557000071" TargetMode="External"/><Relationship Id="rId19" Type="http://schemas.openxmlformats.org/officeDocument/2006/relationships/hyperlink" Target="https://www.app.college.police.uk/app-content/investigations/investigation-process/" TargetMode="External"/><Relationship Id="rId31" Type="http://schemas.openxmlformats.org/officeDocument/2006/relationships/hyperlink" Target="https://aboutforensics.co.uk/trace-evidence/" TargetMode="External"/><Relationship Id="rId44" Type="http://schemas.openxmlformats.org/officeDocument/2006/relationships/hyperlink" Target="https://www.ucl.ac.uk/made-at-ucl/stories/forensic-science-dangers-misinterpreted-evidence" TargetMode="External"/><Relationship Id="rId52" Type="http://schemas.openxmlformats.org/officeDocument/2006/relationships/hyperlink" Target="https://www.yourgenome.org/facts/what-is-the-uk-national-dna-database" TargetMode="External"/><Relationship Id="rId4" Type="http://schemas.openxmlformats.org/officeDocument/2006/relationships/webSettings" Target="webSettings.xml"/><Relationship Id="rId9" Type="http://schemas.openxmlformats.org/officeDocument/2006/relationships/hyperlink" Target="https://www.bbc.co.uk/news/uk-england-essex-51315670" TargetMode="External"/><Relationship Id="rId14" Type="http://schemas.openxmlformats.org/officeDocument/2006/relationships/hyperlink" Target="https://core.ac.uk/download/pdf/1752938.pdf" TargetMode="External"/><Relationship Id="rId22" Type="http://schemas.openxmlformats.org/officeDocument/2006/relationships/hyperlink" Target="https://www.cps.gov.uk/reporting-crime" TargetMode="External"/><Relationship Id="rId27" Type="http://schemas.openxmlformats.org/officeDocument/2006/relationships/hyperlink" Target="https://moodle.uwtsd.ac.uk/pluginfile.php/354373/mod_resource/content/1/ENFSI%20forensic.pdf" TargetMode="External"/><Relationship Id="rId30" Type="http://schemas.openxmlformats.org/officeDocument/2006/relationships/hyperlink" Target="https://aboutforensics.co.uk/crime-scenes/" TargetMode="External"/><Relationship Id="rId35" Type="http://schemas.openxmlformats.org/officeDocument/2006/relationships/hyperlink" Target="https://www.sciencedirect.com/science/article/pii/S1872497316300333" TargetMode="External"/><Relationship Id="rId43" Type="http://schemas.openxmlformats.org/officeDocument/2006/relationships/hyperlink" Target="https://www.met.police.uk/SysSiteAssets/foi-media/metropolitan-police/disclosure_2019/january_2019/information-rights-unit---london-homicide-manual" TargetMode="External"/><Relationship Id="rId48" Type="http://schemas.openxmlformats.org/officeDocument/2006/relationships/hyperlink" Target="https://royalsociety.org/-/media/about-us/programmes/science-and-law/royal-society-forensic-dna-analysis-primer-for-courts.pdf" TargetMode="External"/><Relationship Id="rId8" Type="http://schemas.openxmlformats.org/officeDocument/2006/relationships/hyperlink" Target="https://www.crime-scene-investigator.net/crime-scene-contamination-issues.html" TargetMode="External"/><Relationship Id="rId51" Type="http://schemas.openxmlformats.org/officeDocument/2006/relationships/hyperlink" Target="https://www.ncbi.nlm.nih.gov/pmc/articles/PMC2585748/" TargetMode="External"/><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40FD7"/>
    <w:rsid w:val="00156AC3"/>
    <w:rsid w:val="00477059"/>
    <w:rsid w:val="00940FD7"/>
    <w:rsid w:val="00E26D47"/>
    <w:rsid w:val="00FE720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B216A4B9E549E8B580C8587FD666D8">
    <w:name w:val="11B216A4B9E549E8B580C8587FD666D8"/>
    <w:rsid w:val="00940FD7"/>
  </w:style>
  <w:style w:type="paragraph" w:customStyle="1" w:styleId="2C9F0E4266DE4F2CB36AAA537FB405CC">
    <w:name w:val="2C9F0E4266DE4F2CB36AAA537FB405CC"/>
    <w:rsid w:val="00940FD7"/>
  </w:style>
  <w:style w:type="paragraph" w:customStyle="1" w:styleId="AE0E2BEDF7B44F48BD517E0797490CFE">
    <w:name w:val="AE0E2BEDF7B44F48BD517E0797490CFE"/>
    <w:rsid w:val="00940FD7"/>
  </w:style>
  <w:style w:type="paragraph" w:customStyle="1" w:styleId="2A81FBC592CA4DC3A43961E8909864BD">
    <w:name w:val="2A81FBC592CA4DC3A43961E8909864BD"/>
    <w:rsid w:val="00940FD7"/>
  </w:style>
  <w:style w:type="paragraph" w:customStyle="1" w:styleId="26DC940630BA421AA36543CD043E3B02">
    <w:name w:val="26DC940630BA421AA36543CD043E3B02"/>
    <w:rsid w:val="00940FD7"/>
  </w:style>
  <w:style w:type="paragraph" w:customStyle="1" w:styleId="4D6D59FC893541B4903306F5DEDAE99E">
    <w:name w:val="4D6D59FC893541B4903306F5DEDAE99E"/>
    <w:rsid w:val="00940FD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26</Pages>
  <Words>6299</Words>
  <Characters>35909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"Critically Evaluate the Processes and Procedures Adopted by the First Attending Officer (FAO) at a Crime Scene in Order to Reduce the Possibilities of Cross Contamination" &amp; "Critically Analyse the Methods in Practice for the Recovery and Examination of </vt:lpstr>
    </vt:vector>
  </TitlesOfParts>
  <Company>UNIVERSITY OF WALES TRINITY SAINT DAVID</Company>
  <LinksUpToDate>false</LinksUpToDate>
  <CharactersWithSpaces>42124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Processes and Procedures Adopted by the First Attending Officer (FAO) at a Crime Scene in Order to Reduce the Possibilities of Cross Contamination" &amp; "Critically Analyse the Methods in Practice for the Recovery and Examination of Forensic Evidence at Crime Scenes, Evaluating the Legislation, Strategies, Policies and Procedures with Regard to Forensic Recovery and Examination"</dc:title>
  <dc:subject>Forensic Recovery and Examination - Assignment 1 - Lecturer: Wynne Jones</dc:subject>
  <dc:creator>Callum Samuel - ID : 1801402</dc:creator>
  <cp:keywords/>
  <dc:description/>
  <cp:lastModifiedBy>ADMIN</cp:lastModifiedBy>
  <cp:revision>22</cp:revision>
  <dcterms:created xsi:type="dcterms:W3CDTF">2020-11-04T21:45:00Z</dcterms:created>
  <dcterms:modified xsi:type="dcterms:W3CDTF">2020-11-06T17:44:00Z</dcterms:modified>
</cp:coreProperties>
</file>