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rsidRPr="003A2FDF" w:rsidR="00646B10" w:rsidP="00041A5A" w14:paraId="2D347EAE" w14:textId="77777777">
      <w:pPr>
        <w:spacing w:line="360" w:lineRule="auto"/>
        <w:jc w:val="center"/>
        <w:rPr>
          <w:rFonts w:ascii="Aptos" w:hAnsi="Aptos" w:cs="Arial"/>
          <w:b/>
          <w:bCs/>
          <w:sz w:val="28"/>
          <w:szCs w:val="28"/>
        </w:rPr>
      </w:pPr>
    </w:p>
    <w:p w:rsidRPr="003A2FDF" w:rsidR="00646B10" w:rsidP="00041A5A" w14:paraId="7CAFB8A8" w14:textId="77777777">
      <w:pPr>
        <w:spacing w:line="360" w:lineRule="auto"/>
        <w:jc w:val="center"/>
        <w:rPr>
          <w:rFonts w:ascii="Aptos" w:hAnsi="Aptos" w:cs="Arial"/>
          <w:b/>
          <w:bCs/>
          <w:sz w:val="28"/>
          <w:szCs w:val="28"/>
        </w:rPr>
      </w:pPr>
    </w:p>
    <w:p w:rsidRPr="003A2FDF" w:rsidR="00646B10" w:rsidP="00041A5A" w14:paraId="09103BF7" w14:textId="77777777">
      <w:pPr>
        <w:spacing w:line="360" w:lineRule="auto"/>
        <w:jc w:val="center"/>
        <w:rPr>
          <w:rFonts w:ascii="Aptos" w:hAnsi="Aptos" w:cs="Arial"/>
          <w:b/>
          <w:bCs/>
          <w:sz w:val="28"/>
          <w:szCs w:val="28"/>
        </w:rPr>
      </w:pPr>
    </w:p>
    <w:p w:rsidRPr="003A2FDF" w:rsidR="00715990" w:rsidP="00041A5A"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Pr="003A2FDF" w:rsidR="00715990" w:rsidP="00041A5A"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w:t>
      </w:r>
      <w:bookmarkStart w:name="_GoBack" w:id="0"/>
      <w:bookmarkEnd w:id="0"/>
      <w:r w:rsidRPr="003A2FDF">
        <w:rPr>
          <w:rFonts w:ascii="Aptos" w:hAnsi="Aptos" w:cs="Arial"/>
          <w:b/>
          <w:bCs/>
          <w:sz w:val="28"/>
          <w:szCs w:val="28"/>
        </w:rPr>
        <w:t>MHP6020_</w:t>
      </w:r>
      <w:r w:rsidRPr="003A2FDF" w:rsidR="00646B10">
        <w:rPr>
          <w:rFonts w:ascii="Aptos" w:hAnsi="Aptos" w:cs="Arial"/>
          <w:b/>
          <w:bCs/>
          <w:sz w:val="28"/>
          <w:szCs w:val="28"/>
        </w:rPr>
        <w:t>BIRM</w:t>
      </w:r>
      <w:r w:rsidRPr="003A2FDF">
        <w:rPr>
          <w:rFonts w:ascii="Aptos" w:hAnsi="Aptos" w:cs="Arial"/>
          <w:b/>
          <w:bCs/>
          <w:sz w:val="28"/>
          <w:szCs w:val="28"/>
        </w:rPr>
        <w:t>)</w:t>
      </w:r>
    </w:p>
    <w:p w:rsidRPr="003A2FDF" w:rsidR="00715990" w:rsidP="00041A5A" w14:paraId="3157DF3C" w14:textId="77777777">
      <w:pPr>
        <w:spacing w:line="360" w:lineRule="auto"/>
        <w:jc w:val="center"/>
        <w:rPr>
          <w:rFonts w:ascii="Aptos" w:hAnsi="Aptos" w:cs="Arial"/>
          <w:sz w:val="28"/>
          <w:szCs w:val="28"/>
        </w:rPr>
      </w:pPr>
    </w:p>
    <w:p w:rsidRPr="003A2FDF" w:rsidR="00041A5A" w:rsidP="00FB4301" w14:paraId="08BDA311" w14:textId="6E55C9BE">
      <w:pPr>
        <w:spacing w:line="360" w:lineRule="auto"/>
        <w:jc w:val="center"/>
        <w:rPr>
          <w:rFonts w:ascii="Aptos" w:hAnsi="Aptos" w:cs="Arial"/>
          <w:b/>
          <w:bCs/>
          <w:sz w:val="28"/>
          <w:szCs w:val="28"/>
        </w:rPr>
      </w:pPr>
      <w:r w:rsidRPr="003A2FDF">
        <w:rPr>
          <w:rFonts w:ascii="Aptos" w:hAnsi="Aptos" w:cs="Arial"/>
          <w:b/>
          <w:bCs/>
          <w:sz w:val="28"/>
          <w:szCs w:val="28"/>
        </w:rPr>
        <w:t>Component 1</w:t>
      </w:r>
      <w:r w:rsidRPr="003A2FDF" w:rsidR="00715990">
        <w:rPr>
          <w:rFonts w:ascii="Aptos" w:hAnsi="Aptos" w:cs="Arial"/>
          <w:b/>
          <w:bCs/>
          <w:sz w:val="28"/>
          <w:szCs w:val="28"/>
        </w:rPr>
        <w:t xml:space="preserve">: </w:t>
      </w:r>
      <w:r w:rsidRPr="003A2FDF">
        <w:rPr>
          <w:rFonts w:ascii="Aptos" w:hAnsi="Aptos" w:cs="Arial"/>
          <w:sz w:val="28"/>
          <w:szCs w:val="28"/>
        </w:rPr>
        <w:t>Element 1</w:t>
      </w:r>
      <w:r w:rsidRPr="003A2FDF" w:rsidR="00715990">
        <w:rPr>
          <w:rFonts w:ascii="Aptos" w:hAnsi="Aptos" w:cs="Arial"/>
          <w:sz w:val="28"/>
          <w:szCs w:val="28"/>
        </w:rPr>
        <w:t xml:space="preserve"> - Project Proposal</w:t>
      </w:r>
      <w:r w:rsidRPr="003A2FDF" w:rsidR="00545684">
        <w:rPr>
          <w:rFonts w:ascii="Aptos" w:hAnsi="Aptos" w:cs="Arial"/>
          <w:sz w:val="28"/>
          <w:szCs w:val="28"/>
        </w:rPr>
        <w:t xml:space="preserve"> </w:t>
      </w:r>
    </w:p>
    <w:p w:rsidRPr="003A2FDF" w:rsidR="00715990" w:rsidP="00041A5A" w14:paraId="2EDEAE0B" w14:textId="149B09BE">
      <w:pPr>
        <w:spacing w:line="360" w:lineRule="auto"/>
        <w:rPr>
          <w:rFonts w:ascii="Aptos" w:hAnsi="Aptos" w:cs="Arial"/>
          <w:sz w:val="28"/>
          <w:szCs w:val="28"/>
        </w:rPr>
      </w:pPr>
    </w:p>
    <w:p w:rsidRPr="003A2FDF" w:rsidR="00FF5B70" w:rsidP="00041A5A" w14:paraId="1AD185BB" w14:textId="77777777">
      <w:pPr>
        <w:spacing w:line="360" w:lineRule="auto"/>
        <w:rPr>
          <w:rFonts w:ascii="Aptos" w:hAnsi="Aptos" w:cs="Arial"/>
          <w:sz w:val="28"/>
          <w:szCs w:val="28"/>
        </w:rPr>
      </w:pPr>
    </w:p>
    <w:p w:rsidRPr="003A2FDF" w:rsidR="00646B10" w:rsidP="20F8C667" w14:paraId="0DFD514D" w14:textId="6F9B8DD2">
      <w:pPr>
        <w:spacing w:line="360" w:lineRule="auto"/>
        <w:rPr>
          <w:rFonts w:ascii="Aptos" w:hAnsi="Aptos" w:cs="Arial"/>
          <w:sz w:val="28"/>
          <w:szCs w:val="28"/>
        </w:rPr>
      </w:pPr>
      <w:r w:rsidRPr="20F8C667" w:rsidR="20F8C667">
        <w:rPr>
          <w:rFonts w:ascii="Aptos" w:hAnsi="Aptos" w:cs="Arial"/>
          <w:b w:val="1"/>
          <w:bCs w:val="1"/>
          <w:sz w:val="28"/>
          <w:szCs w:val="28"/>
        </w:rPr>
        <w:t>Student Name:  Saiqa Ashraf</w:t>
      </w:r>
    </w:p>
    <w:p w:rsidRPr="003A2FDF" w:rsidR="00646B10" w:rsidP="00646B10" w14:paraId="7B4B148B" w14:textId="4CACAD95">
      <w:pPr>
        <w:spacing w:line="360" w:lineRule="auto"/>
        <w:rPr>
          <w:rFonts w:ascii="Aptos" w:hAnsi="Aptos" w:cs="Arial"/>
          <w:sz w:val="28"/>
          <w:szCs w:val="28"/>
        </w:rPr>
      </w:pPr>
      <w:r w:rsidRPr="20F8C667" w:rsidR="20F8C667">
        <w:rPr>
          <w:rFonts w:ascii="Aptos" w:hAnsi="Aptos" w:cs="Arial"/>
          <w:b w:val="1"/>
          <w:bCs w:val="1"/>
          <w:sz w:val="28"/>
          <w:szCs w:val="28"/>
        </w:rPr>
        <w:t>Student ID</w:t>
      </w:r>
      <w:r w:rsidRPr="20F8C667" w:rsidR="20F8C667">
        <w:rPr>
          <w:rFonts w:ascii="Aptos" w:hAnsi="Aptos" w:cs="Arial"/>
          <w:sz w:val="28"/>
          <w:szCs w:val="28"/>
        </w:rPr>
        <w:t>: 2313780</w:t>
      </w:r>
    </w:p>
    <w:p w:rsidRPr="003A2FDF" w:rsidR="00715990" w:rsidP="00041A5A" w14:paraId="638A4615" w14:textId="77777777">
      <w:pPr>
        <w:spacing w:line="360" w:lineRule="auto"/>
        <w:rPr>
          <w:rFonts w:ascii="Aptos" w:hAnsi="Aptos" w:cs="Arial"/>
          <w:sz w:val="28"/>
          <w:szCs w:val="28"/>
        </w:rPr>
      </w:pPr>
    </w:p>
    <w:p w:rsidRPr="003A2FDF" w:rsidR="00715990" w:rsidP="00041A5A" w14:paraId="5BD313B6" w14:textId="4BA804DC">
      <w:pPr>
        <w:spacing w:line="360" w:lineRule="auto"/>
        <w:rPr>
          <w:rFonts w:ascii="Aptos" w:hAnsi="Aptos" w:cs="Arial"/>
        </w:rPr>
      </w:pPr>
    </w:p>
    <w:p w:rsidRPr="003A2FDF" w:rsidR="00715990" w:rsidP="00041A5A" w14:paraId="07CF3A4D" w14:textId="4AAF8C7D">
      <w:pPr>
        <w:spacing w:line="360" w:lineRule="auto"/>
        <w:rPr>
          <w:rFonts w:ascii="Aptos" w:hAnsi="Aptos" w:cs="Arial"/>
        </w:rPr>
      </w:pPr>
      <w:r w:rsidRPr="003A2FDF">
        <w:rPr>
          <w:rFonts w:ascii="Aptos" w:hAnsi="Aptos" w:cs="Arial"/>
        </w:rPr>
        <w:br w:type="page"/>
      </w:r>
    </w:p>
    <w:p w:rsidRPr="003A2FDF" w:rsidR="00545684" w:rsidP="00FF5B70" w14:paraId="75E7FD5C" w14:textId="1070B52D">
      <w:pPr>
        <w:pStyle w:val="Heading1"/>
        <w:rPr>
          <w:rFonts w:ascii="Aptos" w:hAnsi="Aptos"/>
        </w:rPr>
      </w:pPr>
      <w:r w:rsidRPr="003A2FDF">
        <w:rPr>
          <w:rFonts w:ascii="Aptos" w:hAnsi="Aptos"/>
        </w:rPr>
        <w:t>Element 1 -</w:t>
      </w:r>
      <w:r w:rsidRPr="003A2FDF" w:rsidR="00866B7B">
        <w:rPr>
          <w:rFonts w:ascii="Aptos" w:hAnsi="Aptos"/>
        </w:rPr>
        <w:t xml:space="preserve"> Project</w:t>
      </w:r>
      <w:r w:rsidRPr="003A2FDF">
        <w:rPr>
          <w:rFonts w:ascii="Aptos" w:hAnsi="Aptos"/>
        </w:rPr>
        <w:t xml:space="preserve"> </w:t>
      </w:r>
      <w:r w:rsidRPr="003A2FDF" w:rsidR="000B7CD5">
        <w:rPr>
          <w:rFonts w:ascii="Aptos" w:hAnsi="Aptos"/>
        </w:rPr>
        <w:t>P</w:t>
      </w:r>
      <w:r w:rsidRPr="003A2FDF">
        <w:rPr>
          <w:rFonts w:ascii="Aptos" w:hAnsi="Aptos"/>
        </w:rPr>
        <w:t>roposal</w:t>
      </w:r>
    </w:p>
    <w:p w:rsidRPr="003A2FDF" w:rsidR="00D769F0" w:rsidP="00D769F0" w14:paraId="6630FBCE" w14:textId="0038F936">
      <w:pPr>
        <w:rPr>
          <w:rFonts w:ascii="Aptos" w:hAnsi="Aptos"/>
        </w:rPr>
      </w:pPr>
    </w:p>
    <w:p w:rsidRPr="003A2FDF" w:rsidR="00D769F0" w:rsidP="00784670" w14:paraId="24BD4B42" w14:textId="236DB6E9">
      <w:pPr>
        <w:pStyle w:val="Heading2"/>
        <w:rPr>
          <w:rFonts w:ascii="Aptos" w:hAnsi="Aptos"/>
        </w:rPr>
      </w:pPr>
      <w:r w:rsidRPr="003A2FDF">
        <w:rPr>
          <w:rFonts w:ascii="Aptos" w:hAnsi="Aptos"/>
        </w:rPr>
        <w:t xml:space="preserve">My project title: </w:t>
      </w:r>
    </w:p>
    <w:p w:rsidR="00715990" w:rsidP="00041A5A" w14:paraId="03FD30D3" w14:textId="7FE80B51">
      <w:pPr>
        <w:spacing w:line="360" w:lineRule="auto"/>
        <w:rPr>
          <w:rFonts w:ascii="Aptos" w:hAnsi="Aptos" w:cs="Arial"/>
        </w:rPr>
      </w:pPr>
      <w:r w:rsidRPr="00CE36C6">
        <w:rPr>
          <w:rFonts w:ascii="Aptos" w:hAnsi="Aptos" w:cs="Arial"/>
        </w:rPr>
        <w:t>The Impact of the COVID-19 Pandemic on</w:t>
      </w:r>
      <w:r w:rsidRPr="00CE36C6">
        <w:rPr>
          <w:rFonts w:ascii="Aptos" w:hAnsi="Aptos" w:cs="Arial"/>
        </w:rPr>
        <w:t xml:space="preserve"> Mental Health and Coping Strategies Among Healthcare Workers</w:t>
      </w:r>
    </w:p>
    <w:p w:rsidRPr="003A2FDF" w:rsidR="00CE36C6" w:rsidP="00041A5A" w14:paraId="04070DE0" w14:textId="77777777">
      <w:pPr>
        <w:spacing w:line="360" w:lineRule="auto"/>
        <w:rPr>
          <w:rFonts w:ascii="Aptos" w:hAnsi="Aptos" w:cs="Arial"/>
        </w:rPr>
      </w:pPr>
    </w:p>
    <w:p w:rsidRPr="003A2FDF" w:rsidR="00784670" w:rsidP="00784670" w14:paraId="40C7BB25" w14:textId="63754B6D">
      <w:pPr>
        <w:pStyle w:val="Heading2"/>
        <w:rPr>
          <w:rFonts w:ascii="Aptos" w:hAnsi="Aptos"/>
        </w:rPr>
      </w:pPr>
      <w:r w:rsidRPr="003A2FDF">
        <w:rPr>
          <w:rFonts w:ascii="Aptos" w:hAnsi="Aptos"/>
        </w:rPr>
        <w:t xml:space="preserve">1) </w:t>
      </w:r>
      <w:r w:rsidRPr="003A2FDF" w:rsidR="00545684">
        <w:rPr>
          <w:rFonts w:ascii="Aptos" w:hAnsi="Aptos"/>
        </w:rPr>
        <w:t>Aim</w:t>
      </w:r>
      <w:r w:rsidRPr="003A2FDF">
        <w:rPr>
          <w:rFonts w:ascii="Aptos" w:hAnsi="Aptos"/>
        </w:rPr>
        <w:t>:</w:t>
      </w:r>
    </w:p>
    <w:p w:rsidR="00CE36C6" w:rsidP="00A6153D" w14:paraId="39D7165F" w14:textId="3101411C">
      <w:pPr>
        <w:spacing w:line="360" w:lineRule="auto"/>
        <w:rPr>
          <w:rFonts w:ascii="Aptos" w:hAnsi="Aptos" w:cs="Arial"/>
        </w:rPr>
      </w:pPr>
      <w:r w:rsidRPr="005660CD">
        <w:rPr>
          <w:rFonts w:ascii="Aptos" w:hAnsi="Aptos" w:cs="Arial"/>
        </w:rPr>
        <w:t>To critically review the effect of COVID-19 on the mental health of healthcare workers, covering key mental health outcomes such as stress, anxiety, depression, and burnout, and the coping strategies used to reduce psychological distress and increase resilience during and after the pandemic.</w:t>
      </w:r>
    </w:p>
    <w:p w:rsidRPr="003A2FDF" w:rsidR="005660CD" w:rsidP="00A6153D" w14:paraId="182BA9D6" w14:textId="77777777">
      <w:pPr>
        <w:spacing w:line="360" w:lineRule="auto"/>
        <w:rPr>
          <w:rFonts w:ascii="Aptos" w:hAnsi="Aptos" w:cs="Arial"/>
        </w:rPr>
      </w:pPr>
    </w:p>
    <w:p w:rsidRPr="00B90288" w:rsidR="00041A5A" w:rsidP="00B90288" w14:paraId="4DE92F51" w14:textId="5763CCAC">
      <w:pPr>
        <w:pStyle w:val="Heading2"/>
        <w:rPr>
          <w:rFonts w:ascii="Aptos" w:hAnsi="Aptos"/>
        </w:rPr>
      </w:pPr>
      <w:r w:rsidRPr="003A2FDF">
        <w:rPr>
          <w:rFonts w:ascii="Aptos" w:hAnsi="Aptos"/>
        </w:rPr>
        <w:t>2</w:t>
      </w:r>
      <w:r w:rsidRPr="003A2FDF" w:rsidR="00784670">
        <w:rPr>
          <w:rFonts w:ascii="Aptos" w:hAnsi="Aptos"/>
        </w:rPr>
        <w:t>) O</w:t>
      </w:r>
      <w:r w:rsidRPr="003A2FDF">
        <w:rPr>
          <w:rFonts w:ascii="Aptos" w:hAnsi="Aptos"/>
        </w:rPr>
        <w:t>bjectives:</w:t>
      </w:r>
    </w:p>
    <w:p w:rsidRPr="005660CD" w:rsidR="005660CD" w:rsidP="005660CD" w14:paraId="18546356" w14:textId="48A9146A">
      <w:pPr>
        <w:pStyle w:val="ListParagraph"/>
        <w:numPr>
          <w:ilvl w:val="0"/>
          <w:numId w:val="8"/>
        </w:numPr>
        <w:spacing w:line="360" w:lineRule="auto"/>
        <w:rPr>
          <w:rFonts w:ascii="Aptos" w:hAnsi="Aptos" w:cs="Arial"/>
        </w:rPr>
      </w:pPr>
      <w:r w:rsidRPr="005660CD">
        <w:rPr>
          <w:rFonts w:ascii="Aptos" w:hAnsi="Aptos" w:cs="Arial"/>
        </w:rPr>
        <w:t>To critically appraise contemporary and relevant literature, reports and empirical evidence related to factors associated with psychological distress among healthcare staff during the COVID-19 pandemic.</w:t>
      </w:r>
    </w:p>
    <w:p w:rsidRPr="005660CD" w:rsidR="005660CD" w:rsidP="005660CD" w14:paraId="358065B9" w14:textId="68776D4D">
      <w:pPr>
        <w:pStyle w:val="ListParagraph"/>
        <w:numPr>
          <w:ilvl w:val="0"/>
          <w:numId w:val="8"/>
        </w:numPr>
        <w:spacing w:line="360" w:lineRule="auto"/>
        <w:rPr>
          <w:rFonts w:ascii="Aptos" w:hAnsi="Aptos" w:cs="Arial"/>
        </w:rPr>
      </w:pPr>
      <w:r w:rsidRPr="005660CD">
        <w:rPr>
          <w:rFonts w:ascii="Aptos" w:hAnsi="Aptos" w:cs="Arial"/>
        </w:rPr>
        <w:t>To recognise and thematically explain the mental health problems of healthcare workers and their coping mechanisms as related to stress, anxiety, depression, burnout and emotional exhaustion during the COVID 19 pandemic.</w:t>
      </w:r>
    </w:p>
    <w:p w:rsidRPr="005660CD" w:rsidR="005660CD" w:rsidP="005660CD" w14:paraId="2714498E" w14:textId="327909BD">
      <w:pPr>
        <w:pStyle w:val="ListParagraph"/>
        <w:numPr>
          <w:ilvl w:val="0"/>
          <w:numId w:val="8"/>
        </w:numPr>
        <w:spacing w:line="360" w:lineRule="auto"/>
        <w:rPr>
          <w:rFonts w:ascii="Aptos" w:hAnsi="Aptos" w:cs="Arial"/>
        </w:rPr>
      </w:pPr>
      <w:r w:rsidRPr="005660CD">
        <w:rPr>
          <w:rFonts w:ascii="Aptos" w:hAnsi="Aptos" w:cs="Arial"/>
        </w:rPr>
        <w:t>To assess the effectiveness of coping strategies and available support interventions to enhance the mental health and resilience of healthcare workers.</w:t>
      </w:r>
    </w:p>
    <w:p w:rsidRPr="005660CD" w:rsidR="00B90288" w:rsidP="005660CD" w14:paraId="734B63B9" w14:textId="24055A42">
      <w:pPr>
        <w:pStyle w:val="ListParagraph"/>
        <w:numPr>
          <w:ilvl w:val="0"/>
          <w:numId w:val="8"/>
        </w:numPr>
        <w:spacing w:line="360" w:lineRule="auto"/>
        <w:rPr>
          <w:rFonts w:ascii="Aptos" w:hAnsi="Aptos" w:cs="Arial"/>
        </w:rPr>
      </w:pPr>
      <w:r w:rsidRPr="005660CD">
        <w:rPr>
          <w:rFonts w:ascii="Aptos" w:hAnsi="Aptos" w:cs="Arial"/>
        </w:rPr>
        <w:t>To offer recommendations to enhance mental health support systems and strengthen healthcare workers' resilience in future public health crises.</w:t>
      </w:r>
    </w:p>
    <w:p w:rsidRPr="003A2FDF" w:rsidR="005660CD" w:rsidP="005660CD" w14:paraId="7C6464B9" w14:textId="77777777">
      <w:pPr>
        <w:spacing w:line="360" w:lineRule="auto"/>
        <w:rPr>
          <w:rFonts w:ascii="Aptos" w:hAnsi="Aptos" w:cs="Arial"/>
        </w:rPr>
      </w:pPr>
    </w:p>
    <w:p w:rsidR="00B90288" w:rsidP="009227B3" w14:paraId="632D4A45" w14:textId="447B367E">
      <w:pPr>
        <w:pStyle w:val="Heading2"/>
        <w:rPr>
          <w:rFonts w:ascii="Aptos" w:hAnsi="Aptos"/>
        </w:rPr>
      </w:pPr>
      <w:r w:rsidRPr="003A2FDF">
        <w:rPr>
          <w:rFonts w:ascii="Aptos" w:hAnsi="Aptos"/>
        </w:rPr>
        <w:t>3</w:t>
      </w:r>
      <w:r w:rsidRPr="003A2FDF" w:rsidR="008E5015">
        <w:rPr>
          <w:rFonts w:ascii="Aptos" w:hAnsi="Aptos"/>
        </w:rPr>
        <w:t xml:space="preserve">) </w:t>
      </w:r>
      <w:r w:rsidRPr="003A2FDF">
        <w:rPr>
          <w:rFonts w:ascii="Aptos" w:hAnsi="Aptos"/>
        </w:rPr>
        <w:t>Background</w:t>
      </w:r>
      <w:r w:rsidRPr="003A2FDF" w:rsidR="00FB4301">
        <w:rPr>
          <w:rFonts w:ascii="Aptos" w:hAnsi="Aptos"/>
        </w:rPr>
        <w:t>/Rationale</w:t>
      </w:r>
      <w:r w:rsidRPr="003A2FDF">
        <w:rPr>
          <w:rFonts w:ascii="Aptos" w:hAnsi="Aptos"/>
        </w:rPr>
        <w:t>:</w:t>
      </w:r>
    </w:p>
    <w:p w:rsidR="004511E5" w:rsidP="004511E5" w14:paraId="618AB477" w14:textId="32048950">
      <w:pPr>
        <w:spacing w:line="360" w:lineRule="auto"/>
        <w:rPr>
          <w:rFonts w:ascii="Aptos" w:hAnsi="Aptos" w:cs="Arial"/>
        </w:rPr>
      </w:pPr>
      <w:r w:rsidRPr="001D397F">
        <w:rPr>
          <w:rFonts w:ascii="Aptos" w:hAnsi="Aptos" w:cs="Arial"/>
        </w:rPr>
        <w:t xml:space="preserve">The COVID-19 pandemic has overwhelmed health systems globally and created unprecedented physical and psychological stress for health providers (Filip et al., 2022). Healthcare workers reported higher levels of stress related to high workloads, scarcity of </w:t>
      </w:r>
      <w:r w:rsidRPr="001D397F">
        <w:rPr>
          <w:rFonts w:ascii="Aptos" w:hAnsi="Aptos" w:cs="Arial"/>
        </w:rPr>
        <w:t xml:space="preserve">staff, extended working hours, risk of contracting the virus, witnessing high mortality rates, and anxiety that the virus might be transmitted to their families (WHO, 2024). The importance of supporting the mental health and well-being of healthcare workers in order to sustain the workforce, patient safety and maintain the long-term sustainability of healthcare services also aligns with the findings of </w:t>
      </w:r>
      <w:r w:rsidRPr="001D397F">
        <w:rPr>
          <w:rFonts w:ascii="Aptos" w:hAnsi="Aptos" w:cs="Arial"/>
        </w:rPr>
        <w:t>Alanazi</w:t>
      </w:r>
      <w:r w:rsidRPr="001D397F">
        <w:rPr>
          <w:rFonts w:ascii="Aptos" w:hAnsi="Aptos" w:cs="Arial"/>
        </w:rPr>
        <w:t xml:space="preserve"> et al. (2024) and NHS England (2021). Although a growing body of research has examined the psychological impact of COVID-19 on healthcare workers, findings have varied across different professional groups, healthcare settings, and geographical locations (</w:t>
      </w:r>
      <w:r w:rsidRPr="001D397F">
        <w:rPr>
          <w:rFonts w:ascii="Aptos" w:hAnsi="Aptos" w:cs="Arial"/>
        </w:rPr>
        <w:t>Mascayano</w:t>
      </w:r>
      <w:r w:rsidRPr="001D397F">
        <w:rPr>
          <w:rFonts w:ascii="Aptos" w:hAnsi="Aptos" w:cs="Arial"/>
        </w:rPr>
        <w:t xml:space="preserve"> et al., 2022; </w:t>
      </w:r>
      <w:r w:rsidRPr="001D397F">
        <w:rPr>
          <w:rFonts w:ascii="Aptos" w:hAnsi="Aptos" w:cs="Arial"/>
        </w:rPr>
        <w:t>Chutiyami</w:t>
      </w:r>
      <w:r w:rsidRPr="001D397F">
        <w:rPr>
          <w:rFonts w:ascii="Aptos" w:hAnsi="Aptos" w:cs="Arial"/>
        </w:rPr>
        <w:t xml:space="preserve"> et al., 2022).</w:t>
      </w:r>
      <w:r>
        <w:rPr>
          <w:rFonts w:ascii="Aptos" w:hAnsi="Aptos" w:cs="Arial"/>
        </w:rPr>
        <w:t xml:space="preserve"> </w:t>
      </w:r>
      <w:r w:rsidRPr="00526559">
        <w:rPr>
          <w:rFonts w:ascii="Aptos" w:hAnsi="Aptos" w:cs="Arial"/>
        </w:rPr>
        <w:t>Moreover, gaps in knowledge about coping behaviours that were most effective in helping mental well-being during this period still exist. To resolve this, this research examined the literature to examine potential common mental health problems and strategies that healthcare workers utilise to cope with these issues.</w:t>
      </w:r>
    </w:p>
    <w:p w:rsidRPr="003A2FDF" w:rsidR="00CE36C6" w:rsidP="00041A5A" w14:paraId="447F6896" w14:textId="604566EE">
      <w:pPr>
        <w:spacing w:line="360" w:lineRule="auto"/>
        <w:rPr>
          <w:rFonts w:ascii="Aptos" w:hAnsi="Aptos" w:cs="Arial"/>
        </w:rPr>
      </w:pPr>
    </w:p>
    <w:p w:rsidRPr="003A2FDF" w:rsidR="00545684" w:rsidP="00784670" w14:paraId="332E5A12" w14:textId="051972BF">
      <w:pPr>
        <w:pStyle w:val="Heading2"/>
        <w:rPr>
          <w:rFonts w:ascii="Aptos" w:hAnsi="Aptos"/>
        </w:rPr>
      </w:pPr>
      <w:r w:rsidRPr="003A2FDF">
        <w:rPr>
          <w:rFonts w:ascii="Aptos" w:hAnsi="Aptos"/>
        </w:rPr>
        <w:t>4</w:t>
      </w:r>
      <w:r w:rsidRPr="003A2FDF" w:rsidR="008E5015">
        <w:rPr>
          <w:rFonts w:ascii="Aptos" w:hAnsi="Aptos"/>
        </w:rPr>
        <w:t xml:space="preserve">) </w:t>
      </w:r>
      <w:r w:rsidRPr="003A2FDF">
        <w:rPr>
          <w:rFonts w:ascii="Aptos" w:hAnsi="Aptos"/>
        </w:rPr>
        <w:t>Methods:</w:t>
      </w:r>
    </w:p>
    <w:p w:rsidRPr="00DF2E9C" w:rsidR="00E1141C" w:rsidP="00CE36C6" w14:paraId="3F74B617" w14:textId="73B2CC1B">
      <w:pPr>
        <w:spacing w:line="360" w:lineRule="auto"/>
        <w:rPr>
          <w:rFonts w:ascii="Aptos" w:hAnsi="Aptos" w:cs="Arial"/>
          <w:highlight w:val="yellow"/>
        </w:rPr>
      </w:pPr>
      <w:r w:rsidRPr="00E1141C">
        <w:rPr>
          <w:rFonts w:ascii="Aptos" w:hAnsi="Aptos" w:cs="Arial"/>
        </w:rPr>
        <w:t>The method utilised in this st</w:t>
      </w:r>
      <w:r w:rsidRPr="00E1141C">
        <w:rPr>
          <w:rFonts w:ascii="Aptos" w:hAnsi="Aptos" w:cs="Arial"/>
        </w:rPr>
        <w:t xml:space="preserve">udy is secondary research, which will be carried out using journal articles from peer-reviewed journals as primary data sources. Academic databases like PubMed, CINAHL, ScienceDirect, and Google Scholar will be used to get literature (Ayan et al., 2025). </w:t>
      </w:r>
      <w:r w:rsidRPr="001D397F" w:rsidR="001D397F">
        <w:rPr>
          <w:rFonts w:ascii="Aptos" w:hAnsi="Aptos" w:cs="Arial"/>
        </w:rPr>
        <w:t xml:space="preserve">A systematic search of academic database libraries with the keywords of </w:t>
      </w:r>
      <w:r w:rsidR="00DF2E9C">
        <w:rPr>
          <w:rFonts w:ascii="Aptos" w:hAnsi="Aptos" w:cs="Arial"/>
        </w:rPr>
        <w:t>“</w:t>
      </w:r>
      <w:r w:rsidRPr="001D397F" w:rsidR="001D397F">
        <w:rPr>
          <w:rFonts w:ascii="Aptos" w:hAnsi="Aptos" w:cs="Arial"/>
        </w:rPr>
        <w:t>COVID-19</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healthcare worker</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mental health</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psychological distress</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anxiety</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depression</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burnout</w:t>
      </w:r>
      <w:r w:rsidR="00DF2E9C">
        <w:rPr>
          <w:rFonts w:ascii="Aptos" w:hAnsi="Aptos" w:cs="Arial"/>
        </w:rPr>
        <w:t>”</w:t>
      </w:r>
      <w:r w:rsidRPr="001D397F" w:rsidR="001D397F">
        <w:rPr>
          <w:rFonts w:ascii="Aptos" w:hAnsi="Aptos" w:cs="Arial"/>
        </w:rPr>
        <w:t xml:space="preserve">, </w:t>
      </w:r>
      <w:r w:rsidR="00DF2E9C">
        <w:rPr>
          <w:rFonts w:ascii="Aptos" w:hAnsi="Aptos" w:cs="Arial"/>
        </w:rPr>
        <w:t>“</w:t>
      </w:r>
      <w:r w:rsidRPr="001D397F" w:rsidR="001D397F">
        <w:rPr>
          <w:rFonts w:ascii="Aptos" w:hAnsi="Aptos" w:cs="Arial"/>
        </w:rPr>
        <w:t>resilience</w:t>
      </w:r>
      <w:r w:rsidR="00DF2E9C">
        <w:rPr>
          <w:rFonts w:ascii="Aptos" w:hAnsi="Aptos" w:cs="Arial"/>
        </w:rPr>
        <w:t>”</w:t>
      </w:r>
      <w:r w:rsidRPr="001D397F" w:rsidR="001D397F">
        <w:rPr>
          <w:rFonts w:ascii="Aptos" w:hAnsi="Aptos" w:cs="Arial"/>
        </w:rPr>
        <w:t xml:space="preserve">, and </w:t>
      </w:r>
      <w:r w:rsidR="00DF2E9C">
        <w:rPr>
          <w:rFonts w:ascii="Aptos" w:hAnsi="Aptos" w:cs="Arial"/>
        </w:rPr>
        <w:t>“</w:t>
      </w:r>
      <w:r w:rsidRPr="001D397F" w:rsidR="001D397F">
        <w:rPr>
          <w:rFonts w:ascii="Aptos" w:hAnsi="Aptos" w:cs="Arial"/>
        </w:rPr>
        <w:t>coping strategies</w:t>
      </w:r>
      <w:r w:rsidR="00DF2E9C">
        <w:rPr>
          <w:rFonts w:ascii="Aptos" w:hAnsi="Aptos" w:cs="Arial"/>
        </w:rPr>
        <w:t>”</w:t>
      </w:r>
      <w:r w:rsidRPr="001D397F" w:rsidR="001D397F">
        <w:rPr>
          <w:rFonts w:ascii="Aptos" w:hAnsi="Aptos" w:cs="Arial"/>
        </w:rPr>
        <w:t xml:space="preserve"> will be used to identify literature.</w:t>
      </w:r>
      <w:r w:rsidR="001D397F">
        <w:rPr>
          <w:rFonts w:ascii="Aptos" w:hAnsi="Aptos" w:cs="Arial"/>
        </w:rPr>
        <w:t xml:space="preserve"> </w:t>
      </w:r>
      <w:r w:rsidR="006D7CB8">
        <w:rPr>
          <w:rFonts w:ascii="Aptos" w:hAnsi="Aptos" w:cs="Arial"/>
        </w:rPr>
        <w:t xml:space="preserve"> </w:t>
      </w:r>
      <w:r w:rsidRPr="00E1141C">
        <w:rPr>
          <w:rFonts w:ascii="Aptos" w:hAnsi="Aptos" w:cs="Arial"/>
        </w:rPr>
        <w:t>T</w:t>
      </w:r>
      <w:r w:rsidRPr="00E1141C">
        <w:rPr>
          <w:rFonts w:ascii="Aptos" w:hAnsi="Aptos" w:cs="Arial"/>
        </w:rPr>
        <w:t>he inclusion criteria will consist of studies published in English, peer-reviewed articles, research specifically aimed at healthcare workers, and studies from 2015 to present, particularly those regarding COVID-19. Relevant articles will be screened and s</w:t>
      </w:r>
      <w:r w:rsidRPr="00E1141C">
        <w:rPr>
          <w:rFonts w:ascii="Aptos" w:hAnsi="Aptos" w:cs="Arial"/>
        </w:rPr>
        <w:t>elected according to their relevance to the research aim and objectives. Data analysis will be conducted through thematic review and by comparing data across studies. Ethical issues such as correct referencing, citation of sources, academic integrity and p</w:t>
      </w:r>
      <w:r w:rsidRPr="00E1141C">
        <w:rPr>
          <w:rFonts w:ascii="Aptos" w:hAnsi="Aptos" w:cs="Arial"/>
        </w:rPr>
        <w:t>lagiarism were considered in the process of research (Almusaed et al., 2025).</w:t>
      </w:r>
    </w:p>
    <w:p w:rsidRPr="003A2FDF" w:rsidR="00CE36C6" w:rsidP="00CE36C6" w14:paraId="24DEAC0B" w14:textId="77777777">
      <w:pPr>
        <w:spacing w:line="360" w:lineRule="auto"/>
        <w:rPr>
          <w:rFonts w:ascii="Aptos" w:hAnsi="Aptos" w:cs="Arial"/>
        </w:rPr>
      </w:pPr>
    </w:p>
    <w:p w:rsidRPr="003A2FDF" w:rsidR="0061260B" w:rsidP="00784670" w14:paraId="232DCC93" w14:textId="74A66EC3">
      <w:pPr>
        <w:pStyle w:val="Heading2"/>
        <w:rPr>
          <w:rFonts w:ascii="Aptos" w:hAnsi="Aptos"/>
        </w:rPr>
      </w:pPr>
      <w:r w:rsidRPr="003A2FDF">
        <w:rPr>
          <w:rFonts w:ascii="Aptos" w:hAnsi="Aptos"/>
        </w:rPr>
        <w:t>5) Resources</w:t>
      </w:r>
      <w:r w:rsidRPr="003A2FDF" w:rsidR="00260277">
        <w:rPr>
          <w:rFonts w:ascii="Aptos" w:hAnsi="Aptos"/>
        </w:rPr>
        <w:t>:</w:t>
      </w:r>
      <w:r w:rsidRPr="003A2FDF">
        <w:rPr>
          <w:rFonts w:ascii="Aptos" w:hAnsi="Aptos"/>
        </w:rPr>
        <w:t xml:space="preserve"> </w:t>
      </w:r>
    </w:p>
    <w:p w:rsidRPr="00CE36C6" w:rsidR="00CE36C6" w:rsidP="00CE36C6" w14:paraId="4CBEFFD2" w14:textId="77777777">
      <w:pPr>
        <w:pStyle w:val="ListParagraph"/>
        <w:numPr>
          <w:ilvl w:val="0"/>
          <w:numId w:val="7"/>
        </w:numPr>
        <w:rPr>
          <w:rFonts w:ascii="Aptos" w:hAnsi="Aptos" w:cs="Arial"/>
        </w:rPr>
      </w:pPr>
      <w:r w:rsidRPr="00CE36C6">
        <w:rPr>
          <w:rFonts w:ascii="Aptos" w:hAnsi="Aptos" w:cs="Arial"/>
        </w:rPr>
        <w:t>PubMed database</w:t>
      </w:r>
    </w:p>
    <w:p w:rsidRPr="00CE36C6" w:rsidR="00CE36C6" w:rsidP="00CE36C6" w14:paraId="5668F08E" w14:textId="77777777">
      <w:pPr>
        <w:pStyle w:val="ListParagraph"/>
        <w:numPr>
          <w:ilvl w:val="0"/>
          <w:numId w:val="7"/>
        </w:numPr>
        <w:rPr>
          <w:rFonts w:ascii="Aptos" w:hAnsi="Aptos" w:cs="Arial"/>
        </w:rPr>
      </w:pPr>
      <w:r w:rsidRPr="00CE36C6">
        <w:rPr>
          <w:rFonts w:ascii="Aptos" w:hAnsi="Aptos" w:cs="Arial"/>
        </w:rPr>
        <w:t>CINAHL database</w:t>
      </w:r>
    </w:p>
    <w:p w:rsidRPr="00CE36C6" w:rsidR="00CE36C6" w:rsidP="00CE36C6" w14:paraId="12E16C8D" w14:textId="77777777">
      <w:pPr>
        <w:pStyle w:val="ListParagraph"/>
        <w:numPr>
          <w:ilvl w:val="0"/>
          <w:numId w:val="7"/>
        </w:numPr>
        <w:rPr>
          <w:rFonts w:ascii="Aptos" w:hAnsi="Aptos" w:cs="Arial"/>
        </w:rPr>
      </w:pPr>
      <w:r w:rsidRPr="00CE36C6">
        <w:rPr>
          <w:rFonts w:ascii="Aptos" w:hAnsi="Aptos" w:cs="Arial"/>
        </w:rPr>
        <w:t>ScienceDirect database</w:t>
      </w:r>
    </w:p>
    <w:p w:rsidRPr="00CE36C6" w:rsidR="00CE36C6" w:rsidP="00CE36C6" w14:paraId="6D0E2573" w14:textId="77777777">
      <w:pPr>
        <w:pStyle w:val="ListParagraph"/>
        <w:numPr>
          <w:ilvl w:val="0"/>
          <w:numId w:val="7"/>
        </w:numPr>
        <w:rPr>
          <w:rFonts w:ascii="Aptos" w:hAnsi="Aptos" w:cs="Arial"/>
        </w:rPr>
      </w:pPr>
      <w:r w:rsidRPr="00CE36C6">
        <w:rPr>
          <w:rFonts w:ascii="Aptos" w:hAnsi="Aptos" w:cs="Arial"/>
        </w:rPr>
        <w:t>Google Scholar</w:t>
      </w:r>
    </w:p>
    <w:p w:rsidRPr="00CE36C6" w:rsidR="00CE36C6" w:rsidP="00CE36C6" w14:paraId="52BFB0E0" w14:textId="77777777">
      <w:pPr>
        <w:pStyle w:val="ListParagraph"/>
        <w:numPr>
          <w:ilvl w:val="0"/>
          <w:numId w:val="7"/>
        </w:numPr>
        <w:rPr>
          <w:rFonts w:ascii="Aptos" w:hAnsi="Aptos" w:cs="Arial"/>
        </w:rPr>
      </w:pPr>
      <w:r w:rsidRPr="00CE36C6">
        <w:rPr>
          <w:rFonts w:ascii="Aptos" w:hAnsi="Aptos" w:cs="Arial"/>
        </w:rPr>
        <w:t>University online library</w:t>
      </w:r>
    </w:p>
    <w:p w:rsidRPr="00CE36C6" w:rsidR="00CE36C6" w:rsidP="00CE36C6" w14:paraId="1EF16435" w14:textId="77777777">
      <w:pPr>
        <w:pStyle w:val="ListParagraph"/>
        <w:numPr>
          <w:ilvl w:val="0"/>
          <w:numId w:val="7"/>
        </w:numPr>
        <w:rPr>
          <w:rFonts w:ascii="Aptos" w:hAnsi="Aptos" w:cs="Arial"/>
        </w:rPr>
      </w:pPr>
      <w:r w:rsidRPr="00CE36C6">
        <w:rPr>
          <w:rFonts w:ascii="Aptos" w:hAnsi="Aptos" w:cs="Arial"/>
        </w:rPr>
        <w:t>Microsoft Word</w:t>
      </w:r>
    </w:p>
    <w:p w:rsidR="00CE36C6" w:rsidP="00CE36C6" w14:paraId="44D7DBE1" w14:textId="52F8B1AF">
      <w:pPr>
        <w:pStyle w:val="ListParagraph"/>
        <w:numPr>
          <w:ilvl w:val="0"/>
          <w:numId w:val="7"/>
        </w:numPr>
        <w:rPr>
          <w:rFonts w:ascii="Aptos" w:hAnsi="Aptos" w:cs="Arial"/>
        </w:rPr>
      </w:pPr>
      <w:r w:rsidRPr="00CE36C6">
        <w:rPr>
          <w:rFonts w:ascii="Aptos" w:hAnsi="Aptos" w:cs="Arial"/>
        </w:rPr>
        <w:t>Internet access and academic journals</w:t>
      </w:r>
    </w:p>
    <w:p w:rsidR="0016203B" w:rsidP="00CE36C6" w14:paraId="29C57B17" w14:textId="01B784E1">
      <w:pPr>
        <w:pStyle w:val="ListParagraph"/>
        <w:numPr>
          <w:ilvl w:val="0"/>
          <w:numId w:val="7"/>
        </w:numPr>
        <w:rPr>
          <w:rFonts w:ascii="Aptos" w:hAnsi="Aptos" w:cs="Arial"/>
        </w:rPr>
      </w:pPr>
      <w:r>
        <w:rPr>
          <w:rFonts w:ascii="Aptos" w:hAnsi="Aptos" w:cs="Arial"/>
        </w:rPr>
        <w:t>Dissertation Guidance From Supervisor</w:t>
      </w:r>
    </w:p>
    <w:p w:rsidR="0016203B" w:rsidP="00CE36C6" w14:paraId="78715971" w14:textId="06DA8D2E">
      <w:pPr>
        <w:pStyle w:val="ListParagraph"/>
        <w:numPr>
          <w:ilvl w:val="0"/>
          <w:numId w:val="7"/>
        </w:numPr>
        <w:rPr>
          <w:rFonts w:ascii="Aptos" w:hAnsi="Aptos" w:cs="Arial"/>
        </w:rPr>
      </w:pPr>
      <w:r>
        <w:rPr>
          <w:rFonts w:ascii="Aptos" w:hAnsi="Aptos" w:cs="Arial"/>
        </w:rPr>
        <w:t>Lecturers</w:t>
      </w:r>
    </w:p>
    <w:p w:rsidR="0016203B" w:rsidP="00CE36C6" w14:paraId="0966D131" w14:textId="49A12F95">
      <w:pPr>
        <w:pStyle w:val="ListParagraph"/>
        <w:numPr>
          <w:ilvl w:val="0"/>
          <w:numId w:val="7"/>
        </w:numPr>
        <w:rPr>
          <w:rFonts w:ascii="Aptos" w:hAnsi="Aptos" w:cs="Arial"/>
        </w:rPr>
      </w:pPr>
      <w:r>
        <w:rPr>
          <w:rFonts w:ascii="Aptos" w:hAnsi="Aptos" w:cs="Arial"/>
        </w:rPr>
        <w:t>University Study Skills Services</w:t>
      </w:r>
    </w:p>
    <w:p w:rsidR="00997BDB" w:rsidP="00CE36C6" w14:paraId="47AB3761" w14:textId="2749F883">
      <w:pPr>
        <w:pStyle w:val="ListParagraph"/>
        <w:numPr>
          <w:ilvl w:val="0"/>
          <w:numId w:val="7"/>
        </w:numPr>
        <w:rPr>
          <w:rFonts w:ascii="Aptos" w:hAnsi="Aptos" w:cs="Arial"/>
        </w:rPr>
      </w:pPr>
      <w:r>
        <w:rPr>
          <w:rFonts w:ascii="Aptos" w:hAnsi="Aptos" w:cs="Arial"/>
        </w:rPr>
        <w:t>Library Staff</w:t>
      </w:r>
    </w:p>
    <w:p w:rsidRPr="00CE36C6" w:rsidR="00CE36C6" w:rsidP="00CE36C6" w14:paraId="50C87F91" w14:textId="77777777">
      <w:pPr>
        <w:rPr>
          <w:rFonts w:ascii="Aptos" w:hAnsi="Aptos" w:cs="Arial"/>
        </w:rPr>
      </w:pPr>
    </w:p>
    <w:p w:rsidRPr="003A2FDF" w:rsidR="00545684" w:rsidP="00784670" w14:paraId="0FE77585" w14:textId="45EB88AC">
      <w:pPr>
        <w:pStyle w:val="Heading2"/>
        <w:rPr>
          <w:rFonts w:ascii="Aptos" w:hAnsi="Aptos"/>
        </w:rPr>
      </w:pPr>
      <w:r w:rsidRPr="003A2FDF">
        <w:rPr>
          <w:rFonts w:ascii="Aptos" w:hAnsi="Aptos"/>
        </w:rPr>
        <w:t>6</w:t>
      </w:r>
      <w:r w:rsidRPr="003A2FDF" w:rsidR="0061260B">
        <w:rPr>
          <w:rFonts w:ascii="Aptos" w:hAnsi="Aptos"/>
        </w:rPr>
        <w:t>) Timescale:</w:t>
      </w:r>
    </w:p>
    <w:tbl>
      <w:tblPr>
        <w:tblStyle w:val="TableGrid"/>
        <w:tblW w:w="0" w:type="auto"/>
        <w:tblLook w:val="04A0"/>
      </w:tblPr>
      <w:tblGrid>
        <w:gridCol w:w="2393"/>
        <w:gridCol w:w="827"/>
        <w:gridCol w:w="828"/>
        <w:gridCol w:w="828"/>
        <w:gridCol w:w="828"/>
        <w:gridCol w:w="828"/>
        <w:gridCol w:w="828"/>
        <w:gridCol w:w="828"/>
        <w:gridCol w:w="828"/>
      </w:tblGrid>
      <w:tr w:rsidTr="005A4150" w14:paraId="331E644E" w14:textId="77777777">
        <w:tblPrEx>
          <w:tblW w:w="0" w:type="auto"/>
          <w:tblLook w:val="04A0"/>
        </w:tblPrEx>
        <w:tc>
          <w:tcPr>
            <w:tcW w:w="0" w:type="auto"/>
            <w:shd w:val="clear" w:color="auto" w:fill="A8D08D" w:themeFill="accent6" w:themeFillTint="99"/>
            <w:hideMark/>
          </w:tcPr>
          <w:p w:rsidRPr="00E8312F" w:rsidR="00EB402E" w:rsidP="00E8312F" w14:paraId="1CBDCD54" w14:textId="77777777">
            <w:pPr>
              <w:jc w:val="center"/>
              <w:rPr>
                <w:b/>
              </w:rPr>
            </w:pPr>
            <w:r w:rsidRPr="00E8312F">
              <w:rPr>
                <w:b/>
              </w:rPr>
              <w:t>Tasks</w:t>
            </w:r>
          </w:p>
        </w:tc>
        <w:tc>
          <w:tcPr>
            <w:tcW w:w="0" w:type="auto"/>
            <w:shd w:val="clear" w:color="auto" w:fill="A8D08D" w:themeFill="accent6" w:themeFillTint="99"/>
            <w:hideMark/>
          </w:tcPr>
          <w:p w:rsidRPr="00E8312F" w:rsidR="00EB402E" w:rsidP="00E8312F" w14:paraId="387AD9EC" w14:textId="77777777">
            <w:pPr>
              <w:jc w:val="center"/>
              <w:rPr>
                <w:b/>
              </w:rPr>
            </w:pPr>
            <w:r w:rsidRPr="00E8312F">
              <w:rPr>
                <w:b/>
              </w:rPr>
              <w:t>Week 1</w:t>
            </w:r>
          </w:p>
        </w:tc>
        <w:tc>
          <w:tcPr>
            <w:tcW w:w="0" w:type="auto"/>
            <w:shd w:val="clear" w:color="auto" w:fill="A8D08D" w:themeFill="accent6" w:themeFillTint="99"/>
            <w:hideMark/>
          </w:tcPr>
          <w:p w:rsidRPr="00E8312F" w:rsidR="00EB402E" w:rsidP="00E8312F" w14:paraId="5C06F45F" w14:textId="77777777">
            <w:pPr>
              <w:jc w:val="center"/>
              <w:rPr>
                <w:b/>
              </w:rPr>
            </w:pPr>
            <w:r w:rsidRPr="00E8312F">
              <w:rPr>
                <w:b/>
              </w:rPr>
              <w:t>Week 2</w:t>
            </w:r>
          </w:p>
        </w:tc>
        <w:tc>
          <w:tcPr>
            <w:tcW w:w="0" w:type="auto"/>
            <w:shd w:val="clear" w:color="auto" w:fill="A8D08D" w:themeFill="accent6" w:themeFillTint="99"/>
            <w:hideMark/>
          </w:tcPr>
          <w:p w:rsidRPr="00E8312F" w:rsidR="00EB402E" w:rsidP="00E8312F" w14:paraId="11D9BED9" w14:textId="77777777">
            <w:pPr>
              <w:jc w:val="center"/>
              <w:rPr>
                <w:b/>
              </w:rPr>
            </w:pPr>
            <w:r w:rsidRPr="00E8312F">
              <w:rPr>
                <w:b/>
              </w:rPr>
              <w:t>Week 3</w:t>
            </w:r>
          </w:p>
        </w:tc>
        <w:tc>
          <w:tcPr>
            <w:tcW w:w="0" w:type="auto"/>
            <w:shd w:val="clear" w:color="auto" w:fill="A8D08D" w:themeFill="accent6" w:themeFillTint="99"/>
            <w:hideMark/>
          </w:tcPr>
          <w:p w:rsidRPr="00E8312F" w:rsidR="00EB402E" w:rsidP="00E8312F" w14:paraId="697B589B" w14:textId="77777777">
            <w:pPr>
              <w:jc w:val="center"/>
              <w:rPr>
                <w:b/>
              </w:rPr>
            </w:pPr>
            <w:r w:rsidRPr="00E8312F">
              <w:rPr>
                <w:b/>
              </w:rPr>
              <w:t>Week 4</w:t>
            </w:r>
          </w:p>
        </w:tc>
        <w:tc>
          <w:tcPr>
            <w:tcW w:w="0" w:type="auto"/>
            <w:shd w:val="clear" w:color="auto" w:fill="A8D08D" w:themeFill="accent6" w:themeFillTint="99"/>
            <w:hideMark/>
          </w:tcPr>
          <w:p w:rsidRPr="00E8312F" w:rsidR="00EB402E" w:rsidP="00E8312F" w14:paraId="3C0320FA" w14:textId="77777777">
            <w:pPr>
              <w:jc w:val="center"/>
              <w:rPr>
                <w:b/>
              </w:rPr>
            </w:pPr>
            <w:r w:rsidRPr="00E8312F">
              <w:rPr>
                <w:b/>
              </w:rPr>
              <w:t>Week 5</w:t>
            </w:r>
          </w:p>
        </w:tc>
        <w:tc>
          <w:tcPr>
            <w:tcW w:w="0" w:type="auto"/>
            <w:shd w:val="clear" w:color="auto" w:fill="A8D08D" w:themeFill="accent6" w:themeFillTint="99"/>
            <w:hideMark/>
          </w:tcPr>
          <w:p w:rsidRPr="00E8312F" w:rsidR="00EB402E" w:rsidP="00E8312F" w14:paraId="5F14FB86" w14:textId="77777777">
            <w:pPr>
              <w:jc w:val="center"/>
              <w:rPr>
                <w:b/>
              </w:rPr>
            </w:pPr>
            <w:r w:rsidRPr="00E8312F">
              <w:rPr>
                <w:b/>
              </w:rPr>
              <w:t>Week 6</w:t>
            </w:r>
          </w:p>
        </w:tc>
        <w:tc>
          <w:tcPr>
            <w:tcW w:w="0" w:type="auto"/>
            <w:shd w:val="clear" w:color="auto" w:fill="A8D08D" w:themeFill="accent6" w:themeFillTint="99"/>
            <w:hideMark/>
          </w:tcPr>
          <w:p w:rsidRPr="00E8312F" w:rsidR="00EB402E" w:rsidP="00E8312F" w14:paraId="43022250" w14:textId="77777777">
            <w:pPr>
              <w:jc w:val="center"/>
              <w:rPr>
                <w:b/>
              </w:rPr>
            </w:pPr>
            <w:r w:rsidRPr="00E8312F">
              <w:rPr>
                <w:b/>
              </w:rPr>
              <w:t>Week 7</w:t>
            </w:r>
          </w:p>
        </w:tc>
        <w:tc>
          <w:tcPr>
            <w:tcW w:w="0" w:type="auto"/>
            <w:shd w:val="clear" w:color="auto" w:fill="A8D08D" w:themeFill="accent6" w:themeFillTint="99"/>
            <w:hideMark/>
          </w:tcPr>
          <w:p w:rsidRPr="00E8312F" w:rsidR="00EB402E" w:rsidP="00E8312F" w14:paraId="43EB40B6" w14:textId="77777777">
            <w:pPr>
              <w:jc w:val="center"/>
              <w:rPr>
                <w:b/>
              </w:rPr>
            </w:pPr>
            <w:r w:rsidRPr="00E8312F">
              <w:rPr>
                <w:b/>
              </w:rPr>
              <w:t>Week 8</w:t>
            </w:r>
          </w:p>
        </w:tc>
      </w:tr>
      <w:tr w:rsidTr="00814587" w14:paraId="27485FAF" w14:textId="77777777">
        <w:tblPrEx>
          <w:tblW w:w="0" w:type="auto"/>
          <w:tblLook w:val="04A0"/>
        </w:tblPrEx>
        <w:tc>
          <w:tcPr>
            <w:tcW w:w="0" w:type="auto"/>
            <w:hideMark/>
          </w:tcPr>
          <w:p w:rsidRPr="00EB402E" w:rsidR="00EB402E" w:rsidP="00824E8F" w14:paraId="2FFAC42D" w14:textId="77777777">
            <w:r w:rsidRPr="00EB402E">
              <w:t>Selection and approval of research topic</w:t>
            </w:r>
          </w:p>
        </w:tc>
        <w:tc>
          <w:tcPr>
            <w:tcW w:w="0" w:type="auto"/>
            <w:shd w:val="clear" w:color="auto" w:fill="8EAADB" w:themeFill="accent1" w:themeFillTint="99"/>
            <w:hideMark/>
          </w:tcPr>
          <w:p w:rsidRPr="00EB402E" w:rsidR="00EB402E" w:rsidP="00824E8F" w14:paraId="4244C2E5" w14:textId="0682343D">
            <w:r w:rsidRPr="00EB402E">
              <w:rPr>
                <w:rFonts w:ascii="Segoe UI Symbol" w:hAnsi="Segoe UI Symbol" w:cs="Segoe UI Symbol"/>
              </w:rPr>
              <w:t>✓</w:t>
            </w:r>
          </w:p>
        </w:tc>
        <w:tc>
          <w:tcPr>
            <w:tcW w:w="0" w:type="auto"/>
            <w:hideMark/>
          </w:tcPr>
          <w:p w:rsidRPr="00EB402E" w:rsidR="00EB402E" w:rsidP="00824E8F" w14:paraId="62F5AF25" w14:textId="77777777"/>
        </w:tc>
        <w:tc>
          <w:tcPr>
            <w:tcW w:w="0" w:type="auto"/>
            <w:hideMark/>
          </w:tcPr>
          <w:p w:rsidRPr="00EB402E" w:rsidR="00EB402E" w:rsidP="00824E8F" w14:paraId="064D041F" w14:textId="77777777"/>
        </w:tc>
        <w:tc>
          <w:tcPr>
            <w:tcW w:w="0" w:type="auto"/>
            <w:hideMark/>
          </w:tcPr>
          <w:p w:rsidRPr="00EB402E" w:rsidR="00EB402E" w:rsidP="00824E8F" w14:paraId="53A3DF65" w14:textId="77777777"/>
        </w:tc>
        <w:tc>
          <w:tcPr>
            <w:tcW w:w="0" w:type="auto"/>
            <w:hideMark/>
          </w:tcPr>
          <w:p w:rsidRPr="00EB402E" w:rsidR="00EB402E" w:rsidP="00824E8F" w14:paraId="50BE0021" w14:textId="77777777"/>
        </w:tc>
        <w:tc>
          <w:tcPr>
            <w:tcW w:w="0" w:type="auto"/>
            <w:hideMark/>
          </w:tcPr>
          <w:p w:rsidRPr="00EB402E" w:rsidR="00EB402E" w:rsidP="00824E8F" w14:paraId="2417D50C" w14:textId="77777777"/>
        </w:tc>
        <w:tc>
          <w:tcPr>
            <w:tcW w:w="0" w:type="auto"/>
            <w:hideMark/>
          </w:tcPr>
          <w:p w:rsidRPr="00EB402E" w:rsidR="00EB402E" w:rsidP="00824E8F" w14:paraId="4154E5C8" w14:textId="77777777"/>
        </w:tc>
        <w:tc>
          <w:tcPr>
            <w:tcW w:w="0" w:type="auto"/>
            <w:hideMark/>
          </w:tcPr>
          <w:p w:rsidRPr="00EB402E" w:rsidR="00EB402E" w:rsidP="00824E8F" w14:paraId="70FFFAE0" w14:textId="77777777"/>
        </w:tc>
      </w:tr>
      <w:tr w:rsidTr="00814587" w14:paraId="4FBFF71A" w14:textId="77777777">
        <w:tblPrEx>
          <w:tblW w:w="0" w:type="auto"/>
          <w:tblLook w:val="04A0"/>
        </w:tblPrEx>
        <w:tc>
          <w:tcPr>
            <w:tcW w:w="0" w:type="auto"/>
            <w:hideMark/>
          </w:tcPr>
          <w:p w:rsidRPr="00EB402E" w:rsidR="00EB402E" w:rsidP="00824E8F" w14:paraId="1E8B7D3D" w14:textId="77777777">
            <w:r w:rsidRPr="00EB402E">
              <w:t>Development of research aim, objectives, and proposal</w:t>
            </w:r>
          </w:p>
        </w:tc>
        <w:tc>
          <w:tcPr>
            <w:tcW w:w="0" w:type="auto"/>
            <w:shd w:val="clear" w:color="auto" w:fill="8EAADB" w:themeFill="accent1" w:themeFillTint="99"/>
            <w:hideMark/>
          </w:tcPr>
          <w:p w:rsidRPr="00EB402E" w:rsidR="00EB402E" w:rsidP="00824E8F" w14:paraId="68505DA2"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6E24ECD6" w14:textId="77777777">
            <w:r w:rsidRPr="00EB402E">
              <w:rPr>
                <w:rFonts w:ascii="Segoe UI Symbol" w:hAnsi="Segoe UI Symbol" w:cs="Segoe UI Symbol"/>
              </w:rPr>
              <w:t>✓</w:t>
            </w:r>
          </w:p>
        </w:tc>
        <w:tc>
          <w:tcPr>
            <w:tcW w:w="0" w:type="auto"/>
            <w:hideMark/>
          </w:tcPr>
          <w:p w:rsidRPr="00EB402E" w:rsidR="00EB402E" w:rsidP="00824E8F" w14:paraId="199EB78B" w14:textId="77777777"/>
        </w:tc>
        <w:tc>
          <w:tcPr>
            <w:tcW w:w="0" w:type="auto"/>
            <w:hideMark/>
          </w:tcPr>
          <w:p w:rsidRPr="00EB402E" w:rsidR="00EB402E" w:rsidP="00824E8F" w14:paraId="78F41540" w14:textId="77777777"/>
        </w:tc>
        <w:tc>
          <w:tcPr>
            <w:tcW w:w="0" w:type="auto"/>
            <w:hideMark/>
          </w:tcPr>
          <w:p w:rsidRPr="00EB402E" w:rsidR="00EB402E" w:rsidP="00824E8F" w14:paraId="46E03C93" w14:textId="77777777"/>
        </w:tc>
        <w:tc>
          <w:tcPr>
            <w:tcW w:w="0" w:type="auto"/>
            <w:hideMark/>
          </w:tcPr>
          <w:p w:rsidRPr="00EB402E" w:rsidR="00EB402E" w:rsidP="00824E8F" w14:paraId="2380A4DA" w14:textId="77777777"/>
        </w:tc>
        <w:tc>
          <w:tcPr>
            <w:tcW w:w="0" w:type="auto"/>
            <w:hideMark/>
          </w:tcPr>
          <w:p w:rsidRPr="00EB402E" w:rsidR="00EB402E" w:rsidP="00824E8F" w14:paraId="194103AF" w14:textId="77777777"/>
        </w:tc>
        <w:tc>
          <w:tcPr>
            <w:tcW w:w="0" w:type="auto"/>
            <w:hideMark/>
          </w:tcPr>
          <w:p w:rsidRPr="00EB402E" w:rsidR="00EB402E" w:rsidP="00824E8F" w14:paraId="6E3704CC" w14:textId="77777777"/>
        </w:tc>
      </w:tr>
      <w:tr w:rsidTr="00814587" w14:paraId="322C3D67" w14:textId="77777777">
        <w:tblPrEx>
          <w:tblW w:w="0" w:type="auto"/>
          <w:tblLook w:val="04A0"/>
        </w:tblPrEx>
        <w:tc>
          <w:tcPr>
            <w:tcW w:w="0" w:type="auto"/>
            <w:hideMark/>
          </w:tcPr>
          <w:p w:rsidRPr="00EB402E" w:rsidR="00EB402E" w:rsidP="00824E8F" w14:paraId="127776FE" w14:textId="77777777">
            <w:r w:rsidRPr="00EB402E">
              <w:t>Literature search and collection of journal articles</w:t>
            </w:r>
          </w:p>
        </w:tc>
        <w:tc>
          <w:tcPr>
            <w:tcW w:w="0" w:type="auto"/>
            <w:hideMark/>
          </w:tcPr>
          <w:p w:rsidRPr="00EB402E" w:rsidR="00EB402E" w:rsidP="00824E8F" w14:paraId="0C1C99E3" w14:textId="77777777"/>
        </w:tc>
        <w:tc>
          <w:tcPr>
            <w:tcW w:w="0" w:type="auto"/>
            <w:shd w:val="clear" w:color="auto" w:fill="8EAADB" w:themeFill="accent1" w:themeFillTint="99"/>
            <w:hideMark/>
          </w:tcPr>
          <w:p w:rsidRPr="00EB402E" w:rsidR="00EB402E" w:rsidP="00824E8F" w14:paraId="40484200"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2F18DE1B" w14:textId="77777777">
            <w:r w:rsidRPr="00EB402E">
              <w:rPr>
                <w:rFonts w:ascii="Segoe UI Symbol" w:hAnsi="Segoe UI Symbol" w:cs="Segoe UI Symbol"/>
              </w:rPr>
              <w:t>✓</w:t>
            </w:r>
          </w:p>
        </w:tc>
        <w:tc>
          <w:tcPr>
            <w:tcW w:w="0" w:type="auto"/>
            <w:hideMark/>
          </w:tcPr>
          <w:p w:rsidRPr="00EB402E" w:rsidR="00EB402E" w:rsidP="00824E8F" w14:paraId="680D7F0F" w14:textId="77777777"/>
        </w:tc>
        <w:tc>
          <w:tcPr>
            <w:tcW w:w="0" w:type="auto"/>
            <w:hideMark/>
          </w:tcPr>
          <w:p w:rsidRPr="00EB402E" w:rsidR="00EB402E" w:rsidP="00824E8F" w14:paraId="68D046B3" w14:textId="77777777"/>
        </w:tc>
        <w:tc>
          <w:tcPr>
            <w:tcW w:w="0" w:type="auto"/>
            <w:hideMark/>
          </w:tcPr>
          <w:p w:rsidRPr="00EB402E" w:rsidR="00EB402E" w:rsidP="00824E8F" w14:paraId="19354295" w14:textId="77777777"/>
        </w:tc>
        <w:tc>
          <w:tcPr>
            <w:tcW w:w="0" w:type="auto"/>
            <w:hideMark/>
          </w:tcPr>
          <w:p w:rsidRPr="00EB402E" w:rsidR="00EB402E" w:rsidP="00824E8F" w14:paraId="2B4803C7" w14:textId="77777777"/>
        </w:tc>
        <w:tc>
          <w:tcPr>
            <w:tcW w:w="0" w:type="auto"/>
            <w:hideMark/>
          </w:tcPr>
          <w:p w:rsidRPr="00EB402E" w:rsidR="00EB402E" w:rsidP="00824E8F" w14:paraId="04C5C53C" w14:textId="77777777"/>
        </w:tc>
      </w:tr>
      <w:tr w:rsidTr="00FB1E22" w14:paraId="624C41DA" w14:textId="77777777">
        <w:tblPrEx>
          <w:tblW w:w="0" w:type="auto"/>
          <w:tblLook w:val="04A0"/>
        </w:tblPrEx>
        <w:tc>
          <w:tcPr>
            <w:tcW w:w="0" w:type="auto"/>
            <w:hideMark/>
          </w:tcPr>
          <w:p w:rsidRPr="00EB402E" w:rsidR="00EB402E" w:rsidP="00824E8F" w14:paraId="663C7181" w14:textId="77777777">
            <w:r w:rsidRPr="00EB402E">
              <w:t>Screening and selection of relevant studies</w:t>
            </w:r>
          </w:p>
        </w:tc>
        <w:tc>
          <w:tcPr>
            <w:tcW w:w="0" w:type="auto"/>
            <w:hideMark/>
          </w:tcPr>
          <w:p w:rsidRPr="00EB402E" w:rsidR="00EB402E" w:rsidP="00824E8F" w14:paraId="37DB60F1" w14:textId="77777777"/>
        </w:tc>
        <w:tc>
          <w:tcPr>
            <w:tcW w:w="0" w:type="auto"/>
            <w:hideMark/>
          </w:tcPr>
          <w:p w:rsidRPr="00EB402E" w:rsidR="00EB402E" w:rsidP="00824E8F" w14:paraId="7622D9C9" w14:textId="77777777"/>
        </w:tc>
        <w:tc>
          <w:tcPr>
            <w:tcW w:w="0" w:type="auto"/>
            <w:shd w:val="clear" w:color="auto" w:fill="8EAADB" w:themeFill="accent1" w:themeFillTint="99"/>
            <w:hideMark/>
          </w:tcPr>
          <w:p w:rsidRPr="00EB402E" w:rsidR="00EB402E" w:rsidP="00824E8F" w14:paraId="3209E4DD"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409DBB0A" w14:textId="77777777">
            <w:r w:rsidRPr="00EB402E">
              <w:rPr>
                <w:rFonts w:ascii="Segoe UI Symbol" w:hAnsi="Segoe UI Symbol" w:cs="Segoe UI Symbol"/>
              </w:rPr>
              <w:t>✓</w:t>
            </w:r>
          </w:p>
        </w:tc>
        <w:tc>
          <w:tcPr>
            <w:tcW w:w="0" w:type="auto"/>
            <w:hideMark/>
          </w:tcPr>
          <w:p w:rsidRPr="00EB402E" w:rsidR="00EB402E" w:rsidP="00824E8F" w14:paraId="7E1D56C8" w14:textId="77777777"/>
        </w:tc>
        <w:tc>
          <w:tcPr>
            <w:tcW w:w="0" w:type="auto"/>
            <w:hideMark/>
          </w:tcPr>
          <w:p w:rsidRPr="00EB402E" w:rsidR="00EB402E" w:rsidP="00824E8F" w14:paraId="469722ED" w14:textId="77777777"/>
        </w:tc>
        <w:tc>
          <w:tcPr>
            <w:tcW w:w="0" w:type="auto"/>
            <w:hideMark/>
          </w:tcPr>
          <w:p w:rsidRPr="00EB402E" w:rsidR="00EB402E" w:rsidP="00824E8F" w14:paraId="2F23CA12" w14:textId="77777777"/>
        </w:tc>
        <w:tc>
          <w:tcPr>
            <w:tcW w:w="0" w:type="auto"/>
            <w:hideMark/>
          </w:tcPr>
          <w:p w:rsidRPr="00EB402E" w:rsidR="00EB402E" w:rsidP="00824E8F" w14:paraId="0B0BE491" w14:textId="77777777"/>
        </w:tc>
      </w:tr>
      <w:tr w:rsidTr="005870FD" w14:paraId="2951BC8C" w14:textId="77777777">
        <w:tblPrEx>
          <w:tblW w:w="0" w:type="auto"/>
          <w:tblLook w:val="04A0"/>
        </w:tblPrEx>
        <w:tc>
          <w:tcPr>
            <w:tcW w:w="0" w:type="auto"/>
            <w:hideMark/>
          </w:tcPr>
          <w:p w:rsidRPr="00EB402E" w:rsidR="00EB402E" w:rsidP="00824E8F" w14:paraId="2287245C" w14:textId="77777777">
            <w:r w:rsidRPr="00EB402E">
              <w:t>Critical review and analysis of literature</w:t>
            </w:r>
          </w:p>
        </w:tc>
        <w:tc>
          <w:tcPr>
            <w:tcW w:w="0" w:type="auto"/>
            <w:hideMark/>
          </w:tcPr>
          <w:p w:rsidRPr="00EB402E" w:rsidR="00EB402E" w:rsidP="00824E8F" w14:paraId="358AA0EF" w14:textId="77777777"/>
        </w:tc>
        <w:tc>
          <w:tcPr>
            <w:tcW w:w="0" w:type="auto"/>
            <w:hideMark/>
          </w:tcPr>
          <w:p w:rsidRPr="00EB402E" w:rsidR="00EB402E" w:rsidP="00824E8F" w14:paraId="224CBD8E" w14:textId="77777777"/>
        </w:tc>
        <w:tc>
          <w:tcPr>
            <w:tcW w:w="0" w:type="auto"/>
            <w:hideMark/>
          </w:tcPr>
          <w:p w:rsidRPr="00EB402E" w:rsidR="00EB402E" w:rsidP="00824E8F" w14:paraId="7510A40F" w14:textId="77777777"/>
        </w:tc>
        <w:tc>
          <w:tcPr>
            <w:tcW w:w="0" w:type="auto"/>
            <w:shd w:val="clear" w:color="auto" w:fill="8EAADB" w:themeFill="accent1" w:themeFillTint="99"/>
            <w:hideMark/>
          </w:tcPr>
          <w:p w:rsidRPr="00EB402E" w:rsidR="00EB402E" w:rsidP="00824E8F" w14:paraId="1A72CB7D"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40F52D96" w14:textId="77777777">
            <w:r w:rsidRPr="00EB402E">
              <w:rPr>
                <w:rFonts w:ascii="Segoe UI Symbol" w:hAnsi="Segoe UI Symbol" w:cs="Segoe UI Symbol"/>
              </w:rPr>
              <w:t>✓</w:t>
            </w:r>
          </w:p>
        </w:tc>
        <w:tc>
          <w:tcPr>
            <w:tcW w:w="0" w:type="auto"/>
            <w:hideMark/>
          </w:tcPr>
          <w:p w:rsidRPr="00EB402E" w:rsidR="00EB402E" w:rsidP="00824E8F" w14:paraId="18E2AFA8" w14:textId="77777777"/>
        </w:tc>
        <w:tc>
          <w:tcPr>
            <w:tcW w:w="0" w:type="auto"/>
            <w:hideMark/>
          </w:tcPr>
          <w:p w:rsidRPr="00EB402E" w:rsidR="00EB402E" w:rsidP="00824E8F" w14:paraId="4B79838B" w14:textId="77777777"/>
        </w:tc>
        <w:tc>
          <w:tcPr>
            <w:tcW w:w="0" w:type="auto"/>
            <w:hideMark/>
          </w:tcPr>
          <w:p w:rsidRPr="00EB402E" w:rsidR="00EB402E" w:rsidP="00824E8F" w14:paraId="0FB8383A" w14:textId="77777777"/>
        </w:tc>
      </w:tr>
      <w:tr w:rsidTr="001A09E8" w14:paraId="34A8C72A" w14:textId="77777777">
        <w:tblPrEx>
          <w:tblW w:w="0" w:type="auto"/>
          <w:tblLook w:val="04A0"/>
        </w:tblPrEx>
        <w:tc>
          <w:tcPr>
            <w:tcW w:w="0" w:type="auto"/>
            <w:hideMark/>
          </w:tcPr>
          <w:p w:rsidRPr="00EB402E" w:rsidR="00EB402E" w:rsidP="00824E8F" w14:paraId="3FBB1888" w14:textId="77777777">
            <w:r w:rsidRPr="00EB402E">
              <w:t>Thematic analysis and synthesis of findings</w:t>
            </w:r>
          </w:p>
        </w:tc>
        <w:tc>
          <w:tcPr>
            <w:tcW w:w="0" w:type="auto"/>
            <w:hideMark/>
          </w:tcPr>
          <w:p w:rsidRPr="00EB402E" w:rsidR="00EB402E" w:rsidP="00824E8F" w14:paraId="07A8F2CD" w14:textId="77777777"/>
        </w:tc>
        <w:tc>
          <w:tcPr>
            <w:tcW w:w="0" w:type="auto"/>
            <w:hideMark/>
          </w:tcPr>
          <w:p w:rsidRPr="00EB402E" w:rsidR="00EB402E" w:rsidP="00824E8F" w14:paraId="77774A55" w14:textId="77777777"/>
        </w:tc>
        <w:tc>
          <w:tcPr>
            <w:tcW w:w="0" w:type="auto"/>
            <w:hideMark/>
          </w:tcPr>
          <w:p w:rsidRPr="00EB402E" w:rsidR="00EB402E" w:rsidP="00824E8F" w14:paraId="366B90FF" w14:textId="77777777"/>
        </w:tc>
        <w:tc>
          <w:tcPr>
            <w:tcW w:w="0" w:type="auto"/>
            <w:hideMark/>
          </w:tcPr>
          <w:p w:rsidRPr="00EB402E" w:rsidR="00EB402E" w:rsidP="00824E8F" w14:paraId="57A652B0" w14:textId="77777777"/>
        </w:tc>
        <w:tc>
          <w:tcPr>
            <w:tcW w:w="0" w:type="auto"/>
            <w:shd w:val="clear" w:color="auto" w:fill="8EAADB" w:themeFill="accent1" w:themeFillTint="99"/>
            <w:hideMark/>
          </w:tcPr>
          <w:p w:rsidRPr="00EB402E" w:rsidR="00EB402E" w:rsidP="00824E8F" w14:paraId="22BF11CA"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171A42C9" w14:textId="77777777">
            <w:r w:rsidRPr="00EB402E">
              <w:rPr>
                <w:rFonts w:ascii="Segoe UI Symbol" w:hAnsi="Segoe UI Symbol" w:cs="Segoe UI Symbol"/>
              </w:rPr>
              <w:t>✓</w:t>
            </w:r>
          </w:p>
        </w:tc>
        <w:tc>
          <w:tcPr>
            <w:tcW w:w="0" w:type="auto"/>
            <w:hideMark/>
          </w:tcPr>
          <w:p w:rsidRPr="00EB402E" w:rsidR="00EB402E" w:rsidP="00824E8F" w14:paraId="6580C8AC" w14:textId="77777777"/>
        </w:tc>
        <w:tc>
          <w:tcPr>
            <w:tcW w:w="0" w:type="auto"/>
            <w:hideMark/>
          </w:tcPr>
          <w:p w:rsidRPr="00EB402E" w:rsidR="00EB402E" w:rsidP="00824E8F" w14:paraId="189F5C68" w14:textId="77777777"/>
        </w:tc>
      </w:tr>
      <w:tr w:rsidTr="00DC356D" w14:paraId="00037862" w14:textId="77777777">
        <w:tblPrEx>
          <w:tblW w:w="0" w:type="auto"/>
          <w:tblLook w:val="04A0"/>
        </w:tblPrEx>
        <w:tc>
          <w:tcPr>
            <w:tcW w:w="0" w:type="auto"/>
            <w:hideMark/>
          </w:tcPr>
          <w:p w:rsidRPr="00EB402E" w:rsidR="00EB402E" w:rsidP="00824E8F" w14:paraId="49ED77BD" w14:textId="77777777">
            <w:r w:rsidRPr="00EB402E">
              <w:t>Writing the first draft of the research report</w:t>
            </w:r>
          </w:p>
        </w:tc>
        <w:tc>
          <w:tcPr>
            <w:tcW w:w="0" w:type="auto"/>
            <w:hideMark/>
          </w:tcPr>
          <w:p w:rsidRPr="00EB402E" w:rsidR="00EB402E" w:rsidP="00824E8F" w14:paraId="36177390" w14:textId="77777777"/>
        </w:tc>
        <w:tc>
          <w:tcPr>
            <w:tcW w:w="0" w:type="auto"/>
            <w:hideMark/>
          </w:tcPr>
          <w:p w:rsidRPr="00EB402E" w:rsidR="00EB402E" w:rsidP="00824E8F" w14:paraId="3CB9365A" w14:textId="77777777"/>
        </w:tc>
        <w:tc>
          <w:tcPr>
            <w:tcW w:w="0" w:type="auto"/>
            <w:hideMark/>
          </w:tcPr>
          <w:p w:rsidRPr="00EB402E" w:rsidR="00EB402E" w:rsidP="00824E8F" w14:paraId="2866E8C6" w14:textId="77777777"/>
        </w:tc>
        <w:tc>
          <w:tcPr>
            <w:tcW w:w="0" w:type="auto"/>
            <w:hideMark/>
          </w:tcPr>
          <w:p w:rsidRPr="00EB402E" w:rsidR="00EB402E" w:rsidP="00824E8F" w14:paraId="0EFCB1C0" w14:textId="77777777"/>
        </w:tc>
        <w:tc>
          <w:tcPr>
            <w:tcW w:w="0" w:type="auto"/>
            <w:hideMark/>
          </w:tcPr>
          <w:p w:rsidRPr="00EB402E" w:rsidR="00EB402E" w:rsidP="00824E8F" w14:paraId="0F3BC09C" w14:textId="77777777"/>
        </w:tc>
        <w:tc>
          <w:tcPr>
            <w:tcW w:w="0" w:type="auto"/>
            <w:shd w:val="clear" w:color="auto" w:fill="8EAADB" w:themeFill="accent1" w:themeFillTint="99"/>
            <w:hideMark/>
          </w:tcPr>
          <w:p w:rsidRPr="00EB402E" w:rsidR="00EB402E" w:rsidP="00824E8F" w14:paraId="0258DA72"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25C0FC9D" w14:textId="77777777">
            <w:r w:rsidRPr="00EB402E">
              <w:rPr>
                <w:rFonts w:ascii="Segoe UI Symbol" w:hAnsi="Segoe UI Symbol" w:cs="Segoe UI Symbol"/>
              </w:rPr>
              <w:t>✓</w:t>
            </w:r>
          </w:p>
        </w:tc>
        <w:tc>
          <w:tcPr>
            <w:tcW w:w="0" w:type="auto"/>
            <w:hideMark/>
          </w:tcPr>
          <w:p w:rsidRPr="00EB402E" w:rsidR="00EB402E" w:rsidP="00824E8F" w14:paraId="77A7EB86" w14:textId="77777777"/>
        </w:tc>
      </w:tr>
      <w:tr w:rsidTr="00DC356D" w14:paraId="52214324" w14:textId="77777777">
        <w:tblPrEx>
          <w:tblW w:w="0" w:type="auto"/>
          <w:tblLook w:val="04A0"/>
        </w:tblPrEx>
        <w:tc>
          <w:tcPr>
            <w:tcW w:w="0" w:type="auto"/>
            <w:hideMark/>
          </w:tcPr>
          <w:p w:rsidRPr="00EB402E" w:rsidR="00EB402E" w:rsidP="00824E8F" w14:paraId="202DEF17" w14:textId="77777777">
            <w:r w:rsidRPr="00EB402E">
              <w:t>Supervisor feedback and revisions</w:t>
            </w:r>
          </w:p>
        </w:tc>
        <w:tc>
          <w:tcPr>
            <w:tcW w:w="0" w:type="auto"/>
            <w:hideMark/>
          </w:tcPr>
          <w:p w:rsidRPr="00EB402E" w:rsidR="00EB402E" w:rsidP="00824E8F" w14:paraId="1D3A14A2" w14:textId="77777777"/>
        </w:tc>
        <w:tc>
          <w:tcPr>
            <w:tcW w:w="0" w:type="auto"/>
            <w:hideMark/>
          </w:tcPr>
          <w:p w:rsidRPr="00EB402E" w:rsidR="00EB402E" w:rsidP="00824E8F" w14:paraId="583652E5" w14:textId="77777777"/>
        </w:tc>
        <w:tc>
          <w:tcPr>
            <w:tcW w:w="0" w:type="auto"/>
            <w:hideMark/>
          </w:tcPr>
          <w:p w:rsidRPr="00EB402E" w:rsidR="00EB402E" w:rsidP="00824E8F" w14:paraId="3716FAB0" w14:textId="77777777"/>
        </w:tc>
        <w:tc>
          <w:tcPr>
            <w:tcW w:w="0" w:type="auto"/>
            <w:hideMark/>
          </w:tcPr>
          <w:p w:rsidRPr="00EB402E" w:rsidR="00EB402E" w:rsidP="00824E8F" w14:paraId="079C0BDB" w14:textId="77777777"/>
        </w:tc>
        <w:tc>
          <w:tcPr>
            <w:tcW w:w="0" w:type="auto"/>
            <w:hideMark/>
          </w:tcPr>
          <w:p w:rsidRPr="00EB402E" w:rsidR="00EB402E" w:rsidP="00824E8F" w14:paraId="087F82D7" w14:textId="77777777"/>
        </w:tc>
        <w:tc>
          <w:tcPr>
            <w:tcW w:w="0" w:type="auto"/>
            <w:hideMark/>
          </w:tcPr>
          <w:p w:rsidRPr="00EB402E" w:rsidR="00EB402E" w:rsidP="00824E8F" w14:paraId="1ECB2103" w14:textId="77777777"/>
        </w:tc>
        <w:tc>
          <w:tcPr>
            <w:tcW w:w="0" w:type="auto"/>
            <w:shd w:val="clear" w:color="auto" w:fill="8EAADB" w:themeFill="accent1" w:themeFillTint="99"/>
            <w:hideMark/>
          </w:tcPr>
          <w:p w:rsidRPr="00EB402E" w:rsidR="00EB402E" w:rsidP="00824E8F" w14:paraId="71BE3EB0" w14:textId="77777777">
            <w:r w:rsidRPr="00EB402E">
              <w:rPr>
                <w:rFonts w:ascii="Segoe UI Symbol" w:hAnsi="Segoe UI Symbol" w:cs="Segoe UI Symbol"/>
              </w:rPr>
              <w:t>✓</w:t>
            </w:r>
          </w:p>
        </w:tc>
        <w:tc>
          <w:tcPr>
            <w:tcW w:w="0" w:type="auto"/>
            <w:hideMark/>
          </w:tcPr>
          <w:p w:rsidRPr="00EB402E" w:rsidR="00EB402E" w:rsidP="00824E8F" w14:paraId="2A77D489" w14:textId="77777777"/>
        </w:tc>
      </w:tr>
      <w:tr w:rsidTr="00990012" w14:paraId="103A6645" w14:textId="77777777">
        <w:tblPrEx>
          <w:tblW w:w="0" w:type="auto"/>
          <w:tblLook w:val="04A0"/>
        </w:tblPrEx>
        <w:tc>
          <w:tcPr>
            <w:tcW w:w="0" w:type="auto"/>
            <w:hideMark/>
          </w:tcPr>
          <w:p w:rsidRPr="00EB402E" w:rsidR="00EB402E" w:rsidP="00824E8F" w14:paraId="61199ED5" w14:textId="77777777">
            <w:r w:rsidRPr="00EB402E">
              <w:t>Proofreading, editing, and referencing</w:t>
            </w:r>
          </w:p>
        </w:tc>
        <w:tc>
          <w:tcPr>
            <w:tcW w:w="0" w:type="auto"/>
            <w:hideMark/>
          </w:tcPr>
          <w:p w:rsidRPr="00EB402E" w:rsidR="00EB402E" w:rsidP="00824E8F" w14:paraId="2EEF3AA8" w14:textId="77777777"/>
        </w:tc>
        <w:tc>
          <w:tcPr>
            <w:tcW w:w="0" w:type="auto"/>
            <w:hideMark/>
          </w:tcPr>
          <w:p w:rsidRPr="00EB402E" w:rsidR="00EB402E" w:rsidP="00824E8F" w14:paraId="2AA9FA60" w14:textId="77777777"/>
        </w:tc>
        <w:tc>
          <w:tcPr>
            <w:tcW w:w="0" w:type="auto"/>
            <w:hideMark/>
          </w:tcPr>
          <w:p w:rsidRPr="00EB402E" w:rsidR="00EB402E" w:rsidP="00824E8F" w14:paraId="55F70951" w14:textId="77777777"/>
        </w:tc>
        <w:tc>
          <w:tcPr>
            <w:tcW w:w="0" w:type="auto"/>
            <w:hideMark/>
          </w:tcPr>
          <w:p w:rsidRPr="00EB402E" w:rsidR="00EB402E" w:rsidP="00824E8F" w14:paraId="012D5D78" w14:textId="77777777"/>
        </w:tc>
        <w:tc>
          <w:tcPr>
            <w:tcW w:w="0" w:type="auto"/>
            <w:hideMark/>
          </w:tcPr>
          <w:p w:rsidRPr="00EB402E" w:rsidR="00EB402E" w:rsidP="00824E8F" w14:paraId="44676D6E" w14:textId="77777777"/>
        </w:tc>
        <w:tc>
          <w:tcPr>
            <w:tcW w:w="0" w:type="auto"/>
            <w:hideMark/>
          </w:tcPr>
          <w:p w:rsidRPr="00EB402E" w:rsidR="00EB402E" w:rsidP="00824E8F" w14:paraId="4EDDEE93" w14:textId="77777777"/>
        </w:tc>
        <w:tc>
          <w:tcPr>
            <w:tcW w:w="0" w:type="auto"/>
            <w:shd w:val="clear" w:color="auto" w:fill="8EAADB" w:themeFill="accent1" w:themeFillTint="99"/>
            <w:hideMark/>
          </w:tcPr>
          <w:p w:rsidRPr="00EB402E" w:rsidR="00EB402E" w:rsidP="00824E8F" w14:paraId="33166BFF" w14:textId="77777777">
            <w:r w:rsidRPr="00EB402E">
              <w:rPr>
                <w:rFonts w:ascii="Segoe UI Symbol" w:hAnsi="Segoe UI Symbol" w:cs="Segoe UI Symbol"/>
              </w:rPr>
              <w:t>✓</w:t>
            </w:r>
          </w:p>
        </w:tc>
        <w:tc>
          <w:tcPr>
            <w:tcW w:w="0" w:type="auto"/>
            <w:shd w:val="clear" w:color="auto" w:fill="8EAADB" w:themeFill="accent1" w:themeFillTint="99"/>
            <w:hideMark/>
          </w:tcPr>
          <w:p w:rsidRPr="00EB402E" w:rsidR="00EB402E" w:rsidP="00824E8F" w14:paraId="7E39F35E" w14:textId="77777777">
            <w:r w:rsidRPr="00EB402E">
              <w:rPr>
                <w:rFonts w:ascii="Segoe UI Symbol" w:hAnsi="Segoe UI Symbol" w:cs="Segoe UI Symbol"/>
              </w:rPr>
              <w:t>✓</w:t>
            </w:r>
          </w:p>
        </w:tc>
      </w:tr>
      <w:tr w:rsidTr="00990012" w14:paraId="2F35FB6F" w14:textId="77777777">
        <w:tblPrEx>
          <w:tblW w:w="0" w:type="auto"/>
          <w:tblLook w:val="04A0"/>
        </w:tblPrEx>
        <w:tc>
          <w:tcPr>
            <w:tcW w:w="0" w:type="auto"/>
            <w:hideMark/>
          </w:tcPr>
          <w:p w:rsidRPr="00EB402E" w:rsidR="00EB402E" w:rsidP="00824E8F" w14:paraId="2B722821" w14:textId="77777777">
            <w:r w:rsidRPr="00EB402E">
              <w:t>Final review and submission</w:t>
            </w:r>
          </w:p>
        </w:tc>
        <w:tc>
          <w:tcPr>
            <w:tcW w:w="0" w:type="auto"/>
            <w:hideMark/>
          </w:tcPr>
          <w:p w:rsidRPr="00EB402E" w:rsidR="00EB402E" w:rsidP="00824E8F" w14:paraId="557A4344" w14:textId="77777777"/>
        </w:tc>
        <w:tc>
          <w:tcPr>
            <w:tcW w:w="0" w:type="auto"/>
            <w:hideMark/>
          </w:tcPr>
          <w:p w:rsidRPr="00EB402E" w:rsidR="00EB402E" w:rsidP="00824E8F" w14:paraId="4E737A45" w14:textId="77777777"/>
        </w:tc>
        <w:tc>
          <w:tcPr>
            <w:tcW w:w="0" w:type="auto"/>
            <w:hideMark/>
          </w:tcPr>
          <w:p w:rsidRPr="00EB402E" w:rsidR="00EB402E" w:rsidP="00824E8F" w14:paraId="3F26787E" w14:textId="77777777"/>
        </w:tc>
        <w:tc>
          <w:tcPr>
            <w:tcW w:w="0" w:type="auto"/>
            <w:hideMark/>
          </w:tcPr>
          <w:p w:rsidRPr="00EB402E" w:rsidR="00EB402E" w:rsidP="00824E8F" w14:paraId="41E941EE" w14:textId="77777777"/>
        </w:tc>
        <w:tc>
          <w:tcPr>
            <w:tcW w:w="0" w:type="auto"/>
            <w:hideMark/>
          </w:tcPr>
          <w:p w:rsidRPr="00EB402E" w:rsidR="00EB402E" w:rsidP="00824E8F" w14:paraId="2C931E3B" w14:textId="77777777"/>
        </w:tc>
        <w:tc>
          <w:tcPr>
            <w:tcW w:w="0" w:type="auto"/>
            <w:hideMark/>
          </w:tcPr>
          <w:p w:rsidRPr="00EB402E" w:rsidR="00EB402E" w:rsidP="00824E8F" w14:paraId="22FB7DF3" w14:textId="77777777"/>
        </w:tc>
        <w:tc>
          <w:tcPr>
            <w:tcW w:w="0" w:type="auto"/>
            <w:hideMark/>
          </w:tcPr>
          <w:p w:rsidRPr="00EB402E" w:rsidR="00EB402E" w:rsidP="00824E8F" w14:paraId="251B95D1" w14:textId="77777777"/>
        </w:tc>
        <w:tc>
          <w:tcPr>
            <w:tcW w:w="0" w:type="auto"/>
            <w:shd w:val="clear" w:color="auto" w:fill="8EAADB" w:themeFill="accent1" w:themeFillTint="99"/>
            <w:hideMark/>
          </w:tcPr>
          <w:p w:rsidRPr="00EB402E" w:rsidR="00EB402E" w:rsidP="00824E8F" w14:paraId="2E4F31CB" w14:textId="77777777">
            <w:r w:rsidRPr="00EB402E">
              <w:rPr>
                <w:rFonts w:ascii="Segoe UI Symbol" w:hAnsi="Segoe UI Symbol" w:cs="Segoe UI Symbol"/>
              </w:rPr>
              <w:t>✓</w:t>
            </w:r>
          </w:p>
        </w:tc>
      </w:tr>
    </w:tbl>
    <w:p w:rsidR="00CE36C6" w:rsidP="00041A5A" w14:paraId="38B62084" w14:textId="4B07FB40">
      <w:pPr>
        <w:spacing w:line="360" w:lineRule="auto"/>
        <w:rPr>
          <w:rFonts w:ascii="Aptos" w:hAnsi="Aptos" w:cs="Arial"/>
        </w:rPr>
      </w:pPr>
    </w:p>
    <w:p w:rsidRPr="003A2FDF" w:rsidR="00EB402E" w:rsidP="00041A5A" w14:paraId="0C3E923B" w14:textId="77777777">
      <w:pPr>
        <w:spacing w:line="360" w:lineRule="auto"/>
        <w:rPr>
          <w:rFonts w:ascii="Aptos" w:hAnsi="Aptos" w:cs="Arial"/>
        </w:rPr>
      </w:pPr>
    </w:p>
    <w:p w:rsidRPr="003A2FDF" w:rsidR="00FF5B70" w:rsidP="00041A5A" w14:paraId="5713A915" w14:textId="12096B7C">
      <w:pPr>
        <w:spacing w:line="360" w:lineRule="auto"/>
        <w:rPr>
          <w:rFonts w:ascii="Aptos" w:hAnsi="Aptos" w:cs="Arial"/>
          <w:b/>
          <w:bCs/>
          <w:i/>
          <w:iCs/>
          <w:sz w:val="28"/>
          <w:szCs w:val="28"/>
        </w:rPr>
      </w:pPr>
      <w:r w:rsidRPr="003A2FDF">
        <w:rPr>
          <w:rFonts w:ascii="Aptos" w:hAnsi="Aptos" w:cs="Arial"/>
          <w:b/>
          <w:bCs/>
          <w:i/>
          <w:iCs/>
          <w:sz w:val="28"/>
          <w:szCs w:val="28"/>
        </w:rPr>
        <w:t>7) Self-reflection as a researcher</w:t>
      </w:r>
      <w:r w:rsidR="00E477C4">
        <w:rPr>
          <w:rFonts w:ascii="Aptos" w:hAnsi="Aptos" w:cs="Arial"/>
          <w:b/>
          <w:bCs/>
          <w:i/>
          <w:iCs/>
          <w:sz w:val="28"/>
          <w:szCs w:val="28"/>
        </w:rPr>
        <w:t>:</w:t>
      </w:r>
      <w:r w:rsidRPr="003A2FDF">
        <w:rPr>
          <w:rFonts w:ascii="Aptos" w:hAnsi="Aptos" w:cs="Arial"/>
          <w:b/>
          <w:bCs/>
          <w:i/>
          <w:iCs/>
          <w:sz w:val="28"/>
          <w:szCs w:val="28"/>
        </w:rPr>
        <w:t xml:space="preserve"> </w:t>
      </w:r>
    </w:p>
    <w:p w:rsidR="00D948FB" w:rsidP="00041A5A" w14:paraId="2BBAE1DA" w14:textId="7E90BE16">
      <w:pPr>
        <w:spacing w:line="360" w:lineRule="auto"/>
        <w:rPr>
          <w:rFonts w:ascii="Aptos" w:hAnsi="Aptos" w:cs="Arial"/>
        </w:rPr>
      </w:pPr>
      <w:r w:rsidRPr="003C27EB">
        <w:rPr>
          <w:rFonts w:ascii="Aptos" w:hAnsi="Aptos" w:cs="Arial"/>
        </w:rPr>
        <w:t xml:space="preserve">The researcher is able to successfully find and </w:t>
      </w:r>
      <w:r w:rsidRPr="003C27EB" w:rsidR="00682AA0">
        <w:rPr>
          <w:rFonts w:ascii="Aptos" w:hAnsi="Aptos" w:cs="Arial"/>
        </w:rPr>
        <w:t>analyse</w:t>
      </w:r>
      <w:r w:rsidRPr="003C27EB">
        <w:rPr>
          <w:rFonts w:ascii="Aptos" w:hAnsi="Aptos" w:cs="Arial"/>
        </w:rPr>
        <w:t xml:space="preserve"> academic data and organise information and tasks appropriately within a given time. One challenge that may arise is how to handle the vast amount of literature and find the most pertinent ones. For this, the researcher will work with a source tracking table, have a clearly defined inclusion criteria, set aside time for review and ask for input from the Lecturers and library staff as needed. This project will enrich the researcher's knowledge of Critical Appraisal, academic writing and literature synthesis.</w:t>
      </w:r>
    </w:p>
    <w:p w:rsidRPr="003A2FDF" w:rsidR="00545684" w:rsidP="00041A5A" w14:paraId="449212CA" w14:textId="20FD88FA">
      <w:pPr>
        <w:spacing w:line="360" w:lineRule="auto"/>
        <w:rPr>
          <w:rFonts w:ascii="Aptos" w:hAnsi="Aptos" w:cs="Arial"/>
        </w:rPr>
      </w:pPr>
      <w:r w:rsidRPr="003A2FDF">
        <w:rPr>
          <w:rFonts w:ascii="Aptos" w:hAnsi="Aptos" w:cs="Arial"/>
        </w:rPr>
        <w:br w:type="page"/>
      </w:r>
    </w:p>
    <w:p w:rsidRPr="003A2FDF" w:rsidR="00545684" w:rsidP="00FF5B70" w14:paraId="262C8CA3" w14:textId="4D2FF9E1">
      <w:pPr>
        <w:pStyle w:val="Heading1"/>
        <w:rPr>
          <w:rFonts w:ascii="Aptos" w:hAnsi="Aptos"/>
        </w:rPr>
      </w:pPr>
      <w:r w:rsidRPr="003A2FDF">
        <w:rPr>
          <w:rFonts w:ascii="Aptos" w:hAnsi="Aptos"/>
        </w:rPr>
        <w:t>References</w:t>
      </w:r>
    </w:p>
    <w:p w:rsidR="000C0646" w:rsidP="006073F3" w14:paraId="024BB161" w14:textId="77777777">
      <w:pPr>
        <w:spacing w:line="360" w:lineRule="auto"/>
        <w:ind w:left="720" w:hanging="720"/>
        <w:rPr>
          <w:rFonts w:ascii="Aptos" w:hAnsi="Aptos" w:cs="Arial"/>
        </w:rPr>
      </w:pPr>
      <w:r w:rsidRPr="006F1008">
        <w:rPr>
          <w:rFonts w:ascii="Aptos" w:hAnsi="Aptos" w:cs="Arial"/>
        </w:rPr>
        <w:t>Alanazi</w:t>
      </w:r>
      <w:r w:rsidRPr="006F1008">
        <w:rPr>
          <w:rFonts w:ascii="Aptos" w:hAnsi="Aptos" w:cs="Arial"/>
        </w:rPr>
        <w:t>, S.E.M., Al-</w:t>
      </w:r>
      <w:r w:rsidRPr="006F1008">
        <w:rPr>
          <w:rFonts w:ascii="Aptos" w:hAnsi="Aptos" w:cs="Arial"/>
        </w:rPr>
        <w:t>Dharf</w:t>
      </w:r>
      <w:r w:rsidRPr="006F1008">
        <w:rPr>
          <w:rFonts w:ascii="Aptos" w:hAnsi="Aptos" w:cs="Arial"/>
        </w:rPr>
        <w:t xml:space="preserve">, A.A.A., Al-Sharari, A.A., Alanazi, A.D.M., Alanazi, F.A.G., Al-Juhani, F.M., Alatawi, J.S., Albasri, M.N.M., Alshamere, M.H.M., Alwalah, M.H.A. and Al-Sharari, N.M.S., </w:t>
      </w:r>
      <w:r>
        <w:rPr>
          <w:rFonts w:ascii="Aptos" w:hAnsi="Aptos" w:cs="Arial"/>
        </w:rPr>
        <w:t>(</w:t>
      </w:r>
      <w:r w:rsidRPr="006F1008">
        <w:rPr>
          <w:rFonts w:ascii="Aptos" w:hAnsi="Aptos" w:cs="Arial"/>
        </w:rPr>
        <w:t>2024</w:t>
      </w:r>
      <w:r>
        <w:rPr>
          <w:rFonts w:ascii="Aptos" w:hAnsi="Aptos" w:cs="Arial"/>
        </w:rPr>
        <w:t>)</w:t>
      </w:r>
      <w:r w:rsidRPr="006F1008">
        <w:rPr>
          <w:rFonts w:ascii="Aptos" w:hAnsi="Aptos" w:cs="Arial"/>
        </w:rPr>
        <w:t>. Patient Safety and Quality of Care: The roles, responsibilities and practices of healthcare. </w:t>
      </w:r>
      <w:r w:rsidRPr="006F1008">
        <w:rPr>
          <w:rFonts w:ascii="Aptos" w:hAnsi="Aptos" w:cs="Arial"/>
          <w:i/>
          <w:iCs/>
        </w:rPr>
        <w:t>The Review of Diabetic Studies</w:t>
      </w:r>
      <w:r w:rsidRPr="006F1008">
        <w:rPr>
          <w:rFonts w:ascii="Aptos" w:hAnsi="Aptos" w:cs="Arial"/>
        </w:rPr>
        <w:t>, pp.382-386.</w:t>
      </w:r>
      <w:r w:rsidRPr="006073F3">
        <w:t xml:space="preserve"> </w:t>
      </w:r>
      <w:hyperlink w:history="1" r:id="rId4">
        <w:r w:rsidRPr="002F0B13">
          <w:rPr>
            <w:rStyle w:val="Hyperlink"/>
            <w:rFonts w:ascii="Aptos" w:hAnsi="Aptos" w:cs="Arial"/>
          </w:rPr>
          <w:t>https://doi.org/10.70082/ar50yh72</w:t>
        </w:r>
      </w:hyperlink>
    </w:p>
    <w:p w:rsidR="000C0646" w:rsidP="00040337" w14:paraId="2CE08F1C" w14:textId="77777777">
      <w:pPr>
        <w:spacing w:line="360" w:lineRule="auto"/>
        <w:ind w:left="720" w:hanging="720"/>
        <w:rPr>
          <w:rFonts w:ascii="Aptos" w:hAnsi="Aptos" w:cs="Arial"/>
        </w:rPr>
      </w:pPr>
      <w:r w:rsidRPr="0033094C">
        <w:rPr>
          <w:rFonts w:ascii="Aptos" w:hAnsi="Aptos" w:cs="Arial"/>
        </w:rPr>
        <w:t>Almusaed</w:t>
      </w:r>
      <w:r w:rsidRPr="0033094C">
        <w:rPr>
          <w:rFonts w:ascii="Aptos" w:hAnsi="Aptos" w:cs="Arial"/>
        </w:rPr>
        <w:t xml:space="preserve">, A., Almssad, A. and Yitmen, I., </w:t>
      </w:r>
      <w:r>
        <w:rPr>
          <w:rFonts w:ascii="Aptos" w:hAnsi="Aptos" w:cs="Arial"/>
        </w:rPr>
        <w:t>(</w:t>
      </w:r>
      <w:r w:rsidRPr="0033094C">
        <w:rPr>
          <w:rFonts w:ascii="Aptos" w:hAnsi="Aptos" w:cs="Arial"/>
        </w:rPr>
        <w:t>2025</w:t>
      </w:r>
      <w:r>
        <w:rPr>
          <w:rFonts w:ascii="Aptos" w:hAnsi="Aptos" w:cs="Arial"/>
        </w:rPr>
        <w:t>)</w:t>
      </w:r>
      <w:r w:rsidRPr="0033094C">
        <w:rPr>
          <w:rFonts w:ascii="Aptos" w:hAnsi="Aptos" w:cs="Arial"/>
        </w:rPr>
        <w:t>. Ethical Considerations in Research and Writing. In </w:t>
      </w:r>
      <w:r w:rsidRPr="0033094C">
        <w:rPr>
          <w:rFonts w:ascii="Aptos" w:hAnsi="Aptos" w:cs="Arial"/>
          <w:i/>
          <w:iCs/>
        </w:rPr>
        <w:t>Practice of Research Methodology in Civil Engineering and Architecture: A Comprehensive Guide</w:t>
      </w:r>
      <w:r w:rsidRPr="0033094C">
        <w:rPr>
          <w:rFonts w:ascii="Aptos" w:hAnsi="Aptos" w:cs="Arial"/>
        </w:rPr>
        <w:t> (pp. 851-889). Cham: Springer Nature Switzerland.</w:t>
      </w:r>
      <w:r w:rsidRPr="00040337">
        <w:t xml:space="preserve"> </w:t>
      </w:r>
      <w:hyperlink w:history="1" r:id="rId5">
        <w:r w:rsidRPr="002F0B13">
          <w:rPr>
            <w:rStyle w:val="Hyperlink"/>
            <w:rFonts w:ascii="Aptos" w:hAnsi="Aptos" w:cs="Arial"/>
          </w:rPr>
          <w:t>https://doi.org/10.1007/978-3-031-97393-2_25</w:t>
        </w:r>
      </w:hyperlink>
    </w:p>
    <w:p w:rsidR="000C0646" w:rsidP="00040337" w14:paraId="3DDEF9D8" w14:textId="77777777">
      <w:pPr>
        <w:spacing w:line="360" w:lineRule="auto"/>
        <w:ind w:left="720" w:hanging="720"/>
        <w:rPr>
          <w:rFonts w:ascii="Aptos" w:hAnsi="Aptos" w:cs="Arial"/>
        </w:rPr>
      </w:pPr>
      <w:r w:rsidRPr="00F5123C">
        <w:rPr>
          <w:rFonts w:ascii="Aptos" w:hAnsi="Aptos" w:cs="Arial"/>
        </w:rPr>
        <w:t>Ayan</w:t>
      </w:r>
      <w:r w:rsidRPr="00F5123C">
        <w:rPr>
          <w:rFonts w:ascii="Aptos" w:hAnsi="Aptos" w:cs="Arial"/>
        </w:rPr>
        <w:t xml:space="preserve">, S., Ivanova, N., Ivanova, S. and Ivanchikov, S., </w:t>
      </w:r>
      <w:r>
        <w:rPr>
          <w:rFonts w:ascii="Aptos" w:hAnsi="Aptos" w:cs="Arial"/>
        </w:rPr>
        <w:t>(</w:t>
      </w:r>
      <w:r w:rsidRPr="00F5123C">
        <w:rPr>
          <w:rFonts w:ascii="Aptos" w:hAnsi="Aptos" w:cs="Arial"/>
        </w:rPr>
        <w:t>2025</w:t>
      </w:r>
      <w:r>
        <w:rPr>
          <w:rFonts w:ascii="Aptos" w:hAnsi="Aptos" w:cs="Arial"/>
        </w:rPr>
        <w:t>)</w:t>
      </w:r>
      <w:r w:rsidRPr="00F5123C">
        <w:rPr>
          <w:rFonts w:ascii="Aptos" w:hAnsi="Aptos" w:cs="Arial"/>
        </w:rPr>
        <w:t>. Evaluating the Effectiveness of Google Scholar, ScienceDirect, Mendeley, and eLibrary for Interdisciplinary Research. </w:t>
      </w:r>
      <w:r w:rsidRPr="00F5123C">
        <w:rPr>
          <w:rFonts w:ascii="Aptos" w:hAnsi="Aptos" w:cs="Arial"/>
          <w:i/>
          <w:iCs/>
        </w:rPr>
        <w:t>South-east European forestry: SEEFOR</w:t>
      </w:r>
      <w:r w:rsidRPr="00F5123C">
        <w:rPr>
          <w:rFonts w:ascii="Aptos" w:hAnsi="Aptos" w:cs="Arial"/>
        </w:rPr>
        <w:t>, </w:t>
      </w:r>
      <w:r w:rsidRPr="00F5123C">
        <w:rPr>
          <w:rFonts w:ascii="Aptos" w:hAnsi="Aptos" w:cs="Arial"/>
          <w:i/>
          <w:iCs/>
        </w:rPr>
        <w:t>16</w:t>
      </w:r>
      <w:r w:rsidRPr="00F5123C">
        <w:rPr>
          <w:rFonts w:ascii="Aptos" w:hAnsi="Aptos" w:cs="Arial"/>
        </w:rPr>
        <w:t>(2), pp.227-238.</w:t>
      </w:r>
      <w:r w:rsidRPr="00040337">
        <w:t xml:space="preserve"> </w:t>
      </w:r>
      <w:hyperlink w:history="1" r:id="rId6">
        <w:r w:rsidRPr="002F0B13">
          <w:rPr>
            <w:rStyle w:val="Hyperlink"/>
            <w:rFonts w:ascii="Aptos" w:hAnsi="Aptos" w:cs="Arial"/>
          </w:rPr>
          <w:t>https://doi.org/10.15177/seefor.25-21</w:t>
        </w:r>
      </w:hyperlink>
    </w:p>
    <w:p w:rsidR="000C0646" w:rsidP="00040337" w14:paraId="2E23A7B1" w14:textId="77777777">
      <w:pPr>
        <w:spacing w:line="360" w:lineRule="auto"/>
        <w:ind w:left="720" w:hanging="720"/>
        <w:rPr>
          <w:rFonts w:ascii="Aptos" w:hAnsi="Aptos" w:cs="Arial"/>
        </w:rPr>
      </w:pPr>
      <w:r w:rsidRPr="00D447DE">
        <w:rPr>
          <w:rFonts w:ascii="Aptos" w:hAnsi="Aptos" w:cs="Arial"/>
        </w:rPr>
        <w:t>Chutiyami</w:t>
      </w:r>
      <w:r w:rsidRPr="00D447DE">
        <w:rPr>
          <w:rFonts w:ascii="Aptos" w:hAnsi="Aptos" w:cs="Arial"/>
        </w:rPr>
        <w:t xml:space="preserve">, M., Cheong, A.M., Salihu, D., Bello, U.M., Ndwiga, D., Maharaj, R., Naidoo, K., Kolo, M.A., Jacob, P., Chhina, N. and Ku, T.K., </w:t>
      </w:r>
      <w:r>
        <w:rPr>
          <w:rFonts w:ascii="Aptos" w:hAnsi="Aptos" w:cs="Arial"/>
        </w:rPr>
        <w:t>(</w:t>
      </w:r>
      <w:r w:rsidRPr="00D447DE">
        <w:rPr>
          <w:rFonts w:ascii="Aptos" w:hAnsi="Aptos" w:cs="Arial"/>
        </w:rPr>
        <w:t>2022</w:t>
      </w:r>
      <w:r>
        <w:rPr>
          <w:rFonts w:ascii="Aptos" w:hAnsi="Aptos" w:cs="Arial"/>
        </w:rPr>
        <w:t>)</w:t>
      </w:r>
      <w:r w:rsidRPr="00D447DE">
        <w:rPr>
          <w:rFonts w:ascii="Aptos" w:hAnsi="Aptos" w:cs="Arial"/>
        </w:rPr>
        <w:t>. COVID-19 pandemic and overall mental health of healthcare professionals globally: a meta-review of systematic reviews. </w:t>
      </w:r>
      <w:r w:rsidRPr="00D447DE">
        <w:rPr>
          <w:rFonts w:ascii="Aptos" w:hAnsi="Aptos" w:cs="Arial"/>
          <w:i/>
          <w:iCs/>
        </w:rPr>
        <w:t>Frontiers in psychiatry</w:t>
      </w:r>
      <w:r w:rsidRPr="00D447DE">
        <w:rPr>
          <w:rFonts w:ascii="Aptos" w:hAnsi="Aptos" w:cs="Arial"/>
        </w:rPr>
        <w:t>, </w:t>
      </w:r>
      <w:r w:rsidRPr="00D447DE">
        <w:rPr>
          <w:rFonts w:ascii="Aptos" w:hAnsi="Aptos" w:cs="Arial"/>
          <w:i/>
          <w:iCs/>
        </w:rPr>
        <w:t>12</w:t>
      </w:r>
      <w:r w:rsidRPr="00D447DE">
        <w:rPr>
          <w:rFonts w:ascii="Aptos" w:hAnsi="Aptos" w:cs="Arial"/>
        </w:rPr>
        <w:t>, p.804525.</w:t>
      </w:r>
      <w:r w:rsidRPr="00040337">
        <w:t xml:space="preserve"> </w:t>
      </w:r>
      <w:hyperlink w:history="1" r:id="rId7">
        <w:r w:rsidRPr="002F0B13">
          <w:rPr>
            <w:rStyle w:val="Hyperlink"/>
            <w:rFonts w:ascii="Aptos" w:hAnsi="Aptos" w:cs="Arial"/>
          </w:rPr>
          <w:t>https://doi.org/10.3389/fpsyt.2021.804525</w:t>
        </w:r>
      </w:hyperlink>
    </w:p>
    <w:p w:rsidR="000C0646" w:rsidP="00040337" w14:paraId="28E4EB12" w14:textId="77777777">
      <w:pPr>
        <w:spacing w:line="360" w:lineRule="auto"/>
        <w:ind w:left="720" w:hanging="720"/>
        <w:rPr>
          <w:rFonts w:ascii="Aptos" w:hAnsi="Aptos" w:cs="Arial"/>
        </w:rPr>
      </w:pPr>
      <w:r w:rsidRPr="00A25A5D">
        <w:rPr>
          <w:rFonts w:ascii="Aptos" w:hAnsi="Aptos" w:cs="Arial"/>
        </w:rPr>
        <w:t xml:space="preserve">Filip, R., Gheorghita Puscaselu, R., Anchidin-Norocel, L., Dimian, M. and Savage, W.K., </w:t>
      </w:r>
      <w:r>
        <w:rPr>
          <w:rFonts w:ascii="Aptos" w:hAnsi="Aptos" w:cs="Arial"/>
        </w:rPr>
        <w:t>(</w:t>
      </w:r>
      <w:r w:rsidRPr="00A25A5D">
        <w:rPr>
          <w:rFonts w:ascii="Aptos" w:hAnsi="Aptos" w:cs="Arial"/>
        </w:rPr>
        <w:t>2022</w:t>
      </w:r>
      <w:r>
        <w:rPr>
          <w:rFonts w:ascii="Aptos" w:hAnsi="Aptos" w:cs="Arial"/>
        </w:rPr>
        <w:t>)</w:t>
      </w:r>
      <w:r w:rsidRPr="00A25A5D">
        <w:rPr>
          <w:rFonts w:ascii="Aptos" w:hAnsi="Aptos" w:cs="Arial"/>
        </w:rPr>
        <w:t>. Global challenges to public health care systems during the COVID-19 pandemic: a review of pandemic measures and problems. </w:t>
      </w:r>
      <w:r w:rsidRPr="00A25A5D">
        <w:rPr>
          <w:rFonts w:ascii="Aptos" w:hAnsi="Aptos" w:cs="Arial"/>
          <w:i/>
          <w:iCs/>
        </w:rPr>
        <w:t>Journal of personalised medicine</w:t>
      </w:r>
      <w:r w:rsidRPr="00A25A5D">
        <w:rPr>
          <w:rFonts w:ascii="Aptos" w:hAnsi="Aptos" w:cs="Arial"/>
        </w:rPr>
        <w:t>, </w:t>
      </w:r>
      <w:r w:rsidRPr="00A25A5D">
        <w:rPr>
          <w:rFonts w:ascii="Aptos" w:hAnsi="Aptos" w:cs="Arial"/>
          <w:i/>
          <w:iCs/>
        </w:rPr>
        <w:t>12</w:t>
      </w:r>
      <w:r w:rsidRPr="00A25A5D">
        <w:rPr>
          <w:rFonts w:ascii="Aptos" w:hAnsi="Aptos" w:cs="Arial"/>
        </w:rPr>
        <w:t>(8), p.1295.</w:t>
      </w:r>
      <w:r w:rsidRPr="00040337">
        <w:t xml:space="preserve"> </w:t>
      </w:r>
      <w:hyperlink w:history="1" r:id="rId8">
        <w:r w:rsidRPr="002F0B13">
          <w:rPr>
            <w:rStyle w:val="Hyperlink"/>
            <w:rFonts w:ascii="Aptos" w:hAnsi="Aptos" w:cs="Arial"/>
          </w:rPr>
          <w:t>https://doi.org/10.3390/jpm12081295</w:t>
        </w:r>
      </w:hyperlink>
    </w:p>
    <w:p w:rsidR="000C0646" w:rsidP="008B5DAE" w14:paraId="711AED19" w14:textId="77777777">
      <w:pPr>
        <w:spacing w:line="360" w:lineRule="auto"/>
        <w:ind w:left="720" w:hanging="720"/>
        <w:rPr>
          <w:rFonts w:ascii="Aptos" w:hAnsi="Aptos" w:cs="Arial"/>
        </w:rPr>
      </w:pPr>
      <w:r w:rsidRPr="00090C41">
        <w:rPr>
          <w:rFonts w:ascii="Aptos" w:hAnsi="Aptos" w:cs="Arial"/>
        </w:rPr>
        <w:t>Mascayano</w:t>
      </w:r>
      <w:r w:rsidRPr="00090C41">
        <w:rPr>
          <w:rFonts w:ascii="Aptos" w:hAnsi="Aptos" w:cs="Arial"/>
        </w:rPr>
        <w:t xml:space="preserve">, F., Van der Ven, E., Moro, M.F., Schilling, S., Alarcón, S., Al Barathie, J., Alnasser, L., Asaoka, H., Ayinde, O., Balalian, A.A. and Basagoitia, A., </w:t>
      </w:r>
      <w:r>
        <w:rPr>
          <w:rFonts w:ascii="Aptos" w:hAnsi="Aptos" w:cs="Arial"/>
        </w:rPr>
        <w:t>(</w:t>
      </w:r>
      <w:r w:rsidRPr="00090C41">
        <w:rPr>
          <w:rFonts w:ascii="Aptos" w:hAnsi="Aptos" w:cs="Arial"/>
        </w:rPr>
        <w:t>2022</w:t>
      </w:r>
      <w:r>
        <w:rPr>
          <w:rFonts w:ascii="Aptos" w:hAnsi="Aptos" w:cs="Arial"/>
        </w:rPr>
        <w:t>)</w:t>
      </w:r>
      <w:r w:rsidRPr="00090C41">
        <w:rPr>
          <w:rFonts w:ascii="Aptos" w:hAnsi="Aptos" w:cs="Arial"/>
        </w:rPr>
        <w:t>. The impact of the COVID-19 pandemic on the mental health of healthcare workers: study protocol for the COVID-19 HEalth caRe wOrkErS (HEROES) study. </w:t>
      </w:r>
      <w:r w:rsidRPr="00090C41">
        <w:rPr>
          <w:rFonts w:ascii="Aptos" w:hAnsi="Aptos" w:cs="Arial"/>
          <w:i/>
          <w:iCs/>
        </w:rPr>
        <w:t>Social psychiatry and psychiatric epidemiology</w:t>
      </w:r>
      <w:r w:rsidRPr="00090C41">
        <w:rPr>
          <w:rFonts w:ascii="Aptos" w:hAnsi="Aptos" w:cs="Arial"/>
        </w:rPr>
        <w:t>, </w:t>
      </w:r>
      <w:r w:rsidRPr="00090C41">
        <w:rPr>
          <w:rFonts w:ascii="Aptos" w:hAnsi="Aptos" w:cs="Arial"/>
          <w:i/>
          <w:iCs/>
        </w:rPr>
        <w:t>57</w:t>
      </w:r>
      <w:r w:rsidRPr="00090C41">
        <w:rPr>
          <w:rFonts w:ascii="Aptos" w:hAnsi="Aptos" w:cs="Arial"/>
        </w:rPr>
        <w:t>(3), pp.633-645.</w:t>
      </w:r>
      <w:r w:rsidRPr="00040337">
        <w:t xml:space="preserve"> </w:t>
      </w:r>
      <w:hyperlink w:history="1" r:id="rId9">
        <w:r w:rsidRPr="002F0B13">
          <w:rPr>
            <w:rStyle w:val="Hyperlink"/>
            <w:rFonts w:ascii="Aptos" w:hAnsi="Aptos" w:cs="Arial"/>
          </w:rPr>
          <w:t>https://doi.org/10.1007/s00127-021-02211-9</w:t>
        </w:r>
      </w:hyperlink>
    </w:p>
    <w:p w:rsidR="000C0646" w:rsidP="00630D78" w14:paraId="3106D6F0" w14:textId="77777777">
      <w:pPr>
        <w:spacing w:line="360" w:lineRule="auto"/>
        <w:ind w:left="720" w:hanging="720"/>
        <w:rPr>
          <w:rFonts w:ascii="Aptos" w:hAnsi="Aptos" w:cs="Arial"/>
        </w:rPr>
      </w:pPr>
      <w:r w:rsidRPr="00630D78">
        <w:rPr>
          <w:rFonts w:ascii="Aptos" w:hAnsi="Aptos" w:cs="Arial"/>
        </w:rPr>
        <w:t xml:space="preserve">NHS England (2021). </w:t>
      </w:r>
      <w:r w:rsidRPr="00630D78">
        <w:rPr>
          <w:rFonts w:ascii="Aptos" w:hAnsi="Aptos" w:cs="Arial"/>
          <w:i/>
          <w:iCs/>
        </w:rPr>
        <w:t>Staff mental health and wellbeing hubs</w:t>
      </w:r>
      <w:r w:rsidRPr="00630D78">
        <w:rPr>
          <w:rFonts w:ascii="Aptos" w:hAnsi="Aptos" w:cs="Arial"/>
        </w:rPr>
        <w:t xml:space="preserve">. [online] www.england.nhs.uk. Available at: </w:t>
      </w:r>
      <w:hyperlink w:history="1" r:id="rId10">
        <w:r w:rsidRPr="000737EE">
          <w:rPr>
            <w:rStyle w:val="Hyperlink"/>
            <w:rFonts w:ascii="Aptos" w:hAnsi="Aptos" w:cs="Arial"/>
          </w:rPr>
          <w:t>https://www.england.nhs.uk/supporting-our-nhs-people/support-now/staff-mental-health-and-wellbeing-hubs/</w:t>
        </w:r>
      </w:hyperlink>
      <w:r>
        <w:rPr>
          <w:rFonts w:ascii="Aptos" w:hAnsi="Aptos" w:cs="Arial"/>
        </w:rPr>
        <w:t xml:space="preserve"> </w:t>
      </w:r>
      <w:r w:rsidRPr="00630D78">
        <w:rPr>
          <w:rFonts w:ascii="Aptos" w:hAnsi="Aptos" w:cs="Arial"/>
        </w:rPr>
        <w:t>[Accessed 17 Jun. 2026].</w:t>
      </w:r>
    </w:p>
    <w:p w:rsidR="000C0646" w:rsidP="00A85E00" w14:paraId="6E707C97" w14:textId="77777777">
      <w:pPr>
        <w:spacing w:line="360" w:lineRule="auto"/>
        <w:ind w:left="720" w:hanging="720"/>
        <w:rPr>
          <w:rFonts w:ascii="Aptos" w:hAnsi="Aptos" w:cs="Arial"/>
        </w:rPr>
      </w:pPr>
      <w:r w:rsidRPr="00A85E00">
        <w:rPr>
          <w:rFonts w:ascii="Aptos" w:hAnsi="Aptos" w:cs="Arial"/>
        </w:rPr>
        <w:t xml:space="preserve">WHO (2024). </w:t>
      </w:r>
      <w:r w:rsidRPr="00A85E00">
        <w:rPr>
          <w:rFonts w:ascii="Aptos" w:hAnsi="Aptos" w:cs="Arial"/>
          <w:i/>
          <w:iCs/>
        </w:rPr>
        <w:t>Protecting health and care workers’ mental health and well-being: Technical Consultation Meeting</w:t>
      </w:r>
      <w:r w:rsidRPr="00A85E00">
        <w:rPr>
          <w:rFonts w:ascii="Aptos" w:hAnsi="Aptos" w:cs="Arial"/>
        </w:rPr>
        <w:t xml:space="preserve">. [online] www.who.int. Available at: </w:t>
      </w:r>
      <w:hyperlink w:history="1" r:id="rId11">
        <w:r w:rsidRPr="000737EE">
          <w:rPr>
            <w:rStyle w:val="Hyperlink"/>
            <w:rFonts w:ascii="Aptos" w:hAnsi="Aptos" w:cs="Arial"/>
          </w:rPr>
          <w:t>https://www.who.int/news/item/25-04-2024-202404_protecthw_mentalhealth</w:t>
        </w:r>
      </w:hyperlink>
      <w:r>
        <w:rPr>
          <w:rFonts w:ascii="Aptos" w:hAnsi="Aptos" w:cs="Arial"/>
        </w:rPr>
        <w:t xml:space="preserve"> </w:t>
      </w:r>
      <w:r w:rsidRPr="00A85E00">
        <w:rPr>
          <w:rFonts w:ascii="Aptos" w:hAnsi="Aptos" w:cs="Arial"/>
        </w:rPr>
        <w:t>[Accessed 17 Jun. 2026].</w:t>
      </w:r>
    </w:p>
    <w:sectPr w:rsidSect="00041A5A">
      <w:footerReference w:type="default" r:id="rId12"/>
      <w:pgSz w:w="11906" w:h="16838" w:orient="portrait"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507048174"/>
      <w:docPartObj>
        <w:docPartGallery w:val="Page Numbers (Bottom of Page)"/>
        <w:docPartUnique/>
      </w:docPartObj>
    </w:sdtPr>
    <w:sdtEndPr>
      <w:rPr>
        <w:noProof/>
      </w:rPr>
    </w:sdtEndPr>
    <w:sdtContent>
      <w:p w:rsidR="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14:paraId="0C825DF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98004FC"/>
    <w:multiLevelType w:val="hybridMultilevel"/>
    <w:tmpl w:val="EAA433D6"/>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
    <w:nsid w:val="34CE78BA"/>
    <w:multiLevelType w:val="hybridMultilevel"/>
    <w:tmpl w:val="A6EAF588"/>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7894291B"/>
    <w:multiLevelType w:val="hybridMultilevel"/>
    <w:tmpl w:val="7B887A0C"/>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6">
    <w:nsid w:val="7B431161"/>
    <w:multiLevelType w:val="hybridMultilevel"/>
    <w:tmpl w:val="BE0C4452"/>
    <w:lvl w:ilvl="0">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7">
    <w:nsid w:val="7FA41052"/>
    <w:multiLevelType w:val="hybridMultilevel"/>
    <w:tmpl w:val="D556EB6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4"/>
  </w:num>
  <w:num w:numId="5">
    <w:abstractNumId w:val="6"/>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0337"/>
    <w:rsid w:val="00041A5A"/>
    <w:rsid w:val="000737EE"/>
    <w:rsid w:val="00090C41"/>
    <w:rsid w:val="0009270A"/>
    <w:rsid w:val="000A5161"/>
    <w:rsid w:val="000B67B3"/>
    <w:rsid w:val="000B6827"/>
    <w:rsid w:val="000B7CD5"/>
    <w:rsid w:val="000C0646"/>
    <w:rsid w:val="000F4AA0"/>
    <w:rsid w:val="00157A34"/>
    <w:rsid w:val="0016203B"/>
    <w:rsid w:val="001A09E8"/>
    <w:rsid w:val="001D397F"/>
    <w:rsid w:val="0020643B"/>
    <w:rsid w:val="00216C85"/>
    <w:rsid w:val="00245A44"/>
    <w:rsid w:val="00260277"/>
    <w:rsid w:val="00273EDD"/>
    <w:rsid w:val="002A15DA"/>
    <w:rsid w:val="002C3965"/>
    <w:rsid w:val="002E3F17"/>
    <w:rsid w:val="002F0B13"/>
    <w:rsid w:val="002F3437"/>
    <w:rsid w:val="003018F0"/>
    <w:rsid w:val="00321C4C"/>
    <w:rsid w:val="00324AC1"/>
    <w:rsid w:val="0033094C"/>
    <w:rsid w:val="00331F5A"/>
    <w:rsid w:val="003910E4"/>
    <w:rsid w:val="003A2FDF"/>
    <w:rsid w:val="003B5B7F"/>
    <w:rsid w:val="003C27EB"/>
    <w:rsid w:val="003E4A1D"/>
    <w:rsid w:val="003F445A"/>
    <w:rsid w:val="00401CC7"/>
    <w:rsid w:val="004511E5"/>
    <w:rsid w:val="0048288C"/>
    <w:rsid w:val="004903AA"/>
    <w:rsid w:val="004A3F6C"/>
    <w:rsid w:val="004A4586"/>
    <w:rsid w:val="004A45DB"/>
    <w:rsid w:val="004D3135"/>
    <w:rsid w:val="004E6C3B"/>
    <w:rsid w:val="00526559"/>
    <w:rsid w:val="00545684"/>
    <w:rsid w:val="00561DA2"/>
    <w:rsid w:val="005660CD"/>
    <w:rsid w:val="005870FD"/>
    <w:rsid w:val="005973C6"/>
    <w:rsid w:val="005A4150"/>
    <w:rsid w:val="005E77FC"/>
    <w:rsid w:val="006073F3"/>
    <w:rsid w:val="0061260B"/>
    <w:rsid w:val="00630D78"/>
    <w:rsid w:val="00646B10"/>
    <w:rsid w:val="00682AA0"/>
    <w:rsid w:val="006D298C"/>
    <w:rsid w:val="006D7CB8"/>
    <w:rsid w:val="006F1008"/>
    <w:rsid w:val="006F7295"/>
    <w:rsid w:val="00715990"/>
    <w:rsid w:val="00751827"/>
    <w:rsid w:val="00781F25"/>
    <w:rsid w:val="00784670"/>
    <w:rsid w:val="00814386"/>
    <w:rsid w:val="00814587"/>
    <w:rsid w:val="00824E8F"/>
    <w:rsid w:val="00852458"/>
    <w:rsid w:val="00862C18"/>
    <w:rsid w:val="00866B7B"/>
    <w:rsid w:val="008B2FEA"/>
    <w:rsid w:val="008B50D2"/>
    <w:rsid w:val="008B5DAE"/>
    <w:rsid w:val="008C59BC"/>
    <w:rsid w:val="008E5015"/>
    <w:rsid w:val="008F0018"/>
    <w:rsid w:val="008F585B"/>
    <w:rsid w:val="00922515"/>
    <w:rsid w:val="009227B3"/>
    <w:rsid w:val="00960FD9"/>
    <w:rsid w:val="00990012"/>
    <w:rsid w:val="00997BDB"/>
    <w:rsid w:val="009B2BE4"/>
    <w:rsid w:val="009D1D1E"/>
    <w:rsid w:val="00A00A2A"/>
    <w:rsid w:val="00A035FD"/>
    <w:rsid w:val="00A17AC3"/>
    <w:rsid w:val="00A21E15"/>
    <w:rsid w:val="00A25A5D"/>
    <w:rsid w:val="00A276A0"/>
    <w:rsid w:val="00A6153D"/>
    <w:rsid w:val="00A85E00"/>
    <w:rsid w:val="00AC2AC9"/>
    <w:rsid w:val="00B216E8"/>
    <w:rsid w:val="00B90288"/>
    <w:rsid w:val="00C54573"/>
    <w:rsid w:val="00C77F52"/>
    <w:rsid w:val="00CE36C6"/>
    <w:rsid w:val="00D025CA"/>
    <w:rsid w:val="00D212EB"/>
    <w:rsid w:val="00D447DE"/>
    <w:rsid w:val="00D769F0"/>
    <w:rsid w:val="00D948FB"/>
    <w:rsid w:val="00DC356D"/>
    <w:rsid w:val="00DF2E9C"/>
    <w:rsid w:val="00E1141C"/>
    <w:rsid w:val="00E477C4"/>
    <w:rsid w:val="00E614D4"/>
    <w:rsid w:val="00E8312F"/>
    <w:rsid w:val="00EA3986"/>
    <w:rsid w:val="00EB402E"/>
    <w:rsid w:val="00EC159B"/>
    <w:rsid w:val="00EC68DA"/>
    <w:rsid w:val="00F278D4"/>
    <w:rsid w:val="00F5123C"/>
    <w:rsid w:val="00F613F0"/>
    <w:rsid w:val="00FB1E22"/>
    <w:rsid w:val="00FB4301"/>
    <w:rsid w:val="00FC2B9B"/>
    <w:rsid w:val="00FC539B"/>
    <w:rsid w:val="00FF5B70"/>
    <w:rsid w:val="20F8C667"/>
    <w:rsid w:val="25FCDEDB"/>
    <w:rsid w:val="3B4BA1B4"/>
  </w:rsids>
  <m:mathPr>
    <m:mathFont m:val="Cambria Math"/>
  </m:mathPr>
  <w:themeFontLang w:val="en-GB" w:eastAsia="zh-CN" w:bidi="ar-SA"/>
  <w:clrSchemeMapping w:bg1="light1" w:t1="dark1" w:bg2="light2" w:t2="dark2" w:accent1="accent1" w:accent2="accent2" w:accent3="accent3" w:accent4="accent4" w:accent5="accent5" w:accent6="accent6" w:hyperlink="hyperlink" w:followedHyperlink="followedHyperlink"/>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6073F3"/>
    <w:rPr>
      <w:color w:val="0563C1" w:themeColor="hyperlink"/>
      <w:u w:val="single"/>
    </w:rPr>
  </w:style>
  <w:style w:type="character" w:styleId="UnresolvedMention">
    <w:name w:val="Unresolved Mention"/>
    <w:basedOn w:val="DefaultParagraphFont"/>
    <w:uiPriority w:val="99"/>
    <w:semiHidden/>
    <w:unhideWhenUsed/>
    <w:rsid w:val="00607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hyperlink" Target="https://www.england.nhs.uk/supporting-our-nhs-people/support-now/staff-mental-health-and-wellbeing-hubs/" TargetMode="External" Id="rId10" /><Relationship Type="http://schemas.openxmlformats.org/officeDocument/2006/relationships/hyperlink" Target="https://www.who.int/news/item/25-04-2024-202404_protecthw_mentalhealth" TargetMode="External" Id="rId11" /><Relationship Type="http://schemas.openxmlformats.org/officeDocument/2006/relationships/footer" Target="footer1.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yperlink" Target="https://doi.org/10.70082/ar50yh72" TargetMode="External" Id="rId4" /><Relationship Type="http://schemas.openxmlformats.org/officeDocument/2006/relationships/hyperlink" Target="https://doi.org/10.1007/978-3-031-97393-2_25" TargetMode="External" Id="rId5" /><Relationship Type="http://schemas.openxmlformats.org/officeDocument/2006/relationships/hyperlink" Target="https://doi.org/10.15177/seefor.25-21" TargetMode="External" Id="rId6" /><Relationship Type="http://schemas.openxmlformats.org/officeDocument/2006/relationships/hyperlink" Target="https://doi.org/10.3389/fpsyt.2021.804525" TargetMode="External" Id="rId7" /><Relationship Type="http://schemas.openxmlformats.org/officeDocument/2006/relationships/hyperlink" Target="https://doi.org/10.3390/jpm12081295" TargetMode="External" Id="rId8" /><Relationship Type="http://schemas.openxmlformats.org/officeDocument/2006/relationships/hyperlink" Target="https://doi.org/10.1007/s00127-021-02211-9"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2025-01-13T16:05:00.0000000Z</dcterms:created>
  <dcterms:modified xsi:type="dcterms:W3CDTF">2026-06-19T21:53:34.4213586Z</dcterms:modified>
  <lastModifiedBy>Saiqa Ashraf (2313780)</lastModifiedBy>
</coreProperties>
</file>