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9B316" w14:textId="1D8CB2A9" w:rsidR="00F21A5B" w:rsidRDefault="00F5117D" w:rsidP="00F5117D">
      <w:pPr>
        <w:pStyle w:val="Title"/>
        <w:rPr>
          <w:sz w:val="40"/>
          <w:szCs w:val="40"/>
        </w:rPr>
      </w:pPr>
      <w:r w:rsidRPr="00F5117D">
        <w:rPr>
          <w:sz w:val="40"/>
          <w:szCs w:val="40"/>
        </w:rPr>
        <w:drawing>
          <wp:inline distT="0" distB="0" distL="0" distR="0" wp14:anchorId="39AEC374" wp14:editId="008D0C9D">
            <wp:extent cx="2295845" cy="838317"/>
            <wp:effectExtent l="0" t="0" r="9525" b="0"/>
            <wp:docPr id="2008794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94863" name=""/>
                    <pic:cNvPicPr/>
                  </pic:nvPicPr>
                  <pic:blipFill>
                    <a:blip r:embed="rId5"/>
                    <a:stretch>
                      <a:fillRect/>
                    </a:stretch>
                  </pic:blipFill>
                  <pic:spPr>
                    <a:xfrm>
                      <a:off x="0" y="0"/>
                      <a:ext cx="2295845" cy="838317"/>
                    </a:xfrm>
                    <a:prstGeom prst="rect">
                      <a:avLst/>
                    </a:prstGeom>
                  </pic:spPr>
                </pic:pic>
              </a:graphicData>
            </a:graphic>
          </wp:inline>
        </w:drawing>
      </w:r>
    </w:p>
    <w:p w14:paraId="775E44E4" w14:textId="77777777" w:rsidR="00F21A5B" w:rsidRDefault="00F21A5B" w:rsidP="00F21A5B">
      <w:pPr>
        <w:pStyle w:val="Title"/>
        <w:jc w:val="center"/>
        <w:rPr>
          <w:sz w:val="40"/>
          <w:szCs w:val="40"/>
        </w:rPr>
      </w:pPr>
    </w:p>
    <w:p w14:paraId="055D4F2D" w14:textId="229C3B54" w:rsidR="00F21A5B" w:rsidRDefault="00F21A5B" w:rsidP="00F21A5B">
      <w:pPr>
        <w:pStyle w:val="Title"/>
        <w:jc w:val="center"/>
        <w:rPr>
          <w:sz w:val="40"/>
          <w:szCs w:val="40"/>
        </w:rPr>
      </w:pPr>
    </w:p>
    <w:p w14:paraId="5F44FC90" w14:textId="77777777" w:rsidR="00F21A5B" w:rsidRDefault="00F21A5B" w:rsidP="00F21A5B">
      <w:pPr>
        <w:pStyle w:val="Title"/>
        <w:jc w:val="center"/>
        <w:rPr>
          <w:sz w:val="40"/>
          <w:szCs w:val="40"/>
        </w:rPr>
      </w:pPr>
    </w:p>
    <w:p w14:paraId="553D97E3" w14:textId="4011098A" w:rsidR="00F21A5B" w:rsidRDefault="00F21A5B" w:rsidP="00F21A5B">
      <w:pPr>
        <w:pStyle w:val="Title"/>
        <w:jc w:val="center"/>
        <w:rPr>
          <w:sz w:val="40"/>
          <w:szCs w:val="40"/>
        </w:rPr>
      </w:pPr>
    </w:p>
    <w:p w14:paraId="7FA1AEBA" w14:textId="77777777" w:rsidR="00F21A5B" w:rsidRDefault="00F21A5B" w:rsidP="00F21A5B">
      <w:pPr>
        <w:pStyle w:val="Title"/>
        <w:jc w:val="center"/>
        <w:rPr>
          <w:sz w:val="40"/>
          <w:szCs w:val="40"/>
        </w:rPr>
      </w:pPr>
    </w:p>
    <w:p w14:paraId="702BD72C" w14:textId="77777777" w:rsidR="00F21A5B" w:rsidRDefault="00F21A5B" w:rsidP="00F21A5B">
      <w:pPr>
        <w:pStyle w:val="Title"/>
        <w:jc w:val="center"/>
        <w:rPr>
          <w:sz w:val="40"/>
          <w:szCs w:val="40"/>
        </w:rPr>
      </w:pPr>
    </w:p>
    <w:p w14:paraId="3292CE11" w14:textId="77777777" w:rsidR="00F21A5B" w:rsidRDefault="00F21A5B" w:rsidP="00F21A5B">
      <w:pPr>
        <w:pStyle w:val="Title"/>
        <w:jc w:val="center"/>
        <w:rPr>
          <w:sz w:val="40"/>
          <w:szCs w:val="40"/>
        </w:rPr>
      </w:pPr>
    </w:p>
    <w:p w14:paraId="7EA53F58" w14:textId="77777777" w:rsidR="00F21A5B" w:rsidRPr="00F21A5B" w:rsidRDefault="00F21A5B" w:rsidP="00F21A5B">
      <w:pPr>
        <w:pStyle w:val="Title"/>
        <w:jc w:val="center"/>
        <w:rPr>
          <w:b/>
          <w:bCs/>
          <w:sz w:val="40"/>
          <w:szCs w:val="40"/>
        </w:rPr>
      </w:pPr>
    </w:p>
    <w:p w14:paraId="438018C5" w14:textId="77777777" w:rsidR="00F21A5B" w:rsidRPr="00F21A5B" w:rsidRDefault="00F21A5B" w:rsidP="00F21A5B">
      <w:pPr>
        <w:pStyle w:val="Title"/>
        <w:jc w:val="center"/>
        <w:rPr>
          <w:b/>
          <w:bCs/>
          <w:sz w:val="40"/>
          <w:szCs w:val="40"/>
        </w:rPr>
      </w:pPr>
    </w:p>
    <w:p w14:paraId="3ADB9037" w14:textId="44253105" w:rsidR="00F21A5B" w:rsidRPr="00F21A5B" w:rsidRDefault="00F21A5B" w:rsidP="00F21A5B">
      <w:pPr>
        <w:pStyle w:val="Title"/>
        <w:jc w:val="center"/>
        <w:rPr>
          <w:b/>
          <w:bCs/>
          <w:sz w:val="40"/>
          <w:szCs w:val="40"/>
        </w:rPr>
      </w:pPr>
      <w:r w:rsidRPr="00F21A5B">
        <w:rPr>
          <w:b/>
          <w:bCs/>
          <w:sz w:val="40"/>
          <w:szCs w:val="40"/>
        </w:rPr>
        <w:t>Title: The Use of Management Accounting Tools in Financial Decision-Making at</w:t>
      </w:r>
      <w:r w:rsidR="00A75980">
        <w:rPr>
          <w:b/>
          <w:bCs/>
          <w:sz w:val="40"/>
          <w:szCs w:val="40"/>
        </w:rPr>
        <w:t xml:space="preserve"> J</w:t>
      </w:r>
      <w:r w:rsidRPr="00F21A5B">
        <w:rPr>
          <w:b/>
          <w:bCs/>
          <w:sz w:val="40"/>
          <w:szCs w:val="40"/>
        </w:rPr>
        <w:t xml:space="preserve"> Sainsbury </w:t>
      </w:r>
      <w:r w:rsidR="00A75980">
        <w:rPr>
          <w:b/>
          <w:bCs/>
          <w:sz w:val="40"/>
          <w:szCs w:val="40"/>
        </w:rPr>
        <w:t>plc</w:t>
      </w:r>
    </w:p>
    <w:p w14:paraId="7CE7E9CC" w14:textId="77777777" w:rsidR="00F21A5B" w:rsidRDefault="00F21A5B" w:rsidP="00F21A5B">
      <w:pPr>
        <w:rPr>
          <w:rFonts w:ascii="Arial" w:hAnsi="Arial" w:cs="Arial"/>
          <w:b/>
          <w:bCs/>
        </w:rPr>
      </w:pPr>
    </w:p>
    <w:p w14:paraId="0E2D326C" w14:textId="77777777" w:rsidR="00F21A5B" w:rsidRDefault="00F21A5B" w:rsidP="00F21A5B">
      <w:pPr>
        <w:rPr>
          <w:rFonts w:ascii="Arial" w:hAnsi="Arial" w:cs="Arial"/>
          <w:b/>
          <w:bCs/>
        </w:rPr>
      </w:pPr>
    </w:p>
    <w:p w14:paraId="0B05DA63" w14:textId="77777777" w:rsidR="00F21A5B" w:rsidRDefault="00F21A5B" w:rsidP="00F21A5B">
      <w:pPr>
        <w:rPr>
          <w:rFonts w:ascii="Arial" w:hAnsi="Arial" w:cs="Arial"/>
          <w:b/>
          <w:bCs/>
        </w:rPr>
      </w:pPr>
    </w:p>
    <w:p w14:paraId="2CB090B0" w14:textId="77777777" w:rsidR="00F21A5B" w:rsidRDefault="00F21A5B" w:rsidP="00F21A5B">
      <w:pPr>
        <w:rPr>
          <w:rFonts w:ascii="Arial" w:hAnsi="Arial" w:cs="Arial"/>
          <w:b/>
          <w:bCs/>
        </w:rPr>
      </w:pPr>
    </w:p>
    <w:p w14:paraId="27481D37" w14:textId="77777777" w:rsidR="00F21A5B" w:rsidRDefault="00F21A5B" w:rsidP="00F21A5B">
      <w:pPr>
        <w:rPr>
          <w:rFonts w:ascii="Arial" w:hAnsi="Arial" w:cs="Arial"/>
          <w:b/>
          <w:bCs/>
        </w:rPr>
      </w:pPr>
    </w:p>
    <w:p w14:paraId="47C0D292" w14:textId="77777777" w:rsidR="00F21A5B" w:rsidRDefault="00F21A5B" w:rsidP="00F21A5B">
      <w:pPr>
        <w:rPr>
          <w:rFonts w:ascii="Arial" w:hAnsi="Arial" w:cs="Arial"/>
          <w:b/>
          <w:bCs/>
        </w:rPr>
      </w:pPr>
    </w:p>
    <w:p w14:paraId="64467FC6" w14:textId="6683CA62" w:rsidR="000158A7" w:rsidRDefault="000158A7" w:rsidP="00F21A5B">
      <w:pPr>
        <w:rPr>
          <w:rFonts w:ascii="Arial" w:hAnsi="Arial" w:cs="Arial"/>
          <w:b/>
          <w:bCs/>
        </w:rPr>
      </w:pPr>
      <w:r>
        <w:rPr>
          <w:rFonts w:ascii="Arial" w:hAnsi="Arial" w:cs="Arial"/>
          <w:b/>
          <w:bCs/>
        </w:rPr>
        <w:t>Student Name: Charmaine Vickers-Silby</w:t>
      </w:r>
    </w:p>
    <w:p w14:paraId="0AF055A4" w14:textId="39D4AEF9" w:rsidR="000158A7" w:rsidRDefault="000158A7" w:rsidP="00F21A5B">
      <w:pPr>
        <w:rPr>
          <w:rFonts w:ascii="Arial" w:hAnsi="Arial" w:cs="Arial"/>
          <w:b/>
          <w:bCs/>
        </w:rPr>
      </w:pPr>
      <w:r>
        <w:rPr>
          <w:rFonts w:ascii="Arial" w:hAnsi="Arial" w:cs="Arial"/>
          <w:b/>
          <w:bCs/>
        </w:rPr>
        <w:t>Student Number: 2321095</w:t>
      </w:r>
    </w:p>
    <w:p w14:paraId="3BAC9CB1" w14:textId="3E2D1DEF" w:rsidR="000158A7" w:rsidRDefault="000158A7" w:rsidP="00F21A5B">
      <w:pPr>
        <w:rPr>
          <w:rFonts w:ascii="Arial" w:hAnsi="Arial" w:cs="Arial"/>
          <w:b/>
          <w:bCs/>
        </w:rPr>
      </w:pPr>
      <w:r>
        <w:rPr>
          <w:rFonts w:ascii="Arial" w:hAnsi="Arial" w:cs="Arial"/>
          <w:b/>
          <w:bCs/>
        </w:rPr>
        <w:t>Lecturer: Mudassar Hasan</w:t>
      </w:r>
    </w:p>
    <w:p w14:paraId="2A90169B" w14:textId="3740EBDA" w:rsidR="000158A7" w:rsidRDefault="000158A7" w:rsidP="00F21A5B">
      <w:pPr>
        <w:rPr>
          <w:rFonts w:ascii="Arial" w:hAnsi="Arial" w:cs="Arial"/>
          <w:b/>
          <w:bCs/>
        </w:rPr>
      </w:pPr>
      <w:r>
        <w:rPr>
          <w:rFonts w:ascii="Arial" w:hAnsi="Arial" w:cs="Arial"/>
          <w:b/>
          <w:bCs/>
        </w:rPr>
        <w:t>Module Name: Management Accounting for Managers</w:t>
      </w:r>
    </w:p>
    <w:p w14:paraId="2E92832D" w14:textId="46FD9740" w:rsidR="000158A7" w:rsidRDefault="000158A7" w:rsidP="00F21A5B">
      <w:pPr>
        <w:rPr>
          <w:rFonts w:ascii="Arial" w:hAnsi="Arial" w:cs="Arial"/>
          <w:b/>
          <w:bCs/>
        </w:rPr>
      </w:pPr>
      <w:r>
        <w:rPr>
          <w:rFonts w:ascii="Arial" w:hAnsi="Arial" w:cs="Arial"/>
          <w:b/>
          <w:bCs/>
        </w:rPr>
        <w:t>Assignment Title: Component 1 – Coursework: Individual Report</w:t>
      </w:r>
    </w:p>
    <w:p w14:paraId="4D12D880" w14:textId="09F7316D" w:rsidR="000158A7" w:rsidRDefault="000158A7" w:rsidP="00F21A5B">
      <w:pPr>
        <w:rPr>
          <w:rFonts w:ascii="Arial" w:hAnsi="Arial" w:cs="Arial"/>
          <w:b/>
          <w:bCs/>
        </w:rPr>
      </w:pPr>
      <w:r>
        <w:rPr>
          <w:rFonts w:ascii="Arial" w:hAnsi="Arial" w:cs="Arial"/>
          <w:b/>
          <w:bCs/>
        </w:rPr>
        <w:t>Module Code: LCBB5010</w:t>
      </w:r>
    </w:p>
    <w:p w14:paraId="2149FEE0" w14:textId="77777777" w:rsidR="00F21A5B" w:rsidRDefault="00F21A5B" w:rsidP="00F21A5B">
      <w:pPr>
        <w:rPr>
          <w:rFonts w:ascii="Arial" w:hAnsi="Arial" w:cs="Arial"/>
          <w:b/>
          <w:bCs/>
        </w:rPr>
      </w:pPr>
    </w:p>
    <w:p w14:paraId="1EE37CAC" w14:textId="77777777" w:rsidR="00F21A5B" w:rsidRDefault="00F21A5B" w:rsidP="00F21A5B">
      <w:pPr>
        <w:rPr>
          <w:rFonts w:ascii="Arial" w:hAnsi="Arial" w:cs="Arial"/>
          <w:b/>
          <w:bCs/>
        </w:rPr>
      </w:pPr>
    </w:p>
    <w:p w14:paraId="6638954E" w14:textId="77777777" w:rsidR="00F21A5B" w:rsidRDefault="00F21A5B" w:rsidP="00F21A5B">
      <w:pPr>
        <w:rPr>
          <w:rFonts w:ascii="Arial" w:hAnsi="Arial" w:cs="Arial"/>
          <w:b/>
          <w:bCs/>
        </w:rPr>
      </w:pPr>
    </w:p>
    <w:p w14:paraId="4B520A3C" w14:textId="77777777" w:rsidR="00F21A5B" w:rsidRDefault="00F21A5B" w:rsidP="00F21A5B">
      <w:pPr>
        <w:rPr>
          <w:rFonts w:ascii="Arial" w:hAnsi="Arial" w:cs="Arial"/>
          <w:b/>
          <w:bCs/>
        </w:rPr>
      </w:pPr>
    </w:p>
    <w:p w14:paraId="3A480096" w14:textId="77777777" w:rsidR="00F21A5B" w:rsidRDefault="00F21A5B" w:rsidP="00F21A5B">
      <w:pPr>
        <w:rPr>
          <w:rFonts w:ascii="Arial" w:hAnsi="Arial" w:cs="Arial"/>
          <w:b/>
          <w:bCs/>
        </w:rPr>
      </w:pPr>
    </w:p>
    <w:sdt>
      <w:sdtPr>
        <w:id w:val="-128326944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744D9DA" w14:textId="573AC647" w:rsidR="00F21A5B" w:rsidRDefault="00F21A5B">
          <w:pPr>
            <w:pStyle w:val="TOCHeading"/>
          </w:pPr>
          <w:r>
            <w:t>Table of Contents</w:t>
          </w:r>
        </w:p>
        <w:p w14:paraId="1D7D73CC" w14:textId="6F62FA5A" w:rsidR="00A75980" w:rsidRDefault="00F21A5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867684" w:history="1">
            <w:r w:rsidR="00A75980" w:rsidRPr="00EE14DE">
              <w:rPr>
                <w:rStyle w:val="Hyperlink"/>
                <w:b/>
                <w:bCs/>
                <w:noProof/>
              </w:rPr>
              <w:t>1. Introduction</w:t>
            </w:r>
            <w:r w:rsidR="00A75980">
              <w:rPr>
                <w:noProof/>
                <w:webHidden/>
              </w:rPr>
              <w:tab/>
            </w:r>
            <w:r w:rsidR="00A75980">
              <w:rPr>
                <w:noProof/>
                <w:webHidden/>
              </w:rPr>
              <w:fldChar w:fldCharType="begin"/>
            </w:r>
            <w:r w:rsidR="00A75980">
              <w:rPr>
                <w:noProof/>
                <w:webHidden/>
              </w:rPr>
              <w:instrText xml:space="preserve"> PAGEREF _Toc222867684 \h </w:instrText>
            </w:r>
            <w:r w:rsidR="00A75980">
              <w:rPr>
                <w:noProof/>
                <w:webHidden/>
              </w:rPr>
            </w:r>
            <w:r w:rsidR="00A75980">
              <w:rPr>
                <w:noProof/>
                <w:webHidden/>
              </w:rPr>
              <w:fldChar w:fldCharType="separate"/>
            </w:r>
            <w:r w:rsidR="00A75980">
              <w:rPr>
                <w:noProof/>
                <w:webHidden/>
              </w:rPr>
              <w:t>3</w:t>
            </w:r>
            <w:r w:rsidR="00A75980">
              <w:rPr>
                <w:noProof/>
                <w:webHidden/>
              </w:rPr>
              <w:fldChar w:fldCharType="end"/>
            </w:r>
          </w:hyperlink>
        </w:p>
        <w:p w14:paraId="70D01C64" w14:textId="6FA6DD7D" w:rsidR="00A75980" w:rsidRDefault="00A75980">
          <w:pPr>
            <w:pStyle w:val="TOC1"/>
            <w:tabs>
              <w:tab w:val="right" w:leader="dot" w:pos="9016"/>
            </w:tabs>
            <w:rPr>
              <w:rFonts w:eastAsiaTheme="minorEastAsia"/>
              <w:noProof/>
              <w:sz w:val="24"/>
              <w:szCs w:val="24"/>
              <w:lang w:eastAsia="en-GB"/>
            </w:rPr>
          </w:pPr>
          <w:hyperlink w:anchor="_Toc222867685" w:history="1">
            <w:r w:rsidRPr="00EE14DE">
              <w:rPr>
                <w:rStyle w:val="Hyperlink"/>
                <w:b/>
                <w:bCs/>
                <w:noProof/>
              </w:rPr>
              <w:t>2. Cost Analysis and Business Model</w:t>
            </w:r>
            <w:r>
              <w:rPr>
                <w:noProof/>
                <w:webHidden/>
              </w:rPr>
              <w:tab/>
            </w:r>
            <w:r>
              <w:rPr>
                <w:noProof/>
                <w:webHidden/>
              </w:rPr>
              <w:fldChar w:fldCharType="begin"/>
            </w:r>
            <w:r>
              <w:rPr>
                <w:noProof/>
                <w:webHidden/>
              </w:rPr>
              <w:instrText xml:space="preserve"> PAGEREF _Toc222867685 \h </w:instrText>
            </w:r>
            <w:r>
              <w:rPr>
                <w:noProof/>
                <w:webHidden/>
              </w:rPr>
            </w:r>
            <w:r>
              <w:rPr>
                <w:noProof/>
                <w:webHidden/>
              </w:rPr>
              <w:fldChar w:fldCharType="separate"/>
            </w:r>
            <w:r>
              <w:rPr>
                <w:noProof/>
                <w:webHidden/>
              </w:rPr>
              <w:t>3</w:t>
            </w:r>
            <w:r>
              <w:rPr>
                <w:noProof/>
                <w:webHidden/>
              </w:rPr>
              <w:fldChar w:fldCharType="end"/>
            </w:r>
          </w:hyperlink>
        </w:p>
        <w:p w14:paraId="7ADE2CDF" w14:textId="67AE42D2" w:rsidR="00A75980" w:rsidRDefault="00A75980">
          <w:pPr>
            <w:pStyle w:val="TOC2"/>
            <w:tabs>
              <w:tab w:val="right" w:leader="dot" w:pos="9016"/>
            </w:tabs>
            <w:rPr>
              <w:rFonts w:eastAsiaTheme="minorEastAsia"/>
              <w:noProof/>
              <w:sz w:val="24"/>
              <w:szCs w:val="24"/>
              <w:lang w:eastAsia="en-GB"/>
            </w:rPr>
          </w:pPr>
          <w:hyperlink w:anchor="_Toc222867686" w:history="1">
            <w:r w:rsidRPr="00EE14DE">
              <w:rPr>
                <w:rStyle w:val="Hyperlink"/>
                <w:noProof/>
              </w:rPr>
              <w:t>2.1 Revenue Model</w:t>
            </w:r>
            <w:r>
              <w:rPr>
                <w:noProof/>
                <w:webHidden/>
              </w:rPr>
              <w:tab/>
            </w:r>
            <w:r>
              <w:rPr>
                <w:noProof/>
                <w:webHidden/>
              </w:rPr>
              <w:fldChar w:fldCharType="begin"/>
            </w:r>
            <w:r>
              <w:rPr>
                <w:noProof/>
                <w:webHidden/>
              </w:rPr>
              <w:instrText xml:space="preserve"> PAGEREF _Toc222867686 \h </w:instrText>
            </w:r>
            <w:r>
              <w:rPr>
                <w:noProof/>
                <w:webHidden/>
              </w:rPr>
            </w:r>
            <w:r>
              <w:rPr>
                <w:noProof/>
                <w:webHidden/>
              </w:rPr>
              <w:fldChar w:fldCharType="separate"/>
            </w:r>
            <w:r>
              <w:rPr>
                <w:noProof/>
                <w:webHidden/>
              </w:rPr>
              <w:t>3</w:t>
            </w:r>
            <w:r>
              <w:rPr>
                <w:noProof/>
                <w:webHidden/>
              </w:rPr>
              <w:fldChar w:fldCharType="end"/>
            </w:r>
          </w:hyperlink>
        </w:p>
        <w:p w14:paraId="386C73A7" w14:textId="5CF447DD" w:rsidR="00A75980" w:rsidRDefault="00A75980">
          <w:pPr>
            <w:pStyle w:val="TOC2"/>
            <w:tabs>
              <w:tab w:val="right" w:leader="dot" w:pos="9016"/>
            </w:tabs>
            <w:rPr>
              <w:rFonts w:eastAsiaTheme="minorEastAsia"/>
              <w:noProof/>
              <w:sz w:val="24"/>
              <w:szCs w:val="24"/>
              <w:lang w:eastAsia="en-GB"/>
            </w:rPr>
          </w:pPr>
          <w:hyperlink w:anchor="_Toc222867687" w:history="1">
            <w:r w:rsidRPr="00EE14DE">
              <w:rPr>
                <w:rStyle w:val="Hyperlink"/>
                <w:noProof/>
              </w:rPr>
              <w:t>2.2 Cost Structure</w:t>
            </w:r>
            <w:r>
              <w:rPr>
                <w:noProof/>
                <w:webHidden/>
              </w:rPr>
              <w:tab/>
            </w:r>
            <w:r>
              <w:rPr>
                <w:noProof/>
                <w:webHidden/>
              </w:rPr>
              <w:fldChar w:fldCharType="begin"/>
            </w:r>
            <w:r>
              <w:rPr>
                <w:noProof/>
                <w:webHidden/>
              </w:rPr>
              <w:instrText xml:space="preserve"> PAGEREF _Toc222867687 \h </w:instrText>
            </w:r>
            <w:r>
              <w:rPr>
                <w:noProof/>
                <w:webHidden/>
              </w:rPr>
            </w:r>
            <w:r>
              <w:rPr>
                <w:noProof/>
                <w:webHidden/>
              </w:rPr>
              <w:fldChar w:fldCharType="separate"/>
            </w:r>
            <w:r>
              <w:rPr>
                <w:noProof/>
                <w:webHidden/>
              </w:rPr>
              <w:t>4</w:t>
            </w:r>
            <w:r>
              <w:rPr>
                <w:noProof/>
                <w:webHidden/>
              </w:rPr>
              <w:fldChar w:fldCharType="end"/>
            </w:r>
          </w:hyperlink>
        </w:p>
        <w:p w14:paraId="339DA543" w14:textId="1C13258E" w:rsidR="00A75980" w:rsidRDefault="00A75980">
          <w:pPr>
            <w:pStyle w:val="TOC1"/>
            <w:tabs>
              <w:tab w:val="right" w:leader="dot" w:pos="9016"/>
            </w:tabs>
            <w:rPr>
              <w:rFonts w:eastAsiaTheme="minorEastAsia"/>
              <w:noProof/>
              <w:sz w:val="24"/>
              <w:szCs w:val="24"/>
              <w:lang w:eastAsia="en-GB"/>
            </w:rPr>
          </w:pPr>
          <w:hyperlink w:anchor="_Toc222867688" w:history="1">
            <w:r w:rsidRPr="00EE14DE">
              <w:rPr>
                <w:rStyle w:val="Hyperlink"/>
                <w:b/>
                <w:bCs/>
                <w:noProof/>
              </w:rPr>
              <w:t>3. Budgeting and Financial Planning</w:t>
            </w:r>
            <w:r>
              <w:rPr>
                <w:noProof/>
                <w:webHidden/>
              </w:rPr>
              <w:tab/>
            </w:r>
            <w:r>
              <w:rPr>
                <w:noProof/>
                <w:webHidden/>
              </w:rPr>
              <w:fldChar w:fldCharType="begin"/>
            </w:r>
            <w:r>
              <w:rPr>
                <w:noProof/>
                <w:webHidden/>
              </w:rPr>
              <w:instrText xml:space="preserve"> PAGEREF _Toc222867688 \h </w:instrText>
            </w:r>
            <w:r>
              <w:rPr>
                <w:noProof/>
                <w:webHidden/>
              </w:rPr>
            </w:r>
            <w:r>
              <w:rPr>
                <w:noProof/>
                <w:webHidden/>
              </w:rPr>
              <w:fldChar w:fldCharType="separate"/>
            </w:r>
            <w:r>
              <w:rPr>
                <w:noProof/>
                <w:webHidden/>
              </w:rPr>
              <w:t>5</w:t>
            </w:r>
            <w:r>
              <w:rPr>
                <w:noProof/>
                <w:webHidden/>
              </w:rPr>
              <w:fldChar w:fldCharType="end"/>
            </w:r>
          </w:hyperlink>
        </w:p>
        <w:p w14:paraId="41D9BBC7" w14:textId="4E46C257" w:rsidR="00A75980" w:rsidRDefault="00A75980">
          <w:pPr>
            <w:pStyle w:val="TOC2"/>
            <w:tabs>
              <w:tab w:val="right" w:leader="dot" w:pos="9016"/>
            </w:tabs>
            <w:rPr>
              <w:rFonts w:eastAsiaTheme="minorEastAsia"/>
              <w:noProof/>
              <w:sz w:val="24"/>
              <w:szCs w:val="24"/>
              <w:lang w:eastAsia="en-GB"/>
            </w:rPr>
          </w:pPr>
          <w:hyperlink w:anchor="_Toc222867689" w:history="1">
            <w:r w:rsidRPr="00EE14DE">
              <w:rPr>
                <w:rStyle w:val="Hyperlink"/>
                <w:noProof/>
              </w:rPr>
              <w:t>3.1 Role of Budgeting at Sainsbury’s</w:t>
            </w:r>
            <w:r>
              <w:rPr>
                <w:noProof/>
                <w:webHidden/>
              </w:rPr>
              <w:tab/>
            </w:r>
            <w:r>
              <w:rPr>
                <w:noProof/>
                <w:webHidden/>
              </w:rPr>
              <w:fldChar w:fldCharType="begin"/>
            </w:r>
            <w:r>
              <w:rPr>
                <w:noProof/>
                <w:webHidden/>
              </w:rPr>
              <w:instrText xml:space="preserve"> PAGEREF _Toc222867689 \h </w:instrText>
            </w:r>
            <w:r>
              <w:rPr>
                <w:noProof/>
                <w:webHidden/>
              </w:rPr>
            </w:r>
            <w:r>
              <w:rPr>
                <w:noProof/>
                <w:webHidden/>
              </w:rPr>
              <w:fldChar w:fldCharType="separate"/>
            </w:r>
            <w:r>
              <w:rPr>
                <w:noProof/>
                <w:webHidden/>
              </w:rPr>
              <w:t>5</w:t>
            </w:r>
            <w:r>
              <w:rPr>
                <w:noProof/>
                <w:webHidden/>
              </w:rPr>
              <w:fldChar w:fldCharType="end"/>
            </w:r>
          </w:hyperlink>
        </w:p>
        <w:p w14:paraId="5905A339" w14:textId="3CF6E4F7" w:rsidR="00A75980" w:rsidRDefault="00A75980">
          <w:pPr>
            <w:pStyle w:val="TOC2"/>
            <w:tabs>
              <w:tab w:val="right" w:leader="dot" w:pos="9016"/>
            </w:tabs>
            <w:rPr>
              <w:rFonts w:eastAsiaTheme="minorEastAsia"/>
              <w:noProof/>
              <w:sz w:val="24"/>
              <w:szCs w:val="24"/>
              <w:lang w:eastAsia="en-GB"/>
            </w:rPr>
          </w:pPr>
          <w:hyperlink w:anchor="_Toc222867690" w:history="1">
            <w:r w:rsidRPr="00EE14DE">
              <w:rPr>
                <w:rStyle w:val="Hyperlink"/>
                <w:noProof/>
              </w:rPr>
              <w:t>3.2 Operating Expenses Analysis</w:t>
            </w:r>
            <w:r>
              <w:rPr>
                <w:noProof/>
                <w:webHidden/>
              </w:rPr>
              <w:tab/>
            </w:r>
            <w:r>
              <w:rPr>
                <w:noProof/>
                <w:webHidden/>
              </w:rPr>
              <w:fldChar w:fldCharType="begin"/>
            </w:r>
            <w:r>
              <w:rPr>
                <w:noProof/>
                <w:webHidden/>
              </w:rPr>
              <w:instrText xml:space="preserve"> PAGEREF _Toc222867690 \h </w:instrText>
            </w:r>
            <w:r>
              <w:rPr>
                <w:noProof/>
                <w:webHidden/>
              </w:rPr>
            </w:r>
            <w:r>
              <w:rPr>
                <w:noProof/>
                <w:webHidden/>
              </w:rPr>
              <w:fldChar w:fldCharType="separate"/>
            </w:r>
            <w:r>
              <w:rPr>
                <w:noProof/>
                <w:webHidden/>
              </w:rPr>
              <w:t>5</w:t>
            </w:r>
            <w:r>
              <w:rPr>
                <w:noProof/>
                <w:webHidden/>
              </w:rPr>
              <w:fldChar w:fldCharType="end"/>
            </w:r>
          </w:hyperlink>
        </w:p>
        <w:p w14:paraId="4853AB0E" w14:textId="21CB1044" w:rsidR="00A75980" w:rsidRDefault="00A75980">
          <w:pPr>
            <w:pStyle w:val="TOC1"/>
            <w:tabs>
              <w:tab w:val="right" w:leader="dot" w:pos="9016"/>
            </w:tabs>
            <w:rPr>
              <w:rFonts w:eastAsiaTheme="minorEastAsia"/>
              <w:noProof/>
              <w:sz w:val="24"/>
              <w:szCs w:val="24"/>
              <w:lang w:eastAsia="en-GB"/>
            </w:rPr>
          </w:pPr>
          <w:hyperlink w:anchor="_Toc222867691" w:history="1">
            <w:r w:rsidRPr="00EE14DE">
              <w:rPr>
                <w:rStyle w:val="Hyperlink"/>
                <w:b/>
                <w:bCs/>
                <w:noProof/>
              </w:rPr>
              <w:t>4. Performance Measurement and Decision-Making</w:t>
            </w:r>
            <w:r>
              <w:rPr>
                <w:noProof/>
                <w:webHidden/>
              </w:rPr>
              <w:tab/>
            </w:r>
            <w:r>
              <w:rPr>
                <w:noProof/>
                <w:webHidden/>
              </w:rPr>
              <w:fldChar w:fldCharType="begin"/>
            </w:r>
            <w:r>
              <w:rPr>
                <w:noProof/>
                <w:webHidden/>
              </w:rPr>
              <w:instrText xml:space="preserve"> PAGEREF _Toc222867691 \h </w:instrText>
            </w:r>
            <w:r>
              <w:rPr>
                <w:noProof/>
                <w:webHidden/>
              </w:rPr>
            </w:r>
            <w:r>
              <w:rPr>
                <w:noProof/>
                <w:webHidden/>
              </w:rPr>
              <w:fldChar w:fldCharType="separate"/>
            </w:r>
            <w:r>
              <w:rPr>
                <w:noProof/>
                <w:webHidden/>
              </w:rPr>
              <w:t>6</w:t>
            </w:r>
            <w:r>
              <w:rPr>
                <w:noProof/>
                <w:webHidden/>
              </w:rPr>
              <w:fldChar w:fldCharType="end"/>
            </w:r>
          </w:hyperlink>
        </w:p>
        <w:p w14:paraId="4CD620C3" w14:textId="3FBAA97F" w:rsidR="00A75980" w:rsidRDefault="00A75980">
          <w:pPr>
            <w:pStyle w:val="TOC2"/>
            <w:tabs>
              <w:tab w:val="right" w:leader="dot" w:pos="9016"/>
            </w:tabs>
            <w:rPr>
              <w:rFonts w:eastAsiaTheme="minorEastAsia"/>
              <w:noProof/>
              <w:sz w:val="24"/>
              <w:szCs w:val="24"/>
              <w:lang w:eastAsia="en-GB"/>
            </w:rPr>
          </w:pPr>
          <w:hyperlink w:anchor="_Toc222867692" w:history="1">
            <w:r w:rsidRPr="00EE14DE">
              <w:rPr>
                <w:rStyle w:val="Hyperlink"/>
                <w:noProof/>
              </w:rPr>
              <w:t>4.1 Key Performance Indicators (KPIs)</w:t>
            </w:r>
            <w:r>
              <w:rPr>
                <w:noProof/>
                <w:webHidden/>
              </w:rPr>
              <w:tab/>
            </w:r>
            <w:r>
              <w:rPr>
                <w:noProof/>
                <w:webHidden/>
              </w:rPr>
              <w:fldChar w:fldCharType="begin"/>
            </w:r>
            <w:r>
              <w:rPr>
                <w:noProof/>
                <w:webHidden/>
              </w:rPr>
              <w:instrText xml:space="preserve"> PAGEREF _Toc222867692 \h </w:instrText>
            </w:r>
            <w:r>
              <w:rPr>
                <w:noProof/>
                <w:webHidden/>
              </w:rPr>
            </w:r>
            <w:r>
              <w:rPr>
                <w:noProof/>
                <w:webHidden/>
              </w:rPr>
              <w:fldChar w:fldCharType="separate"/>
            </w:r>
            <w:r>
              <w:rPr>
                <w:noProof/>
                <w:webHidden/>
              </w:rPr>
              <w:t>6</w:t>
            </w:r>
            <w:r>
              <w:rPr>
                <w:noProof/>
                <w:webHidden/>
              </w:rPr>
              <w:fldChar w:fldCharType="end"/>
            </w:r>
          </w:hyperlink>
        </w:p>
        <w:p w14:paraId="4DB3A92A" w14:textId="22B41D25" w:rsidR="00A75980" w:rsidRDefault="00A75980">
          <w:pPr>
            <w:pStyle w:val="TOC2"/>
            <w:tabs>
              <w:tab w:val="right" w:leader="dot" w:pos="9016"/>
            </w:tabs>
            <w:rPr>
              <w:rFonts w:eastAsiaTheme="minorEastAsia"/>
              <w:noProof/>
              <w:sz w:val="24"/>
              <w:szCs w:val="24"/>
              <w:lang w:eastAsia="en-GB"/>
            </w:rPr>
          </w:pPr>
          <w:hyperlink w:anchor="_Toc222867693" w:history="1">
            <w:r w:rsidRPr="00EE14DE">
              <w:rPr>
                <w:rStyle w:val="Hyperlink"/>
                <w:noProof/>
              </w:rPr>
              <w:t>4.2 Strategic Decisions Based on Performance Data</w:t>
            </w:r>
            <w:r>
              <w:rPr>
                <w:noProof/>
                <w:webHidden/>
              </w:rPr>
              <w:tab/>
            </w:r>
            <w:r>
              <w:rPr>
                <w:noProof/>
                <w:webHidden/>
              </w:rPr>
              <w:fldChar w:fldCharType="begin"/>
            </w:r>
            <w:r>
              <w:rPr>
                <w:noProof/>
                <w:webHidden/>
              </w:rPr>
              <w:instrText xml:space="preserve"> PAGEREF _Toc222867693 \h </w:instrText>
            </w:r>
            <w:r>
              <w:rPr>
                <w:noProof/>
                <w:webHidden/>
              </w:rPr>
            </w:r>
            <w:r>
              <w:rPr>
                <w:noProof/>
                <w:webHidden/>
              </w:rPr>
              <w:fldChar w:fldCharType="separate"/>
            </w:r>
            <w:r>
              <w:rPr>
                <w:noProof/>
                <w:webHidden/>
              </w:rPr>
              <w:t>7</w:t>
            </w:r>
            <w:r>
              <w:rPr>
                <w:noProof/>
                <w:webHidden/>
              </w:rPr>
              <w:fldChar w:fldCharType="end"/>
            </w:r>
          </w:hyperlink>
        </w:p>
        <w:p w14:paraId="006D7F50" w14:textId="073C15F8" w:rsidR="00A75980" w:rsidRDefault="00A75980">
          <w:pPr>
            <w:pStyle w:val="TOC1"/>
            <w:tabs>
              <w:tab w:val="right" w:leader="dot" w:pos="9016"/>
            </w:tabs>
            <w:rPr>
              <w:rFonts w:eastAsiaTheme="minorEastAsia"/>
              <w:noProof/>
              <w:sz w:val="24"/>
              <w:szCs w:val="24"/>
              <w:lang w:eastAsia="en-GB"/>
            </w:rPr>
          </w:pPr>
          <w:hyperlink w:anchor="_Toc222867694" w:history="1">
            <w:r w:rsidRPr="00EE14DE">
              <w:rPr>
                <w:rStyle w:val="Hyperlink"/>
                <w:b/>
                <w:bCs/>
                <w:noProof/>
              </w:rPr>
              <w:t>5. Sustainability and Ethical Considerations</w:t>
            </w:r>
            <w:r>
              <w:rPr>
                <w:noProof/>
                <w:webHidden/>
              </w:rPr>
              <w:tab/>
            </w:r>
            <w:r>
              <w:rPr>
                <w:noProof/>
                <w:webHidden/>
              </w:rPr>
              <w:fldChar w:fldCharType="begin"/>
            </w:r>
            <w:r>
              <w:rPr>
                <w:noProof/>
                <w:webHidden/>
              </w:rPr>
              <w:instrText xml:space="preserve"> PAGEREF _Toc222867694 \h </w:instrText>
            </w:r>
            <w:r>
              <w:rPr>
                <w:noProof/>
                <w:webHidden/>
              </w:rPr>
            </w:r>
            <w:r>
              <w:rPr>
                <w:noProof/>
                <w:webHidden/>
              </w:rPr>
              <w:fldChar w:fldCharType="separate"/>
            </w:r>
            <w:r>
              <w:rPr>
                <w:noProof/>
                <w:webHidden/>
              </w:rPr>
              <w:t>7</w:t>
            </w:r>
            <w:r>
              <w:rPr>
                <w:noProof/>
                <w:webHidden/>
              </w:rPr>
              <w:fldChar w:fldCharType="end"/>
            </w:r>
          </w:hyperlink>
        </w:p>
        <w:p w14:paraId="03B9C561" w14:textId="1A33DC43" w:rsidR="00A75980" w:rsidRDefault="00A75980">
          <w:pPr>
            <w:pStyle w:val="TOC2"/>
            <w:tabs>
              <w:tab w:val="right" w:leader="dot" w:pos="9016"/>
            </w:tabs>
            <w:rPr>
              <w:rFonts w:eastAsiaTheme="minorEastAsia"/>
              <w:noProof/>
              <w:sz w:val="24"/>
              <w:szCs w:val="24"/>
              <w:lang w:eastAsia="en-GB"/>
            </w:rPr>
          </w:pPr>
          <w:hyperlink w:anchor="_Toc222867695" w:history="1">
            <w:r w:rsidRPr="00EE14DE">
              <w:rPr>
                <w:rStyle w:val="Hyperlink"/>
                <w:noProof/>
              </w:rPr>
              <w:t>5.1 Sustainability in Financial Decision-Making</w:t>
            </w:r>
            <w:r>
              <w:rPr>
                <w:noProof/>
                <w:webHidden/>
              </w:rPr>
              <w:tab/>
            </w:r>
            <w:r>
              <w:rPr>
                <w:noProof/>
                <w:webHidden/>
              </w:rPr>
              <w:fldChar w:fldCharType="begin"/>
            </w:r>
            <w:r>
              <w:rPr>
                <w:noProof/>
                <w:webHidden/>
              </w:rPr>
              <w:instrText xml:space="preserve"> PAGEREF _Toc222867695 \h </w:instrText>
            </w:r>
            <w:r>
              <w:rPr>
                <w:noProof/>
                <w:webHidden/>
              </w:rPr>
            </w:r>
            <w:r>
              <w:rPr>
                <w:noProof/>
                <w:webHidden/>
              </w:rPr>
              <w:fldChar w:fldCharType="separate"/>
            </w:r>
            <w:r>
              <w:rPr>
                <w:noProof/>
                <w:webHidden/>
              </w:rPr>
              <w:t>7</w:t>
            </w:r>
            <w:r>
              <w:rPr>
                <w:noProof/>
                <w:webHidden/>
              </w:rPr>
              <w:fldChar w:fldCharType="end"/>
            </w:r>
          </w:hyperlink>
        </w:p>
        <w:p w14:paraId="08D5DF41" w14:textId="54ABB10F" w:rsidR="00A75980" w:rsidRDefault="00A75980">
          <w:pPr>
            <w:pStyle w:val="TOC2"/>
            <w:tabs>
              <w:tab w:val="right" w:leader="dot" w:pos="9016"/>
            </w:tabs>
            <w:rPr>
              <w:rFonts w:eastAsiaTheme="minorEastAsia"/>
              <w:noProof/>
              <w:sz w:val="24"/>
              <w:szCs w:val="24"/>
              <w:lang w:eastAsia="en-GB"/>
            </w:rPr>
          </w:pPr>
          <w:hyperlink w:anchor="_Toc222867696" w:history="1">
            <w:r w:rsidRPr="00EE14DE">
              <w:rPr>
                <w:rStyle w:val="Hyperlink"/>
                <w:noProof/>
              </w:rPr>
              <w:t>5.2 Ethical Considerations</w:t>
            </w:r>
            <w:r>
              <w:rPr>
                <w:noProof/>
                <w:webHidden/>
              </w:rPr>
              <w:tab/>
            </w:r>
            <w:r>
              <w:rPr>
                <w:noProof/>
                <w:webHidden/>
              </w:rPr>
              <w:fldChar w:fldCharType="begin"/>
            </w:r>
            <w:r>
              <w:rPr>
                <w:noProof/>
                <w:webHidden/>
              </w:rPr>
              <w:instrText xml:space="preserve"> PAGEREF _Toc222867696 \h </w:instrText>
            </w:r>
            <w:r>
              <w:rPr>
                <w:noProof/>
                <w:webHidden/>
              </w:rPr>
            </w:r>
            <w:r>
              <w:rPr>
                <w:noProof/>
                <w:webHidden/>
              </w:rPr>
              <w:fldChar w:fldCharType="separate"/>
            </w:r>
            <w:r>
              <w:rPr>
                <w:noProof/>
                <w:webHidden/>
              </w:rPr>
              <w:t>7</w:t>
            </w:r>
            <w:r>
              <w:rPr>
                <w:noProof/>
                <w:webHidden/>
              </w:rPr>
              <w:fldChar w:fldCharType="end"/>
            </w:r>
          </w:hyperlink>
        </w:p>
        <w:p w14:paraId="0FE26464" w14:textId="7B48D995" w:rsidR="00A75980" w:rsidRDefault="00A75980">
          <w:pPr>
            <w:pStyle w:val="TOC1"/>
            <w:tabs>
              <w:tab w:val="right" w:leader="dot" w:pos="9016"/>
            </w:tabs>
            <w:rPr>
              <w:rFonts w:eastAsiaTheme="minorEastAsia"/>
              <w:noProof/>
              <w:sz w:val="24"/>
              <w:szCs w:val="24"/>
              <w:lang w:eastAsia="en-GB"/>
            </w:rPr>
          </w:pPr>
          <w:hyperlink w:anchor="_Toc222867697" w:history="1">
            <w:r w:rsidRPr="00EE14DE">
              <w:rPr>
                <w:rStyle w:val="Hyperlink"/>
                <w:b/>
                <w:bCs/>
                <w:noProof/>
              </w:rPr>
              <w:t>6. Conclusion and Recommendations</w:t>
            </w:r>
            <w:r>
              <w:rPr>
                <w:noProof/>
                <w:webHidden/>
              </w:rPr>
              <w:tab/>
            </w:r>
            <w:r>
              <w:rPr>
                <w:noProof/>
                <w:webHidden/>
              </w:rPr>
              <w:fldChar w:fldCharType="begin"/>
            </w:r>
            <w:r>
              <w:rPr>
                <w:noProof/>
                <w:webHidden/>
              </w:rPr>
              <w:instrText xml:space="preserve"> PAGEREF _Toc222867697 \h </w:instrText>
            </w:r>
            <w:r>
              <w:rPr>
                <w:noProof/>
                <w:webHidden/>
              </w:rPr>
            </w:r>
            <w:r>
              <w:rPr>
                <w:noProof/>
                <w:webHidden/>
              </w:rPr>
              <w:fldChar w:fldCharType="separate"/>
            </w:r>
            <w:r>
              <w:rPr>
                <w:noProof/>
                <w:webHidden/>
              </w:rPr>
              <w:t>8</w:t>
            </w:r>
            <w:r>
              <w:rPr>
                <w:noProof/>
                <w:webHidden/>
              </w:rPr>
              <w:fldChar w:fldCharType="end"/>
            </w:r>
          </w:hyperlink>
        </w:p>
        <w:p w14:paraId="7B320521" w14:textId="3061388B" w:rsidR="00A75980" w:rsidRDefault="00A75980">
          <w:pPr>
            <w:pStyle w:val="TOC1"/>
            <w:tabs>
              <w:tab w:val="right" w:leader="dot" w:pos="9016"/>
            </w:tabs>
            <w:rPr>
              <w:rFonts w:eastAsiaTheme="minorEastAsia"/>
              <w:noProof/>
              <w:sz w:val="24"/>
              <w:szCs w:val="24"/>
              <w:lang w:eastAsia="en-GB"/>
            </w:rPr>
          </w:pPr>
          <w:hyperlink w:anchor="_Toc222867698" w:history="1">
            <w:r w:rsidRPr="00EE14DE">
              <w:rPr>
                <w:rStyle w:val="Hyperlink"/>
                <w:b/>
                <w:bCs/>
                <w:noProof/>
              </w:rPr>
              <w:t>References</w:t>
            </w:r>
            <w:r>
              <w:rPr>
                <w:noProof/>
                <w:webHidden/>
              </w:rPr>
              <w:tab/>
            </w:r>
            <w:r>
              <w:rPr>
                <w:noProof/>
                <w:webHidden/>
              </w:rPr>
              <w:fldChar w:fldCharType="begin"/>
            </w:r>
            <w:r>
              <w:rPr>
                <w:noProof/>
                <w:webHidden/>
              </w:rPr>
              <w:instrText xml:space="preserve"> PAGEREF _Toc222867698 \h </w:instrText>
            </w:r>
            <w:r>
              <w:rPr>
                <w:noProof/>
                <w:webHidden/>
              </w:rPr>
            </w:r>
            <w:r>
              <w:rPr>
                <w:noProof/>
                <w:webHidden/>
              </w:rPr>
              <w:fldChar w:fldCharType="separate"/>
            </w:r>
            <w:r>
              <w:rPr>
                <w:noProof/>
                <w:webHidden/>
              </w:rPr>
              <w:t>9</w:t>
            </w:r>
            <w:r>
              <w:rPr>
                <w:noProof/>
                <w:webHidden/>
              </w:rPr>
              <w:fldChar w:fldCharType="end"/>
            </w:r>
          </w:hyperlink>
        </w:p>
        <w:p w14:paraId="176645F5" w14:textId="48FBCD36" w:rsidR="00F21A5B" w:rsidRDefault="00F21A5B">
          <w:r>
            <w:rPr>
              <w:b/>
              <w:bCs/>
              <w:noProof/>
            </w:rPr>
            <w:fldChar w:fldCharType="end"/>
          </w:r>
        </w:p>
      </w:sdtContent>
    </w:sdt>
    <w:p w14:paraId="64C170CD" w14:textId="77777777" w:rsidR="00F21A5B" w:rsidRDefault="00F21A5B" w:rsidP="00F21A5B">
      <w:pPr>
        <w:rPr>
          <w:rFonts w:ascii="Arial" w:hAnsi="Arial" w:cs="Arial"/>
        </w:rPr>
      </w:pPr>
    </w:p>
    <w:p w14:paraId="7D8C3826" w14:textId="77777777" w:rsidR="00F21A5B" w:rsidRDefault="00F21A5B" w:rsidP="00F21A5B">
      <w:pPr>
        <w:rPr>
          <w:rFonts w:ascii="Arial" w:hAnsi="Arial" w:cs="Arial"/>
        </w:rPr>
      </w:pPr>
    </w:p>
    <w:p w14:paraId="172126FF" w14:textId="77777777" w:rsidR="00F21A5B" w:rsidRDefault="00F21A5B" w:rsidP="00F21A5B">
      <w:pPr>
        <w:rPr>
          <w:rFonts w:ascii="Arial" w:hAnsi="Arial" w:cs="Arial"/>
        </w:rPr>
      </w:pPr>
    </w:p>
    <w:p w14:paraId="0A10034D" w14:textId="77777777" w:rsidR="00F21A5B" w:rsidRDefault="00F21A5B" w:rsidP="00F21A5B">
      <w:pPr>
        <w:rPr>
          <w:rFonts w:ascii="Arial" w:hAnsi="Arial" w:cs="Arial"/>
        </w:rPr>
      </w:pPr>
    </w:p>
    <w:p w14:paraId="03953C81" w14:textId="77777777" w:rsidR="00F21A5B" w:rsidRDefault="00F21A5B" w:rsidP="00F21A5B">
      <w:pPr>
        <w:rPr>
          <w:rFonts w:ascii="Arial" w:hAnsi="Arial" w:cs="Arial"/>
        </w:rPr>
      </w:pPr>
    </w:p>
    <w:p w14:paraId="76037AB1" w14:textId="77777777" w:rsidR="00F21A5B" w:rsidRDefault="00F21A5B" w:rsidP="00F21A5B">
      <w:pPr>
        <w:rPr>
          <w:rFonts w:ascii="Arial" w:hAnsi="Arial" w:cs="Arial"/>
        </w:rPr>
      </w:pPr>
    </w:p>
    <w:p w14:paraId="14CDEE64" w14:textId="77777777" w:rsidR="00F21A5B" w:rsidRDefault="00F21A5B" w:rsidP="00F21A5B">
      <w:pPr>
        <w:rPr>
          <w:rFonts w:ascii="Arial" w:hAnsi="Arial" w:cs="Arial"/>
        </w:rPr>
      </w:pPr>
    </w:p>
    <w:p w14:paraId="02324F26" w14:textId="77777777" w:rsidR="00F21A5B" w:rsidRDefault="00F21A5B" w:rsidP="00F21A5B">
      <w:pPr>
        <w:rPr>
          <w:rFonts w:ascii="Arial" w:hAnsi="Arial" w:cs="Arial"/>
        </w:rPr>
      </w:pPr>
    </w:p>
    <w:p w14:paraId="7910656A" w14:textId="77777777" w:rsidR="00F21A5B" w:rsidRDefault="00F21A5B" w:rsidP="00F21A5B">
      <w:pPr>
        <w:rPr>
          <w:rFonts w:ascii="Arial" w:hAnsi="Arial" w:cs="Arial"/>
        </w:rPr>
      </w:pPr>
    </w:p>
    <w:p w14:paraId="42C4D1BA" w14:textId="77777777" w:rsidR="00F21A5B" w:rsidRDefault="00F21A5B" w:rsidP="00F21A5B">
      <w:pPr>
        <w:rPr>
          <w:rFonts w:ascii="Arial" w:hAnsi="Arial" w:cs="Arial"/>
        </w:rPr>
      </w:pPr>
    </w:p>
    <w:p w14:paraId="2EFEF2A3" w14:textId="77777777" w:rsidR="00F21A5B" w:rsidRDefault="00F21A5B" w:rsidP="00F21A5B">
      <w:pPr>
        <w:rPr>
          <w:rFonts w:ascii="Arial" w:hAnsi="Arial" w:cs="Arial"/>
        </w:rPr>
      </w:pPr>
    </w:p>
    <w:p w14:paraId="294DC20D" w14:textId="77777777" w:rsidR="00F21A5B" w:rsidRDefault="00F21A5B" w:rsidP="00F21A5B">
      <w:pPr>
        <w:rPr>
          <w:rFonts w:ascii="Arial" w:hAnsi="Arial" w:cs="Arial"/>
        </w:rPr>
      </w:pPr>
    </w:p>
    <w:p w14:paraId="30FBAE92" w14:textId="77777777" w:rsidR="00F21A5B" w:rsidRDefault="00F21A5B" w:rsidP="00F21A5B">
      <w:pPr>
        <w:rPr>
          <w:rFonts w:ascii="Arial" w:hAnsi="Arial" w:cs="Arial"/>
        </w:rPr>
      </w:pPr>
    </w:p>
    <w:p w14:paraId="3377308F" w14:textId="77777777" w:rsidR="00F21A5B" w:rsidRDefault="00F21A5B" w:rsidP="00F21A5B">
      <w:pPr>
        <w:rPr>
          <w:rFonts w:ascii="Arial" w:hAnsi="Arial" w:cs="Arial"/>
        </w:rPr>
      </w:pPr>
    </w:p>
    <w:p w14:paraId="456CA3B3" w14:textId="77777777" w:rsidR="00F21A5B" w:rsidRDefault="00F21A5B" w:rsidP="00F21A5B">
      <w:pPr>
        <w:rPr>
          <w:rFonts w:ascii="Arial" w:hAnsi="Arial" w:cs="Arial"/>
        </w:rPr>
      </w:pPr>
    </w:p>
    <w:p w14:paraId="7363C5D4" w14:textId="77777777" w:rsidR="00F21A5B" w:rsidRPr="00F21A5B" w:rsidRDefault="00F21A5B" w:rsidP="00F21A5B">
      <w:pPr>
        <w:rPr>
          <w:rFonts w:ascii="Arial" w:hAnsi="Arial" w:cs="Arial"/>
        </w:rPr>
      </w:pPr>
    </w:p>
    <w:p w14:paraId="6C11599D" w14:textId="77777777" w:rsidR="00F21A5B" w:rsidRPr="00F21A5B" w:rsidRDefault="00F21A5B" w:rsidP="00F21A5B">
      <w:pPr>
        <w:pStyle w:val="Heading1"/>
        <w:rPr>
          <w:b/>
          <w:bCs/>
          <w:color w:val="auto"/>
        </w:rPr>
      </w:pPr>
      <w:bookmarkStart w:id="0" w:name="_Toc222867684"/>
      <w:r w:rsidRPr="00F21A5B">
        <w:rPr>
          <w:b/>
          <w:bCs/>
          <w:color w:val="auto"/>
        </w:rPr>
        <w:lastRenderedPageBreak/>
        <w:t>1. Introduction</w:t>
      </w:r>
      <w:bookmarkEnd w:id="0"/>
    </w:p>
    <w:p w14:paraId="70A7C083" w14:textId="77777777" w:rsidR="00F21A5B" w:rsidRPr="00F21A5B" w:rsidRDefault="00F21A5B" w:rsidP="00F21A5B">
      <w:pPr>
        <w:rPr>
          <w:rFonts w:ascii="Arial" w:hAnsi="Arial" w:cs="Arial"/>
        </w:rPr>
      </w:pPr>
      <w:r w:rsidRPr="00F21A5B">
        <w:rPr>
          <w:rFonts w:ascii="Arial" w:hAnsi="Arial" w:cs="Arial"/>
        </w:rPr>
        <w:t>J Sainsbury plc is a major food retailing company based in the United Kingdom and one of the principal representatives of the four supermarkets on the UK market that include Tesco, Asda, and Morrisons. Since its inception in 1869, the company has grown considerably and today has a good network of supermarkets and convenience stores which are supported by well-operating online retail stores (Ozbun, 2025). During the 2024/25 financial year, Sainsbury recorded a scale and significance in the UK grocery market with the sale revenue of over 36.7 billion pounds which is very high in a highly competitive market (Statista, 2025). The company business model is based on large-scale product sales of groceries, sale of own-brand products, and diversification of the business with the help of Argos, which reinforces the physical and online presence.</w:t>
      </w:r>
    </w:p>
    <w:p w14:paraId="6E9151C1" w14:textId="77777777" w:rsidR="00F21A5B" w:rsidRPr="00F21A5B" w:rsidRDefault="00F21A5B" w:rsidP="00F21A5B">
      <w:pPr>
        <w:rPr>
          <w:rFonts w:ascii="Arial" w:hAnsi="Arial" w:cs="Arial"/>
        </w:rPr>
      </w:pPr>
      <w:r w:rsidRPr="00F21A5B">
        <w:rPr>
          <w:rFonts w:ascii="Arial" w:hAnsi="Arial" w:cs="Arial"/>
        </w:rPr>
        <w:t>Sainsbury needs effective management accounting to operate in a low-margin environment that is defined by stiff price battles and escalating levels of cost pressures. Cost analysis, budgeting, and performance measurement are management accounting tools that help managers to control costs, enhance efficiency, and make informed financial and strategic decisions (Maemunah and Rismayadi, 2024). This report assesses the use of such tools at Sainsbury to aid financial decision-making within a competitive retailing setting.</w:t>
      </w:r>
    </w:p>
    <w:p w14:paraId="57FA562B" w14:textId="77777777" w:rsidR="00F21A5B" w:rsidRPr="00F21A5B" w:rsidRDefault="00F21A5B" w:rsidP="00F21A5B">
      <w:pPr>
        <w:rPr>
          <w:rFonts w:ascii="Arial" w:hAnsi="Arial" w:cs="Arial"/>
        </w:rPr>
      </w:pPr>
    </w:p>
    <w:p w14:paraId="39C88F9B" w14:textId="77777777" w:rsidR="00F21A5B" w:rsidRPr="00F21A5B" w:rsidRDefault="00F21A5B" w:rsidP="00F21A5B">
      <w:pPr>
        <w:pStyle w:val="Heading1"/>
        <w:rPr>
          <w:b/>
          <w:bCs/>
          <w:color w:val="auto"/>
        </w:rPr>
      </w:pPr>
      <w:bookmarkStart w:id="1" w:name="_Toc222867685"/>
      <w:r w:rsidRPr="00F21A5B">
        <w:rPr>
          <w:b/>
          <w:bCs/>
          <w:color w:val="auto"/>
        </w:rPr>
        <w:t>2. Cost Analysis and Business Model</w:t>
      </w:r>
      <w:bookmarkEnd w:id="1"/>
    </w:p>
    <w:p w14:paraId="5E39FAEF" w14:textId="77777777" w:rsidR="00F21A5B" w:rsidRPr="00F21A5B" w:rsidRDefault="00F21A5B" w:rsidP="00F21A5B">
      <w:pPr>
        <w:pStyle w:val="Heading2"/>
        <w:rPr>
          <w:color w:val="auto"/>
        </w:rPr>
      </w:pPr>
      <w:bookmarkStart w:id="2" w:name="_Toc222867686"/>
      <w:r w:rsidRPr="00F21A5B">
        <w:rPr>
          <w:color w:val="auto"/>
        </w:rPr>
        <w:t>2.1 Revenue Model</w:t>
      </w:r>
      <w:bookmarkEnd w:id="2"/>
    </w:p>
    <w:p w14:paraId="715C838E" w14:textId="77777777" w:rsidR="00F21A5B" w:rsidRPr="00F21A5B" w:rsidRDefault="00F21A5B" w:rsidP="00F21A5B">
      <w:pPr>
        <w:rPr>
          <w:rFonts w:ascii="Arial" w:hAnsi="Arial" w:cs="Arial"/>
        </w:rPr>
      </w:pPr>
      <w:r w:rsidRPr="00F21A5B">
        <w:rPr>
          <w:rFonts w:ascii="Arial" w:hAnsi="Arial" w:cs="Arial"/>
        </w:rPr>
        <w:t>J Sainsbury plc is a high-volume, low-margin retail business model, which is mainly supported by the grocery sales, complemented by the convenience retail, online grocery delivery, and non-foods including clothing and general merchandise. The size of the business can be seen in the total revenue which grows to (£32,812 million) in 2024 but with a steady rise or growth even in harsh market conditions (J Sainsbury plc, 2025). Such a revenue model is indicative of the fact that Sainsbury has depended on volumes of sales as opposed to the profit margin to earn revenue.</w:t>
      </w:r>
    </w:p>
    <w:p w14:paraId="052FCB89" w14:textId="3232A102" w:rsidR="00F21A5B" w:rsidRPr="00F21A5B" w:rsidRDefault="00F21A5B" w:rsidP="00A75980">
      <w:pPr>
        <w:jc w:val="center"/>
        <w:rPr>
          <w:rFonts w:ascii="Arial" w:hAnsi="Arial" w:cs="Arial"/>
        </w:rPr>
      </w:pPr>
      <w:r w:rsidRPr="00F21A5B">
        <w:rPr>
          <w:rFonts w:ascii="Arial" w:hAnsi="Arial" w:cs="Arial"/>
        </w:rPr>
        <w:drawing>
          <wp:inline distT="0" distB="0" distL="0" distR="0" wp14:anchorId="5839C230" wp14:editId="08723548">
            <wp:extent cx="5276850" cy="2591632"/>
            <wp:effectExtent l="0" t="0" r="0" b="0"/>
            <wp:docPr id="691380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88760" cy="2597481"/>
                    </a:xfrm>
                    <a:prstGeom prst="rect">
                      <a:avLst/>
                    </a:prstGeom>
                    <a:noFill/>
                    <a:ln>
                      <a:noFill/>
                    </a:ln>
                  </pic:spPr>
                </pic:pic>
              </a:graphicData>
            </a:graphic>
          </wp:inline>
        </w:drawing>
      </w:r>
    </w:p>
    <w:p w14:paraId="159FFE72" w14:textId="77777777" w:rsidR="00F21A5B" w:rsidRPr="00F21A5B" w:rsidRDefault="00F21A5B" w:rsidP="00A75980">
      <w:pPr>
        <w:jc w:val="center"/>
        <w:rPr>
          <w:rFonts w:ascii="Arial" w:hAnsi="Arial" w:cs="Arial"/>
          <w:b/>
          <w:bCs/>
        </w:rPr>
      </w:pPr>
      <w:r w:rsidRPr="00F21A5B">
        <w:rPr>
          <w:rFonts w:ascii="Arial" w:hAnsi="Arial" w:cs="Arial"/>
          <w:b/>
          <w:bCs/>
          <w:i/>
          <w:iCs/>
        </w:rPr>
        <w:t>Figure 1 Revenue Analysis</w:t>
      </w:r>
    </w:p>
    <w:p w14:paraId="35F10D51" w14:textId="77777777" w:rsidR="00F21A5B" w:rsidRPr="00F21A5B" w:rsidRDefault="00F21A5B" w:rsidP="00F21A5B">
      <w:pPr>
        <w:rPr>
          <w:rFonts w:ascii="Arial" w:hAnsi="Arial" w:cs="Arial"/>
        </w:rPr>
      </w:pPr>
    </w:p>
    <w:p w14:paraId="7B98B536" w14:textId="77777777" w:rsidR="00F21A5B" w:rsidRPr="00F21A5B" w:rsidRDefault="00F21A5B" w:rsidP="00F21A5B">
      <w:pPr>
        <w:rPr>
          <w:rFonts w:ascii="Arial" w:hAnsi="Arial" w:cs="Arial"/>
        </w:rPr>
      </w:pPr>
      <w:r w:rsidRPr="00F21A5B">
        <w:rPr>
          <w:rFonts w:ascii="Arial" w:hAnsi="Arial" w:cs="Arial"/>
        </w:rPr>
        <w:t>J Sainsbury PLC has a high-volume low-margin retail revenue model; its revenue is earned through various segments, which form its business strategy. The grocery segment is the biggest contributor, with the approximate amount of about £23.7 billion in fiscal 2024, which is about two-thirds of total revenue (S&amp;P Global, 2025). This segment gives the advantage of volume growth and basket size increase, caused by the strategic pricing, the Next Level program and Nectar loyalty program, contributing to the high retention and purchasing frequency of customers (Mcintosh, 2024). In 2023/24, the retailer has also launched almost 1,200 new products, and premium offers, including the Taste the Difference range, have boosted sales by 12% (Davey, 2024a). The general merchandise (GM) segment, which is headed by Argos, generated revenue of 5.1 billion, whereby it provides items like electronics, domestic products, and clothes, and the sales are facilitated through a mix of both physical outlets and online platforms (S&amp;P Global, 2025). All these elements, grocery, general merchandise, fuel, and online services, demonstrate the example of a diversified revenue model where a stable base sale is balanced by additional revenue sources that can help maintain the cash flow and sustainability of operations.</w:t>
      </w:r>
    </w:p>
    <w:p w14:paraId="2C6CE230" w14:textId="77777777" w:rsidR="00F21A5B" w:rsidRPr="00F21A5B" w:rsidRDefault="00F21A5B" w:rsidP="00F21A5B">
      <w:pPr>
        <w:pStyle w:val="Heading2"/>
      </w:pPr>
    </w:p>
    <w:p w14:paraId="682E11CB" w14:textId="77777777" w:rsidR="00F21A5B" w:rsidRPr="00F21A5B" w:rsidRDefault="00F21A5B" w:rsidP="00F21A5B">
      <w:pPr>
        <w:pStyle w:val="Heading2"/>
        <w:rPr>
          <w:color w:val="auto"/>
        </w:rPr>
      </w:pPr>
      <w:bookmarkStart w:id="3" w:name="_Toc222867687"/>
      <w:r w:rsidRPr="00F21A5B">
        <w:rPr>
          <w:color w:val="auto"/>
        </w:rPr>
        <w:t>2.2 Cost Structure</w:t>
      </w:r>
      <w:bookmarkEnd w:id="3"/>
    </w:p>
    <w:p w14:paraId="4A6D8817" w14:textId="47978FE3" w:rsidR="00F21A5B" w:rsidRPr="00F21A5B" w:rsidRDefault="00F21A5B" w:rsidP="00F21A5B">
      <w:pPr>
        <w:rPr>
          <w:rFonts w:ascii="Arial" w:hAnsi="Arial" w:cs="Arial"/>
        </w:rPr>
      </w:pPr>
      <w:r w:rsidRPr="00F21A5B">
        <w:rPr>
          <w:rFonts w:ascii="Arial" w:hAnsi="Arial" w:cs="Arial"/>
        </w:rPr>
        <w:t xml:space="preserve">J Sainsbury plc's cost structure demonstrates that it is a high-volume, low-margin grocery retailer, in which operational and supply-chain efficiency is of primary importance. The cost of revenue is the most prevalent cost, growing to (£30,591 million) in 2024, as compared to (£29,487 million) in 2022, and covers more than 93% of the total revenue in 2024 (Yahoo Finance, 2025). This cost is mainly the supplier payments, purchases of the inventories, the </w:t>
      </w:r>
      <w:r w:rsidR="00A75980" w:rsidRPr="00F21A5B">
        <w:rPr>
          <w:rFonts w:ascii="Arial" w:hAnsi="Arial" w:cs="Arial"/>
        </w:rPr>
        <w:t>fuelling</w:t>
      </w:r>
      <w:r w:rsidRPr="00F21A5B">
        <w:rPr>
          <w:rFonts w:ascii="Arial" w:hAnsi="Arial" w:cs="Arial"/>
        </w:rPr>
        <w:t xml:space="preserve"> costs, and the countrywide distribution costs, which proves that it is a variable cost directly associated with the sales volumes and store throughput. Minor inconsistencies in supplier pricing or logistics consequently affect profitability.</w:t>
      </w:r>
    </w:p>
    <w:p w14:paraId="670AB10C" w14:textId="77777777" w:rsidR="00F21A5B" w:rsidRPr="00F21A5B" w:rsidRDefault="00F21A5B" w:rsidP="00F21A5B">
      <w:pPr>
        <w:rPr>
          <w:rFonts w:ascii="Arial" w:hAnsi="Arial" w:cs="Arial"/>
        </w:rPr>
      </w:pPr>
      <w:r w:rsidRPr="00F21A5B">
        <w:rPr>
          <w:rFonts w:ascii="Arial" w:hAnsi="Arial" w:cs="Arial"/>
        </w:rPr>
        <w:t>Operating costs have fallen to (£1,270 million) in 2024 compared to (£1,442 million) in 2022 due to store rationalisation, automation, and tightening of labour and overhead control, especially in the Argos and supermarket estate (J Sainsbury PLC, 2024). These are mostly fixed costs such as store rents, depreciation, personnel salaries and IT infrastructure. The decrease of fixed cost underpinned the growth of the operating income of (£562 million) in 2022 to (£951 million) in 2024 and reflected a better operation leverage (James Davey, 2024).</w:t>
      </w:r>
    </w:p>
    <w:p w14:paraId="2036F945" w14:textId="77777777" w:rsidR="00F21A5B" w:rsidRDefault="00F21A5B" w:rsidP="00F21A5B">
      <w:pPr>
        <w:rPr>
          <w:rFonts w:ascii="Arial" w:hAnsi="Arial" w:cs="Arial"/>
        </w:rPr>
      </w:pPr>
      <w:r w:rsidRPr="00F21A5B">
        <w:rPr>
          <w:rFonts w:ascii="Arial" w:hAnsi="Arial" w:cs="Arial"/>
        </w:rPr>
        <w:t>Cost classification and cost-volume-profit (CVP) are examples of management accounting tools that Sainsbury can use to determine breakeven points, pricing strategies, and margin pressure in the UK competitive grocery market (Ebiware and Kareem, 2024).</w:t>
      </w:r>
    </w:p>
    <w:p w14:paraId="4607D777" w14:textId="77777777" w:rsidR="00A75980" w:rsidRDefault="00A75980" w:rsidP="00F21A5B">
      <w:pPr>
        <w:rPr>
          <w:rFonts w:ascii="Arial" w:hAnsi="Arial" w:cs="Arial"/>
        </w:rPr>
      </w:pPr>
    </w:p>
    <w:p w14:paraId="32FD9B9B" w14:textId="77777777" w:rsidR="00A75980" w:rsidRPr="00F21A5B" w:rsidRDefault="00A75980" w:rsidP="00F21A5B">
      <w:pPr>
        <w:rPr>
          <w:rFonts w:ascii="Arial" w:hAnsi="Arial" w:cs="Arial"/>
        </w:rPr>
      </w:pPr>
    </w:p>
    <w:p w14:paraId="780592B8" w14:textId="77777777" w:rsidR="00F21A5B" w:rsidRPr="00F21A5B" w:rsidRDefault="00F21A5B" w:rsidP="00F21A5B">
      <w:pPr>
        <w:rPr>
          <w:rFonts w:ascii="Arial" w:hAnsi="Arial" w:cs="Arial"/>
        </w:rPr>
      </w:pPr>
    </w:p>
    <w:p w14:paraId="08DAA810" w14:textId="77777777" w:rsidR="00F21A5B" w:rsidRPr="00F21A5B" w:rsidRDefault="00F21A5B" w:rsidP="00F21A5B">
      <w:pPr>
        <w:pStyle w:val="Heading1"/>
        <w:rPr>
          <w:b/>
          <w:bCs/>
          <w:color w:val="auto"/>
        </w:rPr>
      </w:pPr>
      <w:bookmarkStart w:id="4" w:name="_Toc222867688"/>
      <w:r w:rsidRPr="00F21A5B">
        <w:rPr>
          <w:b/>
          <w:bCs/>
          <w:color w:val="auto"/>
        </w:rPr>
        <w:lastRenderedPageBreak/>
        <w:t>3. Budgeting and Financial Planning</w:t>
      </w:r>
      <w:bookmarkEnd w:id="4"/>
    </w:p>
    <w:p w14:paraId="476E342C" w14:textId="77777777" w:rsidR="00F21A5B" w:rsidRPr="00F21A5B" w:rsidRDefault="00F21A5B" w:rsidP="00F21A5B">
      <w:pPr>
        <w:pStyle w:val="Heading2"/>
      </w:pPr>
      <w:bookmarkStart w:id="5" w:name="_Toc222867689"/>
      <w:r w:rsidRPr="00F21A5B">
        <w:rPr>
          <w:color w:val="auto"/>
        </w:rPr>
        <w:t>3.1 Role of Budgeting at Sainsbury’s</w:t>
      </w:r>
      <w:bookmarkEnd w:id="5"/>
    </w:p>
    <w:p w14:paraId="69D444F6" w14:textId="77777777" w:rsidR="00F21A5B" w:rsidRPr="00F21A5B" w:rsidRDefault="00F21A5B" w:rsidP="00F21A5B">
      <w:pPr>
        <w:rPr>
          <w:rFonts w:ascii="Arial" w:hAnsi="Arial" w:cs="Arial"/>
        </w:rPr>
      </w:pPr>
      <w:r w:rsidRPr="00F21A5B">
        <w:rPr>
          <w:rFonts w:ascii="Arial" w:hAnsi="Arial" w:cs="Arial"/>
        </w:rPr>
        <w:t>Budgeting plays a very important role in planning, allocation of resources and monitoring performance at Sainsbury. Sainsbury uses different categories of budgets, such as operating budgets, which predict the revenues and expenditures of its everyday operations; capital expenditure budgets, which plan investments in its new shops, technology, and infrastructure; and cash flow forecasts £500 million, which assure it of liquidity to meet its immediate liabilities (Davey, 2024b). The company is cutting down on more than 3,000 jobs and shutting down 61 cafes and food counters as it tries to cut costs in reaction to a difficult cost environment (Reuters, 2025). Budgets direct the allocation of resources among stores, supply chains and online functions such that the management can make adjustments to wage raises, alterations in National Insurance (£140m effect) and inflationary forces such that they ensure the liquidity and profitability within the stiffly competitive UK grocery market (Labiak, 2024).</w:t>
      </w:r>
    </w:p>
    <w:p w14:paraId="0F668E6D" w14:textId="77777777" w:rsidR="00F21A5B" w:rsidRPr="00F21A5B" w:rsidRDefault="00F21A5B" w:rsidP="00F21A5B">
      <w:pPr>
        <w:rPr>
          <w:rFonts w:ascii="Arial" w:hAnsi="Arial" w:cs="Arial"/>
        </w:rPr>
      </w:pPr>
    </w:p>
    <w:p w14:paraId="6C72A524" w14:textId="77777777" w:rsidR="00F21A5B" w:rsidRPr="00F21A5B" w:rsidRDefault="00F21A5B" w:rsidP="00F21A5B">
      <w:pPr>
        <w:pStyle w:val="Heading2"/>
        <w:rPr>
          <w:color w:val="auto"/>
        </w:rPr>
      </w:pPr>
      <w:bookmarkStart w:id="6" w:name="_Toc222867690"/>
      <w:r w:rsidRPr="00F21A5B">
        <w:rPr>
          <w:color w:val="auto"/>
        </w:rPr>
        <w:t>3.2 Operating Expenses Analysis</w:t>
      </w:r>
      <w:bookmarkEnd w:id="6"/>
    </w:p>
    <w:p w14:paraId="0536431A" w14:textId="77777777" w:rsidR="00F21A5B" w:rsidRDefault="00F21A5B" w:rsidP="00F21A5B">
      <w:pPr>
        <w:rPr>
          <w:rFonts w:ascii="Arial" w:hAnsi="Arial" w:cs="Arial"/>
        </w:rPr>
      </w:pPr>
      <w:r w:rsidRPr="00F21A5B">
        <w:rPr>
          <w:rFonts w:ascii="Arial" w:hAnsi="Arial" w:cs="Arial"/>
        </w:rPr>
        <w:t>An analysis of the income statement of Sainsbury between 2022 and 2024 revealed that operating expenses experienced a slight reduction between 2022 and 2023 by reducing to 1270m, after which it remained stable at 1281m in 2022 and 2023 respectively (Yahoo Finance, 2025). This decline is a result of international strategic actions, including the optimization of store portfolios, shutting down stores with low performance, automation, and investments in digitalisation to minimize manual processes (Reuters Staff, 2024). Reduction of more than 3,000 positions also helped in regulating labour expenses as part of workforce planning (Reuters, 2025). Workforce planning and the measures of operational efficiency was also actively used to manage labour costs.</w:t>
      </w:r>
    </w:p>
    <w:p w14:paraId="55A7E4DB" w14:textId="77777777" w:rsidR="00A75980" w:rsidRPr="00F21A5B" w:rsidRDefault="00A75980" w:rsidP="00F21A5B">
      <w:pPr>
        <w:rPr>
          <w:rFonts w:ascii="Arial" w:hAnsi="Arial" w:cs="Arial"/>
        </w:rPr>
      </w:pPr>
    </w:p>
    <w:p w14:paraId="0DB8FB04" w14:textId="77777777" w:rsidR="00F21A5B" w:rsidRPr="00F21A5B" w:rsidRDefault="00F21A5B" w:rsidP="00A75980">
      <w:pPr>
        <w:jc w:val="center"/>
        <w:rPr>
          <w:rFonts w:ascii="Arial" w:hAnsi="Arial" w:cs="Arial"/>
          <w:b/>
          <w:bCs/>
        </w:rPr>
      </w:pPr>
      <w:r w:rsidRPr="00F21A5B">
        <w:rPr>
          <w:rFonts w:ascii="Arial" w:hAnsi="Arial" w:cs="Arial"/>
          <w:b/>
          <w:bCs/>
          <w:i/>
          <w:iCs/>
        </w:rPr>
        <w:t>Table 1 Operating Expenses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2818"/>
        <w:gridCol w:w="1246"/>
        <w:gridCol w:w="1246"/>
        <w:gridCol w:w="1246"/>
        <w:gridCol w:w="1661"/>
      </w:tblGrid>
      <w:tr w:rsidR="00F21A5B" w:rsidRPr="00F21A5B" w14:paraId="26DFC573"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C826F45" w14:textId="77777777" w:rsidR="00F21A5B" w:rsidRPr="00F21A5B" w:rsidRDefault="00F21A5B" w:rsidP="00F21A5B">
            <w:pPr>
              <w:rPr>
                <w:rFonts w:ascii="Arial" w:hAnsi="Arial" w:cs="Arial"/>
              </w:rPr>
            </w:pPr>
            <w:r w:rsidRPr="00F21A5B">
              <w:rPr>
                <w:rFonts w:ascii="Arial" w:hAnsi="Arial" w:cs="Arial"/>
                <w:b/>
                <w:bCs/>
              </w:rPr>
              <w:t>Component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2F360FE" w14:textId="77777777" w:rsidR="00F21A5B" w:rsidRPr="00F21A5B" w:rsidRDefault="00F21A5B" w:rsidP="00F21A5B">
            <w:pPr>
              <w:rPr>
                <w:rFonts w:ascii="Arial" w:hAnsi="Arial" w:cs="Arial"/>
              </w:rPr>
            </w:pPr>
            <w:r w:rsidRPr="00F21A5B">
              <w:rPr>
                <w:rFonts w:ascii="Arial" w:hAnsi="Arial" w:cs="Arial"/>
                <w:b/>
                <w:bCs/>
              </w:rPr>
              <w:t>2022 (£m)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DDCA938" w14:textId="77777777" w:rsidR="00F21A5B" w:rsidRPr="00F21A5B" w:rsidRDefault="00F21A5B" w:rsidP="00F21A5B">
            <w:pPr>
              <w:rPr>
                <w:rFonts w:ascii="Arial" w:hAnsi="Arial" w:cs="Arial"/>
              </w:rPr>
            </w:pPr>
            <w:r w:rsidRPr="00F21A5B">
              <w:rPr>
                <w:rFonts w:ascii="Arial" w:hAnsi="Arial" w:cs="Arial"/>
                <w:b/>
                <w:bCs/>
              </w:rPr>
              <w:t>2023 (£m)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554A4FC" w14:textId="77777777" w:rsidR="00F21A5B" w:rsidRPr="00F21A5B" w:rsidRDefault="00F21A5B" w:rsidP="00F21A5B">
            <w:pPr>
              <w:rPr>
                <w:rFonts w:ascii="Arial" w:hAnsi="Arial" w:cs="Arial"/>
              </w:rPr>
            </w:pPr>
            <w:r w:rsidRPr="00F21A5B">
              <w:rPr>
                <w:rFonts w:ascii="Arial" w:hAnsi="Arial" w:cs="Arial"/>
                <w:b/>
                <w:bCs/>
              </w:rPr>
              <w:t>2024 (£m)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B4A27A5" w14:textId="77777777" w:rsidR="00F21A5B" w:rsidRPr="00F21A5B" w:rsidRDefault="00F21A5B" w:rsidP="00F21A5B">
            <w:pPr>
              <w:rPr>
                <w:rFonts w:ascii="Arial" w:hAnsi="Arial" w:cs="Arial"/>
              </w:rPr>
            </w:pPr>
            <w:r w:rsidRPr="00F21A5B">
              <w:rPr>
                <w:rFonts w:ascii="Arial" w:hAnsi="Arial" w:cs="Arial"/>
                <w:b/>
                <w:bCs/>
              </w:rPr>
              <w:t>Classification</w:t>
            </w:r>
          </w:p>
        </w:tc>
      </w:tr>
      <w:tr w:rsidR="00F21A5B" w:rsidRPr="00F21A5B" w14:paraId="116697EF"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1A6A4D1" w14:textId="77777777" w:rsidR="00F21A5B" w:rsidRPr="00F21A5B" w:rsidRDefault="00F21A5B" w:rsidP="00F21A5B">
            <w:pPr>
              <w:rPr>
                <w:rFonts w:ascii="Arial" w:hAnsi="Arial" w:cs="Arial"/>
              </w:rPr>
            </w:pPr>
            <w:r w:rsidRPr="00F21A5B">
              <w:rPr>
                <w:rFonts w:ascii="Arial" w:hAnsi="Arial" w:cs="Arial"/>
                <w:b/>
                <w:bCs/>
              </w:rPr>
              <w:t>Total Revenue (£ million)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10DD02D" w14:textId="77777777" w:rsidR="00F21A5B" w:rsidRPr="00F21A5B" w:rsidRDefault="00F21A5B" w:rsidP="00F21A5B">
            <w:pPr>
              <w:rPr>
                <w:rFonts w:ascii="Arial" w:hAnsi="Arial" w:cs="Arial"/>
              </w:rPr>
            </w:pPr>
            <w:r w:rsidRPr="00F21A5B">
              <w:rPr>
                <w:rFonts w:ascii="Arial" w:hAnsi="Arial" w:cs="Arial"/>
              </w:rPr>
              <w:t>31,491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9F817B4" w14:textId="77777777" w:rsidR="00F21A5B" w:rsidRPr="00F21A5B" w:rsidRDefault="00F21A5B" w:rsidP="00F21A5B">
            <w:pPr>
              <w:rPr>
                <w:rFonts w:ascii="Arial" w:hAnsi="Arial" w:cs="Arial"/>
              </w:rPr>
            </w:pPr>
            <w:r w:rsidRPr="00F21A5B">
              <w:rPr>
                <w:rFonts w:ascii="Arial" w:hAnsi="Arial" w:cs="Arial"/>
              </w:rPr>
              <w:t>32,238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DB22790" w14:textId="77777777" w:rsidR="00F21A5B" w:rsidRPr="00F21A5B" w:rsidRDefault="00F21A5B" w:rsidP="00F21A5B">
            <w:pPr>
              <w:rPr>
                <w:rFonts w:ascii="Arial" w:hAnsi="Arial" w:cs="Arial"/>
              </w:rPr>
            </w:pPr>
            <w:r w:rsidRPr="00F21A5B">
              <w:rPr>
                <w:rFonts w:ascii="Arial" w:hAnsi="Arial" w:cs="Arial"/>
              </w:rPr>
              <w:t>32,812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6A48A9E" w14:textId="77777777" w:rsidR="00F21A5B" w:rsidRPr="00F21A5B" w:rsidRDefault="00F21A5B" w:rsidP="00F21A5B">
            <w:pPr>
              <w:rPr>
                <w:rFonts w:ascii="Arial" w:hAnsi="Arial" w:cs="Arial"/>
              </w:rPr>
            </w:pPr>
            <w:r w:rsidRPr="00F21A5B">
              <w:rPr>
                <w:rFonts w:ascii="Arial" w:hAnsi="Arial" w:cs="Arial"/>
                <w:b/>
                <w:bCs/>
              </w:rPr>
              <w:t> </w:t>
            </w:r>
          </w:p>
        </w:tc>
      </w:tr>
      <w:tr w:rsidR="00F21A5B" w:rsidRPr="00F21A5B" w14:paraId="4152BB86"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7DF58B5" w14:textId="77777777" w:rsidR="00F21A5B" w:rsidRPr="00F21A5B" w:rsidRDefault="00F21A5B" w:rsidP="00F21A5B">
            <w:pPr>
              <w:rPr>
                <w:rFonts w:ascii="Arial" w:hAnsi="Arial" w:cs="Arial"/>
              </w:rPr>
            </w:pPr>
            <w:r w:rsidRPr="00F21A5B">
              <w:rPr>
                <w:rFonts w:ascii="Arial" w:hAnsi="Arial" w:cs="Arial"/>
              </w:rPr>
              <w:t>Cost of Revenue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E5AEA07" w14:textId="77777777" w:rsidR="00F21A5B" w:rsidRPr="00F21A5B" w:rsidRDefault="00F21A5B" w:rsidP="00F21A5B">
            <w:pPr>
              <w:rPr>
                <w:rFonts w:ascii="Arial" w:hAnsi="Arial" w:cs="Arial"/>
              </w:rPr>
            </w:pPr>
            <w:r w:rsidRPr="00F21A5B">
              <w:rPr>
                <w:rFonts w:ascii="Arial" w:hAnsi="Arial" w:cs="Arial"/>
              </w:rPr>
              <w:t>29,487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0D0D2F4" w14:textId="77777777" w:rsidR="00F21A5B" w:rsidRPr="00F21A5B" w:rsidRDefault="00F21A5B" w:rsidP="00F21A5B">
            <w:pPr>
              <w:rPr>
                <w:rFonts w:ascii="Arial" w:hAnsi="Arial" w:cs="Arial"/>
              </w:rPr>
            </w:pPr>
            <w:r w:rsidRPr="00F21A5B">
              <w:rPr>
                <w:rFonts w:ascii="Arial" w:hAnsi="Arial" w:cs="Arial"/>
              </w:rPr>
              <w:t>30,148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639AE43" w14:textId="77777777" w:rsidR="00F21A5B" w:rsidRPr="00F21A5B" w:rsidRDefault="00F21A5B" w:rsidP="00F21A5B">
            <w:pPr>
              <w:rPr>
                <w:rFonts w:ascii="Arial" w:hAnsi="Arial" w:cs="Arial"/>
              </w:rPr>
            </w:pPr>
            <w:r w:rsidRPr="00F21A5B">
              <w:rPr>
                <w:rFonts w:ascii="Arial" w:hAnsi="Arial" w:cs="Arial"/>
              </w:rPr>
              <w:t>30,591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DDF0F18" w14:textId="77777777" w:rsidR="00F21A5B" w:rsidRPr="00F21A5B" w:rsidRDefault="00F21A5B" w:rsidP="00F21A5B">
            <w:pPr>
              <w:rPr>
                <w:rFonts w:ascii="Arial" w:hAnsi="Arial" w:cs="Arial"/>
              </w:rPr>
            </w:pPr>
            <w:r w:rsidRPr="00F21A5B">
              <w:rPr>
                <w:rFonts w:ascii="Arial" w:hAnsi="Arial" w:cs="Arial"/>
              </w:rPr>
              <w:t>Variable</w:t>
            </w:r>
          </w:p>
        </w:tc>
      </w:tr>
      <w:tr w:rsidR="00F21A5B" w:rsidRPr="00F21A5B" w14:paraId="66418C8F"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DF0D92D" w14:textId="77777777" w:rsidR="00F21A5B" w:rsidRPr="00F21A5B" w:rsidRDefault="00F21A5B" w:rsidP="00F21A5B">
            <w:pPr>
              <w:rPr>
                <w:rFonts w:ascii="Arial" w:hAnsi="Arial" w:cs="Arial"/>
              </w:rPr>
            </w:pPr>
            <w:r w:rsidRPr="00F21A5B">
              <w:rPr>
                <w:rFonts w:ascii="Arial" w:hAnsi="Arial" w:cs="Arial"/>
              </w:rPr>
              <w:t>Operating Expenses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BC8507D" w14:textId="77777777" w:rsidR="00F21A5B" w:rsidRPr="00F21A5B" w:rsidRDefault="00F21A5B" w:rsidP="00F21A5B">
            <w:pPr>
              <w:rPr>
                <w:rFonts w:ascii="Arial" w:hAnsi="Arial" w:cs="Arial"/>
              </w:rPr>
            </w:pPr>
            <w:r w:rsidRPr="00F21A5B">
              <w:rPr>
                <w:rFonts w:ascii="Arial" w:hAnsi="Arial" w:cs="Arial"/>
              </w:rPr>
              <w:t>1,442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EC4ADA5" w14:textId="77777777" w:rsidR="00F21A5B" w:rsidRPr="00F21A5B" w:rsidRDefault="00F21A5B" w:rsidP="00F21A5B">
            <w:pPr>
              <w:rPr>
                <w:rFonts w:ascii="Arial" w:hAnsi="Arial" w:cs="Arial"/>
              </w:rPr>
            </w:pPr>
            <w:r w:rsidRPr="00F21A5B">
              <w:rPr>
                <w:rFonts w:ascii="Arial" w:hAnsi="Arial" w:cs="Arial"/>
              </w:rPr>
              <w:t>1,281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A464B70" w14:textId="77777777" w:rsidR="00F21A5B" w:rsidRPr="00F21A5B" w:rsidRDefault="00F21A5B" w:rsidP="00F21A5B">
            <w:pPr>
              <w:rPr>
                <w:rFonts w:ascii="Arial" w:hAnsi="Arial" w:cs="Arial"/>
              </w:rPr>
            </w:pPr>
            <w:r w:rsidRPr="00F21A5B">
              <w:rPr>
                <w:rFonts w:ascii="Arial" w:hAnsi="Arial" w:cs="Arial"/>
              </w:rPr>
              <w:t>1,270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5C8DFE0" w14:textId="77777777" w:rsidR="00F21A5B" w:rsidRPr="00F21A5B" w:rsidRDefault="00F21A5B" w:rsidP="00F21A5B">
            <w:pPr>
              <w:rPr>
                <w:rFonts w:ascii="Arial" w:hAnsi="Arial" w:cs="Arial"/>
              </w:rPr>
            </w:pPr>
            <w:r w:rsidRPr="00F21A5B">
              <w:rPr>
                <w:rFonts w:ascii="Arial" w:hAnsi="Arial" w:cs="Arial"/>
              </w:rPr>
              <w:t>Fixed</w:t>
            </w:r>
          </w:p>
        </w:tc>
      </w:tr>
      <w:tr w:rsidR="00F21A5B" w:rsidRPr="00F21A5B" w14:paraId="26C31AA7"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BBA3146" w14:textId="77777777" w:rsidR="00F21A5B" w:rsidRPr="00F21A5B" w:rsidRDefault="00F21A5B" w:rsidP="00F21A5B">
            <w:pPr>
              <w:rPr>
                <w:rFonts w:ascii="Arial" w:hAnsi="Arial" w:cs="Arial"/>
              </w:rPr>
            </w:pPr>
            <w:r w:rsidRPr="00F21A5B">
              <w:rPr>
                <w:rFonts w:ascii="Arial" w:hAnsi="Arial" w:cs="Arial"/>
              </w:rPr>
              <w:t>Total Expenses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10136C7" w14:textId="77777777" w:rsidR="00F21A5B" w:rsidRPr="00F21A5B" w:rsidRDefault="00F21A5B" w:rsidP="00F21A5B">
            <w:pPr>
              <w:rPr>
                <w:rFonts w:ascii="Arial" w:hAnsi="Arial" w:cs="Arial"/>
              </w:rPr>
            </w:pPr>
            <w:r w:rsidRPr="00F21A5B">
              <w:rPr>
                <w:rFonts w:ascii="Arial" w:hAnsi="Arial" w:cs="Arial"/>
              </w:rPr>
              <w:t>30,929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69F3CF3" w14:textId="77777777" w:rsidR="00F21A5B" w:rsidRPr="00F21A5B" w:rsidRDefault="00F21A5B" w:rsidP="00F21A5B">
            <w:pPr>
              <w:rPr>
                <w:rFonts w:ascii="Arial" w:hAnsi="Arial" w:cs="Arial"/>
              </w:rPr>
            </w:pPr>
            <w:r w:rsidRPr="00F21A5B">
              <w:rPr>
                <w:rFonts w:ascii="Arial" w:hAnsi="Arial" w:cs="Arial"/>
              </w:rPr>
              <w:t>31,429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5F1E2C8" w14:textId="77777777" w:rsidR="00F21A5B" w:rsidRPr="00F21A5B" w:rsidRDefault="00F21A5B" w:rsidP="00F21A5B">
            <w:pPr>
              <w:rPr>
                <w:rFonts w:ascii="Arial" w:hAnsi="Arial" w:cs="Arial"/>
              </w:rPr>
            </w:pPr>
            <w:r w:rsidRPr="00F21A5B">
              <w:rPr>
                <w:rFonts w:ascii="Arial" w:hAnsi="Arial" w:cs="Arial"/>
              </w:rPr>
              <w:t>31,861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B960ED0" w14:textId="77777777" w:rsidR="00F21A5B" w:rsidRPr="00F21A5B" w:rsidRDefault="00F21A5B" w:rsidP="00F21A5B">
            <w:pPr>
              <w:rPr>
                <w:rFonts w:ascii="Arial" w:hAnsi="Arial" w:cs="Arial"/>
              </w:rPr>
            </w:pPr>
            <w:r w:rsidRPr="00F21A5B">
              <w:rPr>
                <w:rFonts w:ascii="Arial" w:hAnsi="Arial" w:cs="Arial"/>
              </w:rPr>
              <w:t> </w:t>
            </w:r>
          </w:p>
        </w:tc>
      </w:tr>
      <w:tr w:rsidR="00F21A5B" w:rsidRPr="00F21A5B" w14:paraId="5964B78A"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5E25163" w14:textId="77777777" w:rsidR="00F21A5B" w:rsidRPr="00F21A5B" w:rsidRDefault="00F21A5B" w:rsidP="00F21A5B">
            <w:pPr>
              <w:rPr>
                <w:rFonts w:ascii="Arial" w:hAnsi="Arial" w:cs="Arial"/>
              </w:rPr>
            </w:pPr>
            <w:r w:rsidRPr="00F21A5B">
              <w:rPr>
                <w:rFonts w:ascii="Arial" w:hAnsi="Arial" w:cs="Arial"/>
              </w:rPr>
              <w:t>Operating Income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658F8D6" w14:textId="77777777" w:rsidR="00F21A5B" w:rsidRPr="00F21A5B" w:rsidRDefault="00F21A5B" w:rsidP="00F21A5B">
            <w:pPr>
              <w:rPr>
                <w:rFonts w:ascii="Arial" w:hAnsi="Arial" w:cs="Arial"/>
              </w:rPr>
            </w:pPr>
            <w:r w:rsidRPr="00F21A5B">
              <w:rPr>
                <w:rFonts w:ascii="Arial" w:hAnsi="Arial" w:cs="Arial"/>
              </w:rPr>
              <w:t>562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E4F1A95" w14:textId="77777777" w:rsidR="00F21A5B" w:rsidRPr="00F21A5B" w:rsidRDefault="00F21A5B" w:rsidP="00F21A5B">
            <w:pPr>
              <w:rPr>
                <w:rFonts w:ascii="Arial" w:hAnsi="Arial" w:cs="Arial"/>
              </w:rPr>
            </w:pPr>
            <w:r w:rsidRPr="00F21A5B">
              <w:rPr>
                <w:rFonts w:ascii="Arial" w:hAnsi="Arial" w:cs="Arial"/>
              </w:rPr>
              <w:t>809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BBBB53F" w14:textId="77777777" w:rsidR="00F21A5B" w:rsidRPr="00F21A5B" w:rsidRDefault="00F21A5B" w:rsidP="00F21A5B">
            <w:pPr>
              <w:rPr>
                <w:rFonts w:ascii="Arial" w:hAnsi="Arial" w:cs="Arial"/>
              </w:rPr>
            </w:pPr>
            <w:r w:rsidRPr="00F21A5B">
              <w:rPr>
                <w:rFonts w:ascii="Arial" w:hAnsi="Arial" w:cs="Arial"/>
              </w:rPr>
              <w:t>951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B251A09" w14:textId="77777777" w:rsidR="00F21A5B" w:rsidRPr="00F21A5B" w:rsidRDefault="00F21A5B" w:rsidP="00F21A5B">
            <w:pPr>
              <w:rPr>
                <w:rFonts w:ascii="Arial" w:hAnsi="Arial" w:cs="Arial"/>
              </w:rPr>
            </w:pPr>
            <w:r w:rsidRPr="00F21A5B">
              <w:rPr>
                <w:rFonts w:ascii="Arial" w:hAnsi="Arial" w:cs="Arial"/>
              </w:rPr>
              <w:t> </w:t>
            </w:r>
          </w:p>
        </w:tc>
      </w:tr>
    </w:tbl>
    <w:p w14:paraId="07E2151C" w14:textId="77777777" w:rsidR="00F21A5B" w:rsidRPr="00F21A5B" w:rsidRDefault="00F21A5B" w:rsidP="00F21A5B">
      <w:pPr>
        <w:rPr>
          <w:rFonts w:ascii="Arial" w:hAnsi="Arial" w:cs="Arial"/>
        </w:rPr>
      </w:pPr>
    </w:p>
    <w:p w14:paraId="07507CD6" w14:textId="46476A0A" w:rsidR="00F21A5B" w:rsidRPr="00F21A5B" w:rsidRDefault="00F21A5B" w:rsidP="00F21A5B">
      <w:pPr>
        <w:rPr>
          <w:rFonts w:ascii="Arial" w:hAnsi="Arial" w:cs="Arial"/>
        </w:rPr>
      </w:pPr>
      <w:r w:rsidRPr="00F21A5B">
        <w:rPr>
          <w:rFonts w:ascii="Arial" w:hAnsi="Arial" w:cs="Arial"/>
        </w:rPr>
        <w:tab/>
        <w:t>Costs were also affected by external forces. The increases in inflation, energy and National Insurance costs (310m affected budgets and operational plans) compelled the management to make proactive adjustments on its budgets and operations (Labiak, 2024). Through this, the management was able to make corrective measures to ensure that the services remained competitive and of the desired standards thus illustrating the way in which budgeting tools combine short-term cost control and long term strategic choices.</w:t>
      </w:r>
    </w:p>
    <w:p w14:paraId="4D48A388" w14:textId="46476A0A" w:rsidR="00F21A5B" w:rsidRPr="00F21A5B" w:rsidRDefault="00F21A5B" w:rsidP="00F21A5B">
      <w:pPr>
        <w:pStyle w:val="Heading1"/>
        <w:rPr>
          <w:b/>
          <w:bCs/>
          <w:color w:val="auto"/>
        </w:rPr>
      </w:pPr>
      <w:bookmarkStart w:id="7" w:name="_Toc222867691"/>
      <w:r w:rsidRPr="00F21A5B">
        <w:rPr>
          <w:b/>
          <w:bCs/>
          <w:color w:val="auto"/>
        </w:rPr>
        <w:lastRenderedPageBreak/>
        <w:t>4. Performance Measurement and Decision-Making</w:t>
      </w:r>
      <w:bookmarkEnd w:id="7"/>
    </w:p>
    <w:p w14:paraId="76B68247" w14:textId="77777777" w:rsidR="00F21A5B" w:rsidRPr="00F21A5B" w:rsidRDefault="00F21A5B" w:rsidP="00F21A5B">
      <w:pPr>
        <w:pStyle w:val="Heading2"/>
        <w:rPr>
          <w:color w:val="auto"/>
        </w:rPr>
      </w:pPr>
      <w:bookmarkStart w:id="8" w:name="_Toc222867692"/>
      <w:r w:rsidRPr="00F21A5B">
        <w:rPr>
          <w:color w:val="auto"/>
        </w:rPr>
        <w:t>4.1 Key Performance Indicators (KPIs)</w:t>
      </w:r>
      <w:bookmarkEnd w:id="8"/>
    </w:p>
    <w:p w14:paraId="52B0D0E2" w14:textId="77777777" w:rsidR="00F21A5B" w:rsidRDefault="00F21A5B" w:rsidP="00F21A5B">
      <w:pPr>
        <w:rPr>
          <w:rFonts w:ascii="Arial" w:hAnsi="Arial" w:cs="Arial"/>
        </w:rPr>
      </w:pPr>
      <w:r w:rsidRPr="00F21A5B">
        <w:rPr>
          <w:rFonts w:ascii="Arial" w:hAnsi="Arial" w:cs="Arial"/>
        </w:rPr>
        <w:t>Sainsbury is an organization with both financial and non-financial KPIs that it employs to track performance and inform its management. Key metrics include:</w:t>
      </w:r>
    </w:p>
    <w:p w14:paraId="6A9E1A54" w14:textId="77777777" w:rsidR="00A75980" w:rsidRPr="00F21A5B" w:rsidRDefault="00A75980" w:rsidP="00F21A5B">
      <w:pPr>
        <w:rPr>
          <w:rFonts w:ascii="Arial" w:hAnsi="Arial" w:cs="Arial"/>
        </w:rPr>
      </w:pPr>
    </w:p>
    <w:p w14:paraId="644A47F0" w14:textId="77777777" w:rsidR="00F21A5B" w:rsidRPr="00F21A5B" w:rsidRDefault="00F21A5B" w:rsidP="00A75980">
      <w:pPr>
        <w:jc w:val="center"/>
        <w:rPr>
          <w:rFonts w:ascii="Arial" w:hAnsi="Arial" w:cs="Arial"/>
          <w:b/>
          <w:bCs/>
        </w:rPr>
      </w:pPr>
      <w:r w:rsidRPr="00F21A5B">
        <w:rPr>
          <w:rFonts w:ascii="Arial" w:hAnsi="Arial" w:cs="Arial"/>
          <w:b/>
          <w:bCs/>
          <w:i/>
          <w:iCs/>
        </w:rPr>
        <w:t>Table 2 Key Performance Indicators (KPIs)</w:t>
      </w:r>
    </w:p>
    <w:tbl>
      <w:tblPr>
        <w:tblW w:w="0" w:type="auto"/>
        <w:jc w:val="center"/>
        <w:tblCellMar>
          <w:top w:w="15" w:type="dxa"/>
          <w:left w:w="15" w:type="dxa"/>
          <w:bottom w:w="15" w:type="dxa"/>
          <w:right w:w="15" w:type="dxa"/>
        </w:tblCellMar>
        <w:tblLook w:val="04A0" w:firstRow="1" w:lastRow="0" w:firstColumn="1" w:lastColumn="0" w:noHBand="0" w:noVBand="1"/>
      </w:tblPr>
      <w:tblGrid>
        <w:gridCol w:w="3396"/>
        <w:gridCol w:w="1246"/>
        <w:gridCol w:w="1246"/>
        <w:gridCol w:w="1246"/>
      </w:tblGrid>
      <w:tr w:rsidR="00F21A5B" w:rsidRPr="00F21A5B" w14:paraId="59C38B31"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0B6BA3A" w14:textId="77777777" w:rsidR="00F21A5B" w:rsidRPr="00F21A5B" w:rsidRDefault="00F21A5B" w:rsidP="00F21A5B">
            <w:pPr>
              <w:rPr>
                <w:rFonts w:ascii="Arial" w:hAnsi="Arial" w:cs="Arial"/>
              </w:rPr>
            </w:pPr>
            <w:r w:rsidRPr="00F21A5B">
              <w:rPr>
                <w:rFonts w:ascii="Arial" w:hAnsi="Arial" w:cs="Arial"/>
                <w:b/>
                <w:bCs/>
              </w:rPr>
              <w:t>KPI</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D12F619" w14:textId="77777777" w:rsidR="00F21A5B" w:rsidRPr="00F21A5B" w:rsidRDefault="00F21A5B" w:rsidP="00F21A5B">
            <w:pPr>
              <w:rPr>
                <w:rFonts w:ascii="Arial" w:hAnsi="Arial" w:cs="Arial"/>
              </w:rPr>
            </w:pPr>
            <w:r w:rsidRPr="00F21A5B">
              <w:rPr>
                <w:rFonts w:ascii="Arial" w:hAnsi="Arial" w:cs="Arial"/>
                <w:b/>
                <w:bCs/>
              </w:rPr>
              <w:t>2022 (£m)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B77EB4E" w14:textId="77777777" w:rsidR="00F21A5B" w:rsidRPr="00F21A5B" w:rsidRDefault="00F21A5B" w:rsidP="00F21A5B">
            <w:pPr>
              <w:rPr>
                <w:rFonts w:ascii="Arial" w:hAnsi="Arial" w:cs="Arial"/>
              </w:rPr>
            </w:pPr>
            <w:r w:rsidRPr="00F21A5B">
              <w:rPr>
                <w:rFonts w:ascii="Arial" w:hAnsi="Arial" w:cs="Arial"/>
                <w:b/>
                <w:bCs/>
              </w:rPr>
              <w:t>2023 (£m)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28B0173" w14:textId="77777777" w:rsidR="00F21A5B" w:rsidRPr="00F21A5B" w:rsidRDefault="00F21A5B" w:rsidP="00F21A5B">
            <w:pPr>
              <w:rPr>
                <w:rFonts w:ascii="Arial" w:hAnsi="Arial" w:cs="Arial"/>
              </w:rPr>
            </w:pPr>
            <w:r w:rsidRPr="00F21A5B">
              <w:rPr>
                <w:rFonts w:ascii="Arial" w:hAnsi="Arial" w:cs="Arial"/>
                <w:b/>
                <w:bCs/>
              </w:rPr>
              <w:t>2024 (£m)</w:t>
            </w:r>
          </w:p>
        </w:tc>
      </w:tr>
      <w:tr w:rsidR="00F21A5B" w:rsidRPr="00F21A5B" w14:paraId="4E83B7D2"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DBFBEBA" w14:textId="77777777" w:rsidR="00F21A5B" w:rsidRPr="00F21A5B" w:rsidRDefault="00F21A5B" w:rsidP="00F21A5B">
            <w:pPr>
              <w:rPr>
                <w:rFonts w:ascii="Arial" w:hAnsi="Arial" w:cs="Arial"/>
              </w:rPr>
            </w:pPr>
            <w:r w:rsidRPr="00F21A5B">
              <w:rPr>
                <w:rFonts w:ascii="Arial" w:hAnsi="Arial" w:cs="Arial"/>
                <w:b/>
                <w:bCs/>
              </w:rPr>
              <w:t>Gross Margin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004BCF1" w14:textId="77777777" w:rsidR="00F21A5B" w:rsidRPr="00F21A5B" w:rsidRDefault="00F21A5B" w:rsidP="00F21A5B">
            <w:pPr>
              <w:rPr>
                <w:rFonts w:ascii="Arial" w:hAnsi="Arial" w:cs="Arial"/>
              </w:rPr>
            </w:pPr>
            <w:r w:rsidRPr="00F21A5B">
              <w:rPr>
                <w:rFonts w:ascii="Arial" w:hAnsi="Arial" w:cs="Arial"/>
              </w:rPr>
              <w:t>6.36%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0D11515" w14:textId="77777777" w:rsidR="00F21A5B" w:rsidRPr="00F21A5B" w:rsidRDefault="00F21A5B" w:rsidP="00F21A5B">
            <w:pPr>
              <w:rPr>
                <w:rFonts w:ascii="Arial" w:hAnsi="Arial" w:cs="Arial"/>
              </w:rPr>
            </w:pPr>
            <w:r w:rsidRPr="00F21A5B">
              <w:rPr>
                <w:rFonts w:ascii="Arial" w:hAnsi="Arial" w:cs="Arial"/>
              </w:rPr>
              <w:t>6.48%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022B4EE" w14:textId="77777777" w:rsidR="00F21A5B" w:rsidRPr="00F21A5B" w:rsidRDefault="00F21A5B" w:rsidP="00F21A5B">
            <w:pPr>
              <w:rPr>
                <w:rFonts w:ascii="Arial" w:hAnsi="Arial" w:cs="Arial"/>
              </w:rPr>
            </w:pPr>
            <w:r w:rsidRPr="00F21A5B">
              <w:rPr>
                <w:rFonts w:ascii="Arial" w:hAnsi="Arial" w:cs="Arial"/>
              </w:rPr>
              <w:t>6.77%</w:t>
            </w:r>
          </w:p>
        </w:tc>
      </w:tr>
      <w:tr w:rsidR="00F21A5B" w:rsidRPr="00F21A5B" w14:paraId="5C347EA0"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E2FD752" w14:textId="77777777" w:rsidR="00F21A5B" w:rsidRPr="00F21A5B" w:rsidRDefault="00F21A5B" w:rsidP="00F21A5B">
            <w:pPr>
              <w:rPr>
                <w:rFonts w:ascii="Arial" w:hAnsi="Arial" w:cs="Arial"/>
              </w:rPr>
            </w:pPr>
            <w:r w:rsidRPr="00F21A5B">
              <w:rPr>
                <w:rFonts w:ascii="Arial" w:hAnsi="Arial" w:cs="Arial"/>
                <w:b/>
                <w:bCs/>
              </w:rPr>
              <w:t>Operating Profit Margin (OPM)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C643974" w14:textId="77777777" w:rsidR="00F21A5B" w:rsidRPr="00F21A5B" w:rsidRDefault="00F21A5B" w:rsidP="00F21A5B">
            <w:pPr>
              <w:rPr>
                <w:rFonts w:ascii="Arial" w:hAnsi="Arial" w:cs="Arial"/>
              </w:rPr>
            </w:pPr>
            <w:r w:rsidRPr="00F21A5B">
              <w:rPr>
                <w:rFonts w:ascii="Arial" w:hAnsi="Arial" w:cs="Arial"/>
              </w:rPr>
              <w:t>1.78%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BFD2116" w14:textId="77777777" w:rsidR="00F21A5B" w:rsidRPr="00F21A5B" w:rsidRDefault="00F21A5B" w:rsidP="00F21A5B">
            <w:pPr>
              <w:rPr>
                <w:rFonts w:ascii="Arial" w:hAnsi="Arial" w:cs="Arial"/>
              </w:rPr>
            </w:pPr>
            <w:r w:rsidRPr="00F21A5B">
              <w:rPr>
                <w:rFonts w:ascii="Arial" w:hAnsi="Arial" w:cs="Arial"/>
              </w:rPr>
              <w:t>2.51%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8EB0BE8" w14:textId="77777777" w:rsidR="00F21A5B" w:rsidRPr="00F21A5B" w:rsidRDefault="00F21A5B" w:rsidP="00F21A5B">
            <w:pPr>
              <w:rPr>
                <w:rFonts w:ascii="Arial" w:hAnsi="Arial" w:cs="Arial"/>
              </w:rPr>
            </w:pPr>
            <w:r w:rsidRPr="00F21A5B">
              <w:rPr>
                <w:rFonts w:ascii="Arial" w:hAnsi="Arial" w:cs="Arial"/>
              </w:rPr>
              <w:t>2.90%</w:t>
            </w:r>
          </w:p>
        </w:tc>
      </w:tr>
      <w:tr w:rsidR="00F21A5B" w:rsidRPr="00F21A5B" w14:paraId="6CF1CFC8" w14:textId="77777777" w:rsidTr="00A7598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4EA9491" w14:textId="77777777" w:rsidR="00F21A5B" w:rsidRPr="00F21A5B" w:rsidRDefault="00F21A5B" w:rsidP="00F21A5B">
            <w:pPr>
              <w:rPr>
                <w:rFonts w:ascii="Arial" w:hAnsi="Arial" w:cs="Arial"/>
              </w:rPr>
            </w:pPr>
            <w:r w:rsidRPr="00F21A5B">
              <w:rPr>
                <w:rFonts w:ascii="Arial" w:hAnsi="Arial" w:cs="Arial"/>
                <w:b/>
                <w:bCs/>
              </w:rPr>
              <w:t>Cost-to-Sales Ratio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65273B7" w14:textId="77777777" w:rsidR="00F21A5B" w:rsidRPr="00F21A5B" w:rsidRDefault="00F21A5B" w:rsidP="00F21A5B">
            <w:pPr>
              <w:rPr>
                <w:rFonts w:ascii="Arial" w:hAnsi="Arial" w:cs="Arial"/>
              </w:rPr>
            </w:pPr>
            <w:r w:rsidRPr="00F21A5B">
              <w:rPr>
                <w:rFonts w:ascii="Arial" w:hAnsi="Arial" w:cs="Arial"/>
              </w:rPr>
              <w:t>98.22%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42E02AD" w14:textId="77777777" w:rsidR="00F21A5B" w:rsidRPr="00F21A5B" w:rsidRDefault="00F21A5B" w:rsidP="00F21A5B">
            <w:pPr>
              <w:rPr>
                <w:rFonts w:ascii="Arial" w:hAnsi="Arial" w:cs="Arial"/>
              </w:rPr>
            </w:pPr>
            <w:r w:rsidRPr="00F21A5B">
              <w:rPr>
                <w:rFonts w:ascii="Arial" w:hAnsi="Arial" w:cs="Arial"/>
              </w:rPr>
              <w:t>97.49%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429A6D4" w14:textId="77777777" w:rsidR="00F21A5B" w:rsidRPr="00F21A5B" w:rsidRDefault="00F21A5B" w:rsidP="00F21A5B">
            <w:pPr>
              <w:rPr>
                <w:rFonts w:ascii="Arial" w:hAnsi="Arial" w:cs="Arial"/>
              </w:rPr>
            </w:pPr>
            <w:r w:rsidRPr="00F21A5B">
              <w:rPr>
                <w:rFonts w:ascii="Arial" w:hAnsi="Arial" w:cs="Arial"/>
              </w:rPr>
              <w:t>97.10%</w:t>
            </w:r>
          </w:p>
        </w:tc>
      </w:tr>
    </w:tbl>
    <w:p w14:paraId="13BD1169" w14:textId="4E64E593" w:rsidR="00F21A5B" w:rsidRPr="00F21A5B" w:rsidRDefault="00F21A5B" w:rsidP="00F21A5B">
      <w:pPr>
        <w:rPr>
          <w:rFonts w:ascii="Arial" w:hAnsi="Arial" w:cs="Arial"/>
        </w:rPr>
      </w:pPr>
    </w:p>
    <w:p w14:paraId="5751B665" w14:textId="77777777" w:rsidR="00F21A5B" w:rsidRPr="00F21A5B" w:rsidRDefault="00F21A5B" w:rsidP="00F21A5B">
      <w:pPr>
        <w:numPr>
          <w:ilvl w:val="0"/>
          <w:numId w:val="1"/>
        </w:numPr>
        <w:rPr>
          <w:rFonts w:ascii="Arial" w:hAnsi="Arial" w:cs="Arial"/>
        </w:rPr>
      </w:pPr>
      <w:r w:rsidRPr="00F21A5B">
        <w:rPr>
          <w:rFonts w:ascii="Arial" w:hAnsi="Arial" w:cs="Arial"/>
        </w:rPr>
        <w:t>Gross Margin -shows the profitability of the core retail operations (CFI Team, 2025). In 2024, Sainsbury gross profit amounted to 2,221m on a turnover of 32,812m and this gross margin has increased to 6.77 against 6.48 in 2023. This measure would assist the management to consider the pricing policies and supplier cost-effectiveness.</w:t>
      </w:r>
    </w:p>
    <w:p w14:paraId="74CF24F1" w14:textId="77777777" w:rsidR="00F21A5B" w:rsidRPr="00F21A5B" w:rsidRDefault="00F21A5B" w:rsidP="00F21A5B">
      <w:pPr>
        <w:numPr>
          <w:ilvl w:val="0"/>
          <w:numId w:val="1"/>
        </w:numPr>
        <w:rPr>
          <w:rFonts w:ascii="Arial" w:hAnsi="Arial" w:cs="Arial"/>
        </w:rPr>
      </w:pPr>
      <w:r w:rsidRPr="00F21A5B">
        <w:rPr>
          <w:rFonts w:ascii="Arial" w:hAnsi="Arial" w:cs="Arial"/>
        </w:rPr>
        <w:t>Operation Profit Margin (OPM) - Operating income/revenue is a percentage that represents efficiency in operation (CFI, 2024). The 2024 operating income stood at £951m with an OPM of 2.90, which compares to 2.51 in 2023. This informs the cost and investment decisions.</w:t>
      </w:r>
    </w:p>
    <w:p w14:paraId="49C9331A" w14:textId="77777777" w:rsidR="00F21A5B" w:rsidRPr="00F21A5B" w:rsidRDefault="00F21A5B" w:rsidP="00F21A5B">
      <w:pPr>
        <w:numPr>
          <w:ilvl w:val="0"/>
          <w:numId w:val="1"/>
        </w:numPr>
        <w:rPr>
          <w:rFonts w:ascii="Arial" w:hAnsi="Arial" w:cs="Arial"/>
        </w:rPr>
      </w:pPr>
      <w:r w:rsidRPr="00F21A5B">
        <w:rPr>
          <w:rFonts w:ascii="Arial" w:hAnsi="Arial" w:cs="Arial"/>
        </w:rPr>
        <w:t>Cost-to-Sales Ratio - This is the ratio between total costs and revenue which shows the effectiveness of cost management (CFI Team, 2021). In 2024, the total cost in relation to revenue is 31,861m versus 32,812m, which implies a cost-to-sales ratio of 97.11, which supports the argument that the Sainsbury business model is a high-volume, low-margin company.</w:t>
      </w:r>
    </w:p>
    <w:p w14:paraId="46BA4888" w14:textId="77777777" w:rsidR="00F21A5B" w:rsidRPr="00F21A5B" w:rsidRDefault="00F21A5B" w:rsidP="00F21A5B">
      <w:pPr>
        <w:numPr>
          <w:ilvl w:val="0"/>
          <w:numId w:val="1"/>
        </w:numPr>
        <w:rPr>
          <w:rFonts w:ascii="Arial" w:hAnsi="Arial" w:cs="Arial"/>
        </w:rPr>
      </w:pPr>
      <w:r w:rsidRPr="00F21A5B">
        <w:rPr>
          <w:rFonts w:ascii="Arial" w:hAnsi="Arial" w:cs="Arial"/>
        </w:rPr>
        <w:t>Greenhouse Gas Emissions Reduction - Sainsbury reports absolute Scope 1 and 2 greenhouse gas emissions of 52.8% decreased over its 2018/19 baseline, which reflects achievement towards its sustainability goals and net-zero commitment (Sainsbury Plc, 2025). The parameter indicates the efficiency of operations in terms of energy consumption and mitigation of climatic effects.</w:t>
      </w:r>
    </w:p>
    <w:p w14:paraId="737D6C4F" w14:textId="77777777" w:rsidR="00F21A5B" w:rsidRDefault="00F21A5B" w:rsidP="00F21A5B">
      <w:pPr>
        <w:numPr>
          <w:ilvl w:val="0"/>
          <w:numId w:val="1"/>
        </w:numPr>
        <w:rPr>
          <w:rFonts w:ascii="Arial" w:hAnsi="Arial" w:cs="Arial"/>
        </w:rPr>
      </w:pPr>
      <w:r w:rsidRPr="00F21A5B">
        <w:rPr>
          <w:rFonts w:ascii="Arial" w:hAnsi="Arial" w:cs="Arial"/>
        </w:rPr>
        <w:t>Community &amp; Social Impact- The company contributed to charity through giving gifts to good causes amounting to 33.8 million in 2024/25, which demonstrates its social responsibility performance and its involvement in community activities that do not correlate to the financial performance (Sainsbury, 2025).</w:t>
      </w:r>
    </w:p>
    <w:p w14:paraId="0CE03EA0" w14:textId="77777777" w:rsidR="00A75980" w:rsidRPr="00F21A5B" w:rsidRDefault="00A75980" w:rsidP="00A75980">
      <w:pPr>
        <w:ind w:left="720"/>
        <w:rPr>
          <w:rFonts w:ascii="Arial" w:hAnsi="Arial" w:cs="Arial"/>
        </w:rPr>
      </w:pPr>
    </w:p>
    <w:p w14:paraId="2DB109E9" w14:textId="77777777" w:rsidR="00F21A5B" w:rsidRPr="00F21A5B" w:rsidRDefault="00F21A5B" w:rsidP="00F21A5B">
      <w:pPr>
        <w:rPr>
          <w:rFonts w:ascii="Arial" w:hAnsi="Arial" w:cs="Arial"/>
        </w:rPr>
      </w:pPr>
      <w:r w:rsidRPr="00F21A5B">
        <w:rPr>
          <w:rFonts w:ascii="Arial" w:hAnsi="Arial" w:cs="Arial"/>
        </w:rPr>
        <w:t>These KPIs give a balanced perspective of operational and strategic performance that the management can use to monitor efficiency, profitability and market position.</w:t>
      </w:r>
    </w:p>
    <w:p w14:paraId="7BD6092E" w14:textId="77777777" w:rsidR="00F21A5B" w:rsidRPr="00F21A5B" w:rsidRDefault="00F21A5B" w:rsidP="00F21A5B">
      <w:pPr>
        <w:rPr>
          <w:rFonts w:ascii="Arial" w:hAnsi="Arial" w:cs="Arial"/>
        </w:rPr>
      </w:pPr>
    </w:p>
    <w:p w14:paraId="5D2B2C3C" w14:textId="77777777" w:rsidR="00F21A5B" w:rsidRPr="00F21A5B" w:rsidRDefault="00F21A5B" w:rsidP="00F21A5B">
      <w:pPr>
        <w:pStyle w:val="Heading2"/>
        <w:rPr>
          <w:color w:val="auto"/>
        </w:rPr>
      </w:pPr>
      <w:bookmarkStart w:id="9" w:name="_Toc222867693"/>
      <w:r w:rsidRPr="00F21A5B">
        <w:rPr>
          <w:color w:val="auto"/>
        </w:rPr>
        <w:lastRenderedPageBreak/>
        <w:t>4.2 Strategic Decisions Based on Performance Data</w:t>
      </w:r>
      <w:bookmarkEnd w:id="9"/>
    </w:p>
    <w:p w14:paraId="5C4CE3D2" w14:textId="77777777" w:rsidR="00F21A5B" w:rsidRPr="00F21A5B" w:rsidRDefault="00F21A5B" w:rsidP="00F21A5B">
      <w:pPr>
        <w:rPr>
          <w:rFonts w:ascii="Arial" w:hAnsi="Arial" w:cs="Arial"/>
        </w:rPr>
      </w:pPr>
      <w:r w:rsidRPr="00F21A5B">
        <w:rPr>
          <w:rFonts w:ascii="Arial" w:hAnsi="Arial" w:cs="Arial"/>
        </w:rPr>
        <w:tab/>
        <w:t>Sainsbury is an organization that uses financial and non-financial performance data to make certain strategic decisions. The firm has announced layoffs of more than 3,000, including senior management positions by 20 percent, in a bid to enhance cost efficiency and streamline operations in response to increased operating costs and a difficult macroeconomic environment (Jordan and Simpson, 2025). Information on store performance and profitability informed the decision to shut 61 Sainsbury Cafes and all the remaining patisserie, hot food and pizza counters and concentrate on those stores performing well (Butler, 2025). Automation and digital fulfilment projects being driven by inventory turnover and sales KPIs optimized the stock replenishment process and minimized the dependency on labour (Hubner and Kuhn, 2024). Sustainability investments were based on environmental performance measurements, such as energy efficient stores and low greenhouse gas emissions (Sainsbury Plc, 2025). Such decisions demonstrate the use of data-driven strategy of workforce management, operational effectiveness, and competitiveness over the long-term in a low-margin retail market.</w:t>
      </w:r>
    </w:p>
    <w:p w14:paraId="0CCCC9F5" w14:textId="77777777" w:rsidR="00F21A5B" w:rsidRPr="00F21A5B" w:rsidRDefault="00F21A5B" w:rsidP="00F21A5B">
      <w:pPr>
        <w:rPr>
          <w:rFonts w:ascii="Arial" w:hAnsi="Arial" w:cs="Arial"/>
          <w:b/>
          <w:bCs/>
        </w:rPr>
      </w:pPr>
    </w:p>
    <w:p w14:paraId="276C673D" w14:textId="77777777" w:rsidR="00F21A5B" w:rsidRPr="00F21A5B" w:rsidRDefault="00F21A5B" w:rsidP="00F21A5B">
      <w:pPr>
        <w:pStyle w:val="Heading1"/>
        <w:rPr>
          <w:b/>
          <w:bCs/>
          <w:color w:val="auto"/>
        </w:rPr>
      </w:pPr>
      <w:bookmarkStart w:id="10" w:name="_Toc222867694"/>
      <w:r w:rsidRPr="00F21A5B">
        <w:rPr>
          <w:b/>
          <w:bCs/>
          <w:color w:val="auto"/>
        </w:rPr>
        <w:t>5. Sustainability and Ethical Considerations</w:t>
      </w:r>
      <w:bookmarkEnd w:id="10"/>
    </w:p>
    <w:p w14:paraId="04C16196" w14:textId="77777777" w:rsidR="00F21A5B" w:rsidRPr="00F21A5B" w:rsidRDefault="00F21A5B" w:rsidP="00F21A5B">
      <w:pPr>
        <w:pStyle w:val="Heading2"/>
        <w:rPr>
          <w:color w:val="auto"/>
        </w:rPr>
      </w:pPr>
      <w:bookmarkStart w:id="11" w:name="_Toc222867695"/>
      <w:r w:rsidRPr="00F21A5B">
        <w:rPr>
          <w:color w:val="auto"/>
        </w:rPr>
        <w:t>5.1 Sustainability in Financial Decision-Making</w:t>
      </w:r>
      <w:bookmarkEnd w:id="11"/>
    </w:p>
    <w:p w14:paraId="4632DF90" w14:textId="28B780F7" w:rsidR="00A75980" w:rsidRPr="00F21A5B" w:rsidRDefault="00F21A5B" w:rsidP="00F21A5B">
      <w:pPr>
        <w:rPr>
          <w:rFonts w:ascii="Arial" w:hAnsi="Arial" w:cs="Arial"/>
        </w:rPr>
      </w:pPr>
      <w:r w:rsidRPr="00F21A5B">
        <w:rPr>
          <w:rFonts w:ascii="Arial" w:hAnsi="Arial" w:cs="Arial"/>
        </w:rPr>
        <w:t>The concept of sustainability in financial planning and management accounting is incorporated in Sainsbury in order to make long-term efficiency and environmental responsibility. The company has taken up goals of cutting down greenhouse gas (GHG) emissions through the verifiable targets of Science Based Targets initiative (SBTi). Its goals are 68 percent decrease in Scope 1 and 2 emissions by 2030, 50.4 percent decrease in operational emissions and first time 36.4 percent decrease in Scope 3 forest, land and Agriculture emissions by 2030 (Downes, 2024). Sainsbury aspires to be net zero in its operations by 2035 and value chain by 2050 (McMillan, 2024).</w:t>
      </w:r>
    </w:p>
    <w:p w14:paraId="4C794487" w14:textId="77777777" w:rsidR="00F21A5B" w:rsidRPr="00F21A5B" w:rsidRDefault="00F21A5B" w:rsidP="00F21A5B">
      <w:pPr>
        <w:rPr>
          <w:rFonts w:ascii="Arial" w:hAnsi="Arial" w:cs="Arial"/>
        </w:rPr>
      </w:pPr>
      <w:r w:rsidRPr="00F21A5B">
        <w:rPr>
          <w:rFonts w:ascii="Arial" w:hAnsi="Arial" w:cs="Arial"/>
        </w:rPr>
        <w:t>In order to achieve these goals, Sainsbury has invested in energy efficient shops, LED lighting, 100% renewable electricity and low-carbon refrigeration systems (Downes, 2024). Although these initiatives need initial capital, they were included in capital expenditure plans and cash flow projections to enable the management to compare the cost savings benefits of the long-term objectives against the short-term spending. Budgeting is also useful in ensuring the company is using its resources effectively in the pursuit of sustainability efforts, minimizing wastage, making their supply chain more effective, and building stronger brand recognition, without compromising profitability (Oteri et al., 2023).</w:t>
      </w:r>
    </w:p>
    <w:p w14:paraId="6346BE2A" w14:textId="77777777" w:rsidR="00F21A5B" w:rsidRPr="00F21A5B" w:rsidRDefault="00F21A5B" w:rsidP="00F21A5B">
      <w:pPr>
        <w:pStyle w:val="Heading2"/>
      </w:pPr>
    </w:p>
    <w:p w14:paraId="2BFA4A45" w14:textId="77777777" w:rsidR="00F21A5B" w:rsidRPr="00A75980" w:rsidRDefault="00F21A5B" w:rsidP="00F21A5B">
      <w:pPr>
        <w:pStyle w:val="Heading2"/>
        <w:rPr>
          <w:color w:val="auto"/>
        </w:rPr>
      </w:pPr>
      <w:bookmarkStart w:id="12" w:name="_Toc222867696"/>
      <w:r w:rsidRPr="00A75980">
        <w:rPr>
          <w:color w:val="auto"/>
        </w:rPr>
        <w:t>5.2 Ethical Considerations</w:t>
      </w:r>
      <w:bookmarkEnd w:id="12"/>
    </w:p>
    <w:p w14:paraId="3BFFF9F4" w14:textId="77777777" w:rsidR="00F21A5B" w:rsidRPr="00F21A5B" w:rsidRDefault="00F21A5B" w:rsidP="00F21A5B">
      <w:pPr>
        <w:rPr>
          <w:rFonts w:ascii="Arial" w:hAnsi="Arial" w:cs="Arial"/>
        </w:rPr>
      </w:pPr>
      <w:r w:rsidRPr="00F21A5B">
        <w:rPr>
          <w:rFonts w:ascii="Arial" w:hAnsi="Arial" w:cs="Arial"/>
        </w:rPr>
        <w:t>The idea of ethics is well incorporated in the cost management and pricing strategies of Sainsbury. The company maintains reasonable prices of suppliers to uphold ethical trading coupled with profitability (Jones and Comfort, 2021). Employees, working conditions, and labour management are well handled to meet the legal requirements and corporate social responsibilities.</w:t>
      </w:r>
    </w:p>
    <w:p w14:paraId="6624EB04" w14:textId="77777777" w:rsidR="00F21A5B" w:rsidRPr="00F21A5B" w:rsidRDefault="00F21A5B" w:rsidP="00F21A5B">
      <w:pPr>
        <w:rPr>
          <w:rFonts w:ascii="Arial" w:hAnsi="Arial" w:cs="Arial"/>
        </w:rPr>
      </w:pPr>
      <w:r w:rsidRPr="00F21A5B">
        <w:rPr>
          <w:rFonts w:ascii="Arial" w:hAnsi="Arial" w:cs="Arial"/>
        </w:rPr>
        <w:lastRenderedPageBreak/>
        <w:t>The pricing policies are set to be affordable to the consumer, particularly when there are cost-of-living crises (Smith and Goodman, 2023). When operating costs and cost-to-sales ratios are monitored Sainsbury can be able to use socially responsible prices without reducing the margins. This indicates that ethical decision making has been integrated in both the strategic and operational planning process thus allowing it to strike a balance between profitability and the social and environmental responsibility.</w:t>
      </w:r>
    </w:p>
    <w:p w14:paraId="3158EF71" w14:textId="77777777" w:rsidR="00F21A5B" w:rsidRPr="00F21A5B" w:rsidRDefault="00F21A5B" w:rsidP="00F21A5B">
      <w:pPr>
        <w:rPr>
          <w:rFonts w:ascii="Arial" w:hAnsi="Arial" w:cs="Arial"/>
        </w:rPr>
      </w:pPr>
    </w:p>
    <w:p w14:paraId="3BE6869C" w14:textId="77777777" w:rsidR="00F21A5B" w:rsidRPr="00F21A5B" w:rsidRDefault="00F21A5B" w:rsidP="00F21A5B">
      <w:pPr>
        <w:pStyle w:val="Heading1"/>
        <w:rPr>
          <w:b/>
          <w:bCs/>
          <w:color w:val="auto"/>
        </w:rPr>
      </w:pPr>
      <w:bookmarkStart w:id="13" w:name="_Toc222867697"/>
      <w:r w:rsidRPr="00F21A5B">
        <w:rPr>
          <w:b/>
          <w:bCs/>
          <w:color w:val="auto"/>
        </w:rPr>
        <w:t>6. Conclusion and Recommendations</w:t>
      </w:r>
      <w:bookmarkEnd w:id="13"/>
    </w:p>
    <w:p w14:paraId="15C6F03B" w14:textId="415D5644" w:rsidR="00F21A5B" w:rsidRPr="00F21A5B" w:rsidRDefault="00F21A5B" w:rsidP="00F21A5B">
      <w:pPr>
        <w:rPr>
          <w:rFonts w:ascii="Arial" w:hAnsi="Arial" w:cs="Arial"/>
        </w:rPr>
      </w:pPr>
      <w:r w:rsidRPr="00F21A5B">
        <w:rPr>
          <w:rFonts w:ascii="Arial" w:hAnsi="Arial" w:cs="Arial"/>
        </w:rPr>
        <w:tab/>
        <w:t xml:space="preserve">The report has shown that management accounting tools are important in aiding financial decision-making at J Sainsbury plc in a highly competitive, low-margin retail sector environment. The cost control, resource allocation, and strategic planning are possible with the help of cost analysis, budgeting and performance measurement. KPIs including gross margin, operating profit margin, and ROCE can be used to indicate that the efficiency and use of capital changed </w:t>
      </w:r>
      <w:r w:rsidR="00A75980" w:rsidRPr="00F21A5B">
        <w:rPr>
          <w:rFonts w:ascii="Arial" w:hAnsi="Arial" w:cs="Arial"/>
        </w:rPr>
        <w:t>favourably</w:t>
      </w:r>
      <w:r w:rsidRPr="00F21A5B">
        <w:rPr>
          <w:rFonts w:ascii="Arial" w:hAnsi="Arial" w:cs="Arial"/>
        </w:rPr>
        <w:t>.</w:t>
      </w:r>
    </w:p>
    <w:p w14:paraId="0BFACDF2" w14:textId="77777777" w:rsidR="00F21A5B" w:rsidRPr="00F21A5B" w:rsidRDefault="00F21A5B" w:rsidP="00F21A5B">
      <w:pPr>
        <w:rPr>
          <w:rFonts w:ascii="Arial" w:hAnsi="Arial" w:cs="Arial"/>
        </w:rPr>
      </w:pPr>
      <w:r w:rsidRPr="00F21A5B">
        <w:rPr>
          <w:rFonts w:ascii="Arial" w:hAnsi="Arial" w:cs="Arial"/>
        </w:rPr>
        <w:t>It is suggested that Sainsbury should further enhance flexible budgeting, increase the data-based cost optimisation, and keep investing in digitalisation and sustainability efforts. These will result in better long-term profitability, resilience, and ethical performance at competitive prices.</w:t>
      </w:r>
    </w:p>
    <w:p w14:paraId="2FBB6D78" w14:textId="77777777" w:rsidR="00F21A5B" w:rsidRDefault="00F21A5B" w:rsidP="00F21A5B">
      <w:pPr>
        <w:rPr>
          <w:rFonts w:ascii="Arial" w:hAnsi="Arial" w:cs="Arial"/>
        </w:rPr>
      </w:pPr>
    </w:p>
    <w:p w14:paraId="103431E6" w14:textId="77777777" w:rsidR="00A75980" w:rsidRDefault="00A75980" w:rsidP="00F21A5B">
      <w:pPr>
        <w:rPr>
          <w:rFonts w:ascii="Arial" w:hAnsi="Arial" w:cs="Arial"/>
        </w:rPr>
      </w:pPr>
    </w:p>
    <w:p w14:paraId="1A6B51C4" w14:textId="77777777" w:rsidR="00A75980" w:rsidRDefault="00A75980" w:rsidP="00F21A5B">
      <w:pPr>
        <w:rPr>
          <w:rFonts w:ascii="Arial" w:hAnsi="Arial" w:cs="Arial"/>
        </w:rPr>
      </w:pPr>
    </w:p>
    <w:p w14:paraId="2443FAA7" w14:textId="77777777" w:rsidR="00A75980" w:rsidRDefault="00A75980" w:rsidP="00F21A5B">
      <w:pPr>
        <w:rPr>
          <w:rFonts w:ascii="Arial" w:hAnsi="Arial" w:cs="Arial"/>
        </w:rPr>
      </w:pPr>
    </w:p>
    <w:p w14:paraId="574FCCDC" w14:textId="77777777" w:rsidR="00A75980" w:rsidRDefault="00A75980" w:rsidP="00F21A5B">
      <w:pPr>
        <w:rPr>
          <w:rFonts w:ascii="Arial" w:hAnsi="Arial" w:cs="Arial"/>
        </w:rPr>
      </w:pPr>
    </w:p>
    <w:p w14:paraId="22BEF052" w14:textId="77777777" w:rsidR="00A75980" w:rsidRDefault="00A75980" w:rsidP="00F21A5B">
      <w:pPr>
        <w:rPr>
          <w:rFonts w:ascii="Arial" w:hAnsi="Arial" w:cs="Arial"/>
        </w:rPr>
      </w:pPr>
    </w:p>
    <w:p w14:paraId="596EACE0" w14:textId="77777777" w:rsidR="00A75980" w:rsidRDefault="00A75980" w:rsidP="00F21A5B">
      <w:pPr>
        <w:rPr>
          <w:rFonts w:ascii="Arial" w:hAnsi="Arial" w:cs="Arial"/>
        </w:rPr>
      </w:pPr>
    </w:p>
    <w:p w14:paraId="798FD446" w14:textId="77777777" w:rsidR="00A75980" w:rsidRDefault="00A75980" w:rsidP="00F21A5B">
      <w:pPr>
        <w:rPr>
          <w:rFonts w:ascii="Arial" w:hAnsi="Arial" w:cs="Arial"/>
        </w:rPr>
      </w:pPr>
    </w:p>
    <w:p w14:paraId="496E7C28" w14:textId="77777777" w:rsidR="00A75980" w:rsidRDefault="00A75980" w:rsidP="00F21A5B">
      <w:pPr>
        <w:rPr>
          <w:rFonts w:ascii="Arial" w:hAnsi="Arial" w:cs="Arial"/>
        </w:rPr>
      </w:pPr>
    </w:p>
    <w:p w14:paraId="5EC2A664" w14:textId="77777777" w:rsidR="00A75980" w:rsidRDefault="00A75980" w:rsidP="00F21A5B">
      <w:pPr>
        <w:rPr>
          <w:rFonts w:ascii="Arial" w:hAnsi="Arial" w:cs="Arial"/>
        </w:rPr>
      </w:pPr>
    </w:p>
    <w:p w14:paraId="5918978B" w14:textId="77777777" w:rsidR="00A75980" w:rsidRDefault="00A75980" w:rsidP="00F21A5B">
      <w:pPr>
        <w:rPr>
          <w:rFonts w:ascii="Arial" w:hAnsi="Arial" w:cs="Arial"/>
        </w:rPr>
      </w:pPr>
    </w:p>
    <w:p w14:paraId="59186A6D" w14:textId="77777777" w:rsidR="00A75980" w:rsidRDefault="00A75980" w:rsidP="00F21A5B">
      <w:pPr>
        <w:rPr>
          <w:rFonts w:ascii="Arial" w:hAnsi="Arial" w:cs="Arial"/>
        </w:rPr>
      </w:pPr>
    </w:p>
    <w:p w14:paraId="43DD41BF" w14:textId="77777777" w:rsidR="00A75980" w:rsidRDefault="00A75980" w:rsidP="00F21A5B">
      <w:pPr>
        <w:rPr>
          <w:rFonts w:ascii="Arial" w:hAnsi="Arial" w:cs="Arial"/>
        </w:rPr>
      </w:pPr>
    </w:p>
    <w:p w14:paraId="3C8CF42C" w14:textId="77777777" w:rsidR="00A75980" w:rsidRDefault="00A75980" w:rsidP="00F21A5B">
      <w:pPr>
        <w:rPr>
          <w:rFonts w:ascii="Arial" w:hAnsi="Arial" w:cs="Arial"/>
        </w:rPr>
      </w:pPr>
    </w:p>
    <w:p w14:paraId="3424FD50" w14:textId="77777777" w:rsidR="00A75980" w:rsidRPr="00F21A5B" w:rsidRDefault="00A75980" w:rsidP="00F21A5B">
      <w:pPr>
        <w:rPr>
          <w:rFonts w:ascii="Arial" w:hAnsi="Arial" w:cs="Arial"/>
        </w:rPr>
      </w:pPr>
    </w:p>
    <w:p w14:paraId="4463630B" w14:textId="77777777" w:rsidR="00F21A5B" w:rsidRPr="00F21A5B" w:rsidRDefault="00F21A5B" w:rsidP="00F21A5B">
      <w:pPr>
        <w:pStyle w:val="Heading1"/>
        <w:rPr>
          <w:b/>
          <w:bCs/>
          <w:color w:val="auto"/>
        </w:rPr>
      </w:pPr>
      <w:bookmarkStart w:id="14" w:name="_Toc222867698"/>
      <w:r w:rsidRPr="00F21A5B">
        <w:rPr>
          <w:b/>
          <w:bCs/>
          <w:color w:val="auto"/>
        </w:rPr>
        <w:lastRenderedPageBreak/>
        <w:t>References</w:t>
      </w:r>
      <w:bookmarkEnd w:id="14"/>
    </w:p>
    <w:p w14:paraId="33DB7DA8" w14:textId="77777777" w:rsidR="00F21A5B" w:rsidRPr="00F21A5B" w:rsidRDefault="00F21A5B" w:rsidP="00F21A5B">
      <w:pPr>
        <w:rPr>
          <w:rFonts w:ascii="Arial" w:hAnsi="Arial" w:cs="Arial"/>
        </w:rPr>
      </w:pPr>
      <w:r w:rsidRPr="00F21A5B">
        <w:rPr>
          <w:rFonts w:ascii="Arial" w:hAnsi="Arial" w:cs="Arial"/>
        </w:rPr>
        <w:t>Maemunah, M. and Rismayadi, B., 2024. Analysis Of The Role Of Management Accounting In Company Cost Control. </w:t>
      </w:r>
      <w:r w:rsidRPr="00F21A5B">
        <w:rPr>
          <w:rFonts w:ascii="Arial" w:hAnsi="Arial" w:cs="Arial"/>
          <w:i/>
          <w:iCs/>
        </w:rPr>
        <w:t>Jurnal Ekonomi</w:t>
      </w:r>
      <w:r w:rsidRPr="00F21A5B">
        <w:rPr>
          <w:rFonts w:ascii="Arial" w:hAnsi="Arial" w:cs="Arial"/>
        </w:rPr>
        <w:t>, </w:t>
      </w:r>
      <w:r w:rsidRPr="00F21A5B">
        <w:rPr>
          <w:rFonts w:ascii="Arial" w:hAnsi="Arial" w:cs="Arial"/>
          <w:i/>
          <w:iCs/>
        </w:rPr>
        <w:t>13</w:t>
      </w:r>
      <w:r w:rsidRPr="00F21A5B">
        <w:rPr>
          <w:rFonts w:ascii="Arial" w:hAnsi="Arial" w:cs="Arial"/>
        </w:rPr>
        <w:t xml:space="preserve">(04), pp.112-123. </w:t>
      </w:r>
      <w:hyperlink r:id="rId7" w:history="1">
        <w:r w:rsidRPr="00F21A5B">
          <w:rPr>
            <w:rStyle w:val="Hyperlink"/>
            <w:rFonts w:ascii="Arial" w:hAnsi="Arial" w:cs="Arial"/>
          </w:rPr>
          <w:t>https://ejournal.seaninstitute.or.id/index.php/Ekonomi</w:t>
        </w:r>
      </w:hyperlink>
    </w:p>
    <w:p w14:paraId="067055A6" w14:textId="77777777" w:rsidR="00F21A5B" w:rsidRPr="00F21A5B" w:rsidRDefault="00F21A5B" w:rsidP="00F21A5B">
      <w:pPr>
        <w:rPr>
          <w:rFonts w:ascii="Arial" w:hAnsi="Arial" w:cs="Arial"/>
        </w:rPr>
      </w:pPr>
      <w:r w:rsidRPr="00F21A5B">
        <w:rPr>
          <w:rFonts w:ascii="Arial" w:hAnsi="Arial" w:cs="Arial"/>
        </w:rPr>
        <w:t>Ebiware, O.G. and Kareem, T.J., 2024. THE ROLE OF COST-VOLUME-PROFIT ANALYSIS IN EFFECTIVE BUSINESS PLANNING: USES AND CONSTRAINTS. </w:t>
      </w:r>
      <w:r w:rsidRPr="00F21A5B">
        <w:rPr>
          <w:rFonts w:ascii="Arial" w:hAnsi="Arial" w:cs="Arial"/>
          <w:i/>
          <w:iCs/>
        </w:rPr>
        <w:t>Public Policy and Administration International Journal</w:t>
      </w:r>
      <w:r w:rsidRPr="00F21A5B">
        <w:rPr>
          <w:rFonts w:ascii="Arial" w:hAnsi="Arial" w:cs="Arial"/>
        </w:rPr>
        <w:t>, </w:t>
      </w:r>
      <w:r w:rsidRPr="00F21A5B">
        <w:rPr>
          <w:rFonts w:ascii="Arial" w:hAnsi="Arial" w:cs="Arial"/>
          <w:i/>
          <w:iCs/>
        </w:rPr>
        <w:t>12</w:t>
      </w:r>
      <w:r w:rsidRPr="00F21A5B">
        <w:rPr>
          <w:rFonts w:ascii="Arial" w:hAnsi="Arial" w:cs="Arial"/>
        </w:rPr>
        <w:t xml:space="preserve">(4), pp.1-9. DOI: </w:t>
      </w:r>
      <w:hyperlink r:id="rId8" w:history="1">
        <w:r w:rsidRPr="00F21A5B">
          <w:rPr>
            <w:rStyle w:val="Hyperlink"/>
            <w:rFonts w:ascii="Arial" w:hAnsi="Arial" w:cs="Arial"/>
          </w:rPr>
          <w:t>https://doi.org/10.5281/zenodo.17413653</w:t>
        </w:r>
      </w:hyperlink>
    </w:p>
    <w:p w14:paraId="1E927CF3" w14:textId="77777777" w:rsidR="00F21A5B" w:rsidRPr="00F21A5B" w:rsidRDefault="00F21A5B" w:rsidP="00F21A5B">
      <w:pPr>
        <w:rPr>
          <w:rFonts w:ascii="Arial" w:hAnsi="Arial" w:cs="Arial"/>
        </w:rPr>
      </w:pPr>
      <w:r w:rsidRPr="00F21A5B">
        <w:rPr>
          <w:rFonts w:ascii="Arial" w:hAnsi="Arial" w:cs="Arial"/>
        </w:rPr>
        <w:t>Hübner, A. and Kuhn, H., 2024. Decision support for managing assortments, shelf space, and replenishment in retail. </w:t>
      </w:r>
      <w:r w:rsidRPr="00F21A5B">
        <w:rPr>
          <w:rFonts w:ascii="Arial" w:hAnsi="Arial" w:cs="Arial"/>
          <w:i/>
          <w:iCs/>
        </w:rPr>
        <w:t>Flexible Services and Manufacturing Journal</w:t>
      </w:r>
      <w:r w:rsidRPr="00F21A5B">
        <w:rPr>
          <w:rFonts w:ascii="Arial" w:hAnsi="Arial" w:cs="Arial"/>
        </w:rPr>
        <w:t>, </w:t>
      </w:r>
      <w:r w:rsidRPr="00F21A5B">
        <w:rPr>
          <w:rFonts w:ascii="Arial" w:hAnsi="Arial" w:cs="Arial"/>
          <w:i/>
          <w:iCs/>
        </w:rPr>
        <w:t>36</w:t>
      </w:r>
      <w:r w:rsidRPr="00F21A5B">
        <w:rPr>
          <w:rFonts w:ascii="Arial" w:hAnsi="Arial" w:cs="Arial"/>
        </w:rPr>
        <w:t>(1), pp.1-35. https://link.springer.com/content/pdf/10.1007/s10696-023-09492-z.pdf</w:t>
      </w:r>
    </w:p>
    <w:p w14:paraId="74D0403B" w14:textId="77777777" w:rsidR="00F21A5B" w:rsidRPr="00F21A5B" w:rsidRDefault="00F21A5B" w:rsidP="00F21A5B">
      <w:pPr>
        <w:rPr>
          <w:rFonts w:ascii="Arial" w:hAnsi="Arial" w:cs="Arial"/>
        </w:rPr>
      </w:pPr>
      <w:r w:rsidRPr="00F21A5B">
        <w:rPr>
          <w:rFonts w:ascii="Arial" w:hAnsi="Arial" w:cs="Arial"/>
        </w:rPr>
        <w:t>Iziduh, E.F., Olasoji, O. and Adeyelu, O.O., 2021. An enterprise-wide budget management framework for controlling variance across core operational and investment units. </w:t>
      </w:r>
      <w:r w:rsidRPr="00F21A5B">
        <w:rPr>
          <w:rFonts w:ascii="Arial" w:hAnsi="Arial" w:cs="Arial"/>
          <w:i/>
          <w:iCs/>
        </w:rPr>
        <w:t>Journal of Frontiers in Multidisciplinary Research</w:t>
      </w:r>
      <w:r w:rsidRPr="00F21A5B">
        <w:rPr>
          <w:rFonts w:ascii="Arial" w:hAnsi="Arial" w:cs="Arial"/>
        </w:rPr>
        <w:t>, </w:t>
      </w:r>
      <w:r w:rsidRPr="00F21A5B">
        <w:rPr>
          <w:rFonts w:ascii="Arial" w:hAnsi="Arial" w:cs="Arial"/>
          <w:i/>
          <w:iCs/>
        </w:rPr>
        <w:t>2</w:t>
      </w:r>
      <w:r w:rsidRPr="00F21A5B">
        <w:rPr>
          <w:rFonts w:ascii="Arial" w:hAnsi="Arial" w:cs="Arial"/>
        </w:rPr>
        <w:t>(2), pp.25-31. https://doi.org/10.54660/.IJFMR.2021.2.2.25-31</w:t>
      </w:r>
    </w:p>
    <w:p w14:paraId="743CFBFC" w14:textId="77777777" w:rsidR="00F21A5B" w:rsidRPr="00F21A5B" w:rsidRDefault="00F21A5B" w:rsidP="00F21A5B">
      <w:pPr>
        <w:rPr>
          <w:rFonts w:ascii="Arial" w:hAnsi="Arial" w:cs="Arial"/>
        </w:rPr>
      </w:pPr>
      <w:r w:rsidRPr="00F21A5B">
        <w:rPr>
          <w:rFonts w:ascii="Arial" w:hAnsi="Arial" w:cs="Arial"/>
        </w:rPr>
        <w:t>Oteri, O.J., Onukwulu, E.C., Igwe, A.N., Ewim, C.M., Ibeh, A.I. and Sobowale, A., 2023. Cost optimization in logistics product management: strategies for operational efficiency and profitability. </w:t>
      </w:r>
      <w:r w:rsidRPr="00F21A5B">
        <w:rPr>
          <w:rFonts w:ascii="Arial" w:hAnsi="Arial" w:cs="Arial"/>
          <w:i/>
          <w:iCs/>
        </w:rPr>
        <w:t>International Journal of Business and Management. Forthcoming</w:t>
      </w:r>
      <w:r w:rsidRPr="00F21A5B">
        <w:rPr>
          <w:rFonts w:ascii="Arial" w:hAnsi="Arial" w:cs="Arial"/>
        </w:rPr>
        <w:t xml:space="preserve">. </w:t>
      </w:r>
      <w:hyperlink r:id="rId9" w:history="1">
        <w:r w:rsidRPr="00F21A5B">
          <w:rPr>
            <w:rStyle w:val="Hyperlink"/>
            <w:rFonts w:ascii="Arial" w:hAnsi="Arial" w:cs="Arial"/>
          </w:rPr>
          <w:t>https://doi.org/10.54660/.IJMRGE.2023.4.1-852-860</w:t>
        </w:r>
      </w:hyperlink>
    </w:p>
    <w:p w14:paraId="629BE9C2" w14:textId="77777777" w:rsidR="00F21A5B" w:rsidRPr="00F21A5B" w:rsidRDefault="00F21A5B" w:rsidP="00F21A5B">
      <w:pPr>
        <w:rPr>
          <w:rFonts w:ascii="Arial" w:hAnsi="Arial" w:cs="Arial"/>
        </w:rPr>
      </w:pPr>
      <w:r w:rsidRPr="00F21A5B">
        <w:rPr>
          <w:rFonts w:ascii="Arial" w:hAnsi="Arial" w:cs="Arial"/>
        </w:rPr>
        <w:t>Jones, P. and Comfort, D., 2021. Animal welfare and UK food retailers. </w:t>
      </w:r>
      <w:r w:rsidRPr="00F21A5B">
        <w:rPr>
          <w:rFonts w:ascii="Arial" w:hAnsi="Arial" w:cs="Arial"/>
          <w:i/>
          <w:iCs/>
        </w:rPr>
        <w:t>International Journal of Sales, Retailing and Marketing</w:t>
      </w:r>
      <w:r w:rsidRPr="00F21A5B">
        <w:rPr>
          <w:rFonts w:ascii="Arial" w:hAnsi="Arial" w:cs="Arial"/>
        </w:rPr>
        <w:t>, </w:t>
      </w:r>
      <w:r w:rsidRPr="00F21A5B">
        <w:rPr>
          <w:rFonts w:ascii="Arial" w:hAnsi="Arial" w:cs="Arial"/>
          <w:i/>
          <w:iCs/>
        </w:rPr>
        <w:t>10</w:t>
      </w:r>
      <w:r w:rsidRPr="00F21A5B">
        <w:rPr>
          <w:rFonts w:ascii="Arial" w:hAnsi="Arial" w:cs="Arial"/>
        </w:rPr>
        <w:t>(1), pp.14-22. doi:10.56397/JWE.2024.09.0</w:t>
      </w:r>
    </w:p>
    <w:p w14:paraId="12639105" w14:textId="77777777" w:rsidR="00F21A5B" w:rsidRPr="00F21A5B" w:rsidRDefault="00F21A5B" w:rsidP="00F21A5B">
      <w:pPr>
        <w:rPr>
          <w:rFonts w:ascii="Arial" w:hAnsi="Arial" w:cs="Arial"/>
        </w:rPr>
      </w:pPr>
      <w:r w:rsidRPr="00F21A5B">
        <w:rPr>
          <w:rFonts w:ascii="Arial" w:hAnsi="Arial" w:cs="Arial"/>
        </w:rPr>
        <w:t>Smith, O. and Goodman, M.K., 2023. Choosing Survival, Not Sustainability: Analysing the UK’s Cost-of-Living Crisis, the Purchase of Sustainable Foods and the Economy of Emotion. https://www.academia.edu/download/115356453/Smith_and_Goodman_2023_Survival_Emotion_and_Sustainable_Consumption.pdf</w:t>
      </w:r>
    </w:p>
    <w:p w14:paraId="10BF229E" w14:textId="77777777" w:rsidR="00F21A5B" w:rsidRPr="00F21A5B" w:rsidRDefault="00F21A5B" w:rsidP="00F21A5B">
      <w:pPr>
        <w:rPr>
          <w:rFonts w:ascii="Arial" w:hAnsi="Arial" w:cs="Arial"/>
        </w:rPr>
      </w:pPr>
      <w:r w:rsidRPr="00F21A5B">
        <w:rPr>
          <w:rFonts w:ascii="Arial" w:hAnsi="Arial" w:cs="Arial"/>
        </w:rPr>
        <w:t xml:space="preserve">CFI (2022). </w:t>
      </w:r>
      <w:r w:rsidRPr="00F21A5B">
        <w:rPr>
          <w:rFonts w:ascii="Arial" w:hAnsi="Arial" w:cs="Arial"/>
          <w:i/>
          <w:iCs/>
        </w:rPr>
        <w:t>Return on Capital Employed (ROCE)</w:t>
      </w:r>
      <w:r w:rsidRPr="00F21A5B">
        <w:rPr>
          <w:rFonts w:ascii="Arial" w:hAnsi="Arial" w:cs="Arial"/>
        </w:rPr>
        <w:t xml:space="preserve">. [online] Corporate Finance Institute. Available at: </w:t>
      </w:r>
      <w:hyperlink r:id="rId10" w:history="1">
        <w:r w:rsidRPr="00F21A5B">
          <w:rPr>
            <w:rStyle w:val="Hyperlink"/>
            <w:rFonts w:ascii="Arial" w:hAnsi="Arial" w:cs="Arial"/>
          </w:rPr>
          <w:t>https://corporatefinanceinstitute.com/resources/accounting/return-on-capital-employed-roce/</w:t>
        </w:r>
      </w:hyperlink>
      <w:r w:rsidRPr="00F21A5B">
        <w:rPr>
          <w:rFonts w:ascii="Arial" w:hAnsi="Arial" w:cs="Arial"/>
        </w:rPr>
        <w:t xml:space="preserve"> [Accessed 16 Jan. 2026].</w:t>
      </w:r>
    </w:p>
    <w:p w14:paraId="0F9FCAEA" w14:textId="77777777" w:rsidR="00F21A5B" w:rsidRPr="00F21A5B" w:rsidRDefault="00F21A5B" w:rsidP="00F21A5B">
      <w:pPr>
        <w:rPr>
          <w:rFonts w:ascii="Arial" w:hAnsi="Arial" w:cs="Arial"/>
        </w:rPr>
      </w:pPr>
      <w:r w:rsidRPr="00F21A5B">
        <w:rPr>
          <w:rFonts w:ascii="Arial" w:hAnsi="Arial" w:cs="Arial"/>
        </w:rPr>
        <w:t xml:space="preserve">CFI (2024). </w:t>
      </w:r>
      <w:r w:rsidRPr="00F21A5B">
        <w:rPr>
          <w:rFonts w:ascii="Arial" w:hAnsi="Arial" w:cs="Arial"/>
          <w:i/>
          <w:iCs/>
        </w:rPr>
        <w:t>Operating profit margin</w:t>
      </w:r>
      <w:r w:rsidRPr="00F21A5B">
        <w:rPr>
          <w:rFonts w:ascii="Arial" w:hAnsi="Arial" w:cs="Arial"/>
        </w:rPr>
        <w:t xml:space="preserve">. [online] Corporate Finance Institute. Available at: </w:t>
      </w:r>
      <w:hyperlink r:id="rId11" w:history="1">
        <w:r w:rsidRPr="00F21A5B">
          <w:rPr>
            <w:rStyle w:val="Hyperlink"/>
            <w:rFonts w:ascii="Arial" w:hAnsi="Arial" w:cs="Arial"/>
          </w:rPr>
          <w:t>https://corporatefinanceinstitute.com/resources/accounting/operating-profit-margin/</w:t>
        </w:r>
      </w:hyperlink>
      <w:r w:rsidRPr="00F21A5B">
        <w:rPr>
          <w:rFonts w:ascii="Arial" w:hAnsi="Arial" w:cs="Arial"/>
        </w:rPr>
        <w:t xml:space="preserve"> [Accessed 16 Jan. 2026].</w:t>
      </w:r>
    </w:p>
    <w:p w14:paraId="00381960" w14:textId="77777777" w:rsidR="00F21A5B" w:rsidRPr="00F21A5B" w:rsidRDefault="00F21A5B" w:rsidP="00F21A5B">
      <w:pPr>
        <w:rPr>
          <w:rFonts w:ascii="Arial" w:hAnsi="Arial" w:cs="Arial"/>
        </w:rPr>
      </w:pPr>
      <w:r w:rsidRPr="00F21A5B">
        <w:rPr>
          <w:rFonts w:ascii="Arial" w:hAnsi="Arial" w:cs="Arial"/>
        </w:rPr>
        <w:t xml:space="preserve">CFI Team (2021). </w:t>
      </w:r>
      <w:r w:rsidRPr="00F21A5B">
        <w:rPr>
          <w:rFonts w:ascii="Arial" w:hAnsi="Arial" w:cs="Arial"/>
          <w:i/>
          <w:iCs/>
        </w:rPr>
        <w:t>Price to Sales Ratio</w:t>
      </w:r>
      <w:r w:rsidRPr="00F21A5B">
        <w:rPr>
          <w:rFonts w:ascii="Arial" w:hAnsi="Arial" w:cs="Arial"/>
        </w:rPr>
        <w:t xml:space="preserve">. [online] Corporate Finance Institute. Available at: </w:t>
      </w:r>
      <w:hyperlink r:id="rId12" w:history="1">
        <w:r w:rsidRPr="00F21A5B">
          <w:rPr>
            <w:rStyle w:val="Hyperlink"/>
            <w:rFonts w:ascii="Arial" w:hAnsi="Arial" w:cs="Arial"/>
          </w:rPr>
          <w:t>https://corporatefinanceinstitute.com/resources/valuation/price-to-sales-ratio/</w:t>
        </w:r>
      </w:hyperlink>
      <w:r w:rsidRPr="00F21A5B">
        <w:rPr>
          <w:rFonts w:ascii="Arial" w:hAnsi="Arial" w:cs="Arial"/>
        </w:rPr>
        <w:t xml:space="preserve"> [Accessed 16 Jan. 2026].</w:t>
      </w:r>
    </w:p>
    <w:p w14:paraId="03322B5B" w14:textId="77777777" w:rsidR="00F21A5B" w:rsidRPr="00F21A5B" w:rsidRDefault="00F21A5B" w:rsidP="00F21A5B">
      <w:pPr>
        <w:rPr>
          <w:rFonts w:ascii="Arial" w:hAnsi="Arial" w:cs="Arial"/>
        </w:rPr>
      </w:pPr>
      <w:r w:rsidRPr="00F21A5B">
        <w:rPr>
          <w:rFonts w:ascii="Arial" w:hAnsi="Arial" w:cs="Arial"/>
        </w:rPr>
        <w:t xml:space="preserve">CFI Team (2025). </w:t>
      </w:r>
      <w:r w:rsidRPr="00F21A5B">
        <w:rPr>
          <w:rFonts w:ascii="Arial" w:hAnsi="Arial" w:cs="Arial"/>
          <w:i/>
          <w:iCs/>
        </w:rPr>
        <w:t>Gross Profit</w:t>
      </w:r>
      <w:r w:rsidRPr="00F21A5B">
        <w:rPr>
          <w:rFonts w:ascii="Arial" w:hAnsi="Arial" w:cs="Arial"/>
        </w:rPr>
        <w:t xml:space="preserve">. [online] Corporate Finance Institute. Available at: </w:t>
      </w:r>
      <w:hyperlink r:id="rId13" w:history="1">
        <w:r w:rsidRPr="00F21A5B">
          <w:rPr>
            <w:rStyle w:val="Hyperlink"/>
            <w:rFonts w:ascii="Arial" w:hAnsi="Arial" w:cs="Arial"/>
          </w:rPr>
          <w:t>https://corporatefinanceinstitute.com/resources/accounting/gross-profit/</w:t>
        </w:r>
      </w:hyperlink>
      <w:r w:rsidRPr="00F21A5B">
        <w:rPr>
          <w:rFonts w:ascii="Arial" w:hAnsi="Arial" w:cs="Arial"/>
        </w:rPr>
        <w:t xml:space="preserve"> [Accessed 16 Jan. 2026].</w:t>
      </w:r>
    </w:p>
    <w:p w14:paraId="36B5ED5F" w14:textId="77777777" w:rsidR="00F21A5B" w:rsidRPr="00F21A5B" w:rsidRDefault="00F21A5B" w:rsidP="00F21A5B">
      <w:pPr>
        <w:rPr>
          <w:rFonts w:ascii="Arial" w:hAnsi="Arial" w:cs="Arial"/>
        </w:rPr>
      </w:pPr>
      <w:r w:rsidRPr="00F21A5B">
        <w:rPr>
          <w:rFonts w:ascii="Arial" w:hAnsi="Arial" w:cs="Arial"/>
        </w:rPr>
        <w:t xml:space="preserve">Davey, J. (2022). Britain’s Sainsbury’s warns of lower profit on inflation hit. </w:t>
      </w:r>
      <w:r w:rsidRPr="00F21A5B">
        <w:rPr>
          <w:rFonts w:ascii="Arial" w:hAnsi="Arial" w:cs="Arial"/>
          <w:i/>
          <w:iCs/>
        </w:rPr>
        <w:t>Reuters</w:t>
      </w:r>
      <w:r w:rsidRPr="00F21A5B">
        <w:rPr>
          <w:rFonts w:ascii="Arial" w:hAnsi="Arial" w:cs="Arial"/>
        </w:rPr>
        <w:t xml:space="preserve">. [online] 28 Apr. Available at: </w:t>
      </w:r>
      <w:hyperlink r:id="rId14" w:history="1">
        <w:r w:rsidRPr="00F21A5B">
          <w:rPr>
            <w:rStyle w:val="Hyperlink"/>
            <w:rFonts w:ascii="Arial" w:hAnsi="Arial" w:cs="Arial"/>
          </w:rPr>
          <w:t>https://www.reuters.com/business/retail-consumer/britains-sainsburys-warns-lower-profit-inflation-hits-2022-04-28/</w:t>
        </w:r>
      </w:hyperlink>
      <w:r w:rsidRPr="00F21A5B">
        <w:rPr>
          <w:rFonts w:ascii="Arial" w:hAnsi="Arial" w:cs="Arial"/>
        </w:rPr>
        <w:t xml:space="preserve"> [Accessed 16 Jan. 2026].</w:t>
      </w:r>
    </w:p>
    <w:p w14:paraId="7C6016E9" w14:textId="77777777" w:rsidR="00F21A5B" w:rsidRPr="00F21A5B" w:rsidRDefault="00F21A5B" w:rsidP="00F21A5B">
      <w:pPr>
        <w:rPr>
          <w:rFonts w:ascii="Arial" w:hAnsi="Arial" w:cs="Arial"/>
        </w:rPr>
      </w:pPr>
      <w:r w:rsidRPr="00F21A5B">
        <w:rPr>
          <w:rFonts w:ascii="Arial" w:hAnsi="Arial" w:cs="Arial"/>
        </w:rPr>
        <w:lastRenderedPageBreak/>
        <w:t xml:space="preserve">Davey, J. (2024a). </w:t>
      </w:r>
      <w:r w:rsidRPr="00F21A5B">
        <w:rPr>
          <w:rFonts w:ascii="Arial" w:hAnsi="Arial" w:cs="Arial"/>
          <w:i/>
          <w:iCs/>
        </w:rPr>
        <w:t>UK’s Sainsbury’s targets 10% profit growth as it wins more shoppers</w:t>
      </w:r>
      <w:r w:rsidRPr="00F21A5B">
        <w:rPr>
          <w:rFonts w:ascii="Arial" w:hAnsi="Arial" w:cs="Arial"/>
        </w:rPr>
        <w:t xml:space="preserve">. [online] Reuters. Available at: </w:t>
      </w:r>
      <w:hyperlink r:id="rId15" w:history="1">
        <w:r w:rsidRPr="00F21A5B">
          <w:rPr>
            <w:rStyle w:val="Hyperlink"/>
            <w:rFonts w:ascii="Arial" w:hAnsi="Arial" w:cs="Arial"/>
          </w:rPr>
          <w:t>http://reuters.com/business/retail-consumer/britains-sainsburys-expects-strong-profit-growth-202425-2024-04-25/</w:t>
        </w:r>
      </w:hyperlink>
      <w:r w:rsidRPr="00F21A5B">
        <w:rPr>
          <w:rFonts w:ascii="Arial" w:hAnsi="Arial" w:cs="Arial"/>
        </w:rPr>
        <w:t xml:space="preserve"> [Accessed 16 Jan. 2026].</w:t>
      </w:r>
    </w:p>
    <w:p w14:paraId="0D5BD884" w14:textId="77777777" w:rsidR="00F21A5B" w:rsidRPr="00F21A5B" w:rsidRDefault="00F21A5B" w:rsidP="00F21A5B">
      <w:pPr>
        <w:rPr>
          <w:rFonts w:ascii="Arial" w:hAnsi="Arial" w:cs="Arial"/>
        </w:rPr>
      </w:pPr>
      <w:r w:rsidRPr="00F21A5B">
        <w:rPr>
          <w:rFonts w:ascii="Arial" w:hAnsi="Arial" w:cs="Arial"/>
        </w:rPr>
        <w:t xml:space="preserve">Davey, J. (2024b). </w:t>
      </w:r>
      <w:r w:rsidRPr="00F21A5B">
        <w:rPr>
          <w:rFonts w:ascii="Arial" w:hAnsi="Arial" w:cs="Arial"/>
          <w:i/>
          <w:iCs/>
        </w:rPr>
        <w:t>UK’s Sainsbury’s targets more cost savings, better returns for investors</w:t>
      </w:r>
      <w:r w:rsidRPr="00F21A5B">
        <w:rPr>
          <w:rFonts w:ascii="Arial" w:hAnsi="Arial" w:cs="Arial"/>
        </w:rPr>
        <w:t xml:space="preserve">. [online] Reuters. Available at: </w:t>
      </w:r>
      <w:hyperlink r:id="rId16" w:history="1">
        <w:r w:rsidRPr="00F21A5B">
          <w:rPr>
            <w:rStyle w:val="Hyperlink"/>
            <w:rFonts w:ascii="Arial" w:hAnsi="Arial" w:cs="Arial"/>
          </w:rPr>
          <w:t>https://www.reuters.com/business/retail-consumer/uks-sainsburys-targets-more-cost-savings-strategy-update-2024-02-07/</w:t>
        </w:r>
      </w:hyperlink>
      <w:r w:rsidRPr="00F21A5B">
        <w:rPr>
          <w:rFonts w:ascii="Arial" w:hAnsi="Arial" w:cs="Arial"/>
        </w:rPr>
        <w:t xml:space="preserve"> [Accessed 16 Jan. 2026].</w:t>
      </w:r>
    </w:p>
    <w:p w14:paraId="178DFAC6" w14:textId="77777777" w:rsidR="00F21A5B" w:rsidRPr="00F21A5B" w:rsidRDefault="00F21A5B" w:rsidP="00F21A5B">
      <w:pPr>
        <w:rPr>
          <w:rFonts w:ascii="Arial" w:hAnsi="Arial" w:cs="Arial"/>
        </w:rPr>
      </w:pPr>
      <w:r w:rsidRPr="00F21A5B">
        <w:rPr>
          <w:rFonts w:ascii="Arial" w:hAnsi="Arial" w:cs="Arial"/>
        </w:rPr>
        <w:t xml:space="preserve">Downes, S. (2024). </w:t>
      </w:r>
      <w:r w:rsidRPr="00F21A5B">
        <w:rPr>
          <w:rFonts w:ascii="Arial" w:hAnsi="Arial" w:cs="Arial"/>
          <w:i/>
          <w:iCs/>
        </w:rPr>
        <w:t>What are Sainsbury’s New SBTi-Agreed Sustainability Targets?</w:t>
      </w:r>
      <w:r w:rsidRPr="00F21A5B">
        <w:rPr>
          <w:rFonts w:ascii="Arial" w:hAnsi="Arial" w:cs="Arial"/>
        </w:rPr>
        <w:t xml:space="preserve"> [online] sustainabilitymag.com. Available at: </w:t>
      </w:r>
      <w:hyperlink r:id="rId17" w:history="1">
        <w:r w:rsidRPr="00F21A5B">
          <w:rPr>
            <w:rStyle w:val="Hyperlink"/>
            <w:rFonts w:ascii="Arial" w:hAnsi="Arial" w:cs="Arial"/>
          </w:rPr>
          <w:t>https://sustainabilitymag.com/articles/what-are-sainsburys-new-sbti-agreed-sustainability-targets</w:t>
        </w:r>
      </w:hyperlink>
      <w:r w:rsidRPr="00F21A5B">
        <w:rPr>
          <w:rFonts w:ascii="Arial" w:hAnsi="Arial" w:cs="Arial"/>
        </w:rPr>
        <w:t xml:space="preserve"> [Accessed 16 Jan. 2026].</w:t>
      </w:r>
    </w:p>
    <w:p w14:paraId="3CDA47F6" w14:textId="77777777" w:rsidR="00F21A5B" w:rsidRPr="00F21A5B" w:rsidRDefault="00F21A5B" w:rsidP="00F21A5B">
      <w:pPr>
        <w:rPr>
          <w:rFonts w:ascii="Arial" w:hAnsi="Arial" w:cs="Arial"/>
        </w:rPr>
      </w:pPr>
      <w:r w:rsidRPr="00F21A5B">
        <w:rPr>
          <w:rFonts w:ascii="Arial" w:hAnsi="Arial" w:cs="Arial"/>
        </w:rPr>
        <w:t xml:space="preserve">Dublin (2024). </w:t>
      </w:r>
      <w:r w:rsidRPr="00F21A5B">
        <w:rPr>
          <w:rFonts w:ascii="Arial" w:hAnsi="Arial" w:cs="Arial"/>
          <w:i/>
          <w:iCs/>
        </w:rPr>
        <w:t>J Sainsbury Digital Transformation Strategy Analysis Report 2023: Technology Focus, Initiatives, Acquisitions, Partnership and Investment Network Map, ICT Budget and Contracts</w:t>
      </w:r>
      <w:r w:rsidRPr="00F21A5B">
        <w:rPr>
          <w:rFonts w:ascii="Arial" w:hAnsi="Arial" w:cs="Arial"/>
        </w:rPr>
        <w:t xml:space="preserve">. [online] Yahoo Finance. Available at: </w:t>
      </w:r>
      <w:hyperlink r:id="rId18" w:history="1">
        <w:r w:rsidRPr="00F21A5B">
          <w:rPr>
            <w:rStyle w:val="Hyperlink"/>
            <w:rFonts w:ascii="Arial" w:hAnsi="Arial" w:cs="Arial"/>
          </w:rPr>
          <w:t>https://finance.yahoo.com/news/j-sainsbury-digital-transformation-strategy-122300128.html</w:t>
        </w:r>
      </w:hyperlink>
      <w:r w:rsidRPr="00F21A5B">
        <w:rPr>
          <w:rFonts w:ascii="Arial" w:hAnsi="Arial" w:cs="Arial"/>
        </w:rPr>
        <w:t xml:space="preserve"> [Accessed 16 Jan. 2026].</w:t>
      </w:r>
    </w:p>
    <w:p w14:paraId="1D076D87" w14:textId="77777777" w:rsidR="00F21A5B" w:rsidRPr="00F21A5B" w:rsidRDefault="00F21A5B" w:rsidP="00F21A5B">
      <w:pPr>
        <w:rPr>
          <w:rFonts w:ascii="Arial" w:hAnsi="Arial" w:cs="Arial"/>
        </w:rPr>
      </w:pPr>
      <w:r w:rsidRPr="00F21A5B">
        <w:rPr>
          <w:rFonts w:ascii="Arial" w:hAnsi="Arial" w:cs="Arial"/>
        </w:rPr>
        <w:t xml:space="preserve">Easton, J. (2025). </w:t>
      </w:r>
      <w:r w:rsidRPr="00F21A5B">
        <w:rPr>
          <w:rFonts w:ascii="Arial" w:hAnsi="Arial" w:cs="Arial"/>
          <w:i/>
          <w:iCs/>
        </w:rPr>
        <w:t>Sainsbury’s follows Tesco in scaling back Aldi price match scheme</w:t>
      </w:r>
      <w:r w:rsidRPr="00F21A5B">
        <w:rPr>
          <w:rFonts w:ascii="Arial" w:hAnsi="Arial" w:cs="Arial"/>
        </w:rPr>
        <w:t xml:space="preserve">. [online] Retail Systems. Available at: </w:t>
      </w:r>
      <w:hyperlink r:id="rId19" w:history="1">
        <w:r w:rsidRPr="00F21A5B">
          <w:rPr>
            <w:rStyle w:val="Hyperlink"/>
            <w:rFonts w:ascii="Arial" w:hAnsi="Arial" w:cs="Arial"/>
          </w:rPr>
          <w:t>https://www.retail-systems.com/rs/Sainsburys_Follows_Tesco_In_Scaling_Back_Aldi_Price_Match_Scheme.pho.php</w:t>
        </w:r>
      </w:hyperlink>
      <w:r w:rsidRPr="00F21A5B">
        <w:rPr>
          <w:rFonts w:ascii="Arial" w:hAnsi="Arial" w:cs="Arial"/>
        </w:rPr>
        <w:t xml:space="preserve"> [Accessed 16 Jan. 2026].</w:t>
      </w:r>
    </w:p>
    <w:p w14:paraId="4101A09F" w14:textId="77777777" w:rsidR="00F21A5B" w:rsidRPr="00F21A5B" w:rsidRDefault="00F21A5B" w:rsidP="00F21A5B">
      <w:pPr>
        <w:rPr>
          <w:rFonts w:ascii="Arial" w:hAnsi="Arial" w:cs="Arial"/>
        </w:rPr>
      </w:pPr>
      <w:r w:rsidRPr="00F21A5B">
        <w:rPr>
          <w:rFonts w:ascii="Arial" w:hAnsi="Arial" w:cs="Arial"/>
        </w:rPr>
        <w:t xml:space="preserve">J Sainsbury plc (2025). </w:t>
      </w:r>
      <w:r w:rsidRPr="00F21A5B">
        <w:rPr>
          <w:rFonts w:ascii="Arial" w:hAnsi="Arial" w:cs="Arial"/>
          <w:i/>
          <w:iCs/>
        </w:rPr>
        <w:t>Good food for all of us Annual Report and Financial Statements 2024</w:t>
      </w:r>
      <w:r w:rsidRPr="00F21A5B">
        <w:rPr>
          <w:rFonts w:ascii="Arial" w:hAnsi="Arial" w:cs="Arial"/>
        </w:rPr>
        <w:t xml:space="preserve">. [online] Available at: </w:t>
      </w:r>
      <w:hyperlink r:id="rId20" w:history="1">
        <w:r w:rsidRPr="00F21A5B">
          <w:rPr>
            <w:rStyle w:val="Hyperlink"/>
            <w:rFonts w:ascii="Arial" w:hAnsi="Arial" w:cs="Arial"/>
          </w:rPr>
          <w:t>https://corporate.sainsburys.co.uk/media/n3bdgevz/sainsbury-annual-report-and-financial-statements-2024.pdf</w:t>
        </w:r>
      </w:hyperlink>
      <w:r w:rsidRPr="00F21A5B">
        <w:rPr>
          <w:rFonts w:ascii="Arial" w:hAnsi="Arial" w:cs="Arial"/>
        </w:rPr>
        <w:t>.</w:t>
      </w:r>
    </w:p>
    <w:p w14:paraId="767BBFA9" w14:textId="77777777" w:rsidR="00F21A5B" w:rsidRPr="00F21A5B" w:rsidRDefault="00F21A5B" w:rsidP="00F21A5B">
      <w:pPr>
        <w:rPr>
          <w:rFonts w:ascii="Arial" w:hAnsi="Arial" w:cs="Arial"/>
        </w:rPr>
      </w:pPr>
      <w:r w:rsidRPr="00F21A5B">
        <w:rPr>
          <w:rFonts w:ascii="Arial" w:hAnsi="Arial" w:cs="Arial"/>
        </w:rPr>
        <w:t xml:space="preserve">James Davey (2024c). </w:t>
      </w:r>
      <w:r w:rsidRPr="00F21A5B">
        <w:rPr>
          <w:rFonts w:ascii="Arial" w:hAnsi="Arial" w:cs="Arial"/>
          <w:i/>
          <w:iCs/>
        </w:rPr>
        <w:t>UK’s Sainsbury’s warns budget tax rises will be inflationary</w:t>
      </w:r>
      <w:r w:rsidRPr="00F21A5B">
        <w:rPr>
          <w:rFonts w:ascii="Arial" w:hAnsi="Arial" w:cs="Arial"/>
        </w:rPr>
        <w:t xml:space="preserve">. [online] Reuters. Available at: </w:t>
      </w:r>
      <w:hyperlink r:id="rId21" w:history="1">
        <w:r w:rsidRPr="00F21A5B">
          <w:rPr>
            <w:rStyle w:val="Hyperlink"/>
            <w:rFonts w:ascii="Arial" w:hAnsi="Arial" w:cs="Arial"/>
          </w:rPr>
          <w:t>https://www.reuters.com/business/retail-consumer/britains-sainsburys-keeps-profit-outlook-after-first-half-rise-2024-11-07/</w:t>
        </w:r>
      </w:hyperlink>
      <w:r w:rsidRPr="00F21A5B">
        <w:rPr>
          <w:rFonts w:ascii="Arial" w:hAnsi="Arial" w:cs="Arial"/>
        </w:rPr>
        <w:t xml:space="preserve"> [Accessed 16 Jan. 2026].</w:t>
      </w:r>
    </w:p>
    <w:p w14:paraId="0474B6AD" w14:textId="77777777" w:rsidR="00F21A5B" w:rsidRPr="00F21A5B" w:rsidRDefault="00F21A5B" w:rsidP="00F21A5B">
      <w:pPr>
        <w:rPr>
          <w:rFonts w:ascii="Arial" w:hAnsi="Arial" w:cs="Arial"/>
        </w:rPr>
      </w:pPr>
      <w:r w:rsidRPr="00F21A5B">
        <w:rPr>
          <w:rFonts w:ascii="Arial" w:hAnsi="Arial" w:cs="Arial"/>
        </w:rPr>
        <w:t xml:space="preserve">McMillan, A. (2024). </w:t>
      </w:r>
      <w:r w:rsidRPr="00F21A5B">
        <w:rPr>
          <w:rFonts w:ascii="Arial" w:hAnsi="Arial" w:cs="Arial"/>
          <w:i/>
          <w:iCs/>
        </w:rPr>
        <w:t>Sainsbury’s: Reducing Emissions Across its Value Chain</w:t>
      </w:r>
      <w:r w:rsidRPr="00F21A5B">
        <w:rPr>
          <w:rFonts w:ascii="Arial" w:hAnsi="Arial" w:cs="Arial"/>
        </w:rPr>
        <w:t xml:space="preserve">. [online] procurementmag.com. Available at: </w:t>
      </w:r>
      <w:hyperlink r:id="rId22" w:history="1">
        <w:r w:rsidRPr="00F21A5B">
          <w:rPr>
            <w:rStyle w:val="Hyperlink"/>
            <w:rFonts w:ascii="Arial" w:hAnsi="Arial" w:cs="Arial"/>
          </w:rPr>
          <w:t>https://procurementmag.com/articles/sainsburys-reducing-emissions-across-its-value-chain</w:t>
        </w:r>
      </w:hyperlink>
      <w:r w:rsidRPr="00F21A5B">
        <w:rPr>
          <w:rFonts w:ascii="Arial" w:hAnsi="Arial" w:cs="Arial"/>
        </w:rPr>
        <w:t xml:space="preserve"> [Accessed 16 Jan. 2026].</w:t>
      </w:r>
    </w:p>
    <w:p w14:paraId="0C90BD21" w14:textId="77777777" w:rsidR="00F21A5B" w:rsidRPr="00F21A5B" w:rsidRDefault="00F21A5B" w:rsidP="00F21A5B">
      <w:pPr>
        <w:rPr>
          <w:rFonts w:ascii="Arial" w:hAnsi="Arial" w:cs="Arial"/>
        </w:rPr>
      </w:pPr>
      <w:r w:rsidRPr="00F21A5B">
        <w:rPr>
          <w:rFonts w:ascii="Arial" w:hAnsi="Arial" w:cs="Arial"/>
        </w:rPr>
        <w:t xml:space="preserve">Ozbun (2025). </w:t>
      </w:r>
      <w:r w:rsidRPr="00F21A5B">
        <w:rPr>
          <w:rFonts w:ascii="Arial" w:hAnsi="Arial" w:cs="Arial"/>
          <w:i/>
          <w:iCs/>
        </w:rPr>
        <w:t>Sainsbury’s store numbers 2009-2025| Statista</w:t>
      </w:r>
      <w:r w:rsidRPr="00F21A5B">
        <w:rPr>
          <w:rFonts w:ascii="Arial" w:hAnsi="Arial" w:cs="Arial"/>
        </w:rPr>
        <w:t xml:space="preserve">. [online] Statista. Available at: </w:t>
      </w:r>
      <w:hyperlink r:id="rId23" w:history="1">
        <w:r w:rsidRPr="00F21A5B">
          <w:rPr>
            <w:rStyle w:val="Hyperlink"/>
            <w:rFonts w:ascii="Arial" w:hAnsi="Arial" w:cs="Arial"/>
          </w:rPr>
          <w:t>https://www.statista.com/statistics/386475/sainsburys-store-numbers-by-convenience-and-supermarket-united-kingdom-uk/?srsltid=AfmBOopvUPyKxJZdQPViiAPv9ZUXrVtUqjqPpr0rKfvk-AFngHA53Rz_</w:t>
        </w:r>
      </w:hyperlink>
      <w:r w:rsidRPr="00F21A5B">
        <w:rPr>
          <w:rFonts w:ascii="Arial" w:hAnsi="Arial" w:cs="Arial"/>
        </w:rPr>
        <w:t xml:space="preserve"> [Accessed 16 Jan. 2026].</w:t>
      </w:r>
    </w:p>
    <w:p w14:paraId="27B449E5" w14:textId="77777777" w:rsidR="00F21A5B" w:rsidRPr="00F21A5B" w:rsidRDefault="00F21A5B" w:rsidP="00F21A5B">
      <w:pPr>
        <w:rPr>
          <w:rFonts w:ascii="Arial" w:hAnsi="Arial" w:cs="Arial"/>
        </w:rPr>
      </w:pPr>
      <w:r w:rsidRPr="00F21A5B">
        <w:rPr>
          <w:rFonts w:ascii="Arial" w:hAnsi="Arial" w:cs="Arial"/>
        </w:rPr>
        <w:t xml:space="preserve">S&amp;P Global (2025). </w:t>
      </w:r>
      <w:r w:rsidRPr="00F21A5B">
        <w:rPr>
          <w:rFonts w:ascii="Arial" w:hAnsi="Arial" w:cs="Arial"/>
          <w:i/>
          <w:iCs/>
        </w:rPr>
        <w:t>Research Update: U.K. Retailer J Sainsbury PLC Ra | S&amp;P Global Ratings</w:t>
      </w:r>
      <w:r w:rsidRPr="00F21A5B">
        <w:rPr>
          <w:rFonts w:ascii="Arial" w:hAnsi="Arial" w:cs="Arial"/>
        </w:rPr>
        <w:t xml:space="preserve">. [online] Spglobal.com. Available at: </w:t>
      </w:r>
      <w:hyperlink r:id="rId24" w:history="1">
        <w:r w:rsidRPr="00F21A5B">
          <w:rPr>
            <w:rStyle w:val="Hyperlink"/>
            <w:rFonts w:ascii="Arial" w:hAnsi="Arial" w:cs="Arial"/>
          </w:rPr>
          <w:t>https://www.spglobal.com/ratings/en/regulatory/article/-/view/sourceId/101611404</w:t>
        </w:r>
      </w:hyperlink>
      <w:r w:rsidRPr="00F21A5B">
        <w:rPr>
          <w:rFonts w:ascii="Arial" w:hAnsi="Arial" w:cs="Arial"/>
        </w:rPr>
        <w:t xml:space="preserve"> [Accessed 16 Jan. 2026].</w:t>
      </w:r>
    </w:p>
    <w:p w14:paraId="4A83A4CA" w14:textId="77777777" w:rsidR="00F21A5B" w:rsidRPr="00F21A5B" w:rsidRDefault="00F21A5B" w:rsidP="00F21A5B">
      <w:pPr>
        <w:rPr>
          <w:rFonts w:ascii="Arial" w:hAnsi="Arial" w:cs="Arial"/>
        </w:rPr>
      </w:pPr>
      <w:r w:rsidRPr="00F21A5B">
        <w:rPr>
          <w:rFonts w:ascii="Arial" w:hAnsi="Arial" w:cs="Arial"/>
        </w:rPr>
        <w:t xml:space="preserve">Statista (2025). </w:t>
      </w:r>
      <w:r w:rsidRPr="00F21A5B">
        <w:rPr>
          <w:rFonts w:ascii="Arial" w:hAnsi="Arial" w:cs="Arial"/>
          <w:i/>
          <w:iCs/>
        </w:rPr>
        <w:t>Topic: Sainsbury group in the United Kingdom (UK)</w:t>
      </w:r>
      <w:r w:rsidRPr="00F21A5B">
        <w:rPr>
          <w:rFonts w:ascii="Arial" w:hAnsi="Arial" w:cs="Arial"/>
        </w:rPr>
        <w:t xml:space="preserve">. [online] Statista. Available at: </w:t>
      </w:r>
      <w:hyperlink r:id="rId25" w:anchor="topicOverview" w:history="1">
        <w:r w:rsidRPr="00F21A5B">
          <w:rPr>
            <w:rStyle w:val="Hyperlink"/>
            <w:rFonts w:ascii="Arial" w:hAnsi="Arial" w:cs="Arial"/>
          </w:rPr>
          <w:t>https://www.statista.com/topics/8773/sainsbury-group-in-the-united-kingdom-uk/?srsltid=AfmBOorRB4H9ZTa9TjlfS4QEFmbBQdeIVCuGbl1H8I3w8RF73GpFfFub#topicOverview</w:t>
        </w:r>
      </w:hyperlink>
      <w:r w:rsidRPr="00F21A5B">
        <w:rPr>
          <w:rFonts w:ascii="Arial" w:hAnsi="Arial" w:cs="Arial"/>
        </w:rPr>
        <w:t xml:space="preserve"> [Accessed 16 Jan. 2026].</w:t>
      </w:r>
    </w:p>
    <w:p w14:paraId="3755C7FA" w14:textId="77777777" w:rsidR="00F21A5B" w:rsidRPr="00F21A5B" w:rsidRDefault="00F21A5B" w:rsidP="00F21A5B">
      <w:pPr>
        <w:rPr>
          <w:rFonts w:ascii="Arial" w:hAnsi="Arial" w:cs="Arial"/>
        </w:rPr>
      </w:pPr>
      <w:r w:rsidRPr="00F21A5B">
        <w:rPr>
          <w:rFonts w:ascii="Arial" w:hAnsi="Arial" w:cs="Arial"/>
        </w:rPr>
        <w:t xml:space="preserve">Yahoo Finance (2025). </w:t>
      </w:r>
      <w:r w:rsidRPr="00F21A5B">
        <w:rPr>
          <w:rFonts w:ascii="Arial" w:hAnsi="Arial" w:cs="Arial"/>
          <w:i/>
          <w:iCs/>
        </w:rPr>
        <w:t>J Sainsbury plc (SBRY.L) Income Statement - Yahoo Finance</w:t>
      </w:r>
      <w:r w:rsidRPr="00F21A5B">
        <w:rPr>
          <w:rFonts w:ascii="Arial" w:hAnsi="Arial" w:cs="Arial"/>
        </w:rPr>
        <w:t xml:space="preserve">. [online] finance.yahoo.com. Available at: </w:t>
      </w:r>
      <w:hyperlink r:id="rId26" w:history="1">
        <w:r w:rsidRPr="00F21A5B">
          <w:rPr>
            <w:rStyle w:val="Hyperlink"/>
            <w:rFonts w:ascii="Arial" w:hAnsi="Arial" w:cs="Arial"/>
          </w:rPr>
          <w:t>https://finance.yahoo.com/quote/SBRY.L/financials/</w:t>
        </w:r>
      </w:hyperlink>
      <w:r w:rsidRPr="00F21A5B">
        <w:rPr>
          <w:rFonts w:ascii="Arial" w:hAnsi="Arial" w:cs="Arial"/>
        </w:rPr>
        <w:t xml:space="preserve"> [Accessed 16 Jan. 2026].</w:t>
      </w:r>
    </w:p>
    <w:p w14:paraId="70E59F8E" w14:textId="77777777" w:rsidR="00F21A5B" w:rsidRPr="00F21A5B" w:rsidRDefault="00F21A5B" w:rsidP="00F21A5B">
      <w:pPr>
        <w:rPr>
          <w:rFonts w:ascii="Arial" w:hAnsi="Arial" w:cs="Arial"/>
        </w:rPr>
      </w:pPr>
      <w:r w:rsidRPr="00F21A5B">
        <w:rPr>
          <w:rFonts w:ascii="Arial" w:hAnsi="Arial" w:cs="Arial"/>
        </w:rPr>
        <w:lastRenderedPageBreak/>
        <w:t>Xiao, B., Chen, Q. and Yu, Z., 2021, April. Research on the Investment Value of Sainsbury’s. In </w:t>
      </w:r>
      <w:r w:rsidRPr="00F21A5B">
        <w:rPr>
          <w:rFonts w:ascii="Arial" w:hAnsi="Arial" w:cs="Arial"/>
          <w:i/>
          <w:iCs/>
        </w:rPr>
        <w:t>2021 6th International Conference on Social Sciences and Economic Development (ICSSED 2021)</w:t>
      </w:r>
      <w:r w:rsidRPr="00F21A5B">
        <w:rPr>
          <w:rFonts w:ascii="Arial" w:hAnsi="Arial" w:cs="Arial"/>
        </w:rPr>
        <w:t xml:space="preserve"> (pp. 108-115). Atlantis Press. </w:t>
      </w:r>
      <w:hyperlink r:id="rId27" w:history="1">
        <w:r w:rsidRPr="00F21A5B">
          <w:rPr>
            <w:rStyle w:val="Hyperlink"/>
            <w:rFonts w:ascii="Arial" w:hAnsi="Arial" w:cs="Arial"/>
          </w:rPr>
          <w:t>https://doi.org/10.2991/assehr.k.210407.022</w:t>
        </w:r>
      </w:hyperlink>
    </w:p>
    <w:p w14:paraId="3426ED58" w14:textId="77777777" w:rsidR="00F21A5B" w:rsidRPr="00F21A5B" w:rsidRDefault="00F21A5B" w:rsidP="00F21A5B">
      <w:pPr>
        <w:rPr>
          <w:rFonts w:ascii="Arial" w:hAnsi="Arial" w:cs="Arial"/>
        </w:rPr>
      </w:pPr>
      <w:r w:rsidRPr="00F21A5B">
        <w:rPr>
          <w:rFonts w:ascii="Arial" w:hAnsi="Arial" w:cs="Arial"/>
        </w:rPr>
        <w:t xml:space="preserve">Butler, S. (2025). </w:t>
      </w:r>
      <w:r w:rsidRPr="00F21A5B">
        <w:rPr>
          <w:rFonts w:ascii="Arial" w:hAnsi="Arial" w:cs="Arial"/>
          <w:i/>
          <w:iCs/>
        </w:rPr>
        <w:t>Sainsbury’s to cut 3,000 jobs as it shuts hot food counters and cafes</w:t>
      </w:r>
      <w:r w:rsidRPr="00F21A5B">
        <w:rPr>
          <w:rFonts w:ascii="Arial" w:hAnsi="Arial" w:cs="Arial"/>
        </w:rPr>
        <w:t xml:space="preserve">. [online] the Guardian. Available at: </w:t>
      </w:r>
      <w:hyperlink r:id="rId28" w:history="1">
        <w:r w:rsidRPr="00F21A5B">
          <w:rPr>
            <w:rStyle w:val="Hyperlink"/>
            <w:rFonts w:ascii="Arial" w:hAnsi="Arial" w:cs="Arial"/>
          </w:rPr>
          <w:t>https://www.theguardian.com/business/2025/jan/23/sainsburys-cut-jobs-hot-food-counters-cafes</w:t>
        </w:r>
      </w:hyperlink>
      <w:r w:rsidRPr="00F21A5B">
        <w:rPr>
          <w:rFonts w:ascii="Arial" w:hAnsi="Arial" w:cs="Arial"/>
        </w:rPr>
        <w:t xml:space="preserve"> [Accessed 20 Jan. 2026].</w:t>
      </w:r>
    </w:p>
    <w:p w14:paraId="546C0C07" w14:textId="77777777" w:rsidR="00F21A5B" w:rsidRPr="00F21A5B" w:rsidRDefault="00F21A5B" w:rsidP="00F21A5B">
      <w:pPr>
        <w:rPr>
          <w:rFonts w:ascii="Arial" w:hAnsi="Arial" w:cs="Arial"/>
        </w:rPr>
      </w:pPr>
      <w:r w:rsidRPr="00F21A5B">
        <w:rPr>
          <w:rFonts w:ascii="Arial" w:hAnsi="Arial" w:cs="Arial"/>
        </w:rPr>
        <w:t xml:space="preserve">J Sainsbury PLC (2024). </w:t>
      </w:r>
      <w:r w:rsidRPr="00F21A5B">
        <w:rPr>
          <w:rFonts w:ascii="Arial" w:hAnsi="Arial" w:cs="Arial"/>
          <w:i/>
          <w:iCs/>
        </w:rPr>
        <w:t>Annual Report and Financial Statements 2023 Helping everyone eat better</w:t>
      </w:r>
      <w:r w:rsidRPr="00F21A5B">
        <w:rPr>
          <w:rFonts w:ascii="Arial" w:hAnsi="Arial" w:cs="Arial"/>
        </w:rPr>
        <w:t xml:space="preserve">. [online] Available at: </w:t>
      </w:r>
      <w:hyperlink r:id="rId29" w:history="1">
        <w:r w:rsidRPr="00F21A5B">
          <w:rPr>
            <w:rStyle w:val="Hyperlink"/>
            <w:rFonts w:ascii="Arial" w:hAnsi="Arial" w:cs="Arial"/>
          </w:rPr>
          <w:t>https://www.annualreports.com/Click/12115</w:t>
        </w:r>
      </w:hyperlink>
      <w:r w:rsidRPr="00F21A5B">
        <w:rPr>
          <w:rFonts w:ascii="Arial" w:hAnsi="Arial" w:cs="Arial"/>
        </w:rPr>
        <w:t xml:space="preserve"> [Accessed 20 Jan. 2026].</w:t>
      </w:r>
    </w:p>
    <w:p w14:paraId="5016582F" w14:textId="77777777" w:rsidR="00F21A5B" w:rsidRPr="00F21A5B" w:rsidRDefault="00F21A5B" w:rsidP="00F21A5B">
      <w:pPr>
        <w:rPr>
          <w:rFonts w:ascii="Arial" w:hAnsi="Arial" w:cs="Arial"/>
        </w:rPr>
      </w:pPr>
      <w:r w:rsidRPr="00F21A5B">
        <w:rPr>
          <w:rFonts w:ascii="Arial" w:hAnsi="Arial" w:cs="Arial"/>
        </w:rPr>
        <w:t xml:space="preserve">Jordan, D. and Simpson, E. (2025). Sainsbury’s to cut 3,000 jobs by closing cafés and counters. </w:t>
      </w:r>
      <w:r w:rsidRPr="00F21A5B">
        <w:rPr>
          <w:rFonts w:ascii="Arial" w:hAnsi="Arial" w:cs="Arial"/>
          <w:i/>
          <w:iCs/>
        </w:rPr>
        <w:t>BBC</w:t>
      </w:r>
      <w:r w:rsidRPr="00F21A5B">
        <w:rPr>
          <w:rFonts w:ascii="Arial" w:hAnsi="Arial" w:cs="Arial"/>
        </w:rPr>
        <w:t xml:space="preserve">. [online] 23 Jan. Available at: </w:t>
      </w:r>
      <w:hyperlink r:id="rId30" w:history="1">
        <w:r w:rsidRPr="00F21A5B">
          <w:rPr>
            <w:rStyle w:val="Hyperlink"/>
            <w:rFonts w:ascii="Arial" w:hAnsi="Arial" w:cs="Arial"/>
          </w:rPr>
          <w:t>https://www.bbc.com/news/articles/cvged0x5ykxo</w:t>
        </w:r>
      </w:hyperlink>
      <w:r w:rsidRPr="00F21A5B">
        <w:rPr>
          <w:rFonts w:ascii="Arial" w:hAnsi="Arial" w:cs="Arial"/>
        </w:rPr>
        <w:t xml:space="preserve"> [Accessed 20 Jan. 2026].</w:t>
      </w:r>
    </w:p>
    <w:p w14:paraId="0441F5A5" w14:textId="77777777" w:rsidR="00F21A5B" w:rsidRPr="00F21A5B" w:rsidRDefault="00F21A5B" w:rsidP="00F21A5B">
      <w:pPr>
        <w:rPr>
          <w:rFonts w:ascii="Arial" w:hAnsi="Arial" w:cs="Arial"/>
        </w:rPr>
      </w:pPr>
      <w:r w:rsidRPr="00F21A5B">
        <w:rPr>
          <w:rFonts w:ascii="Arial" w:hAnsi="Arial" w:cs="Arial"/>
        </w:rPr>
        <w:t xml:space="preserve">Labiak, M. (2024). Sainsbury’s and M&amp;S warn Budget changes may push up prices. </w:t>
      </w:r>
      <w:r w:rsidRPr="00F21A5B">
        <w:rPr>
          <w:rFonts w:ascii="Arial" w:hAnsi="Arial" w:cs="Arial"/>
          <w:i/>
          <w:iCs/>
        </w:rPr>
        <w:t>BBC</w:t>
      </w:r>
      <w:r w:rsidRPr="00F21A5B">
        <w:rPr>
          <w:rFonts w:ascii="Arial" w:hAnsi="Arial" w:cs="Arial"/>
        </w:rPr>
        <w:t xml:space="preserve">. [online] 7 Nov. Available at: </w:t>
      </w:r>
      <w:hyperlink r:id="rId31" w:history="1">
        <w:r w:rsidRPr="00F21A5B">
          <w:rPr>
            <w:rStyle w:val="Hyperlink"/>
            <w:rFonts w:ascii="Arial" w:hAnsi="Arial" w:cs="Arial"/>
          </w:rPr>
          <w:t>https://www.bbc.com/news/articles/c238g1x9l00o</w:t>
        </w:r>
      </w:hyperlink>
      <w:r w:rsidRPr="00F21A5B">
        <w:rPr>
          <w:rFonts w:ascii="Arial" w:hAnsi="Arial" w:cs="Arial"/>
        </w:rPr>
        <w:t xml:space="preserve"> [Accessed 20 Jan. 2026].</w:t>
      </w:r>
    </w:p>
    <w:p w14:paraId="71796400" w14:textId="77777777" w:rsidR="00F21A5B" w:rsidRPr="00F21A5B" w:rsidRDefault="00F21A5B" w:rsidP="00F21A5B">
      <w:pPr>
        <w:rPr>
          <w:rFonts w:ascii="Arial" w:hAnsi="Arial" w:cs="Arial"/>
        </w:rPr>
      </w:pPr>
      <w:r w:rsidRPr="00F21A5B">
        <w:rPr>
          <w:rFonts w:ascii="Arial" w:hAnsi="Arial" w:cs="Arial"/>
        </w:rPr>
        <w:t xml:space="preserve">Mcintosh, A. (2024). </w:t>
      </w:r>
      <w:r w:rsidRPr="00F21A5B">
        <w:rPr>
          <w:rFonts w:ascii="Arial" w:hAnsi="Arial" w:cs="Arial"/>
          <w:i/>
          <w:iCs/>
        </w:rPr>
        <w:t>Sainsbury’s ‘next level’ strategy to champion Nectar loyalty</w:t>
      </w:r>
      <w:r w:rsidRPr="00F21A5B">
        <w:rPr>
          <w:rFonts w:ascii="Arial" w:hAnsi="Arial" w:cs="Arial"/>
        </w:rPr>
        <w:t xml:space="preserve">. [online] Loyalty Magazine. Available at: </w:t>
      </w:r>
      <w:hyperlink r:id="rId32" w:history="1">
        <w:r w:rsidRPr="00F21A5B">
          <w:rPr>
            <w:rStyle w:val="Hyperlink"/>
            <w:rFonts w:ascii="Arial" w:hAnsi="Arial" w:cs="Arial"/>
          </w:rPr>
          <w:t>https://www.loyaltymagazine.com/sainsburys-next-level-strategy-to-champion-nectar-loyalty/</w:t>
        </w:r>
      </w:hyperlink>
      <w:r w:rsidRPr="00F21A5B">
        <w:rPr>
          <w:rFonts w:ascii="Arial" w:hAnsi="Arial" w:cs="Arial"/>
        </w:rPr>
        <w:t xml:space="preserve"> [Accessed 20 Jan. 2026].</w:t>
      </w:r>
    </w:p>
    <w:p w14:paraId="58FE4285" w14:textId="77777777" w:rsidR="00F21A5B" w:rsidRPr="00F21A5B" w:rsidRDefault="00F21A5B" w:rsidP="00F21A5B">
      <w:pPr>
        <w:rPr>
          <w:rFonts w:ascii="Arial" w:hAnsi="Arial" w:cs="Arial"/>
        </w:rPr>
      </w:pPr>
      <w:r w:rsidRPr="00F21A5B">
        <w:rPr>
          <w:rFonts w:ascii="Arial" w:hAnsi="Arial" w:cs="Arial"/>
        </w:rPr>
        <w:t xml:space="preserve">Reuters (2025). </w:t>
      </w:r>
      <w:r w:rsidRPr="00F21A5B">
        <w:rPr>
          <w:rFonts w:ascii="Arial" w:hAnsi="Arial" w:cs="Arial"/>
          <w:i/>
          <w:iCs/>
        </w:rPr>
        <w:t>UK’s Sainsbury’s to cut over 3,000 roles in cost savings drive</w:t>
      </w:r>
      <w:r w:rsidRPr="00F21A5B">
        <w:rPr>
          <w:rFonts w:ascii="Arial" w:hAnsi="Arial" w:cs="Arial"/>
        </w:rPr>
        <w:t xml:space="preserve">. [online] CNBC. Available at: </w:t>
      </w:r>
      <w:hyperlink r:id="rId33" w:history="1">
        <w:r w:rsidRPr="00F21A5B">
          <w:rPr>
            <w:rStyle w:val="Hyperlink"/>
            <w:rFonts w:ascii="Arial" w:hAnsi="Arial" w:cs="Arial"/>
          </w:rPr>
          <w:t>https://www.cnbc.com/2025/01/23/uks-sainsburys-to-cut-over-3000-roles-in-cost-savings-drive-.html</w:t>
        </w:r>
      </w:hyperlink>
      <w:r w:rsidRPr="00F21A5B">
        <w:rPr>
          <w:rFonts w:ascii="Arial" w:hAnsi="Arial" w:cs="Arial"/>
        </w:rPr>
        <w:t xml:space="preserve"> [Accessed 20 Jan. 2026].</w:t>
      </w:r>
    </w:p>
    <w:p w14:paraId="2D4ABF29" w14:textId="77777777" w:rsidR="00F21A5B" w:rsidRPr="00F21A5B" w:rsidRDefault="00F21A5B" w:rsidP="00F21A5B">
      <w:pPr>
        <w:rPr>
          <w:rFonts w:ascii="Arial" w:hAnsi="Arial" w:cs="Arial"/>
        </w:rPr>
      </w:pPr>
      <w:r w:rsidRPr="00F21A5B">
        <w:rPr>
          <w:rFonts w:ascii="Arial" w:hAnsi="Arial" w:cs="Arial"/>
        </w:rPr>
        <w:t xml:space="preserve">Reuters Staff (2024). Time is right to step up investment, Sainsbury’s CEO says. </w:t>
      </w:r>
      <w:r w:rsidRPr="00F21A5B">
        <w:rPr>
          <w:rFonts w:ascii="Arial" w:hAnsi="Arial" w:cs="Arial"/>
          <w:i/>
          <w:iCs/>
        </w:rPr>
        <w:t>Reuters</w:t>
      </w:r>
      <w:r w:rsidRPr="00F21A5B">
        <w:rPr>
          <w:rFonts w:ascii="Arial" w:hAnsi="Arial" w:cs="Arial"/>
        </w:rPr>
        <w:t xml:space="preserve">. [online] 7 Feb. Available at: </w:t>
      </w:r>
      <w:hyperlink r:id="rId34" w:history="1">
        <w:r w:rsidRPr="00F21A5B">
          <w:rPr>
            <w:rStyle w:val="Hyperlink"/>
            <w:rFonts w:ascii="Arial" w:hAnsi="Arial" w:cs="Arial"/>
          </w:rPr>
          <w:t>https://www.reuters.com/business/retail-consumer/time-is-right-step-up-investment-sainsburys-ceo-says-2024-02-07/</w:t>
        </w:r>
      </w:hyperlink>
      <w:r w:rsidRPr="00F21A5B">
        <w:rPr>
          <w:rFonts w:ascii="Arial" w:hAnsi="Arial" w:cs="Arial"/>
        </w:rPr>
        <w:t xml:space="preserve"> [Accessed 20 Jan. 2026].</w:t>
      </w:r>
    </w:p>
    <w:p w14:paraId="27944F61" w14:textId="77777777" w:rsidR="00F21A5B" w:rsidRPr="00F21A5B" w:rsidRDefault="00F21A5B" w:rsidP="00F21A5B">
      <w:pPr>
        <w:rPr>
          <w:rFonts w:ascii="Arial" w:hAnsi="Arial" w:cs="Arial"/>
        </w:rPr>
      </w:pPr>
      <w:r w:rsidRPr="00F21A5B">
        <w:rPr>
          <w:rFonts w:ascii="Arial" w:hAnsi="Arial" w:cs="Arial"/>
        </w:rPr>
        <w:t xml:space="preserve">S&amp;P Global (2025). </w:t>
      </w:r>
      <w:r w:rsidRPr="00F21A5B">
        <w:rPr>
          <w:rFonts w:ascii="Arial" w:hAnsi="Arial" w:cs="Arial"/>
          <w:i/>
          <w:iCs/>
        </w:rPr>
        <w:t>Research Update: U.K. Retailer J Sainsbury PLC Ra | S&amp;P Global Ratings</w:t>
      </w:r>
      <w:r w:rsidRPr="00F21A5B">
        <w:rPr>
          <w:rFonts w:ascii="Arial" w:hAnsi="Arial" w:cs="Arial"/>
        </w:rPr>
        <w:t xml:space="preserve">. [online] Spglobal.com. Available at: </w:t>
      </w:r>
      <w:hyperlink r:id="rId35" w:history="1">
        <w:r w:rsidRPr="00F21A5B">
          <w:rPr>
            <w:rStyle w:val="Hyperlink"/>
            <w:rFonts w:ascii="Arial" w:hAnsi="Arial" w:cs="Arial"/>
          </w:rPr>
          <w:t>https://www.spglobal.com/ratings/en/regulatory/article/-/view/sourceId/101611404</w:t>
        </w:r>
      </w:hyperlink>
      <w:r w:rsidRPr="00F21A5B">
        <w:rPr>
          <w:rFonts w:ascii="Arial" w:hAnsi="Arial" w:cs="Arial"/>
        </w:rPr>
        <w:t xml:space="preserve"> [Accessed 20 Jan. 2026].</w:t>
      </w:r>
    </w:p>
    <w:p w14:paraId="7FB5FAA6" w14:textId="77777777" w:rsidR="00F21A5B" w:rsidRPr="00F21A5B" w:rsidRDefault="00F21A5B" w:rsidP="00F21A5B">
      <w:pPr>
        <w:rPr>
          <w:rFonts w:ascii="Arial" w:hAnsi="Arial" w:cs="Arial"/>
        </w:rPr>
      </w:pPr>
      <w:r w:rsidRPr="00F21A5B">
        <w:rPr>
          <w:rFonts w:ascii="Arial" w:hAnsi="Arial" w:cs="Arial"/>
        </w:rPr>
        <w:t xml:space="preserve">Sainsbury (2025). </w:t>
      </w:r>
      <w:r w:rsidRPr="00F21A5B">
        <w:rPr>
          <w:rFonts w:ascii="Arial" w:hAnsi="Arial" w:cs="Arial"/>
          <w:i/>
          <w:iCs/>
        </w:rPr>
        <w:t>Annual Report 2025</w:t>
      </w:r>
      <w:r w:rsidRPr="00F21A5B">
        <w:rPr>
          <w:rFonts w:ascii="Arial" w:hAnsi="Arial" w:cs="Arial"/>
        </w:rPr>
        <w:t xml:space="preserve">. [online] Annual Report. Available at: </w:t>
      </w:r>
      <w:hyperlink r:id="rId36" w:history="1">
        <w:r w:rsidRPr="00F21A5B">
          <w:rPr>
            <w:rStyle w:val="Hyperlink"/>
            <w:rFonts w:ascii="Arial" w:hAnsi="Arial" w:cs="Arial"/>
          </w:rPr>
          <w:t>https://corporate.sainsburys.co.uk/investors/annual-report-2025/</w:t>
        </w:r>
      </w:hyperlink>
      <w:r w:rsidRPr="00F21A5B">
        <w:rPr>
          <w:rFonts w:ascii="Arial" w:hAnsi="Arial" w:cs="Arial"/>
        </w:rPr>
        <w:t xml:space="preserve"> [Accessed 20 Jan. 2026].</w:t>
      </w:r>
    </w:p>
    <w:p w14:paraId="035DBE46" w14:textId="77777777" w:rsidR="00F21A5B" w:rsidRPr="00F21A5B" w:rsidRDefault="00F21A5B" w:rsidP="00F21A5B">
      <w:pPr>
        <w:rPr>
          <w:rFonts w:ascii="Arial" w:hAnsi="Arial" w:cs="Arial"/>
        </w:rPr>
      </w:pPr>
      <w:r w:rsidRPr="00F21A5B">
        <w:rPr>
          <w:rFonts w:ascii="Arial" w:hAnsi="Arial" w:cs="Arial"/>
        </w:rPr>
        <w:t xml:space="preserve">Sainsbury Plc (2025). </w:t>
      </w:r>
      <w:r w:rsidRPr="00F21A5B">
        <w:rPr>
          <w:rFonts w:ascii="Arial" w:hAnsi="Arial" w:cs="Arial"/>
          <w:i/>
          <w:iCs/>
        </w:rPr>
        <w:t>Our approach to reducing Scope 1 and 2 emissions</w:t>
      </w:r>
      <w:r w:rsidRPr="00F21A5B">
        <w:rPr>
          <w:rFonts w:ascii="Arial" w:hAnsi="Arial" w:cs="Arial"/>
        </w:rPr>
        <w:t xml:space="preserve">. [online] Annual Report. Available at: </w:t>
      </w:r>
      <w:hyperlink r:id="rId37" w:history="1">
        <w:r w:rsidRPr="00F21A5B">
          <w:rPr>
            <w:rStyle w:val="Hyperlink"/>
            <w:rFonts w:ascii="Arial" w:hAnsi="Arial" w:cs="Arial"/>
          </w:rPr>
          <w:t>https://corporate.sainsburys.co.uk/sustainability/explore-by-a-z/reducing-our-carbon-footprint/our-approach-to-reducing-scope-1-and-2-emissions/</w:t>
        </w:r>
      </w:hyperlink>
      <w:r w:rsidRPr="00F21A5B">
        <w:rPr>
          <w:rFonts w:ascii="Arial" w:hAnsi="Arial" w:cs="Arial"/>
        </w:rPr>
        <w:t xml:space="preserve"> [Accessed 20 Jan. 2026].</w:t>
      </w:r>
    </w:p>
    <w:p w14:paraId="61537B84" w14:textId="77777777" w:rsidR="005D6ED4" w:rsidRDefault="005D6ED4"/>
    <w:sectPr w:rsidR="005D6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D2714"/>
    <w:multiLevelType w:val="multilevel"/>
    <w:tmpl w:val="BA5AC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64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A5B"/>
    <w:rsid w:val="000158A7"/>
    <w:rsid w:val="00342B0B"/>
    <w:rsid w:val="005D6ED4"/>
    <w:rsid w:val="006E65D4"/>
    <w:rsid w:val="00902475"/>
    <w:rsid w:val="00A75980"/>
    <w:rsid w:val="00B96D95"/>
    <w:rsid w:val="00D56770"/>
    <w:rsid w:val="00F21A5B"/>
    <w:rsid w:val="00F51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577CA"/>
  <w15:chartTrackingRefBased/>
  <w15:docId w15:val="{45DFAEAD-E58E-4965-8D64-61D417DD2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1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1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A5B"/>
    <w:rPr>
      <w:rFonts w:eastAsiaTheme="majorEastAsia" w:cstheme="majorBidi"/>
      <w:color w:val="272727" w:themeColor="text1" w:themeTint="D8"/>
    </w:rPr>
  </w:style>
  <w:style w:type="paragraph" w:styleId="Title">
    <w:name w:val="Title"/>
    <w:basedOn w:val="Normal"/>
    <w:next w:val="Normal"/>
    <w:link w:val="TitleChar"/>
    <w:uiPriority w:val="10"/>
    <w:qFormat/>
    <w:rsid w:val="00F21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A5B"/>
    <w:pPr>
      <w:spacing w:before="160"/>
      <w:jc w:val="center"/>
    </w:pPr>
    <w:rPr>
      <w:i/>
      <w:iCs/>
      <w:color w:val="404040" w:themeColor="text1" w:themeTint="BF"/>
    </w:rPr>
  </w:style>
  <w:style w:type="character" w:customStyle="1" w:styleId="QuoteChar">
    <w:name w:val="Quote Char"/>
    <w:basedOn w:val="DefaultParagraphFont"/>
    <w:link w:val="Quote"/>
    <w:uiPriority w:val="29"/>
    <w:rsid w:val="00F21A5B"/>
    <w:rPr>
      <w:i/>
      <w:iCs/>
      <w:color w:val="404040" w:themeColor="text1" w:themeTint="BF"/>
    </w:rPr>
  </w:style>
  <w:style w:type="paragraph" w:styleId="ListParagraph">
    <w:name w:val="List Paragraph"/>
    <w:basedOn w:val="Normal"/>
    <w:uiPriority w:val="34"/>
    <w:qFormat/>
    <w:rsid w:val="00F21A5B"/>
    <w:pPr>
      <w:ind w:left="720"/>
      <w:contextualSpacing/>
    </w:pPr>
  </w:style>
  <w:style w:type="character" w:styleId="IntenseEmphasis">
    <w:name w:val="Intense Emphasis"/>
    <w:basedOn w:val="DefaultParagraphFont"/>
    <w:uiPriority w:val="21"/>
    <w:qFormat/>
    <w:rsid w:val="00F21A5B"/>
    <w:rPr>
      <w:i/>
      <w:iCs/>
      <w:color w:val="0F4761" w:themeColor="accent1" w:themeShade="BF"/>
    </w:rPr>
  </w:style>
  <w:style w:type="paragraph" w:styleId="IntenseQuote">
    <w:name w:val="Intense Quote"/>
    <w:basedOn w:val="Normal"/>
    <w:next w:val="Normal"/>
    <w:link w:val="IntenseQuoteChar"/>
    <w:uiPriority w:val="30"/>
    <w:qFormat/>
    <w:rsid w:val="00F21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A5B"/>
    <w:rPr>
      <w:i/>
      <w:iCs/>
      <w:color w:val="0F4761" w:themeColor="accent1" w:themeShade="BF"/>
    </w:rPr>
  </w:style>
  <w:style w:type="character" w:styleId="IntenseReference">
    <w:name w:val="Intense Reference"/>
    <w:basedOn w:val="DefaultParagraphFont"/>
    <w:uiPriority w:val="32"/>
    <w:qFormat/>
    <w:rsid w:val="00F21A5B"/>
    <w:rPr>
      <w:b/>
      <w:bCs/>
      <w:smallCaps/>
      <w:color w:val="0F4761" w:themeColor="accent1" w:themeShade="BF"/>
      <w:spacing w:val="5"/>
    </w:rPr>
  </w:style>
  <w:style w:type="character" w:styleId="Hyperlink">
    <w:name w:val="Hyperlink"/>
    <w:basedOn w:val="DefaultParagraphFont"/>
    <w:uiPriority w:val="99"/>
    <w:unhideWhenUsed/>
    <w:rsid w:val="00F21A5B"/>
    <w:rPr>
      <w:color w:val="467886" w:themeColor="hyperlink"/>
      <w:u w:val="single"/>
    </w:rPr>
  </w:style>
  <w:style w:type="character" w:styleId="UnresolvedMention">
    <w:name w:val="Unresolved Mention"/>
    <w:basedOn w:val="DefaultParagraphFont"/>
    <w:uiPriority w:val="99"/>
    <w:semiHidden/>
    <w:unhideWhenUsed/>
    <w:rsid w:val="00F21A5B"/>
    <w:rPr>
      <w:color w:val="605E5C"/>
      <w:shd w:val="clear" w:color="auto" w:fill="E1DFDD"/>
    </w:rPr>
  </w:style>
  <w:style w:type="paragraph" w:styleId="TOCHeading">
    <w:name w:val="TOC Heading"/>
    <w:basedOn w:val="Heading1"/>
    <w:next w:val="Normal"/>
    <w:uiPriority w:val="39"/>
    <w:unhideWhenUsed/>
    <w:qFormat/>
    <w:rsid w:val="00F21A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21A5B"/>
    <w:pPr>
      <w:spacing w:after="100"/>
    </w:pPr>
  </w:style>
  <w:style w:type="paragraph" w:styleId="TOC2">
    <w:name w:val="toc 2"/>
    <w:basedOn w:val="Normal"/>
    <w:next w:val="Normal"/>
    <w:autoRedefine/>
    <w:uiPriority w:val="39"/>
    <w:unhideWhenUsed/>
    <w:rsid w:val="00F21A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accounting/gross-profit/" TargetMode="External"/><Relationship Id="rId18" Type="http://schemas.openxmlformats.org/officeDocument/2006/relationships/hyperlink" Target="https://finance.yahoo.com/news/j-sainsbury-digital-transformation-strategy-122300128.html" TargetMode="External"/><Relationship Id="rId26" Type="http://schemas.openxmlformats.org/officeDocument/2006/relationships/hyperlink" Target="https://finance.yahoo.com/quote/SBRY.L/financials/" TargetMode="External"/><Relationship Id="rId39" Type="http://schemas.openxmlformats.org/officeDocument/2006/relationships/theme" Target="theme/theme1.xml"/><Relationship Id="rId21" Type="http://schemas.openxmlformats.org/officeDocument/2006/relationships/hyperlink" Target="https://www.reuters.com/business/retail-consumer/britains-sainsburys-keeps-profit-outlook-after-first-half-rise-2024-11-07/" TargetMode="External"/><Relationship Id="rId34" Type="http://schemas.openxmlformats.org/officeDocument/2006/relationships/hyperlink" Target="https://www.reuters.com/business/retail-consumer/time-is-right-step-up-investment-sainsburys-ceo-says-2024-02-07/" TargetMode="External"/><Relationship Id="rId7" Type="http://schemas.openxmlformats.org/officeDocument/2006/relationships/hyperlink" Target="https://ejournal.seaninstitute.or.id/index.php/Ekonomi" TargetMode="External"/><Relationship Id="rId12" Type="http://schemas.openxmlformats.org/officeDocument/2006/relationships/hyperlink" Target="https://corporatefinanceinstitute.com/resources/valuation/price-to-sales-ratio/" TargetMode="External"/><Relationship Id="rId17" Type="http://schemas.openxmlformats.org/officeDocument/2006/relationships/hyperlink" Target="https://sustainabilitymag.com/articles/what-are-sainsburys-new-sbti-agreed-sustainability-targets" TargetMode="External"/><Relationship Id="rId25" Type="http://schemas.openxmlformats.org/officeDocument/2006/relationships/hyperlink" Target="https://www.statista.com/topics/8773/sainsbury-group-in-the-united-kingdom-uk/?srsltid=AfmBOorRB4H9ZTa9TjlfS4QEFmbBQdeIVCuGbl1H8I3w8RF73GpFfFub" TargetMode="External"/><Relationship Id="rId33" Type="http://schemas.openxmlformats.org/officeDocument/2006/relationships/hyperlink" Target="https://www.cnbc.com/2025/01/23/uks-sainsburys-to-cut-over-3000-roles-in-cost-savings-drive-.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uters.com/business/retail-consumer/uks-sainsburys-targets-more-cost-savings-strategy-update-2024-02-07/" TargetMode="External"/><Relationship Id="rId20" Type="http://schemas.openxmlformats.org/officeDocument/2006/relationships/hyperlink" Target="https://corporate.sainsburys.co.uk/media/n3bdgevz/sainsbury-annual-report-and-financial-statements-2024.pdf" TargetMode="External"/><Relationship Id="rId29" Type="http://schemas.openxmlformats.org/officeDocument/2006/relationships/hyperlink" Target="https://www.annualreports.com/Click/1211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rporatefinanceinstitute.com/resources/accounting/operating-profit-margin/" TargetMode="External"/><Relationship Id="rId24" Type="http://schemas.openxmlformats.org/officeDocument/2006/relationships/hyperlink" Target="https://www.spglobal.com/ratings/en/regulatory/article/-/view/sourceId/101611404" TargetMode="External"/><Relationship Id="rId32" Type="http://schemas.openxmlformats.org/officeDocument/2006/relationships/hyperlink" Target="https://www.loyaltymagazine.com/sainsburys-next-level-strategy-to-champion-nectar-loyalty/" TargetMode="External"/><Relationship Id="rId37" Type="http://schemas.openxmlformats.org/officeDocument/2006/relationships/hyperlink" Target="https://corporate.sainsburys.co.uk/sustainability/explore-by-a-z/reducing-our-carbon-footprint/our-approach-to-reducing-scope-1-and-2-emissions/" TargetMode="External"/><Relationship Id="rId5" Type="http://schemas.openxmlformats.org/officeDocument/2006/relationships/image" Target="media/image1.png"/><Relationship Id="rId15" Type="http://schemas.openxmlformats.org/officeDocument/2006/relationships/hyperlink" Target="http://reuters.com/business/retail-consumer/britains-sainsburys-expects-strong-profit-growth-202425-2024-04-25/" TargetMode="External"/><Relationship Id="rId23" Type="http://schemas.openxmlformats.org/officeDocument/2006/relationships/hyperlink" Target="https://www.statista.com/statistics/386475/sainsburys-store-numbers-by-convenience-and-supermarket-united-kingdom-uk/?srsltid=AfmBOopvUPyKxJZdQPViiAPv9ZUXrVtUqjqPpr0rKfvk-AFngHA53Rz_" TargetMode="External"/><Relationship Id="rId28" Type="http://schemas.openxmlformats.org/officeDocument/2006/relationships/hyperlink" Target="https://www.theguardian.com/business/2025/jan/23/sainsburys-cut-jobs-hot-food-counters-cafes" TargetMode="External"/><Relationship Id="rId36" Type="http://schemas.openxmlformats.org/officeDocument/2006/relationships/hyperlink" Target="https://corporate.sainsburys.co.uk/investors/annual-report-2025/" TargetMode="External"/><Relationship Id="rId10" Type="http://schemas.openxmlformats.org/officeDocument/2006/relationships/hyperlink" Target="https://corporatefinanceinstitute.com/resources/accounting/return-on-capital-employed-roce/" TargetMode="External"/><Relationship Id="rId19" Type="http://schemas.openxmlformats.org/officeDocument/2006/relationships/hyperlink" Target="https://www.retail-systems.com/rs/Sainsburys_Follows_Tesco_In_Scaling_Back_Aldi_Price_Match_Scheme.pho.php" TargetMode="External"/><Relationship Id="rId31" Type="http://schemas.openxmlformats.org/officeDocument/2006/relationships/hyperlink" Target="https://www.bbc.com/news/articles/c238g1x9l00o" TargetMode="External"/><Relationship Id="rId4" Type="http://schemas.openxmlformats.org/officeDocument/2006/relationships/webSettings" Target="webSettings.xml"/><Relationship Id="rId9" Type="http://schemas.openxmlformats.org/officeDocument/2006/relationships/hyperlink" Target="https://doi.org/10.54660/.IJMRGE.2023.4.1-852-860" TargetMode="External"/><Relationship Id="rId14" Type="http://schemas.openxmlformats.org/officeDocument/2006/relationships/hyperlink" Target="https://www.reuters.com/business/retail-consumer/britains-sainsburys-warns-lower-profit-inflation-hits-2022-04-28/" TargetMode="External"/><Relationship Id="rId22" Type="http://schemas.openxmlformats.org/officeDocument/2006/relationships/hyperlink" Target="https://procurementmag.com/articles/sainsburys-reducing-emissions-across-its-value-chain" TargetMode="External"/><Relationship Id="rId27" Type="http://schemas.openxmlformats.org/officeDocument/2006/relationships/hyperlink" Target="https://doi.org/10.2991/assehr.k.210407.022" TargetMode="External"/><Relationship Id="rId30" Type="http://schemas.openxmlformats.org/officeDocument/2006/relationships/hyperlink" Target="https://www.bbc.com/news/articles/cvged0x5ykxo" TargetMode="External"/><Relationship Id="rId35" Type="http://schemas.openxmlformats.org/officeDocument/2006/relationships/hyperlink" Target="https://www.spglobal.com/ratings/en/regulatory/article/-/view/sourceId/101611404" TargetMode="External"/><Relationship Id="rId8" Type="http://schemas.openxmlformats.org/officeDocument/2006/relationships/hyperlink" Target="https://doi.org/10.5281/zenodo.1741365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11</Pages>
  <Words>4152</Words>
  <Characters>23669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Silby, Samantha A.</dc:creator>
  <cp:keywords/>
  <dc:description/>
  <cp:lastModifiedBy>Silby, Samantha A.</cp:lastModifiedBy>
  <cp:revision>1</cp:revision>
  <dcterms:created xsi:type="dcterms:W3CDTF">2026-02-24T23:08:00Z</dcterms:created>
  <dcterms:modified xsi:type="dcterms:W3CDTF">2026-02-25T00:26:00Z</dcterms:modified>
</cp:coreProperties>
</file>