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1CFB8" w14:textId="0ACD7719" w:rsidR="00105520" w:rsidRPr="00E239D7" w:rsidRDefault="00105520" w:rsidP="00E239D7">
      <w:pPr>
        <w:spacing w:line="480" w:lineRule="auto"/>
        <w:rPr>
          <w:rFonts w:ascii="Arial" w:hAnsi="Arial" w:cs="Arial"/>
          <w:sz w:val="24"/>
          <w:szCs w:val="24"/>
        </w:rPr>
      </w:pPr>
      <w:r w:rsidRPr="00E239D7">
        <w:rPr>
          <w:rFonts w:ascii="Arial" w:hAnsi="Arial" w:cs="Arial"/>
          <w:b/>
          <w:bCs/>
          <w:sz w:val="24"/>
          <w:szCs w:val="24"/>
        </w:rPr>
        <w:t>Laura Morrissey John: P11904214</w:t>
      </w:r>
      <w:r w:rsidRPr="00E239D7">
        <w:rPr>
          <w:rFonts w:ascii="Arial" w:hAnsi="Arial" w:cs="Arial"/>
          <w:sz w:val="24"/>
          <w:szCs w:val="24"/>
        </w:rPr>
        <w:t xml:space="preserve">                </w:t>
      </w:r>
      <w:r w:rsidRPr="00E239D7">
        <w:rPr>
          <w:rFonts w:ascii="Arial" w:hAnsi="Arial" w:cs="Arial"/>
          <w:b/>
          <w:bCs/>
          <w:sz w:val="24"/>
          <w:szCs w:val="24"/>
        </w:rPr>
        <w:t xml:space="preserve">                    Module: ECYW5005</w:t>
      </w:r>
    </w:p>
    <w:p w14:paraId="57FEA045" w14:textId="0F68625A" w:rsidR="005B2A94" w:rsidRPr="00E239D7" w:rsidRDefault="001454B4" w:rsidP="00E239D7">
      <w:pPr>
        <w:spacing w:line="480" w:lineRule="auto"/>
        <w:rPr>
          <w:rFonts w:ascii="Arial" w:hAnsi="Arial" w:cs="Arial"/>
          <w:sz w:val="24"/>
          <w:szCs w:val="24"/>
        </w:rPr>
      </w:pPr>
      <w:r w:rsidRPr="00E239D7">
        <w:rPr>
          <w:rFonts w:ascii="Arial" w:hAnsi="Arial" w:cs="Arial"/>
          <w:sz w:val="24"/>
          <w:szCs w:val="24"/>
        </w:rPr>
        <w:t xml:space="preserve">The core purpose of this assignment is to demonstrate how youth work practice can possibly enhance young people’s resilience. We will explore the concept of resilience and discuss why fostering resilience </w:t>
      </w:r>
      <w:r w:rsidR="0008252D" w:rsidRPr="00E239D7">
        <w:rPr>
          <w:rFonts w:ascii="Arial" w:hAnsi="Arial" w:cs="Arial"/>
          <w:sz w:val="24"/>
          <w:szCs w:val="24"/>
        </w:rPr>
        <w:t>can be so important for young people’s development. We will also look at the topic of wellbeing, how it can be defined and what the implications c</w:t>
      </w:r>
      <w:r w:rsidR="00185126" w:rsidRPr="00E239D7">
        <w:rPr>
          <w:rFonts w:ascii="Arial" w:hAnsi="Arial" w:cs="Arial"/>
          <w:sz w:val="24"/>
          <w:szCs w:val="24"/>
        </w:rPr>
        <w:t>ould</w:t>
      </w:r>
      <w:r w:rsidR="0008252D" w:rsidRPr="00E239D7">
        <w:rPr>
          <w:rFonts w:ascii="Arial" w:hAnsi="Arial" w:cs="Arial"/>
          <w:sz w:val="24"/>
          <w:szCs w:val="24"/>
        </w:rPr>
        <w:t xml:space="preserve"> be when trying to measure wellbeing from subjective and objective perspectives. </w:t>
      </w:r>
      <w:r w:rsidR="00185126" w:rsidRPr="00E239D7">
        <w:rPr>
          <w:rFonts w:ascii="Arial" w:hAnsi="Arial" w:cs="Arial"/>
          <w:sz w:val="24"/>
          <w:szCs w:val="24"/>
        </w:rPr>
        <w:t xml:space="preserve">This assignment will also demonstrate how the author has incorporated wellbeing and resilience into their own practice of working with young people. </w:t>
      </w:r>
      <w:r w:rsidR="0008252D" w:rsidRPr="00E239D7">
        <w:rPr>
          <w:rFonts w:ascii="Arial" w:hAnsi="Arial" w:cs="Arial"/>
          <w:sz w:val="24"/>
          <w:szCs w:val="24"/>
        </w:rPr>
        <w:t xml:space="preserve">  </w:t>
      </w:r>
    </w:p>
    <w:p w14:paraId="40EF916E" w14:textId="64167DEB" w:rsidR="00185126" w:rsidRPr="00E239D7" w:rsidRDefault="0038478D" w:rsidP="00E239D7">
      <w:pPr>
        <w:spacing w:line="480" w:lineRule="auto"/>
        <w:rPr>
          <w:rFonts w:ascii="Arial" w:hAnsi="Arial" w:cs="Arial"/>
          <w:sz w:val="24"/>
          <w:szCs w:val="24"/>
        </w:rPr>
      </w:pPr>
      <w:r w:rsidRPr="00E239D7">
        <w:rPr>
          <w:rFonts w:ascii="Arial" w:hAnsi="Arial" w:cs="Arial"/>
          <w:sz w:val="24"/>
          <w:szCs w:val="24"/>
        </w:rPr>
        <w:t>To</w:t>
      </w:r>
      <w:r w:rsidR="00BF6C47" w:rsidRPr="00E239D7">
        <w:rPr>
          <w:rFonts w:ascii="Arial" w:hAnsi="Arial" w:cs="Arial"/>
          <w:sz w:val="24"/>
          <w:szCs w:val="24"/>
        </w:rPr>
        <w:t xml:space="preserve"> understand the concept of both resilience and wellbeing, it is necessary to discuss </w:t>
      </w:r>
      <w:r w:rsidRPr="00E239D7">
        <w:rPr>
          <w:rFonts w:ascii="Arial" w:hAnsi="Arial" w:cs="Arial"/>
          <w:sz w:val="24"/>
          <w:szCs w:val="24"/>
        </w:rPr>
        <w:t xml:space="preserve">the relevance of understanding adolescence. </w:t>
      </w:r>
    </w:p>
    <w:p w14:paraId="211D9FDC" w14:textId="420FCBAB" w:rsidR="00105520" w:rsidRPr="00E239D7" w:rsidRDefault="0038478D" w:rsidP="00E239D7">
      <w:pPr>
        <w:spacing w:line="480" w:lineRule="auto"/>
        <w:rPr>
          <w:rFonts w:ascii="Arial" w:hAnsi="Arial" w:cs="Arial"/>
          <w:sz w:val="24"/>
          <w:szCs w:val="24"/>
        </w:rPr>
      </w:pPr>
      <w:r w:rsidRPr="00E239D7">
        <w:rPr>
          <w:rFonts w:ascii="Arial" w:hAnsi="Arial" w:cs="Arial"/>
          <w:sz w:val="24"/>
          <w:szCs w:val="24"/>
        </w:rPr>
        <w:t xml:space="preserve">Adolescence is </w:t>
      </w:r>
      <w:r w:rsidR="002F0B28" w:rsidRPr="00E239D7">
        <w:rPr>
          <w:rFonts w:ascii="Arial" w:hAnsi="Arial" w:cs="Arial"/>
          <w:sz w:val="24"/>
          <w:szCs w:val="24"/>
        </w:rPr>
        <w:t>an important</w:t>
      </w:r>
      <w:r w:rsidRPr="00E239D7">
        <w:rPr>
          <w:rFonts w:ascii="Arial" w:hAnsi="Arial" w:cs="Arial"/>
          <w:sz w:val="24"/>
          <w:szCs w:val="24"/>
        </w:rPr>
        <w:t xml:space="preserve"> developmental life stage that a person can experience through</w:t>
      </w:r>
      <w:r w:rsidR="002F0B28" w:rsidRPr="00E239D7">
        <w:rPr>
          <w:rFonts w:ascii="Arial" w:hAnsi="Arial" w:cs="Arial"/>
          <w:sz w:val="24"/>
          <w:szCs w:val="24"/>
        </w:rPr>
        <w:t>out</w:t>
      </w:r>
      <w:r w:rsidRPr="00E239D7">
        <w:rPr>
          <w:rFonts w:ascii="Arial" w:hAnsi="Arial" w:cs="Arial"/>
          <w:sz w:val="24"/>
          <w:szCs w:val="24"/>
        </w:rPr>
        <w:t xml:space="preserve"> their life course. </w:t>
      </w:r>
      <w:r w:rsidR="002F0B28" w:rsidRPr="00E239D7">
        <w:rPr>
          <w:rFonts w:ascii="Arial" w:hAnsi="Arial" w:cs="Arial"/>
          <w:sz w:val="24"/>
          <w:szCs w:val="24"/>
        </w:rPr>
        <w:t>Prior to adolescence,</w:t>
      </w:r>
      <w:r w:rsidRPr="00E239D7">
        <w:rPr>
          <w:rFonts w:ascii="Arial" w:hAnsi="Arial" w:cs="Arial"/>
          <w:sz w:val="24"/>
          <w:szCs w:val="24"/>
        </w:rPr>
        <w:t xml:space="preserve"> from birth to approximately 3 </w:t>
      </w:r>
      <w:r w:rsidR="00F4181B" w:rsidRPr="00E239D7">
        <w:rPr>
          <w:rFonts w:ascii="Arial" w:hAnsi="Arial" w:cs="Arial"/>
          <w:sz w:val="24"/>
          <w:szCs w:val="24"/>
        </w:rPr>
        <w:t>years, children</w:t>
      </w:r>
      <w:r w:rsidRPr="00E239D7">
        <w:rPr>
          <w:rFonts w:ascii="Arial" w:hAnsi="Arial" w:cs="Arial"/>
          <w:sz w:val="24"/>
          <w:szCs w:val="24"/>
        </w:rPr>
        <w:t xml:space="preserve"> develop secure attachments and bonds with their primary caregivers</w:t>
      </w:r>
      <w:r w:rsidR="005232B6" w:rsidRPr="00E239D7">
        <w:rPr>
          <w:rFonts w:ascii="Arial" w:hAnsi="Arial" w:cs="Arial"/>
          <w:sz w:val="24"/>
          <w:szCs w:val="24"/>
        </w:rPr>
        <w:t xml:space="preserve"> (Bowlby, 1958).</w:t>
      </w:r>
      <w:r w:rsidRPr="00E239D7">
        <w:rPr>
          <w:rFonts w:ascii="Arial" w:hAnsi="Arial" w:cs="Arial"/>
          <w:sz w:val="24"/>
          <w:szCs w:val="24"/>
        </w:rPr>
        <w:t xml:space="preserve"> They learn first and foremost from what is experienced within their home environment. This could be a positive or negative influence on how the child develops over those first few years, and the result of these experiences are reflected throughout adolescence, in which we will also go on to explore. However, it can be said that adolescence is the most challenging stage of the human life course</w:t>
      </w:r>
      <w:r w:rsidR="005232B6" w:rsidRPr="00E239D7">
        <w:rPr>
          <w:rFonts w:ascii="Arial" w:hAnsi="Arial" w:cs="Arial"/>
          <w:sz w:val="24"/>
          <w:szCs w:val="24"/>
        </w:rPr>
        <w:t xml:space="preserve"> (Coleman, 2011, p.3),</w:t>
      </w:r>
      <w:r w:rsidRPr="00E239D7">
        <w:rPr>
          <w:rFonts w:ascii="Arial" w:hAnsi="Arial" w:cs="Arial"/>
          <w:sz w:val="24"/>
          <w:szCs w:val="24"/>
        </w:rPr>
        <w:t xml:space="preserve"> because of the biological, psychosocial, and cognitive changes associated to the developing adolescent brain. Adolescence is broadly described as a transitional period of development between childhood and adulthood, with the many psychological and academic studies focusing on the age of 11 to 25 years</w:t>
      </w:r>
      <w:r w:rsidR="005232B6" w:rsidRPr="00E239D7">
        <w:rPr>
          <w:rFonts w:ascii="Arial" w:hAnsi="Arial" w:cs="Arial"/>
          <w:sz w:val="24"/>
          <w:szCs w:val="24"/>
        </w:rPr>
        <w:t xml:space="preserve"> (Casey, </w:t>
      </w:r>
      <w:proofErr w:type="spellStart"/>
      <w:r w:rsidR="005232B6" w:rsidRPr="00E239D7">
        <w:rPr>
          <w:rFonts w:ascii="Arial" w:hAnsi="Arial" w:cs="Arial"/>
          <w:sz w:val="24"/>
          <w:szCs w:val="24"/>
        </w:rPr>
        <w:t>Duhoux</w:t>
      </w:r>
      <w:proofErr w:type="spellEnd"/>
      <w:r w:rsidR="005232B6" w:rsidRPr="00E239D7">
        <w:rPr>
          <w:rFonts w:ascii="Arial" w:hAnsi="Arial" w:cs="Arial"/>
          <w:sz w:val="24"/>
          <w:szCs w:val="24"/>
        </w:rPr>
        <w:t xml:space="preserve"> and Cohen, 2010). </w:t>
      </w:r>
      <w:r w:rsidRPr="00E239D7">
        <w:rPr>
          <w:rFonts w:ascii="Arial" w:hAnsi="Arial" w:cs="Arial"/>
          <w:sz w:val="24"/>
          <w:szCs w:val="24"/>
        </w:rPr>
        <w:t xml:space="preserve">However, this is not to say that all young </w:t>
      </w:r>
      <w:r w:rsidRPr="00E239D7">
        <w:rPr>
          <w:rFonts w:ascii="Arial" w:hAnsi="Arial" w:cs="Arial"/>
          <w:sz w:val="24"/>
          <w:szCs w:val="24"/>
        </w:rPr>
        <w:lastRenderedPageBreak/>
        <w:t>people may not experience the onset of adolescence, such as the on start of puberty as young as 10, as different factors can influence physical development. The brain goes through an array of changes from the start of the adolescent life stage and is called the adolescent brain. The brain is the main antagonist for how young people think as it is linked with the cognitive changes that happen</w:t>
      </w:r>
      <w:r w:rsidR="005232B6" w:rsidRPr="00E239D7">
        <w:rPr>
          <w:rFonts w:ascii="Arial" w:hAnsi="Arial" w:cs="Arial"/>
          <w:sz w:val="24"/>
          <w:szCs w:val="24"/>
        </w:rPr>
        <w:t xml:space="preserve"> (Byrnes 2001b; Johnson,1997</w:t>
      </w:r>
      <w:r w:rsidR="000C55FA" w:rsidRPr="00E239D7">
        <w:rPr>
          <w:rFonts w:ascii="Arial" w:hAnsi="Arial" w:cs="Arial"/>
          <w:sz w:val="24"/>
          <w:szCs w:val="24"/>
        </w:rPr>
        <w:t>, cited in Blackwell’s Handbook of Adolescence, 2003, Pp.223,224)</w:t>
      </w:r>
      <w:r w:rsidR="005232B6" w:rsidRPr="00E239D7">
        <w:rPr>
          <w:rFonts w:ascii="Arial" w:hAnsi="Arial" w:cs="Arial"/>
          <w:sz w:val="24"/>
          <w:szCs w:val="24"/>
        </w:rPr>
        <w:t xml:space="preserve">, </w:t>
      </w:r>
      <w:r w:rsidRPr="00E239D7">
        <w:rPr>
          <w:rFonts w:ascii="Arial" w:hAnsi="Arial" w:cs="Arial"/>
          <w:sz w:val="24"/>
          <w:szCs w:val="24"/>
        </w:rPr>
        <w:t>which influence the thought processes and hormones of young people. (Blakemore</w:t>
      </w:r>
      <w:r w:rsidR="009D2D8B" w:rsidRPr="00E239D7">
        <w:rPr>
          <w:rFonts w:ascii="Arial" w:hAnsi="Arial" w:cs="Arial"/>
          <w:sz w:val="24"/>
          <w:szCs w:val="24"/>
        </w:rPr>
        <w:t xml:space="preserve"> Et. Al, </w:t>
      </w:r>
      <w:r w:rsidRPr="00E239D7">
        <w:rPr>
          <w:rFonts w:ascii="Arial" w:hAnsi="Arial" w:cs="Arial"/>
          <w:sz w:val="24"/>
          <w:szCs w:val="24"/>
        </w:rPr>
        <w:t xml:space="preserve">2007). </w:t>
      </w:r>
    </w:p>
    <w:p w14:paraId="558CFFCA" w14:textId="5D29F2FC" w:rsidR="0038478D" w:rsidRPr="00E239D7" w:rsidRDefault="0038478D" w:rsidP="00E239D7">
      <w:pPr>
        <w:spacing w:line="480" w:lineRule="auto"/>
        <w:rPr>
          <w:rFonts w:ascii="Arial" w:hAnsi="Arial" w:cs="Arial"/>
          <w:sz w:val="24"/>
          <w:szCs w:val="24"/>
        </w:rPr>
      </w:pPr>
      <w:r w:rsidRPr="00E239D7">
        <w:rPr>
          <w:rFonts w:ascii="Arial" w:hAnsi="Arial" w:cs="Arial"/>
          <w:sz w:val="24"/>
          <w:szCs w:val="24"/>
        </w:rPr>
        <w:t xml:space="preserve">Although adolescence is the time where young people move away from their families </w:t>
      </w:r>
      <w:r w:rsidR="005232B6" w:rsidRPr="00E239D7">
        <w:rPr>
          <w:rFonts w:ascii="Arial" w:hAnsi="Arial" w:cs="Arial"/>
          <w:sz w:val="24"/>
          <w:szCs w:val="24"/>
        </w:rPr>
        <w:t>(Brown, 199</w:t>
      </w:r>
      <w:r w:rsidR="000E3F61" w:rsidRPr="00E239D7">
        <w:rPr>
          <w:rFonts w:ascii="Arial" w:hAnsi="Arial" w:cs="Arial"/>
          <w:sz w:val="24"/>
          <w:szCs w:val="24"/>
        </w:rPr>
        <w:t>0</w:t>
      </w:r>
      <w:r w:rsidR="005232B6" w:rsidRPr="00E239D7">
        <w:rPr>
          <w:rFonts w:ascii="Arial" w:hAnsi="Arial" w:cs="Arial"/>
          <w:sz w:val="24"/>
          <w:szCs w:val="24"/>
        </w:rPr>
        <w:t xml:space="preserve">) </w:t>
      </w:r>
      <w:r w:rsidRPr="00E239D7">
        <w:rPr>
          <w:rFonts w:ascii="Arial" w:hAnsi="Arial" w:cs="Arial"/>
          <w:sz w:val="24"/>
          <w:szCs w:val="24"/>
        </w:rPr>
        <w:t>and look to support from their peers, we need to be cautious that although there are many environmental, and social factors that can impact on how young people think, feel and act, biologically, it is the developing brain that is the culprit for many challenges young people face</w:t>
      </w:r>
      <w:r w:rsidR="00D23C42" w:rsidRPr="00E239D7">
        <w:rPr>
          <w:rFonts w:ascii="Arial" w:hAnsi="Arial" w:cs="Arial"/>
          <w:sz w:val="24"/>
          <w:szCs w:val="24"/>
        </w:rPr>
        <w:t xml:space="preserve"> (Steinberg,2008).</w:t>
      </w:r>
      <w:r w:rsidRPr="00E239D7">
        <w:rPr>
          <w:rFonts w:ascii="Arial" w:hAnsi="Arial" w:cs="Arial"/>
          <w:sz w:val="24"/>
          <w:szCs w:val="24"/>
        </w:rPr>
        <w:t xml:space="preserve"> For example, if we reflect on a some of the challenges we have experienced in our adolescent years, we may recall on these at the time as big issues. However now, upon reflection these may or may not have been relatively small if seen from an adult perspective. For young people experiencing adolescence, we need to be mindful that although young people are no longer children, they do lack common sense and understanding which can result in young people experiencing mental health disorders such as anxiety and depression, and engaging in risky or violent, reckless behaviour. The reason for this is more complex such as synaptic pruning (Sakai, 2020) in the prefrontal cortex of the brain, and the limbic system area of the brain which is responsible for how we feel and our emotions. (Coleman, 2011, p.25).</w:t>
      </w:r>
    </w:p>
    <w:p w14:paraId="79EA9C7B" w14:textId="2A4AD316" w:rsidR="0038478D" w:rsidRPr="00E239D7" w:rsidRDefault="000C1600" w:rsidP="00E239D7">
      <w:pPr>
        <w:spacing w:line="480" w:lineRule="auto"/>
        <w:rPr>
          <w:rFonts w:ascii="Arial" w:hAnsi="Arial" w:cs="Arial"/>
          <w:sz w:val="24"/>
          <w:szCs w:val="24"/>
        </w:rPr>
      </w:pPr>
      <w:r w:rsidRPr="00E239D7">
        <w:rPr>
          <w:rFonts w:ascii="Arial" w:hAnsi="Arial" w:cs="Arial"/>
          <w:sz w:val="24"/>
          <w:szCs w:val="24"/>
        </w:rPr>
        <w:t xml:space="preserve">It is crucial that </w:t>
      </w:r>
      <w:r w:rsidR="0038478D" w:rsidRPr="00E239D7">
        <w:rPr>
          <w:rFonts w:ascii="Arial" w:hAnsi="Arial" w:cs="Arial"/>
          <w:sz w:val="24"/>
          <w:szCs w:val="24"/>
        </w:rPr>
        <w:t xml:space="preserve">Youth workers </w:t>
      </w:r>
      <w:r w:rsidRPr="00E239D7">
        <w:rPr>
          <w:rFonts w:ascii="Arial" w:hAnsi="Arial" w:cs="Arial"/>
          <w:sz w:val="24"/>
          <w:szCs w:val="24"/>
        </w:rPr>
        <w:t xml:space="preserve">are equipped with an adequate amount of knowledge on adolescent development to get on the same wavelength as young people. Having </w:t>
      </w:r>
      <w:r w:rsidRPr="00E239D7">
        <w:rPr>
          <w:rFonts w:ascii="Arial" w:hAnsi="Arial" w:cs="Arial"/>
          <w:sz w:val="24"/>
          <w:szCs w:val="24"/>
        </w:rPr>
        <w:lastRenderedPageBreak/>
        <w:t>adequate knowledge means youth workers can understand and relate to young people’s challenges they are experiencing, encouraging those important professional relationships to build and flourish on mutual understanding and respect</w:t>
      </w:r>
      <w:r w:rsidR="00D23C42" w:rsidRPr="00E239D7">
        <w:rPr>
          <w:rFonts w:ascii="Arial" w:hAnsi="Arial" w:cs="Arial"/>
          <w:sz w:val="24"/>
          <w:szCs w:val="24"/>
        </w:rPr>
        <w:t xml:space="preserve"> (</w:t>
      </w:r>
      <w:proofErr w:type="spellStart"/>
      <w:r w:rsidR="00D23C42" w:rsidRPr="00E239D7">
        <w:rPr>
          <w:rFonts w:ascii="Arial" w:hAnsi="Arial" w:cs="Arial"/>
          <w:sz w:val="24"/>
          <w:szCs w:val="24"/>
        </w:rPr>
        <w:t>Sapin</w:t>
      </w:r>
      <w:proofErr w:type="spellEnd"/>
      <w:r w:rsidR="00D23C42" w:rsidRPr="00E239D7">
        <w:rPr>
          <w:rFonts w:ascii="Arial" w:hAnsi="Arial" w:cs="Arial"/>
          <w:sz w:val="24"/>
          <w:szCs w:val="24"/>
        </w:rPr>
        <w:t xml:space="preserve">, 2013, Pp.60-61). </w:t>
      </w:r>
      <w:r w:rsidR="003851A5" w:rsidRPr="00E239D7">
        <w:rPr>
          <w:rFonts w:ascii="Arial" w:hAnsi="Arial" w:cs="Arial"/>
          <w:sz w:val="24"/>
          <w:szCs w:val="24"/>
        </w:rPr>
        <w:t xml:space="preserve">Understanding cognitive and biological changes within the body and the brain ensure that youth workers are more aware of what young people are experiencing </w:t>
      </w:r>
      <w:r w:rsidR="00CB1D53" w:rsidRPr="00E239D7">
        <w:rPr>
          <w:rFonts w:ascii="Arial" w:hAnsi="Arial" w:cs="Arial"/>
          <w:sz w:val="24"/>
          <w:szCs w:val="24"/>
        </w:rPr>
        <w:t>physically and mentally. They are able</w:t>
      </w:r>
      <w:r w:rsidR="003851A5" w:rsidRPr="00E239D7">
        <w:rPr>
          <w:rFonts w:ascii="Arial" w:hAnsi="Arial" w:cs="Arial"/>
          <w:sz w:val="24"/>
          <w:szCs w:val="24"/>
        </w:rPr>
        <w:t xml:space="preserve"> focus on ensuring that </w:t>
      </w:r>
      <w:r w:rsidR="00CB1D53" w:rsidRPr="00E239D7">
        <w:rPr>
          <w:rFonts w:ascii="Arial" w:hAnsi="Arial" w:cs="Arial"/>
          <w:sz w:val="24"/>
          <w:szCs w:val="24"/>
        </w:rPr>
        <w:t>young people’s</w:t>
      </w:r>
      <w:r w:rsidR="003851A5" w:rsidRPr="00E239D7">
        <w:rPr>
          <w:rFonts w:ascii="Arial" w:hAnsi="Arial" w:cs="Arial"/>
          <w:sz w:val="24"/>
          <w:szCs w:val="24"/>
        </w:rPr>
        <w:t xml:space="preserve"> </w:t>
      </w:r>
      <w:r w:rsidR="00CB1D53" w:rsidRPr="00E239D7">
        <w:rPr>
          <w:rFonts w:ascii="Arial" w:hAnsi="Arial" w:cs="Arial"/>
          <w:sz w:val="24"/>
          <w:szCs w:val="24"/>
        </w:rPr>
        <w:t xml:space="preserve">overall </w:t>
      </w:r>
      <w:r w:rsidR="003851A5" w:rsidRPr="00E239D7">
        <w:rPr>
          <w:rFonts w:ascii="Arial" w:hAnsi="Arial" w:cs="Arial"/>
          <w:sz w:val="24"/>
          <w:szCs w:val="24"/>
        </w:rPr>
        <w:t xml:space="preserve">wellbeing is supported enough to </w:t>
      </w:r>
      <w:r w:rsidR="00CB1D53" w:rsidRPr="00E239D7">
        <w:rPr>
          <w:rFonts w:ascii="Arial" w:hAnsi="Arial" w:cs="Arial"/>
          <w:sz w:val="24"/>
          <w:szCs w:val="24"/>
        </w:rPr>
        <w:t>be able to support young people to flourish in all areas of their lives</w:t>
      </w:r>
      <w:r w:rsidR="00D23C42" w:rsidRPr="00E239D7">
        <w:rPr>
          <w:rFonts w:ascii="Arial" w:hAnsi="Arial" w:cs="Arial"/>
          <w:sz w:val="24"/>
          <w:szCs w:val="24"/>
        </w:rPr>
        <w:t>.</w:t>
      </w:r>
    </w:p>
    <w:p w14:paraId="6D933CD6" w14:textId="7A84FE77" w:rsidR="005962C1" w:rsidRPr="00E239D7" w:rsidRDefault="00D23C42" w:rsidP="00E239D7">
      <w:pPr>
        <w:spacing w:line="480" w:lineRule="auto"/>
        <w:rPr>
          <w:rFonts w:ascii="Arial" w:hAnsi="Arial" w:cs="Arial"/>
          <w:sz w:val="24"/>
          <w:szCs w:val="24"/>
        </w:rPr>
      </w:pPr>
      <w:r w:rsidRPr="00E239D7">
        <w:rPr>
          <w:rFonts w:ascii="Arial" w:hAnsi="Arial" w:cs="Arial"/>
          <w:sz w:val="24"/>
          <w:szCs w:val="24"/>
        </w:rPr>
        <w:t>According to the National youth strategy of Wales (2019, p.11), to</w:t>
      </w:r>
      <w:r w:rsidR="005962C1" w:rsidRPr="00E239D7">
        <w:rPr>
          <w:rFonts w:ascii="Arial" w:hAnsi="Arial" w:cs="Arial"/>
          <w:sz w:val="24"/>
          <w:szCs w:val="24"/>
        </w:rPr>
        <w:t xml:space="preserve"> be able to flourish or thrive we need to ensure that we feel happy. Happiness is not the same as wellbeing, although the elements of ‘life satisfaction’ and ‘personal satisfaction’ both constitute as happiness and achieving wellbeing. Before we go on to look more in depth at wellbeing it is important to distinguish the differences between both. Happiness can be defined as a current ‘state of mind’ or ‘euphoria’ at that time that makes us feel good. According to Happiness and Wellbeing. Org, (2022) happiness can be defined as a ‘positive emotional condition’. The author also believes that happiness is not constant. Happiness is a temporary state of feeling. On the contrary, understanding wellbeing is more complex. Wellbeing is more consistent with maintaining a positive state of mind that is influenced by personal and external factors in which we will now go on to look at. </w:t>
      </w:r>
    </w:p>
    <w:p w14:paraId="52AFEE59" w14:textId="46651E58" w:rsidR="00084783" w:rsidRPr="00E239D7" w:rsidRDefault="00C23F71" w:rsidP="00E239D7">
      <w:pPr>
        <w:spacing w:line="480" w:lineRule="auto"/>
        <w:rPr>
          <w:rFonts w:ascii="Arial" w:hAnsi="Arial" w:cs="Arial"/>
          <w:sz w:val="24"/>
          <w:szCs w:val="24"/>
        </w:rPr>
      </w:pPr>
      <w:r w:rsidRPr="00E239D7">
        <w:rPr>
          <w:rFonts w:ascii="Arial" w:hAnsi="Arial" w:cs="Arial"/>
          <w:sz w:val="24"/>
          <w:szCs w:val="24"/>
        </w:rPr>
        <w:t>Western and Tomaszewski have defined wellbeing within their work as the follow</w:t>
      </w:r>
      <w:r w:rsidR="005962C1" w:rsidRPr="00E239D7">
        <w:rPr>
          <w:rFonts w:ascii="Arial" w:hAnsi="Arial" w:cs="Arial"/>
          <w:sz w:val="24"/>
          <w:szCs w:val="24"/>
        </w:rPr>
        <w:t>s</w:t>
      </w:r>
      <w:r w:rsidRPr="00E239D7">
        <w:rPr>
          <w:rFonts w:ascii="Arial" w:hAnsi="Arial" w:cs="Arial"/>
          <w:sz w:val="24"/>
          <w:szCs w:val="24"/>
        </w:rPr>
        <w:t xml:space="preserve">: </w:t>
      </w:r>
    </w:p>
    <w:p w14:paraId="656FF30F" w14:textId="12CC6815" w:rsidR="00C23F71" w:rsidRPr="00E239D7" w:rsidRDefault="00C23F71" w:rsidP="00E239D7">
      <w:pPr>
        <w:spacing w:line="480" w:lineRule="auto"/>
        <w:rPr>
          <w:rFonts w:ascii="Arial" w:hAnsi="Arial" w:cs="Arial"/>
          <w:sz w:val="24"/>
          <w:szCs w:val="24"/>
        </w:rPr>
      </w:pPr>
    </w:p>
    <w:p w14:paraId="2FE5FDDA" w14:textId="77777777" w:rsidR="00C23F71" w:rsidRPr="00E239D7" w:rsidRDefault="00C23F71" w:rsidP="00E239D7">
      <w:pPr>
        <w:spacing w:line="480" w:lineRule="auto"/>
        <w:ind w:left="720"/>
        <w:rPr>
          <w:rFonts w:ascii="Arial" w:hAnsi="Arial" w:cs="Arial"/>
          <w:sz w:val="24"/>
          <w:szCs w:val="24"/>
        </w:rPr>
      </w:pPr>
      <w:r w:rsidRPr="00E239D7">
        <w:rPr>
          <w:rFonts w:ascii="Arial" w:hAnsi="Arial" w:cs="Arial"/>
          <w:sz w:val="24"/>
          <w:szCs w:val="24"/>
        </w:rPr>
        <w:t>‘’Wellbeing, a concept that refers to people’s capacity to live healthy, creative, and happy lives’’…</w:t>
      </w:r>
    </w:p>
    <w:p w14:paraId="25485B01" w14:textId="77777777" w:rsidR="00C23F71" w:rsidRPr="00E239D7" w:rsidRDefault="00C23F71" w:rsidP="00E239D7">
      <w:pPr>
        <w:spacing w:line="480" w:lineRule="auto"/>
        <w:ind w:left="720"/>
        <w:rPr>
          <w:rFonts w:ascii="Arial" w:hAnsi="Arial" w:cs="Arial"/>
          <w:sz w:val="24"/>
          <w:szCs w:val="24"/>
        </w:rPr>
      </w:pPr>
      <w:r w:rsidRPr="00E239D7">
        <w:rPr>
          <w:rFonts w:ascii="Arial" w:hAnsi="Arial" w:cs="Arial"/>
          <w:sz w:val="24"/>
          <w:szCs w:val="24"/>
        </w:rPr>
        <w:lastRenderedPageBreak/>
        <w:t xml:space="preserve">                                                 (Western and Tomaszewski, 2016, p.1)</w:t>
      </w:r>
    </w:p>
    <w:p w14:paraId="46C1BB1B" w14:textId="1133CD9C" w:rsidR="00C23F71" w:rsidRPr="00E239D7" w:rsidRDefault="00C23F71" w:rsidP="00E239D7">
      <w:pPr>
        <w:spacing w:line="480" w:lineRule="auto"/>
        <w:rPr>
          <w:rFonts w:ascii="Arial" w:hAnsi="Arial" w:cs="Arial"/>
          <w:sz w:val="24"/>
          <w:szCs w:val="24"/>
        </w:rPr>
      </w:pPr>
    </w:p>
    <w:p w14:paraId="7DE0863F" w14:textId="0E44D8F6" w:rsidR="00C23F71" w:rsidRPr="00E239D7" w:rsidRDefault="00C23F71" w:rsidP="00E239D7">
      <w:pPr>
        <w:spacing w:line="480" w:lineRule="auto"/>
        <w:rPr>
          <w:rFonts w:ascii="Arial" w:hAnsi="Arial" w:cs="Arial"/>
          <w:sz w:val="24"/>
          <w:szCs w:val="24"/>
        </w:rPr>
      </w:pPr>
      <w:r w:rsidRPr="00E239D7">
        <w:rPr>
          <w:rFonts w:ascii="Arial" w:hAnsi="Arial" w:cs="Arial"/>
          <w:sz w:val="24"/>
          <w:szCs w:val="24"/>
        </w:rPr>
        <w:t xml:space="preserve">In addition to this, </w:t>
      </w:r>
      <w:r w:rsidR="00CB1D53" w:rsidRPr="00E239D7">
        <w:rPr>
          <w:rFonts w:ascii="Arial" w:hAnsi="Arial" w:cs="Arial"/>
          <w:sz w:val="24"/>
          <w:szCs w:val="24"/>
        </w:rPr>
        <w:t xml:space="preserve">wellbeing could be used as a term to describe life satisfaction in which for example, we may be feeling happy and physically healthy, but unhappy within the environment we live in. </w:t>
      </w:r>
      <w:r w:rsidR="00D23C42" w:rsidRPr="00E239D7">
        <w:rPr>
          <w:rFonts w:ascii="Arial" w:hAnsi="Arial" w:cs="Arial"/>
          <w:sz w:val="24"/>
          <w:szCs w:val="24"/>
        </w:rPr>
        <w:t>Some t</w:t>
      </w:r>
      <w:r w:rsidR="00CB1D53" w:rsidRPr="00E239D7">
        <w:rPr>
          <w:rFonts w:ascii="Arial" w:hAnsi="Arial" w:cs="Arial"/>
          <w:sz w:val="24"/>
          <w:szCs w:val="24"/>
        </w:rPr>
        <w:t>heorists believe that ultimate wellbeing consists of happy mind, happy body, and good physical health</w:t>
      </w:r>
      <w:r w:rsidR="00D23C42" w:rsidRPr="00E239D7">
        <w:rPr>
          <w:rFonts w:ascii="Arial" w:hAnsi="Arial" w:cs="Arial"/>
          <w:sz w:val="24"/>
          <w:szCs w:val="24"/>
        </w:rPr>
        <w:t xml:space="preserve"> (Ru</w:t>
      </w:r>
      <w:r w:rsidR="00771370" w:rsidRPr="00E239D7">
        <w:rPr>
          <w:rFonts w:ascii="Arial" w:hAnsi="Arial" w:cs="Arial"/>
          <w:sz w:val="24"/>
          <w:szCs w:val="24"/>
        </w:rPr>
        <w:t>gg</w:t>
      </w:r>
      <w:r w:rsidR="00D23C42" w:rsidRPr="00E239D7">
        <w:rPr>
          <w:rFonts w:ascii="Arial" w:hAnsi="Arial" w:cs="Arial"/>
          <w:sz w:val="24"/>
          <w:szCs w:val="24"/>
        </w:rPr>
        <w:t>ieri et.al, 2020).</w:t>
      </w:r>
      <w:r w:rsidR="00CB1D53" w:rsidRPr="00E239D7">
        <w:rPr>
          <w:rFonts w:ascii="Arial" w:hAnsi="Arial" w:cs="Arial"/>
          <w:sz w:val="24"/>
          <w:szCs w:val="24"/>
        </w:rPr>
        <w:t xml:space="preserve"> If a person feels they are thriving in two areas, for example, feeling happy and physically healthy, and feeling not quite satisfied because of for example, suffering with anxiety, then that could indicate that a person does not have complete wellbeing. </w:t>
      </w:r>
      <w:r w:rsidR="00207520" w:rsidRPr="00E239D7">
        <w:rPr>
          <w:rFonts w:ascii="Arial" w:hAnsi="Arial" w:cs="Arial"/>
          <w:sz w:val="24"/>
          <w:szCs w:val="24"/>
        </w:rPr>
        <w:t xml:space="preserve">Many will agree that </w:t>
      </w:r>
      <w:r w:rsidR="00CB1D53" w:rsidRPr="00E239D7">
        <w:rPr>
          <w:rFonts w:ascii="Arial" w:hAnsi="Arial" w:cs="Arial"/>
          <w:sz w:val="24"/>
          <w:szCs w:val="24"/>
        </w:rPr>
        <w:t xml:space="preserve">wellbeing is not easy to measure. Happiness is not easy to measure, and health most </w:t>
      </w:r>
      <w:proofErr w:type="gramStart"/>
      <w:r w:rsidR="00CB1D53" w:rsidRPr="00E239D7">
        <w:rPr>
          <w:rFonts w:ascii="Arial" w:hAnsi="Arial" w:cs="Arial"/>
          <w:sz w:val="24"/>
          <w:szCs w:val="24"/>
        </w:rPr>
        <w:t>definitely cannot</w:t>
      </w:r>
      <w:proofErr w:type="gramEnd"/>
      <w:r w:rsidR="00CB1D53" w:rsidRPr="00E239D7">
        <w:rPr>
          <w:rFonts w:ascii="Arial" w:hAnsi="Arial" w:cs="Arial"/>
          <w:sz w:val="24"/>
          <w:szCs w:val="24"/>
        </w:rPr>
        <w:t xml:space="preserve"> easily be measured. There needs to be considerations to the approaches and methods we use to be able to affectively measure wellbeing and happiness. Firstly, it is important to be able to understand what the differences are between subjective and objective wellbeing, and by having a clearer understanding of the differences of both, we are possibly able to understand just how our own perspective can determine how we view, experience and measure wellbeing. </w:t>
      </w:r>
    </w:p>
    <w:p w14:paraId="29D2171C" w14:textId="0E8B4AFB" w:rsidR="00084783" w:rsidRPr="00E239D7" w:rsidRDefault="00084783" w:rsidP="00E239D7">
      <w:pPr>
        <w:spacing w:line="480" w:lineRule="auto"/>
        <w:rPr>
          <w:rFonts w:ascii="Arial" w:hAnsi="Arial" w:cs="Arial"/>
          <w:sz w:val="24"/>
          <w:szCs w:val="24"/>
        </w:rPr>
      </w:pPr>
      <w:r w:rsidRPr="00E239D7">
        <w:rPr>
          <w:rFonts w:ascii="Arial" w:hAnsi="Arial" w:cs="Arial"/>
          <w:sz w:val="24"/>
          <w:szCs w:val="24"/>
        </w:rPr>
        <w:t>The concept of wellbeing can be divided into two perspectives- subjective and objective wellbeing. Subjective wellbeing relates to the inner, moral psychological aspect of personal wellbeing (</w:t>
      </w:r>
      <w:proofErr w:type="spellStart"/>
      <w:r w:rsidRPr="00E239D7">
        <w:rPr>
          <w:rFonts w:ascii="Arial" w:hAnsi="Arial" w:cs="Arial"/>
          <w:sz w:val="24"/>
          <w:szCs w:val="24"/>
        </w:rPr>
        <w:t>Alatartseva</w:t>
      </w:r>
      <w:proofErr w:type="spellEnd"/>
      <w:r w:rsidRPr="00E239D7">
        <w:rPr>
          <w:rFonts w:ascii="Arial" w:hAnsi="Arial" w:cs="Arial"/>
          <w:sz w:val="24"/>
          <w:szCs w:val="24"/>
        </w:rPr>
        <w:t xml:space="preserve"> and </w:t>
      </w:r>
      <w:proofErr w:type="spellStart"/>
      <w:r w:rsidRPr="00E239D7">
        <w:rPr>
          <w:rFonts w:ascii="Arial" w:hAnsi="Arial" w:cs="Arial"/>
          <w:sz w:val="24"/>
          <w:szCs w:val="24"/>
        </w:rPr>
        <w:t>Barysheva</w:t>
      </w:r>
      <w:proofErr w:type="spellEnd"/>
      <w:r w:rsidRPr="00E239D7">
        <w:rPr>
          <w:rFonts w:ascii="Arial" w:hAnsi="Arial" w:cs="Arial"/>
          <w:sz w:val="24"/>
          <w:szCs w:val="24"/>
        </w:rPr>
        <w:t xml:space="preserve">, 2015) therefore relating to how personally satisfied we feel with life, with Objective wellbeing relating to our external environment such as how comfortable and happy we feel living within society. </w:t>
      </w:r>
      <w:proofErr w:type="spellStart"/>
      <w:r w:rsidRPr="00E239D7">
        <w:rPr>
          <w:rFonts w:ascii="Arial" w:hAnsi="Arial" w:cs="Arial"/>
          <w:sz w:val="24"/>
          <w:szCs w:val="24"/>
        </w:rPr>
        <w:t>Alatartseva</w:t>
      </w:r>
      <w:proofErr w:type="spellEnd"/>
      <w:r w:rsidRPr="00E239D7">
        <w:rPr>
          <w:rFonts w:ascii="Arial" w:hAnsi="Arial" w:cs="Arial"/>
          <w:sz w:val="24"/>
          <w:szCs w:val="24"/>
        </w:rPr>
        <w:t xml:space="preserve"> and </w:t>
      </w:r>
      <w:proofErr w:type="spellStart"/>
      <w:r w:rsidRPr="00E239D7">
        <w:rPr>
          <w:rFonts w:ascii="Arial" w:hAnsi="Arial" w:cs="Arial"/>
          <w:sz w:val="24"/>
          <w:szCs w:val="24"/>
        </w:rPr>
        <w:t>Barysheva</w:t>
      </w:r>
      <w:proofErr w:type="spellEnd"/>
      <w:r w:rsidRPr="00E239D7">
        <w:rPr>
          <w:rFonts w:ascii="Arial" w:hAnsi="Arial" w:cs="Arial"/>
          <w:sz w:val="24"/>
          <w:szCs w:val="24"/>
        </w:rPr>
        <w:t xml:space="preserve"> (2015) also believe that both perspectives of wellbeing </w:t>
      </w:r>
      <w:r w:rsidR="00C23F71" w:rsidRPr="00E239D7">
        <w:rPr>
          <w:rFonts w:ascii="Arial" w:hAnsi="Arial" w:cs="Arial"/>
          <w:sz w:val="24"/>
          <w:szCs w:val="24"/>
        </w:rPr>
        <w:t>complement</w:t>
      </w:r>
      <w:r w:rsidRPr="00E239D7">
        <w:rPr>
          <w:rFonts w:ascii="Arial" w:hAnsi="Arial" w:cs="Arial"/>
          <w:sz w:val="24"/>
          <w:szCs w:val="24"/>
        </w:rPr>
        <w:t xml:space="preserve"> each other and consist of four concepts that can be seen to </w:t>
      </w:r>
      <w:r w:rsidRPr="00E239D7">
        <w:rPr>
          <w:rFonts w:ascii="Arial" w:hAnsi="Arial" w:cs="Arial"/>
          <w:sz w:val="24"/>
          <w:szCs w:val="24"/>
        </w:rPr>
        <w:lastRenderedPageBreak/>
        <w:t xml:space="preserve">make up ‘complete wellbeing’. These relate to personal harmony and self-satisfaction with life, including what we feel is personally good for us, opportunity to develop ourselves and realise our self-worth and value, and how society creates an environment that compliments all three of the above to live comfortably. The authors argue that if one of these concepts is missing, then ‘full wellbeing’ cannot be achieved. </w:t>
      </w:r>
    </w:p>
    <w:p w14:paraId="2AF4BC82" w14:textId="2480B721" w:rsidR="0047361C" w:rsidRPr="00E239D7" w:rsidRDefault="001243A7" w:rsidP="00E239D7">
      <w:pPr>
        <w:spacing w:line="480" w:lineRule="auto"/>
        <w:rPr>
          <w:rFonts w:ascii="Arial" w:hAnsi="Arial" w:cs="Arial"/>
          <w:sz w:val="24"/>
          <w:szCs w:val="24"/>
        </w:rPr>
      </w:pPr>
      <w:r w:rsidRPr="00E239D7">
        <w:rPr>
          <w:rFonts w:ascii="Arial" w:hAnsi="Arial" w:cs="Arial"/>
          <w:sz w:val="24"/>
          <w:szCs w:val="24"/>
        </w:rPr>
        <w:t>It is important to also include the concept of wellbeing from a medical perspective to demonstrate how broadly wellbeing can be defined through two disciplines- healthy promotion and psychology. For example, Tones and Green (2004</w:t>
      </w:r>
      <w:r w:rsidR="002D4B38" w:rsidRPr="00E239D7">
        <w:rPr>
          <w:rFonts w:ascii="Arial" w:hAnsi="Arial" w:cs="Arial"/>
          <w:sz w:val="24"/>
          <w:szCs w:val="24"/>
        </w:rPr>
        <w:t>, Pp.8-9</w:t>
      </w:r>
      <w:r w:rsidRPr="00E239D7">
        <w:rPr>
          <w:rFonts w:ascii="Arial" w:hAnsi="Arial" w:cs="Arial"/>
          <w:sz w:val="24"/>
          <w:szCs w:val="24"/>
        </w:rPr>
        <w:t xml:space="preserve">) describe health as a ‘contested concept’ in itself. They consider that wellbeing is defined as a quality of life and can be used as a determinant to describe the psychological aspect of health. An example being, that health </w:t>
      </w:r>
      <w:r w:rsidR="002D4B38" w:rsidRPr="00E239D7">
        <w:rPr>
          <w:rFonts w:ascii="Arial" w:hAnsi="Arial" w:cs="Arial"/>
          <w:sz w:val="24"/>
          <w:szCs w:val="24"/>
        </w:rPr>
        <w:t>is</w:t>
      </w:r>
      <w:r w:rsidRPr="00E239D7">
        <w:rPr>
          <w:rFonts w:ascii="Arial" w:hAnsi="Arial" w:cs="Arial"/>
          <w:sz w:val="24"/>
          <w:szCs w:val="24"/>
        </w:rPr>
        <w:t xml:space="preserve"> not just merely </w:t>
      </w:r>
      <w:r w:rsidR="002D4B38" w:rsidRPr="00E239D7">
        <w:rPr>
          <w:rFonts w:ascii="Arial" w:hAnsi="Arial" w:cs="Arial"/>
          <w:sz w:val="24"/>
          <w:szCs w:val="24"/>
        </w:rPr>
        <w:t xml:space="preserve">relating to illness and disease, it is in fact relating to the psychological aspect of what health means within that discipline. </w:t>
      </w:r>
      <w:r w:rsidR="00045021" w:rsidRPr="00E239D7">
        <w:rPr>
          <w:rFonts w:ascii="Arial" w:hAnsi="Arial" w:cs="Arial"/>
          <w:sz w:val="24"/>
          <w:szCs w:val="24"/>
        </w:rPr>
        <w:t xml:space="preserve">The world Health </w:t>
      </w:r>
      <w:r w:rsidR="000F227C" w:rsidRPr="00E239D7">
        <w:rPr>
          <w:rFonts w:ascii="Arial" w:hAnsi="Arial" w:cs="Arial"/>
          <w:sz w:val="24"/>
          <w:szCs w:val="24"/>
        </w:rPr>
        <w:t>Organisation (WHO)</w:t>
      </w:r>
      <w:r w:rsidR="00045021" w:rsidRPr="00E239D7">
        <w:rPr>
          <w:rFonts w:ascii="Arial" w:hAnsi="Arial" w:cs="Arial"/>
          <w:sz w:val="24"/>
          <w:szCs w:val="24"/>
        </w:rPr>
        <w:t xml:space="preserve"> describes the concept of health as ‘a state of complete physical, mental, and social wellbeing…’’</w:t>
      </w:r>
      <w:r w:rsidR="005C7B95" w:rsidRPr="00E239D7">
        <w:rPr>
          <w:rFonts w:ascii="Arial" w:hAnsi="Arial" w:cs="Arial"/>
          <w:sz w:val="24"/>
          <w:szCs w:val="24"/>
        </w:rPr>
        <w:t>.</w:t>
      </w:r>
      <w:r w:rsidR="00045021" w:rsidRPr="00E239D7">
        <w:rPr>
          <w:rFonts w:ascii="Arial" w:hAnsi="Arial" w:cs="Arial"/>
          <w:sz w:val="24"/>
          <w:szCs w:val="24"/>
        </w:rPr>
        <w:t xml:space="preserve"> (2022) </w:t>
      </w:r>
      <w:r w:rsidR="002D4B38" w:rsidRPr="00E239D7">
        <w:rPr>
          <w:rFonts w:ascii="Arial" w:hAnsi="Arial" w:cs="Arial"/>
          <w:sz w:val="24"/>
          <w:szCs w:val="24"/>
        </w:rPr>
        <w:t>This is important to understand that there are many disciplines that youth worker’s work alongside that have a different concept or definition of what constitutes as wellbeing. However,</w:t>
      </w:r>
      <w:r w:rsidR="0047361C" w:rsidRPr="00E239D7">
        <w:rPr>
          <w:rFonts w:ascii="Arial" w:hAnsi="Arial" w:cs="Arial"/>
          <w:sz w:val="24"/>
          <w:szCs w:val="24"/>
        </w:rPr>
        <w:t xml:space="preserve"> as youth workers we acknowledge</w:t>
      </w:r>
      <w:r w:rsidR="002D4B38" w:rsidRPr="00E239D7">
        <w:rPr>
          <w:rFonts w:ascii="Arial" w:hAnsi="Arial" w:cs="Arial"/>
          <w:sz w:val="24"/>
          <w:szCs w:val="24"/>
        </w:rPr>
        <w:t xml:space="preserve"> the difference in perspectives</w:t>
      </w:r>
      <w:r w:rsidR="0047361C" w:rsidRPr="00E239D7">
        <w:rPr>
          <w:rFonts w:ascii="Arial" w:hAnsi="Arial" w:cs="Arial"/>
          <w:sz w:val="24"/>
          <w:szCs w:val="24"/>
        </w:rPr>
        <w:t xml:space="preserve"> of</w:t>
      </w:r>
      <w:r w:rsidR="002D4B38" w:rsidRPr="00E239D7">
        <w:rPr>
          <w:rFonts w:ascii="Arial" w:hAnsi="Arial" w:cs="Arial"/>
          <w:sz w:val="24"/>
          <w:szCs w:val="24"/>
        </w:rPr>
        <w:t xml:space="preserve"> how certain disciplines may measure wellbeing subjectively or objectively</w:t>
      </w:r>
      <w:r w:rsidR="0047361C" w:rsidRPr="00E239D7">
        <w:rPr>
          <w:rFonts w:ascii="Arial" w:hAnsi="Arial" w:cs="Arial"/>
          <w:sz w:val="24"/>
          <w:szCs w:val="24"/>
        </w:rPr>
        <w:t xml:space="preserve">, and this could impact on how we may want to deliver or provide support to young people, as youth work is still a very commonly misunderstood profession that is often overlooked as not being as relevant to supporting young people as to some organisations that support young people’s mental health for example being- CAHMS. Youth work compliments medical interventions and provides a more holistic approach to enhancing the wellbeing and resilience of young people. </w:t>
      </w:r>
    </w:p>
    <w:p w14:paraId="49E88BF9" w14:textId="5CEBF0E5" w:rsidR="002D4B38" w:rsidRPr="00E239D7" w:rsidRDefault="0047361C" w:rsidP="00E239D7">
      <w:pPr>
        <w:spacing w:line="480" w:lineRule="auto"/>
        <w:rPr>
          <w:rFonts w:ascii="Arial" w:hAnsi="Arial" w:cs="Arial"/>
          <w:sz w:val="24"/>
          <w:szCs w:val="24"/>
        </w:rPr>
      </w:pPr>
      <w:r w:rsidRPr="00E239D7">
        <w:rPr>
          <w:rFonts w:ascii="Arial" w:hAnsi="Arial" w:cs="Arial"/>
          <w:sz w:val="24"/>
          <w:szCs w:val="24"/>
        </w:rPr>
        <w:lastRenderedPageBreak/>
        <w:t xml:space="preserve">How do we define youth work? There is </w:t>
      </w:r>
      <w:r w:rsidR="006C4DDA" w:rsidRPr="00E239D7">
        <w:rPr>
          <w:rFonts w:ascii="Arial" w:hAnsi="Arial" w:cs="Arial"/>
          <w:sz w:val="24"/>
          <w:szCs w:val="24"/>
        </w:rPr>
        <w:t>enough</w:t>
      </w:r>
      <w:r w:rsidRPr="00E239D7">
        <w:rPr>
          <w:rFonts w:ascii="Arial" w:hAnsi="Arial" w:cs="Arial"/>
          <w:sz w:val="24"/>
          <w:szCs w:val="24"/>
        </w:rPr>
        <w:t xml:space="preserve"> youth work literature within the field to suggest that youth workers often struggle to give an exact definition of what youth work </w:t>
      </w:r>
      <w:r w:rsidR="006C4DDA" w:rsidRPr="00E239D7">
        <w:rPr>
          <w:rFonts w:ascii="Arial" w:hAnsi="Arial" w:cs="Arial"/>
          <w:sz w:val="24"/>
          <w:szCs w:val="24"/>
        </w:rPr>
        <w:t>is</w:t>
      </w:r>
      <w:r w:rsidRPr="00E239D7">
        <w:rPr>
          <w:rFonts w:ascii="Arial" w:hAnsi="Arial" w:cs="Arial"/>
          <w:sz w:val="24"/>
          <w:szCs w:val="24"/>
        </w:rPr>
        <w:t xml:space="preserve">. The role of the youth worker is varied. It is that of a support worker, a teacher, a counsellor, a role model. How we work with young people </w:t>
      </w:r>
      <w:r w:rsidR="006C4DDA" w:rsidRPr="00E239D7">
        <w:rPr>
          <w:rFonts w:ascii="Arial" w:hAnsi="Arial" w:cs="Arial"/>
          <w:sz w:val="24"/>
          <w:szCs w:val="24"/>
        </w:rPr>
        <w:t>is not easy to define. However, we define youth work practice as working alongside young people to support them through adolescence, assisting them with their personal, social, and educational development which help them to prepare for adulthood</w:t>
      </w:r>
      <w:r w:rsidR="000F227C" w:rsidRPr="00E239D7">
        <w:rPr>
          <w:rFonts w:ascii="Arial" w:hAnsi="Arial" w:cs="Arial"/>
          <w:sz w:val="24"/>
          <w:szCs w:val="24"/>
        </w:rPr>
        <w:t xml:space="preserve"> (Department for Education, 20</w:t>
      </w:r>
      <w:r w:rsidR="008C48B9" w:rsidRPr="00E239D7">
        <w:rPr>
          <w:rFonts w:ascii="Arial" w:hAnsi="Arial" w:cs="Arial"/>
          <w:sz w:val="24"/>
          <w:szCs w:val="24"/>
        </w:rPr>
        <w:t>11</w:t>
      </w:r>
      <w:r w:rsidR="000F227C" w:rsidRPr="00E239D7">
        <w:rPr>
          <w:rFonts w:ascii="Arial" w:hAnsi="Arial" w:cs="Arial"/>
          <w:sz w:val="24"/>
          <w:szCs w:val="24"/>
        </w:rPr>
        <w:t>, p.1).</w:t>
      </w:r>
      <w:r w:rsidR="006C4DDA" w:rsidRPr="00E239D7">
        <w:rPr>
          <w:rFonts w:ascii="Arial" w:hAnsi="Arial" w:cs="Arial"/>
          <w:sz w:val="24"/>
          <w:szCs w:val="24"/>
        </w:rPr>
        <w:t xml:space="preserve"> </w:t>
      </w:r>
    </w:p>
    <w:p w14:paraId="31D0BCB7" w14:textId="6FC74698" w:rsidR="00045021" w:rsidRPr="00E239D7" w:rsidRDefault="006C4DDA" w:rsidP="00E239D7">
      <w:pPr>
        <w:spacing w:line="480" w:lineRule="auto"/>
        <w:rPr>
          <w:rFonts w:ascii="Arial" w:hAnsi="Arial" w:cs="Arial"/>
          <w:sz w:val="24"/>
          <w:szCs w:val="24"/>
        </w:rPr>
      </w:pPr>
      <w:r w:rsidRPr="00E239D7">
        <w:rPr>
          <w:rFonts w:ascii="Arial" w:hAnsi="Arial" w:cs="Arial"/>
          <w:sz w:val="24"/>
          <w:szCs w:val="24"/>
        </w:rPr>
        <w:t xml:space="preserve">Youth workers primarily work with young people aged 11 to 25, complimenting formal educational settings such as schools and colleges, and situated throughout various contexts across the communities we live in. </w:t>
      </w:r>
      <w:r w:rsidR="00045021" w:rsidRPr="00E239D7">
        <w:rPr>
          <w:rFonts w:ascii="Arial" w:hAnsi="Arial" w:cs="Arial"/>
          <w:sz w:val="24"/>
          <w:szCs w:val="24"/>
        </w:rPr>
        <w:t xml:space="preserve">The National Occupational Standards for Youth Work in Wales (CLD Standards Council, 2019) defines the purpose of youth work as: </w:t>
      </w:r>
    </w:p>
    <w:p w14:paraId="09698653" w14:textId="51A7CDD0" w:rsidR="00045021" w:rsidRPr="00E239D7" w:rsidRDefault="00045021" w:rsidP="00E239D7">
      <w:pPr>
        <w:spacing w:line="480" w:lineRule="auto"/>
        <w:ind w:left="720"/>
        <w:rPr>
          <w:rFonts w:ascii="Arial" w:hAnsi="Arial" w:cs="Arial"/>
          <w:sz w:val="24"/>
          <w:szCs w:val="24"/>
        </w:rPr>
      </w:pPr>
      <w:r w:rsidRPr="00E239D7">
        <w:rPr>
          <w:rFonts w:ascii="Arial" w:hAnsi="Arial" w:cs="Arial"/>
          <w:sz w:val="24"/>
          <w:szCs w:val="24"/>
        </w:rPr>
        <w:t>‘’The aim of youth work is to enable young people to develop holistically, working with them to facilitate their personal, social, and educational development, to enable them to develop their voice, influence, and place in society and to reach their full potential.’’</w:t>
      </w:r>
    </w:p>
    <w:p w14:paraId="6B92BDC1" w14:textId="4BDBC7C4" w:rsidR="00045021" w:rsidRPr="00E239D7" w:rsidRDefault="00045021" w:rsidP="00E239D7">
      <w:pPr>
        <w:spacing w:line="480" w:lineRule="auto"/>
        <w:ind w:left="720"/>
        <w:rPr>
          <w:rFonts w:ascii="Arial" w:hAnsi="Arial" w:cs="Arial"/>
          <w:sz w:val="24"/>
          <w:szCs w:val="24"/>
        </w:rPr>
      </w:pPr>
      <w:r w:rsidRPr="00E239D7">
        <w:rPr>
          <w:rFonts w:ascii="Arial" w:hAnsi="Arial" w:cs="Arial"/>
          <w:sz w:val="24"/>
          <w:szCs w:val="24"/>
        </w:rPr>
        <w:t xml:space="preserve">                                                                (CLD Standards Council, 2019)</w:t>
      </w:r>
    </w:p>
    <w:p w14:paraId="498B792D" w14:textId="2DAB9874" w:rsidR="005C7B95" w:rsidRPr="00E239D7" w:rsidRDefault="005C7B95" w:rsidP="00E239D7">
      <w:pPr>
        <w:spacing w:line="480" w:lineRule="auto"/>
        <w:rPr>
          <w:rFonts w:ascii="Arial" w:hAnsi="Arial" w:cs="Arial"/>
          <w:sz w:val="24"/>
          <w:szCs w:val="24"/>
        </w:rPr>
      </w:pPr>
      <w:r w:rsidRPr="00E239D7">
        <w:rPr>
          <w:rFonts w:ascii="Arial" w:hAnsi="Arial" w:cs="Arial"/>
          <w:sz w:val="24"/>
          <w:szCs w:val="24"/>
        </w:rPr>
        <w:t xml:space="preserve">The focus for this assignment is to demonstrate how youth worker support the wellbeing and resilience of the young people they work; therefore, we will go on to demonstrate how this has been achieved throughout the </w:t>
      </w:r>
      <w:proofErr w:type="gramStart"/>
      <w:r w:rsidRPr="00E239D7">
        <w:rPr>
          <w:rFonts w:ascii="Arial" w:hAnsi="Arial" w:cs="Arial"/>
          <w:sz w:val="24"/>
          <w:szCs w:val="24"/>
        </w:rPr>
        <w:t>authors</w:t>
      </w:r>
      <w:proofErr w:type="gramEnd"/>
      <w:r w:rsidRPr="00E239D7">
        <w:rPr>
          <w:rFonts w:ascii="Arial" w:hAnsi="Arial" w:cs="Arial"/>
          <w:sz w:val="24"/>
          <w:szCs w:val="24"/>
        </w:rPr>
        <w:t xml:space="preserve"> own practice. </w:t>
      </w:r>
    </w:p>
    <w:p w14:paraId="317C8155" w14:textId="404066B8" w:rsidR="00CC32B8" w:rsidRPr="00E239D7" w:rsidRDefault="005C7B95" w:rsidP="00E239D7">
      <w:pPr>
        <w:spacing w:line="480" w:lineRule="auto"/>
        <w:rPr>
          <w:rFonts w:ascii="Arial" w:hAnsi="Arial" w:cs="Arial"/>
          <w:sz w:val="24"/>
          <w:szCs w:val="24"/>
        </w:rPr>
      </w:pPr>
      <w:r w:rsidRPr="00E239D7">
        <w:rPr>
          <w:rFonts w:ascii="Arial" w:hAnsi="Arial" w:cs="Arial"/>
          <w:sz w:val="24"/>
          <w:szCs w:val="24"/>
        </w:rPr>
        <w:t>The author at the time of writing, is a level 6 youth work and social education student at the UWTSD, Carmarthen. The author has had to date over three years’ experience of working with young people</w:t>
      </w:r>
      <w:r w:rsidR="00CC32B8" w:rsidRPr="00E239D7">
        <w:rPr>
          <w:rFonts w:ascii="Arial" w:hAnsi="Arial" w:cs="Arial"/>
          <w:sz w:val="24"/>
          <w:szCs w:val="24"/>
        </w:rPr>
        <w:t xml:space="preserve"> primarily</w:t>
      </w:r>
      <w:r w:rsidRPr="00E239D7">
        <w:rPr>
          <w:rFonts w:ascii="Arial" w:hAnsi="Arial" w:cs="Arial"/>
          <w:sz w:val="24"/>
          <w:szCs w:val="24"/>
        </w:rPr>
        <w:t xml:space="preserve"> throughout youth club settings, </w:t>
      </w:r>
      <w:r w:rsidRPr="00E239D7">
        <w:rPr>
          <w:rFonts w:ascii="Arial" w:hAnsi="Arial" w:cs="Arial"/>
          <w:sz w:val="24"/>
          <w:szCs w:val="24"/>
        </w:rPr>
        <w:lastRenderedPageBreak/>
        <w:t xml:space="preserve">with young people aged 11 to 16. </w:t>
      </w:r>
      <w:r w:rsidR="00CC32B8" w:rsidRPr="00E239D7">
        <w:rPr>
          <w:rFonts w:ascii="Arial" w:hAnsi="Arial" w:cs="Arial"/>
          <w:sz w:val="24"/>
          <w:szCs w:val="24"/>
        </w:rPr>
        <w:t xml:space="preserve">The author is also a mother to four boys of whom are of adolescent age. This gives the added benefit of being a parent and applying nurturing and caring qualities to youth work practice as well as developing and strengthening parenting skills through the knowledge acquired from academic study and practice. </w:t>
      </w:r>
    </w:p>
    <w:p w14:paraId="38A63CE7" w14:textId="3542A79E" w:rsidR="0069353C" w:rsidRPr="00E239D7" w:rsidRDefault="00CC32B8" w:rsidP="00E239D7">
      <w:pPr>
        <w:spacing w:line="480" w:lineRule="auto"/>
        <w:rPr>
          <w:rFonts w:ascii="Arial" w:hAnsi="Arial" w:cs="Arial"/>
          <w:sz w:val="24"/>
          <w:szCs w:val="24"/>
        </w:rPr>
      </w:pPr>
      <w:r w:rsidRPr="00E239D7">
        <w:rPr>
          <w:rFonts w:ascii="Arial" w:hAnsi="Arial" w:cs="Arial"/>
          <w:sz w:val="24"/>
          <w:szCs w:val="24"/>
        </w:rPr>
        <w:t xml:space="preserve">The authors main interest when working with young people is ensuring that the wellbeing of young people is supported, and this has been made achievable through engaging in consulted with activities that aim to address wellbeing through making crafts such as dreamcatchers, worry dolls, and putting together anti- anxiety care packs with young people. </w:t>
      </w:r>
      <w:r w:rsidR="00594799" w:rsidRPr="00E239D7">
        <w:rPr>
          <w:rFonts w:ascii="Arial" w:hAnsi="Arial" w:cs="Arial"/>
          <w:sz w:val="24"/>
          <w:szCs w:val="24"/>
        </w:rPr>
        <w:t>Activities are the tools to ensuring that young people are learning, and young people wanted something interested to engage in that would enhance wellbeing, and where young people could develop new learning about different cultures and how other people across the world manage stress and anxiety which enhances wellbeing. Dreamcatchers are well known within the south American culture to help young people sleep. Sleep deprivation from anxiety, or illness can impact on the health and wellbeing of young people. Sleep deprivation can also be a barrier to young people learning effectively, which means that if this is a constant problem, being sleep deprived, then it could potentially end up with the young person not achieving academically, resulting in being identified as NEET</w:t>
      </w:r>
      <w:r w:rsidR="000F227C" w:rsidRPr="00E239D7">
        <w:rPr>
          <w:rFonts w:ascii="Arial" w:hAnsi="Arial" w:cs="Arial"/>
          <w:sz w:val="24"/>
          <w:szCs w:val="24"/>
        </w:rPr>
        <w:t xml:space="preserve"> (Not in Education, Employment or Training) in</w:t>
      </w:r>
      <w:r w:rsidR="00594799" w:rsidRPr="00E239D7">
        <w:rPr>
          <w:rFonts w:ascii="Arial" w:hAnsi="Arial" w:cs="Arial"/>
          <w:sz w:val="24"/>
          <w:szCs w:val="24"/>
        </w:rPr>
        <w:t xml:space="preserve"> later year. Worry dolls, </w:t>
      </w:r>
      <w:r w:rsidR="0069353C" w:rsidRPr="00E239D7">
        <w:rPr>
          <w:rFonts w:ascii="Arial" w:hAnsi="Arial" w:cs="Arial"/>
          <w:sz w:val="24"/>
          <w:szCs w:val="24"/>
        </w:rPr>
        <w:t>like</w:t>
      </w:r>
      <w:r w:rsidR="00594799" w:rsidRPr="00E239D7">
        <w:rPr>
          <w:rFonts w:ascii="Arial" w:hAnsi="Arial" w:cs="Arial"/>
          <w:sz w:val="24"/>
          <w:szCs w:val="24"/>
        </w:rPr>
        <w:t xml:space="preserve"> dreamcatchers are from Mexican origin </w:t>
      </w:r>
      <w:r w:rsidR="00F65D11" w:rsidRPr="00E239D7">
        <w:rPr>
          <w:rFonts w:ascii="Arial" w:hAnsi="Arial" w:cs="Arial"/>
          <w:sz w:val="24"/>
          <w:szCs w:val="24"/>
        </w:rPr>
        <w:t>and</w:t>
      </w:r>
      <w:r w:rsidR="0069353C" w:rsidRPr="00E239D7">
        <w:rPr>
          <w:rFonts w:ascii="Arial" w:hAnsi="Arial" w:cs="Arial"/>
          <w:sz w:val="24"/>
          <w:szCs w:val="24"/>
        </w:rPr>
        <w:t xml:space="preserve"> believed to eliminate anxiety and stress for young people and children</w:t>
      </w:r>
      <w:r w:rsidR="0091759C" w:rsidRPr="00E239D7">
        <w:rPr>
          <w:rFonts w:ascii="Arial" w:hAnsi="Arial" w:cs="Arial"/>
          <w:sz w:val="24"/>
          <w:szCs w:val="24"/>
        </w:rPr>
        <w:t xml:space="preserve"> (The Peace Foundation.co.uk). The</w:t>
      </w:r>
      <w:r w:rsidR="0069353C" w:rsidRPr="00E239D7">
        <w:rPr>
          <w:rFonts w:ascii="Arial" w:hAnsi="Arial" w:cs="Arial"/>
          <w:sz w:val="24"/>
          <w:szCs w:val="24"/>
        </w:rPr>
        <w:t xml:space="preserve"> activities were evaluated upon delivery and young people enjoyed learning about different cultures and engaging in making crafts. It is important to state that although these activities are spiritual and cultural, there was in no way any solid evidence that these would eliminate anxiety and sleep </w:t>
      </w:r>
      <w:r w:rsidR="0069353C" w:rsidRPr="00E239D7">
        <w:rPr>
          <w:rFonts w:ascii="Arial" w:hAnsi="Arial" w:cs="Arial"/>
          <w:sz w:val="24"/>
          <w:szCs w:val="24"/>
        </w:rPr>
        <w:lastRenderedPageBreak/>
        <w:t xml:space="preserve">deprivation, and this was explained to young people. It depends solely on the beliefs of the person making these. There is no personal judgement or personal beliefs that were put on young people prior to making these. </w:t>
      </w:r>
    </w:p>
    <w:p w14:paraId="322980A0" w14:textId="6885E78C" w:rsidR="0069353C" w:rsidRPr="00E239D7" w:rsidRDefault="0069353C" w:rsidP="00E239D7">
      <w:pPr>
        <w:spacing w:line="480" w:lineRule="auto"/>
        <w:rPr>
          <w:rFonts w:ascii="Arial" w:hAnsi="Arial" w:cs="Arial"/>
          <w:sz w:val="24"/>
          <w:szCs w:val="24"/>
        </w:rPr>
      </w:pPr>
      <w:r w:rsidRPr="00E239D7">
        <w:rPr>
          <w:rFonts w:ascii="Arial" w:hAnsi="Arial" w:cs="Arial"/>
          <w:sz w:val="24"/>
          <w:szCs w:val="24"/>
        </w:rPr>
        <w:t>During the same time at the same level 5 placement, the author had picked up on young people stating how anxious and worried they had felt due to the upcoming firebreak lockdown that was pending in October 2020. Young people had reported sleep disorders, anxiety</w:t>
      </w:r>
      <w:r w:rsidR="00F65D11" w:rsidRPr="00E239D7">
        <w:rPr>
          <w:rFonts w:ascii="Arial" w:hAnsi="Arial" w:cs="Arial"/>
          <w:sz w:val="24"/>
          <w:szCs w:val="24"/>
        </w:rPr>
        <w:t xml:space="preserve"> and feeling bleak about their futures. Although youth work during the initial Coronavirus (Covid-19) lockdown was described by Osbourn (2021) as ‘</w:t>
      </w:r>
      <w:r w:rsidR="00E728B9" w:rsidRPr="00E239D7">
        <w:rPr>
          <w:rFonts w:ascii="Arial" w:hAnsi="Arial" w:cs="Arial"/>
          <w:sz w:val="24"/>
          <w:szCs w:val="24"/>
        </w:rPr>
        <w:t>challenging’ for young</w:t>
      </w:r>
      <w:r w:rsidR="00F65D11" w:rsidRPr="00E239D7">
        <w:rPr>
          <w:rFonts w:ascii="Arial" w:hAnsi="Arial" w:cs="Arial"/>
          <w:sz w:val="24"/>
          <w:szCs w:val="24"/>
        </w:rPr>
        <w:t xml:space="preserve"> people </w:t>
      </w:r>
      <w:r w:rsidR="00E728B9" w:rsidRPr="00E239D7">
        <w:rPr>
          <w:rFonts w:ascii="Arial" w:hAnsi="Arial" w:cs="Arial"/>
          <w:sz w:val="24"/>
          <w:szCs w:val="24"/>
        </w:rPr>
        <w:t xml:space="preserve">and youth workers alike with young </w:t>
      </w:r>
      <w:r w:rsidR="009D2D8B" w:rsidRPr="00E239D7">
        <w:rPr>
          <w:rFonts w:ascii="Arial" w:hAnsi="Arial" w:cs="Arial"/>
          <w:sz w:val="24"/>
          <w:szCs w:val="24"/>
        </w:rPr>
        <w:t>people worried</w:t>
      </w:r>
      <w:r w:rsidR="00F65D11" w:rsidRPr="00E239D7">
        <w:rPr>
          <w:rFonts w:ascii="Arial" w:hAnsi="Arial" w:cs="Arial"/>
          <w:sz w:val="24"/>
          <w:szCs w:val="24"/>
        </w:rPr>
        <w:t xml:space="preserve"> about how they would cope if they contracted the virus with all the negative media coverage and how they would also cope if they went into another national lockdown. </w:t>
      </w:r>
    </w:p>
    <w:p w14:paraId="5B6A568D" w14:textId="48CC2257" w:rsidR="00F65D11" w:rsidRPr="00E239D7" w:rsidRDefault="00F65D11" w:rsidP="00E239D7">
      <w:pPr>
        <w:spacing w:line="480" w:lineRule="auto"/>
        <w:rPr>
          <w:rFonts w:ascii="Arial" w:hAnsi="Arial" w:cs="Arial"/>
          <w:sz w:val="24"/>
          <w:szCs w:val="24"/>
        </w:rPr>
      </w:pPr>
      <w:r w:rsidRPr="00E239D7">
        <w:rPr>
          <w:rFonts w:ascii="Arial" w:hAnsi="Arial" w:cs="Arial"/>
          <w:sz w:val="24"/>
          <w:szCs w:val="24"/>
        </w:rPr>
        <w:t>The author discussed feelings with the young people and went on to design anti-anxiety packages for the young people that were inclusive of all young people, incorporating self-care help and activities that would boost wellbeing. The packs included hot chocolate and marshmallows which chocolate is known to boost serotonin levels with a small chocolate bar inside to enjoy</w:t>
      </w:r>
      <w:r w:rsidR="00AA6F29" w:rsidRPr="00E239D7">
        <w:rPr>
          <w:rFonts w:ascii="Arial" w:hAnsi="Arial" w:cs="Arial"/>
          <w:sz w:val="24"/>
          <w:szCs w:val="24"/>
        </w:rPr>
        <w:t xml:space="preserve">, and a teabag. </w:t>
      </w:r>
      <w:r w:rsidRPr="00E239D7">
        <w:rPr>
          <w:rFonts w:ascii="Arial" w:hAnsi="Arial" w:cs="Arial"/>
          <w:sz w:val="24"/>
          <w:szCs w:val="24"/>
        </w:rPr>
        <w:t xml:space="preserve">The packs also included ingredients on how to make stress relief balls which would count not only as stress </w:t>
      </w:r>
      <w:r w:rsidR="00AA6F29" w:rsidRPr="00E239D7">
        <w:rPr>
          <w:rFonts w:ascii="Arial" w:hAnsi="Arial" w:cs="Arial"/>
          <w:sz w:val="24"/>
          <w:szCs w:val="24"/>
        </w:rPr>
        <w:t>relief but</w:t>
      </w:r>
      <w:r w:rsidRPr="00E239D7">
        <w:rPr>
          <w:rFonts w:ascii="Arial" w:hAnsi="Arial" w:cs="Arial"/>
          <w:sz w:val="24"/>
          <w:szCs w:val="24"/>
        </w:rPr>
        <w:t xml:space="preserve"> provide young people with a small activity to engage in at </w:t>
      </w:r>
      <w:r w:rsidR="00AA6F29" w:rsidRPr="00E239D7">
        <w:rPr>
          <w:rFonts w:ascii="Arial" w:hAnsi="Arial" w:cs="Arial"/>
          <w:sz w:val="24"/>
          <w:szCs w:val="24"/>
        </w:rPr>
        <w:t xml:space="preserve">home and give the knowledge on how to make these at home with basic resources if they felt they would benefit from their use. The packs also came with a wordsearch which focused on words and themes related to wellbeing, and most importantly the author spent time writing out a small booklet on what anxiety is, how to manage and providing information on further help should young people choose to need this. Inside the pack was also a small notepad called ‘the little book of positivity’ which encouraged young people to write down all the little things that they were grateful for </w:t>
      </w:r>
      <w:r w:rsidR="00AA6F29" w:rsidRPr="00E239D7">
        <w:rPr>
          <w:rFonts w:ascii="Arial" w:hAnsi="Arial" w:cs="Arial"/>
          <w:sz w:val="24"/>
          <w:szCs w:val="24"/>
        </w:rPr>
        <w:lastRenderedPageBreak/>
        <w:t xml:space="preserve">in such a bleak time. There was lots of positive feedback from the young people and their parents to the line manager of the project on the authors delivery and content. </w:t>
      </w:r>
    </w:p>
    <w:p w14:paraId="4A12CB59" w14:textId="77777777" w:rsidR="0054020A" w:rsidRPr="00E239D7" w:rsidRDefault="00B9198F" w:rsidP="00E239D7">
      <w:pPr>
        <w:spacing w:line="480" w:lineRule="auto"/>
        <w:rPr>
          <w:rFonts w:ascii="Arial" w:hAnsi="Arial" w:cs="Arial"/>
          <w:sz w:val="24"/>
          <w:szCs w:val="24"/>
        </w:rPr>
      </w:pPr>
      <w:r w:rsidRPr="00E239D7">
        <w:rPr>
          <w:rFonts w:ascii="Arial" w:hAnsi="Arial" w:cs="Arial"/>
          <w:sz w:val="24"/>
          <w:szCs w:val="24"/>
        </w:rPr>
        <w:t xml:space="preserve">If we link together this activity with the purpose of youth work practice, this activity focused on the overall wellbeing of young people, ensuring that the activity was inclusive of what young people wanted and needed, and delivered in a way that followed youth work practice guidelines such as those as the Five pillars of Youth Work in Wales (CWYVS, 2018). This </w:t>
      </w:r>
      <w:r w:rsidR="003A2F7A" w:rsidRPr="00E239D7">
        <w:rPr>
          <w:rFonts w:ascii="Arial" w:hAnsi="Arial" w:cs="Arial"/>
          <w:sz w:val="24"/>
          <w:szCs w:val="24"/>
        </w:rPr>
        <w:t>activity</w:t>
      </w:r>
      <w:r w:rsidRPr="00E239D7">
        <w:rPr>
          <w:rFonts w:ascii="Arial" w:hAnsi="Arial" w:cs="Arial"/>
          <w:sz w:val="24"/>
          <w:szCs w:val="24"/>
        </w:rPr>
        <w:t xml:space="preserve"> also aimed </w:t>
      </w:r>
      <w:r w:rsidR="003A2F7A" w:rsidRPr="00E239D7">
        <w:rPr>
          <w:rFonts w:ascii="Arial" w:hAnsi="Arial" w:cs="Arial"/>
          <w:sz w:val="24"/>
          <w:szCs w:val="24"/>
        </w:rPr>
        <w:t xml:space="preserve">to reduce and prevent any further anxiety young people would face because of another lockdown, aiming to give young people some support tools to help them become more resilient against adversity. </w:t>
      </w:r>
    </w:p>
    <w:p w14:paraId="2B01F5D7" w14:textId="0116B615" w:rsidR="0054020A" w:rsidRPr="00E239D7" w:rsidRDefault="0054020A" w:rsidP="00E239D7">
      <w:pPr>
        <w:spacing w:line="480" w:lineRule="auto"/>
        <w:rPr>
          <w:rFonts w:ascii="Arial" w:hAnsi="Arial" w:cs="Arial"/>
          <w:sz w:val="24"/>
          <w:szCs w:val="24"/>
        </w:rPr>
      </w:pPr>
      <w:r w:rsidRPr="00E239D7">
        <w:rPr>
          <w:rFonts w:ascii="Arial" w:hAnsi="Arial" w:cs="Arial"/>
          <w:sz w:val="24"/>
          <w:szCs w:val="24"/>
        </w:rPr>
        <w:t xml:space="preserve">Youth work incorporates acts such as the Five ways to Wellbeing (NEF, 2008) and Wellbeing of Future Generations Act (2015) into how we work with young people. It states in the Summary of the Functional Map for youth work in Wales (CLD Standards council, 2019) that our values lay in supporting and enhancing </w:t>
      </w:r>
      <w:r w:rsidR="00882586" w:rsidRPr="00E239D7">
        <w:rPr>
          <w:rFonts w:ascii="Arial" w:hAnsi="Arial" w:cs="Arial"/>
          <w:sz w:val="24"/>
          <w:szCs w:val="24"/>
        </w:rPr>
        <w:t xml:space="preserve">young people’s interests, awareness, </w:t>
      </w:r>
      <w:r w:rsidR="0091759C" w:rsidRPr="00E239D7">
        <w:rPr>
          <w:rFonts w:ascii="Arial" w:hAnsi="Arial" w:cs="Arial"/>
          <w:sz w:val="24"/>
          <w:szCs w:val="24"/>
        </w:rPr>
        <w:t>self-confidence</w:t>
      </w:r>
      <w:r w:rsidR="00882586" w:rsidRPr="00E239D7">
        <w:rPr>
          <w:rFonts w:ascii="Arial" w:hAnsi="Arial" w:cs="Arial"/>
          <w:sz w:val="24"/>
          <w:szCs w:val="24"/>
        </w:rPr>
        <w:t xml:space="preserve"> and health and wellbeing. </w:t>
      </w:r>
    </w:p>
    <w:p w14:paraId="0197C282" w14:textId="7C47F44B" w:rsidR="003A2F7A" w:rsidRPr="00E239D7" w:rsidRDefault="0091759C" w:rsidP="00E239D7">
      <w:pPr>
        <w:spacing w:line="480" w:lineRule="auto"/>
        <w:rPr>
          <w:rFonts w:ascii="Arial" w:hAnsi="Arial" w:cs="Arial"/>
          <w:sz w:val="24"/>
          <w:szCs w:val="24"/>
        </w:rPr>
      </w:pPr>
      <w:proofErr w:type="spellStart"/>
      <w:r w:rsidRPr="00E239D7">
        <w:rPr>
          <w:rFonts w:ascii="Arial" w:hAnsi="Arial" w:cs="Arial"/>
          <w:sz w:val="24"/>
          <w:szCs w:val="24"/>
        </w:rPr>
        <w:t>Sapin</w:t>
      </w:r>
      <w:proofErr w:type="spellEnd"/>
      <w:r w:rsidRPr="00E239D7">
        <w:rPr>
          <w:rFonts w:ascii="Arial" w:hAnsi="Arial" w:cs="Arial"/>
          <w:sz w:val="24"/>
          <w:szCs w:val="24"/>
        </w:rPr>
        <w:t xml:space="preserve"> (2013, p.64) puts emphasis on the </w:t>
      </w:r>
      <w:r w:rsidR="003A2F7A" w:rsidRPr="00E239D7">
        <w:rPr>
          <w:rFonts w:ascii="Arial" w:hAnsi="Arial" w:cs="Arial"/>
          <w:sz w:val="24"/>
          <w:szCs w:val="24"/>
        </w:rPr>
        <w:t>importan</w:t>
      </w:r>
      <w:r w:rsidRPr="00E239D7">
        <w:rPr>
          <w:rFonts w:ascii="Arial" w:hAnsi="Arial" w:cs="Arial"/>
          <w:sz w:val="24"/>
          <w:szCs w:val="24"/>
        </w:rPr>
        <w:t xml:space="preserve">ce of </w:t>
      </w:r>
      <w:r w:rsidR="003A2F7A" w:rsidRPr="00E239D7">
        <w:rPr>
          <w:rFonts w:ascii="Arial" w:hAnsi="Arial" w:cs="Arial"/>
          <w:sz w:val="24"/>
          <w:szCs w:val="24"/>
        </w:rPr>
        <w:t>ensur</w:t>
      </w:r>
      <w:r w:rsidRPr="00E239D7">
        <w:rPr>
          <w:rFonts w:ascii="Arial" w:hAnsi="Arial" w:cs="Arial"/>
          <w:sz w:val="24"/>
          <w:szCs w:val="24"/>
        </w:rPr>
        <w:t>ing</w:t>
      </w:r>
      <w:r w:rsidR="003A2F7A" w:rsidRPr="00E239D7">
        <w:rPr>
          <w:rFonts w:ascii="Arial" w:hAnsi="Arial" w:cs="Arial"/>
          <w:sz w:val="24"/>
          <w:szCs w:val="24"/>
        </w:rPr>
        <w:t xml:space="preserve"> that young people are developing their confidence, </w:t>
      </w:r>
      <w:r w:rsidR="00882586" w:rsidRPr="00E239D7">
        <w:rPr>
          <w:rFonts w:ascii="Arial" w:hAnsi="Arial" w:cs="Arial"/>
          <w:sz w:val="24"/>
          <w:szCs w:val="24"/>
        </w:rPr>
        <w:t>self-esteem,</w:t>
      </w:r>
      <w:r w:rsidR="003A2F7A" w:rsidRPr="00E239D7">
        <w:rPr>
          <w:rFonts w:ascii="Arial" w:hAnsi="Arial" w:cs="Arial"/>
          <w:sz w:val="24"/>
          <w:szCs w:val="24"/>
        </w:rPr>
        <w:t xml:space="preserve"> and resilience to ensure that they are better equipped with the skills to be able to </w:t>
      </w:r>
      <w:r w:rsidR="00882586" w:rsidRPr="00E239D7">
        <w:rPr>
          <w:rFonts w:ascii="Arial" w:hAnsi="Arial" w:cs="Arial"/>
          <w:sz w:val="24"/>
          <w:szCs w:val="24"/>
        </w:rPr>
        <w:t xml:space="preserve">manage any future adversity or, reduce the risk of developing any further adversity which is exceptionally important when working with focused groups such as those that have been subjected to ill treatment in childhood, or have faced traumatic experiences. Building resilience is key to improving outcomes for young people. </w:t>
      </w:r>
      <w:r w:rsidR="00FC56FD" w:rsidRPr="00E239D7">
        <w:rPr>
          <w:rFonts w:ascii="Arial" w:hAnsi="Arial" w:cs="Arial"/>
          <w:sz w:val="24"/>
          <w:szCs w:val="24"/>
        </w:rPr>
        <w:t>(Wellbeing of Future Generations Wales Act, 2015)</w:t>
      </w:r>
    </w:p>
    <w:p w14:paraId="606EBC3A" w14:textId="0542186C" w:rsidR="004416D6" w:rsidRPr="00E239D7" w:rsidRDefault="004416D6" w:rsidP="00E239D7">
      <w:pPr>
        <w:spacing w:line="480" w:lineRule="auto"/>
        <w:rPr>
          <w:rFonts w:ascii="Arial" w:hAnsi="Arial" w:cs="Arial"/>
          <w:sz w:val="24"/>
          <w:szCs w:val="24"/>
        </w:rPr>
      </w:pPr>
      <w:r w:rsidRPr="00E239D7">
        <w:rPr>
          <w:rFonts w:ascii="Arial" w:hAnsi="Arial" w:cs="Arial"/>
          <w:sz w:val="24"/>
          <w:szCs w:val="24"/>
        </w:rPr>
        <w:lastRenderedPageBreak/>
        <w:t>The concept of resilience is usually defined as the ‘ability to bounce back from adversity’</w:t>
      </w:r>
      <w:r w:rsidR="0091759C" w:rsidRPr="00E239D7">
        <w:rPr>
          <w:rFonts w:ascii="Arial" w:hAnsi="Arial" w:cs="Arial"/>
          <w:sz w:val="24"/>
          <w:szCs w:val="24"/>
        </w:rPr>
        <w:t xml:space="preserve"> (</w:t>
      </w:r>
      <w:r w:rsidR="004D4345" w:rsidRPr="00E239D7">
        <w:rPr>
          <w:rFonts w:ascii="Arial" w:hAnsi="Arial" w:cs="Arial"/>
          <w:sz w:val="24"/>
          <w:szCs w:val="24"/>
        </w:rPr>
        <w:t>Encyclopaedia of early childhood development, 2014).</w:t>
      </w:r>
      <w:r w:rsidRPr="00E239D7">
        <w:rPr>
          <w:rFonts w:ascii="Arial" w:hAnsi="Arial" w:cs="Arial"/>
          <w:sz w:val="24"/>
          <w:szCs w:val="24"/>
        </w:rPr>
        <w:t xml:space="preserve"> Resilience research has been primarily undertaken in western countries, (Ungar, 2006, p.219) therefore there is not a great deal of research that can compare all aspects of resilience from across the globe. However, resilience relates to how well we cope and manage with adverse and negative experiences that are happening in our lives</w:t>
      </w:r>
      <w:r w:rsidR="004D4345" w:rsidRPr="00E239D7">
        <w:rPr>
          <w:rFonts w:ascii="Arial" w:hAnsi="Arial" w:cs="Arial"/>
          <w:sz w:val="24"/>
          <w:szCs w:val="24"/>
        </w:rPr>
        <w:t xml:space="preserve"> (Hermann et.al, 2011)</w:t>
      </w:r>
      <w:r w:rsidRPr="00E239D7">
        <w:rPr>
          <w:rFonts w:ascii="Arial" w:hAnsi="Arial" w:cs="Arial"/>
          <w:sz w:val="24"/>
          <w:szCs w:val="24"/>
        </w:rPr>
        <w:t>. Like confidence and self-esteem, some theorists argue that resilience can be a predisposition of biological and genetic factors</w:t>
      </w:r>
      <w:r w:rsidR="004D4345" w:rsidRPr="00E239D7">
        <w:rPr>
          <w:rFonts w:ascii="Arial" w:hAnsi="Arial" w:cs="Arial"/>
          <w:sz w:val="24"/>
          <w:szCs w:val="24"/>
        </w:rPr>
        <w:t xml:space="preserve"> (Maul et.al, 2020)</w:t>
      </w:r>
      <w:r w:rsidRPr="00E239D7">
        <w:rPr>
          <w:rFonts w:ascii="Arial" w:hAnsi="Arial" w:cs="Arial"/>
          <w:sz w:val="24"/>
          <w:szCs w:val="24"/>
        </w:rPr>
        <w:t>. However, there is also the argument that resilience is predetermined from a young age such as family relationships, and socio- environmental factors impacting on the life of a young person, determining how well they cope with adversity. The Ungar resilience theory, (Ungar, 2013) believes that a person’s capacity to cope with adversity is also dependent on culture as well as socio- environmental factors. (Resilience Research Centre, 2022). Therefore, it is important to acknowledge this when working with young people as</w:t>
      </w:r>
      <w:r w:rsidR="0078046B" w:rsidRPr="00E239D7">
        <w:rPr>
          <w:rFonts w:ascii="Arial" w:hAnsi="Arial" w:cs="Arial"/>
          <w:sz w:val="24"/>
          <w:szCs w:val="24"/>
        </w:rPr>
        <w:t xml:space="preserve"> young people are social beings and are easily influenced by their society and the environment, they live in. Young people may not even be aware of how youth work or a youth worker can help assist young people to build up their level of resilience and enhance their wellbeing, therefore we will now explore how youth work does exactly that. </w:t>
      </w:r>
    </w:p>
    <w:p w14:paraId="3CB9FA5A" w14:textId="14BD1493" w:rsidR="00B969AD" w:rsidRPr="00E239D7" w:rsidRDefault="00B969AD" w:rsidP="00E239D7">
      <w:pPr>
        <w:spacing w:line="480" w:lineRule="auto"/>
        <w:rPr>
          <w:rFonts w:ascii="Arial" w:hAnsi="Arial" w:cs="Arial"/>
          <w:sz w:val="24"/>
          <w:szCs w:val="24"/>
        </w:rPr>
      </w:pPr>
      <w:r w:rsidRPr="00E239D7">
        <w:rPr>
          <w:rFonts w:ascii="Arial" w:hAnsi="Arial" w:cs="Arial"/>
          <w:sz w:val="24"/>
          <w:szCs w:val="24"/>
        </w:rPr>
        <w:t>Social pedagogy</w:t>
      </w:r>
      <w:r w:rsidR="00001827" w:rsidRPr="00E239D7">
        <w:rPr>
          <w:rFonts w:ascii="Arial" w:hAnsi="Arial" w:cs="Arial"/>
          <w:sz w:val="24"/>
          <w:szCs w:val="24"/>
        </w:rPr>
        <w:t xml:space="preserve"> should prioritize</w:t>
      </w:r>
      <w:r w:rsidRPr="00E239D7">
        <w:rPr>
          <w:rFonts w:ascii="Arial" w:hAnsi="Arial" w:cs="Arial"/>
          <w:sz w:val="24"/>
          <w:szCs w:val="24"/>
        </w:rPr>
        <w:t xml:space="preserve"> putting young people at the centre of everything that we do as youth workers and social educationalists. We listen to their voices, and we strive to ensure that everything we do is with young people, in partnership and not for young people. Active involvement in the design and delivery of youth work Is paramount </w:t>
      </w:r>
      <w:r w:rsidR="004D4345" w:rsidRPr="00E239D7">
        <w:rPr>
          <w:rFonts w:ascii="Arial" w:hAnsi="Arial" w:cs="Arial"/>
          <w:sz w:val="24"/>
          <w:szCs w:val="24"/>
        </w:rPr>
        <w:t xml:space="preserve">(CWYVS, 2018, Pp.5-8) </w:t>
      </w:r>
      <w:r w:rsidRPr="00E239D7">
        <w:rPr>
          <w:rFonts w:ascii="Arial" w:hAnsi="Arial" w:cs="Arial"/>
          <w:sz w:val="24"/>
          <w:szCs w:val="24"/>
        </w:rPr>
        <w:t xml:space="preserve">and ensuring that young people benefit from the </w:t>
      </w:r>
      <w:r w:rsidRPr="00E239D7">
        <w:rPr>
          <w:rFonts w:ascii="Arial" w:hAnsi="Arial" w:cs="Arial"/>
          <w:sz w:val="24"/>
          <w:szCs w:val="24"/>
        </w:rPr>
        <w:lastRenderedPageBreak/>
        <w:t xml:space="preserve">interventions we provide is crucial to make a significant difference to many young people’s lives. </w:t>
      </w:r>
    </w:p>
    <w:p w14:paraId="45C6107B" w14:textId="34B44456" w:rsidR="00B969AD" w:rsidRPr="00E239D7" w:rsidRDefault="00B969AD" w:rsidP="00E239D7">
      <w:pPr>
        <w:spacing w:line="480" w:lineRule="auto"/>
        <w:rPr>
          <w:rFonts w:ascii="Arial" w:hAnsi="Arial" w:cs="Arial"/>
          <w:sz w:val="24"/>
          <w:szCs w:val="24"/>
        </w:rPr>
      </w:pPr>
      <w:r w:rsidRPr="00E239D7">
        <w:rPr>
          <w:rFonts w:ascii="Arial" w:hAnsi="Arial" w:cs="Arial"/>
          <w:sz w:val="24"/>
          <w:szCs w:val="24"/>
        </w:rPr>
        <w:t>Focusing on the ‘head, hand and heart’ (</w:t>
      </w:r>
      <w:proofErr w:type="spellStart"/>
      <w:r w:rsidR="005942AE" w:rsidRPr="00E239D7">
        <w:rPr>
          <w:rFonts w:ascii="Arial" w:hAnsi="Arial" w:cs="Arial"/>
          <w:color w:val="000000"/>
          <w:sz w:val="24"/>
          <w:szCs w:val="24"/>
          <w:shd w:val="clear" w:color="auto" w:fill="FFFFFF"/>
        </w:rPr>
        <w:t>Eichstellar</w:t>
      </w:r>
      <w:proofErr w:type="spellEnd"/>
      <w:r w:rsidR="005942AE" w:rsidRPr="00E239D7">
        <w:rPr>
          <w:rFonts w:ascii="Arial" w:hAnsi="Arial" w:cs="Arial"/>
          <w:color w:val="000000"/>
          <w:sz w:val="24"/>
          <w:szCs w:val="24"/>
          <w:shd w:val="clear" w:color="auto" w:fill="FFFFFF"/>
        </w:rPr>
        <w:t>, 2016)</w:t>
      </w:r>
      <w:r w:rsidRPr="00E239D7">
        <w:rPr>
          <w:rFonts w:ascii="Arial" w:hAnsi="Arial" w:cs="Arial"/>
          <w:sz w:val="24"/>
          <w:szCs w:val="24"/>
        </w:rPr>
        <w:t xml:space="preserve"> is what sets about youth work as being unique in comparison to other disciplines that work with children and young people. Youth work does not consider young people to be a problem within society, and completely dismisses the deficit view that society has about young people. When society tells young people they don’t amount to anything, and that they are troublemakers, the mind will begin to believe this. This does nothing to boost the self-esteem and confidence of our young people. Young people need to be made aware about their rights (UNCRC, 1989) and that they should be treated with respect and with equality, without fear of being judged because of where they live or their social class. However, there is not enough awareness of the value young people can bring to their society. This generation that society is constantly putting down need support, structure, and guidance to be able to thrive as competent human beings that will continue to look after our environment and make valuable contributions towards a healthy environment and thriving economy. </w:t>
      </w:r>
    </w:p>
    <w:p w14:paraId="6C6E53D8" w14:textId="77777777" w:rsidR="009F22AF" w:rsidRPr="00E239D7" w:rsidRDefault="000247A5" w:rsidP="00E239D7">
      <w:pPr>
        <w:spacing w:line="480" w:lineRule="auto"/>
        <w:rPr>
          <w:rFonts w:ascii="Arial" w:hAnsi="Arial" w:cs="Arial"/>
          <w:sz w:val="24"/>
          <w:szCs w:val="24"/>
        </w:rPr>
      </w:pPr>
      <w:r w:rsidRPr="00E239D7">
        <w:rPr>
          <w:rFonts w:ascii="Arial" w:hAnsi="Arial" w:cs="Arial"/>
          <w:sz w:val="24"/>
          <w:szCs w:val="24"/>
        </w:rPr>
        <w:t xml:space="preserve">Youth work can be very diverse in nature with many youth work roles focusing on youth development work, learning, skills and resilience work, health and wellbeing informed practice, and partnership working with intervention and prevention services such as social services and in some cases, youth justice. </w:t>
      </w:r>
    </w:p>
    <w:p w14:paraId="0CFFEAD1" w14:textId="5ECB637D" w:rsidR="00194E46" w:rsidRPr="00E239D7" w:rsidRDefault="0060783B" w:rsidP="00E239D7">
      <w:pPr>
        <w:spacing w:line="480" w:lineRule="auto"/>
        <w:rPr>
          <w:rFonts w:ascii="Arial" w:hAnsi="Arial" w:cs="Arial"/>
          <w:sz w:val="24"/>
          <w:szCs w:val="24"/>
        </w:rPr>
      </w:pPr>
      <w:r w:rsidRPr="00E239D7">
        <w:rPr>
          <w:rFonts w:ascii="Arial" w:hAnsi="Arial" w:cs="Arial"/>
          <w:sz w:val="24"/>
          <w:szCs w:val="24"/>
        </w:rPr>
        <w:t xml:space="preserve">Psychology </w:t>
      </w:r>
      <w:r w:rsidR="009F22AF" w:rsidRPr="00E239D7">
        <w:rPr>
          <w:rFonts w:ascii="Arial" w:hAnsi="Arial" w:cs="Arial"/>
          <w:sz w:val="24"/>
          <w:szCs w:val="24"/>
        </w:rPr>
        <w:t xml:space="preserve">is heavily embedded in </w:t>
      </w:r>
      <w:r w:rsidRPr="00E239D7">
        <w:rPr>
          <w:rFonts w:ascii="Arial" w:hAnsi="Arial" w:cs="Arial"/>
          <w:sz w:val="24"/>
          <w:szCs w:val="24"/>
        </w:rPr>
        <w:t xml:space="preserve">youth work practice. It is concerned with how young people </w:t>
      </w:r>
      <w:r w:rsidR="00194E46" w:rsidRPr="00E239D7">
        <w:rPr>
          <w:rFonts w:ascii="Arial" w:hAnsi="Arial" w:cs="Arial"/>
          <w:sz w:val="24"/>
          <w:szCs w:val="24"/>
        </w:rPr>
        <w:t xml:space="preserve">think. If it was not then youth work would be dull, meaningless and nothing more than providing something for young people to do with no substance or </w:t>
      </w:r>
      <w:r w:rsidR="008F2EAC" w:rsidRPr="00E239D7">
        <w:rPr>
          <w:rFonts w:ascii="Arial" w:hAnsi="Arial" w:cs="Arial"/>
          <w:sz w:val="24"/>
          <w:szCs w:val="24"/>
        </w:rPr>
        <w:t>purpose. Let</w:t>
      </w:r>
      <w:r w:rsidR="004D6776" w:rsidRPr="00E239D7">
        <w:rPr>
          <w:rFonts w:ascii="Arial" w:hAnsi="Arial" w:cs="Arial"/>
          <w:sz w:val="24"/>
          <w:szCs w:val="24"/>
        </w:rPr>
        <w:t xml:space="preserve"> us</w:t>
      </w:r>
      <w:r w:rsidR="00194E46" w:rsidRPr="00E239D7">
        <w:rPr>
          <w:rFonts w:ascii="Arial" w:hAnsi="Arial" w:cs="Arial"/>
          <w:sz w:val="24"/>
          <w:szCs w:val="24"/>
        </w:rPr>
        <w:t xml:space="preserve"> explore the area of positive mental health.</w:t>
      </w:r>
    </w:p>
    <w:p w14:paraId="1BC5407D" w14:textId="631A0C6C" w:rsidR="00D50356" w:rsidRPr="00E239D7" w:rsidRDefault="004D6776" w:rsidP="00E239D7">
      <w:pPr>
        <w:spacing w:line="480" w:lineRule="auto"/>
        <w:rPr>
          <w:rFonts w:ascii="Arial" w:hAnsi="Arial" w:cs="Arial"/>
          <w:sz w:val="24"/>
          <w:szCs w:val="24"/>
        </w:rPr>
      </w:pPr>
      <w:r w:rsidRPr="00E239D7">
        <w:rPr>
          <w:rFonts w:ascii="Arial" w:hAnsi="Arial" w:cs="Arial"/>
          <w:sz w:val="24"/>
          <w:szCs w:val="24"/>
        </w:rPr>
        <w:lastRenderedPageBreak/>
        <w:t xml:space="preserve">According to </w:t>
      </w:r>
      <w:proofErr w:type="spellStart"/>
      <w:r w:rsidRPr="00E239D7">
        <w:rPr>
          <w:rFonts w:ascii="Arial" w:hAnsi="Arial" w:cs="Arial"/>
          <w:sz w:val="24"/>
          <w:szCs w:val="24"/>
        </w:rPr>
        <w:t>Trajkoska</w:t>
      </w:r>
      <w:proofErr w:type="spellEnd"/>
      <w:r w:rsidRPr="00E239D7">
        <w:rPr>
          <w:rFonts w:ascii="Arial" w:hAnsi="Arial" w:cs="Arial"/>
          <w:sz w:val="24"/>
          <w:szCs w:val="24"/>
        </w:rPr>
        <w:t xml:space="preserve">, (2020) psychological resilience is the most dominant and important aspect of what is considered as </w:t>
      </w:r>
      <w:r w:rsidR="008F2EAC" w:rsidRPr="00E239D7">
        <w:rPr>
          <w:rFonts w:ascii="Arial" w:hAnsi="Arial" w:cs="Arial"/>
          <w:sz w:val="24"/>
          <w:szCs w:val="24"/>
        </w:rPr>
        <w:t xml:space="preserve">positive mental health. </w:t>
      </w:r>
      <w:r w:rsidR="00194E46" w:rsidRPr="00E239D7">
        <w:rPr>
          <w:rFonts w:ascii="Arial" w:hAnsi="Arial" w:cs="Arial"/>
          <w:sz w:val="24"/>
          <w:szCs w:val="24"/>
        </w:rPr>
        <w:t>If we revisit the topic of resilience, there are currently four known types of resilience</w:t>
      </w:r>
      <w:r w:rsidRPr="00E239D7">
        <w:rPr>
          <w:rFonts w:ascii="Arial" w:hAnsi="Arial" w:cs="Arial"/>
          <w:sz w:val="24"/>
          <w:szCs w:val="24"/>
        </w:rPr>
        <w:t>,</w:t>
      </w:r>
      <w:r w:rsidR="00194E46" w:rsidRPr="00E239D7">
        <w:rPr>
          <w:rFonts w:ascii="Arial" w:hAnsi="Arial" w:cs="Arial"/>
          <w:sz w:val="24"/>
          <w:szCs w:val="24"/>
        </w:rPr>
        <w:t xml:space="preserve"> </w:t>
      </w:r>
      <w:r w:rsidRPr="00E239D7">
        <w:rPr>
          <w:rFonts w:ascii="Arial" w:hAnsi="Arial" w:cs="Arial"/>
          <w:sz w:val="24"/>
          <w:szCs w:val="24"/>
        </w:rPr>
        <w:t xml:space="preserve">these are: </w:t>
      </w:r>
      <w:r w:rsidR="00194E46" w:rsidRPr="00E239D7">
        <w:rPr>
          <w:rFonts w:ascii="Arial" w:hAnsi="Arial" w:cs="Arial"/>
          <w:sz w:val="24"/>
          <w:szCs w:val="24"/>
        </w:rPr>
        <w:t xml:space="preserve">social, physical, emotional, and </w:t>
      </w:r>
      <w:r w:rsidRPr="00E239D7">
        <w:rPr>
          <w:rFonts w:ascii="Arial" w:hAnsi="Arial" w:cs="Arial"/>
          <w:sz w:val="24"/>
          <w:szCs w:val="24"/>
        </w:rPr>
        <w:t>mental</w:t>
      </w:r>
      <w:r w:rsidR="008F2EAC" w:rsidRPr="00E239D7">
        <w:rPr>
          <w:rFonts w:ascii="Arial" w:hAnsi="Arial" w:cs="Arial"/>
          <w:sz w:val="24"/>
          <w:szCs w:val="24"/>
        </w:rPr>
        <w:t xml:space="preserve"> aspects. Positive youth development is highly regarded successful if the young person has high resilience levels in all four levels. This means youth workers need to be able to view resilience and wellbeing from </w:t>
      </w:r>
      <w:r w:rsidR="00FF331E" w:rsidRPr="00E239D7">
        <w:rPr>
          <w:rFonts w:ascii="Arial" w:hAnsi="Arial" w:cs="Arial"/>
          <w:sz w:val="24"/>
          <w:szCs w:val="24"/>
        </w:rPr>
        <w:t xml:space="preserve">both a pathological and strength-based view </w:t>
      </w:r>
      <w:r w:rsidR="00D85FE6" w:rsidRPr="00E239D7">
        <w:rPr>
          <w:rFonts w:ascii="Arial" w:hAnsi="Arial" w:cs="Arial"/>
          <w:sz w:val="24"/>
          <w:szCs w:val="24"/>
        </w:rPr>
        <w:t xml:space="preserve">(Lee, Cheung, and </w:t>
      </w:r>
      <w:proofErr w:type="spellStart"/>
      <w:r w:rsidR="00D85FE6" w:rsidRPr="00E239D7">
        <w:rPr>
          <w:rFonts w:ascii="Arial" w:hAnsi="Arial" w:cs="Arial"/>
          <w:sz w:val="24"/>
          <w:szCs w:val="24"/>
        </w:rPr>
        <w:t>Kwong</w:t>
      </w:r>
      <w:proofErr w:type="spellEnd"/>
      <w:r w:rsidR="00D85FE6" w:rsidRPr="00E239D7">
        <w:rPr>
          <w:rFonts w:ascii="Arial" w:hAnsi="Arial" w:cs="Arial"/>
          <w:sz w:val="24"/>
          <w:szCs w:val="24"/>
        </w:rPr>
        <w:t xml:space="preserve">, 2012) </w:t>
      </w:r>
      <w:r w:rsidR="00377389" w:rsidRPr="00E239D7">
        <w:rPr>
          <w:rFonts w:ascii="Arial" w:hAnsi="Arial" w:cs="Arial"/>
          <w:sz w:val="24"/>
          <w:szCs w:val="24"/>
        </w:rPr>
        <w:t>to</w:t>
      </w:r>
      <w:r w:rsidR="00FF331E" w:rsidRPr="00E239D7">
        <w:rPr>
          <w:rFonts w:ascii="Arial" w:hAnsi="Arial" w:cs="Arial"/>
          <w:sz w:val="24"/>
          <w:szCs w:val="24"/>
        </w:rPr>
        <w:t xml:space="preserve"> understand the adversity a young person has or had</w:t>
      </w:r>
      <w:r w:rsidR="006E4D3C" w:rsidRPr="00E239D7">
        <w:rPr>
          <w:rFonts w:ascii="Arial" w:hAnsi="Arial" w:cs="Arial"/>
          <w:sz w:val="24"/>
          <w:szCs w:val="24"/>
        </w:rPr>
        <w:t>,</w:t>
      </w:r>
      <w:r w:rsidR="00FF331E" w:rsidRPr="00E239D7">
        <w:rPr>
          <w:rFonts w:ascii="Arial" w:hAnsi="Arial" w:cs="Arial"/>
          <w:sz w:val="24"/>
          <w:szCs w:val="24"/>
        </w:rPr>
        <w:t xml:space="preserve"> and </w:t>
      </w:r>
      <w:r w:rsidR="006E4D3C" w:rsidRPr="00E239D7">
        <w:rPr>
          <w:rFonts w:ascii="Arial" w:hAnsi="Arial" w:cs="Arial"/>
          <w:sz w:val="24"/>
          <w:szCs w:val="24"/>
        </w:rPr>
        <w:t>the current effect on</w:t>
      </w:r>
      <w:r w:rsidR="00FF331E" w:rsidRPr="00E239D7">
        <w:rPr>
          <w:rFonts w:ascii="Arial" w:hAnsi="Arial" w:cs="Arial"/>
          <w:sz w:val="24"/>
          <w:szCs w:val="24"/>
        </w:rPr>
        <w:t xml:space="preserve"> their development. </w:t>
      </w:r>
      <w:r w:rsidR="006E4D3C" w:rsidRPr="00E239D7">
        <w:rPr>
          <w:rFonts w:ascii="Arial" w:hAnsi="Arial" w:cs="Arial"/>
          <w:sz w:val="24"/>
          <w:szCs w:val="24"/>
        </w:rPr>
        <w:t>Resilience enhancing teaching</w:t>
      </w:r>
      <w:r w:rsidR="00D50356" w:rsidRPr="00E239D7">
        <w:rPr>
          <w:rFonts w:ascii="Arial" w:hAnsi="Arial" w:cs="Arial"/>
          <w:sz w:val="24"/>
          <w:szCs w:val="24"/>
        </w:rPr>
        <w:t>,</w:t>
      </w:r>
      <w:r w:rsidR="006E4D3C" w:rsidRPr="00E239D7">
        <w:rPr>
          <w:rFonts w:ascii="Arial" w:hAnsi="Arial" w:cs="Arial"/>
          <w:sz w:val="24"/>
          <w:szCs w:val="24"/>
        </w:rPr>
        <w:t xml:space="preserve"> according to </w:t>
      </w:r>
      <w:proofErr w:type="spellStart"/>
      <w:r w:rsidR="006E4D3C" w:rsidRPr="00E239D7">
        <w:rPr>
          <w:rFonts w:ascii="Arial" w:hAnsi="Arial" w:cs="Arial"/>
          <w:sz w:val="24"/>
          <w:szCs w:val="24"/>
        </w:rPr>
        <w:t>Riopel</w:t>
      </w:r>
      <w:proofErr w:type="spellEnd"/>
      <w:r w:rsidR="006E4D3C" w:rsidRPr="00E239D7">
        <w:rPr>
          <w:rFonts w:ascii="Arial" w:hAnsi="Arial" w:cs="Arial"/>
          <w:sz w:val="24"/>
          <w:szCs w:val="24"/>
        </w:rPr>
        <w:t xml:space="preserve">, (2022) has become more recognised throughout </w:t>
      </w:r>
      <w:r w:rsidR="00D50356" w:rsidRPr="00E239D7">
        <w:rPr>
          <w:rFonts w:ascii="Arial" w:hAnsi="Arial" w:cs="Arial"/>
          <w:sz w:val="24"/>
          <w:szCs w:val="24"/>
        </w:rPr>
        <w:t xml:space="preserve">multidiscipline that work with children and young people. </w:t>
      </w:r>
    </w:p>
    <w:p w14:paraId="4186A7FE" w14:textId="742A43F0" w:rsidR="002F28F3" w:rsidRPr="00E239D7" w:rsidRDefault="00D50356" w:rsidP="00E239D7">
      <w:pPr>
        <w:spacing w:line="480" w:lineRule="auto"/>
        <w:rPr>
          <w:rFonts w:ascii="Arial" w:hAnsi="Arial" w:cs="Arial"/>
          <w:sz w:val="24"/>
          <w:szCs w:val="24"/>
        </w:rPr>
      </w:pPr>
      <w:r w:rsidRPr="00E239D7">
        <w:rPr>
          <w:rFonts w:ascii="Arial" w:hAnsi="Arial" w:cs="Arial"/>
          <w:sz w:val="24"/>
          <w:szCs w:val="24"/>
        </w:rPr>
        <w:t xml:space="preserve">Youth work is heavily embedded in harm prevention and </w:t>
      </w:r>
      <w:r w:rsidR="0068408F" w:rsidRPr="00E239D7">
        <w:rPr>
          <w:rFonts w:ascii="Arial" w:hAnsi="Arial" w:cs="Arial"/>
          <w:sz w:val="24"/>
          <w:szCs w:val="24"/>
        </w:rPr>
        <w:t>reduction and</w:t>
      </w:r>
      <w:r w:rsidRPr="00E239D7">
        <w:rPr>
          <w:rFonts w:ascii="Arial" w:hAnsi="Arial" w:cs="Arial"/>
          <w:sz w:val="24"/>
          <w:szCs w:val="24"/>
        </w:rPr>
        <w:t xml:space="preserve"> aims to lower the risks of further adversity for those young people who have been experienced ACE’s (Adverse Childhood Experiences, CDC, 2020) earlier in life. It is well known throughout the field of adolescent </w:t>
      </w:r>
      <w:r w:rsidR="0082556D" w:rsidRPr="00E239D7">
        <w:rPr>
          <w:rFonts w:ascii="Arial" w:hAnsi="Arial" w:cs="Arial"/>
          <w:sz w:val="24"/>
          <w:szCs w:val="24"/>
        </w:rPr>
        <w:t>psychology</w:t>
      </w:r>
      <w:r w:rsidRPr="00E239D7">
        <w:rPr>
          <w:rFonts w:ascii="Arial" w:hAnsi="Arial" w:cs="Arial"/>
          <w:sz w:val="24"/>
          <w:szCs w:val="24"/>
        </w:rPr>
        <w:t xml:space="preserve"> that </w:t>
      </w:r>
      <w:r w:rsidR="0068408F" w:rsidRPr="00E239D7">
        <w:rPr>
          <w:rFonts w:ascii="Arial" w:hAnsi="Arial" w:cs="Arial"/>
          <w:sz w:val="24"/>
          <w:szCs w:val="24"/>
        </w:rPr>
        <w:t>children</w:t>
      </w:r>
      <w:r w:rsidRPr="00E239D7">
        <w:rPr>
          <w:rFonts w:ascii="Arial" w:hAnsi="Arial" w:cs="Arial"/>
          <w:sz w:val="24"/>
          <w:szCs w:val="24"/>
        </w:rPr>
        <w:t xml:space="preserve"> who experience adversity early in life</w:t>
      </w:r>
      <w:r w:rsidR="0068408F" w:rsidRPr="00E239D7">
        <w:rPr>
          <w:rFonts w:ascii="Arial" w:hAnsi="Arial" w:cs="Arial"/>
          <w:sz w:val="24"/>
          <w:szCs w:val="24"/>
        </w:rPr>
        <w:t>, and do not have protective factors to help buffer them against further adversity are at a higher risk of developing one or more ACE’s, resulting in toxic stress.</w:t>
      </w:r>
      <w:r w:rsidR="00EF7D64" w:rsidRPr="00E239D7">
        <w:rPr>
          <w:rFonts w:ascii="Arial" w:hAnsi="Arial" w:cs="Arial"/>
          <w:sz w:val="24"/>
          <w:szCs w:val="24"/>
        </w:rPr>
        <w:t xml:space="preserve"> </w:t>
      </w:r>
      <w:r w:rsidR="006F1338" w:rsidRPr="00E239D7">
        <w:rPr>
          <w:rFonts w:ascii="Arial" w:hAnsi="Arial" w:cs="Arial"/>
          <w:sz w:val="24"/>
          <w:szCs w:val="24"/>
        </w:rPr>
        <w:t>(</w:t>
      </w:r>
      <w:proofErr w:type="spellStart"/>
      <w:r w:rsidR="006F1338" w:rsidRPr="00E239D7">
        <w:rPr>
          <w:rFonts w:ascii="Arial" w:hAnsi="Arial" w:cs="Arial"/>
          <w:sz w:val="24"/>
          <w:szCs w:val="24"/>
        </w:rPr>
        <w:t>Finkelhor</w:t>
      </w:r>
      <w:proofErr w:type="spellEnd"/>
      <w:r w:rsidR="006F1338" w:rsidRPr="00E239D7">
        <w:rPr>
          <w:rFonts w:ascii="Arial" w:hAnsi="Arial" w:cs="Arial"/>
          <w:sz w:val="24"/>
          <w:szCs w:val="24"/>
        </w:rPr>
        <w:t xml:space="preserve"> Et, Al, 200</w:t>
      </w:r>
      <w:r w:rsidR="00F23D80" w:rsidRPr="00E239D7">
        <w:rPr>
          <w:rFonts w:ascii="Arial" w:hAnsi="Arial" w:cs="Arial"/>
          <w:sz w:val="24"/>
          <w:szCs w:val="24"/>
        </w:rPr>
        <w:t>5</w:t>
      </w:r>
      <w:r w:rsidR="006F1338" w:rsidRPr="00E239D7">
        <w:rPr>
          <w:rFonts w:ascii="Arial" w:hAnsi="Arial" w:cs="Arial"/>
          <w:sz w:val="24"/>
          <w:szCs w:val="24"/>
        </w:rPr>
        <w:t xml:space="preserve">) </w:t>
      </w:r>
      <w:r w:rsidR="00EF7D64" w:rsidRPr="00E239D7">
        <w:rPr>
          <w:rFonts w:ascii="Arial" w:hAnsi="Arial" w:cs="Arial"/>
          <w:sz w:val="24"/>
          <w:szCs w:val="24"/>
        </w:rPr>
        <w:t xml:space="preserve">ACE’s can also impact on brain development by decreasing serotonin levels which can lead to aggressive behaviour. (Simon and </w:t>
      </w:r>
      <w:proofErr w:type="spellStart"/>
      <w:r w:rsidR="00EF7D64" w:rsidRPr="00E239D7">
        <w:rPr>
          <w:rFonts w:ascii="Arial" w:hAnsi="Arial" w:cs="Arial"/>
          <w:sz w:val="24"/>
          <w:szCs w:val="24"/>
        </w:rPr>
        <w:t>Coccaro</w:t>
      </w:r>
      <w:proofErr w:type="spellEnd"/>
      <w:r w:rsidR="00EF7D64" w:rsidRPr="00E239D7">
        <w:rPr>
          <w:rFonts w:ascii="Arial" w:hAnsi="Arial" w:cs="Arial"/>
          <w:sz w:val="24"/>
          <w:szCs w:val="24"/>
        </w:rPr>
        <w:t>, 1999,</w:t>
      </w:r>
      <w:r w:rsidR="00D114FA" w:rsidRPr="00E239D7">
        <w:rPr>
          <w:rFonts w:ascii="Arial" w:hAnsi="Arial" w:cs="Arial"/>
          <w:sz w:val="24"/>
          <w:szCs w:val="24"/>
        </w:rPr>
        <w:t xml:space="preserve"> cited in </w:t>
      </w:r>
      <w:proofErr w:type="spellStart"/>
      <w:r w:rsidR="00D114FA" w:rsidRPr="00E239D7">
        <w:rPr>
          <w:rFonts w:ascii="Arial" w:hAnsi="Arial" w:cs="Arial"/>
          <w:sz w:val="24"/>
          <w:szCs w:val="24"/>
        </w:rPr>
        <w:t>Blackwells</w:t>
      </w:r>
      <w:proofErr w:type="spellEnd"/>
      <w:r w:rsidR="00D114FA" w:rsidRPr="00E239D7">
        <w:rPr>
          <w:rFonts w:ascii="Arial" w:hAnsi="Arial" w:cs="Arial"/>
          <w:sz w:val="24"/>
          <w:szCs w:val="24"/>
        </w:rPr>
        <w:t xml:space="preserve"> Handbook of Adolescence,</w:t>
      </w:r>
      <w:r w:rsidR="00EF7D64" w:rsidRPr="00E239D7">
        <w:rPr>
          <w:rFonts w:ascii="Arial" w:hAnsi="Arial" w:cs="Arial"/>
          <w:sz w:val="24"/>
          <w:szCs w:val="24"/>
        </w:rPr>
        <w:t xml:space="preserve"> p.507)</w:t>
      </w:r>
      <w:r w:rsidR="0068408F" w:rsidRPr="00E239D7">
        <w:rPr>
          <w:rFonts w:ascii="Arial" w:hAnsi="Arial" w:cs="Arial"/>
          <w:sz w:val="24"/>
          <w:szCs w:val="24"/>
        </w:rPr>
        <w:t xml:space="preserve"> Therefore, youth workers, as to other disciplines who take a more pathological view of resilience</w:t>
      </w:r>
      <w:r w:rsidR="0082556D" w:rsidRPr="00E239D7">
        <w:rPr>
          <w:rFonts w:ascii="Arial" w:hAnsi="Arial" w:cs="Arial"/>
          <w:sz w:val="24"/>
          <w:szCs w:val="24"/>
        </w:rPr>
        <w:t xml:space="preserve"> and wellbeing,</w:t>
      </w:r>
      <w:r w:rsidR="0068408F" w:rsidRPr="00E239D7">
        <w:rPr>
          <w:rFonts w:ascii="Arial" w:hAnsi="Arial" w:cs="Arial"/>
          <w:sz w:val="24"/>
          <w:szCs w:val="24"/>
        </w:rPr>
        <w:t xml:space="preserve"> adopt a </w:t>
      </w:r>
      <w:r w:rsidR="0082556D" w:rsidRPr="00E239D7">
        <w:rPr>
          <w:rFonts w:ascii="Arial" w:hAnsi="Arial" w:cs="Arial"/>
          <w:sz w:val="24"/>
          <w:szCs w:val="24"/>
        </w:rPr>
        <w:t>strength’s-based</w:t>
      </w:r>
      <w:r w:rsidR="0068408F" w:rsidRPr="00E239D7">
        <w:rPr>
          <w:rFonts w:ascii="Arial" w:hAnsi="Arial" w:cs="Arial"/>
          <w:sz w:val="24"/>
          <w:szCs w:val="24"/>
        </w:rPr>
        <w:t xml:space="preserve"> approach </w:t>
      </w:r>
      <w:r w:rsidR="004D4345" w:rsidRPr="00E239D7">
        <w:rPr>
          <w:rFonts w:ascii="Arial" w:hAnsi="Arial" w:cs="Arial"/>
          <w:sz w:val="24"/>
          <w:szCs w:val="24"/>
        </w:rPr>
        <w:t xml:space="preserve">(McCashen,2005) </w:t>
      </w:r>
      <w:r w:rsidR="0068408F" w:rsidRPr="00E239D7">
        <w:rPr>
          <w:rFonts w:ascii="Arial" w:hAnsi="Arial" w:cs="Arial"/>
          <w:sz w:val="24"/>
          <w:szCs w:val="24"/>
        </w:rPr>
        <w:t>that focus</w:t>
      </w:r>
      <w:r w:rsidR="0082556D" w:rsidRPr="00E239D7">
        <w:rPr>
          <w:rFonts w:ascii="Arial" w:hAnsi="Arial" w:cs="Arial"/>
          <w:sz w:val="24"/>
          <w:szCs w:val="24"/>
        </w:rPr>
        <w:t>es</w:t>
      </w:r>
      <w:r w:rsidR="0068408F" w:rsidRPr="00E239D7">
        <w:rPr>
          <w:rFonts w:ascii="Arial" w:hAnsi="Arial" w:cs="Arial"/>
          <w:sz w:val="24"/>
          <w:szCs w:val="24"/>
        </w:rPr>
        <w:t xml:space="preserve"> on young people’s subjective wellbein</w:t>
      </w:r>
      <w:r w:rsidR="0082556D" w:rsidRPr="00E239D7">
        <w:rPr>
          <w:rFonts w:ascii="Arial" w:hAnsi="Arial" w:cs="Arial"/>
          <w:sz w:val="24"/>
          <w:szCs w:val="24"/>
        </w:rPr>
        <w:t xml:space="preserve">g, which includes basic skills development as well </w:t>
      </w:r>
      <w:r w:rsidR="002F28F3" w:rsidRPr="00E239D7">
        <w:rPr>
          <w:rFonts w:ascii="Arial" w:hAnsi="Arial" w:cs="Arial"/>
          <w:sz w:val="24"/>
          <w:szCs w:val="24"/>
        </w:rPr>
        <w:t>as enhancing</w:t>
      </w:r>
      <w:r w:rsidR="0082556D" w:rsidRPr="00E239D7">
        <w:rPr>
          <w:rFonts w:ascii="Arial" w:hAnsi="Arial" w:cs="Arial"/>
          <w:sz w:val="24"/>
          <w:szCs w:val="24"/>
        </w:rPr>
        <w:t xml:space="preserve"> their social intelligence</w:t>
      </w:r>
      <w:r w:rsidR="002F28F3" w:rsidRPr="00E239D7">
        <w:rPr>
          <w:rFonts w:ascii="Arial" w:hAnsi="Arial" w:cs="Arial"/>
          <w:sz w:val="24"/>
          <w:szCs w:val="24"/>
        </w:rPr>
        <w:t xml:space="preserve"> which is paramount to learning how to live independently. </w:t>
      </w:r>
    </w:p>
    <w:p w14:paraId="03D1FE30" w14:textId="4CDD0298" w:rsidR="00CC4260" w:rsidRPr="00E239D7" w:rsidRDefault="00EA6972" w:rsidP="00E239D7">
      <w:pPr>
        <w:spacing w:line="480" w:lineRule="auto"/>
        <w:rPr>
          <w:rFonts w:ascii="Arial" w:hAnsi="Arial" w:cs="Arial"/>
          <w:sz w:val="24"/>
          <w:szCs w:val="24"/>
        </w:rPr>
      </w:pPr>
      <w:r w:rsidRPr="00E239D7">
        <w:rPr>
          <w:rFonts w:ascii="Arial" w:hAnsi="Arial" w:cs="Arial"/>
          <w:sz w:val="24"/>
          <w:szCs w:val="24"/>
        </w:rPr>
        <w:lastRenderedPageBreak/>
        <w:t>Bronfenbrenner’s (19</w:t>
      </w:r>
      <w:r w:rsidR="00070148" w:rsidRPr="00E239D7">
        <w:rPr>
          <w:rFonts w:ascii="Arial" w:hAnsi="Arial" w:cs="Arial"/>
          <w:sz w:val="24"/>
          <w:szCs w:val="24"/>
        </w:rPr>
        <w:t>79</w:t>
      </w:r>
      <w:r w:rsidRPr="00E239D7">
        <w:rPr>
          <w:rFonts w:ascii="Arial" w:hAnsi="Arial" w:cs="Arial"/>
          <w:sz w:val="24"/>
          <w:szCs w:val="24"/>
        </w:rPr>
        <w:t xml:space="preserve">) </w:t>
      </w:r>
      <w:r w:rsidR="00070148" w:rsidRPr="00E239D7">
        <w:rPr>
          <w:rFonts w:ascii="Arial" w:hAnsi="Arial" w:cs="Arial"/>
          <w:sz w:val="24"/>
          <w:szCs w:val="24"/>
        </w:rPr>
        <w:t>E</w:t>
      </w:r>
      <w:r w:rsidRPr="00E239D7">
        <w:rPr>
          <w:rFonts w:ascii="Arial" w:hAnsi="Arial" w:cs="Arial"/>
          <w:sz w:val="24"/>
          <w:szCs w:val="24"/>
        </w:rPr>
        <w:t xml:space="preserve">cological systems theory framework illustrates how internal and external factors impact on the overall development of young people. </w:t>
      </w:r>
      <w:r w:rsidR="00E26D90" w:rsidRPr="00E239D7">
        <w:rPr>
          <w:rFonts w:ascii="Arial" w:hAnsi="Arial" w:cs="Arial"/>
          <w:sz w:val="24"/>
          <w:szCs w:val="24"/>
        </w:rPr>
        <w:t>Young people can be subjected to Socio- economic stress (Adams and Berzonsky, Pp.424,425) because of t</w:t>
      </w:r>
      <w:r w:rsidRPr="00E239D7">
        <w:rPr>
          <w:rFonts w:ascii="Arial" w:hAnsi="Arial" w:cs="Arial"/>
          <w:sz w:val="24"/>
          <w:szCs w:val="24"/>
        </w:rPr>
        <w:t>he environment in which young people live</w:t>
      </w:r>
      <w:r w:rsidR="00E26D90" w:rsidRPr="00E239D7">
        <w:rPr>
          <w:rFonts w:ascii="Arial" w:hAnsi="Arial" w:cs="Arial"/>
          <w:sz w:val="24"/>
          <w:szCs w:val="24"/>
        </w:rPr>
        <w:t xml:space="preserve">. This </w:t>
      </w:r>
      <w:r w:rsidRPr="00E239D7">
        <w:rPr>
          <w:rFonts w:ascii="Arial" w:hAnsi="Arial" w:cs="Arial"/>
          <w:sz w:val="24"/>
          <w:szCs w:val="24"/>
        </w:rPr>
        <w:t xml:space="preserve">can </w:t>
      </w:r>
      <w:r w:rsidR="00052FEF" w:rsidRPr="00E239D7">
        <w:rPr>
          <w:rFonts w:ascii="Arial" w:hAnsi="Arial" w:cs="Arial"/>
          <w:sz w:val="24"/>
          <w:szCs w:val="24"/>
        </w:rPr>
        <w:t>influence their level of wellbeing. Young people cannot thrive if the</w:t>
      </w:r>
      <w:r w:rsidR="00894C2D" w:rsidRPr="00E239D7">
        <w:rPr>
          <w:rFonts w:ascii="Arial" w:hAnsi="Arial" w:cs="Arial"/>
          <w:sz w:val="24"/>
          <w:szCs w:val="24"/>
        </w:rPr>
        <w:t xml:space="preserve">y feel afraid of the area in which they live, for example- living in a neighbourhood with high levels of crime. </w:t>
      </w:r>
      <w:r w:rsidR="000F438D" w:rsidRPr="00E239D7">
        <w:rPr>
          <w:rFonts w:ascii="Arial" w:hAnsi="Arial" w:cs="Arial"/>
          <w:sz w:val="24"/>
          <w:szCs w:val="24"/>
        </w:rPr>
        <w:t xml:space="preserve">This example would be a deterrent for young people going out and enjoying exercise and social time within their communities because of the crime within the area. The issue here would be that there may or may not be a youth centre situated within this area. This could be because of constraints in funding, or because the risk of opening a youth centre within this type of </w:t>
      </w:r>
      <w:r w:rsidR="00E11360" w:rsidRPr="00E239D7">
        <w:rPr>
          <w:rFonts w:ascii="Arial" w:hAnsi="Arial" w:cs="Arial"/>
          <w:sz w:val="24"/>
          <w:szCs w:val="24"/>
        </w:rPr>
        <w:t>could be</w:t>
      </w:r>
      <w:r w:rsidR="000F438D" w:rsidRPr="00E239D7">
        <w:rPr>
          <w:rFonts w:ascii="Arial" w:hAnsi="Arial" w:cs="Arial"/>
          <w:sz w:val="24"/>
          <w:szCs w:val="24"/>
        </w:rPr>
        <w:t xml:space="preserve"> </w:t>
      </w:r>
      <w:r w:rsidR="00E11360" w:rsidRPr="00E239D7">
        <w:rPr>
          <w:rFonts w:ascii="Arial" w:hAnsi="Arial" w:cs="Arial"/>
          <w:sz w:val="24"/>
          <w:szCs w:val="24"/>
        </w:rPr>
        <w:t>too</w:t>
      </w:r>
      <w:r w:rsidR="000F438D" w:rsidRPr="00E239D7">
        <w:rPr>
          <w:rFonts w:ascii="Arial" w:hAnsi="Arial" w:cs="Arial"/>
          <w:sz w:val="24"/>
          <w:szCs w:val="24"/>
        </w:rPr>
        <w:t xml:space="preserve"> high a risk for stakeholders</w:t>
      </w:r>
      <w:r w:rsidR="00E11360" w:rsidRPr="00E239D7">
        <w:rPr>
          <w:rFonts w:ascii="Arial" w:hAnsi="Arial" w:cs="Arial"/>
          <w:sz w:val="24"/>
          <w:szCs w:val="24"/>
        </w:rPr>
        <w:t>,</w:t>
      </w:r>
      <w:r w:rsidR="000F438D" w:rsidRPr="00E239D7">
        <w:rPr>
          <w:rFonts w:ascii="Arial" w:hAnsi="Arial" w:cs="Arial"/>
          <w:sz w:val="24"/>
          <w:szCs w:val="24"/>
        </w:rPr>
        <w:t xml:space="preserve"> </w:t>
      </w:r>
      <w:r w:rsidR="00E11360" w:rsidRPr="00E239D7">
        <w:rPr>
          <w:rFonts w:ascii="Arial" w:hAnsi="Arial" w:cs="Arial"/>
          <w:sz w:val="24"/>
          <w:szCs w:val="24"/>
        </w:rPr>
        <w:t xml:space="preserve">and society, </w:t>
      </w:r>
      <w:r w:rsidR="000F438D" w:rsidRPr="00E239D7">
        <w:rPr>
          <w:rFonts w:ascii="Arial" w:hAnsi="Arial" w:cs="Arial"/>
          <w:sz w:val="24"/>
          <w:szCs w:val="24"/>
        </w:rPr>
        <w:t>as to weighing up</w:t>
      </w:r>
      <w:r w:rsidR="00E11360" w:rsidRPr="00E239D7">
        <w:rPr>
          <w:rFonts w:ascii="Arial" w:hAnsi="Arial" w:cs="Arial"/>
          <w:sz w:val="24"/>
          <w:szCs w:val="24"/>
        </w:rPr>
        <w:t xml:space="preserve"> what the</w:t>
      </w:r>
      <w:r w:rsidR="000F438D" w:rsidRPr="00E239D7">
        <w:rPr>
          <w:rFonts w:ascii="Arial" w:hAnsi="Arial" w:cs="Arial"/>
          <w:sz w:val="24"/>
          <w:szCs w:val="24"/>
        </w:rPr>
        <w:t xml:space="preserve"> benefits</w:t>
      </w:r>
      <w:r w:rsidR="00E11360" w:rsidRPr="00E239D7">
        <w:rPr>
          <w:rFonts w:ascii="Arial" w:hAnsi="Arial" w:cs="Arial"/>
          <w:sz w:val="24"/>
          <w:szCs w:val="24"/>
        </w:rPr>
        <w:t xml:space="preserve"> would be</w:t>
      </w:r>
      <w:r w:rsidR="000F438D" w:rsidRPr="00E239D7">
        <w:rPr>
          <w:rFonts w:ascii="Arial" w:hAnsi="Arial" w:cs="Arial"/>
          <w:sz w:val="24"/>
          <w:szCs w:val="24"/>
        </w:rPr>
        <w:t xml:space="preserve"> for</w:t>
      </w:r>
      <w:r w:rsidR="00E11360" w:rsidRPr="00E239D7">
        <w:rPr>
          <w:rFonts w:ascii="Arial" w:hAnsi="Arial" w:cs="Arial"/>
          <w:sz w:val="24"/>
          <w:szCs w:val="24"/>
        </w:rPr>
        <w:t xml:space="preserve"> the</w:t>
      </w:r>
      <w:r w:rsidR="000F438D" w:rsidRPr="00E239D7">
        <w:rPr>
          <w:rFonts w:ascii="Arial" w:hAnsi="Arial" w:cs="Arial"/>
          <w:sz w:val="24"/>
          <w:szCs w:val="24"/>
        </w:rPr>
        <w:t xml:space="preserve"> positive development of young people. </w:t>
      </w:r>
    </w:p>
    <w:p w14:paraId="2277BF59" w14:textId="77777777" w:rsidR="00AC0692" w:rsidRPr="00E239D7" w:rsidRDefault="00C700D3" w:rsidP="00E239D7">
      <w:pPr>
        <w:spacing w:line="480" w:lineRule="auto"/>
        <w:rPr>
          <w:rFonts w:ascii="Arial" w:hAnsi="Arial" w:cs="Arial"/>
          <w:sz w:val="24"/>
          <w:szCs w:val="24"/>
        </w:rPr>
      </w:pPr>
      <w:r w:rsidRPr="00E239D7">
        <w:rPr>
          <w:rFonts w:ascii="Arial" w:hAnsi="Arial" w:cs="Arial"/>
          <w:sz w:val="24"/>
          <w:szCs w:val="24"/>
        </w:rPr>
        <w:t>Much research written by Dr Michael Ungar, demonstrates that culture impacts greatly on how well a young person goes on to develop resilience and thrive, and that individuals and organisations need to adopt a sense of responsibility for enhancing and sustaining the</w:t>
      </w:r>
      <w:r w:rsidR="00CC4260" w:rsidRPr="00E239D7">
        <w:rPr>
          <w:rFonts w:ascii="Arial" w:hAnsi="Arial" w:cs="Arial"/>
          <w:sz w:val="24"/>
          <w:szCs w:val="24"/>
        </w:rPr>
        <w:t xml:space="preserve"> wellbeing of society through providing adequate resources that help to buffer resilience and wellbeing. These could be individual and personal, or more commercial. If we look at youth workers for example, prior to engaging in a new project in a new area, they need to assess and examine the areas in which they work. This is often done through the benefit </w:t>
      </w:r>
      <w:r w:rsidR="005D69AB" w:rsidRPr="00E239D7">
        <w:rPr>
          <w:rFonts w:ascii="Arial" w:hAnsi="Arial" w:cs="Arial"/>
          <w:sz w:val="24"/>
          <w:szCs w:val="24"/>
        </w:rPr>
        <w:t>of writing</w:t>
      </w:r>
      <w:r w:rsidR="00CC4260" w:rsidRPr="00E239D7">
        <w:rPr>
          <w:rFonts w:ascii="Arial" w:hAnsi="Arial" w:cs="Arial"/>
          <w:sz w:val="24"/>
          <w:szCs w:val="24"/>
        </w:rPr>
        <w:t xml:space="preserve"> community profiles, assessing the current attributes of the community and what would </w:t>
      </w:r>
      <w:r w:rsidR="005D69AB" w:rsidRPr="00E239D7">
        <w:rPr>
          <w:rFonts w:ascii="Arial" w:hAnsi="Arial" w:cs="Arial"/>
          <w:sz w:val="24"/>
          <w:szCs w:val="24"/>
        </w:rPr>
        <w:t xml:space="preserve">areas need improvement. </w:t>
      </w:r>
    </w:p>
    <w:p w14:paraId="53E0668E" w14:textId="5E99D327" w:rsidR="00E310FE" w:rsidRPr="00E239D7" w:rsidRDefault="005D69AB" w:rsidP="00E239D7">
      <w:pPr>
        <w:spacing w:line="480" w:lineRule="auto"/>
        <w:rPr>
          <w:rFonts w:ascii="Arial" w:hAnsi="Arial" w:cs="Arial"/>
          <w:sz w:val="24"/>
          <w:szCs w:val="24"/>
        </w:rPr>
      </w:pPr>
      <w:r w:rsidRPr="00E239D7">
        <w:rPr>
          <w:rFonts w:ascii="Arial" w:hAnsi="Arial" w:cs="Arial"/>
          <w:sz w:val="24"/>
          <w:szCs w:val="24"/>
        </w:rPr>
        <w:t xml:space="preserve">Community profiles can give an indication of the level of wellbeing within an area by examining not just personal resources, but also looking at areas of education, </w:t>
      </w:r>
      <w:r w:rsidRPr="00E239D7">
        <w:rPr>
          <w:rFonts w:ascii="Arial" w:hAnsi="Arial" w:cs="Arial"/>
          <w:sz w:val="24"/>
          <w:szCs w:val="24"/>
        </w:rPr>
        <w:lastRenderedPageBreak/>
        <w:t>transport, work, and training opportunities and places to enjoy leisure</w:t>
      </w:r>
      <w:r w:rsidR="004D4345" w:rsidRPr="00E239D7">
        <w:rPr>
          <w:rFonts w:ascii="Arial" w:hAnsi="Arial" w:cs="Arial"/>
          <w:sz w:val="24"/>
          <w:szCs w:val="24"/>
        </w:rPr>
        <w:t xml:space="preserve"> (Hawtin, </w:t>
      </w:r>
      <w:proofErr w:type="gramStart"/>
      <w:r w:rsidR="004D4345" w:rsidRPr="00E239D7">
        <w:rPr>
          <w:rFonts w:ascii="Arial" w:hAnsi="Arial" w:cs="Arial"/>
          <w:sz w:val="24"/>
          <w:szCs w:val="24"/>
        </w:rPr>
        <w:t>Hughes</w:t>
      </w:r>
      <w:proofErr w:type="gramEnd"/>
      <w:r w:rsidR="004D4345" w:rsidRPr="00E239D7">
        <w:rPr>
          <w:rFonts w:ascii="Arial" w:hAnsi="Arial" w:cs="Arial"/>
          <w:sz w:val="24"/>
          <w:szCs w:val="24"/>
        </w:rPr>
        <w:t xml:space="preserve"> and Percy-Smith, </w:t>
      </w:r>
      <w:r w:rsidR="00D114FA" w:rsidRPr="00E239D7">
        <w:rPr>
          <w:rFonts w:ascii="Arial" w:hAnsi="Arial" w:cs="Arial"/>
          <w:sz w:val="24"/>
          <w:szCs w:val="24"/>
        </w:rPr>
        <w:t>199</w:t>
      </w:r>
      <w:r w:rsidR="004D4345" w:rsidRPr="00E239D7">
        <w:rPr>
          <w:rFonts w:ascii="Arial" w:hAnsi="Arial" w:cs="Arial"/>
          <w:sz w:val="24"/>
          <w:szCs w:val="24"/>
        </w:rPr>
        <w:t>4)</w:t>
      </w:r>
      <w:r w:rsidRPr="00E239D7">
        <w:rPr>
          <w:rFonts w:ascii="Arial" w:hAnsi="Arial" w:cs="Arial"/>
          <w:sz w:val="24"/>
          <w:szCs w:val="24"/>
        </w:rPr>
        <w:t xml:space="preserve">. </w:t>
      </w:r>
      <w:r w:rsidR="00AC0692" w:rsidRPr="00E239D7">
        <w:rPr>
          <w:rFonts w:ascii="Arial" w:hAnsi="Arial" w:cs="Arial"/>
          <w:sz w:val="24"/>
          <w:szCs w:val="24"/>
        </w:rPr>
        <w:t xml:space="preserve">The author has on three accounts engaged in conversation with young people about what they like and dislike about their communities. On one occasion, three out of four young people went on to disclose why they disliked their community and why. </w:t>
      </w:r>
      <w:r w:rsidR="00E310FE" w:rsidRPr="00E239D7">
        <w:rPr>
          <w:rFonts w:ascii="Arial" w:hAnsi="Arial" w:cs="Arial"/>
          <w:sz w:val="24"/>
          <w:szCs w:val="24"/>
        </w:rPr>
        <w:t xml:space="preserve">Three of those young people, although they were not asked the question as group, went on to give very similar answers. This prompted the author to engage in further dialogue with young people about how the situation could be made better in which they disclosed that their local community was to blame. This demonstrates that culture can influence wellbeing within society whether it is direct or indirect.  </w:t>
      </w:r>
    </w:p>
    <w:p w14:paraId="178026B0" w14:textId="543222DF" w:rsidR="001451AD" w:rsidRPr="00E239D7" w:rsidRDefault="00E310FE" w:rsidP="00E239D7">
      <w:pPr>
        <w:spacing w:line="480" w:lineRule="auto"/>
        <w:rPr>
          <w:rFonts w:ascii="Arial" w:hAnsi="Arial" w:cs="Arial"/>
          <w:sz w:val="24"/>
          <w:szCs w:val="24"/>
        </w:rPr>
      </w:pPr>
      <w:r w:rsidRPr="00E239D7">
        <w:rPr>
          <w:rFonts w:ascii="Arial" w:hAnsi="Arial" w:cs="Arial"/>
          <w:sz w:val="24"/>
          <w:szCs w:val="24"/>
        </w:rPr>
        <w:t xml:space="preserve">With this example, youth work could use intergenerational work as an opportunity to foster mutual respect and understanding between different cultures and age groups within society. </w:t>
      </w:r>
      <w:r w:rsidR="00B81F7A" w:rsidRPr="00E239D7">
        <w:rPr>
          <w:rFonts w:ascii="Arial" w:hAnsi="Arial" w:cs="Arial"/>
          <w:sz w:val="24"/>
          <w:szCs w:val="24"/>
        </w:rPr>
        <w:t xml:space="preserve">Voluntary participation and engagement of young people with others throughout the community can be beneficial to both </w:t>
      </w:r>
      <w:r w:rsidR="001451AD" w:rsidRPr="00E239D7">
        <w:rPr>
          <w:rFonts w:ascii="Arial" w:hAnsi="Arial" w:cs="Arial"/>
          <w:sz w:val="24"/>
          <w:szCs w:val="24"/>
        </w:rPr>
        <w:t xml:space="preserve">individual and young person. </w:t>
      </w:r>
    </w:p>
    <w:p w14:paraId="149A09F4" w14:textId="26B395A3" w:rsidR="00925DF6" w:rsidRPr="00E239D7" w:rsidRDefault="00512798" w:rsidP="00E239D7">
      <w:pPr>
        <w:spacing w:line="480" w:lineRule="auto"/>
        <w:rPr>
          <w:rFonts w:ascii="Arial" w:hAnsi="Arial" w:cs="Arial"/>
          <w:sz w:val="24"/>
          <w:szCs w:val="24"/>
        </w:rPr>
      </w:pPr>
      <w:r w:rsidRPr="00E239D7">
        <w:rPr>
          <w:rFonts w:ascii="Arial" w:hAnsi="Arial" w:cs="Arial"/>
          <w:sz w:val="24"/>
          <w:szCs w:val="24"/>
        </w:rPr>
        <w:t xml:space="preserve">According to </w:t>
      </w:r>
      <w:r w:rsidR="000225EC" w:rsidRPr="00E239D7">
        <w:rPr>
          <w:rFonts w:ascii="Arial" w:hAnsi="Arial" w:cs="Arial"/>
          <w:sz w:val="24"/>
          <w:szCs w:val="24"/>
        </w:rPr>
        <w:t>Valamis.com</w:t>
      </w:r>
      <w:r w:rsidRPr="00E239D7">
        <w:rPr>
          <w:rFonts w:ascii="Arial" w:hAnsi="Arial" w:cs="Arial"/>
          <w:sz w:val="24"/>
          <w:szCs w:val="24"/>
        </w:rPr>
        <w:t>, (20</w:t>
      </w:r>
      <w:r w:rsidR="000225EC" w:rsidRPr="00E239D7">
        <w:rPr>
          <w:rFonts w:ascii="Arial" w:hAnsi="Arial" w:cs="Arial"/>
          <w:sz w:val="24"/>
          <w:szCs w:val="24"/>
        </w:rPr>
        <w:t>22</w:t>
      </w:r>
      <w:r w:rsidRPr="00E239D7">
        <w:rPr>
          <w:rFonts w:ascii="Arial" w:hAnsi="Arial" w:cs="Arial"/>
          <w:sz w:val="24"/>
          <w:szCs w:val="24"/>
        </w:rPr>
        <w:t xml:space="preserve">) </w:t>
      </w:r>
      <w:r w:rsidR="001451AD" w:rsidRPr="00E239D7">
        <w:rPr>
          <w:rFonts w:ascii="Arial" w:hAnsi="Arial" w:cs="Arial"/>
          <w:sz w:val="24"/>
          <w:szCs w:val="24"/>
        </w:rPr>
        <w:t xml:space="preserve">Skill development and learning is a lifelong process. There is often the worry of balancing power between adult and young person, with the concern that youth work is not incorporating the voluntary participation element into practice which sets it aside from other professions. Intergenerational projects </w:t>
      </w:r>
      <w:r w:rsidR="003E0B43" w:rsidRPr="00E239D7">
        <w:rPr>
          <w:rFonts w:ascii="Arial" w:hAnsi="Arial" w:cs="Arial"/>
          <w:sz w:val="24"/>
          <w:szCs w:val="24"/>
        </w:rPr>
        <w:t xml:space="preserve">for example that foster a person-centred wellbeing approach could possibly open new ways of support and nurturing for young people through mentoring. Often young people who have not </w:t>
      </w:r>
      <w:r w:rsidR="00070148" w:rsidRPr="00E239D7">
        <w:rPr>
          <w:rFonts w:ascii="Arial" w:hAnsi="Arial" w:cs="Arial"/>
          <w:sz w:val="24"/>
          <w:szCs w:val="24"/>
        </w:rPr>
        <w:t xml:space="preserve">had their ‘significant needs’ (Pringle, 1986) met, or </w:t>
      </w:r>
      <w:r w:rsidR="003E0B43" w:rsidRPr="00E239D7">
        <w:rPr>
          <w:rFonts w:ascii="Arial" w:hAnsi="Arial" w:cs="Arial"/>
          <w:sz w:val="24"/>
          <w:szCs w:val="24"/>
        </w:rPr>
        <w:t>experience</w:t>
      </w:r>
      <w:r w:rsidR="00070148" w:rsidRPr="00E239D7">
        <w:rPr>
          <w:rFonts w:ascii="Arial" w:hAnsi="Arial" w:cs="Arial"/>
          <w:sz w:val="24"/>
          <w:szCs w:val="24"/>
        </w:rPr>
        <w:t xml:space="preserve">d </w:t>
      </w:r>
      <w:r w:rsidR="003E0B43" w:rsidRPr="00E239D7">
        <w:rPr>
          <w:rFonts w:ascii="Arial" w:hAnsi="Arial" w:cs="Arial"/>
          <w:sz w:val="24"/>
          <w:szCs w:val="24"/>
        </w:rPr>
        <w:t xml:space="preserve">secure attachments </w:t>
      </w:r>
      <w:r w:rsidR="00070148" w:rsidRPr="00E239D7">
        <w:rPr>
          <w:rFonts w:ascii="Arial" w:hAnsi="Arial" w:cs="Arial"/>
          <w:sz w:val="24"/>
          <w:szCs w:val="24"/>
        </w:rPr>
        <w:t xml:space="preserve">(Bowlby, 1969) </w:t>
      </w:r>
      <w:r w:rsidR="003E0B43" w:rsidRPr="00E239D7">
        <w:rPr>
          <w:rFonts w:ascii="Arial" w:hAnsi="Arial" w:cs="Arial"/>
          <w:sz w:val="24"/>
          <w:szCs w:val="24"/>
        </w:rPr>
        <w:t xml:space="preserve">with caregivers in early childhood, do not have that role model of positivity. Youth workers or, assigned adults as young person mentors can have a positive effect on the development, </w:t>
      </w:r>
      <w:r w:rsidR="007016CB" w:rsidRPr="00E239D7">
        <w:rPr>
          <w:rFonts w:ascii="Arial" w:hAnsi="Arial" w:cs="Arial"/>
          <w:sz w:val="24"/>
          <w:szCs w:val="24"/>
        </w:rPr>
        <w:t>confidence,</w:t>
      </w:r>
      <w:r w:rsidR="003E0B43" w:rsidRPr="00E239D7">
        <w:rPr>
          <w:rFonts w:ascii="Arial" w:hAnsi="Arial" w:cs="Arial"/>
          <w:sz w:val="24"/>
          <w:szCs w:val="24"/>
        </w:rPr>
        <w:t xml:space="preserve"> and </w:t>
      </w:r>
      <w:r w:rsidR="007016CB" w:rsidRPr="00E239D7">
        <w:rPr>
          <w:rFonts w:ascii="Arial" w:hAnsi="Arial" w:cs="Arial"/>
          <w:sz w:val="24"/>
          <w:szCs w:val="24"/>
        </w:rPr>
        <w:t>self-esteem</w:t>
      </w:r>
      <w:r w:rsidR="003E0B43" w:rsidRPr="00E239D7">
        <w:rPr>
          <w:rFonts w:ascii="Arial" w:hAnsi="Arial" w:cs="Arial"/>
          <w:sz w:val="24"/>
          <w:szCs w:val="24"/>
        </w:rPr>
        <w:t xml:space="preserve"> of young people in which they engage </w:t>
      </w:r>
      <w:r w:rsidR="003E0B43" w:rsidRPr="00E239D7">
        <w:rPr>
          <w:rFonts w:ascii="Arial" w:hAnsi="Arial" w:cs="Arial"/>
          <w:sz w:val="24"/>
          <w:szCs w:val="24"/>
        </w:rPr>
        <w:lastRenderedPageBreak/>
        <w:t>with</w:t>
      </w:r>
      <w:r w:rsidR="007016CB" w:rsidRPr="00E239D7">
        <w:rPr>
          <w:rFonts w:ascii="Arial" w:hAnsi="Arial" w:cs="Arial"/>
          <w:sz w:val="24"/>
          <w:szCs w:val="24"/>
        </w:rPr>
        <w:t xml:space="preserve"> as many young people may not have experienced positive adult relationships to date. (Harrison and Wise, 2005, P.15)</w:t>
      </w:r>
    </w:p>
    <w:p w14:paraId="21E2D8CA" w14:textId="6046BBA8" w:rsidR="003E0B43" w:rsidRPr="00E239D7" w:rsidRDefault="007016CB" w:rsidP="00E239D7">
      <w:pPr>
        <w:spacing w:line="480" w:lineRule="auto"/>
        <w:rPr>
          <w:rFonts w:ascii="Arial" w:hAnsi="Arial" w:cs="Arial"/>
          <w:sz w:val="24"/>
          <w:szCs w:val="24"/>
        </w:rPr>
      </w:pPr>
      <w:r w:rsidRPr="00E239D7">
        <w:rPr>
          <w:rFonts w:ascii="Arial" w:hAnsi="Arial" w:cs="Arial"/>
          <w:sz w:val="24"/>
          <w:szCs w:val="24"/>
        </w:rPr>
        <w:t xml:space="preserve"> </w:t>
      </w:r>
    </w:p>
    <w:p w14:paraId="29EAACEB" w14:textId="3C807CFF" w:rsidR="00D85FE6" w:rsidRPr="00E239D7" w:rsidRDefault="00D85FE6" w:rsidP="00E239D7">
      <w:pPr>
        <w:spacing w:line="480" w:lineRule="auto"/>
        <w:rPr>
          <w:rFonts w:ascii="Arial" w:hAnsi="Arial" w:cs="Arial"/>
          <w:sz w:val="24"/>
          <w:szCs w:val="24"/>
        </w:rPr>
      </w:pPr>
      <w:r w:rsidRPr="00E239D7">
        <w:rPr>
          <w:rFonts w:ascii="Arial" w:hAnsi="Arial" w:cs="Arial"/>
          <w:sz w:val="24"/>
          <w:szCs w:val="24"/>
        </w:rPr>
        <w:t xml:space="preserve">                    ‘’Life satisfaction is the cognitive component of subjective wellbeing’’. </w:t>
      </w:r>
    </w:p>
    <w:p w14:paraId="231B10F1" w14:textId="4DAB0404" w:rsidR="00EB5C4F" w:rsidRPr="00E239D7" w:rsidRDefault="00D85FE6" w:rsidP="00E239D7">
      <w:pPr>
        <w:spacing w:line="480" w:lineRule="auto"/>
        <w:rPr>
          <w:rFonts w:ascii="Arial" w:hAnsi="Arial" w:cs="Arial"/>
          <w:sz w:val="24"/>
          <w:szCs w:val="24"/>
        </w:rPr>
      </w:pPr>
      <w:r w:rsidRPr="00E239D7">
        <w:rPr>
          <w:rFonts w:ascii="Arial" w:hAnsi="Arial" w:cs="Arial"/>
          <w:sz w:val="24"/>
          <w:szCs w:val="24"/>
        </w:rPr>
        <w:t xml:space="preserve">                                                                                                         (Park, 2004)</w:t>
      </w:r>
    </w:p>
    <w:p w14:paraId="26AA1373" w14:textId="4FA15FBB" w:rsidR="00D036BF" w:rsidRPr="00E239D7" w:rsidRDefault="00EB5C4F" w:rsidP="00E239D7">
      <w:pPr>
        <w:spacing w:line="480" w:lineRule="auto"/>
        <w:rPr>
          <w:rFonts w:ascii="Arial" w:hAnsi="Arial" w:cs="Arial"/>
          <w:sz w:val="24"/>
          <w:szCs w:val="24"/>
        </w:rPr>
      </w:pPr>
      <w:r w:rsidRPr="00E239D7">
        <w:rPr>
          <w:rFonts w:ascii="Arial" w:hAnsi="Arial" w:cs="Arial"/>
          <w:sz w:val="24"/>
          <w:szCs w:val="24"/>
        </w:rPr>
        <w:t xml:space="preserve">In contrast to exploring subjective wellbeing with young people, </w:t>
      </w:r>
      <w:r w:rsidR="00B85470" w:rsidRPr="00E239D7">
        <w:rPr>
          <w:rFonts w:ascii="Arial" w:hAnsi="Arial" w:cs="Arial"/>
          <w:sz w:val="24"/>
          <w:szCs w:val="24"/>
        </w:rPr>
        <w:t xml:space="preserve">how exactly do we measure and evaluate the interventions we make with young people? The future generations Act (2015) specifically states that through setting achievable objectives and goals that contribute to overall wellbeing, such as those achieved within the sustainable development principle, youth work has a duty to socially prescribe </w:t>
      </w:r>
      <w:r w:rsidR="00FB57B4" w:rsidRPr="00E239D7">
        <w:rPr>
          <w:rFonts w:ascii="Arial" w:hAnsi="Arial" w:cs="Arial"/>
          <w:sz w:val="24"/>
          <w:szCs w:val="24"/>
        </w:rPr>
        <w:t xml:space="preserve">opportunities </w:t>
      </w:r>
      <w:r w:rsidR="00B85470" w:rsidRPr="00E239D7">
        <w:rPr>
          <w:rFonts w:ascii="Arial" w:hAnsi="Arial" w:cs="Arial"/>
          <w:sz w:val="24"/>
          <w:szCs w:val="24"/>
        </w:rPr>
        <w:t xml:space="preserve">and foster healthy approaches towards young people </w:t>
      </w:r>
      <w:r w:rsidR="00FB57B4" w:rsidRPr="00E239D7">
        <w:rPr>
          <w:rFonts w:ascii="Arial" w:hAnsi="Arial" w:cs="Arial"/>
          <w:sz w:val="24"/>
          <w:szCs w:val="24"/>
        </w:rPr>
        <w:t xml:space="preserve">for young people to become autonomous in their attitudes towards their </w:t>
      </w:r>
      <w:r w:rsidR="00D036BF" w:rsidRPr="00E239D7">
        <w:rPr>
          <w:rFonts w:ascii="Arial" w:hAnsi="Arial" w:cs="Arial"/>
          <w:sz w:val="24"/>
          <w:szCs w:val="24"/>
        </w:rPr>
        <w:t xml:space="preserve">own </w:t>
      </w:r>
      <w:r w:rsidR="00FB57B4" w:rsidRPr="00E239D7">
        <w:rPr>
          <w:rFonts w:ascii="Arial" w:hAnsi="Arial" w:cs="Arial"/>
          <w:sz w:val="24"/>
          <w:szCs w:val="24"/>
        </w:rPr>
        <w:t xml:space="preserve">health and wellbeing. </w:t>
      </w:r>
      <w:r w:rsidR="00D036BF" w:rsidRPr="00E239D7">
        <w:rPr>
          <w:rFonts w:ascii="Arial" w:hAnsi="Arial" w:cs="Arial"/>
          <w:sz w:val="24"/>
          <w:szCs w:val="24"/>
        </w:rPr>
        <w:t>The act considers environment, health, equality, a sense of connectedness and culture as important factors that can help adopt and sustain wellbeing</w:t>
      </w:r>
      <w:r w:rsidR="00512798" w:rsidRPr="00E239D7">
        <w:rPr>
          <w:rFonts w:ascii="Arial" w:hAnsi="Arial" w:cs="Arial"/>
          <w:sz w:val="24"/>
          <w:szCs w:val="24"/>
        </w:rPr>
        <w:t xml:space="preserve"> (Youthaccess.org.uk, 2021)</w:t>
      </w:r>
      <w:r w:rsidR="00D036BF" w:rsidRPr="00E239D7">
        <w:rPr>
          <w:rFonts w:ascii="Arial" w:hAnsi="Arial" w:cs="Arial"/>
          <w:sz w:val="24"/>
          <w:szCs w:val="24"/>
        </w:rPr>
        <w:t xml:space="preserve">. </w:t>
      </w:r>
    </w:p>
    <w:p w14:paraId="409F2B47" w14:textId="3BB3ECA8" w:rsidR="00931D9B" w:rsidRPr="00E239D7" w:rsidRDefault="00931D9B" w:rsidP="00E239D7">
      <w:pPr>
        <w:spacing w:line="480" w:lineRule="auto"/>
        <w:rPr>
          <w:rFonts w:ascii="Arial" w:hAnsi="Arial" w:cs="Arial"/>
          <w:sz w:val="24"/>
          <w:szCs w:val="24"/>
        </w:rPr>
      </w:pPr>
      <w:r w:rsidRPr="00E239D7">
        <w:rPr>
          <w:rFonts w:ascii="Arial" w:hAnsi="Arial" w:cs="Arial"/>
          <w:sz w:val="24"/>
          <w:szCs w:val="24"/>
        </w:rPr>
        <w:t xml:space="preserve">The act distinguishes health from wellbeing, indicating that the two are not the same, however, linking both health and wellbeing closely together. </w:t>
      </w:r>
    </w:p>
    <w:p w14:paraId="008ABBFB" w14:textId="655A4294" w:rsidR="00931D9B" w:rsidRPr="00E239D7" w:rsidRDefault="00931D9B" w:rsidP="00E239D7">
      <w:pPr>
        <w:spacing w:line="480" w:lineRule="auto"/>
        <w:rPr>
          <w:rFonts w:ascii="Arial" w:hAnsi="Arial" w:cs="Arial"/>
          <w:sz w:val="24"/>
          <w:szCs w:val="24"/>
        </w:rPr>
      </w:pPr>
    </w:p>
    <w:p w14:paraId="52B92306" w14:textId="23817AC4" w:rsidR="00931D9B" w:rsidRPr="00E239D7" w:rsidRDefault="00931D9B" w:rsidP="00E239D7">
      <w:pPr>
        <w:spacing w:line="480" w:lineRule="auto"/>
        <w:rPr>
          <w:rFonts w:ascii="Arial" w:hAnsi="Arial" w:cs="Arial"/>
          <w:sz w:val="24"/>
          <w:szCs w:val="24"/>
        </w:rPr>
      </w:pPr>
    </w:p>
    <w:p w14:paraId="394F8606" w14:textId="77777777" w:rsidR="00931D9B" w:rsidRPr="00E239D7" w:rsidRDefault="00931D9B" w:rsidP="00E239D7">
      <w:pPr>
        <w:spacing w:line="480" w:lineRule="auto"/>
        <w:rPr>
          <w:rFonts w:ascii="Arial" w:hAnsi="Arial" w:cs="Arial"/>
          <w:sz w:val="24"/>
          <w:szCs w:val="24"/>
        </w:rPr>
      </w:pPr>
    </w:p>
    <w:p w14:paraId="406EF8B7" w14:textId="77777777" w:rsidR="00931D9B" w:rsidRPr="00E239D7" w:rsidRDefault="00931D9B" w:rsidP="00E239D7">
      <w:pPr>
        <w:spacing w:line="480" w:lineRule="auto"/>
        <w:rPr>
          <w:rFonts w:ascii="Arial" w:hAnsi="Arial" w:cs="Arial"/>
          <w:sz w:val="24"/>
          <w:szCs w:val="24"/>
        </w:rPr>
      </w:pPr>
    </w:p>
    <w:p w14:paraId="647D5C2F" w14:textId="77777777" w:rsidR="002A0736" w:rsidRPr="00E239D7" w:rsidRDefault="00931D9B" w:rsidP="00E239D7">
      <w:pPr>
        <w:spacing w:line="480" w:lineRule="auto"/>
        <w:rPr>
          <w:rFonts w:ascii="Arial" w:hAnsi="Arial" w:cs="Arial"/>
          <w:sz w:val="24"/>
          <w:szCs w:val="24"/>
        </w:rPr>
      </w:pPr>
      <w:r w:rsidRPr="00E239D7">
        <w:rPr>
          <w:rFonts w:ascii="Arial" w:hAnsi="Arial" w:cs="Arial"/>
          <w:sz w:val="24"/>
          <w:szCs w:val="24"/>
        </w:rPr>
        <w:lastRenderedPageBreak/>
        <w:t xml:space="preserve">The Health and Wellbeing Handbook in Youth Work </w:t>
      </w:r>
      <w:r w:rsidR="00721DFD" w:rsidRPr="00E239D7">
        <w:rPr>
          <w:rFonts w:ascii="Arial" w:hAnsi="Arial" w:cs="Arial"/>
          <w:sz w:val="24"/>
          <w:szCs w:val="24"/>
        </w:rPr>
        <w:t xml:space="preserve">in Wales </w:t>
      </w:r>
      <w:r w:rsidRPr="00E239D7">
        <w:rPr>
          <w:rFonts w:ascii="Arial" w:hAnsi="Arial" w:cs="Arial"/>
          <w:sz w:val="24"/>
          <w:szCs w:val="24"/>
        </w:rPr>
        <w:t xml:space="preserve">(CWYVS, 2018) </w:t>
      </w:r>
      <w:r w:rsidR="003E1B3A" w:rsidRPr="00E239D7">
        <w:rPr>
          <w:rFonts w:ascii="Arial" w:hAnsi="Arial" w:cs="Arial"/>
          <w:sz w:val="24"/>
          <w:szCs w:val="24"/>
        </w:rPr>
        <w:t xml:space="preserve">was developed in partnership with many youth services across Wales with the aim to support youth workers in delivering health and wellbeing focused activities and support. </w:t>
      </w:r>
    </w:p>
    <w:p w14:paraId="5C29ACC3" w14:textId="24614A9D" w:rsidR="00931D9B" w:rsidRPr="00E239D7" w:rsidRDefault="003E1B3A" w:rsidP="00E239D7">
      <w:pPr>
        <w:spacing w:line="480" w:lineRule="auto"/>
        <w:rPr>
          <w:rFonts w:ascii="Arial" w:hAnsi="Arial" w:cs="Arial"/>
          <w:sz w:val="24"/>
          <w:szCs w:val="24"/>
        </w:rPr>
      </w:pPr>
      <w:r w:rsidRPr="00E239D7">
        <w:rPr>
          <w:rFonts w:ascii="Arial" w:hAnsi="Arial" w:cs="Arial"/>
          <w:sz w:val="24"/>
          <w:szCs w:val="24"/>
        </w:rPr>
        <w:t xml:space="preserve">However, </w:t>
      </w:r>
      <w:r w:rsidR="004C1B3B" w:rsidRPr="00E239D7">
        <w:rPr>
          <w:rFonts w:ascii="Arial" w:hAnsi="Arial" w:cs="Arial"/>
          <w:sz w:val="24"/>
          <w:szCs w:val="24"/>
        </w:rPr>
        <w:t>it could be argued</w:t>
      </w:r>
      <w:r w:rsidRPr="00E239D7">
        <w:rPr>
          <w:rFonts w:ascii="Arial" w:hAnsi="Arial" w:cs="Arial"/>
          <w:sz w:val="24"/>
          <w:szCs w:val="24"/>
        </w:rPr>
        <w:t xml:space="preserve"> that although youth workers have the duty to promote and enhance wellbeing in young people, the handbook </w:t>
      </w:r>
      <w:r w:rsidR="002A0736" w:rsidRPr="00E239D7">
        <w:rPr>
          <w:rFonts w:ascii="Arial" w:hAnsi="Arial" w:cs="Arial"/>
          <w:sz w:val="24"/>
          <w:szCs w:val="24"/>
        </w:rPr>
        <w:t>presents a strong objective view on the statistics and information presente</w:t>
      </w:r>
      <w:r w:rsidR="000C6306" w:rsidRPr="00E239D7">
        <w:rPr>
          <w:rFonts w:ascii="Arial" w:hAnsi="Arial" w:cs="Arial"/>
          <w:sz w:val="24"/>
          <w:szCs w:val="24"/>
        </w:rPr>
        <w:t>d, with most of the data</w:t>
      </w:r>
      <w:r w:rsidR="00B63C38" w:rsidRPr="00E239D7">
        <w:rPr>
          <w:rFonts w:ascii="Arial" w:hAnsi="Arial" w:cs="Arial"/>
          <w:sz w:val="24"/>
          <w:szCs w:val="24"/>
        </w:rPr>
        <w:t xml:space="preserve"> and content</w:t>
      </w:r>
      <w:r w:rsidR="000C6306" w:rsidRPr="00E239D7">
        <w:rPr>
          <w:rFonts w:ascii="Arial" w:hAnsi="Arial" w:cs="Arial"/>
          <w:sz w:val="24"/>
          <w:szCs w:val="24"/>
        </w:rPr>
        <w:t xml:space="preserve"> collected from the National Health service. (NHS Wales, 2</w:t>
      </w:r>
      <w:r w:rsidR="00B63C38" w:rsidRPr="00E239D7">
        <w:rPr>
          <w:rFonts w:ascii="Arial" w:hAnsi="Arial" w:cs="Arial"/>
          <w:sz w:val="24"/>
          <w:szCs w:val="24"/>
        </w:rPr>
        <w:t>021</w:t>
      </w:r>
      <w:r w:rsidR="000C6306" w:rsidRPr="00E239D7">
        <w:rPr>
          <w:rFonts w:ascii="Arial" w:hAnsi="Arial" w:cs="Arial"/>
          <w:sz w:val="24"/>
          <w:szCs w:val="24"/>
        </w:rPr>
        <w:t xml:space="preserve">) </w:t>
      </w:r>
      <w:r w:rsidR="00B63C38" w:rsidRPr="00E239D7">
        <w:rPr>
          <w:rFonts w:ascii="Arial" w:hAnsi="Arial" w:cs="Arial"/>
          <w:sz w:val="24"/>
          <w:szCs w:val="24"/>
        </w:rPr>
        <w:t xml:space="preserve">which state to have an objective data content policy. </w:t>
      </w:r>
      <w:r w:rsidR="000C6306" w:rsidRPr="00E239D7">
        <w:rPr>
          <w:rFonts w:ascii="Arial" w:hAnsi="Arial" w:cs="Arial"/>
          <w:sz w:val="24"/>
          <w:szCs w:val="24"/>
        </w:rPr>
        <w:t>The government have a duty to promote healthy lifestyle and choices throughout the Wales</w:t>
      </w:r>
      <w:r w:rsidR="00B63C38" w:rsidRPr="00E239D7">
        <w:rPr>
          <w:rFonts w:ascii="Arial" w:hAnsi="Arial" w:cs="Arial"/>
          <w:sz w:val="24"/>
          <w:szCs w:val="24"/>
        </w:rPr>
        <w:t xml:space="preserve"> (Department of Health, 2012)</w:t>
      </w:r>
      <w:r w:rsidR="000C6306" w:rsidRPr="00E239D7">
        <w:rPr>
          <w:rFonts w:ascii="Arial" w:hAnsi="Arial" w:cs="Arial"/>
          <w:sz w:val="24"/>
          <w:szCs w:val="24"/>
        </w:rPr>
        <w:t xml:space="preserve"> as a measure to deter people from making unhealthy choices and ensure that they are provided with enough information to make well informed decisions regarding their health and wellbeing.</w:t>
      </w:r>
      <w:r w:rsidR="004C1B3B" w:rsidRPr="00E239D7">
        <w:rPr>
          <w:rFonts w:ascii="Arial" w:hAnsi="Arial" w:cs="Arial"/>
          <w:sz w:val="24"/>
          <w:szCs w:val="24"/>
        </w:rPr>
        <w:t xml:space="preserve"> </w:t>
      </w:r>
      <w:r w:rsidR="000C6306" w:rsidRPr="00E239D7">
        <w:rPr>
          <w:rFonts w:ascii="Arial" w:hAnsi="Arial" w:cs="Arial"/>
          <w:sz w:val="24"/>
          <w:szCs w:val="24"/>
        </w:rPr>
        <w:t xml:space="preserve">What we need to </w:t>
      </w:r>
      <w:r w:rsidR="00B63C38" w:rsidRPr="00E239D7">
        <w:rPr>
          <w:rFonts w:ascii="Arial" w:hAnsi="Arial" w:cs="Arial"/>
          <w:sz w:val="24"/>
          <w:szCs w:val="24"/>
        </w:rPr>
        <w:t>acknowledge</w:t>
      </w:r>
      <w:r w:rsidR="000C6306" w:rsidRPr="00E239D7">
        <w:rPr>
          <w:rFonts w:ascii="Arial" w:hAnsi="Arial" w:cs="Arial"/>
          <w:sz w:val="24"/>
          <w:szCs w:val="24"/>
        </w:rPr>
        <w:t xml:space="preserve"> is, </w:t>
      </w:r>
      <w:r w:rsidR="005E3EF4" w:rsidRPr="00E239D7">
        <w:rPr>
          <w:rFonts w:ascii="Arial" w:hAnsi="Arial" w:cs="Arial"/>
          <w:sz w:val="24"/>
          <w:szCs w:val="24"/>
        </w:rPr>
        <w:t>health promotion is purely objective. It does not take into consideration subjective views and data and is only concerned with the ‘health of society’ as to ‘health of individuals. (Tones and Green, 2004, P.13)</w:t>
      </w:r>
    </w:p>
    <w:p w14:paraId="32F7D5BF" w14:textId="29DE441D" w:rsidR="005E3EF4" w:rsidRPr="00E239D7" w:rsidRDefault="008F2CBE" w:rsidP="00E239D7">
      <w:pPr>
        <w:spacing w:line="480" w:lineRule="auto"/>
        <w:rPr>
          <w:rFonts w:ascii="Arial" w:hAnsi="Arial" w:cs="Arial"/>
          <w:sz w:val="24"/>
          <w:szCs w:val="24"/>
        </w:rPr>
      </w:pPr>
      <w:r w:rsidRPr="00E239D7">
        <w:rPr>
          <w:rFonts w:ascii="Arial" w:hAnsi="Arial" w:cs="Arial"/>
          <w:sz w:val="24"/>
          <w:szCs w:val="24"/>
        </w:rPr>
        <w:t>In contrast to this, the</w:t>
      </w:r>
      <w:r w:rsidR="005E3EF4" w:rsidRPr="00E239D7">
        <w:rPr>
          <w:rFonts w:ascii="Arial" w:hAnsi="Arial" w:cs="Arial"/>
          <w:sz w:val="24"/>
          <w:szCs w:val="24"/>
        </w:rPr>
        <w:t xml:space="preserve"> five ways to wellbeing in Wales, (NEF, 2008) is a holistic approach to health and wellbeing that is widely </w:t>
      </w:r>
      <w:r w:rsidR="004002F1" w:rsidRPr="00E239D7">
        <w:rPr>
          <w:rFonts w:ascii="Arial" w:hAnsi="Arial" w:cs="Arial"/>
          <w:sz w:val="24"/>
          <w:szCs w:val="24"/>
        </w:rPr>
        <w:t>referenced throughout you</w:t>
      </w:r>
      <w:r w:rsidR="004C1B3B" w:rsidRPr="00E239D7">
        <w:rPr>
          <w:rFonts w:ascii="Arial" w:hAnsi="Arial" w:cs="Arial"/>
          <w:sz w:val="24"/>
          <w:szCs w:val="24"/>
        </w:rPr>
        <w:t xml:space="preserve">th </w:t>
      </w:r>
      <w:r w:rsidRPr="00E239D7">
        <w:rPr>
          <w:rFonts w:ascii="Arial" w:hAnsi="Arial" w:cs="Arial"/>
          <w:sz w:val="24"/>
          <w:szCs w:val="24"/>
        </w:rPr>
        <w:t xml:space="preserve">work and can be used as a helpful framework to guide practice. </w:t>
      </w:r>
    </w:p>
    <w:p w14:paraId="456F6B79" w14:textId="584A596E" w:rsidR="002A0736" w:rsidRPr="00E239D7" w:rsidRDefault="008F2CBE" w:rsidP="00E239D7">
      <w:pPr>
        <w:spacing w:line="480" w:lineRule="auto"/>
        <w:rPr>
          <w:rFonts w:ascii="Arial" w:hAnsi="Arial" w:cs="Arial"/>
          <w:sz w:val="24"/>
          <w:szCs w:val="24"/>
        </w:rPr>
      </w:pPr>
      <w:r w:rsidRPr="00E239D7">
        <w:rPr>
          <w:rFonts w:ascii="Arial" w:hAnsi="Arial" w:cs="Arial"/>
          <w:sz w:val="24"/>
          <w:szCs w:val="24"/>
        </w:rPr>
        <w:t xml:space="preserve">Prior to lockdown, the author had the opportunity to develop and lead on a small wellbeing youth work session with a group of young women aged 11 to 12. The lesson was based on Personal and Social Education and being part of an alternative curriculum based within a school, the author used the Five ways to Wellbeing as a tool to engage in discourse with the group. Three of the young people within the </w:t>
      </w:r>
      <w:r w:rsidRPr="00E239D7">
        <w:rPr>
          <w:rFonts w:ascii="Arial" w:hAnsi="Arial" w:cs="Arial"/>
          <w:sz w:val="24"/>
          <w:szCs w:val="24"/>
        </w:rPr>
        <w:lastRenderedPageBreak/>
        <w:t xml:space="preserve">group had </w:t>
      </w:r>
      <w:r w:rsidR="00D56100" w:rsidRPr="00E239D7">
        <w:rPr>
          <w:rFonts w:ascii="Arial" w:hAnsi="Arial" w:cs="Arial"/>
          <w:sz w:val="24"/>
          <w:szCs w:val="24"/>
        </w:rPr>
        <w:t xml:space="preserve">very low self esteem and confidence. Therefore, it was paramount not to deliver the session in a way that would seem overwhelming and trigger an emotional response to their feelings. The author discussed the five ways to wellbeing and what wellbeing meant to the young people, which led to a wonderful conversation about what everyone was grateful for. The session resulted in some therapeutic art as ways of expressing themselves and feedback was positive from the group. </w:t>
      </w:r>
    </w:p>
    <w:p w14:paraId="3755BA9C" w14:textId="77A4C0E2" w:rsidR="00D56100" w:rsidRPr="00E239D7" w:rsidRDefault="00D56100" w:rsidP="00E239D7">
      <w:pPr>
        <w:spacing w:line="480" w:lineRule="auto"/>
        <w:rPr>
          <w:rFonts w:ascii="Arial" w:hAnsi="Arial" w:cs="Arial"/>
          <w:sz w:val="24"/>
          <w:szCs w:val="24"/>
        </w:rPr>
      </w:pPr>
      <w:r w:rsidRPr="00E239D7">
        <w:rPr>
          <w:rFonts w:ascii="Arial" w:hAnsi="Arial" w:cs="Arial"/>
          <w:sz w:val="24"/>
          <w:szCs w:val="24"/>
        </w:rPr>
        <w:t xml:space="preserve">This activity demonstrates that the author took </w:t>
      </w:r>
      <w:r w:rsidR="004A3F83" w:rsidRPr="00E239D7">
        <w:rPr>
          <w:rFonts w:ascii="Arial" w:hAnsi="Arial" w:cs="Arial"/>
          <w:sz w:val="24"/>
          <w:szCs w:val="24"/>
        </w:rPr>
        <w:t>into</w:t>
      </w:r>
      <w:r w:rsidRPr="00E239D7">
        <w:rPr>
          <w:rFonts w:ascii="Arial" w:hAnsi="Arial" w:cs="Arial"/>
          <w:sz w:val="24"/>
          <w:szCs w:val="24"/>
        </w:rPr>
        <w:t xml:space="preserve"> consideration the wellbeing of the young people by allowing the session to flow naturally and encouraging expression through therapeutic practice. Therapeutic art therapy and drawing can help reduce psychosocial and emotional distress in young people. (</w:t>
      </w:r>
      <w:r w:rsidR="004A3F83" w:rsidRPr="00E239D7">
        <w:rPr>
          <w:rFonts w:ascii="Arial" w:hAnsi="Arial" w:cs="Arial"/>
          <w:sz w:val="24"/>
          <w:szCs w:val="24"/>
        </w:rPr>
        <w:t xml:space="preserve">Bosgraaf, Spreen, Pattiselanno and Van Hooren, (2020). At the time of the activity the author was in her first year of her degree of Youth work and social education. Therefore, The Five Pillars of Youth work in Wales (CWYVS, 2018) were used to help guide practice. </w:t>
      </w:r>
    </w:p>
    <w:p w14:paraId="41D7ABF6" w14:textId="77777777" w:rsidR="00641D54" w:rsidRPr="00E239D7" w:rsidRDefault="00641D54" w:rsidP="00E239D7">
      <w:pPr>
        <w:spacing w:line="480" w:lineRule="auto"/>
        <w:rPr>
          <w:rFonts w:ascii="Arial" w:hAnsi="Arial" w:cs="Arial"/>
          <w:sz w:val="24"/>
          <w:szCs w:val="24"/>
        </w:rPr>
      </w:pPr>
      <w:r w:rsidRPr="00E239D7">
        <w:rPr>
          <w:rFonts w:ascii="Arial" w:hAnsi="Arial" w:cs="Arial"/>
          <w:sz w:val="24"/>
          <w:szCs w:val="24"/>
        </w:rPr>
        <w:t xml:space="preserve">And how this can give an indication of how best to support the young person through youth work intervention. </w:t>
      </w:r>
    </w:p>
    <w:p w14:paraId="09ECE545" w14:textId="7CDE348D" w:rsidR="00641D54" w:rsidRPr="00E239D7" w:rsidRDefault="00641D54" w:rsidP="00E239D7">
      <w:pPr>
        <w:spacing w:line="480" w:lineRule="auto"/>
        <w:rPr>
          <w:rFonts w:ascii="Arial" w:hAnsi="Arial" w:cs="Arial"/>
          <w:sz w:val="24"/>
          <w:szCs w:val="24"/>
        </w:rPr>
      </w:pPr>
      <w:r w:rsidRPr="00E239D7">
        <w:rPr>
          <w:rFonts w:ascii="Arial" w:hAnsi="Arial" w:cs="Arial"/>
          <w:sz w:val="24"/>
          <w:szCs w:val="24"/>
        </w:rPr>
        <w:t>To determine risk factors, personal traits, and environmental factors can indicate the likelihood of young people facing adversity. (Youth.Gov, 2022) If we reflect on Bronfenbrenner’s Ecological systems theory</w:t>
      </w:r>
      <w:r w:rsidR="00512798" w:rsidRPr="00E239D7">
        <w:rPr>
          <w:rFonts w:ascii="Arial" w:hAnsi="Arial" w:cs="Arial"/>
          <w:sz w:val="24"/>
          <w:szCs w:val="24"/>
        </w:rPr>
        <w:t xml:space="preserve"> (1979)</w:t>
      </w:r>
      <w:r w:rsidRPr="00E239D7">
        <w:rPr>
          <w:rFonts w:ascii="Arial" w:hAnsi="Arial" w:cs="Arial"/>
          <w:sz w:val="24"/>
          <w:szCs w:val="24"/>
        </w:rPr>
        <w:t xml:space="preserve">, we see that a multitude of systems can impact on the overall development of the young person. </w:t>
      </w:r>
    </w:p>
    <w:p w14:paraId="602446EE" w14:textId="2AF9D0C6" w:rsidR="00641D54" w:rsidRPr="00E239D7" w:rsidRDefault="00641D54" w:rsidP="00E239D7">
      <w:pPr>
        <w:spacing w:line="480" w:lineRule="auto"/>
        <w:rPr>
          <w:rFonts w:ascii="Arial" w:hAnsi="Arial" w:cs="Arial"/>
          <w:sz w:val="24"/>
          <w:szCs w:val="24"/>
        </w:rPr>
      </w:pPr>
      <w:r w:rsidRPr="00E239D7">
        <w:rPr>
          <w:rFonts w:ascii="Arial" w:hAnsi="Arial" w:cs="Arial"/>
          <w:sz w:val="24"/>
          <w:szCs w:val="24"/>
        </w:rPr>
        <w:t>Therefore, for a youth worker to best support young people, it is essential to recognise protective factors which consist of acknowledging individual characteristics including acknowledging the variables that may determine adversity or, possibly influence the young person to engage in delinquent behaviour</w:t>
      </w:r>
      <w:r w:rsidR="00512798" w:rsidRPr="00E239D7">
        <w:rPr>
          <w:rFonts w:ascii="Arial" w:hAnsi="Arial" w:cs="Arial"/>
          <w:sz w:val="24"/>
          <w:szCs w:val="24"/>
        </w:rPr>
        <w:t xml:space="preserve"> (</w:t>
      </w:r>
      <w:proofErr w:type="spellStart"/>
      <w:r w:rsidR="00512798" w:rsidRPr="00E239D7">
        <w:rPr>
          <w:rFonts w:ascii="Arial" w:hAnsi="Arial" w:cs="Arial"/>
          <w:sz w:val="24"/>
          <w:szCs w:val="24"/>
        </w:rPr>
        <w:t>Centers</w:t>
      </w:r>
      <w:proofErr w:type="spellEnd"/>
      <w:r w:rsidR="00512798" w:rsidRPr="00E239D7">
        <w:rPr>
          <w:rFonts w:ascii="Arial" w:hAnsi="Arial" w:cs="Arial"/>
          <w:sz w:val="24"/>
          <w:szCs w:val="24"/>
        </w:rPr>
        <w:t xml:space="preserve"> for Disease Control and Prevention,2021)</w:t>
      </w:r>
      <w:r w:rsidRPr="00E239D7">
        <w:rPr>
          <w:rFonts w:ascii="Arial" w:hAnsi="Arial" w:cs="Arial"/>
          <w:sz w:val="24"/>
          <w:szCs w:val="24"/>
        </w:rPr>
        <w:t xml:space="preserve">. </w:t>
      </w:r>
    </w:p>
    <w:p w14:paraId="6AC20182" w14:textId="4070F886" w:rsidR="00641D54" w:rsidRPr="00E239D7" w:rsidRDefault="00641D54" w:rsidP="00E239D7">
      <w:pPr>
        <w:spacing w:line="480" w:lineRule="auto"/>
        <w:rPr>
          <w:rFonts w:ascii="Arial" w:hAnsi="Arial" w:cs="Arial"/>
          <w:sz w:val="24"/>
          <w:szCs w:val="24"/>
        </w:rPr>
      </w:pPr>
      <w:r w:rsidRPr="00E239D7">
        <w:rPr>
          <w:rFonts w:ascii="Arial" w:hAnsi="Arial" w:cs="Arial"/>
          <w:sz w:val="24"/>
          <w:szCs w:val="24"/>
        </w:rPr>
        <w:lastRenderedPageBreak/>
        <w:t>Youth work is heavily influenced on child psychology and theory enhances praxis. Both objective and subjective wellbeing approaches to youth work practice can help assist the youth worker to make sound judgements that can enhance and strengthen the relationships between young person and youth worker, which can allow the young person to feel more comfortable with disclosing personal information regarding their wellbeing</w:t>
      </w:r>
      <w:r w:rsidR="00F4181B" w:rsidRPr="00E239D7">
        <w:rPr>
          <w:rFonts w:ascii="Arial" w:hAnsi="Arial" w:cs="Arial"/>
          <w:sz w:val="24"/>
          <w:szCs w:val="24"/>
        </w:rPr>
        <w:t xml:space="preserve"> (Jeffs and Smith, 2010, p</w:t>
      </w:r>
      <w:r w:rsidRPr="00E239D7">
        <w:rPr>
          <w:rFonts w:ascii="Arial" w:hAnsi="Arial" w:cs="Arial"/>
          <w:sz w:val="24"/>
          <w:szCs w:val="24"/>
        </w:rPr>
        <w:t>.</w:t>
      </w:r>
      <w:r w:rsidR="00F4181B" w:rsidRPr="00E239D7">
        <w:rPr>
          <w:rFonts w:ascii="Arial" w:hAnsi="Arial" w:cs="Arial"/>
          <w:sz w:val="24"/>
          <w:szCs w:val="24"/>
        </w:rPr>
        <w:t>17).</w:t>
      </w:r>
      <w:r w:rsidRPr="00E239D7">
        <w:rPr>
          <w:rFonts w:ascii="Arial" w:hAnsi="Arial" w:cs="Arial"/>
          <w:sz w:val="24"/>
          <w:szCs w:val="24"/>
        </w:rPr>
        <w:t xml:space="preserve"> </w:t>
      </w:r>
    </w:p>
    <w:p w14:paraId="2FC0CB65" w14:textId="77777777" w:rsidR="00641D54" w:rsidRPr="00E239D7" w:rsidRDefault="00641D54" w:rsidP="00E239D7">
      <w:pPr>
        <w:spacing w:line="480" w:lineRule="auto"/>
        <w:rPr>
          <w:rFonts w:ascii="Arial" w:hAnsi="Arial" w:cs="Arial"/>
          <w:sz w:val="24"/>
          <w:szCs w:val="24"/>
        </w:rPr>
      </w:pPr>
      <w:r w:rsidRPr="00E239D7">
        <w:rPr>
          <w:rFonts w:ascii="Arial" w:hAnsi="Arial" w:cs="Arial"/>
          <w:sz w:val="24"/>
          <w:szCs w:val="24"/>
        </w:rPr>
        <w:t xml:space="preserve">For example, if there is a history of crime within the family, or if they or their family are constantly offending, the youth worker acts as a ‘bridge’ to connect all person’s involved with prevention and intervention work, such as local authority, and the police. Other professionals may take a more objective stance at what could be impacting on behaviour and cause to offend, youth work looks deeper into the personal circumstances surrounding the individual in which they would possibly not disclose to any other profession due to the dynamics of youth work. </w:t>
      </w:r>
    </w:p>
    <w:p w14:paraId="12479C23" w14:textId="77777777" w:rsidR="00641D54" w:rsidRPr="00E239D7" w:rsidRDefault="00641D54" w:rsidP="00E239D7">
      <w:pPr>
        <w:spacing w:line="480" w:lineRule="auto"/>
        <w:rPr>
          <w:rFonts w:ascii="Arial" w:hAnsi="Arial" w:cs="Arial"/>
          <w:sz w:val="24"/>
          <w:szCs w:val="24"/>
        </w:rPr>
      </w:pPr>
      <w:r w:rsidRPr="00E239D7">
        <w:rPr>
          <w:rFonts w:ascii="Arial" w:hAnsi="Arial" w:cs="Arial"/>
          <w:sz w:val="24"/>
          <w:szCs w:val="24"/>
        </w:rPr>
        <w:t xml:space="preserve">Bronfenbrenner’s Ecological systems theory model is an accurate representation of how different systems correlate with the overall development of young people. The immediate and wider environment present both risk and protective factors that can drive and buffer adversity. </w:t>
      </w:r>
    </w:p>
    <w:p w14:paraId="603DB844" w14:textId="77777777" w:rsidR="00641D54" w:rsidRPr="00E239D7" w:rsidRDefault="00641D54" w:rsidP="00E239D7">
      <w:pPr>
        <w:spacing w:line="480" w:lineRule="auto"/>
        <w:rPr>
          <w:rFonts w:ascii="Arial" w:hAnsi="Arial" w:cs="Arial"/>
          <w:sz w:val="24"/>
          <w:szCs w:val="24"/>
        </w:rPr>
      </w:pPr>
      <w:r w:rsidRPr="00E239D7">
        <w:rPr>
          <w:rFonts w:ascii="Arial" w:hAnsi="Arial" w:cs="Arial"/>
          <w:sz w:val="24"/>
          <w:szCs w:val="24"/>
        </w:rPr>
        <w:t xml:space="preserve">However, the author does argue that it may not be wholly accurate to predetermine adversity or poor mental health outcomes if we are unable to accurately measure wellbeing. Therefore, it is important to understand that to measure wellbeing, we must accept that wellbeing is individualistic. </w:t>
      </w:r>
    </w:p>
    <w:p w14:paraId="3AD2E278" w14:textId="77777777" w:rsidR="00641D54" w:rsidRPr="00E239D7" w:rsidRDefault="00641D54" w:rsidP="00E239D7">
      <w:pPr>
        <w:spacing w:line="480" w:lineRule="auto"/>
        <w:rPr>
          <w:rFonts w:ascii="Arial" w:hAnsi="Arial" w:cs="Arial"/>
          <w:sz w:val="24"/>
          <w:szCs w:val="24"/>
        </w:rPr>
      </w:pPr>
      <w:r w:rsidRPr="00E239D7">
        <w:rPr>
          <w:rFonts w:ascii="Arial" w:hAnsi="Arial" w:cs="Arial"/>
          <w:sz w:val="24"/>
          <w:szCs w:val="24"/>
        </w:rPr>
        <w:t>Understanding wellbeing and being able to evaluate what is good for us, does depend on a certain level of cognitive development being achieved in young people. (Public Health, England, 2015)</w:t>
      </w:r>
    </w:p>
    <w:p w14:paraId="4746E04C" w14:textId="77777777" w:rsidR="00641D54" w:rsidRPr="00E239D7" w:rsidRDefault="00641D54" w:rsidP="00E239D7">
      <w:pPr>
        <w:spacing w:line="480" w:lineRule="auto"/>
        <w:rPr>
          <w:rFonts w:ascii="Arial" w:hAnsi="Arial" w:cs="Arial"/>
          <w:sz w:val="24"/>
          <w:szCs w:val="24"/>
        </w:rPr>
      </w:pPr>
      <w:r w:rsidRPr="00E239D7">
        <w:rPr>
          <w:rFonts w:ascii="Arial" w:hAnsi="Arial" w:cs="Arial"/>
          <w:sz w:val="24"/>
          <w:szCs w:val="24"/>
        </w:rPr>
        <w:lastRenderedPageBreak/>
        <w:t xml:space="preserve">The most common way of measuring wellbeing is through data collection which use questions and scales to indicate a level of life satisfaction. The Children’ society (2010) have used The Good Childhood report and The Childhood Index to measure and present findings. These studies only focus on young people aged 11 to 15, Whereas the Office of National Statistics (2010) focus their study on young people aged 16 to 24. </w:t>
      </w:r>
    </w:p>
    <w:p w14:paraId="0517A120" w14:textId="492CADD8" w:rsidR="00641D54" w:rsidRDefault="00641D54" w:rsidP="00E239D7">
      <w:pPr>
        <w:spacing w:line="480" w:lineRule="auto"/>
        <w:rPr>
          <w:rFonts w:ascii="Arial" w:hAnsi="Arial" w:cs="Arial"/>
          <w:sz w:val="24"/>
          <w:szCs w:val="24"/>
        </w:rPr>
      </w:pPr>
      <w:r w:rsidRPr="00E239D7">
        <w:rPr>
          <w:rFonts w:ascii="Arial" w:hAnsi="Arial" w:cs="Arial"/>
          <w:sz w:val="24"/>
          <w:szCs w:val="24"/>
        </w:rPr>
        <w:t xml:space="preserve">However, these studies give us an indication of level of wellbeing, nevertheless, they do not give an accurate representation of what young people influences or impacts on their wellbeing. It is crucial to understand what constitutes as wellbeing is if we are to work alongside young people to enhance their lives.  </w:t>
      </w:r>
    </w:p>
    <w:p w14:paraId="52160D90" w14:textId="33131BD7" w:rsidR="00E239D7" w:rsidRDefault="00E239D7" w:rsidP="00E239D7">
      <w:pPr>
        <w:spacing w:line="480" w:lineRule="auto"/>
        <w:rPr>
          <w:rFonts w:ascii="Arial" w:hAnsi="Arial" w:cs="Arial"/>
          <w:sz w:val="24"/>
          <w:szCs w:val="24"/>
        </w:rPr>
      </w:pPr>
    </w:p>
    <w:p w14:paraId="2DBC5763" w14:textId="77777777" w:rsidR="003E6294" w:rsidRPr="003E6294" w:rsidRDefault="003E6294" w:rsidP="003E6294">
      <w:pPr>
        <w:rPr>
          <w:rFonts w:ascii="Arial" w:hAnsi="Arial" w:cs="Arial"/>
          <w:color w:val="303030"/>
          <w:sz w:val="26"/>
          <w:szCs w:val="26"/>
          <w:shd w:val="clear" w:color="auto" w:fill="FFFFFF"/>
        </w:rPr>
      </w:pPr>
    </w:p>
    <w:p w14:paraId="2D714230" w14:textId="77777777" w:rsidR="003E6294" w:rsidRPr="003E6294" w:rsidRDefault="003E6294" w:rsidP="003E6294">
      <w:pPr>
        <w:rPr>
          <w:rFonts w:ascii="Segoe UI" w:hAnsi="Segoe UI" w:cs="Segoe UI"/>
          <w:color w:val="333333"/>
          <w:shd w:val="clear" w:color="auto" w:fill="FFFFFF"/>
        </w:rPr>
      </w:pPr>
    </w:p>
    <w:p w14:paraId="6D050161" w14:textId="77777777" w:rsidR="003E6294" w:rsidRPr="003E6294" w:rsidRDefault="003E6294" w:rsidP="003E6294">
      <w:pPr>
        <w:shd w:val="clear" w:color="auto" w:fill="FFFFFF"/>
        <w:spacing w:after="0" w:line="240" w:lineRule="auto"/>
        <w:rPr>
          <w:rFonts w:ascii="Segoe UI" w:eastAsia="Times New Roman" w:hAnsi="Segoe UI" w:cs="Segoe UI"/>
          <w:color w:val="212121"/>
          <w:sz w:val="24"/>
          <w:szCs w:val="24"/>
          <w:lang w:eastAsia="en-GB"/>
        </w:rPr>
      </w:pPr>
    </w:p>
    <w:p w14:paraId="7412CD30" w14:textId="77777777" w:rsidR="003E6294" w:rsidRPr="003E6294" w:rsidRDefault="003E6294" w:rsidP="003E6294">
      <w:pPr>
        <w:shd w:val="clear" w:color="auto" w:fill="FFFFFF"/>
        <w:spacing w:after="0" w:line="240" w:lineRule="auto"/>
        <w:rPr>
          <w:rFonts w:ascii="Arial" w:hAnsi="Arial" w:cs="Arial"/>
          <w:color w:val="333333"/>
          <w:sz w:val="21"/>
          <w:szCs w:val="21"/>
          <w:shd w:val="clear" w:color="auto" w:fill="FFFFFF"/>
        </w:rPr>
      </w:pPr>
    </w:p>
    <w:p w14:paraId="10569A75" w14:textId="77777777" w:rsidR="003E6294" w:rsidRPr="003E6294" w:rsidRDefault="003E6294" w:rsidP="003E6294">
      <w:pPr>
        <w:spacing w:line="480" w:lineRule="auto"/>
        <w:rPr>
          <w:rFonts w:ascii="Arial" w:hAnsi="Arial" w:cs="Arial"/>
          <w:sz w:val="24"/>
          <w:szCs w:val="24"/>
          <w:u w:val="single"/>
        </w:rPr>
      </w:pPr>
      <w:r w:rsidRPr="003E6294">
        <w:rPr>
          <w:rFonts w:ascii="Arial" w:hAnsi="Arial" w:cs="Arial"/>
          <w:sz w:val="24"/>
          <w:szCs w:val="24"/>
          <w:u w:val="single"/>
        </w:rPr>
        <w:t xml:space="preserve">Reference List </w:t>
      </w:r>
    </w:p>
    <w:p w14:paraId="65704342" w14:textId="77777777" w:rsidR="003E6294" w:rsidRPr="003E6294" w:rsidRDefault="003E6294" w:rsidP="003E6294">
      <w:pPr>
        <w:spacing w:after="264" w:line="480" w:lineRule="auto"/>
        <w:rPr>
          <w:lang w:val="en-US"/>
        </w:rPr>
      </w:pPr>
    </w:p>
    <w:p w14:paraId="1ED12321" w14:textId="4AB2BABE"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 xml:space="preserve">Adams, G. and </w:t>
      </w:r>
      <w:proofErr w:type="spellStart"/>
      <w:r w:rsidRPr="003E6294">
        <w:rPr>
          <w:rFonts w:ascii="Arial" w:hAnsi="Arial" w:cs="Arial"/>
          <w:sz w:val="24"/>
          <w:szCs w:val="24"/>
          <w:lang w:val="en-US"/>
        </w:rPr>
        <w:t>Berzonsky</w:t>
      </w:r>
      <w:proofErr w:type="spellEnd"/>
      <w:r w:rsidRPr="003E6294">
        <w:rPr>
          <w:rFonts w:ascii="Arial" w:hAnsi="Arial" w:cs="Arial"/>
          <w:sz w:val="24"/>
          <w:szCs w:val="24"/>
          <w:lang w:val="en-US"/>
        </w:rPr>
        <w:t xml:space="preserve">, M., 2003. Blackwell handbook of </w:t>
      </w:r>
      <w:r>
        <w:rPr>
          <w:rFonts w:ascii="Arial" w:hAnsi="Arial" w:cs="Arial"/>
          <w:sz w:val="24"/>
          <w:szCs w:val="24"/>
          <w:lang w:val="en-US"/>
        </w:rPr>
        <w:t>A</w:t>
      </w:r>
      <w:r w:rsidRPr="003E6294">
        <w:rPr>
          <w:rFonts w:ascii="Arial" w:hAnsi="Arial" w:cs="Arial"/>
          <w:sz w:val="24"/>
          <w:szCs w:val="24"/>
          <w:lang w:val="en-US"/>
        </w:rPr>
        <w:t>dolescence. 1st ed. Malden, MA [etc.]: Blackwell publishing Limited, pp.424, 425.</w:t>
      </w:r>
    </w:p>
    <w:p w14:paraId="583D6EE5"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 xml:space="preserve">Adams, G. and </w:t>
      </w:r>
      <w:proofErr w:type="spellStart"/>
      <w:r w:rsidRPr="003E6294">
        <w:rPr>
          <w:rFonts w:ascii="Arial" w:hAnsi="Arial" w:cs="Arial"/>
          <w:sz w:val="24"/>
          <w:szCs w:val="24"/>
          <w:lang w:val="en-US"/>
        </w:rPr>
        <w:t>Berzonsky</w:t>
      </w:r>
      <w:proofErr w:type="spellEnd"/>
      <w:r w:rsidRPr="003E6294">
        <w:rPr>
          <w:rFonts w:ascii="Arial" w:hAnsi="Arial" w:cs="Arial"/>
          <w:sz w:val="24"/>
          <w:szCs w:val="24"/>
          <w:lang w:val="en-US"/>
        </w:rPr>
        <w:t>, M., 2003. Blackwell Handbook of Adolescence. 1st ed. Oxford: Blackwell publishing ltd, pp.p.240-244.</w:t>
      </w:r>
    </w:p>
    <w:p w14:paraId="47D43317"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Adverse Childhood Experiences. 2022. Risk and Protective Factors. [online] Available at: &lt;https://www.cdc.gov/violenceprevention/aces/index.html&gt; [Accessed 9 April 2022].</w:t>
      </w:r>
    </w:p>
    <w:p w14:paraId="32B8C269" w14:textId="45B2ECCE" w:rsidR="003E6294" w:rsidRDefault="003E6294" w:rsidP="003E6294">
      <w:pPr>
        <w:spacing w:line="480" w:lineRule="auto"/>
        <w:rPr>
          <w:rFonts w:ascii="Arial" w:hAnsi="Arial" w:cs="Arial"/>
          <w:color w:val="000000" w:themeColor="text1"/>
          <w:sz w:val="24"/>
          <w:szCs w:val="24"/>
          <w:shd w:val="clear" w:color="auto" w:fill="FFFFFF"/>
        </w:rPr>
      </w:pPr>
      <w:proofErr w:type="spellStart"/>
      <w:r w:rsidRPr="003E6294">
        <w:rPr>
          <w:rFonts w:ascii="Arial" w:hAnsi="Arial" w:cs="Arial"/>
          <w:color w:val="000000" w:themeColor="text1"/>
          <w:sz w:val="24"/>
          <w:szCs w:val="24"/>
          <w:shd w:val="clear" w:color="auto" w:fill="FFFFFF"/>
        </w:rPr>
        <w:lastRenderedPageBreak/>
        <w:t>Alatartseva</w:t>
      </w:r>
      <w:proofErr w:type="spellEnd"/>
      <w:r w:rsidRPr="003E6294">
        <w:rPr>
          <w:rFonts w:ascii="Arial" w:hAnsi="Arial" w:cs="Arial"/>
          <w:color w:val="000000" w:themeColor="text1"/>
          <w:sz w:val="24"/>
          <w:szCs w:val="24"/>
          <w:shd w:val="clear" w:color="auto" w:fill="FFFFFF"/>
        </w:rPr>
        <w:t xml:space="preserve">, E., &amp; </w:t>
      </w:r>
      <w:proofErr w:type="spellStart"/>
      <w:r w:rsidRPr="003E6294">
        <w:rPr>
          <w:rFonts w:ascii="Arial" w:hAnsi="Arial" w:cs="Arial"/>
          <w:color w:val="000000" w:themeColor="text1"/>
          <w:sz w:val="24"/>
          <w:szCs w:val="24"/>
          <w:shd w:val="clear" w:color="auto" w:fill="FFFFFF"/>
        </w:rPr>
        <w:t>Barysheva</w:t>
      </w:r>
      <w:proofErr w:type="spellEnd"/>
      <w:r w:rsidRPr="003E6294">
        <w:rPr>
          <w:rFonts w:ascii="Arial" w:hAnsi="Arial" w:cs="Arial"/>
          <w:color w:val="000000" w:themeColor="text1"/>
          <w:sz w:val="24"/>
          <w:szCs w:val="24"/>
          <w:shd w:val="clear" w:color="auto" w:fill="FFFFFF"/>
        </w:rPr>
        <w:t>, G.A. (2015). Well-being: Subjective and Objective Aspects. </w:t>
      </w:r>
      <w:r w:rsidRPr="003E6294">
        <w:rPr>
          <w:rFonts w:ascii="Arial" w:hAnsi="Arial" w:cs="Arial"/>
          <w:color w:val="000000" w:themeColor="text1"/>
          <w:sz w:val="24"/>
          <w:szCs w:val="24"/>
        </w:rPr>
        <w:t xml:space="preserve">Procedia - Social and </w:t>
      </w:r>
      <w:proofErr w:type="spellStart"/>
      <w:r w:rsidRPr="003E6294">
        <w:rPr>
          <w:rFonts w:ascii="Arial" w:hAnsi="Arial" w:cs="Arial"/>
          <w:color w:val="000000" w:themeColor="text1"/>
          <w:sz w:val="24"/>
          <w:szCs w:val="24"/>
        </w:rPr>
        <w:t>Behavioral</w:t>
      </w:r>
      <w:proofErr w:type="spellEnd"/>
      <w:r w:rsidRPr="003E6294">
        <w:rPr>
          <w:rFonts w:ascii="Arial" w:hAnsi="Arial" w:cs="Arial"/>
          <w:color w:val="000000" w:themeColor="text1"/>
          <w:sz w:val="24"/>
          <w:szCs w:val="24"/>
        </w:rPr>
        <w:t xml:space="preserve"> Sciences, 166</w:t>
      </w:r>
      <w:r w:rsidRPr="003E6294">
        <w:rPr>
          <w:rFonts w:ascii="Arial" w:hAnsi="Arial" w:cs="Arial"/>
          <w:color w:val="000000" w:themeColor="text1"/>
          <w:sz w:val="24"/>
          <w:szCs w:val="24"/>
          <w:shd w:val="clear" w:color="auto" w:fill="FFFFFF"/>
        </w:rPr>
        <w:t>, 36-42.</w:t>
      </w:r>
    </w:p>
    <w:p w14:paraId="7C33763F" w14:textId="77777777" w:rsidR="003E6294" w:rsidRPr="003E6294" w:rsidRDefault="003E6294" w:rsidP="003E6294">
      <w:pPr>
        <w:spacing w:line="480" w:lineRule="auto"/>
        <w:rPr>
          <w:rFonts w:ascii="Arial" w:hAnsi="Arial" w:cs="Arial"/>
          <w:color w:val="000000" w:themeColor="text1"/>
          <w:sz w:val="24"/>
          <w:szCs w:val="24"/>
          <w:shd w:val="clear" w:color="auto" w:fill="FFFFFF"/>
        </w:rPr>
      </w:pPr>
    </w:p>
    <w:p w14:paraId="750713CD" w14:textId="5D4C3FCD" w:rsid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Assets.publishing.service.gov.uk. 2015. Measuring Mental Wellbeing in Children and Young People. [online] Available at: &lt;https://assets.publishing.service.gov.uk/government/uploads/system/uploads/attachment_data/file/768983/Measuring_mental_wellbeing_in_children_and_young_people.pdf&gt; [Accessed 9 April 2022].</w:t>
      </w:r>
    </w:p>
    <w:p w14:paraId="5138917C" w14:textId="77777777" w:rsidR="003E6294" w:rsidRPr="003E6294" w:rsidRDefault="003E6294" w:rsidP="003E6294">
      <w:pPr>
        <w:spacing w:after="336" w:line="480" w:lineRule="auto"/>
        <w:rPr>
          <w:rFonts w:ascii="Arial" w:hAnsi="Arial" w:cs="Arial"/>
          <w:sz w:val="24"/>
          <w:szCs w:val="24"/>
          <w:lang w:val="en-US"/>
        </w:rPr>
      </w:pPr>
    </w:p>
    <w:p w14:paraId="2B8FA1A0" w14:textId="50F3D268"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Assets.publishing.service.gov.uk. 2018. Working Together to Safeguard Children A guide to inter-agency working to safeguard and promote the welfare of children. [online] Available at:</w:t>
      </w:r>
      <w:r>
        <w:rPr>
          <w:rFonts w:ascii="Arial" w:hAnsi="Arial" w:cs="Arial"/>
          <w:sz w:val="24"/>
          <w:szCs w:val="24"/>
          <w:lang w:val="en-US"/>
        </w:rPr>
        <w:t xml:space="preserve"> </w:t>
      </w:r>
      <w:r w:rsidRPr="003E6294">
        <w:rPr>
          <w:rFonts w:ascii="Arial" w:hAnsi="Arial" w:cs="Arial"/>
          <w:sz w:val="24"/>
          <w:szCs w:val="24"/>
          <w:lang w:val="en-US"/>
        </w:rPr>
        <w:t>https://assets.publishing.service.gov.uk/government/uploads/system/uploads/attachment_data/file/942454/Working_together_to_safeguard_children_inter_agency_guidance.pdf&gt; [Accessed 12 April 2022].</w:t>
      </w:r>
    </w:p>
    <w:p w14:paraId="40383E3B" w14:textId="77777777" w:rsidR="003E6294" w:rsidRPr="003E6294" w:rsidRDefault="003E6294" w:rsidP="003E6294">
      <w:pPr>
        <w:spacing w:line="480" w:lineRule="auto"/>
        <w:rPr>
          <w:rFonts w:ascii="Arial" w:hAnsi="Arial" w:cs="Arial"/>
          <w:sz w:val="24"/>
          <w:szCs w:val="24"/>
        </w:rPr>
      </w:pPr>
      <w:r w:rsidRPr="003E6294">
        <w:rPr>
          <w:rFonts w:ascii="Arial" w:hAnsi="Arial" w:cs="Arial"/>
          <w:sz w:val="24"/>
          <w:szCs w:val="24"/>
        </w:rPr>
        <w:t xml:space="preserve">Blakemore, Sarah-Jayne &amp; Den </w:t>
      </w:r>
      <w:proofErr w:type="spellStart"/>
      <w:r w:rsidRPr="003E6294">
        <w:rPr>
          <w:rFonts w:ascii="Arial" w:hAnsi="Arial" w:cs="Arial"/>
          <w:sz w:val="24"/>
          <w:szCs w:val="24"/>
        </w:rPr>
        <w:t>Ouden</w:t>
      </w:r>
      <w:proofErr w:type="spellEnd"/>
      <w:r w:rsidRPr="003E6294">
        <w:rPr>
          <w:rFonts w:ascii="Arial" w:hAnsi="Arial" w:cs="Arial"/>
          <w:sz w:val="24"/>
          <w:szCs w:val="24"/>
        </w:rPr>
        <w:t xml:space="preserve">, Hanneke &amp; Choudhury, </w:t>
      </w:r>
      <w:proofErr w:type="spellStart"/>
      <w:r w:rsidRPr="003E6294">
        <w:rPr>
          <w:rFonts w:ascii="Arial" w:hAnsi="Arial" w:cs="Arial"/>
          <w:sz w:val="24"/>
          <w:szCs w:val="24"/>
        </w:rPr>
        <w:t>Suparna</w:t>
      </w:r>
      <w:proofErr w:type="spellEnd"/>
      <w:r w:rsidRPr="003E6294">
        <w:rPr>
          <w:rFonts w:ascii="Arial" w:hAnsi="Arial" w:cs="Arial"/>
          <w:sz w:val="24"/>
          <w:szCs w:val="24"/>
        </w:rPr>
        <w:t xml:space="preserve"> &amp; Frith, Chris. (2007). Adolescent development of the neural circuitry for thinking about intentions. Social cognitive and affective neuroscience. 2. 130-9. 10.1093/scan/nsm009.</w:t>
      </w:r>
    </w:p>
    <w:p w14:paraId="48B845BC" w14:textId="77777777" w:rsidR="003E6294" w:rsidRPr="003E6294" w:rsidRDefault="003E6294" w:rsidP="003E6294">
      <w:pPr>
        <w:spacing w:after="336" w:line="480" w:lineRule="auto"/>
        <w:rPr>
          <w:rFonts w:ascii="Arial" w:hAnsi="Arial" w:cs="Arial"/>
          <w:sz w:val="24"/>
          <w:szCs w:val="24"/>
          <w:lang w:val="en-US"/>
        </w:rPr>
      </w:pPr>
      <w:proofErr w:type="spellStart"/>
      <w:r w:rsidRPr="003E6294">
        <w:rPr>
          <w:rFonts w:ascii="Arial" w:hAnsi="Arial" w:cs="Arial"/>
          <w:sz w:val="24"/>
          <w:szCs w:val="24"/>
          <w:lang w:val="en-US"/>
        </w:rPr>
        <w:t>Bosgraaf</w:t>
      </w:r>
      <w:proofErr w:type="spellEnd"/>
      <w:r w:rsidRPr="003E6294">
        <w:rPr>
          <w:rFonts w:ascii="Arial" w:hAnsi="Arial" w:cs="Arial"/>
          <w:sz w:val="24"/>
          <w:szCs w:val="24"/>
          <w:lang w:val="en-US"/>
        </w:rPr>
        <w:t xml:space="preserve">, L., </w:t>
      </w:r>
      <w:proofErr w:type="spellStart"/>
      <w:r w:rsidRPr="003E6294">
        <w:rPr>
          <w:rFonts w:ascii="Arial" w:hAnsi="Arial" w:cs="Arial"/>
          <w:sz w:val="24"/>
          <w:szCs w:val="24"/>
          <w:lang w:val="en-US"/>
        </w:rPr>
        <w:t>Spreen</w:t>
      </w:r>
      <w:proofErr w:type="spellEnd"/>
      <w:r w:rsidRPr="003E6294">
        <w:rPr>
          <w:rFonts w:ascii="Arial" w:hAnsi="Arial" w:cs="Arial"/>
          <w:sz w:val="24"/>
          <w:szCs w:val="24"/>
          <w:lang w:val="en-US"/>
        </w:rPr>
        <w:t xml:space="preserve">, M., </w:t>
      </w:r>
      <w:proofErr w:type="spellStart"/>
      <w:r w:rsidRPr="003E6294">
        <w:rPr>
          <w:rFonts w:ascii="Arial" w:hAnsi="Arial" w:cs="Arial"/>
          <w:sz w:val="24"/>
          <w:szCs w:val="24"/>
          <w:lang w:val="en-US"/>
        </w:rPr>
        <w:t>Pattiselanno</w:t>
      </w:r>
      <w:proofErr w:type="spellEnd"/>
      <w:r w:rsidRPr="003E6294">
        <w:rPr>
          <w:rFonts w:ascii="Arial" w:hAnsi="Arial" w:cs="Arial"/>
          <w:sz w:val="24"/>
          <w:szCs w:val="24"/>
          <w:lang w:val="en-US"/>
        </w:rPr>
        <w:t xml:space="preserve">, K. and </w:t>
      </w:r>
      <w:proofErr w:type="spellStart"/>
      <w:r w:rsidRPr="003E6294">
        <w:rPr>
          <w:rFonts w:ascii="Arial" w:hAnsi="Arial" w:cs="Arial"/>
          <w:sz w:val="24"/>
          <w:szCs w:val="24"/>
          <w:lang w:val="en-US"/>
        </w:rPr>
        <w:t>Hooren</w:t>
      </w:r>
      <w:proofErr w:type="spellEnd"/>
      <w:r w:rsidRPr="003E6294">
        <w:rPr>
          <w:rFonts w:ascii="Arial" w:hAnsi="Arial" w:cs="Arial"/>
          <w:sz w:val="24"/>
          <w:szCs w:val="24"/>
          <w:lang w:val="en-US"/>
        </w:rPr>
        <w:t xml:space="preserve">, S., 2022. Art Therapy for Psychosocial Problems in Children and Adolescents: A Systematic Narrative Review on Art Therapeutic Means and Forms of Expression, Therapist Behavior, and Supposed Mechanisms of Change. [online] Frontiers psychology. Available at: </w:t>
      </w:r>
      <w:r w:rsidRPr="003E6294">
        <w:rPr>
          <w:rFonts w:ascii="Arial" w:hAnsi="Arial" w:cs="Arial"/>
          <w:sz w:val="24"/>
          <w:szCs w:val="24"/>
          <w:lang w:val="en-US"/>
        </w:rPr>
        <w:lastRenderedPageBreak/>
        <w:t>&lt;https://www.frontiersin.org/articles/10.3389/fpsyg.2020.584685/full&gt; [Accessed 12 April 2022].</w:t>
      </w:r>
    </w:p>
    <w:p w14:paraId="60581124" w14:textId="77777777" w:rsidR="003E6294" w:rsidRPr="003E6294" w:rsidRDefault="003E6294" w:rsidP="003E6294">
      <w:pPr>
        <w:spacing w:line="480" w:lineRule="auto"/>
        <w:rPr>
          <w:rFonts w:ascii="Arial" w:hAnsi="Arial" w:cs="Arial"/>
          <w:color w:val="000000"/>
          <w:sz w:val="24"/>
          <w:szCs w:val="24"/>
          <w:shd w:val="clear" w:color="auto" w:fill="FFFFFF"/>
        </w:rPr>
      </w:pPr>
      <w:r w:rsidRPr="003E6294">
        <w:rPr>
          <w:rFonts w:ascii="Arial" w:hAnsi="Arial" w:cs="Arial"/>
          <w:color w:val="000000"/>
          <w:sz w:val="24"/>
          <w:szCs w:val="24"/>
          <w:shd w:val="clear" w:color="auto" w:fill="FFFFFF"/>
        </w:rPr>
        <w:t>Bowlby J. (1969). Attachment. Attachment and loss: Vol. 1. Loss. New York: Basic Books.</w:t>
      </w:r>
    </w:p>
    <w:p w14:paraId="2D9675BC" w14:textId="77777777" w:rsidR="003E6294" w:rsidRPr="003E6294" w:rsidRDefault="003E6294" w:rsidP="003E6294">
      <w:pPr>
        <w:spacing w:line="480" w:lineRule="auto"/>
        <w:rPr>
          <w:rFonts w:ascii="Arial" w:hAnsi="Arial" w:cs="Arial"/>
          <w:color w:val="212121"/>
          <w:sz w:val="24"/>
          <w:szCs w:val="24"/>
          <w:shd w:val="clear" w:color="auto" w:fill="FFFFFF"/>
        </w:rPr>
      </w:pPr>
      <w:r w:rsidRPr="003E6294">
        <w:rPr>
          <w:rFonts w:ascii="Arial" w:hAnsi="Arial" w:cs="Arial"/>
          <w:color w:val="212121"/>
          <w:sz w:val="24"/>
          <w:szCs w:val="24"/>
          <w:shd w:val="clear" w:color="auto" w:fill="FFFFFF"/>
        </w:rPr>
        <w:t>BOWLBY J. The nature of the child's tie to his mother. Int J Psychoanalysis. 1958 Sep-Oct;39(5):350-73. PMID: 13610508.</w:t>
      </w:r>
    </w:p>
    <w:p w14:paraId="002F771B"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Bronfenbrenner, U., 1979. The Ecology of Human Development: Experiments by Nature and Design. 1st ed. Cambridge: Harvard University Press.</w:t>
      </w:r>
    </w:p>
    <w:p w14:paraId="37F8F710" w14:textId="77777777" w:rsidR="003E6294" w:rsidRPr="003E6294" w:rsidRDefault="003E6294" w:rsidP="003E6294">
      <w:pPr>
        <w:spacing w:line="480" w:lineRule="auto"/>
        <w:rPr>
          <w:rFonts w:ascii="Arial" w:hAnsi="Arial" w:cs="Arial"/>
          <w:color w:val="1C1D1E"/>
          <w:sz w:val="24"/>
          <w:szCs w:val="24"/>
          <w:shd w:val="clear" w:color="auto" w:fill="FFFFFF"/>
        </w:rPr>
      </w:pPr>
      <w:r w:rsidRPr="003E6294">
        <w:rPr>
          <w:rFonts w:ascii="Arial" w:hAnsi="Arial" w:cs="Arial"/>
          <w:color w:val="1C1D1E"/>
          <w:sz w:val="24"/>
          <w:szCs w:val="24"/>
          <w:shd w:val="clear" w:color="auto" w:fill="FFFFFF"/>
        </w:rPr>
        <w:t>Brown, B. B. (1990). Peer groups and peer cultures. In S. S. Feldman and G. R. Elliott (Eds.), At the threshold: The developing adolescent (pp. 171– 196). Cambridge, MA: Harvard University Press.</w:t>
      </w:r>
    </w:p>
    <w:p w14:paraId="652AF9C0" w14:textId="77777777" w:rsidR="003E6294" w:rsidRPr="003E6294" w:rsidRDefault="003E6294" w:rsidP="003E6294">
      <w:pPr>
        <w:spacing w:line="480" w:lineRule="auto"/>
        <w:rPr>
          <w:rFonts w:ascii="Arial" w:hAnsi="Arial" w:cs="Arial"/>
          <w:sz w:val="24"/>
          <w:szCs w:val="24"/>
        </w:rPr>
      </w:pPr>
      <w:r w:rsidRPr="003E6294">
        <w:rPr>
          <w:rFonts w:ascii="Arial" w:hAnsi="Arial" w:cs="Arial"/>
          <w:sz w:val="24"/>
          <w:szCs w:val="24"/>
        </w:rPr>
        <w:t xml:space="preserve">Casey, </w:t>
      </w:r>
      <w:proofErr w:type="spellStart"/>
      <w:r w:rsidRPr="003E6294">
        <w:rPr>
          <w:rFonts w:ascii="Arial" w:hAnsi="Arial" w:cs="Arial"/>
          <w:sz w:val="24"/>
          <w:szCs w:val="24"/>
        </w:rPr>
        <w:t>Bj</w:t>
      </w:r>
      <w:proofErr w:type="spellEnd"/>
      <w:r w:rsidRPr="003E6294">
        <w:rPr>
          <w:rFonts w:ascii="Arial" w:hAnsi="Arial" w:cs="Arial"/>
          <w:sz w:val="24"/>
          <w:szCs w:val="24"/>
        </w:rPr>
        <w:t xml:space="preserve"> &amp; </w:t>
      </w:r>
      <w:proofErr w:type="spellStart"/>
      <w:r w:rsidRPr="003E6294">
        <w:rPr>
          <w:rFonts w:ascii="Arial" w:hAnsi="Arial" w:cs="Arial"/>
          <w:sz w:val="24"/>
          <w:szCs w:val="24"/>
        </w:rPr>
        <w:t>Duhoux</w:t>
      </w:r>
      <w:proofErr w:type="spellEnd"/>
      <w:r w:rsidRPr="003E6294">
        <w:rPr>
          <w:rFonts w:ascii="Arial" w:hAnsi="Arial" w:cs="Arial"/>
          <w:sz w:val="24"/>
          <w:szCs w:val="24"/>
        </w:rPr>
        <w:t xml:space="preserve">, </w:t>
      </w:r>
      <w:proofErr w:type="spellStart"/>
      <w:r w:rsidRPr="003E6294">
        <w:rPr>
          <w:rFonts w:ascii="Arial" w:hAnsi="Arial" w:cs="Arial"/>
          <w:sz w:val="24"/>
          <w:szCs w:val="24"/>
        </w:rPr>
        <w:t>Stéphanie</w:t>
      </w:r>
      <w:proofErr w:type="spellEnd"/>
      <w:r w:rsidRPr="003E6294">
        <w:rPr>
          <w:rFonts w:ascii="Arial" w:hAnsi="Arial" w:cs="Arial"/>
          <w:sz w:val="24"/>
          <w:szCs w:val="24"/>
        </w:rPr>
        <w:t xml:space="preserve"> &amp; </w:t>
      </w:r>
      <w:proofErr w:type="spellStart"/>
      <w:r w:rsidRPr="003E6294">
        <w:rPr>
          <w:rFonts w:ascii="Arial" w:hAnsi="Arial" w:cs="Arial"/>
          <w:sz w:val="24"/>
          <w:szCs w:val="24"/>
        </w:rPr>
        <w:t>Malter</w:t>
      </w:r>
      <w:proofErr w:type="spellEnd"/>
      <w:r w:rsidRPr="003E6294">
        <w:rPr>
          <w:rFonts w:ascii="Arial" w:hAnsi="Arial" w:cs="Arial"/>
          <w:sz w:val="24"/>
          <w:szCs w:val="24"/>
        </w:rPr>
        <w:t xml:space="preserve"> Cohen, Matthew. (2010). Adolescence: What Do Transmission, Transition, and Translation Have to Do with </w:t>
      </w:r>
      <w:proofErr w:type="gramStart"/>
      <w:r w:rsidRPr="003E6294">
        <w:rPr>
          <w:rFonts w:ascii="Arial" w:hAnsi="Arial" w:cs="Arial"/>
          <w:sz w:val="24"/>
          <w:szCs w:val="24"/>
        </w:rPr>
        <w:t>It?.</w:t>
      </w:r>
      <w:proofErr w:type="gramEnd"/>
      <w:r w:rsidRPr="003E6294">
        <w:rPr>
          <w:rFonts w:ascii="Arial" w:hAnsi="Arial" w:cs="Arial"/>
          <w:sz w:val="24"/>
          <w:szCs w:val="24"/>
        </w:rPr>
        <w:t xml:space="preserve"> Neuron. 67. 749-60. 10.1016/j.neuron.2010.08.033.</w:t>
      </w:r>
    </w:p>
    <w:p w14:paraId="3CBC3A47"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Child-encyclopedia.com. 2014. Eyes on Resilience: The ability to bounce back. [online] Available at: &lt;https://www.child-encyclopedia.com/sites/default/files/resilience-info.pdf&gt; [Accessed 4 April 2022].</w:t>
      </w:r>
    </w:p>
    <w:p w14:paraId="1C14957B"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Childrenssociety.org.uk. 2022. The Good Childhood Index | The Children's Society. [online] Available at: &lt;https://www.childrenssociety.org.uk/information/professionals/good-childhood-index&gt; [Accessed 9 April 2022].</w:t>
      </w:r>
    </w:p>
    <w:p w14:paraId="5CB7416F"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lastRenderedPageBreak/>
        <w:t>Cldstandardscouncil.org.uk. 2019. The purpose of youth work. [online] Available at: &lt;https://cldstandardscouncil.org.uk/wp-content/uploads/YouthWorkNOS2019Intro.pdf&gt; [Accessed 8 April 2022].</w:t>
      </w:r>
    </w:p>
    <w:p w14:paraId="7D56308A"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Coleman, J., 2011. The nature of adolescence. 4th ed. New York, NY: Routledge, pp.2,</w:t>
      </w:r>
      <w:proofErr w:type="gramStart"/>
      <w:r w:rsidRPr="003E6294">
        <w:rPr>
          <w:rFonts w:ascii="Arial" w:hAnsi="Arial" w:cs="Arial"/>
          <w:sz w:val="24"/>
          <w:szCs w:val="24"/>
          <w:lang w:val="en-US"/>
        </w:rPr>
        <w:t>3,25,.</w:t>
      </w:r>
      <w:proofErr w:type="gramEnd"/>
    </w:p>
    <w:p w14:paraId="6E910994"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Cwvys.org.uk. 2018. The Five pillars of youth work in Wales. [online] Available at: &lt;https://www.cwvys.org.uk/wp-content/uploads/2018/11/YOUTH-WORK-IN-WALES-PRINCIPLES-AND-PURPOSES.pdf&gt; [Accessed 3 April 2022].</w:t>
      </w:r>
    </w:p>
    <w:p w14:paraId="4D295EE3"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 xml:space="preserve">Cwvys.org.uk. 2018. The purposes of youth work in </w:t>
      </w:r>
      <w:proofErr w:type="spellStart"/>
      <w:r w:rsidRPr="003E6294">
        <w:rPr>
          <w:rFonts w:ascii="Arial" w:hAnsi="Arial" w:cs="Arial"/>
          <w:sz w:val="24"/>
          <w:szCs w:val="24"/>
          <w:lang w:val="en-US"/>
        </w:rPr>
        <w:t>wales</w:t>
      </w:r>
      <w:proofErr w:type="spellEnd"/>
      <w:r w:rsidRPr="003E6294">
        <w:rPr>
          <w:rFonts w:ascii="Arial" w:hAnsi="Arial" w:cs="Arial"/>
          <w:sz w:val="24"/>
          <w:szCs w:val="24"/>
          <w:lang w:val="en-US"/>
        </w:rPr>
        <w:t>. [online] Available at: &lt;https://www.cwvys.org.uk/wp-content/uploads/2018/11/YOUTH-WORK-IN-WALES-PRINCIPLES-AND-PURPOSES.pdf&gt; [Accessed 7 April 2022].</w:t>
      </w:r>
    </w:p>
    <w:p w14:paraId="472A0880" w14:textId="77777777" w:rsidR="003E6294" w:rsidRPr="003E6294" w:rsidRDefault="003E6294" w:rsidP="003E6294">
      <w:pPr>
        <w:spacing w:after="336" w:line="480" w:lineRule="auto"/>
        <w:rPr>
          <w:rFonts w:ascii="Arial" w:hAnsi="Arial" w:cs="Arial"/>
          <w:sz w:val="24"/>
          <w:szCs w:val="24"/>
          <w:lang w:val="en-US"/>
        </w:rPr>
      </w:pPr>
      <w:proofErr w:type="spellStart"/>
      <w:r w:rsidRPr="003E6294">
        <w:rPr>
          <w:rFonts w:ascii="Arial" w:hAnsi="Arial" w:cs="Arial"/>
          <w:sz w:val="24"/>
          <w:szCs w:val="24"/>
          <w:lang w:val="en-US"/>
        </w:rPr>
        <w:t>Eichstellar</w:t>
      </w:r>
      <w:proofErr w:type="spellEnd"/>
      <w:r w:rsidRPr="003E6294">
        <w:rPr>
          <w:rFonts w:ascii="Arial" w:hAnsi="Arial" w:cs="Arial"/>
          <w:sz w:val="24"/>
          <w:szCs w:val="24"/>
          <w:lang w:val="en-US"/>
        </w:rPr>
        <w:t xml:space="preserve">, G., 2016. Celebrating Head, Heart, Hands - </w:t>
      </w:r>
      <w:proofErr w:type="spellStart"/>
      <w:r w:rsidRPr="003E6294">
        <w:rPr>
          <w:rFonts w:ascii="Arial" w:hAnsi="Arial" w:cs="Arial"/>
          <w:sz w:val="24"/>
          <w:szCs w:val="24"/>
          <w:lang w:val="en-US"/>
        </w:rPr>
        <w:t>ThemPra</w:t>
      </w:r>
      <w:proofErr w:type="spellEnd"/>
      <w:r w:rsidRPr="003E6294">
        <w:rPr>
          <w:rFonts w:ascii="Arial" w:hAnsi="Arial" w:cs="Arial"/>
          <w:sz w:val="24"/>
          <w:szCs w:val="24"/>
          <w:lang w:val="en-US"/>
        </w:rPr>
        <w:t xml:space="preserve"> Social Pedagogy. [online] </w:t>
      </w:r>
      <w:proofErr w:type="spellStart"/>
      <w:r w:rsidRPr="003E6294">
        <w:rPr>
          <w:rFonts w:ascii="Arial" w:hAnsi="Arial" w:cs="Arial"/>
          <w:sz w:val="24"/>
          <w:szCs w:val="24"/>
          <w:lang w:val="en-US"/>
        </w:rPr>
        <w:t>ThemPra</w:t>
      </w:r>
      <w:proofErr w:type="spellEnd"/>
      <w:r w:rsidRPr="003E6294">
        <w:rPr>
          <w:rFonts w:ascii="Arial" w:hAnsi="Arial" w:cs="Arial"/>
          <w:sz w:val="24"/>
          <w:szCs w:val="24"/>
          <w:lang w:val="en-US"/>
        </w:rPr>
        <w:t xml:space="preserve"> Social Pedagogy. Available at: &lt;http://www.thempra.org.uk/news/celebrating-head-heart-hands/&gt; [Accessed 12 April 2022].</w:t>
      </w:r>
    </w:p>
    <w:p w14:paraId="3294EEC4" w14:textId="77777777" w:rsidR="003E6294" w:rsidRPr="003E6294" w:rsidRDefault="003E6294" w:rsidP="003E6294">
      <w:pPr>
        <w:spacing w:line="480" w:lineRule="auto"/>
        <w:rPr>
          <w:rFonts w:ascii="Arial" w:hAnsi="Arial" w:cs="Arial"/>
          <w:sz w:val="24"/>
          <w:szCs w:val="24"/>
        </w:rPr>
      </w:pPr>
      <w:proofErr w:type="spellStart"/>
      <w:r w:rsidRPr="003E6294">
        <w:rPr>
          <w:rFonts w:ascii="Arial" w:hAnsi="Arial" w:cs="Arial"/>
          <w:sz w:val="24"/>
          <w:szCs w:val="24"/>
        </w:rPr>
        <w:t>Finkelhor</w:t>
      </w:r>
      <w:proofErr w:type="spellEnd"/>
      <w:r w:rsidRPr="003E6294">
        <w:rPr>
          <w:rFonts w:ascii="Arial" w:hAnsi="Arial" w:cs="Arial"/>
          <w:sz w:val="24"/>
          <w:szCs w:val="24"/>
        </w:rPr>
        <w:t xml:space="preserve">, D., Ormrod, R., Turner, H. and Hamby, S., 2005. The victimization of Children and youth: A comprehensive National Survey, Child Maltreatment [Online] 10 (1), pp. 5-25 Available </w:t>
      </w:r>
      <w:proofErr w:type="gramStart"/>
      <w:r w:rsidRPr="003E6294">
        <w:rPr>
          <w:rFonts w:ascii="Arial" w:hAnsi="Arial" w:cs="Arial"/>
          <w:sz w:val="24"/>
          <w:szCs w:val="24"/>
        </w:rPr>
        <w:t>at :</w:t>
      </w:r>
      <w:proofErr w:type="gramEnd"/>
      <w:r w:rsidRPr="003E6294">
        <w:rPr>
          <w:rFonts w:ascii="Arial" w:hAnsi="Arial" w:cs="Arial"/>
          <w:sz w:val="24"/>
          <w:szCs w:val="24"/>
        </w:rPr>
        <w:fldChar w:fldCharType="begin"/>
      </w:r>
      <w:r w:rsidRPr="003E6294">
        <w:rPr>
          <w:rFonts w:ascii="Arial" w:hAnsi="Arial" w:cs="Arial"/>
          <w:sz w:val="24"/>
          <w:szCs w:val="24"/>
        </w:rPr>
        <w:instrText xml:space="preserve"> HYPERLINK "https://pubmed.ncbi.nlm.nih.gov/15677323/" </w:instrText>
      </w:r>
      <w:r w:rsidRPr="003E6294">
        <w:rPr>
          <w:rFonts w:ascii="Arial" w:hAnsi="Arial" w:cs="Arial"/>
          <w:sz w:val="24"/>
          <w:szCs w:val="24"/>
        </w:rPr>
        <w:fldChar w:fldCharType="separate"/>
      </w:r>
      <w:r w:rsidRPr="003E6294">
        <w:rPr>
          <w:rFonts w:ascii="Arial" w:hAnsi="Arial" w:cs="Arial"/>
          <w:color w:val="0563C1" w:themeColor="hyperlink"/>
          <w:sz w:val="24"/>
          <w:szCs w:val="24"/>
          <w:u w:val="single"/>
        </w:rPr>
        <w:t>https://pubmed.ncbi.nlm.nih.gov/15677323/</w:t>
      </w:r>
      <w:r w:rsidRPr="003E6294">
        <w:rPr>
          <w:rFonts w:ascii="Arial" w:hAnsi="Arial" w:cs="Arial"/>
          <w:sz w:val="24"/>
          <w:szCs w:val="24"/>
        </w:rPr>
        <w:fldChar w:fldCharType="end"/>
      </w:r>
      <w:r w:rsidRPr="003E6294">
        <w:rPr>
          <w:rFonts w:ascii="Arial" w:hAnsi="Arial" w:cs="Arial"/>
          <w:sz w:val="24"/>
          <w:szCs w:val="24"/>
        </w:rPr>
        <w:t>[accessed 9</w:t>
      </w:r>
      <w:r w:rsidRPr="003E6294">
        <w:rPr>
          <w:rFonts w:ascii="Arial" w:hAnsi="Arial" w:cs="Arial"/>
          <w:sz w:val="24"/>
          <w:szCs w:val="24"/>
          <w:vertAlign w:val="superscript"/>
        </w:rPr>
        <w:t>th</w:t>
      </w:r>
      <w:r w:rsidRPr="003E6294">
        <w:rPr>
          <w:rFonts w:ascii="Arial" w:hAnsi="Arial" w:cs="Arial"/>
          <w:sz w:val="24"/>
          <w:szCs w:val="24"/>
        </w:rPr>
        <w:t xml:space="preserve"> April, 2022]</w:t>
      </w:r>
    </w:p>
    <w:p w14:paraId="1698ADFF" w14:textId="77777777" w:rsidR="003E6294" w:rsidRPr="003E6294" w:rsidRDefault="003E6294" w:rsidP="003E6294">
      <w:pPr>
        <w:spacing w:after="336" w:line="480" w:lineRule="auto"/>
        <w:rPr>
          <w:rFonts w:ascii="Arial" w:hAnsi="Arial" w:cs="Arial"/>
          <w:sz w:val="24"/>
          <w:szCs w:val="24"/>
          <w:lang w:val="en-US"/>
        </w:rPr>
      </w:pPr>
      <w:proofErr w:type="spellStart"/>
      <w:r w:rsidRPr="003E6294">
        <w:rPr>
          <w:rFonts w:ascii="Arial" w:hAnsi="Arial" w:cs="Arial"/>
          <w:sz w:val="24"/>
          <w:szCs w:val="24"/>
          <w:lang w:val="en-US"/>
        </w:rPr>
        <w:t>Futuregenerations.wales</w:t>
      </w:r>
      <w:proofErr w:type="spellEnd"/>
      <w:r w:rsidRPr="003E6294">
        <w:rPr>
          <w:rFonts w:ascii="Arial" w:hAnsi="Arial" w:cs="Arial"/>
          <w:sz w:val="24"/>
          <w:szCs w:val="24"/>
          <w:lang w:val="en-US"/>
        </w:rPr>
        <w:t>. 2015. Wellbeing Goals. [online] Available at: &lt;https://www.futuregenerations.wales/wp-content/uploads/2017/02/150623-guide-to-the-fg-act-en.pdf&gt; [Accessed 12 April 2022].</w:t>
      </w:r>
    </w:p>
    <w:p w14:paraId="7A57CC7A"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lastRenderedPageBreak/>
        <w:t>GOV.WALES. 2019. Youth work strategy 2019 | GOV.WALES. [online] Available at: &lt;https://gov.wales/youth-work-strategy-2019&gt; [Accessed 6 April 2022].</w:t>
      </w:r>
    </w:p>
    <w:p w14:paraId="154C510B"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Happiness and Well-Being. 2022. What Are Happiness and Well-Being? — Happiness and Well-Being. [online] Available at: &lt;https://www.happinessandwellbeing.org/wellbeing-research-faq-2&gt; [Accessed 6 April 2022].</w:t>
      </w:r>
    </w:p>
    <w:p w14:paraId="2BCDDC0E"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Harrison, R. and Wise, C., 2005. Working with young people. 1st ed. Los Angeles: Sage, p.15.</w:t>
      </w:r>
    </w:p>
    <w:p w14:paraId="137FBC63"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Hawtin, M., Hughes, G. and Percy-Smith, J., 1994. Community profiling. 1st ed. Buckingham: Open University Press.</w:t>
      </w:r>
    </w:p>
    <w:p w14:paraId="266AD764" w14:textId="77777777" w:rsidR="003E6294" w:rsidRPr="003E6294" w:rsidRDefault="003E6294" w:rsidP="003E6294">
      <w:pPr>
        <w:spacing w:line="480" w:lineRule="auto"/>
        <w:rPr>
          <w:rFonts w:ascii="Arial" w:hAnsi="Arial" w:cs="Arial"/>
          <w:color w:val="333333"/>
          <w:sz w:val="24"/>
          <w:szCs w:val="24"/>
          <w:shd w:val="clear" w:color="auto" w:fill="FFFFFF"/>
        </w:rPr>
      </w:pPr>
      <w:proofErr w:type="spellStart"/>
      <w:r w:rsidRPr="003E6294">
        <w:rPr>
          <w:rFonts w:ascii="Arial" w:hAnsi="Arial" w:cs="Arial"/>
          <w:color w:val="333333"/>
          <w:sz w:val="24"/>
          <w:szCs w:val="24"/>
          <w:shd w:val="clear" w:color="auto" w:fill="FFFFFF"/>
        </w:rPr>
        <w:t>Herrman</w:t>
      </w:r>
      <w:proofErr w:type="spellEnd"/>
      <w:r w:rsidRPr="003E6294">
        <w:rPr>
          <w:rFonts w:ascii="Arial" w:hAnsi="Arial" w:cs="Arial"/>
          <w:color w:val="333333"/>
          <w:sz w:val="24"/>
          <w:szCs w:val="24"/>
          <w:shd w:val="clear" w:color="auto" w:fill="FFFFFF"/>
        </w:rPr>
        <w:t xml:space="preserve">, H. et al. (2011) ‘What is Resilience?’, The Canadian Journal of Psychiatry, 56(5), pp. 258–265. </w:t>
      </w:r>
      <w:proofErr w:type="spellStart"/>
      <w:r w:rsidRPr="003E6294">
        <w:rPr>
          <w:rFonts w:ascii="Arial" w:hAnsi="Arial" w:cs="Arial"/>
          <w:color w:val="333333"/>
          <w:sz w:val="24"/>
          <w:szCs w:val="24"/>
          <w:shd w:val="clear" w:color="auto" w:fill="FFFFFF"/>
        </w:rPr>
        <w:t>doi</w:t>
      </w:r>
      <w:proofErr w:type="spellEnd"/>
      <w:r w:rsidRPr="003E6294">
        <w:rPr>
          <w:rFonts w:ascii="Arial" w:hAnsi="Arial" w:cs="Arial"/>
          <w:color w:val="333333"/>
          <w:sz w:val="24"/>
          <w:szCs w:val="24"/>
          <w:shd w:val="clear" w:color="auto" w:fill="FFFFFF"/>
        </w:rPr>
        <w:t>: </w:t>
      </w:r>
      <w:hyperlink r:id="rId4" w:history="1">
        <w:r w:rsidRPr="003E6294">
          <w:rPr>
            <w:rFonts w:ascii="Arial" w:hAnsi="Arial" w:cs="Arial"/>
            <w:color w:val="006ACC"/>
            <w:sz w:val="24"/>
            <w:szCs w:val="24"/>
            <w:u w:val="single"/>
            <w:shd w:val="clear" w:color="auto" w:fill="FFFFFF"/>
          </w:rPr>
          <w:t>10.1177/070674371105600504</w:t>
        </w:r>
      </w:hyperlink>
      <w:r w:rsidRPr="003E6294">
        <w:rPr>
          <w:rFonts w:ascii="Arial" w:hAnsi="Arial" w:cs="Arial"/>
          <w:color w:val="333333"/>
          <w:sz w:val="24"/>
          <w:szCs w:val="24"/>
          <w:shd w:val="clear" w:color="auto" w:fill="FFFFFF"/>
        </w:rPr>
        <w:t>.</w:t>
      </w:r>
    </w:p>
    <w:p w14:paraId="6BD5DE5C"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 xml:space="preserve">https://assets.publishing.service.gov.uk/. 2011. An Education for the 21st Century: A narrative for youth work </w:t>
      </w:r>
      <w:proofErr w:type="gramStart"/>
      <w:r w:rsidRPr="003E6294">
        <w:rPr>
          <w:rFonts w:ascii="Arial" w:hAnsi="Arial" w:cs="Arial"/>
          <w:sz w:val="24"/>
          <w:szCs w:val="24"/>
          <w:lang w:val="en-US"/>
        </w:rPr>
        <w:t>today..</w:t>
      </w:r>
      <w:proofErr w:type="gramEnd"/>
      <w:r w:rsidRPr="003E6294">
        <w:rPr>
          <w:rFonts w:ascii="Arial" w:hAnsi="Arial" w:cs="Arial"/>
          <w:sz w:val="24"/>
          <w:szCs w:val="24"/>
          <w:lang w:val="en-US"/>
        </w:rPr>
        <w:t xml:space="preserve"> [online] Available at: &lt;https://www.gov.uk/government/organisations/department-for-education&gt; [Accessed 7 April 2022].</w:t>
      </w:r>
    </w:p>
    <w:p w14:paraId="06C050C2" w14:textId="77777777" w:rsidR="003E6294" w:rsidRPr="003E6294" w:rsidRDefault="003E6294" w:rsidP="003E6294">
      <w:pPr>
        <w:spacing w:after="336" w:line="480" w:lineRule="auto"/>
        <w:rPr>
          <w:rFonts w:ascii="Arial" w:hAnsi="Arial" w:cs="Arial"/>
          <w:sz w:val="24"/>
          <w:szCs w:val="24"/>
          <w:lang w:val="en-US"/>
        </w:rPr>
      </w:pPr>
      <w:proofErr w:type="spellStart"/>
      <w:r w:rsidRPr="003E6294">
        <w:rPr>
          <w:rFonts w:ascii="Arial" w:hAnsi="Arial" w:cs="Arial"/>
          <w:sz w:val="24"/>
          <w:szCs w:val="24"/>
          <w:lang w:val="en-US"/>
        </w:rPr>
        <w:t>Inhelder</w:t>
      </w:r>
      <w:proofErr w:type="spellEnd"/>
      <w:r w:rsidRPr="003E6294">
        <w:rPr>
          <w:rFonts w:ascii="Arial" w:hAnsi="Arial" w:cs="Arial"/>
          <w:sz w:val="24"/>
          <w:szCs w:val="24"/>
          <w:lang w:val="en-US"/>
        </w:rPr>
        <w:t>, B. and Piaget, J., 1972. 1st ed. New York: Basic Books.</w:t>
      </w:r>
    </w:p>
    <w:p w14:paraId="1AE6D428" w14:textId="77777777" w:rsidR="003E6294" w:rsidRPr="003E6294" w:rsidRDefault="003E6294" w:rsidP="003E6294">
      <w:pPr>
        <w:spacing w:line="480" w:lineRule="auto"/>
        <w:rPr>
          <w:rFonts w:ascii="Arial" w:hAnsi="Arial" w:cs="Arial"/>
          <w:color w:val="232323"/>
          <w:sz w:val="24"/>
          <w:szCs w:val="24"/>
          <w:shd w:val="clear" w:color="auto" w:fill="FFFFFF"/>
        </w:rPr>
      </w:pPr>
      <w:proofErr w:type="spellStart"/>
      <w:r w:rsidRPr="003E6294">
        <w:rPr>
          <w:rFonts w:ascii="Arial" w:hAnsi="Arial" w:cs="Arial"/>
          <w:color w:val="232323"/>
          <w:sz w:val="24"/>
          <w:szCs w:val="24"/>
          <w:shd w:val="clear" w:color="auto" w:fill="FFFFFF"/>
        </w:rPr>
        <w:t>Inhelder</w:t>
      </w:r>
      <w:proofErr w:type="spellEnd"/>
      <w:r w:rsidRPr="003E6294">
        <w:rPr>
          <w:rFonts w:ascii="Arial" w:hAnsi="Arial" w:cs="Arial"/>
          <w:color w:val="232323"/>
          <w:sz w:val="24"/>
          <w:szCs w:val="24"/>
          <w:shd w:val="clear" w:color="auto" w:fill="FFFFFF"/>
        </w:rPr>
        <w:t>, B., &amp; Piaget, J. (1958). The Growth of Logical Thinking from Childhood to Adolescence. New York: Basic Books.</w:t>
      </w:r>
      <w:r w:rsidRPr="003E6294">
        <w:rPr>
          <w:rFonts w:ascii="Arial" w:hAnsi="Arial" w:cs="Arial"/>
          <w:color w:val="232323"/>
          <w:sz w:val="24"/>
          <w:szCs w:val="24"/>
        </w:rPr>
        <w:br/>
      </w:r>
      <w:hyperlink r:id="rId5" w:history="1">
        <w:r w:rsidRPr="003E6294">
          <w:rPr>
            <w:rFonts w:ascii="Arial" w:hAnsi="Arial" w:cs="Arial"/>
            <w:color w:val="0563C1" w:themeColor="hyperlink"/>
            <w:sz w:val="24"/>
            <w:szCs w:val="24"/>
            <w:u w:val="single"/>
            <w:shd w:val="clear" w:color="auto" w:fill="FFFFFF"/>
          </w:rPr>
          <w:t>http://dx.doi.org/10.1037/10034-000</w:t>
        </w:r>
      </w:hyperlink>
    </w:p>
    <w:p w14:paraId="2465C66B"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lastRenderedPageBreak/>
        <w:t>Jeffs, T. and Smith, M., 2010. Youth Work Practice. 1st ed. Hampshire: Macmillan Publishers Limited, p.17.</w:t>
      </w:r>
    </w:p>
    <w:p w14:paraId="6F79C013" w14:textId="77777777" w:rsidR="003E6294" w:rsidRPr="003E6294" w:rsidRDefault="003E6294" w:rsidP="003E6294">
      <w:pPr>
        <w:spacing w:line="480" w:lineRule="auto"/>
        <w:rPr>
          <w:rFonts w:ascii="Arial" w:hAnsi="Arial" w:cs="Arial"/>
          <w:color w:val="303030"/>
          <w:sz w:val="24"/>
          <w:szCs w:val="24"/>
          <w:shd w:val="clear" w:color="auto" w:fill="FFFFFF"/>
        </w:rPr>
      </w:pPr>
      <w:r w:rsidRPr="003E6294">
        <w:rPr>
          <w:rFonts w:ascii="Arial" w:hAnsi="Arial" w:cs="Arial"/>
          <w:color w:val="303030"/>
          <w:sz w:val="24"/>
          <w:szCs w:val="24"/>
          <w:shd w:val="clear" w:color="auto" w:fill="FFFFFF"/>
        </w:rPr>
        <w:t xml:space="preserve">Lee TY, Cheung CK, </w:t>
      </w:r>
      <w:proofErr w:type="spellStart"/>
      <w:r w:rsidRPr="003E6294">
        <w:rPr>
          <w:rFonts w:ascii="Arial" w:hAnsi="Arial" w:cs="Arial"/>
          <w:color w:val="303030"/>
          <w:sz w:val="24"/>
          <w:szCs w:val="24"/>
          <w:shd w:val="clear" w:color="auto" w:fill="FFFFFF"/>
        </w:rPr>
        <w:t>Kwong</w:t>
      </w:r>
      <w:proofErr w:type="spellEnd"/>
      <w:r w:rsidRPr="003E6294">
        <w:rPr>
          <w:rFonts w:ascii="Arial" w:hAnsi="Arial" w:cs="Arial"/>
          <w:color w:val="303030"/>
          <w:sz w:val="24"/>
          <w:szCs w:val="24"/>
          <w:shd w:val="clear" w:color="auto" w:fill="FFFFFF"/>
        </w:rPr>
        <w:t xml:space="preserve"> WM. Resilience as a positive youth development construct: a conceptual review. </w:t>
      </w:r>
      <w:proofErr w:type="spellStart"/>
      <w:r w:rsidRPr="003E6294">
        <w:rPr>
          <w:rFonts w:ascii="Arial" w:hAnsi="Arial" w:cs="Arial"/>
          <w:color w:val="303030"/>
          <w:sz w:val="24"/>
          <w:szCs w:val="24"/>
          <w:shd w:val="clear" w:color="auto" w:fill="FFFFFF"/>
        </w:rPr>
        <w:t>ScientificWorldJournal</w:t>
      </w:r>
      <w:proofErr w:type="spellEnd"/>
      <w:r w:rsidRPr="003E6294">
        <w:rPr>
          <w:rFonts w:ascii="Arial" w:hAnsi="Arial" w:cs="Arial"/>
          <w:color w:val="303030"/>
          <w:sz w:val="24"/>
          <w:szCs w:val="24"/>
          <w:shd w:val="clear" w:color="auto" w:fill="FFFFFF"/>
        </w:rPr>
        <w:t>. 2012; 2012:390450. doi:10.1100/2012/390450</w:t>
      </w:r>
    </w:p>
    <w:p w14:paraId="2CCA8480" w14:textId="77777777" w:rsidR="003E6294" w:rsidRPr="003E6294" w:rsidRDefault="003E6294" w:rsidP="003E6294">
      <w:pPr>
        <w:shd w:val="clear" w:color="auto" w:fill="FFFFFF"/>
        <w:spacing w:after="0" w:line="480" w:lineRule="auto"/>
        <w:rPr>
          <w:rFonts w:ascii="Arial" w:eastAsia="Times New Roman" w:hAnsi="Arial" w:cs="Arial"/>
          <w:color w:val="212121"/>
          <w:sz w:val="24"/>
          <w:szCs w:val="24"/>
          <w:lang w:eastAsia="en-GB"/>
        </w:rPr>
      </w:pPr>
      <w:r w:rsidRPr="003E6294">
        <w:rPr>
          <w:rFonts w:ascii="Arial" w:eastAsia="Times New Roman" w:hAnsi="Arial" w:cs="Arial"/>
          <w:color w:val="212121"/>
          <w:sz w:val="24"/>
          <w:szCs w:val="24"/>
          <w:lang w:eastAsia="en-GB"/>
        </w:rPr>
        <w:t xml:space="preserve">Maul, S., </w:t>
      </w:r>
      <w:proofErr w:type="spellStart"/>
      <w:r w:rsidRPr="003E6294">
        <w:rPr>
          <w:rFonts w:ascii="Arial" w:eastAsia="Times New Roman" w:hAnsi="Arial" w:cs="Arial"/>
          <w:color w:val="212121"/>
          <w:sz w:val="24"/>
          <w:szCs w:val="24"/>
          <w:lang w:eastAsia="en-GB"/>
        </w:rPr>
        <w:t>Giegling</w:t>
      </w:r>
      <w:proofErr w:type="spellEnd"/>
      <w:r w:rsidRPr="003E6294">
        <w:rPr>
          <w:rFonts w:ascii="Arial" w:eastAsia="Times New Roman" w:hAnsi="Arial" w:cs="Arial"/>
          <w:color w:val="212121"/>
          <w:sz w:val="24"/>
          <w:szCs w:val="24"/>
          <w:lang w:eastAsia="en-GB"/>
        </w:rPr>
        <w:t xml:space="preserve">, I., </w:t>
      </w:r>
      <w:proofErr w:type="spellStart"/>
      <w:r w:rsidRPr="003E6294">
        <w:rPr>
          <w:rFonts w:ascii="Arial" w:eastAsia="Times New Roman" w:hAnsi="Arial" w:cs="Arial"/>
          <w:color w:val="212121"/>
          <w:sz w:val="24"/>
          <w:szCs w:val="24"/>
          <w:lang w:eastAsia="en-GB"/>
        </w:rPr>
        <w:t>Fabbri</w:t>
      </w:r>
      <w:proofErr w:type="spellEnd"/>
      <w:r w:rsidRPr="003E6294">
        <w:rPr>
          <w:rFonts w:ascii="Arial" w:eastAsia="Times New Roman" w:hAnsi="Arial" w:cs="Arial"/>
          <w:color w:val="212121"/>
          <w:sz w:val="24"/>
          <w:szCs w:val="24"/>
          <w:lang w:eastAsia="en-GB"/>
        </w:rPr>
        <w:t xml:space="preserve">, C., </w:t>
      </w:r>
      <w:proofErr w:type="spellStart"/>
      <w:r w:rsidRPr="003E6294">
        <w:rPr>
          <w:rFonts w:ascii="Arial" w:eastAsia="Times New Roman" w:hAnsi="Arial" w:cs="Arial"/>
          <w:color w:val="212121"/>
          <w:sz w:val="24"/>
          <w:szCs w:val="24"/>
          <w:lang w:eastAsia="en-GB"/>
        </w:rPr>
        <w:t>Corponi</w:t>
      </w:r>
      <w:proofErr w:type="spellEnd"/>
      <w:r w:rsidRPr="003E6294">
        <w:rPr>
          <w:rFonts w:ascii="Arial" w:eastAsia="Times New Roman" w:hAnsi="Arial" w:cs="Arial"/>
          <w:color w:val="212121"/>
          <w:sz w:val="24"/>
          <w:szCs w:val="24"/>
          <w:lang w:eastAsia="en-GB"/>
        </w:rPr>
        <w:t xml:space="preserve">, F., </w:t>
      </w:r>
      <w:proofErr w:type="spellStart"/>
      <w:r w:rsidRPr="003E6294">
        <w:rPr>
          <w:rFonts w:ascii="Arial" w:eastAsia="Times New Roman" w:hAnsi="Arial" w:cs="Arial"/>
          <w:color w:val="212121"/>
          <w:sz w:val="24"/>
          <w:szCs w:val="24"/>
          <w:lang w:eastAsia="en-GB"/>
        </w:rPr>
        <w:t>Serretti</w:t>
      </w:r>
      <w:proofErr w:type="spellEnd"/>
      <w:r w:rsidRPr="003E6294">
        <w:rPr>
          <w:rFonts w:ascii="Arial" w:eastAsia="Times New Roman" w:hAnsi="Arial" w:cs="Arial"/>
          <w:color w:val="212121"/>
          <w:sz w:val="24"/>
          <w:szCs w:val="24"/>
          <w:lang w:eastAsia="en-GB"/>
        </w:rPr>
        <w:t xml:space="preserve">, A., &amp; </w:t>
      </w:r>
      <w:proofErr w:type="spellStart"/>
      <w:r w:rsidRPr="003E6294">
        <w:rPr>
          <w:rFonts w:ascii="Arial" w:eastAsia="Times New Roman" w:hAnsi="Arial" w:cs="Arial"/>
          <w:color w:val="212121"/>
          <w:sz w:val="24"/>
          <w:szCs w:val="24"/>
          <w:lang w:eastAsia="en-GB"/>
        </w:rPr>
        <w:t>Rujescu</w:t>
      </w:r>
      <w:proofErr w:type="spellEnd"/>
      <w:r w:rsidRPr="003E6294">
        <w:rPr>
          <w:rFonts w:ascii="Arial" w:eastAsia="Times New Roman" w:hAnsi="Arial" w:cs="Arial"/>
          <w:color w:val="212121"/>
          <w:sz w:val="24"/>
          <w:szCs w:val="24"/>
          <w:lang w:eastAsia="en-GB"/>
        </w:rPr>
        <w:t xml:space="preserve">, D. (2020). Genetics of resilience: Implications from genome-wide association studies and candidate genes of the stress response system in posttraumatic stress disorder and depression. American journal of medical genetics. Part B, Neuropsychiatric </w:t>
      </w:r>
      <w:proofErr w:type="gramStart"/>
      <w:r w:rsidRPr="003E6294">
        <w:rPr>
          <w:rFonts w:ascii="Arial" w:eastAsia="Times New Roman" w:hAnsi="Arial" w:cs="Arial"/>
          <w:color w:val="212121"/>
          <w:sz w:val="24"/>
          <w:szCs w:val="24"/>
          <w:lang w:eastAsia="en-GB"/>
        </w:rPr>
        <w:t>genetics :</w:t>
      </w:r>
      <w:proofErr w:type="gramEnd"/>
      <w:r w:rsidRPr="003E6294">
        <w:rPr>
          <w:rFonts w:ascii="Arial" w:eastAsia="Times New Roman" w:hAnsi="Arial" w:cs="Arial"/>
          <w:color w:val="212121"/>
          <w:sz w:val="24"/>
          <w:szCs w:val="24"/>
          <w:lang w:eastAsia="en-GB"/>
        </w:rPr>
        <w:t xml:space="preserve"> the official publication of the International Society of Psychiatric Genetics, 183(2), 77–94. </w:t>
      </w:r>
      <w:hyperlink r:id="rId6" w:history="1">
        <w:r w:rsidRPr="003E6294">
          <w:rPr>
            <w:rFonts w:ascii="Arial" w:eastAsia="Times New Roman" w:hAnsi="Arial" w:cs="Arial"/>
            <w:color w:val="0563C1" w:themeColor="hyperlink"/>
            <w:sz w:val="24"/>
            <w:szCs w:val="24"/>
            <w:u w:val="single"/>
            <w:lang w:eastAsia="en-GB"/>
          </w:rPr>
          <w:t>https://doi.org/10.1002/ajmg.b.32763</w:t>
        </w:r>
      </w:hyperlink>
    </w:p>
    <w:p w14:paraId="7049F60B" w14:textId="77777777" w:rsidR="003E6294" w:rsidRPr="003E6294" w:rsidRDefault="003E6294" w:rsidP="003E6294">
      <w:pPr>
        <w:spacing w:after="336" w:line="480" w:lineRule="auto"/>
        <w:rPr>
          <w:rFonts w:ascii="Arial" w:hAnsi="Arial" w:cs="Arial"/>
          <w:sz w:val="24"/>
          <w:szCs w:val="24"/>
          <w:lang w:val="en-US"/>
        </w:rPr>
      </w:pPr>
      <w:proofErr w:type="spellStart"/>
      <w:r w:rsidRPr="003E6294">
        <w:rPr>
          <w:rFonts w:ascii="Arial" w:hAnsi="Arial" w:cs="Arial"/>
          <w:sz w:val="24"/>
          <w:szCs w:val="24"/>
          <w:lang w:val="en-US"/>
        </w:rPr>
        <w:t>McCashen</w:t>
      </w:r>
      <w:proofErr w:type="spellEnd"/>
      <w:r w:rsidRPr="003E6294">
        <w:rPr>
          <w:rFonts w:ascii="Arial" w:hAnsi="Arial" w:cs="Arial"/>
          <w:sz w:val="24"/>
          <w:szCs w:val="24"/>
          <w:lang w:val="en-US"/>
        </w:rPr>
        <w:t xml:space="preserve">, W., 2005. The strengths approach in practice. 1st ed. Bendigo: St Luke's </w:t>
      </w:r>
      <w:proofErr w:type="spellStart"/>
      <w:r w:rsidRPr="003E6294">
        <w:rPr>
          <w:rFonts w:ascii="Arial" w:hAnsi="Arial" w:cs="Arial"/>
          <w:sz w:val="24"/>
          <w:szCs w:val="24"/>
          <w:lang w:val="en-US"/>
        </w:rPr>
        <w:t>Innvative</w:t>
      </w:r>
      <w:proofErr w:type="spellEnd"/>
      <w:r w:rsidRPr="003E6294">
        <w:rPr>
          <w:rFonts w:ascii="Arial" w:hAnsi="Arial" w:cs="Arial"/>
          <w:sz w:val="24"/>
          <w:szCs w:val="24"/>
          <w:lang w:val="en-US"/>
        </w:rPr>
        <w:t xml:space="preserve"> Resources, pp.43,44.</w:t>
      </w:r>
    </w:p>
    <w:p w14:paraId="6070F224"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New Economics Foundation. 2018. Five ways to wellbeing. [online] Available at: &lt;https://neweconomics.org/2008/10/five-ways-to-wellbeing&gt; [Accessed 12 April 2022].</w:t>
      </w:r>
    </w:p>
    <w:p w14:paraId="68062984"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 xml:space="preserve">Osbourn, J., 2021. From Isolation to Community: Youth work in the covid era and </w:t>
      </w:r>
      <w:proofErr w:type="gramStart"/>
      <w:r w:rsidRPr="003E6294">
        <w:rPr>
          <w:rFonts w:ascii="Arial" w:hAnsi="Arial" w:cs="Arial"/>
          <w:sz w:val="24"/>
          <w:szCs w:val="24"/>
          <w:lang w:val="en-US"/>
        </w:rPr>
        <w:t>beyond..</w:t>
      </w:r>
      <w:proofErr w:type="gramEnd"/>
      <w:r w:rsidRPr="003E6294">
        <w:rPr>
          <w:rFonts w:ascii="Arial" w:hAnsi="Arial" w:cs="Arial"/>
          <w:sz w:val="24"/>
          <w:szCs w:val="24"/>
          <w:lang w:val="en-US"/>
        </w:rPr>
        <w:t xml:space="preserve"> 1st ed. Glasgow: Issachar Press, pp.5,6.</w:t>
      </w:r>
    </w:p>
    <w:p w14:paraId="4F739002" w14:textId="77777777" w:rsidR="003E6294" w:rsidRPr="003E6294" w:rsidRDefault="003E6294" w:rsidP="003E6294">
      <w:pPr>
        <w:spacing w:line="480" w:lineRule="auto"/>
        <w:rPr>
          <w:rFonts w:ascii="Arial" w:hAnsi="Arial" w:cs="Arial"/>
          <w:color w:val="333333"/>
          <w:sz w:val="24"/>
          <w:szCs w:val="24"/>
          <w:shd w:val="clear" w:color="auto" w:fill="FFFFFF"/>
        </w:rPr>
      </w:pPr>
      <w:r w:rsidRPr="003E6294">
        <w:rPr>
          <w:rFonts w:ascii="Arial" w:hAnsi="Arial" w:cs="Arial"/>
          <w:color w:val="333333"/>
          <w:sz w:val="24"/>
          <w:szCs w:val="24"/>
          <w:shd w:val="clear" w:color="auto" w:fill="FFFFFF"/>
        </w:rPr>
        <w:t xml:space="preserve">Park, N. (2004) ‘The Role of Subjective Well-Being in Positive Youth Development’, The ANNALS of the American Academy of Political and Social Science, 591(1), pp. 25–39. </w:t>
      </w:r>
      <w:proofErr w:type="spellStart"/>
      <w:r w:rsidRPr="003E6294">
        <w:rPr>
          <w:rFonts w:ascii="Arial" w:hAnsi="Arial" w:cs="Arial"/>
          <w:color w:val="333333"/>
          <w:sz w:val="24"/>
          <w:szCs w:val="24"/>
          <w:shd w:val="clear" w:color="auto" w:fill="FFFFFF"/>
        </w:rPr>
        <w:t>doi</w:t>
      </w:r>
      <w:proofErr w:type="spellEnd"/>
      <w:r w:rsidRPr="003E6294">
        <w:rPr>
          <w:rFonts w:ascii="Arial" w:hAnsi="Arial" w:cs="Arial"/>
          <w:color w:val="333333"/>
          <w:sz w:val="24"/>
          <w:szCs w:val="24"/>
          <w:shd w:val="clear" w:color="auto" w:fill="FFFFFF"/>
        </w:rPr>
        <w:t>: </w:t>
      </w:r>
      <w:hyperlink r:id="rId7" w:history="1">
        <w:r w:rsidRPr="003E6294">
          <w:rPr>
            <w:rFonts w:ascii="Arial" w:hAnsi="Arial" w:cs="Arial"/>
            <w:color w:val="006ACC"/>
            <w:sz w:val="24"/>
            <w:szCs w:val="24"/>
            <w:u w:val="single"/>
            <w:shd w:val="clear" w:color="auto" w:fill="FFFFFF"/>
          </w:rPr>
          <w:t>10.1177/0002716203260078</w:t>
        </w:r>
      </w:hyperlink>
      <w:r w:rsidRPr="003E6294">
        <w:rPr>
          <w:rFonts w:ascii="Arial" w:hAnsi="Arial" w:cs="Arial"/>
          <w:color w:val="333333"/>
          <w:sz w:val="24"/>
          <w:szCs w:val="24"/>
          <w:shd w:val="clear" w:color="auto" w:fill="FFFFFF"/>
        </w:rPr>
        <w:t>.</w:t>
      </w:r>
    </w:p>
    <w:p w14:paraId="1F687B83"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Pringle, M., 1986. The needs of children. 3rd ed. Michigan: Hutchinson 1986.</w:t>
      </w:r>
    </w:p>
    <w:p w14:paraId="065721D1" w14:textId="77777777" w:rsidR="003E6294" w:rsidRPr="003E6294" w:rsidRDefault="003E6294" w:rsidP="003E6294">
      <w:pPr>
        <w:spacing w:after="264" w:line="480" w:lineRule="auto"/>
        <w:rPr>
          <w:rFonts w:ascii="Arial" w:hAnsi="Arial" w:cs="Arial"/>
          <w:sz w:val="24"/>
          <w:szCs w:val="24"/>
          <w:lang w:val="en-US"/>
        </w:rPr>
      </w:pPr>
      <w:r w:rsidRPr="003E6294">
        <w:rPr>
          <w:rFonts w:ascii="Arial" w:hAnsi="Arial" w:cs="Arial"/>
          <w:sz w:val="24"/>
          <w:szCs w:val="24"/>
          <w:lang w:val="en-US"/>
        </w:rPr>
        <w:lastRenderedPageBreak/>
        <w:t>References</w:t>
      </w:r>
    </w:p>
    <w:p w14:paraId="57B8FE81" w14:textId="77777777" w:rsidR="003E6294" w:rsidRPr="003E6294" w:rsidRDefault="003E6294" w:rsidP="003E6294">
      <w:pPr>
        <w:spacing w:after="336" w:line="480" w:lineRule="auto"/>
        <w:rPr>
          <w:rFonts w:ascii="Arial" w:hAnsi="Arial" w:cs="Arial"/>
          <w:sz w:val="24"/>
          <w:szCs w:val="24"/>
          <w:lang w:val="en-US"/>
        </w:rPr>
      </w:pPr>
      <w:proofErr w:type="spellStart"/>
      <w:r w:rsidRPr="003E6294">
        <w:rPr>
          <w:rFonts w:ascii="Arial" w:hAnsi="Arial" w:cs="Arial"/>
          <w:sz w:val="24"/>
          <w:szCs w:val="24"/>
          <w:lang w:val="en-US"/>
        </w:rPr>
        <w:t>Riopel</w:t>
      </w:r>
      <w:proofErr w:type="spellEnd"/>
      <w:r w:rsidRPr="003E6294">
        <w:rPr>
          <w:rFonts w:ascii="Arial" w:hAnsi="Arial" w:cs="Arial"/>
          <w:sz w:val="24"/>
          <w:szCs w:val="24"/>
          <w:lang w:val="en-US"/>
        </w:rPr>
        <w:t>, L., 2022. Resilience Skills, Factors and Strategies of the Resilient Person. [online] PositivePsychology.com. Available at: &lt;https://positivepsychology.com/resilience-skills/&gt; [Accessed 8 April 2022].</w:t>
      </w:r>
    </w:p>
    <w:p w14:paraId="6F0881D0" w14:textId="77777777" w:rsidR="003E6294" w:rsidRPr="003E6294" w:rsidRDefault="003E6294" w:rsidP="003E6294">
      <w:pPr>
        <w:spacing w:line="480" w:lineRule="auto"/>
        <w:rPr>
          <w:rFonts w:ascii="Arial" w:hAnsi="Arial" w:cs="Arial"/>
          <w:color w:val="333333"/>
          <w:sz w:val="24"/>
          <w:szCs w:val="24"/>
          <w:shd w:val="clear" w:color="auto" w:fill="FFFFFF"/>
        </w:rPr>
      </w:pPr>
      <w:r w:rsidRPr="003E6294">
        <w:rPr>
          <w:rFonts w:ascii="Arial" w:hAnsi="Arial" w:cs="Arial"/>
          <w:color w:val="333333"/>
          <w:sz w:val="24"/>
          <w:szCs w:val="24"/>
          <w:shd w:val="clear" w:color="auto" w:fill="FFFFFF"/>
        </w:rPr>
        <w:t>Ruggeri, K., Garcia-Garzon, E., Maguire, Á. et al. Well-being is more than happiness and life satisfaction: a multidimensional analysis of 21 countries. Health Qual Life Outcomes </w:t>
      </w:r>
      <w:r w:rsidRPr="003E6294">
        <w:rPr>
          <w:rFonts w:ascii="Arial" w:hAnsi="Arial" w:cs="Arial"/>
          <w:b/>
          <w:bCs/>
          <w:color w:val="333333"/>
          <w:sz w:val="24"/>
          <w:szCs w:val="24"/>
          <w:shd w:val="clear" w:color="auto" w:fill="FFFFFF"/>
        </w:rPr>
        <w:t>18, </w:t>
      </w:r>
      <w:r w:rsidRPr="003E6294">
        <w:rPr>
          <w:rFonts w:ascii="Arial" w:hAnsi="Arial" w:cs="Arial"/>
          <w:color w:val="333333"/>
          <w:sz w:val="24"/>
          <w:szCs w:val="24"/>
          <w:shd w:val="clear" w:color="auto" w:fill="FFFFFF"/>
        </w:rPr>
        <w:t xml:space="preserve">192 (2020). </w:t>
      </w:r>
      <w:hyperlink r:id="rId8" w:history="1">
        <w:r w:rsidRPr="003E6294">
          <w:rPr>
            <w:rFonts w:ascii="Arial" w:hAnsi="Arial" w:cs="Arial"/>
            <w:color w:val="0563C1" w:themeColor="hyperlink"/>
            <w:sz w:val="24"/>
            <w:szCs w:val="24"/>
            <w:u w:val="single"/>
            <w:shd w:val="clear" w:color="auto" w:fill="FFFFFF"/>
          </w:rPr>
          <w:t>https://doi.org/10.1186/s12955-020-01423-y</w:t>
        </w:r>
      </w:hyperlink>
    </w:p>
    <w:p w14:paraId="3468F86E" w14:textId="77777777" w:rsidR="003E6294" w:rsidRPr="003E6294" w:rsidRDefault="003E6294" w:rsidP="003E6294">
      <w:pPr>
        <w:spacing w:line="480" w:lineRule="auto"/>
        <w:rPr>
          <w:rFonts w:ascii="Arial" w:hAnsi="Arial" w:cs="Arial"/>
          <w:color w:val="212121"/>
          <w:sz w:val="24"/>
          <w:szCs w:val="24"/>
          <w:shd w:val="clear" w:color="auto" w:fill="FFFFFF"/>
        </w:rPr>
      </w:pPr>
      <w:r w:rsidRPr="003E6294">
        <w:rPr>
          <w:rFonts w:ascii="Arial" w:hAnsi="Arial" w:cs="Arial"/>
          <w:color w:val="212121"/>
          <w:sz w:val="24"/>
          <w:szCs w:val="24"/>
          <w:shd w:val="clear" w:color="auto" w:fill="FFFFFF"/>
        </w:rPr>
        <w:t xml:space="preserve">Sakai J. Core Concept: How synaptic pruning shapes neural wiring during development and, possibly, in disease. Proc Natl </w:t>
      </w:r>
      <w:proofErr w:type="spellStart"/>
      <w:r w:rsidRPr="003E6294">
        <w:rPr>
          <w:rFonts w:ascii="Arial" w:hAnsi="Arial" w:cs="Arial"/>
          <w:color w:val="212121"/>
          <w:sz w:val="24"/>
          <w:szCs w:val="24"/>
          <w:shd w:val="clear" w:color="auto" w:fill="FFFFFF"/>
        </w:rPr>
        <w:t>Acad</w:t>
      </w:r>
      <w:proofErr w:type="spellEnd"/>
      <w:r w:rsidRPr="003E6294">
        <w:rPr>
          <w:rFonts w:ascii="Arial" w:hAnsi="Arial" w:cs="Arial"/>
          <w:color w:val="212121"/>
          <w:sz w:val="24"/>
          <w:szCs w:val="24"/>
          <w:shd w:val="clear" w:color="auto" w:fill="FFFFFF"/>
        </w:rPr>
        <w:t xml:space="preserve"> Sci U S A. 2020 Jul 14;117(28):16096-16099. </w:t>
      </w:r>
      <w:proofErr w:type="spellStart"/>
      <w:r w:rsidRPr="003E6294">
        <w:rPr>
          <w:rFonts w:ascii="Arial" w:hAnsi="Arial" w:cs="Arial"/>
          <w:color w:val="212121"/>
          <w:sz w:val="24"/>
          <w:szCs w:val="24"/>
          <w:shd w:val="clear" w:color="auto" w:fill="FFFFFF"/>
        </w:rPr>
        <w:t>doi</w:t>
      </w:r>
      <w:proofErr w:type="spellEnd"/>
      <w:r w:rsidRPr="003E6294">
        <w:rPr>
          <w:rFonts w:ascii="Arial" w:hAnsi="Arial" w:cs="Arial"/>
          <w:color w:val="212121"/>
          <w:sz w:val="24"/>
          <w:szCs w:val="24"/>
          <w:shd w:val="clear" w:color="auto" w:fill="FFFFFF"/>
        </w:rPr>
        <w:t xml:space="preserve">: 10.1073/pnas.2010281117. </w:t>
      </w:r>
      <w:proofErr w:type="spellStart"/>
      <w:r w:rsidRPr="003E6294">
        <w:rPr>
          <w:rFonts w:ascii="Arial" w:hAnsi="Arial" w:cs="Arial"/>
          <w:color w:val="212121"/>
          <w:sz w:val="24"/>
          <w:szCs w:val="24"/>
          <w:shd w:val="clear" w:color="auto" w:fill="FFFFFF"/>
        </w:rPr>
        <w:t>Epub</w:t>
      </w:r>
      <w:proofErr w:type="spellEnd"/>
      <w:r w:rsidRPr="003E6294">
        <w:rPr>
          <w:rFonts w:ascii="Arial" w:hAnsi="Arial" w:cs="Arial"/>
          <w:color w:val="212121"/>
          <w:sz w:val="24"/>
          <w:szCs w:val="24"/>
          <w:shd w:val="clear" w:color="auto" w:fill="FFFFFF"/>
        </w:rPr>
        <w:t xml:space="preserve"> 2020 Jun 24. PMID: 32581125; PMCID: PMC7368197.</w:t>
      </w:r>
    </w:p>
    <w:p w14:paraId="3A0F7525" w14:textId="77777777" w:rsidR="003E6294" w:rsidRPr="003E6294" w:rsidRDefault="003E6294" w:rsidP="003E6294">
      <w:pPr>
        <w:spacing w:after="336" w:line="480" w:lineRule="auto"/>
        <w:rPr>
          <w:rFonts w:ascii="Arial" w:hAnsi="Arial" w:cs="Arial"/>
          <w:sz w:val="24"/>
          <w:szCs w:val="24"/>
          <w:lang w:val="en-US"/>
        </w:rPr>
      </w:pPr>
      <w:proofErr w:type="spellStart"/>
      <w:r w:rsidRPr="003E6294">
        <w:rPr>
          <w:rFonts w:ascii="Arial" w:hAnsi="Arial" w:cs="Arial"/>
          <w:sz w:val="24"/>
          <w:szCs w:val="24"/>
          <w:lang w:val="en-US"/>
        </w:rPr>
        <w:t>Sapin</w:t>
      </w:r>
      <w:proofErr w:type="spellEnd"/>
      <w:r w:rsidRPr="003E6294">
        <w:rPr>
          <w:rFonts w:ascii="Arial" w:hAnsi="Arial" w:cs="Arial"/>
          <w:sz w:val="24"/>
          <w:szCs w:val="24"/>
          <w:lang w:val="en-US"/>
        </w:rPr>
        <w:t>, K., 2013. Essential skills for youth work practice. 2nd ed. Los Angeles, Calif.: SAGE, pp.60,</w:t>
      </w:r>
      <w:proofErr w:type="gramStart"/>
      <w:r w:rsidRPr="003E6294">
        <w:rPr>
          <w:rFonts w:ascii="Arial" w:hAnsi="Arial" w:cs="Arial"/>
          <w:sz w:val="24"/>
          <w:szCs w:val="24"/>
          <w:lang w:val="en-US"/>
        </w:rPr>
        <w:t>61,64,.</w:t>
      </w:r>
      <w:proofErr w:type="gramEnd"/>
    </w:p>
    <w:p w14:paraId="7E0DD678" w14:textId="77777777" w:rsidR="003E6294" w:rsidRPr="003E6294" w:rsidRDefault="003E6294" w:rsidP="003E6294">
      <w:pPr>
        <w:spacing w:line="480" w:lineRule="auto"/>
        <w:rPr>
          <w:rFonts w:ascii="Arial" w:hAnsi="Arial" w:cs="Arial"/>
          <w:color w:val="303030"/>
          <w:sz w:val="24"/>
          <w:szCs w:val="24"/>
          <w:shd w:val="clear" w:color="auto" w:fill="FFFFFF"/>
        </w:rPr>
      </w:pPr>
      <w:r w:rsidRPr="003E6294">
        <w:rPr>
          <w:rFonts w:ascii="Arial" w:hAnsi="Arial" w:cs="Arial"/>
          <w:color w:val="303030"/>
          <w:sz w:val="24"/>
          <w:szCs w:val="24"/>
          <w:shd w:val="clear" w:color="auto" w:fill="FFFFFF"/>
        </w:rPr>
        <w:t xml:space="preserve">Steinberg L. (2008). A Social Neuroscience Perspective on Adolescent Risk-Taking. Developmental </w:t>
      </w:r>
      <w:proofErr w:type="gramStart"/>
      <w:r w:rsidRPr="003E6294">
        <w:rPr>
          <w:rFonts w:ascii="Arial" w:hAnsi="Arial" w:cs="Arial"/>
          <w:color w:val="303030"/>
          <w:sz w:val="24"/>
          <w:szCs w:val="24"/>
          <w:shd w:val="clear" w:color="auto" w:fill="FFFFFF"/>
        </w:rPr>
        <w:t>review :</w:t>
      </w:r>
      <w:proofErr w:type="gramEnd"/>
      <w:r w:rsidRPr="003E6294">
        <w:rPr>
          <w:rFonts w:ascii="Arial" w:hAnsi="Arial" w:cs="Arial"/>
          <w:color w:val="303030"/>
          <w:sz w:val="24"/>
          <w:szCs w:val="24"/>
          <w:shd w:val="clear" w:color="auto" w:fill="FFFFFF"/>
        </w:rPr>
        <w:t xml:space="preserve"> DR, 28(1), 78–106. </w:t>
      </w:r>
      <w:hyperlink r:id="rId9" w:history="1">
        <w:r w:rsidRPr="003E6294">
          <w:rPr>
            <w:rFonts w:ascii="Arial" w:hAnsi="Arial" w:cs="Arial"/>
            <w:color w:val="0563C1" w:themeColor="hyperlink"/>
            <w:sz w:val="24"/>
            <w:szCs w:val="24"/>
            <w:u w:val="single"/>
            <w:shd w:val="clear" w:color="auto" w:fill="FFFFFF"/>
          </w:rPr>
          <w:t>https://doi.org/10.1016/j.dr.2007.08.002</w:t>
        </w:r>
      </w:hyperlink>
    </w:p>
    <w:p w14:paraId="73E9A51D" w14:textId="77777777" w:rsidR="003E6294" w:rsidRPr="003E6294" w:rsidRDefault="003E6294" w:rsidP="003E6294">
      <w:pPr>
        <w:spacing w:after="336" w:line="480" w:lineRule="auto"/>
        <w:rPr>
          <w:rFonts w:ascii="Arial" w:hAnsi="Arial" w:cs="Arial"/>
          <w:sz w:val="24"/>
          <w:szCs w:val="24"/>
          <w:lang w:val="en-US"/>
        </w:rPr>
      </w:pPr>
      <w:proofErr w:type="spellStart"/>
      <w:r w:rsidRPr="003E6294">
        <w:rPr>
          <w:rFonts w:ascii="Arial" w:hAnsi="Arial" w:cs="Arial"/>
          <w:sz w:val="24"/>
          <w:szCs w:val="24"/>
          <w:lang w:val="en-US"/>
        </w:rPr>
        <w:t>ThemPra</w:t>
      </w:r>
      <w:proofErr w:type="spellEnd"/>
      <w:r w:rsidRPr="003E6294">
        <w:rPr>
          <w:rFonts w:ascii="Arial" w:hAnsi="Arial" w:cs="Arial"/>
          <w:sz w:val="24"/>
          <w:szCs w:val="24"/>
          <w:lang w:val="en-US"/>
        </w:rPr>
        <w:t xml:space="preserve"> Social Pedagogy. 2015. </w:t>
      </w:r>
      <w:proofErr w:type="spellStart"/>
      <w:r w:rsidRPr="003E6294">
        <w:rPr>
          <w:rFonts w:ascii="Arial" w:hAnsi="Arial" w:cs="Arial"/>
          <w:sz w:val="24"/>
          <w:szCs w:val="24"/>
          <w:lang w:val="en-US"/>
        </w:rPr>
        <w:t>ThemPra's</w:t>
      </w:r>
      <w:proofErr w:type="spellEnd"/>
      <w:r w:rsidRPr="003E6294">
        <w:rPr>
          <w:rFonts w:ascii="Arial" w:hAnsi="Arial" w:cs="Arial"/>
          <w:sz w:val="24"/>
          <w:szCs w:val="24"/>
          <w:lang w:val="en-US"/>
        </w:rPr>
        <w:t xml:space="preserve"> Diamond Model - </w:t>
      </w:r>
      <w:proofErr w:type="spellStart"/>
      <w:r w:rsidRPr="003E6294">
        <w:rPr>
          <w:rFonts w:ascii="Arial" w:hAnsi="Arial" w:cs="Arial"/>
          <w:sz w:val="24"/>
          <w:szCs w:val="24"/>
          <w:lang w:val="en-US"/>
        </w:rPr>
        <w:t>ThemPra</w:t>
      </w:r>
      <w:proofErr w:type="spellEnd"/>
      <w:r w:rsidRPr="003E6294">
        <w:rPr>
          <w:rFonts w:ascii="Arial" w:hAnsi="Arial" w:cs="Arial"/>
          <w:sz w:val="24"/>
          <w:szCs w:val="24"/>
          <w:lang w:val="en-US"/>
        </w:rPr>
        <w:t xml:space="preserve"> Social Pedagogy. [online] Available at: &lt;http://www.thempra.org.uk/social-pedagogy/key-concepts-in-social-pedagogy/thempras-diamond-model/&gt; [Accessed 11 April 2022].</w:t>
      </w:r>
    </w:p>
    <w:p w14:paraId="65703C8C"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Tones, K. and Green, J., 2004. Health Promotion: planning and strategies. 1st ed. London: Sage publications, pp.8, 9,13.</w:t>
      </w:r>
    </w:p>
    <w:p w14:paraId="1DCFC02C" w14:textId="77777777" w:rsidR="003E6294" w:rsidRPr="003E6294" w:rsidRDefault="003E6294" w:rsidP="003E6294">
      <w:pPr>
        <w:spacing w:after="336" w:line="480" w:lineRule="auto"/>
        <w:rPr>
          <w:rFonts w:ascii="Arial" w:hAnsi="Arial" w:cs="Arial"/>
          <w:sz w:val="24"/>
          <w:szCs w:val="24"/>
          <w:lang w:val="en-US"/>
        </w:rPr>
      </w:pPr>
      <w:proofErr w:type="spellStart"/>
      <w:r w:rsidRPr="003E6294">
        <w:rPr>
          <w:rFonts w:ascii="Arial" w:hAnsi="Arial" w:cs="Arial"/>
          <w:sz w:val="24"/>
          <w:szCs w:val="24"/>
          <w:lang w:val="en-US"/>
        </w:rPr>
        <w:lastRenderedPageBreak/>
        <w:t>Trajkoska</w:t>
      </w:r>
      <w:proofErr w:type="spellEnd"/>
      <w:r w:rsidRPr="003E6294">
        <w:rPr>
          <w:rFonts w:ascii="Arial" w:hAnsi="Arial" w:cs="Arial"/>
          <w:sz w:val="24"/>
          <w:szCs w:val="24"/>
          <w:lang w:val="en-US"/>
        </w:rPr>
        <w:t>, B., 2020. How youth workers support the development of youth’s resilience? - Positive Mental Health. [online] Positive Mental Health. Available at: &lt;https://positivementalhealth.eu/2020/12/15/how-youth-workers-support-the-development-of-youths-resilience/&gt; [Accessed 12 April 2022].</w:t>
      </w:r>
    </w:p>
    <w:p w14:paraId="460C0E62" w14:textId="77777777" w:rsidR="003E6294" w:rsidRPr="003E6294" w:rsidRDefault="003E6294" w:rsidP="003E6294">
      <w:pPr>
        <w:shd w:val="clear" w:color="auto" w:fill="FFFFFF"/>
        <w:spacing w:after="0" w:line="480" w:lineRule="auto"/>
        <w:rPr>
          <w:rFonts w:ascii="Arial" w:hAnsi="Arial" w:cs="Arial"/>
          <w:color w:val="333333"/>
          <w:sz w:val="24"/>
          <w:szCs w:val="24"/>
          <w:shd w:val="clear" w:color="auto" w:fill="FFFFFF"/>
        </w:rPr>
      </w:pPr>
      <w:r w:rsidRPr="003E6294">
        <w:rPr>
          <w:rFonts w:ascii="Arial" w:hAnsi="Arial" w:cs="Arial"/>
          <w:color w:val="333333"/>
          <w:sz w:val="24"/>
          <w:szCs w:val="24"/>
          <w:shd w:val="clear" w:color="auto" w:fill="FFFFFF"/>
        </w:rPr>
        <w:t xml:space="preserve">Ungar, </w:t>
      </w:r>
      <w:proofErr w:type="gramStart"/>
      <w:r w:rsidRPr="003E6294">
        <w:rPr>
          <w:rFonts w:ascii="Arial" w:hAnsi="Arial" w:cs="Arial"/>
          <w:color w:val="333333"/>
          <w:sz w:val="24"/>
          <w:szCs w:val="24"/>
          <w:shd w:val="clear" w:color="auto" w:fill="FFFFFF"/>
        </w:rPr>
        <w:t>Michael  (</w:t>
      </w:r>
      <w:proofErr w:type="gramEnd"/>
      <w:r w:rsidRPr="003E6294">
        <w:rPr>
          <w:rFonts w:ascii="Arial" w:hAnsi="Arial" w:cs="Arial"/>
          <w:color w:val="333333"/>
          <w:sz w:val="24"/>
          <w:szCs w:val="24"/>
          <w:shd w:val="clear" w:color="auto" w:fill="FFFFFF"/>
        </w:rPr>
        <w:t xml:space="preserve">2013) ‘Resilience, Trauma, Context, and Culture’, Trauma, Violence, &amp; Abuse, 14(3), pp. 255–266. </w:t>
      </w:r>
      <w:proofErr w:type="spellStart"/>
      <w:r w:rsidRPr="003E6294">
        <w:rPr>
          <w:rFonts w:ascii="Arial" w:hAnsi="Arial" w:cs="Arial"/>
          <w:color w:val="333333"/>
          <w:sz w:val="24"/>
          <w:szCs w:val="24"/>
          <w:shd w:val="clear" w:color="auto" w:fill="FFFFFF"/>
        </w:rPr>
        <w:t>doi</w:t>
      </w:r>
      <w:proofErr w:type="spellEnd"/>
      <w:r w:rsidRPr="003E6294">
        <w:rPr>
          <w:rFonts w:ascii="Arial" w:hAnsi="Arial" w:cs="Arial"/>
          <w:color w:val="333333"/>
          <w:sz w:val="24"/>
          <w:szCs w:val="24"/>
          <w:shd w:val="clear" w:color="auto" w:fill="FFFFFF"/>
        </w:rPr>
        <w:t>: </w:t>
      </w:r>
      <w:hyperlink r:id="rId10" w:history="1">
        <w:r w:rsidRPr="003E6294">
          <w:rPr>
            <w:rFonts w:ascii="Arial" w:hAnsi="Arial" w:cs="Arial"/>
            <w:color w:val="006ACC"/>
            <w:sz w:val="24"/>
            <w:szCs w:val="24"/>
            <w:u w:val="single"/>
            <w:shd w:val="clear" w:color="auto" w:fill="FFFFFF"/>
          </w:rPr>
          <w:t>10.1177/1524838013487805</w:t>
        </w:r>
      </w:hyperlink>
      <w:r w:rsidRPr="003E6294">
        <w:rPr>
          <w:rFonts w:ascii="Arial" w:hAnsi="Arial" w:cs="Arial"/>
          <w:color w:val="333333"/>
          <w:sz w:val="24"/>
          <w:szCs w:val="24"/>
          <w:shd w:val="clear" w:color="auto" w:fill="FFFFFF"/>
        </w:rPr>
        <w:t>.</w:t>
      </w:r>
    </w:p>
    <w:p w14:paraId="57909A7F" w14:textId="77777777" w:rsidR="003E6294" w:rsidRPr="003E6294" w:rsidRDefault="003E6294" w:rsidP="003E6294">
      <w:pPr>
        <w:shd w:val="clear" w:color="auto" w:fill="FFFFFF"/>
        <w:spacing w:after="0" w:line="480" w:lineRule="auto"/>
        <w:rPr>
          <w:rFonts w:ascii="Arial" w:eastAsia="Times New Roman" w:hAnsi="Arial" w:cs="Arial"/>
          <w:color w:val="212121"/>
          <w:sz w:val="24"/>
          <w:szCs w:val="24"/>
          <w:lang w:eastAsia="en-GB"/>
        </w:rPr>
      </w:pPr>
      <w:r w:rsidRPr="003E6294">
        <w:rPr>
          <w:rFonts w:ascii="Arial" w:eastAsia="Times New Roman" w:hAnsi="Arial" w:cs="Arial"/>
          <w:color w:val="212121"/>
          <w:sz w:val="24"/>
          <w:szCs w:val="24"/>
          <w:lang w:eastAsia="en-GB"/>
        </w:rPr>
        <w:t xml:space="preserve">Ungar, Michael. (2006). Nurturing Hidden Resilience in At-Risk Youth in Different Cultures. Journal of the Canadian Academy of Child and Adolescent Psychiatry = Journal de </w:t>
      </w:r>
      <w:proofErr w:type="spellStart"/>
      <w:r w:rsidRPr="003E6294">
        <w:rPr>
          <w:rFonts w:ascii="Arial" w:eastAsia="Times New Roman" w:hAnsi="Arial" w:cs="Arial"/>
          <w:color w:val="212121"/>
          <w:sz w:val="24"/>
          <w:szCs w:val="24"/>
          <w:lang w:eastAsia="en-GB"/>
        </w:rPr>
        <w:t>l'Académie</w:t>
      </w:r>
      <w:proofErr w:type="spellEnd"/>
      <w:r w:rsidRPr="003E6294">
        <w:rPr>
          <w:rFonts w:ascii="Arial" w:eastAsia="Times New Roman" w:hAnsi="Arial" w:cs="Arial"/>
          <w:color w:val="212121"/>
          <w:sz w:val="24"/>
          <w:szCs w:val="24"/>
          <w:lang w:eastAsia="en-GB"/>
        </w:rPr>
        <w:t xml:space="preserve"> </w:t>
      </w:r>
      <w:proofErr w:type="spellStart"/>
      <w:r w:rsidRPr="003E6294">
        <w:rPr>
          <w:rFonts w:ascii="Arial" w:eastAsia="Times New Roman" w:hAnsi="Arial" w:cs="Arial"/>
          <w:color w:val="212121"/>
          <w:sz w:val="24"/>
          <w:szCs w:val="24"/>
          <w:lang w:eastAsia="en-GB"/>
        </w:rPr>
        <w:t>canadienne</w:t>
      </w:r>
      <w:proofErr w:type="spellEnd"/>
      <w:r w:rsidRPr="003E6294">
        <w:rPr>
          <w:rFonts w:ascii="Arial" w:eastAsia="Times New Roman" w:hAnsi="Arial" w:cs="Arial"/>
          <w:color w:val="212121"/>
          <w:sz w:val="24"/>
          <w:szCs w:val="24"/>
          <w:lang w:eastAsia="en-GB"/>
        </w:rPr>
        <w:t xml:space="preserve"> de </w:t>
      </w:r>
      <w:proofErr w:type="spellStart"/>
      <w:r w:rsidRPr="003E6294">
        <w:rPr>
          <w:rFonts w:ascii="Arial" w:eastAsia="Times New Roman" w:hAnsi="Arial" w:cs="Arial"/>
          <w:color w:val="212121"/>
          <w:sz w:val="24"/>
          <w:szCs w:val="24"/>
          <w:lang w:eastAsia="en-GB"/>
        </w:rPr>
        <w:t>psychiatrie</w:t>
      </w:r>
      <w:proofErr w:type="spellEnd"/>
      <w:r w:rsidRPr="003E6294">
        <w:rPr>
          <w:rFonts w:ascii="Arial" w:eastAsia="Times New Roman" w:hAnsi="Arial" w:cs="Arial"/>
          <w:color w:val="212121"/>
          <w:sz w:val="24"/>
          <w:szCs w:val="24"/>
          <w:lang w:eastAsia="en-GB"/>
        </w:rPr>
        <w:t xml:space="preserve"> de </w:t>
      </w:r>
      <w:proofErr w:type="spellStart"/>
      <w:r w:rsidRPr="003E6294">
        <w:rPr>
          <w:rFonts w:ascii="Arial" w:eastAsia="Times New Roman" w:hAnsi="Arial" w:cs="Arial"/>
          <w:color w:val="212121"/>
          <w:sz w:val="24"/>
          <w:szCs w:val="24"/>
          <w:lang w:eastAsia="en-GB"/>
        </w:rPr>
        <w:t>l'enfant</w:t>
      </w:r>
      <w:proofErr w:type="spellEnd"/>
      <w:r w:rsidRPr="003E6294">
        <w:rPr>
          <w:rFonts w:ascii="Arial" w:eastAsia="Times New Roman" w:hAnsi="Arial" w:cs="Arial"/>
          <w:color w:val="212121"/>
          <w:sz w:val="24"/>
          <w:szCs w:val="24"/>
          <w:lang w:eastAsia="en-GB"/>
        </w:rPr>
        <w:t xml:space="preserve"> et de </w:t>
      </w:r>
      <w:proofErr w:type="spellStart"/>
      <w:r w:rsidRPr="003E6294">
        <w:rPr>
          <w:rFonts w:ascii="Arial" w:eastAsia="Times New Roman" w:hAnsi="Arial" w:cs="Arial"/>
          <w:color w:val="212121"/>
          <w:sz w:val="24"/>
          <w:szCs w:val="24"/>
          <w:lang w:eastAsia="en-GB"/>
        </w:rPr>
        <w:t>l'adolescent</w:t>
      </w:r>
      <w:proofErr w:type="spellEnd"/>
      <w:r w:rsidRPr="003E6294">
        <w:rPr>
          <w:rFonts w:ascii="Arial" w:eastAsia="Times New Roman" w:hAnsi="Arial" w:cs="Arial"/>
          <w:color w:val="212121"/>
          <w:sz w:val="24"/>
          <w:szCs w:val="24"/>
          <w:lang w:eastAsia="en-GB"/>
        </w:rPr>
        <w:t>. 15. 53-8.</w:t>
      </w:r>
    </w:p>
    <w:p w14:paraId="6183CC42" w14:textId="77777777" w:rsidR="003E6294" w:rsidRPr="003E6294" w:rsidRDefault="003E6294" w:rsidP="003E6294">
      <w:pPr>
        <w:spacing w:after="336" w:line="480" w:lineRule="auto"/>
        <w:rPr>
          <w:rFonts w:ascii="Arial" w:hAnsi="Arial" w:cs="Arial"/>
          <w:sz w:val="24"/>
          <w:szCs w:val="24"/>
          <w:lang w:val="en-US"/>
        </w:rPr>
      </w:pPr>
      <w:proofErr w:type="spellStart"/>
      <w:r w:rsidRPr="003E6294">
        <w:rPr>
          <w:rFonts w:ascii="Arial" w:hAnsi="Arial" w:cs="Arial"/>
          <w:sz w:val="24"/>
          <w:szCs w:val="24"/>
          <w:lang w:val="en-US"/>
        </w:rPr>
        <w:t>Unicef</w:t>
      </w:r>
      <w:proofErr w:type="spellEnd"/>
      <w:r w:rsidRPr="003E6294">
        <w:rPr>
          <w:rFonts w:ascii="Arial" w:hAnsi="Arial" w:cs="Arial"/>
          <w:sz w:val="24"/>
          <w:szCs w:val="24"/>
          <w:lang w:val="en-US"/>
        </w:rPr>
        <w:t xml:space="preserve"> UK. 1989. UN Convention on the Rights of the Child - UNICEF UK. [online] Available at: &lt;https://www.unicef.org.uk/what-we-do/un-convention-child-rights/&gt; [Accessed 8 April 2022].</w:t>
      </w:r>
    </w:p>
    <w:p w14:paraId="183FDCD1" w14:textId="77777777" w:rsidR="003E6294" w:rsidRPr="003E6294" w:rsidRDefault="003E6294" w:rsidP="003E6294">
      <w:pPr>
        <w:spacing w:after="336" w:line="480" w:lineRule="auto"/>
        <w:rPr>
          <w:rFonts w:ascii="Arial" w:hAnsi="Arial" w:cs="Arial"/>
          <w:sz w:val="24"/>
          <w:szCs w:val="24"/>
          <w:lang w:val="en-US"/>
        </w:rPr>
      </w:pPr>
      <w:proofErr w:type="spellStart"/>
      <w:r w:rsidRPr="003E6294">
        <w:rPr>
          <w:rFonts w:ascii="Arial" w:hAnsi="Arial" w:cs="Arial"/>
          <w:sz w:val="24"/>
          <w:szCs w:val="24"/>
          <w:lang w:val="en-US"/>
        </w:rPr>
        <w:t>Valamis</w:t>
      </w:r>
      <w:proofErr w:type="spellEnd"/>
      <w:r w:rsidRPr="003E6294">
        <w:rPr>
          <w:rFonts w:ascii="Arial" w:hAnsi="Arial" w:cs="Arial"/>
          <w:sz w:val="24"/>
          <w:szCs w:val="24"/>
          <w:lang w:val="en-US"/>
        </w:rPr>
        <w:t>. 2022. What is Lifelong Learning? Its Importance, Benefits &amp; Examples. [online] Available at: &lt;https://www.valamis.com/hub/lifelong-learning&gt; [Accessed 12 April 2022].</w:t>
      </w:r>
    </w:p>
    <w:p w14:paraId="6506F36C"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 xml:space="preserve">Western, M. and Tomaszewski, W., 2016. Subjective Wellbeing, Objective </w:t>
      </w:r>
      <w:proofErr w:type="gramStart"/>
      <w:r w:rsidRPr="003E6294">
        <w:rPr>
          <w:rFonts w:ascii="Arial" w:hAnsi="Arial" w:cs="Arial"/>
          <w:sz w:val="24"/>
          <w:szCs w:val="24"/>
          <w:lang w:val="en-US"/>
        </w:rPr>
        <w:t>Wellbeing</w:t>
      </w:r>
      <w:proofErr w:type="gramEnd"/>
      <w:r w:rsidRPr="003E6294">
        <w:rPr>
          <w:rFonts w:ascii="Arial" w:hAnsi="Arial" w:cs="Arial"/>
          <w:sz w:val="24"/>
          <w:szCs w:val="24"/>
          <w:lang w:val="en-US"/>
        </w:rPr>
        <w:t xml:space="preserve"> and Inequality in Australia. PLOS ONE, [online] 11(10), p.e0163345. Available at: &lt;https://journals.plos.org/plosone/article?id=10.1371/journal.pone.0163345&gt; [Accessed 12 April 2022].</w:t>
      </w:r>
    </w:p>
    <w:p w14:paraId="56B56A99"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t>Who.int. 2022. Health and Well-Being. [online] Available at: &lt;https://www.who.int/data/gho/data/major-themes/health-and-well-being&gt; [Accessed 7 April 2022].</w:t>
      </w:r>
    </w:p>
    <w:p w14:paraId="08C74CCC" w14:textId="77777777" w:rsidR="003E6294" w:rsidRPr="003E6294" w:rsidRDefault="003E6294" w:rsidP="003E6294">
      <w:pPr>
        <w:spacing w:after="336" w:line="480" w:lineRule="auto"/>
        <w:rPr>
          <w:rFonts w:ascii="Arial" w:hAnsi="Arial" w:cs="Arial"/>
          <w:sz w:val="24"/>
          <w:szCs w:val="24"/>
          <w:lang w:val="en-US"/>
        </w:rPr>
      </w:pPr>
      <w:r w:rsidRPr="003E6294">
        <w:rPr>
          <w:rFonts w:ascii="Arial" w:hAnsi="Arial" w:cs="Arial"/>
          <w:sz w:val="24"/>
          <w:szCs w:val="24"/>
          <w:lang w:val="en-US"/>
        </w:rPr>
        <w:lastRenderedPageBreak/>
        <w:t>Youthaccess.org.uk. 2021. Social Prescribing. [online] Available at: &lt;https://www.youthaccess.org.uk/downloads/social-prescribing-briefing-final-updated.pdf&gt; [Accessed 8 April 2022].</w:t>
      </w:r>
    </w:p>
    <w:p w14:paraId="7F1FC85D" w14:textId="77777777" w:rsidR="00E239D7" w:rsidRPr="00E239D7" w:rsidRDefault="00E239D7" w:rsidP="00E239D7">
      <w:pPr>
        <w:spacing w:line="480" w:lineRule="auto"/>
        <w:rPr>
          <w:rFonts w:ascii="Arial" w:hAnsi="Arial" w:cs="Arial"/>
          <w:sz w:val="24"/>
          <w:szCs w:val="24"/>
        </w:rPr>
      </w:pPr>
    </w:p>
    <w:p w14:paraId="06889C0F" w14:textId="77777777" w:rsidR="00641D54" w:rsidRDefault="00641D54" w:rsidP="00D85FE6">
      <w:pPr>
        <w:spacing w:line="360" w:lineRule="auto"/>
        <w:rPr>
          <w:rFonts w:ascii="Arial" w:hAnsi="Arial" w:cs="Arial"/>
          <w:sz w:val="24"/>
          <w:szCs w:val="24"/>
        </w:rPr>
      </w:pPr>
    </w:p>
    <w:p w14:paraId="38405937" w14:textId="77777777" w:rsidR="004A3F83" w:rsidRPr="004A3F83" w:rsidRDefault="004A3F83" w:rsidP="00D85FE6">
      <w:pPr>
        <w:spacing w:line="360" w:lineRule="auto"/>
        <w:rPr>
          <w:rFonts w:ascii="Arial" w:hAnsi="Arial" w:cs="Arial"/>
          <w:sz w:val="24"/>
          <w:szCs w:val="24"/>
        </w:rPr>
      </w:pPr>
    </w:p>
    <w:p w14:paraId="72294C24" w14:textId="77777777" w:rsidR="00D036BF" w:rsidRDefault="00D036BF" w:rsidP="00D85FE6">
      <w:pPr>
        <w:spacing w:line="360" w:lineRule="auto"/>
        <w:rPr>
          <w:rFonts w:ascii="Arial" w:hAnsi="Arial" w:cs="Arial"/>
          <w:sz w:val="24"/>
          <w:szCs w:val="24"/>
        </w:rPr>
      </w:pPr>
    </w:p>
    <w:p w14:paraId="7E86A1E6" w14:textId="77777777" w:rsidR="00D036BF" w:rsidRDefault="00D036BF" w:rsidP="00D85FE6">
      <w:pPr>
        <w:spacing w:line="360" w:lineRule="auto"/>
        <w:rPr>
          <w:rFonts w:ascii="Arial" w:hAnsi="Arial" w:cs="Arial"/>
          <w:sz w:val="24"/>
          <w:szCs w:val="24"/>
        </w:rPr>
      </w:pPr>
    </w:p>
    <w:p w14:paraId="6E12FD6C" w14:textId="3BF50796" w:rsidR="00E26D90" w:rsidRDefault="00E26D90" w:rsidP="000247A5">
      <w:pPr>
        <w:spacing w:line="360" w:lineRule="auto"/>
        <w:rPr>
          <w:rFonts w:ascii="Arial" w:hAnsi="Arial" w:cs="Arial"/>
          <w:sz w:val="24"/>
          <w:szCs w:val="24"/>
        </w:rPr>
      </w:pPr>
    </w:p>
    <w:p w14:paraId="752E35DA" w14:textId="046EFB8C" w:rsidR="00EF7D64" w:rsidRPr="00EA6972" w:rsidRDefault="00EF7D64" w:rsidP="000247A5">
      <w:pPr>
        <w:spacing w:line="360" w:lineRule="auto"/>
        <w:rPr>
          <w:rFonts w:ascii="Arial" w:hAnsi="Arial" w:cs="Arial"/>
          <w:sz w:val="24"/>
          <w:szCs w:val="24"/>
        </w:rPr>
      </w:pPr>
      <w:r>
        <w:rPr>
          <w:rFonts w:ascii="Arial" w:hAnsi="Arial" w:cs="Arial"/>
          <w:sz w:val="24"/>
          <w:szCs w:val="24"/>
        </w:rPr>
        <w:t xml:space="preserve"> </w:t>
      </w:r>
    </w:p>
    <w:p w14:paraId="2CCD9880" w14:textId="0627B25D" w:rsidR="004D6776" w:rsidRPr="000247A5" w:rsidRDefault="004D6776" w:rsidP="000247A5">
      <w:pPr>
        <w:spacing w:line="360" w:lineRule="auto"/>
        <w:rPr>
          <w:rFonts w:ascii="Arial" w:hAnsi="Arial" w:cs="Arial"/>
          <w:sz w:val="24"/>
          <w:szCs w:val="24"/>
        </w:rPr>
      </w:pPr>
    </w:p>
    <w:p w14:paraId="23256619" w14:textId="77777777" w:rsidR="000247A5" w:rsidRDefault="000247A5" w:rsidP="00B969AD">
      <w:pPr>
        <w:spacing w:line="360" w:lineRule="auto"/>
        <w:rPr>
          <w:rFonts w:ascii="Arial" w:hAnsi="Arial" w:cs="Arial"/>
          <w:sz w:val="24"/>
          <w:szCs w:val="24"/>
        </w:rPr>
      </w:pPr>
    </w:p>
    <w:p w14:paraId="2402B57C" w14:textId="77777777" w:rsidR="00B969AD" w:rsidRDefault="00B969AD" w:rsidP="00B969AD">
      <w:pPr>
        <w:spacing w:line="360" w:lineRule="auto"/>
        <w:rPr>
          <w:rFonts w:ascii="Arial" w:hAnsi="Arial" w:cs="Arial"/>
          <w:sz w:val="24"/>
          <w:szCs w:val="24"/>
        </w:rPr>
      </w:pPr>
    </w:p>
    <w:p w14:paraId="3BBAEBA8" w14:textId="77777777" w:rsidR="0078046B" w:rsidRDefault="0078046B" w:rsidP="004416D6">
      <w:pPr>
        <w:spacing w:line="360" w:lineRule="auto"/>
        <w:rPr>
          <w:rFonts w:ascii="Arial" w:hAnsi="Arial" w:cs="Arial"/>
          <w:sz w:val="24"/>
          <w:szCs w:val="24"/>
        </w:rPr>
      </w:pPr>
    </w:p>
    <w:p w14:paraId="7C1E655B" w14:textId="77777777" w:rsidR="004416D6" w:rsidRDefault="004416D6" w:rsidP="004416D6">
      <w:pPr>
        <w:spacing w:line="360" w:lineRule="auto"/>
        <w:rPr>
          <w:rFonts w:ascii="Arial" w:hAnsi="Arial" w:cs="Arial"/>
          <w:sz w:val="24"/>
          <w:szCs w:val="24"/>
        </w:rPr>
      </w:pPr>
    </w:p>
    <w:p w14:paraId="11E900F4" w14:textId="7582BE20" w:rsidR="003A2F7A" w:rsidRDefault="003A2F7A" w:rsidP="005C7B95">
      <w:pPr>
        <w:rPr>
          <w:rFonts w:ascii="Arial" w:hAnsi="Arial" w:cs="Arial"/>
          <w:sz w:val="24"/>
          <w:szCs w:val="24"/>
        </w:rPr>
      </w:pPr>
    </w:p>
    <w:p w14:paraId="1B6A06D4" w14:textId="77777777" w:rsidR="00F65D11" w:rsidRPr="005C7B95" w:rsidRDefault="00F65D11" w:rsidP="005C7B95">
      <w:pPr>
        <w:rPr>
          <w:rFonts w:ascii="Arial" w:hAnsi="Arial" w:cs="Arial"/>
          <w:sz w:val="24"/>
          <w:szCs w:val="24"/>
        </w:rPr>
      </w:pPr>
    </w:p>
    <w:p w14:paraId="73C61489" w14:textId="77777777" w:rsidR="00045021" w:rsidRPr="00045021" w:rsidRDefault="00045021" w:rsidP="00045021">
      <w:pPr>
        <w:rPr>
          <w:rFonts w:ascii="Arial" w:hAnsi="Arial" w:cs="Arial"/>
          <w:sz w:val="24"/>
          <w:szCs w:val="24"/>
        </w:rPr>
      </w:pPr>
    </w:p>
    <w:p w14:paraId="37F0EA6D" w14:textId="77777777" w:rsidR="006C4DDA" w:rsidRPr="002D4B38" w:rsidRDefault="006C4DDA" w:rsidP="00084783">
      <w:pPr>
        <w:rPr>
          <w:rFonts w:ascii="Arial" w:hAnsi="Arial" w:cs="Arial"/>
          <w:sz w:val="24"/>
          <w:szCs w:val="24"/>
        </w:rPr>
      </w:pPr>
    </w:p>
    <w:p w14:paraId="01AA86ED" w14:textId="0606D492" w:rsidR="00C23F71" w:rsidRDefault="00C23F71" w:rsidP="00084783">
      <w:pPr>
        <w:rPr>
          <w:rFonts w:ascii="Arial" w:hAnsi="Arial" w:cs="Arial"/>
          <w:sz w:val="24"/>
          <w:szCs w:val="24"/>
        </w:rPr>
      </w:pPr>
    </w:p>
    <w:p w14:paraId="4F15876F" w14:textId="77777777" w:rsidR="00C23F71" w:rsidRDefault="00C23F71" w:rsidP="00084783">
      <w:pPr>
        <w:rPr>
          <w:rFonts w:ascii="Arial" w:hAnsi="Arial" w:cs="Arial"/>
          <w:sz w:val="24"/>
          <w:szCs w:val="24"/>
        </w:rPr>
      </w:pPr>
    </w:p>
    <w:p w14:paraId="711D5BF5" w14:textId="77777777" w:rsidR="00207520" w:rsidRDefault="00207520" w:rsidP="0038478D">
      <w:pPr>
        <w:rPr>
          <w:rFonts w:ascii="Arial" w:hAnsi="Arial" w:cs="Arial"/>
          <w:color w:val="000000" w:themeColor="text1"/>
          <w:sz w:val="24"/>
          <w:szCs w:val="24"/>
        </w:rPr>
      </w:pPr>
    </w:p>
    <w:p w14:paraId="278DC998" w14:textId="77777777" w:rsidR="00207520" w:rsidRDefault="00207520" w:rsidP="0038478D">
      <w:pPr>
        <w:rPr>
          <w:rFonts w:ascii="Arial" w:hAnsi="Arial" w:cs="Arial"/>
          <w:color w:val="000000" w:themeColor="text1"/>
          <w:sz w:val="24"/>
          <w:szCs w:val="24"/>
        </w:rPr>
      </w:pPr>
    </w:p>
    <w:p w14:paraId="38F07153" w14:textId="77777777" w:rsidR="000C1600" w:rsidRPr="0038478D" w:rsidRDefault="000C1600" w:rsidP="0038478D">
      <w:pPr>
        <w:rPr>
          <w:rFonts w:ascii="Arial" w:hAnsi="Arial" w:cs="Arial"/>
          <w:color w:val="000000" w:themeColor="text1"/>
          <w:sz w:val="24"/>
          <w:szCs w:val="24"/>
        </w:rPr>
      </w:pPr>
    </w:p>
    <w:p w14:paraId="4DE998B5" w14:textId="77777777" w:rsidR="0038478D" w:rsidRPr="0038478D" w:rsidRDefault="0038478D">
      <w:pPr>
        <w:rPr>
          <w:color w:val="C00000"/>
        </w:rPr>
      </w:pPr>
    </w:p>
    <w:p w14:paraId="2DB55520" w14:textId="77777777" w:rsidR="00185126" w:rsidRPr="0038478D" w:rsidRDefault="00185126"/>
    <w:sectPr w:rsidR="00185126" w:rsidRPr="003847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xMDYwMTMFIUsLJR2l4NTi4sz8PJAC81oA5/337ywAAAA="/>
  </w:docVars>
  <w:rsids>
    <w:rsidRoot w:val="005B2A94"/>
    <w:rsid w:val="00001827"/>
    <w:rsid w:val="000225EC"/>
    <w:rsid w:val="000247A5"/>
    <w:rsid w:val="00045021"/>
    <w:rsid w:val="00052FEF"/>
    <w:rsid w:val="0006239C"/>
    <w:rsid w:val="00070148"/>
    <w:rsid w:val="0008252D"/>
    <w:rsid w:val="00084783"/>
    <w:rsid w:val="0009722B"/>
    <w:rsid w:val="000B246D"/>
    <w:rsid w:val="000B4F8D"/>
    <w:rsid w:val="000C1600"/>
    <w:rsid w:val="000C55FA"/>
    <w:rsid w:val="000C6306"/>
    <w:rsid w:val="000E3F61"/>
    <w:rsid w:val="000F227C"/>
    <w:rsid w:val="000F438D"/>
    <w:rsid w:val="00105520"/>
    <w:rsid w:val="001243A7"/>
    <w:rsid w:val="001311A2"/>
    <w:rsid w:val="001451AD"/>
    <w:rsid w:val="001454B4"/>
    <w:rsid w:val="00185126"/>
    <w:rsid w:val="00194E46"/>
    <w:rsid w:val="00207520"/>
    <w:rsid w:val="002A0736"/>
    <w:rsid w:val="002B25AF"/>
    <w:rsid w:val="002D4B38"/>
    <w:rsid w:val="002F0B28"/>
    <w:rsid w:val="002F28F3"/>
    <w:rsid w:val="00304470"/>
    <w:rsid w:val="00377389"/>
    <w:rsid w:val="0038478D"/>
    <w:rsid w:val="003851A5"/>
    <w:rsid w:val="00395B26"/>
    <w:rsid w:val="003A2F7A"/>
    <w:rsid w:val="003E0B43"/>
    <w:rsid w:val="003E1B3A"/>
    <w:rsid w:val="003E6294"/>
    <w:rsid w:val="004002F1"/>
    <w:rsid w:val="004416D6"/>
    <w:rsid w:val="0047361C"/>
    <w:rsid w:val="004A3F83"/>
    <w:rsid w:val="004C1B3B"/>
    <w:rsid w:val="004D4345"/>
    <w:rsid w:val="004D6776"/>
    <w:rsid w:val="004E7557"/>
    <w:rsid w:val="00512798"/>
    <w:rsid w:val="005232B6"/>
    <w:rsid w:val="0054020A"/>
    <w:rsid w:val="005942AE"/>
    <w:rsid w:val="00594799"/>
    <w:rsid w:val="005962C1"/>
    <w:rsid w:val="005B2A94"/>
    <w:rsid w:val="005C7B95"/>
    <w:rsid w:val="005D69AB"/>
    <w:rsid w:val="005E3EF4"/>
    <w:rsid w:val="00600C5C"/>
    <w:rsid w:val="0060783B"/>
    <w:rsid w:val="00641D54"/>
    <w:rsid w:val="006604AF"/>
    <w:rsid w:val="0068408F"/>
    <w:rsid w:val="0069353C"/>
    <w:rsid w:val="006C45D8"/>
    <w:rsid w:val="006C4DDA"/>
    <w:rsid w:val="006E4D3C"/>
    <w:rsid w:val="006F1338"/>
    <w:rsid w:val="007016CB"/>
    <w:rsid w:val="00721DFD"/>
    <w:rsid w:val="00771370"/>
    <w:rsid w:val="0078046B"/>
    <w:rsid w:val="0082556D"/>
    <w:rsid w:val="00833987"/>
    <w:rsid w:val="0087590B"/>
    <w:rsid w:val="00882586"/>
    <w:rsid w:val="00894C2D"/>
    <w:rsid w:val="008C48B9"/>
    <w:rsid w:val="008E34E3"/>
    <w:rsid w:val="008F2CBE"/>
    <w:rsid w:val="008F2EAC"/>
    <w:rsid w:val="0091759C"/>
    <w:rsid w:val="00925DF6"/>
    <w:rsid w:val="00931D9B"/>
    <w:rsid w:val="009A1D43"/>
    <w:rsid w:val="009D2D8B"/>
    <w:rsid w:val="009F22AF"/>
    <w:rsid w:val="00A3491E"/>
    <w:rsid w:val="00A63CE3"/>
    <w:rsid w:val="00AA6F29"/>
    <w:rsid w:val="00AC0692"/>
    <w:rsid w:val="00B2147E"/>
    <w:rsid w:val="00B37E20"/>
    <w:rsid w:val="00B54811"/>
    <w:rsid w:val="00B63C38"/>
    <w:rsid w:val="00B81F7A"/>
    <w:rsid w:val="00B85470"/>
    <w:rsid w:val="00B9198F"/>
    <w:rsid w:val="00B969AD"/>
    <w:rsid w:val="00BF6C47"/>
    <w:rsid w:val="00C23F71"/>
    <w:rsid w:val="00C41FD5"/>
    <w:rsid w:val="00C700D3"/>
    <w:rsid w:val="00CB1D53"/>
    <w:rsid w:val="00CB7DF4"/>
    <w:rsid w:val="00CC32B8"/>
    <w:rsid w:val="00CC4260"/>
    <w:rsid w:val="00D036BF"/>
    <w:rsid w:val="00D114FA"/>
    <w:rsid w:val="00D12A80"/>
    <w:rsid w:val="00D23C42"/>
    <w:rsid w:val="00D50356"/>
    <w:rsid w:val="00D56100"/>
    <w:rsid w:val="00D85FE6"/>
    <w:rsid w:val="00E11360"/>
    <w:rsid w:val="00E239D7"/>
    <w:rsid w:val="00E26D90"/>
    <w:rsid w:val="00E310FE"/>
    <w:rsid w:val="00E728B9"/>
    <w:rsid w:val="00EA6972"/>
    <w:rsid w:val="00EB5C4F"/>
    <w:rsid w:val="00EF7D64"/>
    <w:rsid w:val="00F23D80"/>
    <w:rsid w:val="00F4181B"/>
    <w:rsid w:val="00F65D11"/>
    <w:rsid w:val="00F6681D"/>
    <w:rsid w:val="00FB0A7D"/>
    <w:rsid w:val="00FB57B4"/>
    <w:rsid w:val="00FC56FD"/>
    <w:rsid w:val="00FF3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D2DD9"/>
  <w15:chartTrackingRefBased/>
  <w15:docId w15:val="{6E5B3160-7EAD-4EFE-A066-2AE880786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55-020-01423-y" TargetMode="External"/><Relationship Id="rId3" Type="http://schemas.openxmlformats.org/officeDocument/2006/relationships/webSettings" Target="webSettings.xml"/><Relationship Id="rId7" Type="http://schemas.openxmlformats.org/officeDocument/2006/relationships/hyperlink" Target="https://doi.org/10.1177/0002716203260078"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2/ajmg.b.32763" TargetMode="External"/><Relationship Id="rId11" Type="http://schemas.openxmlformats.org/officeDocument/2006/relationships/fontTable" Target="fontTable.xml"/><Relationship Id="rId5" Type="http://schemas.openxmlformats.org/officeDocument/2006/relationships/hyperlink" Target="http://dx.doi.org/10.1037/10034-000" TargetMode="External"/><Relationship Id="rId10" Type="http://schemas.openxmlformats.org/officeDocument/2006/relationships/hyperlink" Target="https://doi.org/10.1177/1524838013487805" TargetMode="External"/><Relationship Id="rId4" Type="http://schemas.openxmlformats.org/officeDocument/2006/relationships/hyperlink" Target="https://doi.org/10.1177/070674371105600504" TargetMode="External"/><Relationship Id="rId9" Type="http://schemas.openxmlformats.org/officeDocument/2006/relationships/hyperlink" Target="https://doi.org/10.1016/j.dr.2007.08.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6620</Words>
  <Characters>37737</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morrissey john</dc:creator>
  <cp:keywords/>
  <dc:description/>
  <cp:lastModifiedBy>laura morrissey john</cp:lastModifiedBy>
  <cp:revision>2</cp:revision>
  <cp:lastPrinted>2022-04-11T16:11:00Z</cp:lastPrinted>
  <dcterms:created xsi:type="dcterms:W3CDTF">2022-04-12T13:34:00Z</dcterms:created>
  <dcterms:modified xsi:type="dcterms:W3CDTF">2022-04-12T13:34:00Z</dcterms:modified>
</cp:coreProperties>
</file>