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FF3F6D" w:rsidRDefault="70FF3F6D" w14:paraId="1D65FC7D" w14:textId="713B99F8">
      <w:r w:rsidR="70FF3F6D">
        <w:rPr/>
        <w:t>Statutes of Law or legislation is clearly crafted by professionals and experienced members of parliament and</w:t>
      </w:r>
      <w:r w:rsidR="70FF3F6D">
        <w:rPr/>
        <w:t>, for the most part, easy</w:t>
      </w:r>
      <w:r w:rsidR="70FF3F6D">
        <w:rPr/>
        <w:t xml:space="preserve"> to apply in most cases, however, some cases fall within a grey area in the law and correct legislation may be hard to apply; this is where statutory interpretation comes into play. Statutory interpretation is used in situations where certain examples of a crime are not included in the definition of the offence or where the language used in the older legislations now has a different meaning. A framework has been devised explaining the three rules of statutory interpretation, these are known as, the literal rule, the golden rule, and the mischief rule (Laver. N, 2022). </w:t>
      </w:r>
    </w:p>
    <w:p w:rsidR="70FF3F6D" w:rsidRDefault="70FF3F6D" w14:paraId="1B5A1E50" w14:textId="0C06ED9B">
      <w:r w:rsidR="70FF3F6D">
        <w:rPr/>
        <w:t xml:space="preserve">In terms of the literal rule, the judge would consider the law as it is written and not for what it might mean. This involves giving the words written in the Act of law an ordinary, everyday meaning. Judges opt to follow this rule as some believe that having the power to give a non-literal meaning to the law is contradictory to the will of Parliament and the will of the people (The Open University, 2022). A demonstration of this rule in use is in the case of Fisher v Bell [1961]. Under the restrictions of offensive weapons act 1959, it was illegal to offer for sale offensive weapons including knives. Bell displayed one of these offensive weapons in his shop window, however, was not convicted. The Divisional Court gave the words in legislation a literal meaning and concluded that by displaying the weapon in his shop window he was not necessarily offering it for sale and that it would be down the customer to offer a sale when they give money in offer of a sale. The literal meaning of ‘offer’ was upheld by the courts and Bell was found not guilty. This rule is highly regarded as it is seen. To respect the doctrine of Parliament’s Sovereignty as judges follow the exact words and language used in the legislation, instead of trying to distinguish Parliament's intentions such as with the golden rule or mischief rule. This rule also avoids judges being accused of ‘law-making’ by respecting the theories of Separation of Powers and Supremacy of Parliament. The literal rule is consistent with the law and lawyers also appreciate that in respects to being able to advise their clients confidently and consistently. Despite the praise this rule gets, it also has some drawbacks. One of which is judges being accused of overemphasising or exaggerating the law as it is written without any context, leading to absurd and indefensible outcomes. It also expects an unrealistic and impossible level of perfection in Parliamentary </w:t>
      </w:r>
      <w:r w:rsidR="70FF3F6D">
        <w:rPr/>
        <w:t>draftsman</w:t>
      </w:r>
      <w:r w:rsidR="70FF3F6D">
        <w:rPr/>
        <w:t xml:space="preserve"> ship. That level of </w:t>
      </w:r>
      <w:r w:rsidR="70FF3F6D">
        <w:rPr/>
        <w:t>draftsman</w:t>
      </w:r>
      <w:r w:rsidR="70FF3F6D">
        <w:rPr/>
        <w:t xml:space="preserve"> ship is inevitably unattainable due to the inability to mention every different case in different situations in each Act of Statute (Connolly, M. 2018).</w:t>
      </w:r>
    </w:p>
    <w:p w:rsidR="70FF3F6D" w:rsidP="70FF3F6D" w:rsidRDefault="70FF3F6D" w14:paraId="16F6A956" w14:textId="720CA33E">
      <w:pPr>
        <w:pStyle w:val="Normal"/>
      </w:pPr>
      <w:r w:rsidR="70FF3F6D">
        <w:rPr/>
        <w:t xml:space="preserve">Furthermore, the golden rule became a modification of the literal rule after it was declared that the literal rule produced absurdity and that the court had to derive other meanings to words to avoid unjust results. This implied that by using the literal rule, incorrect or unfair convictions would come </w:t>
      </w:r>
      <w:proofErr w:type="gramStart"/>
      <w:r w:rsidR="70FF3F6D">
        <w:rPr/>
        <w:t>as a result of</w:t>
      </w:r>
      <w:proofErr w:type="gramEnd"/>
      <w:r w:rsidR="70FF3F6D">
        <w:rPr/>
        <w:t xml:space="preserve"> the using words or language originally written in statue. This is because statute may not cover specific examples of crime despite the law applying to that crime or using outdated language that would not apply to modern society (The Open University, 2022). An example of the golden rule being implemented is the case of Alder v George [1964]. Adler was arrested under Section 3 of the Official Secrets Act 1920 as it is an offence to ‘obstruct HM forces in the vicinity of a prohibited place’. Adler entered an RAF base before obstructing RAF personnel. He argued that the legislation </w:t>
      </w:r>
      <w:r w:rsidR="70FF3F6D">
        <w:rPr/>
        <w:t>stated</w:t>
      </w:r>
      <w:r w:rsidR="70FF3F6D">
        <w:rPr/>
        <w:t xml:space="preserve"> ‘in the vicinity’ of a prohibited place but he was </w:t>
      </w:r>
      <w:proofErr w:type="gramStart"/>
      <w:r w:rsidR="70FF3F6D">
        <w:rPr/>
        <w:t>actually in</w:t>
      </w:r>
      <w:proofErr w:type="gramEnd"/>
      <w:r w:rsidR="70FF3F6D">
        <w:rPr/>
        <w:t xml:space="preserve"> the prohibited place and therefore could not be ‘in the vicinity’ so the legislation would not apply. Following the golden rule of statutory interpretation, he was found guilty with ‘in the vicinity’ being explained as in or near the prohibited place. The main benefit of the golden rule is that drafting errors or outdated languages can be corrected quickly and as seen in the example, loopholes can be closed. Using the golden rule can result in a more just and fairer outcome than using the literal rule and still respects Parliamentary Supremacy </w:t>
      </w:r>
      <w:proofErr w:type="gramStart"/>
      <w:r w:rsidR="70FF3F6D">
        <w:rPr/>
        <w:t>due to the fact that</w:t>
      </w:r>
      <w:proofErr w:type="gramEnd"/>
      <w:r w:rsidR="70FF3F6D">
        <w:rPr/>
        <w:t xml:space="preserve"> it still follows parliaments intentions and does not allow judges complete freedom. The biggest disadvantage that causes concern is potentially infringing </w:t>
      </w:r>
      <w:r w:rsidR="70FF3F6D">
        <w:rPr/>
        <w:t xml:space="preserve">the doctrines of Separation of Powers and the Supremacy of Parliament </w:t>
      </w:r>
      <w:proofErr w:type="gramStart"/>
      <w:r w:rsidR="70FF3F6D">
        <w:rPr/>
        <w:t>due to the fact that</w:t>
      </w:r>
      <w:proofErr w:type="gramEnd"/>
      <w:r w:rsidR="70FF3F6D">
        <w:rPr/>
        <w:t xml:space="preserve"> judges can change the meaning of the words in legislation and therefore change of the law. There is also no clear understanding about when the rule should be used (Sheffield Hallam University, 2021).</w:t>
      </w:r>
    </w:p>
    <w:p w:rsidR="70FF3F6D" w:rsidP="70FF3F6D" w:rsidRDefault="70FF3F6D" w14:paraId="08381FE8" w14:textId="2B2F3291">
      <w:pPr>
        <w:pStyle w:val="Normal"/>
      </w:pPr>
      <w:r w:rsidR="70FF3F6D">
        <w:rPr/>
        <w:t xml:space="preserve">The mischief rule in statutory interpretation is set out and used by judges to discover and follow Parliament's intensions. This rule is set out to allow the judges more discretion than the golden rule and the liberal rule, however, it is argued that this rule undermines Parliamentary supremacy and takes away law-making decisions from legislature. The mischief rule is often referred to as the ‘modern’ method of statutory construction as it is used to solve ambiguities in cases where the literal rule cannot be applied (Rao, N. 2014). When </w:t>
      </w:r>
      <w:r w:rsidR="70FF3F6D">
        <w:rPr/>
        <w:t>demonstrating</w:t>
      </w:r>
      <w:r w:rsidR="70FF3F6D">
        <w:rPr/>
        <w:t xml:space="preserve"> this rule, the judge must consider three factors; What the law was before the statute was passed, what the problem ‘or mischief’ the statute was trying to remedy and what remedy Parliament was trying to provide. The judge must then interpret the statue in such a way that tackles the problem Parliament was trying to remedy (Middlesex University London, 2022). A demonstration of this rule is the case of </w:t>
      </w:r>
      <w:r w:rsidR="70FF3F6D">
        <w:rPr/>
        <w:t xml:space="preserve">Smith v Hughes: QBD 1960. A prostitute offered her services from the balcony of a house and was found guilty of </w:t>
      </w:r>
      <w:r w:rsidR="70FF3F6D">
        <w:rPr/>
        <w:t xml:space="preserve">soliciting ‘in a street or public place’ contrary to section 1 of the 1959 Act. She appealed on the grounds that she was no ‘in a street or public place,’ however, following the use of the mischief rule, her appeal was dismissed as the intention of the Act was to clean the streets and allow people to walk down them freely without interruption from a prostitute or those alike. The obvious advantage to the mischief rule is that is closes loopholes that the literal rule or the golden rule potentially could not and </w:t>
      </w:r>
      <w:proofErr w:type="gramStart"/>
      <w:r w:rsidR="70FF3F6D">
        <w:rPr/>
        <w:t>as a result of</w:t>
      </w:r>
      <w:proofErr w:type="gramEnd"/>
      <w:r w:rsidR="70FF3F6D">
        <w:rPr/>
        <w:t xml:space="preserve"> this avoids absurdity. It allows for flexibility in the courts. Despite this, there is no consistency with this rule as different judges have different views and morals and therefore could reach different </w:t>
      </w:r>
      <w:r w:rsidR="70FF3F6D">
        <w:rPr/>
        <w:t>possible outcomes</w:t>
      </w:r>
      <w:r w:rsidR="70FF3F6D">
        <w:rPr/>
        <w:t xml:space="preserve"> if cases were presented to different judges. As well as this it also gives judges the power of law making and infringes the doctrines of Separation of Powers and the Supremacy of Parliament (Sheffield Hallam University, 2021).</w:t>
      </w:r>
    </w:p>
    <w:p w:rsidR="70FF3F6D" w:rsidP="70FF3F6D" w:rsidRDefault="70FF3F6D" w14:paraId="4446653F" w14:textId="035C3B16">
      <w:pPr>
        <w:pStyle w:val="Normal"/>
      </w:pPr>
      <w:r w:rsidR="70FF3F6D">
        <w:rPr/>
        <w:t>In conclusion, referring the two primary source of law in the United Kingdom, the status of legislation is</w:t>
      </w:r>
      <w:r w:rsidR="70FF3F6D">
        <w:rPr/>
        <w:t>, for the most part, not</w:t>
      </w:r>
      <w:r w:rsidR="70FF3F6D">
        <w:rPr/>
        <w:t xml:space="preserve"> diminished by statutory interpretation </w:t>
      </w:r>
      <w:proofErr w:type="gramStart"/>
      <w:r w:rsidR="70FF3F6D">
        <w:rPr/>
        <w:t>due to the fact that</w:t>
      </w:r>
      <w:proofErr w:type="gramEnd"/>
      <w:r w:rsidR="70FF3F6D">
        <w:rPr/>
        <w:t xml:space="preserve"> the legislation must still be followed by judges and the </w:t>
      </w:r>
      <w:proofErr w:type="gramStart"/>
      <w:r w:rsidR="70FF3F6D">
        <w:rPr/>
        <w:t>more often than not</w:t>
      </w:r>
      <w:proofErr w:type="gramEnd"/>
      <w:r w:rsidR="70FF3F6D">
        <w:rPr/>
        <w:t xml:space="preserve">, the doctrines of Separation of Powers and the Supremacy of Parliament are kept apart such as in the literal rule and the golden rule. Both these rules </w:t>
      </w:r>
      <w:r w:rsidR="70FF3F6D">
        <w:rPr/>
        <w:t>maintain</w:t>
      </w:r>
      <w:r w:rsidR="70FF3F6D">
        <w:rPr/>
        <w:t xml:space="preserve"> </w:t>
      </w:r>
      <w:proofErr w:type="gramStart"/>
      <w:r w:rsidR="70FF3F6D">
        <w:rPr/>
        <w:t>the majority of</w:t>
      </w:r>
      <w:proofErr w:type="gramEnd"/>
      <w:r w:rsidR="70FF3F6D">
        <w:rPr/>
        <w:t xml:space="preserve"> the official Legislation and only change the meaning of the word or interpret meanings of certain words to fit specific cases as not every Act of Parliament is able to </w:t>
      </w:r>
      <w:r w:rsidR="70FF3F6D">
        <w:rPr/>
        <w:t>state</w:t>
      </w:r>
      <w:r w:rsidR="70FF3F6D">
        <w:rPr/>
        <w:t xml:space="preserve"> every scenario possible. With these rules, judges must also follow the specific intentions of Parliament when trying to remedy the problem. The mischief rule allows for more flexibility for judges, however, </w:t>
      </w:r>
      <w:r w:rsidR="70FF3F6D">
        <w:rPr/>
        <w:t>provides</w:t>
      </w:r>
      <w:r w:rsidR="70FF3F6D">
        <w:rPr/>
        <w:t xml:space="preserve"> no consistency between judges and different case. Despite this, the main aim of statutory interpretation is to </w:t>
      </w:r>
      <w:r w:rsidR="70FF3F6D">
        <w:rPr/>
        <w:t>provide</w:t>
      </w:r>
      <w:r w:rsidR="70FF3F6D">
        <w:rPr/>
        <w:t xml:space="preserve"> a clear and coherent legislative framework which avoids unfair and absurd outcomes whilst still adhering to the intentions of Parliament and reaching an outcome that solves the problem.</w:t>
      </w:r>
    </w:p>
    <w:p w:rsidR="70FF3F6D" w:rsidP="70FF3F6D" w:rsidRDefault="70FF3F6D" w14:paraId="41309A71" w14:textId="111DD441">
      <w:pPr>
        <w:pStyle w:val="Normal"/>
      </w:pPr>
    </w:p>
    <w:p w:rsidR="70FF3F6D" w:rsidP="70FF3F6D" w:rsidRDefault="70FF3F6D" w14:paraId="375E90BC" w14:textId="6861583C">
      <w:pPr>
        <w:pStyle w:val="Normal"/>
      </w:pPr>
    </w:p>
    <w:p w:rsidR="70FF3F6D" w:rsidP="70FF3F6D" w:rsidRDefault="70FF3F6D" w14:paraId="0C447CCA" w14:textId="4BCF1C11">
      <w:pPr>
        <w:pStyle w:val="Normal"/>
      </w:pPr>
      <w:r w:rsidR="70FF3F6D">
        <w:rPr/>
        <w:t>References</w:t>
      </w:r>
    </w:p>
    <w:p w:rsidR="70FF3F6D" w:rsidP="70FF3F6D" w:rsidRDefault="70FF3F6D" w14:paraId="781BB44E" w14:textId="5AF7066C">
      <w:pPr>
        <w:pStyle w:val="Normal"/>
      </w:pPr>
      <w:r w:rsidR="70FF3F6D">
        <w:rPr/>
        <w:t xml:space="preserve">Connolly, M. 2018. The English Judiciary, Discrimination </w:t>
      </w:r>
      <w:r w:rsidR="70FF3F6D">
        <w:rPr/>
        <w:t>Law</w:t>
      </w:r>
      <w:r w:rsidR="70FF3F6D">
        <w:rPr/>
        <w:t xml:space="preserve"> and Statutory Interpretation. [online] Read.kortext.com. Available at: </w:t>
      </w:r>
      <w:hyperlink r:id="Ra3f01ad5ec514d00">
        <w:r w:rsidRPr="70FF3F6D" w:rsidR="70FF3F6D">
          <w:rPr>
            <w:rStyle w:val="Hyperlink"/>
          </w:rPr>
          <w:t>https://read.kortext.com/reader/pdf/475475/18</w:t>
        </w:r>
      </w:hyperlink>
      <w:r w:rsidR="70FF3F6D">
        <w:rPr/>
        <w:t xml:space="preserve"> [Accessed 1 May 2022].</w:t>
      </w:r>
    </w:p>
    <w:p w:rsidR="70FF3F6D" w:rsidP="70FF3F6D" w:rsidRDefault="70FF3F6D" w14:paraId="3F366DD4" w14:textId="24FAE700">
      <w:pPr>
        <w:pStyle w:val="Normal"/>
      </w:pPr>
      <w:r w:rsidR="70FF3F6D">
        <w:rPr/>
        <w:t xml:space="preserve">Judges and the law. 2022. Judges and the law. [online] Available at: </w:t>
      </w:r>
      <w:hyperlink r:id="R19a1f7bcd15b4ebf">
        <w:r w:rsidRPr="70FF3F6D" w:rsidR="70FF3F6D">
          <w:rPr>
            <w:rStyle w:val="Hyperlink"/>
          </w:rPr>
          <w:t>https://www.open.edu/openlearn/society-politics-law/judges-and-the-law/content-section-6.3</w:t>
        </w:r>
      </w:hyperlink>
      <w:r w:rsidR="70FF3F6D">
        <w:rPr/>
        <w:t xml:space="preserve">  [Accessed 1 May 2022].</w:t>
      </w:r>
    </w:p>
    <w:p w:rsidR="70FF3F6D" w:rsidP="70FF3F6D" w:rsidRDefault="70FF3F6D" w14:paraId="2BC623DC" w14:textId="7083CB64">
      <w:pPr>
        <w:pStyle w:val="Normal"/>
      </w:pPr>
      <w:r w:rsidR="70FF3F6D">
        <w:rPr/>
        <w:t xml:space="preserve">Laver, N., 2022. Statutory Interpretation - InBrief.co.uk. [online] InBrief.co.uk. Available at: </w:t>
      </w:r>
      <w:hyperlink r:id="R7857846e2c7b49c5">
        <w:r w:rsidRPr="70FF3F6D" w:rsidR="70FF3F6D">
          <w:rPr>
            <w:rStyle w:val="Hyperlink"/>
          </w:rPr>
          <w:t>https://www.inbrief.co.uk/legal-system/statutory-interpretation/</w:t>
        </w:r>
      </w:hyperlink>
      <w:r w:rsidR="70FF3F6D">
        <w:rPr/>
        <w:t xml:space="preserve"> [Accessed 1 May 2022].</w:t>
      </w:r>
    </w:p>
    <w:p w:rsidR="70FF3F6D" w:rsidP="70FF3F6D" w:rsidRDefault="70FF3F6D" w14:paraId="112C6FED" w14:textId="578C3612">
      <w:pPr>
        <w:pStyle w:val="Normal"/>
      </w:pPr>
      <w:r w:rsidR="70FF3F6D">
        <w:rPr/>
        <w:t xml:space="preserve">Legal skills and debates. 2022. Legal skills and debates. [online] Available at:  </w:t>
      </w:r>
      <w:hyperlink r:id="Recf980e14fd34d59">
        <w:r w:rsidRPr="70FF3F6D" w:rsidR="70FF3F6D">
          <w:rPr>
            <w:rStyle w:val="Hyperlink"/>
          </w:rPr>
          <w:t>https://www.open.edu/openlearn/mod/oucontent/view.php?id=68342&amp;section=3</w:t>
        </w:r>
      </w:hyperlink>
      <w:r w:rsidR="70FF3F6D">
        <w:rPr/>
        <w:t xml:space="preserve">  [Accessed 1 May 2022].</w:t>
      </w:r>
    </w:p>
    <w:p w:rsidR="70FF3F6D" w:rsidP="70FF3F6D" w:rsidRDefault="70FF3F6D" w14:paraId="46F7CC34" w14:textId="303C1182">
      <w:pPr>
        <w:pStyle w:val="Normal"/>
      </w:pPr>
      <w:r w:rsidR="70FF3F6D">
        <w:rPr/>
        <w:t xml:space="preserve">Pey, R. n.d. Statutory Interpretation Explained - Ross R-S. Pey (Per Incuriam) | Cambridge University Law Society (CULS). [online] Culs.org.uk. Available at: </w:t>
      </w:r>
      <w:hyperlink r:id="Rb0f1388dd9a1482c">
        <w:r w:rsidRPr="70FF3F6D" w:rsidR="70FF3F6D">
          <w:rPr>
            <w:rStyle w:val="Hyperlink"/>
          </w:rPr>
          <w:t>https://www.culs.org.uk/per-incuriam/statutory-interpretation-explained</w:t>
        </w:r>
      </w:hyperlink>
      <w:r w:rsidR="70FF3F6D">
        <w:rPr/>
        <w:t xml:space="preserve">  [Accessed 1 May 2022].</w:t>
      </w:r>
    </w:p>
    <w:p w:rsidR="70FF3F6D" w:rsidP="70FF3F6D" w:rsidRDefault="70FF3F6D" w14:paraId="11FAA725" w14:textId="5F95F40C">
      <w:pPr>
        <w:pStyle w:val="Normal"/>
      </w:pPr>
      <w:r w:rsidR="70FF3F6D">
        <w:rPr/>
        <w:t xml:space="preserve">Rao, N. 2014. Mischief Rule of Statutory Interpretation - Academike. [online] Academike. Available at:  </w:t>
      </w:r>
      <w:hyperlink r:id="R1d1f8a0408814f0e">
        <w:r w:rsidRPr="70FF3F6D" w:rsidR="70FF3F6D">
          <w:rPr>
            <w:rStyle w:val="Hyperlink"/>
          </w:rPr>
          <w:t>https://www.lawctopus.com/academike/mischief-rule-statutory-interpretation/</w:t>
        </w:r>
      </w:hyperlink>
      <w:r w:rsidR="70FF3F6D">
        <w:rPr/>
        <w:t xml:space="preserve">  [Accessed 1 May 2022].</w:t>
      </w:r>
    </w:p>
    <w:p w:rsidR="70FF3F6D" w:rsidP="70FF3F6D" w:rsidRDefault="70FF3F6D" w14:paraId="247E43C6" w14:textId="36BF17DA">
      <w:pPr>
        <w:pStyle w:val="Normal"/>
      </w:pPr>
      <w:r w:rsidR="70FF3F6D">
        <w:rPr/>
        <w:t xml:space="preserve">StuDocu. 2022. Benefits and Drawbacks Statutory Interpretation. [online] Available at: </w:t>
      </w:r>
      <w:hyperlink r:id="Rddf32660a1f847e0">
        <w:r w:rsidRPr="70FF3F6D" w:rsidR="70FF3F6D">
          <w:rPr>
            <w:rStyle w:val="Hyperlink"/>
          </w:rPr>
          <w:t>https://www.studocu.com/en-gb/document/sheffield-hallam-university/law/benefits-and-drawbacks-statutory-interpretation/1593450</w:t>
        </w:r>
      </w:hyperlink>
      <w:r w:rsidR="70FF3F6D">
        <w:rPr/>
        <w:t xml:space="preserve">  [Accessed 1 May 2022].</w:t>
      </w:r>
    </w:p>
    <w:p w:rsidR="70FF3F6D" w:rsidP="70FF3F6D" w:rsidRDefault="70FF3F6D" w14:paraId="4F94D7E6" w14:textId="608A6F2F">
      <w:pPr>
        <w:pStyle w:val="Normal"/>
      </w:pPr>
      <w:r w:rsidR="70FF3F6D">
        <w:rPr/>
        <w:t>StuDocu</w:t>
      </w:r>
      <w:r w:rsidR="70FF3F6D">
        <w:rPr/>
        <w:t xml:space="preserve">. 2022. Mischief Rule, Examples, Advantages, </w:t>
      </w:r>
      <w:r w:rsidR="70FF3F6D">
        <w:rPr/>
        <w:t>Disadvantages</w:t>
      </w:r>
      <w:r w:rsidR="70FF3F6D">
        <w:rPr/>
        <w:t xml:space="preserve"> and rectification. [online] Available at: </w:t>
      </w:r>
      <w:hyperlink r:id="R4ca89484311640ca">
        <w:r w:rsidRPr="70FF3F6D" w:rsidR="70FF3F6D">
          <w:rPr>
            <w:rStyle w:val="Hyperlink"/>
          </w:rPr>
          <w:t>https://www.studocu.com/en-gb/document/middlesex-university-london/english-legal-system/mischief-rule-examples-advantages-disadvantages-and-rectification/13459730</w:t>
        </w:r>
      </w:hyperlink>
      <w:r w:rsidR="70FF3F6D">
        <w:rPr/>
        <w:t xml:space="preserve">  [Accessed 1 May 2022].</w:t>
      </w:r>
    </w:p>
    <w:p w:rsidR="70FF3F6D" w:rsidP="70FF3F6D" w:rsidRDefault="70FF3F6D" w14:paraId="58147668" w14:textId="1A512763">
      <w:pPr>
        <w:pStyle w:val="Normal"/>
      </w:pPr>
      <w:r w:rsidR="70FF3F6D">
        <w:rPr/>
        <w:t xml:space="preserve">swarb.co.uk. 2022. Adler v George: QBD 1964 - swarb.co.uk. [online] Available at: </w:t>
      </w:r>
      <w:hyperlink r:id="Radc478b9a0604c54">
        <w:r w:rsidRPr="70FF3F6D" w:rsidR="70FF3F6D">
          <w:rPr>
            <w:rStyle w:val="Hyperlink"/>
          </w:rPr>
          <w:t>https://swarb.co.uk/adler-v-george-qbd-1964/</w:t>
        </w:r>
      </w:hyperlink>
      <w:r w:rsidR="70FF3F6D">
        <w:rPr/>
        <w:t xml:space="preserve"> [Accessed 1 May 2022].</w:t>
      </w:r>
    </w:p>
    <w:p w:rsidR="70FF3F6D" w:rsidP="70FF3F6D" w:rsidRDefault="70FF3F6D" w14:paraId="00AE337D" w14:textId="0032A2D9">
      <w:pPr>
        <w:pStyle w:val="Normal"/>
      </w:pPr>
      <w:r w:rsidR="70FF3F6D">
        <w:rPr/>
        <w:t xml:space="preserve">swarb.co.uk. 2022. Smith v Hughes: QBD 1960 - swarb.co.uk. [online] Available at: </w:t>
      </w:r>
      <w:hyperlink r:id="R51c2a803f1d1419d">
        <w:r w:rsidRPr="70FF3F6D" w:rsidR="70FF3F6D">
          <w:rPr>
            <w:rStyle w:val="Hyperlink"/>
          </w:rPr>
          <w:t>https://swarb.co.uk/smith-v-hughes-qbd-1960/</w:t>
        </w:r>
      </w:hyperlink>
      <w:r w:rsidR="70FF3F6D">
        <w:rPr/>
        <w:t xml:space="preserve">  [Accessed 1 May 2022].</w:t>
      </w:r>
    </w:p>
    <w:p w:rsidR="70FF3F6D" w:rsidP="70FF3F6D" w:rsidRDefault="70FF3F6D" w14:paraId="0FF5B3DA" w14:textId="760A11DD">
      <w:pPr>
        <w:pStyle w:val="Normal"/>
      </w:pPr>
      <w:r w:rsidR="70FF3F6D">
        <w:rPr/>
        <w:t xml:space="preserve">Thelawlane.com. 2022. FISHER V BELL(Abridged) – Lawlane. [online] Available at: </w:t>
      </w:r>
      <w:hyperlink r:id="R3b080fb27e6f4928">
        <w:r w:rsidRPr="70FF3F6D" w:rsidR="70FF3F6D">
          <w:rPr>
            <w:rStyle w:val="Hyperlink"/>
          </w:rPr>
          <w:t>https://www.thelawlane.com/fisher-v-bellabridged/</w:t>
        </w:r>
      </w:hyperlink>
      <w:r w:rsidR="70FF3F6D">
        <w:rPr/>
        <w:t xml:space="preserve"> [Accessed 1 May 2022].</w:t>
      </w:r>
    </w:p>
    <w:p w:rsidR="70FF3F6D" w:rsidP="70FF3F6D" w:rsidRDefault="70FF3F6D" w14:paraId="6F01E2A4" w14:textId="5F4EDDBF">
      <w:pPr>
        <w:pStyle w:val="Normal"/>
      </w:pPr>
    </w:p>
    <w:p w:rsidR="70FF3F6D" w:rsidP="70FF3F6D" w:rsidRDefault="70FF3F6D" w14:paraId="0B551945" w14:textId="12491B0F">
      <w:pPr>
        <w:pStyle w:val="Normal"/>
      </w:pPr>
      <w:r>
        <w:br/>
      </w:r>
    </w:p>
    <w:p w:rsidR="70FF3F6D" w:rsidP="70FF3F6D" w:rsidRDefault="70FF3F6D" w14:paraId="660FD6EE" w14:textId="4888C3E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VRd/LyDcPFdCnc" id="PiKvKM2a"/>
    <int:WordHash hashCode="w/XQAHQHwcFSwj" id="LdyFfgHy"/>
    <int:WordHash hashCode="9Pj0WeCXUw9FY8" id="Rpq5uAnh"/>
    <int:WordHash hashCode="mda/hDaiO1x76b" id="A4hTbJZg"/>
    <int:WordHash hashCode="pS0JPPTdcDGsiR" id="R8dg658E"/>
    <int:WordHash hashCode="v9fu1ddnFE+IM7" id="ohYA8ASB"/>
    <int:WordHash hashCode="TvFKKmHPk41dcA" id="XCLeVwvc"/>
    <int:ParagraphRange paragraphId="1145464127" textId="1416701639" start="29" length="2" invalidationStart="29" invalidationLength="2" id="VFnIXDHJ"/>
    <int:WordHash hashCode="rd/0kiVp61pEPg" id="pzQpwFsj"/>
    <int:WordHash hashCode="QB0Mkq+Odtd+pj" id="URlYjKEc"/>
    <int:WordHash hashCode="ZD4DPyxyvbq3AT" id="WznziuLw"/>
    <int:WordHash hashCode="D+JNg4tfviw40l" id="oxKZ0xKr"/>
    <int:WordHash hashCode="JXkT6dvYchZCxy" id="Niee29zo"/>
    <int:WordHash hashCode="3yk7zs3mJAGRjP" id="64GImXbR"/>
    <int:WordHash hashCode="skw70mOqDmWnl2" id="yrr37PQX"/>
  </int:Manifest>
  <int:Observations>
    <int:Content id="PiKvKM2a">
      <int:Rejection type="AugLoop_Text_Critique"/>
    </int:Content>
    <int:Content id="LdyFfgHy">
      <int:Rejection type="AugLoop_Text_Critique"/>
    </int:Content>
    <int:Content id="Rpq5uAnh">
      <int:Rejection type="AugLoop_Text_Critique"/>
    </int:Content>
    <int:Content id="A4hTbJZg">
      <int:Rejection type="AugLoop_Text_Critique"/>
    </int:Content>
    <int:Content id="R8dg658E">
      <int:Rejection type="AugLoop_Text_Critique"/>
    </int:Content>
    <int:Content id="ohYA8ASB">
      <int:Rejection type="AugLoop_Text_Critique"/>
    </int:Content>
    <int:Content id="XCLeVwvc">
      <int:Rejection type="AugLoop_Text_Critique"/>
    </int:Content>
    <int:Content id="VFnIXDHJ">
      <int:Rejection type="LegacyProofing"/>
    </int:Content>
    <int:Content id="pzQpwFsj">
      <int:Rejection type="AugLoop_Text_Critique"/>
    </int:Content>
    <int:Content id="URlYjKEc">
      <int:Rejection type="AugLoop_Text_Critique"/>
    </int:Content>
    <int:Content id="WznziuLw">
      <int:Rejection type="AugLoop_Text_Critique"/>
    </int:Content>
    <int:Content id="oxKZ0xKr">
      <int:Rejection type="AugLoop_Text_Critique"/>
    </int:Content>
    <int:Content id="Niee29zo">
      <int:Rejection type="LegacyProofing"/>
    </int:Content>
    <int:Content id="64GImXbR">
      <int:Rejection type="LegacyProofing"/>
    </int:Content>
    <int:Content id="yrr37PQX">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9BB1D1"/>
    <w:rsid w:val="0019BE52"/>
    <w:rsid w:val="0080E090"/>
    <w:rsid w:val="01495E78"/>
    <w:rsid w:val="01495E78"/>
    <w:rsid w:val="0191856E"/>
    <w:rsid w:val="0191856E"/>
    <w:rsid w:val="02359052"/>
    <w:rsid w:val="02D0F670"/>
    <w:rsid w:val="034BD38B"/>
    <w:rsid w:val="034BD38B"/>
    <w:rsid w:val="03D160B3"/>
    <w:rsid w:val="03FEAF6B"/>
    <w:rsid w:val="04E7A3EC"/>
    <w:rsid w:val="054C642D"/>
    <w:rsid w:val="055451B3"/>
    <w:rsid w:val="06841240"/>
    <w:rsid w:val="06841240"/>
    <w:rsid w:val="06E8348E"/>
    <w:rsid w:val="06E8348E"/>
    <w:rsid w:val="0797C87D"/>
    <w:rsid w:val="07A6A3B5"/>
    <w:rsid w:val="07A6A3B5"/>
    <w:rsid w:val="0810C841"/>
    <w:rsid w:val="08C637F4"/>
    <w:rsid w:val="09CF8089"/>
    <w:rsid w:val="0A167C6C"/>
    <w:rsid w:val="0AF39188"/>
    <w:rsid w:val="0BD3F92D"/>
    <w:rsid w:val="0C5EB059"/>
    <w:rsid w:val="0CB7562A"/>
    <w:rsid w:val="0D07214B"/>
    <w:rsid w:val="0D4E07FE"/>
    <w:rsid w:val="0D8C6954"/>
    <w:rsid w:val="0DDE322A"/>
    <w:rsid w:val="0DDE322A"/>
    <w:rsid w:val="1345E3D0"/>
    <w:rsid w:val="1345E3D0"/>
    <w:rsid w:val="13C8DE88"/>
    <w:rsid w:val="13E505DA"/>
    <w:rsid w:val="145D2328"/>
    <w:rsid w:val="1505B53C"/>
    <w:rsid w:val="1564AEE9"/>
    <w:rsid w:val="1564AEE9"/>
    <w:rsid w:val="15EF9AA5"/>
    <w:rsid w:val="15F8F389"/>
    <w:rsid w:val="16B58D93"/>
    <w:rsid w:val="174C8DE3"/>
    <w:rsid w:val="174C8DE3"/>
    <w:rsid w:val="17FCC640"/>
    <w:rsid w:val="18BF9E57"/>
    <w:rsid w:val="19959036"/>
    <w:rsid w:val="19959036"/>
    <w:rsid w:val="19E9D039"/>
    <w:rsid w:val="1A5B6EB8"/>
    <w:rsid w:val="1A842EA5"/>
    <w:rsid w:val="1BCF02D7"/>
    <w:rsid w:val="1BF73F19"/>
    <w:rsid w:val="1C1FFF06"/>
    <w:rsid w:val="1D63D9F3"/>
    <w:rsid w:val="1F06A399"/>
    <w:rsid w:val="1F579FC8"/>
    <w:rsid w:val="20A3CF40"/>
    <w:rsid w:val="20B47041"/>
    <w:rsid w:val="20B47041"/>
    <w:rsid w:val="20F37029"/>
    <w:rsid w:val="218CB050"/>
    <w:rsid w:val="267C50FF"/>
    <w:rsid w:val="27A64BF3"/>
    <w:rsid w:val="285D6A24"/>
    <w:rsid w:val="285D6A24"/>
    <w:rsid w:val="293A9252"/>
    <w:rsid w:val="29421C54"/>
    <w:rsid w:val="296F7D1A"/>
    <w:rsid w:val="298CD2FD"/>
    <w:rsid w:val="298CD2FD"/>
    <w:rsid w:val="2AA23FF5"/>
    <w:rsid w:val="2B2EA500"/>
    <w:rsid w:val="2B4F71E7"/>
    <w:rsid w:val="2B7067CB"/>
    <w:rsid w:val="2CDFA1AF"/>
    <w:rsid w:val="2FECB5A1"/>
    <w:rsid w:val="30F5901A"/>
    <w:rsid w:val="314D2E39"/>
    <w:rsid w:val="314D2E39"/>
    <w:rsid w:val="31888602"/>
    <w:rsid w:val="31981FF0"/>
    <w:rsid w:val="325C55AB"/>
    <w:rsid w:val="325F7440"/>
    <w:rsid w:val="33245663"/>
    <w:rsid w:val="3387D284"/>
    <w:rsid w:val="3387D284"/>
    <w:rsid w:val="339BB1D1"/>
    <w:rsid w:val="34D4B265"/>
    <w:rsid w:val="355F339E"/>
    <w:rsid w:val="367082C6"/>
    <w:rsid w:val="367082C6"/>
    <w:rsid w:val="37055D1F"/>
    <w:rsid w:val="37F398A6"/>
    <w:rsid w:val="37F398A6"/>
    <w:rsid w:val="3803F662"/>
    <w:rsid w:val="38A3939A"/>
    <w:rsid w:val="38A3939A"/>
    <w:rsid w:val="38B032B0"/>
    <w:rsid w:val="38B032B0"/>
    <w:rsid w:val="39A4FC5A"/>
    <w:rsid w:val="39A4FC5A"/>
    <w:rsid w:val="39A82388"/>
    <w:rsid w:val="3AE30361"/>
    <w:rsid w:val="3B95CB74"/>
    <w:rsid w:val="3BBE9D10"/>
    <w:rsid w:val="3C543420"/>
    <w:rsid w:val="3CDFC44A"/>
    <w:rsid w:val="3CDFC44A"/>
    <w:rsid w:val="3CE2850F"/>
    <w:rsid w:val="3D2ECEB6"/>
    <w:rsid w:val="3D3C7DB8"/>
    <w:rsid w:val="4017650C"/>
    <w:rsid w:val="40666F78"/>
    <w:rsid w:val="40741E7A"/>
    <w:rsid w:val="40DC05E9"/>
    <w:rsid w:val="4163B587"/>
    <w:rsid w:val="41B3356D"/>
    <w:rsid w:val="41B4623F"/>
    <w:rsid w:val="41B4623F"/>
    <w:rsid w:val="41C3EC99"/>
    <w:rsid w:val="420FEEDB"/>
    <w:rsid w:val="427D494A"/>
    <w:rsid w:val="427D494A"/>
    <w:rsid w:val="42AF71CB"/>
    <w:rsid w:val="4310F4B3"/>
    <w:rsid w:val="4310F4B3"/>
    <w:rsid w:val="43ABBF3C"/>
    <w:rsid w:val="444E4897"/>
    <w:rsid w:val="444E4897"/>
    <w:rsid w:val="449F822F"/>
    <w:rsid w:val="44DA0934"/>
    <w:rsid w:val="45478F9D"/>
    <w:rsid w:val="45478F9D"/>
    <w:rsid w:val="4686A690"/>
    <w:rsid w:val="4687D362"/>
    <w:rsid w:val="46D5B0FC"/>
    <w:rsid w:val="47621607"/>
    <w:rsid w:val="47621607"/>
    <w:rsid w:val="4800B561"/>
    <w:rsid w:val="482572C4"/>
    <w:rsid w:val="48992627"/>
    <w:rsid w:val="489EB1B0"/>
    <w:rsid w:val="4905D3EE"/>
    <w:rsid w:val="4905D3EE"/>
    <w:rsid w:val="4972F352"/>
    <w:rsid w:val="4A2CAFEE"/>
    <w:rsid w:val="4A46D1AD"/>
    <w:rsid w:val="4BDCAE60"/>
    <w:rsid w:val="4C10C18D"/>
    <w:rsid w:val="4C10C18D"/>
    <w:rsid w:val="4CFDD59A"/>
    <w:rsid w:val="4D787EC1"/>
    <w:rsid w:val="4DD94511"/>
    <w:rsid w:val="4DF22472"/>
    <w:rsid w:val="4DF22472"/>
    <w:rsid w:val="5095BB9F"/>
    <w:rsid w:val="5164DCDA"/>
    <w:rsid w:val="5164DCDA"/>
    <w:rsid w:val="521863A3"/>
    <w:rsid w:val="521863A3"/>
    <w:rsid w:val="52231E48"/>
    <w:rsid w:val="531A712D"/>
    <w:rsid w:val="531A712D"/>
    <w:rsid w:val="536E43F0"/>
    <w:rsid w:val="54B6418E"/>
    <w:rsid w:val="54CAD664"/>
    <w:rsid w:val="550A1451"/>
    <w:rsid w:val="557F96B5"/>
    <w:rsid w:val="55CB2E99"/>
    <w:rsid w:val="55E456F6"/>
    <w:rsid w:val="55E456F6"/>
    <w:rsid w:val="56057418"/>
    <w:rsid w:val="57802757"/>
    <w:rsid w:val="5787A245"/>
    <w:rsid w:val="5787A245"/>
    <w:rsid w:val="57A14479"/>
    <w:rsid w:val="57D41E5E"/>
    <w:rsid w:val="57D41E5E"/>
    <w:rsid w:val="583C05CD"/>
    <w:rsid w:val="5841B513"/>
    <w:rsid w:val="58D61C38"/>
    <w:rsid w:val="593D14DA"/>
    <w:rsid w:val="593D14DA"/>
    <w:rsid w:val="59DD8574"/>
    <w:rsid w:val="5A70F497"/>
    <w:rsid w:val="5A71EC99"/>
    <w:rsid w:val="5A9E9FBC"/>
    <w:rsid w:val="5A9E9FBC"/>
    <w:rsid w:val="5B73A68F"/>
    <w:rsid w:val="5B73A68F"/>
    <w:rsid w:val="5C3A701D"/>
    <w:rsid w:val="5C74B59C"/>
    <w:rsid w:val="5D152636"/>
    <w:rsid w:val="5D152636"/>
    <w:rsid w:val="5D5B164A"/>
    <w:rsid w:val="5D7DFE31"/>
    <w:rsid w:val="5D7DFE31"/>
    <w:rsid w:val="5DEF68DB"/>
    <w:rsid w:val="5F8B393C"/>
    <w:rsid w:val="611E4736"/>
    <w:rsid w:val="618B4216"/>
    <w:rsid w:val="618CAFD2"/>
    <w:rsid w:val="62120A29"/>
    <w:rsid w:val="62A94A9C"/>
    <w:rsid w:val="62BB4469"/>
    <w:rsid w:val="63124911"/>
    <w:rsid w:val="63ED3FB5"/>
    <w:rsid w:val="63ED3FB5"/>
    <w:rsid w:val="644949DD"/>
    <w:rsid w:val="64A4F264"/>
    <w:rsid w:val="64A4F264"/>
    <w:rsid w:val="653E328B"/>
    <w:rsid w:val="653E328B"/>
    <w:rsid w:val="67849DB2"/>
    <w:rsid w:val="6A7A7111"/>
    <w:rsid w:val="6B20524D"/>
    <w:rsid w:val="6BA88679"/>
    <w:rsid w:val="6BC9A39B"/>
    <w:rsid w:val="6BC9A39B"/>
    <w:rsid w:val="6C68E763"/>
    <w:rsid w:val="6C7160CE"/>
    <w:rsid w:val="6CB00449"/>
    <w:rsid w:val="6CB7F1CF"/>
    <w:rsid w:val="6CB7F1CF"/>
    <w:rsid w:val="6D87A407"/>
    <w:rsid w:val="6F79178C"/>
    <w:rsid w:val="6FA90190"/>
    <w:rsid w:val="6FE7A50B"/>
    <w:rsid w:val="7017375B"/>
    <w:rsid w:val="70FF3F6D"/>
    <w:rsid w:val="714D0FB2"/>
    <w:rsid w:val="7183756C"/>
    <w:rsid w:val="7183756C"/>
    <w:rsid w:val="72038D36"/>
    <w:rsid w:val="7339A9B1"/>
    <w:rsid w:val="7339A9B1"/>
    <w:rsid w:val="73BB134C"/>
    <w:rsid w:val="7512E8DD"/>
    <w:rsid w:val="75A72166"/>
    <w:rsid w:val="7685AE96"/>
    <w:rsid w:val="76AEB93E"/>
    <w:rsid w:val="780920E3"/>
    <w:rsid w:val="78217EF7"/>
    <w:rsid w:val="78217EF7"/>
    <w:rsid w:val="786DE124"/>
    <w:rsid w:val="7A094A80"/>
    <w:rsid w:val="7BA949C1"/>
    <w:rsid w:val="7BA949C1"/>
    <w:rsid w:val="7C0BE7CC"/>
    <w:rsid w:val="7C8505F5"/>
    <w:rsid w:val="7CDC9206"/>
    <w:rsid w:val="7CDC9206"/>
    <w:rsid w:val="7DA7B82D"/>
    <w:rsid w:val="7E04AF04"/>
    <w:rsid w:val="7E1ED285"/>
    <w:rsid w:val="7E59E4AB"/>
    <w:rsid w:val="7E69E5FA"/>
    <w:rsid w:val="7E786267"/>
    <w:rsid w:val="7EDD22A8"/>
    <w:rsid w:val="7F0E9E81"/>
    <w:rsid w:val="7F0E9E81"/>
    <w:rsid w:val="7F1EE573"/>
    <w:rsid w:val="7FE9A6F3"/>
    <w:rsid w:val="7FF5B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BB1D1"/>
  <w15:chartTrackingRefBased/>
  <w15:docId w15:val="{D88D2AB0-7007-4BF3-B6D6-CD9AA520B5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ad.kortext.com/reader/pdf/475475/18" TargetMode="External" Id="Ra3f01ad5ec514d00" /><Relationship Type="http://schemas.openxmlformats.org/officeDocument/2006/relationships/hyperlink" Target="https://www.open.edu/openlearn/society-politics-law/judges-and-the-law/content-section-6.3" TargetMode="External" Id="R19a1f7bcd15b4ebf" /><Relationship Type="http://schemas.openxmlformats.org/officeDocument/2006/relationships/hyperlink" Target="https://www.inbrief.co.uk/legal-system/statutory-interpretation/" TargetMode="External" Id="R7857846e2c7b49c5" /><Relationship Type="http://schemas.openxmlformats.org/officeDocument/2006/relationships/hyperlink" Target="https://www.open.edu/openlearn/mod/oucontent/view.php?id=68342&amp;section=3" TargetMode="External" Id="Recf980e14fd34d59" /><Relationship Type="http://schemas.openxmlformats.org/officeDocument/2006/relationships/hyperlink" Target="https://www.culs.org.uk/per-incuriam/statutory-interpretation-explained" TargetMode="External" Id="Rb0f1388dd9a1482c" /><Relationship Type="http://schemas.openxmlformats.org/officeDocument/2006/relationships/hyperlink" Target="https://www.lawctopus.com/academike/mischief-rule-statutory-interpretation/" TargetMode="External" Id="R1d1f8a0408814f0e" /><Relationship Type="http://schemas.openxmlformats.org/officeDocument/2006/relationships/hyperlink" Target="https://www.studocu.com/en-gb/document/sheffield-hallam-university/law/benefits-and-drawbacks-statutory-interpretation/1593450" TargetMode="External" Id="Rddf32660a1f847e0" /><Relationship Type="http://schemas.openxmlformats.org/officeDocument/2006/relationships/hyperlink" Target="https://www.studocu.com/en-gb/document/middlesex-university-london/english-legal-system/mischief-rule-examples-advantages-disadvantages-and-rectification/13459730" TargetMode="External" Id="R4ca89484311640ca" /><Relationship Type="http://schemas.openxmlformats.org/officeDocument/2006/relationships/hyperlink" Target="https://swarb.co.uk/adler-v-george-qbd-1964/" TargetMode="External" Id="Radc478b9a0604c54" /><Relationship Type="http://schemas.openxmlformats.org/officeDocument/2006/relationships/hyperlink" Target="https://swarb.co.uk/smith-v-hughes-qbd-1960/" TargetMode="External" Id="R51c2a803f1d1419d" /><Relationship Type="http://schemas.openxmlformats.org/officeDocument/2006/relationships/hyperlink" Target="https://www.thelawlane.com/fisher-v-bellabridged/" TargetMode="External" Id="R3b080fb27e6f4928" /><Relationship Type="http://schemas.microsoft.com/office/2019/09/relationships/intelligence" Target="/word/intelligence.xml" Id="Rb6ccd7f6d0c14f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2</revision>
  <dcterms:created xsi:type="dcterms:W3CDTF">2022-05-01T15:37:09.1273635Z</dcterms:created>
  <dcterms:modified xsi:type="dcterms:W3CDTF">2022-05-03T22:24:03.6838310Z</dcterms:modified>
</coreProperties>
</file>