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DC866" w14:textId="1FAB7BB7" w:rsidR="003901C2" w:rsidRPr="00462D31" w:rsidRDefault="003901C2" w:rsidP="003901C2">
      <w:pPr>
        <w:pStyle w:val="TableParagraph"/>
        <w:spacing w:before="120"/>
        <w:ind w:left="105"/>
        <w:jc w:val="center"/>
        <w:rPr>
          <w:rFonts w:asciiTheme="minorHAnsi" w:hAnsiTheme="minorHAnsi" w:cstheme="minorHAnsi"/>
          <w:b/>
        </w:rPr>
      </w:pPr>
    </w:p>
    <w:p w14:paraId="4F358942" w14:textId="4D6491BC" w:rsidR="003901C2" w:rsidRPr="00462D31" w:rsidRDefault="003901C2" w:rsidP="003901C2">
      <w:pPr>
        <w:pStyle w:val="TableParagraph"/>
        <w:spacing w:before="120"/>
        <w:ind w:left="105"/>
        <w:jc w:val="center"/>
        <w:rPr>
          <w:rFonts w:asciiTheme="minorHAnsi" w:hAnsiTheme="minorHAnsi" w:cstheme="minorHAnsi"/>
          <w:b/>
        </w:rPr>
      </w:pPr>
      <w:r w:rsidRPr="00462D31">
        <w:rPr>
          <w:rFonts w:asciiTheme="minorHAnsi" w:hAnsiTheme="minorHAnsi" w:cstheme="minorHAnsi"/>
          <w:b/>
          <w:noProof/>
        </w:rPr>
        <w:drawing>
          <wp:inline distT="0" distB="0" distL="0" distR="0" wp14:anchorId="064C2CA0" wp14:editId="77F6AD55">
            <wp:extent cx="1810385" cy="597535"/>
            <wp:effectExtent l="0" t="0" r="0" b="0"/>
            <wp:docPr id="5909419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inline>
        </w:drawing>
      </w:r>
    </w:p>
    <w:p w14:paraId="43EED7F7" w14:textId="77777777" w:rsidR="003901C2" w:rsidRPr="00462D31" w:rsidRDefault="003901C2" w:rsidP="003901C2">
      <w:pPr>
        <w:pStyle w:val="TableParagraph"/>
        <w:spacing w:before="120"/>
        <w:ind w:left="105"/>
        <w:jc w:val="center"/>
        <w:rPr>
          <w:rFonts w:asciiTheme="minorHAnsi" w:hAnsiTheme="minorHAnsi" w:cstheme="minorHAnsi"/>
          <w:b/>
        </w:rPr>
      </w:pPr>
    </w:p>
    <w:p w14:paraId="75C03CAF" w14:textId="29FAD5DC" w:rsidR="003901C2" w:rsidRPr="00462D31" w:rsidRDefault="003901C2" w:rsidP="003901C2">
      <w:pPr>
        <w:pStyle w:val="TableParagraph"/>
        <w:spacing w:before="120"/>
        <w:ind w:left="105"/>
        <w:jc w:val="center"/>
        <w:rPr>
          <w:rFonts w:asciiTheme="minorHAnsi" w:hAnsiTheme="minorHAnsi" w:cstheme="minorHAnsi"/>
          <w:b/>
        </w:rPr>
      </w:pPr>
    </w:p>
    <w:p w14:paraId="02E529FE" w14:textId="77777777" w:rsidR="003901C2" w:rsidRPr="00462D31" w:rsidRDefault="003901C2" w:rsidP="003901C2">
      <w:pPr>
        <w:pStyle w:val="TableParagraph"/>
        <w:spacing w:before="120"/>
        <w:ind w:left="105"/>
        <w:jc w:val="center"/>
        <w:rPr>
          <w:rFonts w:asciiTheme="minorHAnsi" w:hAnsiTheme="minorHAnsi" w:cstheme="minorHAnsi"/>
          <w:b/>
        </w:rPr>
      </w:pPr>
      <w:r w:rsidRPr="00462D31">
        <w:rPr>
          <w:rFonts w:asciiTheme="minorHAnsi" w:hAnsiTheme="minorHAnsi" w:cstheme="minorHAnsi"/>
          <w:b/>
        </w:rPr>
        <w:t>Portfolio</w:t>
      </w:r>
      <w:r w:rsidRPr="00462D31">
        <w:rPr>
          <w:rFonts w:asciiTheme="minorHAnsi" w:hAnsiTheme="minorHAnsi" w:cstheme="minorHAnsi"/>
          <w:b/>
          <w:spacing w:val="-3"/>
        </w:rPr>
        <w:t xml:space="preserve"> </w:t>
      </w:r>
      <w:r w:rsidRPr="00462D31">
        <w:rPr>
          <w:rFonts w:asciiTheme="minorHAnsi" w:hAnsiTheme="minorHAnsi" w:cstheme="minorHAnsi"/>
          <w:b/>
        </w:rPr>
        <w:t>–</w:t>
      </w:r>
      <w:r w:rsidRPr="00462D31">
        <w:rPr>
          <w:rFonts w:asciiTheme="minorHAnsi" w:hAnsiTheme="minorHAnsi" w:cstheme="minorHAnsi"/>
          <w:b/>
          <w:spacing w:val="-3"/>
        </w:rPr>
        <w:t xml:space="preserve"> </w:t>
      </w:r>
      <w:r w:rsidRPr="00462D31">
        <w:rPr>
          <w:rFonts w:asciiTheme="minorHAnsi" w:hAnsiTheme="minorHAnsi" w:cstheme="minorHAnsi"/>
          <w:b/>
        </w:rPr>
        <w:t>Two</w:t>
      </w:r>
      <w:r w:rsidRPr="00462D31">
        <w:rPr>
          <w:rFonts w:asciiTheme="minorHAnsi" w:hAnsiTheme="minorHAnsi" w:cstheme="minorHAnsi"/>
          <w:b/>
          <w:spacing w:val="-3"/>
        </w:rPr>
        <w:t xml:space="preserve"> </w:t>
      </w:r>
      <w:r w:rsidRPr="00462D31">
        <w:rPr>
          <w:rFonts w:asciiTheme="minorHAnsi" w:hAnsiTheme="minorHAnsi" w:cstheme="minorHAnsi"/>
          <w:b/>
          <w:spacing w:val="-2"/>
        </w:rPr>
        <w:t>Tasks</w:t>
      </w:r>
    </w:p>
    <w:p w14:paraId="5A25F4A7" w14:textId="77777777" w:rsidR="003901C2" w:rsidRPr="00462D31" w:rsidRDefault="003901C2" w:rsidP="003901C2">
      <w:pPr>
        <w:pStyle w:val="TableParagraph"/>
        <w:spacing w:before="120"/>
        <w:ind w:left="105"/>
        <w:jc w:val="center"/>
        <w:rPr>
          <w:rFonts w:asciiTheme="minorHAnsi" w:hAnsiTheme="minorHAnsi" w:cstheme="minorHAnsi"/>
          <w:b/>
        </w:rPr>
      </w:pPr>
    </w:p>
    <w:p w14:paraId="4E7D2042" w14:textId="77777777" w:rsidR="003901C2" w:rsidRPr="00462D31" w:rsidRDefault="003901C2" w:rsidP="003901C2">
      <w:pPr>
        <w:pStyle w:val="TableParagraph"/>
        <w:spacing w:before="120"/>
        <w:ind w:left="105"/>
        <w:jc w:val="center"/>
        <w:rPr>
          <w:rFonts w:asciiTheme="minorHAnsi" w:hAnsiTheme="minorHAnsi" w:cstheme="minorHAnsi"/>
          <w:b/>
        </w:rPr>
      </w:pPr>
    </w:p>
    <w:p w14:paraId="71553269" w14:textId="77777777" w:rsidR="003901C2" w:rsidRPr="00462D31" w:rsidRDefault="003901C2" w:rsidP="003901C2">
      <w:pPr>
        <w:pStyle w:val="TableParagraph"/>
        <w:spacing w:before="120"/>
        <w:ind w:left="105"/>
        <w:jc w:val="center"/>
        <w:rPr>
          <w:rFonts w:asciiTheme="minorHAnsi" w:hAnsiTheme="minorHAnsi" w:cstheme="minorHAnsi"/>
          <w:b/>
        </w:rPr>
      </w:pPr>
    </w:p>
    <w:p w14:paraId="680738AA" w14:textId="77777777" w:rsidR="003901C2" w:rsidRPr="00462D31" w:rsidRDefault="003901C2" w:rsidP="003901C2">
      <w:pPr>
        <w:pStyle w:val="TableParagraph"/>
        <w:spacing w:before="120"/>
        <w:ind w:left="105"/>
        <w:jc w:val="center"/>
        <w:rPr>
          <w:rFonts w:asciiTheme="minorHAnsi" w:hAnsiTheme="minorHAnsi" w:cstheme="minorHAnsi"/>
          <w:b/>
        </w:rPr>
      </w:pPr>
    </w:p>
    <w:p w14:paraId="743C490B" w14:textId="77777777" w:rsidR="003901C2" w:rsidRPr="00462D31" w:rsidRDefault="003901C2" w:rsidP="003901C2">
      <w:pPr>
        <w:pStyle w:val="TableParagraph"/>
        <w:spacing w:before="120"/>
        <w:ind w:left="105"/>
        <w:jc w:val="center"/>
        <w:rPr>
          <w:rFonts w:asciiTheme="minorHAnsi" w:hAnsiTheme="minorHAnsi" w:cstheme="minorHAnsi"/>
          <w:b/>
        </w:rPr>
      </w:pPr>
    </w:p>
    <w:p w14:paraId="21C5EF71" w14:textId="67D5D776" w:rsidR="003901C2" w:rsidRPr="00462D31" w:rsidRDefault="003901C2" w:rsidP="003901C2">
      <w:pPr>
        <w:pStyle w:val="TableParagraph"/>
        <w:spacing w:before="120"/>
        <w:jc w:val="center"/>
        <w:rPr>
          <w:rFonts w:asciiTheme="minorHAnsi" w:hAnsiTheme="minorHAnsi" w:cstheme="minorHAnsi"/>
          <w:b/>
          <w:spacing w:val="-4"/>
        </w:rPr>
      </w:pPr>
      <w:r w:rsidRPr="00462D31">
        <w:rPr>
          <w:rFonts w:asciiTheme="minorHAnsi" w:hAnsiTheme="minorHAnsi" w:cstheme="minorHAnsi"/>
          <w:b/>
          <w:spacing w:val="-2"/>
        </w:rPr>
        <w:t xml:space="preserve">Module: </w:t>
      </w:r>
      <w:r w:rsidRPr="00462D31">
        <w:rPr>
          <w:rFonts w:asciiTheme="minorHAnsi" w:hAnsiTheme="minorHAnsi" w:cstheme="minorHAnsi"/>
          <w:b/>
        </w:rPr>
        <w:t>Introduction</w:t>
      </w:r>
      <w:r w:rsidRPr="00462D31">
        <w:rPr>
          <w:rFonts w:asciiTheme="minorHAnsi" w:hAnsiTheme="minorHAnsi" w:cstheme="minorHAnsi"/>
          <w:b/>
          <w:spacing w:val="-7"/>
        </w:rPr>
        <w:t xml:space="preserve"> </w:t>
      </w:r>
      <w:r w:rsidRPr="00462D31">
        <w:rPr>
          <w:rFonts w:asciiTheme="minorHAnsi" w:hAnsiTheme="minorHAnsi" w:cstheme="minorHAnsi"/>
          <w:b/>
        </w:rPr>
        <w:t>to</w:t>
      </w:r>
      <w:r w:rsidRPr="00462D31">
        <w:rPr>
          <w:rFonts w:asciiTheme="minorHAnsi" w:hAnsiTheme="minorHAnsi" w:cstheme="minorHAnsi"/>
          <w:b/>
          <w:spacing w:val="-5"/>
        </w:rPr>
        <w:t xml:space="preserve"> </w:t>
      </w:r>
      <w:r w:rsidRPr="00462D31">
        <w:rPr>
          <w:rFonts w:asciiTheme="minorHAnsi" w:hAnsiTheme="minorHAnsi" w:cstheme="minorHAnsi"/>
          <w:b/>
        </w:rPr>
        <w:t>Health</w:t>
      </w:r>
      <w:r w:rsidRPr="00462D31">
        <w:rPr>
          <w:rFonts w:asciiTheme="minorHAnsi" w:hAnsiTheme="minorHAnsi" w:cstheme="minorHAnsi"/>
          <w:b/>
          <w:spacing w:val="-6"/>
        </w:rPr>
        <w:t xml:space="preserve"> </w:t>
      </w:r>
      <w:r w:rsidRPr="00462D31">
        <w:rPr>
          <w:rFonts w:asciiTheme="minorHAnsi" w:hAnsiTheme="minorHAnsi" w:cstheme="minorHAnsi"/>
          <w:b/>
        </w:rPr>
        <w:t>and</w:t>
      </w:r>
      <w:r w:rsidRPr="00462D31">
        <w:rPr>
          <w:rFonts w:asciiTheme="minorHAnsi" w:hAnsiTheme="minorHAnsi" w:cstheme="minorHAnsi"/>
          <w:b/>
          <w:spacing w:val="-3"/>
        </w:rPr>
        <w:t xml:space="preserve"> </w:t>
      </w:r>
      <w:r w:rsidRPr="00462D31">
        <w:rPr>
          <w:rFonts w:asciiTheme="minorHAnsi" w:hAnsiTheme="minorHAnsi" w:cstheme="minorHAnsi"/>
          <w:b/>
        </w:rPr>
        <w:t>Social</w:t>
      </w:r>
      <w:r w:rsidRPr="00462D31">
        <w:rPr>
          <w:rFonts w:asciiTheme="minorHAnsi" w:hAnsiTheme="minorHAnsi" w:cstheme="minorHAnsi"/>
          <w:b/>
          <w:spacing w:val="-3"/>
        </w:rPr>
        <w:t xml:space="preserve"> </w:t>
      </w:r>
      <w:r w:rsidRPr="00462D31">
        <w:rPr>
          <w:rFonts w:asciiTheme="minorHAnsi" w:hAnsiTheme="minorHAnsi" w:cstheme="minorHAnsi"/>
          <w:b/>
          <w:spacing w:val="-4"/>
        </w:rPr>
        <w:t>Car</w:t>
      </w:r>
      <w:r w:rsidR="00A7745B">
        <w:rPr>
          <w:rFonts w:asciiTheme="minorHAnsi" w:hAnsiTheme="minorHAnsi" w:cstheme="minorHAnsi"/>
          <w:b/>
          <w:spacing w:val="-4"/>
        </w:rPr>
        <w:t>e</w:t>
      </w:r>
    </w:p>
    <w:p w14:paraId="66A2E91B" w14:textId="4B77BD14" w:rsidR="003901C2" w:rsidRPr="00462D31" w:rsidRDefault="003901C2" w:rsidP="003901C2">
      <w:pPr>
        <w:jc w:val="center"/>
        <w:rPr>
          <w:rFonts w:eastAsia="Arial MT" w:cstheme="minorHAnsi"/>
          <w:b/>
          <w:spacing w:val="-2"/>
          <w:kern w:val="0"/>
          <w:szCs w:val="22"/>
          <w:lang w:val="en-US" w:bidi="ar-SA"/>
          <w14:ligatures w14:val="none"/>
        </w:rPr>
      </w:pPr>
      <w:r w:rsidRPr="00462D31">
        <w:rPr>
          <w:rFonts w:eastAsia="Arial MT" w:cstheme="minorHAnsi"/>
          <w:b/>
          <w:spacing w:val="-2"/>
          <w:kern w:val="0"/>
          <w:szCs w:val="22"/>
          <w:lang w:val="en-US" w:bidi="ar-SA"/>
          <w14:ligatures w14:val="none"/>
        </w:rPr>
        <w:t>Module code:</w:t>
      </w:r>
      <w:r w:rsidRPr="00462D31">
        <w:rPr>
          <w:rFonts w:eastAsia="Arial MT" w:cstheme="minorHAnsi"/>
          <w:b/>
          <w:spacing w:val="-2"/>
          <w:kern w:val="0"/>
          <w:szCs w:val="22"/>
          <w:lang w:val="en-US" w:bidi="ar-SA"/>
          <w14:ligatures w14:val="none"/>
        </w:rPr>
        <w:tab/>
        <w:t>LCHS4003</w:t>
      </w:r>
    </w:p>
    <w:p w14:paraId="54D50CCC" w14:textId="2E73FF80" w:rsidR="00462D31" w:rsidRPr="00462D31" w:rsidRDefault="003D1B0D" w:rsidP="003901C2">
      <w:pPr>
        <w:jc w:val="center"/>
        <w:rPr>
          <w:rFonts w:eastAsia="Arial MT" w:cstheme="minorHAnsi"/>
          <w:b/>
          <w:spacing w:val="-2"/>
          <w:kern w:val="0"/>
          <w:szCs w:val="22"/>
          <w:lang w:val="en-US" w:bidi="ar-SA"/>
          <w14:ligatures w14:val="none"/>
        </w:rPr>
      </w:pPr>
      <w:r>
        <w:rPr>
          <w:rFonts w:eastAsia="Arial MT" w:cstheme="minorHAnsi"/>
          <w:b/>
          <w:spacing w:val="-2"/>
          <w:kern w:val="0"/>
          <w:szCs w:val="22"/>
          <w:lang w:val="en-US" w:bidi="ar-SA"/>
          <w14:ligatures w14:val="none"/>
        </w:rPr>
        <w:t>Lec</w:t>
      </w:r>
      <w:r w:rsidR="003C4F37">
        <w:rPr>
          <w:rFonts w:eastAsia="Arial MT" w:cstheme="minorHAnsi"/>
          <w:b/>
          <w:spacing w:val="-2"/>
          <w:kern w:val="0"/>
          <w:szCs w:val="22"/>
          <w:lang w:val="en-US" w:bidi="ar-SA"/>
          <w14:ligatures w14:val="none"/>
        </w:rPr>
        <w:t>turer Name</w:t>
      </w:r>
      <w:r w:rsidR="003D4399">
        <w:rPr>
          <w:rFonts w:eastAsia="Arial MT" w:cstheme="minorHAnsi"/>
          <w:b/>
          <w:spacing w:val="-2"/>
          <w:kern w:val="0"/>
          <w:szCs w:val="22"/>
          <w:lang w:val="en-US" w:bidi="ar-SA"/>
          <w14:ligatures w14:val="none"/>
        </w:rPr>
        <w:t xml:space="preserve"> : Mark Kane</w:t>
      </w:r>
    </w:p>
    <w:p w14:paraId="0C58C16F" w14:textId="75945A84" w:rsidR="00462D31" w:rsidRPr="00462D31" w:rsidRDefault="00462D31" w:rsidP="003901C2">
      <w:pPr>
        <w:jc w:val="center"/>
        <w:rPr>
          <w:rFonts w:eastAsia="Arial MT" w:cstheme="minorHAnsi"/>
          <w:b/>
          <w:spacing w:val="-2"/>
          <w:kern w:val="0"/>
          <w:szCs w:val="22"/>
          <w:lang w:val="en-US" w:bidi="ar-SA"/>
          <w14:ligatures w14:val="none"/>
        </w:rPr>
      </w:pPr>
      <w:r w:rsidRPr="00462D31">
        <w:rPr>
          <w:rFonts w:eastAsia="Arial MT" w:cstheme="minorHAnsi"/>
          <w:b/>
          <w:spacing w:val="-2"/>
          <w:kern w:val="0"/>
          <w:szCs w:val="22"/>
          <w:lang w:val="en-US" w:bidi="ar-SA"/>
          <w14:ligatures w14:val="none"/>
        </w:rPr>
        <w:t>Name: Mansur Alam</w:t>
      </w:r>
    </w:p>
    <w:p w14:paraId="6C791FFB" w14:textId="7F8095B4" w:rsidR="00462D31" w:rsidRPr="00462D31" w:rsidRDefault="00462D31" w:rsidP="003901C2">
      <w:pPr>
        <w:jc w:val="center"/>
        <w:rPr>
          <w:rFonts w:eastAsia="Arial MT" w:cstheme="minorHAnsi"/>
          <w:b/>
          <w:spacing w:val="-2"/>
          <w:kern w:val="0"/>
          <w:szCs w:val="22"/>
          <w:lang w:val="en-US" w:bidi="ar-SA"/>
          <w14:ligatures w14:val="none"/>
        </w:rPr>
      </w:pPr>
      <w:r w:rsidRPr="00462D31">
        <w:rPr>
          <w:rFonts w:eastAsia="Arial MT" w:cstheme="minorHAnsi"/>
          <w:b/>
          <w:spacing w:val="-2"/>
          <w:kern w:val="0"/>
          <w:szCs w:val="22"/>
          <w:lang w:val="en-US" w:bidi="ar-SA"/>
          <w14:ligatures w14:val="none"/>
        </w:rPr>
        <w:t>ID: 2441879</w:t>
      </w:r>
    </w:p>
    <w:p w14:paraId="4B9D778A" w14:textId="18C7D9FE" w:rsidR="003901C2" w:rsidRPr="00462D31" w:rsidRDefault="003901C2">
      <w:pPr>
        <w:rPr>
          <w:rFonts w:eastAsia="Arial MT" w:cstheme="minorHAnsi"/>
          <w:b/>
          <w:spacing w:val="-2"/>
          <w:kern w:val="0"/>
          <w:szCs w:val="22"/>
          <w:lang w:val="en-US" w:bidi="ar-SA"/>
          <w14:ligatures w14:val="none"/>
        </w:rPr>
      </w:pPr>
      <w:r w:rsidRPr="00462D31">
        <w:rPr>
          <w:rFonts w:eastAsia="Arial MT" w:cstheme="minorHAnsi"/>
          <w:b/>
          <w:spacing w:val="-2"/>
          <w:kern w:val="0"/>
          <w:szCs w:val="22"/>
          <w:lang w:val="en-US" w:bidi="ar-SA"/>
          <w14:ligatures w14:val="none"/>
        </w:rPr>
        <w:br w:type="page"/>
      </w:r>
    </w:p>
    <w:p w14:paraId="36D60482" w14:textId="5C218488" w:rsidR="003901C2" w:rsidRPr="00462D31" w:rsidRDefault="003901C2" w:rsidP="003901C2">
      <w:pPr>
        <w:spacing w:after="0"/>
        <w:jc w:val="center"/>
        <w:rPr>
          <w:rFonts w:cstheme="minorHAnsi"/>
          <w:b/>
          <w:bCs/>
          <w:u w:val="single"/>
        </w:rPr>
      </w:pPr>
      <w:r w:rsidRPr="00462D31">
        <w:rPr>
          <w:rFonts w:cstheme="minorHAnsi"/>
          <w:noProof/>
          <w:lang w:val="en-US" w:bidi="ar-SA"/>
        </w:rPr>
        <w:lastRenderedPageBreak/>
        <w:drawing>
          <wp:anchor distT="0" distB="0" distL="114300" distR="114300" simplePos="0" relativeHeight="251658240" behindDoc="0" locked="0" layoutInCell="1" allowOverlap="1" wp14:anchorId="5B689F76" wp14:editId="7532D7BF">
            <wp:simplePos x="0" y="0"/>
            <wp:positionH relativeFrom="margin">
              <wp:posOffset>-572770</wp:posOffset>
            </wp:positionH>
            <wp:positionV relativeFrom="margin">
              <wp:posOffset>222250</wp:posOffset>
            </wp:positionV>
            <wp:extent cx="6837680" cy="9103995"/>
            <wp:effectExtent l="0" t="0" r="1270" b="1905"/>
            <wp:wrapSquare wrapText="bothSides"/>
            <wp:docPr id="20420126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7680" cy="9103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2D31" w:rsidRPr="00462D31">
        <w:rPr>
          <w:rFonts w:cstheme="minorHAnsi"/>
          <w:b/>
          <w:bCs/>
          <w:u w:val="single"/>
        </w:rPr>
        <w:t>TASK</w:t>
      </w:r>
      <w:r w:rsidRPr="00462D31">
        <w:rPr>
          <w:rFonts w:cstheme="minorHAnsi"/>
          <w:b/>
          <w:bCs/>
          <w:u w:val="single"/>
        </w:rPr>
        <w:t xml:space="preserve"> </w:t>
      </w:r>
      <w:r w:rsidR="00462D31" w:rsidRPr="00462D31">
        <w:rPr>
          <w:rFonts w:cstheme="minorHAnsi"/>
          <w:b/>
          <w:bCs/>
          <w:u w:val="single"/>
        </w:rPr>
        <w:t>1: POSTER</w:t>
      </w:r>
    </w:p>
    <w:p w14:paraId="0F85BFFD" w14:textId="781959C0" w:rsidR="003901C2" w:rsidRPr="00462D31" w:rsidRDefault="00462D31" w:rsidP="003901C2">
      <w:pPr>
        <w:rPr>
          <w:rFonts w:cstheme="minorHAnsi"/>
          <w:b/>
          <w:bCs/>
          <w:sz w:val="24"/>
          <w:szCs w:val="24"/>
        </w:rPr>
      </w:pPr>
      <w:r w:rsidRPr="00462D31">
        <w:rPr>
          <w:rFonts w:cstheme="minorHAnsi"/>
          <w:b/>
          <w:bCs/>
          <w:sz w:val="24"/>
          <w:szCs w:val="24"/>
        </w:rPr>
        <w:lastRenderedPageBreak/>
        <w:t>REFERENCES</w:t>
      </w:r>
    </w:p>
    <w:p w14:paraId="42F29DE6"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Anim-Somuah, N. and Mills, I. (2024) ‘Reflections on ethnic diversity within a dental desert’, </w:t>
      </w:r>
      <w:r w:rsidRPr="009B522F">
        <w:rPr>
          <w:rFonts w:cstheme="minorHAnsi"/>
          <w:i/>
          <w:iCs/>
          <w:sz w:val="24"/>
          <w:szCs w:val="24"/>
        </w:rPr>
        <w:t>British Dental Journal</w:t>
      </w:r>
      <w:r w:rsidRPr="009B522F">
        <w:rPr>
          <w:rFonts w:cstheme="minorHAnsi"/>
          <w:sz w:val="24"/>
          <w:szCs w:val="24"/>
        </w:rPr>
        <w:t>, 237(6), pp. 451–455.</w:t>
      </w:r>
    </w:p>
    <w:p w14:paraId="70A066AE"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Baird, B. and Chikwira, L. (2023) </w:t>
      </w:r>
      <w:r w:rsidRPr="009B522F">
        <w:rPr>
          <w:rFonts w:cstheme="minorHAnsi"/>
          <w:i/>
          <w:iCs/>
          <w:sz w:val="24"/>
          <w:szCs w:val="24"/>
        </w:rPr>
        <w:t>Dentistry in England explained</w:t>
      </w:r>
      <w:r w:rsidRPr="009B522F">
        <w:rPr>
          <w:rFonts w:cstheme="minorHAnsi"/>
          <w:sz w:val="24"/>
          <w:szCs w:val="24"/>
        </w:rPr>
        <w:t xml:space="preserve">. London: The King’s Fund. Available at: </w:t>
      </w:r>
      <w:hyperlink r:id="rId9" w:tgtFrame="_new" w:history="1">
        <w:r w:rsidRPr="009B522F">
          <w:rPr>
            <w:rStyle w:val="Hyperlink"/>
            <w:rFonts w:cstheme="minorHAnsi"/>
            <w:sz w:val="24"/>
            <w:szCs w:val="24"/>
            <w:u w:val="none"/>
          </w:rPr>
          <w:t>https://www.kingsfund.org.uk/insight-and-analysis/long-reads/dentistry-england-explained</w:t>
        </w:r>
      </w:hyperlink>
      <w:r w:rsidRPr="009B522F">
        <w:rPr>
          <w:rFonts w:cstheme="minorHAnsi"/>
          <w:sz w:val="24"/>
          <w:szCs w:val="24"/>
        </w:rPr>
        <w:t xml:space="preserve"> (Accessed 10 November 2025).</w:t>
      </w:r>
    </w:p>
    <w:p w14:paraId="54901127"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Brocklehurst, P., Birch, S., McDonald, R. et al. (2016) </w:t>
      </w:r>
      <w:r w:rsidRPr="009B522F">
        <w:rPr>
          <w:rFonts w:cstheme="minorHAnsi"/>
          <w:i/>
          <w:iCs/>
          <w:sz w:val="24"/>
          <w:szCs w:val="24"/>
        </w:rPr>
        <w:t>Determining the optimal model for role substitution in NHS dental services in the UK: a mixed-methods study</w:t>
      </w:r>
      <w:r w:rsidRPr="009B522F">
        <w:rPr>
          <w:rFonts w:cstheme="minorHAnsi"/>
          <w:sz w:val="24"/>
          <w:szCs w:val="24"/>
        </w:rPr>
        <w:t xml:space="preserve">. </w:t>
      </w:r>
      <w:r w:rsidRPr="009B522F">
        <w:rPr>
          <w:rFonts w:cstheme="minorHAnsi"/>
          <w:i/>
          <w:iCs/>
          <w:sz w:val="24"/>
          <w:szCs w:val="24"/>
        </w:rPr>
        <w:t>Health Services and Delivery Research</w:t>
      </w:r>
      <w:r w:rsidRPr="009B522F">
        <w:rPr>
          <w:rFonts w:cstheme="minorHAnsi"/>
          <w:sz w:val="24"/>
          <w:szCs w:val="24"/>
        </w:rPr>
        <w:t xml:space="preserve">, 4(22). Southampton: NIHR Journals Library. Available at: </w:t>
      </w:r>
      <w:hyperlink r:id="rId10" w:tgtFrame="_new" w:history="1">
        <w:r w:rsidRPr="009B522F">
          <w:rPr>
            <w:rStyle w:val="Hyperlink"/>
            <w:rFonts w:cstheme="minorHAnsi"/>
            <w:sz w:val="24"/>
            <w:szCs w:val="24"/>
            <w:u w:val="none"/>
          </w:rPr>
          <w:t>https://www.ncbi.nlm.nih.gov/books/NBK378807/</w:t>
        </w:r>
      </w:hyperlink>
      <w:r w:rsidRPr="009B522F">
        <w:rPr>
          <w:rFonts w:cstheme="minorHAnsi"/>
          <w:sz w:val="24"/>
          <w:szCs w:val="24"/>
        </w:rPr>
        <w:t xml:space="preserve"> (Accessed 10 November 2025).</w:t>
      </w:r>
    </w:p>
    <w:p w14:paraId="35EEED65"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Campbell, D. (2025) ‘English dentists “walking away” from NHS work as fees fail to cover costs’, </w:t>
      </w:r>
      <w:r w:rsidRPr="009B522F">
        <w:rPr>
          <w:rFonts w:cstheme="minorHAnsi"/>
          <w:i/>
          <w:iCs/>
          <w:sz w:val="24"/>
          <w:szCs w:val="24"/>
        </w:rPr>
        <w:t>The Guardian</w:t>
      </w:r>
      <w:r w:rsidRPr="009B522F">
        <w:rPr>
          <w:rFonts w:cstheme="minorHAnsi"/>
          <w:sz w:val="24"/>
          <w:szCs w:val="24"/>
        </w:rPr>
        <w:t xml:space="preserve">, 13 February. Available at: </w:t>
      </w:r>
      <w:hyperlink r:id="rId11" w:tgtFrame="_new" w:history="1">
        <w:r w:rsidRPr="009B522F">
          <w:rPr>
            <w:rStyle w:val="Hyperlink"/>
            <w:rFonts w:cstheme="minorHAnsi"/>
            <w:sz w:val="24"/>
            <w:szCs w:val="24"/>
            <w:u w:val="none"/>
          </w:rPr>
          <w:t>https://www.theguardian.com/society/2025/feb/13/england-dentists-nhs-exodus-fees</w:t>
        </w:r>
      </w:hyperlink>
      <w:r w:rsidRPr="009B522F">
        <w:rPr>
          <w:rFonts w:cstheme="minorHAnsi"/>
          <w:sz w:val="24"/>
          <w:szCs w:val="24"/>
        </w:rPr>
        <w:t xml:space="preserve"> (Accessed 10 November 2025).</w:t>
      </w:r>
    </w:p>
    <w:p w14:paraId="2A538A74"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Garratt, K. and Danechi, S. (2025) </w:t>
      </w:r>
      <w:r w:rsidRPr="009B522F">
        <w:rPr>
          <w:rFonts w:cstheme="minorHAnsi"/>
          <w:i/>
          <w:iCs/>
          <w:sz w:val="24"/>
          <w:szCs w:val="24"/>
        </w:rPr>
        <w:t>NHS dentistry in England</w:t>
      </w:r>
      <w:r w:rsidRPr="009B522F">
        <w:rPr>
          <w:rFonts w:cstheme="minorHAnsi"/>
          <w:sz w:val="24"/>
          <w:szCs w:val="24"/>
        </w:rPr>
        <w:t xml:space="preserve">. London: UK Parliament, House of Commons Library. Available at: </w:t>
      </w:r>
      <w:hyperlink r:id="rId12" w:tgtFrame="_new" w:history="1">
        <w:r w:rsidRPr="009B522F">
          <w:rPr>
            <w:rStyle w:val="Hyperlink"/>
            <w:rFonts w:cstheme="minorHAnsi"/>
            <w:sz w:val="24"/>
            <w:szCs w:val="24"/>
            <w:u w:val="none"/>
          </w:rPr>
          <w:t>https://commonslibrary.parliament.uk/research-briefings/cbp-9597/</w:t>
        </w:r>
      </w:hyperlink>
      <w:r w:rsidRPr="009B522F">
        <w:rPr>
          <w:rFonts w:cstheme="minorHAnsi"/>
          <w:sz w:val="24"/>
          <w:szCs w:val="24"/>
        </w:rPr>
        <w:t xml:space="preserve"> (Accessed 10 November 2025).</w:t>
      </w:r>
    </w:p>
    <w:p w14:paraId="4DF3B42D"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NHS Business Services Authority (NHSBSA) (2024) </w:t>
      </w:r>
      <w:r w:rsidRPr="009B522F">
        <w:rPr>
          <w:rFonts w:cstheme="minorHAnsi"/>
          <w:i/>
          <w:iCs/>
          <w:sz w:val="24"/>
          <w:szCs w:val="24"/>
        </w:rPr>
        <w:t>Dental statistics: England 2023/24</w:t>
      </w:r>
      <w:r w:rsidRPr="009B522F">
        <w:rPr>
          <w:rFonts w:cstheme="minorHAnsi"/>
          <w:sz w:val="24"/>
          <w:szCs w:val="24"/>
        </w:rPr>
        <w:t xml:space="preserve">. Available at: </w:t>
      </w:r>
      <w:hyperlink r:id="rId13" w:tgtFrame="_new" w:history="1">
        <w:r w:rsidRPr="009B522F">
          <w:rPr>
            <w:rStyle w:val="Hyperlink"/>
            <w:rFonts w:cstheme="minorHAnsi"/>
            <w:sz w:val="24"/>
            <w:szCs w:val="24"/>
            <w:u w:val="none"/>
          </w:rPr>
          <w:t>https://www.nhsbsa.nhs.uk/statistical-collections/dental-england/dental-statistics-england-202324</w:t>
        </w:r>
      </w:hyperlink>
      <w:r w:rsidRPr="009B522F">
        <w:rPr>
          <w:rFonts w:cstheme="minorHAnsi"/>
          <w:sz w:val="24"/>
          <w:szCs w:val="24"/>
        </w:rPr>
        <w:t xml:space="preserve"> (Accessed 10 November 2025).</w:t>
      </w:r>
    </w:p>
    <w:p w14:paraId="19540FE5" w14:textId="77777777"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NHS Digital (2023) </w:t>
      </w:r>
      <w:r w:rsidRPr="009B522F">
        <w:rPr>
          <w:rFonts w:cstheme="minorHAnsi"/>
          <w:i/>
          <w:iCs/>
          <w:sz w:val="24"/>
          <w:szCs w:val="24"/>
        </w:rPr>
        <w:t>NHS dental statistics for England 2022–23: annual report</w:t>
      </w:r>
      <w:r w:rsidRPr="009B522F">
        <w:rPr>
          <w:rFonts w:cstheme="minorHAnsi"/>
          <w:sz w:val="24"/>
          <w:szCs w:val="24"/>
        </w:rPr>
        <w:t xml:space="preserve">. Available at: </w:t>
      </w:r>
      <w:hyperlink r:id="rId14" w:tgtFrame="_new" w:history="1">
        <w:r w:rsidRPr="009B522F">
          <w:rPr>
            <w:rStyle w:val="Hyperlink"/>
            <w:rFonts w:cstheme="minorHAnsi"/>
            <w:sz w:val="24"/>
            <w:szCs w:val="24"/>
            <w:u w:val="none"/>
          </w:rPr>
          <w:t>https://digital.nhs.uk/data-and-information/publications/statistical/nhs-dental-statistics/2022-23-annual-report</w:t>
        </w:r>
      </w:hyperlink>
      <w:r w:rsidRPr="009B522F">
        <w:rPr>
          <w:rFonts w:cstheme="minorHAnsi"/>
          <w:sz w:val="24"/>
          <w:szCs w:val="24"/>
        </w:rPr>
        <w:t xml:space="preserve"> (Accessed 10 November 2025).</w:t>
      </w:r>
    </w:p>
    <w:p w14:paraId="48F28D19" w14:textId="0B9A07FA" w:rsidR="003901C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NHS England (2025) </w:t>
      </w:r>
      <w:r w:rsidRPr="009B522F">
        <w:rPr>
          <w:rFonts w:cstheme="minorHAnsi"/>
          <w:i/>
          <w:iCs/>
          <w:sz w:val="24"/>
          <w:szCs w:val="24"/>
        </w:rPr>
        <w:t>Dental contracting framework</w:t>
      </w:r>
      <w:r w:rsidRPr="009B522F">
        <w:rPr>
          <w:rFonts w:cstheme="minorHAnsi"/>
          <w:sz w:val="24"/>
          <w:szCs w:val="24"/>
        </w:rPr>
        <w:t xml:space="preserve">. Available at: </w:t>
      </w:r>
      <w:hyperlink r:id="rId15" w:tgtFrame="_new" w:history="1">
        <w:r w:rsidRPr="009B522F">
          <w:rPr>
            <w:rStyle w:val="Hyperlink"/>
            <w:rFonts w:cstheme="minorHAnsi"/>
            <w:sz w:val="24"/>
            <w:szCs w:val="24"/>
            <w:u w:val="none"/>
          </w:rPr>
          <w:t>https://www.england.nhs.uk/primary-care/dentistry/dental-commissioning/dental-contract/</w:t>
        </w:r>
      </w:hyperlink>
      <w:r w:rsidRPr="009B522F">
        <w:rPr>
          <w:rFonts w:cstheme="minorHAnsi"/>
          <w:sz w:val="24"/>
          <w:szCs w:val="24"/>
        </w:rPr>
        <w:t xml:space="preserve"> (Accessed 10 November 2025).</w:t>
      </w:r>
    </w:p>
    <w:p w14:paraId="2B6E4898" w14:textId="77777777" w:rsidR="000207D2" w:rsidRPr="009B522F" w:rsidRDefault="003901C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The Lowdown NHS (2023) </w:t>
      </w:r>
      <w:r w:rsidRPr="009B522F">
        <w:rPr>
          <w:rFonts w:cstheme="minorHAnsi"/>
          <w:i/>
          <w:iCs/>
          <w:sz w:val="24"/>
          <w:szCs w:val="24"/>
        </w:rPr>
        <w:t>NHS dentistry: where did it all go wrong?</w:t>
      </w:r>
      <w:r w:rsidRPr="009B522F">
        <w:rPr>
          <w:rFonts w:cstheme="minorHAnsi"/>
          <w:sz w:val="24"/>
          <w:szCs w:val="24"/>
        </w:rPr>
        <w:t xml:space="preserve"> The Lowdown. Available at: https://lowdownnhs.info/dentistry/nhs-dentistry-where-did-it-all-go-wrong (Accessed 10 November 2025).</w:t>
      </w:r>
    </w:p>
    <w:p w14:paraId="50495B63" w14:textId="0D57EE09" w:rsidR="003901C2" w:rsidRPr="009B522F" w:rsidRDefault="000207D2" w:rsidP="009B522F">
      <w:pPr>
        <w:pStyle w:val="ListParagraph"/>
        <w:numPr>
          <w:ilvl w:val="0"/>
          <w:numId w:val="2"/>
        </w:numPr>
        <w:spacing w:after="0" w:line="360" w:lineRule="auto"/>
        <w:jc w:val="both"/>
        <w:rPr>
          <w:rFonts w:cstheme="minorHAnsi"/>
          <w:sz w:val="24"/>
          <w:szCs w:val="24"/>
        </w:rPr>
      </w:pPr>
      <w:r w:rsidRPr="009B522F">
        <w:rPr>
          <w:rFonts w:cstheme="minorHAnsi"/>
          <w:sz w:val="24"/>
          <w:szCs w:val="24"/>
        </w:rPr>
        <w:t xml:space="preserve">GOV.UK. (2025) </w:t>
      </w:r>
      <w:r w:rsidRPr="009B522F">
        <w:rPr>
          <w:rFonts w:cstheme="minorHAnsi"/>
          <w:i/>
          <w:iCs/>
          <w:sz w:val="24"/>
          <w:szCs w:val="24"/>
        </w:rPr>
        <w:t>NHS dentistry contract: quality and payment reforms: consultation document</w:t>
      </w:r>
      <w:r w:rsidRPr="009B522F">
        <w:rPr>
          <w:rFonts w:cstheme="minorHAnsi"/>
          <w:sz w:val="24"/>
          <w:szCs w:val="24"/>
        </w:rPr>
        <w:t xml:space="preserve">. Department of Health and Social Care. Available at: </w:t>
      </w:r>
      <w:hyperlink r:id="rId16" w:tgtFrame="_new" w:history="1">
        <w:r w:rsidRPr="009B522F">
          <w:rPr>
            <w:rStyle w:val="Hyperlink"/>
            <w:rFonts w:cstheme="minorHAnsi"/>
            <w:sz w:val="24"/>
            <w:szCs w:val="24"/>
            <w:u w:val="none"/>
          </w:rPr>
          <w:t>https://www.gov.uk/government/consultations/nhs-dentistry-contract-quality-and-payment-reforms/nhs-dentistry-contract-quality-and-payment-reforms-consultation-document</w:t>
        </w:r>
      </w:hyperlink>
    </w:p>
    <w:p w14:paraId="192308EE" w14:textId="77777777" w:rsidR="000207D2" w:rsidRPr="00462D31" w:rsidRDefault="000207D2" w:rsidP="003901C2">
      <w:pPr>
        <w:spacing w:after="0"/>
        <w:jc w:val="center"/>
        <w:rPr>
          <w:rFonts w:cstheme="minorHAnsi"/>
          <w:b/>
          <w:bCs/>
          <w:u w:val="single"/>
        </w:rPr>
        <w:sectPr w:rsidR="000207D2" w:rsidRPr="00462D31">
          <w:footerReference w:type="default" r:id="rId17"/>
          <w:pgSz w:w="11906" w:h="16838"/>
          <w:pgMar w:top="1440" w:right="1440" w:bottom="1440" w:left="1440" w:header="708" w:footer="708" w:gutter="0"/>
          <w:cols w:space="708"/>
          <w:docGrid w:linePitch="360"/>
        </w:sectPr>
      </w:pPr>
    </w:p>
    <w:p w14:paraId="5C26C475" w14:textId="3BDEEE51" w:rsidR="00E50D3C" w:rsidRDefault="009B522F" w:rsidP="009B522F">
      <w:pPr>
        <w:pStyle w:val="Heading1"/>
        <w:ind w:left="720"/>
        <w:jc w:val="center"/>
        <w:rPr>
          <w:rFonts w:asciiTheme="minorHAnsi" w:eastAsiaTheme="minorHAnsi" w:hAnsiTheme="minorHAnsi" w:cstheme="minorHAnsi"/>
          <w:b/>
          <w:bCs/>
          <w:color w:val="auto"/>
          <w:sz w:val="24"/>
          <w:szCs w:val="24"/>
          <w:u w:val="single"/>
        </w:rPr>
      </w:pPr>
      <w:r w:rsidRPr="00462D31">
        <w:rPr>
          <w:rFonts w:asciiTheme="minorHAnsi" w:eastAsiaTheme="minorHAnsi" w:hAnsiTheme="minorHAnsi" w:cstheme="minorHAnsi"/>
          <w:b/>
          <w:bCs/>
          <w:color w:val="auto"/>
          <w:sz w:val="24"/>
          <w:szCs w:val="24"/>
          <w:u w:val="single"/>
        </w:rPr>
        <w:lastRenderedPageBreak/>
        <w:t>TASK 2: ESSAY</w:t>
      </w:r>
    </w:p>
    <w:p w14:paraId="7269780F" w14:textId="77777777" w:rsidR="009B522F" w:rsidRPr="009B522F" w:rsidRDefault="009B522F" w:rsidP="009B522F"/>
    <w:p w14:paraId="388DDC2C" w14:textId="7F454ED6" w:rsidR="003901C2" w:rsidRPr="00462D31" w:rsidRDefault="00E50D3C" w:rsidP="003901C2">
      <w:pPr>
        <w:spacing w:line="360" w:lineRule="auto"/>
        <w:jc w:val="both"/>
        <w:rPr>
          <w:rFonts w:cstheme="minorHAnsi"/>
          <w:sz w:val="24"/>
          <w:szCs w:val="24"/>
        </w:rPr>
      </w:pPr>
      <w:r w:rsidRPr="00462D31">
        <w:rPr>
          <w:rFonts w:cstheme="minorHAnsi"/>
          <w:sz w:val="24"/>
          <w:szCs w:val="24"/>
        </w:rPr>
        <w:t>The establishment of the NHS took place on the eve of significant social and economic transformation in post-war Britain. Health care in England was previously provided through a combination of charities, insurance schemes and local-authority services that could be complicated to navigate. Treatment was typically too expensive for most, meaning access became a matter of income and geographic location (Gorsky et al., 2015; Brown, 2022). A turning point was the Beveridge Report of 1942, which identified five “giants” on the path to recovery: Want, Disease, Ignorance, Squalor and Idleness. It anatomized the welfare state: health care to be provided for free at me of need, and not at point of fee</w:t>
      </w:r>
      <w:r w:rsidR="003901C2" w:rsidRPr="00462D31">
        <w:rPr>
          <w:rFonts w:cstheme="minorHAnsi"/>
          <w:sz w:val="24"/>
          <w:szCs w:val="24"/>
        </w:rPr>
        <w:t xml:space="preserve"> (Brown, 2022). Based on this plan, the NHS was launched on 5 July 1948 under the National Health Service Act 1946. Its core principles were that care should be universal, based on need, free at the point of use and funded through general taxation (Delamothe, 2018).</w:t>
      </w:r>
    </w:p>
    <w:p w14:paraId="35445356" w14:textId="77777777" w:rsidR="003901C2" w:rsidRPr="00462D31" w:rsidRDefault="003901C2" w:rsidP="003901C2">
      <w:pPr>
        <w:spacing w:line="360" w:lineRule="auto"/>
        <w:jc w:val="both"/>
        <w:rPr>
          <w:rFonts w:cstheme="minorHAnsi"/>
          <w:sz w:val="24"/>
          <w:szCs w:val="24"/>
        </w:rPr>
      </w:pPr>
      <w:r w:rsidRPr="00462D31">
        <w:rPr>
          <w:rFonts w:cstheme="minorHAnsi"/>
          <w:sz w:val="24"/>
          <w:szCs w:val="24"/>
        </w:rPr>
        <w:t>These principles aimed to turn health care from a privilege into a basic right. Everyone living in England was meant to receive treatment regardless of income or social class. At the same time, the early NHS faced heavy demand in a country still dealing with poverty, poor housing, malnutrition and war injuries, and it had to cope with shortages of staff and money (Rivett, n.d.).</w:t>
      </w:r>
    </w:p>
    <w:p w14:paraId="193DCB6F" w14:textId="77777777" w:rsidR="003901C2" w:rsidRPr="00462D31" w:rsidRDefault="003901C2" w:rsidP="003901C2">
      <w:pPr>
        <w:spacing w:line="360" w:lineRule="auto"/>
        <w:jc w:val="both"/>
        <w:rPr>
          <w:rFonts w:cstheme="minorHAnsi"/>
          <w:sz w:val="24"/>
          <w:szCs w:val="24"/>
        </w:rPr>
      </w:pPr>
      <w:r w:rsidRPr="00462D31">
        <w:rPr>
          <w:rFonts w:cstheme="minorHAnsi"/>
          <w:sz w:val="24"/>
          <w:szCs w:val="24"/>
        </w:rPr>
        <w:t>Today, the NHS is one of the largest publicly funded health systems in the world, but its structure has become more complex. In England it is not a single organisation but a network of national, regional and local bodies (NHS England, 2022). At the top, the Department of Health and Social Care (DHSC) sets policy and decides the budget. NHS England uses this funding to plan, commission and oversee services. Below this level, Integrated Care Boards (ICBs) and provider trusts deliver hospital, community and primary-care services in local areas (Powell, 2023).</w:t>
      </w:r>
    </w:p>
    <w:p w14:paraId="72B215D9" w14:textId="567D9385" w:rsidR="003901C2" w:rsidRPr="00462D31" w:rsidRDefault="003901C2" w:rsidP="003901C2">
      <w:pPr>
        <w:spacing w:line="360" w:lineRule="auto"/>
        <w:jc w:val="both"/>
        <w:rPr>
          <w:rFonts w:cstheme="minorHAnsi"/>
          <w:sz w:val="24"/>
          <w:szCs w:val="24"/>
        </w:rPr>
      </w:pPr>
      <w:r w:rsidRPr="00462D31">
        <w:rPr>
          <w:rFonts w:cstheme="minorHAnsi"/>
          <w:sz w:val="24"/>
          <w:szCs w:val="24"/>
        </w:rPr>
        <w:t>In practice, primary care, especially general practice, is the usual first contact. GPs and community services assess patients and, if needed, refer them to hospitals and specialist clinics. Public-health and preventive services, for example screening and vaccination, work across these levels. Money flows from central government through DHSC to NHS England, then to ICBs and finally to the organisations that provide front-line care (NHS England, 2022).</w:t>
      </w:r>
    </w:p>
    <w:p w14:paraId="34FD0C56" w14:textId="77777777" w:rsidR="003901C2" w:rsidRPr="00462D31" w:rsidRDefault="003901C2" w:rsidP="003901C2">
      <w:pPr>
        <w:spacing w:line="360" w:lineRule="auto"/>
        <w:jc w:val="both"/>
        <w:rPr>
          <w:rFonts w:cstheme="minorHAnsi"/>
          <w:sz w:val="24"/>
          <w:szCs w:val="24"/>
        </w:rPr>
      </w:pPr>
      <w:r w:rsidRPr="00462D31">
        <w:rPr>
          <w:rFonts w:cstheme="minorHAnsi"/>
          <w:sz w:val="24"/>
          <w:szCs w:val="24"/>
        </w:rPr>
        <w:lastRenderedPageBreak/>
        <w:t>This system has clear strengths. Universal coverage is a major achievement, as residents can in principle access care without direct payment. Integrated care structures and ICBs are also designed to support closer cooperation between hospitals, GPs, social care and public-health services so that local needs are better met (NHS England, 2025).</w:t>
      </w:r>
    </w:p>
    <w:p w14:paraId="6ACF054C" w14:textId="77777777" w:rsidR="003901C2" w:rsidRPr="00462D31" w:rsidRDefault="003901C2" w:rsidP="003901C2">
      <w:pPr>
        <w:spacing w:line="360" w:lineRule="auto"/>
        <w:jc w:val="both"/>
        <w:rPr>
          <w:rFonts w:cstheme="minorHAnsi"/>
          <w:sz w:val="24"/>
          <w:szCs w:val="24"/>
        </w:rPr>
      </w:pPr>
      <w:r w:rsidRPr="00462D31">
        <w:rPr>
          <w:rFonts w:cstheme="minorHAnsi"/>
          <w:sz w:val="24"/>
          <w:szCs w:val="24"/>
        </w:rPr>
        <w:t>However, serious problems limit how well the system works. Workforce shortages are a major concern. As of March 2025, there were about 100,100 vacancies across the NHS in England, including 7,700 doctors and 25,600 nurses (The King’s Fund, 2025). These gaps lead to longer waiting times, higher pressure on staff and risks to quality. The complex organisational structure also brings challenges. While several layers (DHSC, NHS England, ICBs and trusts) can support local flexibility, they can also slow decision-making and make accountability less clear (Anandaciva, 2025). Rising demand from an ageing population and more long-term conditions, combined with tight budgets, makes it harder to provide timely care in all areas, despite the founding promise of equal access.</w:t>
      </w:r>
    </w:p>
    <w:p w14:paraId="797C364F" w14:textId="43054A58" w:rsidR="00E50D3C" w:rsidRPr="00462D31" w:rsidRDefault="00E50D3C" w:rsidP="00E50D3C">
      <w:pPr>
        <w:spacing w:line="360" w:lineRule="auto"/>
        <w:jc w:val="both"/>
        <w:rPr>
          <w:rFonts w:cstheme="minorHAnsi"/>
          <w:sz w:val="24"/>
          <w:szCs w:val="24"/>
        </w:rPr>
      </w:pPr>
      <w:r w:rsidRPr="00462D31">
        <w:rPr>
          <w:rFonts w:cstheme="minorHAnsi"/>
          <w:sz w:val="24"/>
          <w:szCs w:val="24"/>
        </w:rPr>
        <w:t xml:space="preserve">In short, the NHS emerged from the post-war era founded on universalism, equity and free care. </w:t>
      </w:r>
      <w:r w:rsidR="00B87695" w:rsidRPr="00462D31">
        <w:rPr>
          <w:rFonts w:cstheme="minorHAnsi"/>
          <w:sz w:val="24"/>
          <w:szCs w:val="24"/>
        </w:rPr>
        <w:t xml:space="preserve">The present NHS is a </w:t>
      </w:r>
      <w:r w:rsidRPr="00462D31">
        <w:rPr>
          <w:rFonts w:cstheme="minorHAnsi"/>
          <w:sz w:val="24"/>
          <w:szCs w:val="24"/>
        </w:rPr>
        <w:t>reflection of these principles</w:t>
      </w:r>
      <w:r w:rsidR="00B87695" w:rsidRPr="00462D31">
        <w:rPr>
          <w:rFonts w:cstheme="minorHAnsi"/>
          <w:sz w:val="24"/>
          <w:szCs w:val="24"/>
        </w:rPr>
        <w:t xml:space="preserve"> and adopting </w:t>
      </w:r>
      <w:r w:rsidRPr="00462D31">
        <w:rPr>
          <w:rFonts w:cstheme="minorHAnsi"/>
          <w:sz w:val="24"/>
          <w:szCs w:val="24"/>
        </w:rPr>
        <w:t xml:space="preserve">a modern health care system. The NHS continues to be a compelling model of publicly funded care but its </w:t>
      </w:r>
      <w:r w:rsidR="00B87695" w:rsidRPr="00462D31">
        <w:rPr>
          <w:rFonts w:cstheme="minorHAnsi"/>
          <w:sz w:val="24"/>
          <w:szCs w:val="24"/>
        </w:rPr>
        <w:t xml:space="preserve">for increase its effectiveness it must </w:t>
      </w:r>
      <w:r w:rsidRPr="00462D31">
        <w:rPr>
          <w:rFonts w:cstheme="minorHAnsi"/>
          <w:sz w:val="24"/>
          <w:szCs w:val="24"/>
        </w:rPr>
        <w:t>address</w:t>
      </w:r>
      <w:r w:rsidR="00B87695" w:rsidRPr="00462D31">
        <w:rPr>
          <w:rFonts w:cstheme="minorHAnsi"/>
          <w:sz w:val="24"/>
          <w:szCs w:val="24"/>
        </w:rPr>
        <w:t xml:space="preserve"> the </w:t>
      </w:r>
      <w:r w:rsidRPr="00462D31">
        <w:rPr>
          <w:rFonts w:cstheme="minorHAnsi"/>
          <w:sz w:val="24"/>
          <w:szCs w:val="24"/>
        </w:rPr>
        <w:t>work force shortages, simplify</w:t>
      </w:r>
      <w:r w:rsidR="00B87695" w:rsidRPr="00462D31">
        <w:rPr>
          <w:rFonts w:cstheme="minorHAnsi"/>
          <w:sz w:val="24"/>
          <w:szCs w:val="24"/>
        </w:rPr>
        <w:t xml:space="preserve"> the present </w:t>
      </w:r>
      <w:r w:rsidRPr="00462D31">
        <w:rPr>
          <w:rFonts w:cstheme="minorHAnsi"/>
          <w:sz w:val="24"/>
          <w:szCs w:val="24"/>
        </w:rPr>
        <w:t>structures</w:t>
      </w:r>
      <w:r w:rsidR="00B87695" w:rsidRPr="00462D31">
        <w:rPr>
          <w:rFonts w:cstheme="minorHAnsi"/>
          <w:sz w:val="24"/>
          <w:szCs w:val="24"/>
        </w:rPr>
        <w:t xml:space="preserve"> and finally attract more </w:t>
      </w:r>
      <w:r w:rsidRPr="00462D31">
        <w:rPr>
          <w:rFonts w:cstheme="minorHAnsi"/>
          <w:sz w:val="24"/>
          <w:szCs w:val="24"/>
        </w:rPr>
        <w:t xml:space="preserve">funding so it can deliver </w:t>
      </w:r>
      <w:r w:rsidR="00B87695" w:rsidRPr="00462D31">
        <w:rPr>
          <w:rFonts w:cstheme="minorHAnsi"/>
          <w:sz w:val="24"/>
          <w:szCs w:val="24"/>
        </w:rPr>
        <w:t>proper services to serve its purpose</w:t>
      </w:r>
      <w:r w:rsidRPr="00462D31">
        <w:rPr>
          <w:rFonts w:cstheme="minorHAnsi"/>
          <w:sz w:val="24"/>
          <w:szCs w:val="24"/>
        </w:rPr>
        <w:t>.</w:t>
      </w:r>
    </w:p>
    <w:p w14:paraId="0FCE3E35" w14:textId="77777777" w:rsidR="00B87695" w:rsidRPr="00462D31" w:rsidRDefault="00B87695" w:rsidP="00E50D3C">
      <w:pPr>
        <w:spacing w:line="360" w:lineRule="auto"/>
        <w:jc w:val="both"/>
        <w:rPr>
          <w:rFonts w:cstheme="minorHAnsi"/>
        </w:rPr>
      </w:pPr>
    </w:p>
    <w:p w14:paraId="296EE3D9" w14:textId="2BACA585" w:rsidR="00E50D3C" w:rsidRPr="00462D31" w:rsidRDefault="00E50D3C">
      <w:pPr>
        <w:rPr>
          <w:rFonts w:cstheme="minorHAnsi"/>
        </w:rPr>
      </w:pPr>
      <w:r w:rsidRPr="00462D31">
        <w:rPr>
          <w:rFonts w:cstheme="minorHAnsi"/>
        </w:rPr>
        <w:br w:type="page"/>
      </w:r>
    </w:p>
    <w:p w14:paraId="4E043D71" w14:textId="6A0FBA6A" w:rsidR="003901C2" w:rsidRPr="009B522F" w:rsidRDefault="009B522F">
      <w:pPr>
        <w:rPr>
          <w:rFonts w:cstheme="minorHAnsi"/>
          <w:b/>
          <w:bCs/>
          <w:sz w:val="24"/>
          <w:szCs w:val="24"/>
        </w:rPr>
      </w:pPr>
      <w:r w:rsidRPr="009B522F">
        <w:rPr>
          <w:rFonts w:cstheme="minorHAnsi"/>
          <w:b/>
          <w:bCs/>
          <w:sz w:val="24"/>
          <w:szCs w:val="24"/>
        </w:rPr>
        <w:lastRenderedPageBreak/>
        <w:t>REFERENCES</w:t>
      </w:r>
    </w:p>
    <w:p w14:paraId="454F0CBB"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Anandaciva, S. (2025) </w:t>
      </w:r>
      <w:r w:rsidRPr="009B522F">
        <w:rPr>
          <w:rFonts w:cstheme="minorHAnsi"/>
          <w:i/>
          <w:iCs/>
          <w:sz w:val="24"/>
          <w:szCs w:val="24"/>
        </w:rPr>
        <w:t>The reshaping of NHS national bodies has only just started – how will it finish?</w:t>
      </w:r>
      <w:r w:rsidRPr="009B522F">
        <w:rPr>
          <w:rFonts w:cstheme="minorHAnsi"/>
          <w:sz w:val="24"/>
          <w:szCs w:val="24"/>
        </w:rPr>
        <w:t xml:space="preserve"> </w:t>
      </w:r>
      <w:r w:rsidRPr="009B522F">
        <w:rPr>
          <w:rFonts w:cstheme="minorHAnsi"/>
          <w:i/>
          <w:iCs/>
          <w:sz w:val="24"/>
          <w:szCs w:val="24"/>
        </w:rPr>
        <w:t>The King’s Fund</w:t>
      </w:r>
      <w:r w:rsidRPr="009B522F">
        <w:rPr>
          <w:rFonts w:cstheme="minorHAnsi"/>
          <w:sz w:val="24"/>
          <w:szCs w:val="24"/>
        </w:rPr>
        <w:t xml:space="preserve">. Available at: </w:t>
      </w:r>
      <w:hyperlink r:id="rId18" w:tgtFrame="_new" w:history="1">
        <w:r w:rsidRPr="009B522F">
          <w:rPr>
            <w:rStyle w:val="Hyperlink"/>
            <w:rFonts w:cstheme="minorHAnsi"/>
            <w:sz w:val="24"/>
            <w:szCs w:val="24"/>
          </w:rPr>
          <w:t>https://www.kingsfund.org.uk/insight-and-analysis/blogs/reshaping-nhs-national-bodies-started-finish</w:t>
        </w:r>
      </w:hyperlink>
      <w:r w:rsidRPr="009B522F">
        <w:rPr>
          <w:rFonts w:cstheme="minorHAnsi"/>
          <w:sz w:val="24"/>
          <w:szCs w:val="24"/>
        </w:rPr>
        <w:t xml:space="preserve"> (Accessed: 10 November 2025).</w:t>
      </w:r>
    </w:p>
    <w:p w14:paraId="04A82F30"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Brown, R. (2022) </w:t>
      </w:r>
      <w:r w:rsidRPr="009B522F">
        <w:rPr>
          <w:rFonts w:cstheme="minorHAnsi"/>
          <w:i/>
          <w:iCs/>
          <w:sz w:val="24"/>
          <w:szCs w:val="24"/>
        </w:rPr>
        <w:t>Save our NHS: Literature and the National Health Service</w:t>
      </w:r>
      <w:r w:rsidRPr="009B522F">
        <w:rPr>
          <w:rFonts w:cstheme="minorHAnsi"/>
          <w:sz w:val="24"/>
          <w:szCs w:val="24"/>
        </w:rPr>
        <w:t>. PhD thesis. University of Kent (United Kingdom).</w:t>
      </w:r>
    </w:p>
    <w:p w14:paraId="43270254"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Delamothe, T. (2008) ‘Founding principles’, </w:t>
      </w:r>
      <w:r w:rsidRPr="009B522F">
        <w:rPr>
          <w:rFonts w:cstheme="minorHAnsi"/>
          <w:i/>
          <w:iCs/>
          <w:sz w:val="24"/>
          <w:szCs w:val="24"/>
        </w:rPr>
        <w:t>BMJ</w:t>
      </w:r>
      <w:r w:rsidRPr="009B522F">
        <w:rPr>
          <w:rFonts w:cstheme="minorHAnsi"/>
          <w:sz w:val="24"/>
          <w:szCs w:val="24"/>
        </w:rPr>
        <w:t>, 336(7655), pp.1216–1218. doi:10.1136/bmj.39582.501192.94.</w:t>
      </w:r>
    </w:p>
    <w:p w14:paraId="4A912BB4"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Gorsky, M. (2015) ‘The NHS in Britain: Any lesson from history for universal health coverage?’, in Medcalf, A., Bhattacharya, S., Momen, H. and others (eds.) </w:t>
      </w:r>
      <w:r w:rsidRPr="009B522F">
        <w:rPr>
          <w:rFonts w:cstheme="minorHAnsi"/>
          <w:i/>
          <w:iCs/>
          <w:sz w:val="24"/>
          <w:szCs w:val="24"/>
        </w:rPr>
        <w:t>Health for all: The journey of universal health coverage</w:t>
      </w:r>
      <w:r w:rsidRPr="009B522F">
        <w:rPr>
          <w:rFonts w:cstheme="minorHAnsi"/>
          <w:sz w:val="24"/>
          <w:szCs w:val="24"/>
        </w:rPr>
        <w:t xml:space="preserve">. Hyderabad: Orient Blackswan, Chapter 7. Available at: </w:t>
      </w:r>
      <w:hyperlink r:id="rId19" w:tgtFrame="_new" w:history="1">
        <w:r w:rsidRPr="009B522F">
          <w:rPr>
            <w:rStyle w:val="Hyperlink"/>
            <w:rFonts w:cstheme="minorHAnsi"/>
            <w:sz w:val="24"/>
            <w:szCs w:val="24"/>
          </w:rPr>
          <w:t>https://www.ncbi.nlm.nih.gov/books/NBK316274/</w:t>
        </w:r>
      </w:hyperlink>
      <w:r w:rsidRPr="009B522F">
        <w:rPr>
          <w:rFonts w:cstheme="minorHAnsi"/>
          <w:sz w:val="24"/>
          <w:szCs w:val="24"/>
        </w:rPr>
        <w:t xml:space="preserve"> (Accessed: 10 November 2025).</w:t>
      </w:r>
    </w:p>
    <w:p w14:paraId="3E467467"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NHS England (2022) </w:t>
      </w:r>
      <w:r w:rsidRPr="009B522F">
        <w:rPr>
          <w:rFonts w:cstheme="minorHAnsi"/>
          <w:i/>
          <w:iCs/>
          <w:sz w:val="24"/>
          <w:szCs w:val="24"/>
        </w:rPr>
        <w:t>Structure of the NHS</w:t>
      </w:r>
      <w:r w:rsidRPr="009B522F">
        <w:rPr>
          <w:rFonts w:cstheme="minorHAnsi"/>
          <w:sz w:val="24"/>
          <w:szCs w:val="24"/>
        </w:rPr>
        <w:t xml:space="preserve">. Available at: </w:t>
      </w:r>
      <w:hyperlink r:id="rId20" w:tgtFrame="_new" w:history="1">
        <w:r w:rsidRPr="009B522F">
          <w:rPr>
            <w:rStyle w:val="Hyperlink"/>
            <w:rFonts w:cstheme="minorHAnsi"/>
            <w:sz w:val="24"/>
            <w:szCs w:val="24"/>
          </w:rPr>
          <w:t>https://www.england.nhs.uk/long-read/structure-of-the-nhs/</w:t>
        </w:r>
      </w:hyperlink>
      <w:r w:rsidRPr="009B522F">
        <w:rPr>
          <w:rFonts w:cstheme="minorHAnsi"/>
          <w:sz w:val="24"/>
          <w:szCs w:val="24"/>
        </w:rPr>
        <w:t xml:space="preserve"> (Accessed: 10 November 2025).</w:t>
      </w:r>
    </w:p>
    <w:p w14:paraId="2FEC6F5B"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NHS England (2025) </w:t>
      </w:r>
      <w:r w:rsidRPr="009B522F">
        <w:rPr>
          <w:rFonts w:cstheme="minorHAnsi"/>
          <w:i/>
          <w:iCs/>
          <w:sz w:val="24"/>
          <w:szCs w:val="24"/>
        </w:rPr>
        <w:t>2025/26 priorities and operational planning guidance</w:t>
      </w:r>
      <w:r w:rsidRPr="009B522F">
        <w:rPr>
          <w:rFonts w:cstheme="minorHAnsi"/>
          <w:sz w:val="24"/>
          <w:szCs w:val="24"/>
        </w:rPr>
        <w:t xml:space="preserve">. Available at: </w:t>
      </w:r>
      <w:hyperlink r:id="rId21" w:tgtFrame="_new" w:history="1">
        <w:r w:rsidRPr="009B522F">
          <w:rPr>
            <w:rStyle w:val="Hyperlink"/>
            <w:rFonts w:cstheme="minorHAnsi"/>
            <w:sz w:val="24"/>
            <w:szCs w:val="24"/>
          </w:rPr>
          <w:t>https://www.england.nhs.uk/long-read/2025-26-priorities-and-operational-planning-guidance/</w:t>
        </w:r>
      </w:hyperlink>
      <w:r w:rsidRPr="009B522F">
        <w:rPr>
          <w:rFonts w:cstheme="minorHAnsi"/>
          <w:sz w:val="24"/>
          <w:szCs w:val="24"/>
        </w:rPr>
        <w:t xml:space="preserve"> (Accessed: 10 November 2025).</w:t>
      </w:r>
    </w:p>
    <w:p w14:paraId="1C78CB08"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Powell, T. (2023) </w:t>
      </w:r>
      <w:r w:rsidRPr="009B522F">
        <w:rPr>
          <w:rFonts w:cstheme="minorHAnsi"/>
          <w:i/>
          <w:iCs/>
          <w:sz w:val="24"/>
          <w:szCs w:val="24"/>
        </w:rPr>
        <w:t>The structure of the NHS in England</w:t>
      </w:r>
      <w:r w:rsidRPr="009B522F">
        <w:rPr>
          <w:rFonts w:cstheme="minorHAnsi"/>
          <w:sz w:val="24"/>
          <w:szCs w:val="24"/>
        </w:rPr>
        <w:t xml:space="preserve">. </w:t>
      </w:r>
      <w:r w:rsidRPr="009B522F">
        <w:rPr>
          <w:rFonts w:cstheme="minorHAnsi"/>
          <w:i/>
          <w:iCs/>
          <w:sz w:val="24"/>
          <w:szCs w:val="24"/>
        </w:rPr>
        <w:t>House of Commons Library Research Briefing</w:t>
      </w:r>
      <w:r w:rsidRPr="009B522F">
        <w:rPr>
          <w:rFonts w:cstheme="minorHAnsi"/>
          <w:sz w:val="24"/>
          <w:szCs w:val="24"/>
        </w:rPr>
        <w:t xml:space="preserve">. Available at: </w:t>
      </w:r>
      <w:hyperlink r:id="rId22" w:tgtFrame="_new" w:history="1">
        <w:r w:rsidRPr="009B522F">
          <w:rPr>
            <w:rStyle w:val="Hyperlink"/>
            <w:rFonts w:cstheme="minorHAnsi"/>
            <w:sz w:val="24"/>
            <w:szCs w:val="24"/>
          </w:rPr>
          <w:t>https://researchbriefings.files.parliament.uk/documents/CBP-7206/CBP-7206.pdf</w:t>
        </w:r>
      </w:hyperlink>
      <w:r w:rsidRPr="009B522F">
        <w:rPr>
          <w:rFonts w:cstheme="minorHAnsi"/>
          <w:sz w:val="24"/>
          <w:szCs w:val="24"/>
        </w:rPr>
        <w:t xml:space="preserve"> (Accessed: 10 November 2025).</w:t>
      </w:r>
    </w:p>
    <w:p w14:paraId="6111A4A2"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Rivett, G. (no date) </w:t>
      </w:r>
      <w:r w:rsidRPr="009B522F">
        <w:rPr>
          <w:rFonts w:cstheme="minorHAnsi"/>
          <w:i/>
          <w:iCs/>
          <w:sz w:val="24"/>
          <w:szCs w:val="24"/>
        </w:rPr>
        <w:t>1948–1957: Establishing the National Health Service</w:t>
      </w:r>
      <w:r w:rsidRPr="009B522F">
        <w:rPr>
          <w:rFonts w:cstheme="minorHAnsi"/>
          <w:sz w:val="24"/>
          <w:szCs w:val="24"/>
        </w:rPr>
        <w:t xml:space="preserve">. </w:t>
      </w:r>
      <w:r w:rsidRPr="009B522F">
        <w:rPr>
          <w:rFonts w:cstheme="minorHAnsi"/>
          <w:i/>
          <w:iCs/>
          <w:sz w:val="24"/>
          <w:szCs w:val="24"/>
        </w:rPr>
        <w:t>Nuffield Trust</w:t>
      </w:r>
      <w:r w:rsidRPr="009B522F">
        <w:rPr>
          <w:rFonts w:cstheme="minorHAnsi"/>
          <w:sz w:val="24"/>
          <w:szCs w:val="24"/>
        </w:rPr>
        <w:t xml:space="preserve">. Available at: </w:t>
      </w:r>
      <w:hyperlink r:id="rId23" w:tgtFrame="_new" w:history="1">
        <w:r w:rsidRPr="009B522F">
          <w:rPr>
            <w:rStyle w:val="Hyperlink"/>
            <w:rFonts w:cstheme="minorHAnsi"/>
            <w:sz w:val="24"/>
            <w:szCs w:val="24"/>
          </w:rPr>
          <w:t>https://www.nuffieldtrust.org.uk/chapter/1948-1957-establishing-the-national-health-service</w:t>
        </w:r>
      </w:hyperlink>
      <w:r w:rsidRPr="009B522F">
        <w:rPr>
          <w:rFonts w:cstheme="minorHAnsi"/>
          <w:sz w:val="24"/>
          <w:szCs w:val="24"/>
        </w:rPr>
        <w:t xml:space="preserve"> (Accessed: 10 November 2025).</w:t>
      </w:r>
    </w:p>
    <w:p w14:paraId="7CE5B390" w14:textId="77777777" w:rsidR="003901C2" w:rsidRPr="009B522F" w:rsidRDefault="003901C2" w:rsidP="009B522F">
      <w:pPr>
        <w:pStyle w:val="ListParagraph"/>
        <w:numPr>
          <w:ilvl w:val="0"/>
          <w:numId w:val="3"/>
        </w:numPr>
        <w:jc w:val="both"/>
        <w:rPr>
          <w:rFonts w:cstheme="minorHAnsi"/>
          <w:sz w:val="24"/>
          <w:szCs w:val="24"/>
        </w:rPr>
      </w:pPr>
      <w:r w:rsidRPr="009B522F">
        <w:rPr>
          <w:rFonts w:cstheme="minorHAnsi"/>
          <w:sz w:val="24"/>
          <w:szCs w:val="24"/>
        </w:rPr>
        <w:t xml:space="preserve">The King’s Fund (2025) </w:t>
      </w:r>
      <w:r w:rsidRPr="009B522F">
        <w:rPr>
          <w:rFonts w:cstheme="minorHAnsi"/>
          <w:i/>
          <w:iCs/>
          <w:sz w:val="24"/>
          <w:szCs w:val="24"/>
        </w:rPr>
        <w:t>Key facts and figures about the NHS</w:t>
      </w:r>
      <w:r w:rsidRPr="009B522F">
        <w:rPr>
          <w:rFonts w:cstheme="minorHAnsi"/>
          <w:sz w:val="24"/>
          <w:szCs w:val="24"/>
        </w:rPr>
        <w:t xml:space="preserve">. Available at: </w:t>
      </w:r>
      <w:hyperlink r:id="rId24" w:tgtFrame="_new" w:history="1">
        <w:r w:rsidRPr="009B522F">
          <w:rPr>
            <w:rStyle w:val="Hyperlink"/>
            <w:rFonts w:cstheme="minorHAnsi"/>
            <w:sz w:val="24"/>
            <w:szCs w:val="24"/>
          </w:rPr>
          <w:t>https://www.kingsfund.org.uk/insight-and-analysis/data-and-charts/key-facts-figures-nhs</w:t>
        </w:r>
      </w:hyperlink>
      <w:r w:rsidRPr="009B522F">
        <w:rPr>
          <w:rFonts w:cstheme="minorHAnsi"/>
          <w:sz w:val="24"/>
          <w:szCs w:val="24"/>
        </w:rPr>
        <w:t xml:space="preserve"> (Accessed: 10 November 2025).</w:t>
      </w:r>
    </w:p>
    <w:p w14:paraId="39ADD923" w14:textId="77777777" w:rsidR="003901C2" w:rsidRPr="00462D31" w:rsidRDefault="003901C2">
      <w:pPr>
        <w:rPr>
          <w:rFonts w:cstheme="minorHAnsi"/>
        </w:rPr>
      </w:pPr>
    </w:p>
    <w:sectPr w:rsidR="003901C2" w:rsidRPr="00462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30DBE" w14:textId="77777777" w:rsidR="0039212B" w:rsidRDefault="0039212B" w:rsidP="003901C2">
      <w:pPr>
        <w:spacing w:after="0" w:line="240" w:lineRule="auto"/>
      </w:pPr>
      <w:r>
        <w:separator/>
      </w:r>
    </w:p>
  </w:endnote>
  <w:endnote w:type="continuationSeparator" w:id="0">
    <w:p w14:paraId="49592D34" w14:textId="77777777" w:rsidR="0039212B" w:rsidRDefault="0039212B" w:rsidP="00390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6483404"/>
      <w:docPartObj>
        <w:docPartGallery w:val="Page Numbers (Bottom of Page)"/>
        <w:docPartUnique/>
      </w:docPartObj>
    </w:sdtPr>
    <w:sdtEndPr>
      <w:rPr>
        <w:color w:val="7F7F7F" w:themeColor="background1" w:themeShade="7F"/>
        <w:spacing w:val="60"/>
      </w:rPr>
    </w:sdtEndPr>
    <w:sdtContent>
      <w:p w14:paraId="4F2D4550" w14:textId="33C6027B" w:rsidR="00D51632" w:rsidRDefault="00D51632" w:rsidP="00D51632">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Pr="00D51632">
          <w:rPr>
            <w:b/>
            <w:bCs/>
            <w:noProof/>
          </w:rPr>
          <w:t>2</w:t>
        </w:r>
        <w:r>
          <w:rPr>
            <w:b/>
            <w:bCs/>
            <w:noProof/>
          </w:rPr>
          <w:fldChar w:fldCharType="end"/>
        </w:r>
        <w:r>
          <w:rPr>
            <w:b/>
            <w:bCs/>
          </w:rPr>
          <w:t xml:space="preserve"> | </w:t>
        </w:r>
        <w:r>
          <w:rPr>
            <w:color w:val="7F7F7F" w:themeColor="background1" w:themeShade="7F"/>
            <w:spacing w:val="60"/>
          </w:rPr>
          <w:t>Page</w:t>
        </w:r>
      </w:p>
    </w:sdtContent>
  </w:sdt>
  <w:p w14:paraId="00260239" w14:textId="77777777" w:rsidR="00D51632" w:rsidRDefault="00D51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7EFD5" w14:textId="77777777" w:rsidR="0039212B" w:rsidRDefault="0039212B" w:rsidP="003901C2">
      <w:pPr>
        <w:spacing w:after="0" w:line="240" w:lineRule="auto"/>
      </w:pPr>
      <w:r>
        <w:separator/>
      </w:r>
    </w:p>
  </w:footnote>
  <w:footnote w:type="continuationSeparator" w:id="0">
    <w:p w14:paraId="51297110" w14:textId="77777777" w:rsidR="0039212B" w:rsidRDefault="0039212B" w:rsidP="00390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6790B"/>
    <w:multiLevelType w:val="hybridMultilevel"/>
    <w:tmpl w:val="D8A6E7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654AFB"/>
    <w:multiLevelType w:val="hybridMultilevel"/>
    <w:tmpl w:val="7EA4D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35A38"/>
    <w:multiLevelType w:val="hybridMultilevel"/>
    <w:tmpl w:val="A426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707016">
    <w:abstractNumId w:val="2"/>
  </w:num>
  <w:num w:numId="2" w16cid:durableId="350760756">
    <w:abstractNumId w:val="0"/>
  </w:num>
  <w:num w:numId="3" w16cid:durableId="1457522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7A2"/>
    <w:rsid w:val="000117A2"/>
    <w:rsid w:val="000207D2"/>
    <w:rsid w:val="000A15D9"/>
    <w:rsid w:val="001053F3"/>
    <w:rsid w:val="00143306"/>
    <w:rsid w:val="002C00F2"/>
    <w:rsid w:val="003901C2"/>
    <w:rsid w:val="0039212B"/>
    <w:rsid w:val="003C4F37"/>
    <w:rsid w:val="003D1B0D"/>
    <w:rsid w:val="003D4399"/>
    <w:rsid w:val="00462D31"/>
    <w:rsid w:val="005B5219"/>
    <w:rsid w:val="005C4E0A"/>
    <w:rsid w:val="005E0D13"/>
    <w:rsid w:val="00776DDF"/>
    <w:rsid w:val="0082215C"/>
    <w:rsid w:val="00897756"/>
    <w:rsid w:val="00954839"/>
    <w:rsid w:val="009B522F"/>
    <w:rsid w:val="00A7745B"/>
    <w:rsid w:val="00AE411C"/>
    <w:rsid w:val="00B87695"/>
    <w:rsid w:val="00BC769F"/>
    <w:rsid w:val="00D278BC"/>
    <w:rsid w:val="00D51632"/>
    <w:rsid w:val="00E22B2B"/>
    <w:rsid w:val="00E50D3C"/>
    <w:rsid w:val="00EB6EF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9482"/>
  <w15:chartTrackingRefBased/>
  <w15:docId w15:val="{43EFF363-0A68-4BC9-96B4-C551F422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7A2"/>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0117A2"/>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0117A2"/>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0117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17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17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7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7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7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7A2"/>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0117A2"/>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0117A2"/>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0117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17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17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7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7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7A2"/>
    <w:rPr>
      <w:rFonts w:eastAsiaTheme="majorEastAsia" w:cstheme="majorBidi"/>
      <w:color w:val="272727" w:themeColor="text1" w:themeTint="D8"/>
    </w:rPr>
  </w:style>
  <w:style w:type="paragraph" w:styleId="Title">
    <w:name w:val="Title"/>
    <w:basedOn w:val="Normal"/>
    <w:next w:val="Normal"/>
    <w:link w:val="TitleChar"/>
    <w:uiPriority w:val="10"/>
    <w:qFormat/>
    <w:rsid w:val="000117A2"/>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117A2"/>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117A2"/>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117A2"/>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117A2"/>
    <w:pPr>
      <w:spacing w:before="160"/>
      <w:jc w:val="center"/>
    </w:pPr>
    <w:rPr>
      <w:i/>
      <w:iCs/>
      <w:color w:val="404040" w:themeColor="text1" w:themeTint="BF"/>
    </w:rPr>
  </w:style>
  <w:style w:type="character" w:customStyle="1" w:styleId="QuoteChar">
    <w:name w:val="Quote Char"/>
    <w:basedOn w:val="DefaultParagraphFont"/>
    <w:link w:val="Quote"/>
    <w:uiPriority w:val="29"/>
    <w:rsid w:val="000117A2"/>
    <w:rPr>
      <w:i/>
      <w:iCs/>
      <w:color w:val="404040" w:themeColor="text1" w:themeTint="BF"/>
    </w:rPr>
  </w:style>
  <w:style w:type="paragraph" w:styleId="ListParagraph">
    <w:name w:val="List Paragraph"/>
    <w:basedOn w:val="Normal"/>
    <w:uiPriority w:val="34"/>
    <w:qFormat/>
    <w:rsid w:val="000117A2"/>
    <w:pPr>
      <w:ind w:left="720"/>
      <w:contextualSpacing/>
    </w:pPr>
  </w:style>
  <w:style w:type="character" w:styleId="IntenseEmphasis">
    <w:name w:val="Intense Emphasis"/>
    <w:basedOn w:val="DefaultParagraphFont"/>
    <w:uiPriority w:val="21"/>
    <w:qFormat/>
    <w:rsid w:val="000117A2"/>
    <w:rPr>
      <w:i/>
      <w:iCs/>
      <w:color w:val="2F5496" w:themeColor="accent1" w:themeShade="BF"/>
    </w:rPr>
  </w:style>
  <w:style w:type="paragraph" w:styleId="IntenseQuote">
    <w:name w:val="Intense Quote"/>
    <w:basedOn w:val="Normal"/>
    <w:next w:val="Normal"/>
    <w:link w:val="IntenseQuoteChar"/>
    <w:uiPriority w:val="30"/>
    <w:qFormat/>
    <w:rsid w:val="000117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17A2"/>
    <w:rPr>
      <w:i/>
      <w:iCs/>
      <w:color w:val="2F5496" w:themeColor="accent1" w:themeShade="BF"/>
    </w:rPr>
  </w:style>
  <w:style w:type="character" w:styleId="IntenseReference">
    <w:name w:val="Intense Reference"/>
    <w:basedOn w:val="DefaultParagraphFont"/>
    <w:uiPriority w:val="32"/>
    <w:qFormat/>
    <w:rsid w:val="000117A2"/>
    <w:rPr>
      <w:b/>
      <w:bCs/>
      <w:smallCaps/>
      <w:color w:val="2F5496" w:themeColor="accent1" w:themeShade="BF"/>
      <w:spacing w:val="5"/>
    </w:rPr>
  </w:style>
  <w:style w:type="paragraph" w:styleId="Header">
    <w:name w:val="header"/>
    <w:basedOn w:val="Normal"/>
    <w:link w:val="HeaderChar"/>
    <w:uiPriority w:val="99"/>
    <w:unhideWhenUsed/>
    <w:rsid w:val="00390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1C2"/>
  </w:style>
  <w:style w:type="paragraph" w:styleId="Footer">
    <w:name w:val="footer"/>
    <w:basedOn w:val="Normal"/>
    <w:link w:val="FooterChar"/>
    <w:uiPriority w:val="99"/>
    <w:unhideWhenUsed/>
    <w:rsid w:val="00390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1C2"/>
  </w:style>
  <w:style w:type="paragraph" w:customStyle="1" w:styleId="TableParagraph">
    <w:name w:val="Table Paragraph"/>
    <w:basedOn w:val="Normal"/>
    <w:uiPriority w:val="1"/>
    <w:qFormat/>
    <w:rsid w:val="003901C2"/>
    <w:pPr>
      <w:widowControl w:val="0"/>
      <w:autoSpaceDE w:val="0"/>
      <w:autoSpaceDN w:val="0"/>
      <w:spacing w:after="0" w:line="240" w:lineRule="auto"/>
      <w:ind w:left="107"/>
    </w:pPr>
    <w:rPr>
      <w:rFonts w:ascii="Arial MT" w:eastAsia="Arial MT" w:hAnsi="Arial MT" w:cs="Arial MT"/>
      <w:kern w:val="0"/>
      <w:szCs w:val="22"/>
      <w:lang w:val="en-US" w:bidi="ar-SA"/>
      <w14:ligatures w14:val="none"/>
    </w:rPr>
  </w:style>
  <w:style w:type="character" w:styleId="Hyperlink">
    <w:name w:val="Hyperlink"/>
    <w:basedOn w:val="DefaultParagraphFont"/>
    <w:uiPriority w:val="99"/>
    <w:unhideWhenUsed/>
    <w:rsid w:val="003901C2"/>
    <w:rPr>
      <w:color w:val="0563C1" w:themeColor="hyperlink"/>
      <w:u w:val="single"/>
    </w:rPr>
  </w:style>
  <w:style w:type="character" w:customStyle="1" w:styleId="UnresolvedMention1">
    <w:name w:val="Unresolved Mention1"/>
    <w:basedOn w:val="DefaultParagraphFont"/>
    <w:uiPriority w:val="99"/>
    <w:semiHidden/>
    <w:unhideWhenUsed/>
    <w:rsid w:val="00390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hsbsa.nhs.uk/statistical-collections/dental-england/dental-statistics-england-202324" TargetMode="External"/><Relationship Id="rId18" Type="http://schemas.openxmlformats.org/officeDocument/2006/relationships/hyperlink" Target="https://www.kingsfund.org.uk/insight-and-analysis/blogs/reshaping-nhs-national-bodies-started-finis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ngland.nhs.uk/long-read/2025-26-priorities-and-operational-planning-guidance/" TargetMode="External"/><Relationship Id="rId7" Type="http://schemas.openxmlformats.org/officeDocument/2006/relationships/image" Target="media/image1.png"/><Relationship Id="rId12" Type="http://schemas.openxmlformats.org/officeDocument/2006/relationships/hyperlink" Target="https://commonslibrary.parliament.uk/research-briefings/cbp-9597/"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consultations/nhs-dentistry-contract-quality-and-payment-reforms/nhs-dentistry-contract-quality-and-payment-reforms-consultation-document" TargetMode="External"/><Relationship Id="rId20" Type="http://schemas.openxmlformats.org/officeDocument/2006/relationships/hyperlink" Target="https://www.england.nhs.uk/long-read/structure-of-the-n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society/2025/feb/13/england-dentists-nhs-exodus-fees" TargetMode="External"/><Relationship Id="rId24" Type="http://schemas.openxmlformats.org/officeDocument/2006/relationships/hyperlink" Target="https://www.kingsfund.org.uk/insight-and-analysis/data-and-charts/key-facts-figures-nhs" TargetMode="External"/><Relationship Id="rId5" Type="http://schemas.openxmlformats.org/officeDocument/2006/relationships/footnotes" Target="footnotes.xml"/><Relationship Id="rId15" Type="http://schemas.openxmlformats.org/officeDocument/2006/relationships/hyperlink" Target="https://www.england.nhs.uk/primary-care/dentistry/dental-commissioning/dental-contract/" TargetMode="External"/><Relationship Id="rId23" Type="http://schemas.openxmlformats.org/officeDocument/2006/relationships/hyperlink" Target="https://www.nuffieldtrust.org.uk/chapter/1948-1957-establishing-the-national-health-service" TargetMode="External"/><Relationship Id="rId10" Type="http://schemas.openxmlformats.org/officeDocument/2006/relationships/hyperlink" Target="https://www.ncbi.nlm.nih.gov/books/NBK378807/" TargetMode="External"/><Relationship Id="rId19" Type="http://schemas.openxmlformats.org/officeDocument/2006/relationships/hyperlink" Target="https://www.ncbi.nlm.nih.gov/books/NBK316274/" TargetMode="External"/><Relationship Id="rId4" Type="http://schemas.openxmlformats.org/officeDocument/2006/relationships/webSettings" Target="webSettings.xml"/><Relationship Id="rId9" Type="http://schemas.openxmlformats.org/officeDocument/2006/relationships/hyperlink" Target="https://www.kingsfund.org.uk/insight-and-analysis/long-reads/dentistry-england-explained" TargetMode="External"/><Relationship Id="rId14" Type="http://schemas.openxmlformats.org/officeDocument/2006/relationships/hyperlink" Target="https://digital.nhs.uk/data-and-information/publications/statistical/nhs-dental-statistics/2022-23-annual-report" TargetMode="External"/><Relationship Id="rId22" Type="http://schemas.openxmlformats.org/officeDocument/2006/relationships/hyperlink" Target="https://researchbriefings.files.parliament.uk/documents/CBP-7206/CBP-72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Mansur Alam</cp:lastModifiedBy>
  <cp:revision>15</cp:revision>
  <dcterms:created xsi:type="dcterms:W3CDTF">2025-11-10T13:46:00Z</dcterms:created>
  <dcterms:modified xsi:type="dcterms:W3CDTF">2025-11-16T21:18:00Z</dcterms:modified>
</cp:coreProperties>
</file>