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945D" w14:textId="77777777" w:rsidR="002825CC" w:rsidRPr="0075328F" w:rsidRDefault="00FC7404" w:rsidP="002825CC">
      <w:pPr>
        <w:jc w:val="center"/>
        <w:rPr>
          <w:rFonts w:eastAsia="Times New Roman"/>
          <w:b/>
          <w:bCs/>
        </w:rPr>
      </w:pPr>
      <w:r w:rsidRPr="0075328F">
        <w:rPr>
          <w:b/>
          <w:bCs/>
        </w:rPr>
        <w:t xml:space="preserve"> </w:t>
      </w:r>
    </w:p>
    <w:p w14:paraId="51B96816" w14:textId="77777777" w:rsidR="002825CC" w:rsidRPr="0075328F" w:rsidRDefault="002825CC" w:rsidP="002825CC">
      <w:pPr>
        <w:jc w:val="center"/>
        <w:rPr>
          <w:rFonts w:eastAsia="Times New Roman"/>
          <w:b/>
          <w:bCs/>
        </w:rPr>
      </w:pPr>
    </w:p>
    <w:p w14:paraId="50DAE597" w14:textId="77777777" w:rsidR="002825CC" w:rsidRPr="0075328F" w:rsidRDefault="002825CC" w:rsidP="002825CC">
      <w:pPr>
        <w:jc w:val="center"/>
        <w:rPr>
          <w:rFonts w:eastAsia="Times New Roman"/>
          <w:b/>
          <w:bCs/>
        </w:rPr>
      </w:pPr>
    </w:p>
    <w:p w14:paraId="78A6A446" w14:textId="77777777" w:rsidR="002825CC" w:rsidRPr="0075328F" w:rsidRDefault="002825CC" w:rsidP="002825CC">
      <w:pPr>
        <w:jc w:val="center"/>
        <w:rPr>
          <w:rFonts w:eastAsia="Times New Roman"/>
          <w:b/>
          <w:bCs/>
        </w:rPr>
      </w:pPr>
    </w:p>
    <w:p w14:paraId="2BF90A24" w14:textId="77777777" w:rsidR="002825CC" w:rsidRPr="0075328F" w:rsidRDefault="002825CC" w:rsidP="002825CC">
      <w:pPr>
        <w:jc w:val="center"/>
        <w:rPr>
          <w:rFonts w:ascii="Arial" w:eastAsia="Times New Roman" w:hAnsi="Arial" w:cs="Arial"/>
          <w:b/>
          <w:bCs/>
          <w:sz w:val="22"/>
          <w:szCs w:val="22"/>
        </w:rPr>
      </w:pPr>
      <w:r w:rsidRPr="0075328F">
        <w:rPr>
          <w:noProof/>
          <w:color w:val="000000"/>
        </w:rPr>
        <w:drawing>
          <wp:inline distT="19050" distB="19050" distL="19050" distR="19050" wp14:anchorId="5D6542E2" wp14:editId="10C3B325">
            <wp:extent cx="5715000" cy="2238375"/>
            <wp:effectExtent l="0" t="0" r="0" b="952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15000" cy="2238375"/>
                    </a:xfrm>
                    <a:prstGeom prst="rect">
                      <a:avLst/>
                    </a:prstGeom>
                    <a:ln/>
                  </pic:spPr>
                </pic:pic>
              </a:graphicData>
            </a:graphic>
          </wp:inline>
        </w:drawing>
      </w:r>
    </w:p>
    <w:p w14:paraId="0C06D289" w14:textId="77777777" w:rsidR="002825CC" w:rsidRPr="0075328F" w:rsidRDefault="002825CC" w:rsidP="002825CC">
      <w:pPr>
        <w:jc w:val="center"/>
        <w:rPr>
          <w:rFonts w:eastAsia="Times New Roman"/>
          <w:b/>
          <w:bCs/>
        </w:rPr>
      </w:pPr>
    </w:p>
    <w:p w14:paraId="7CC781DF" w14:textId="77777777" w:rsidR="002825CC" w:rsidRPr="0075328F" w:rsidRDefault="002825CC" w:rsidP="002825CC">
      <w:pPr>
        <w:spacing w:line="480" w:lineRule="auto"/>
        <w:rPr>
          <w:rFonts w:ascii="Arial" w:eastAsia="Times New Roman" w:hAnsi="Arial" w:cs="Arial"/>
          <w:b/>
          <w:bCs/>
          <w:sz w:val="22"/>
          <w:szCs w:val="22"/>
        </w:rPr>
      </w:pPr>
      <w:r w:rsidRPr="0075328F">
        <w:rPr>
          <w:rFonts w:ascii="Arial" w:eastAsia="Times New Roman" w:hAnsi="Arial" w:cs="Arial"/>
          <w:b/>
          <w:bCs/>
          <w:i/>
          <w:iCs/>
          <w:sz w:val="22"/>
          <w:szCs w:val="22"/>
        </w:rPr>
        <w:t>Programme:</w:t>
      </w:r>
      <w:r w:rsidRPr="0075328F">
        <w:rPr>
          <w:rFonts w:ascii="Arial" w:eastAsia="Times New Roman" w:hAnsi="Arial" w:cs="Arial"/>
          <w:b/>
          <w:bCs/>
          <w:sz w:val="22"/>
          <w:szCs w:val="22"/>
        </w:rPr>
        <w:t xml:space="preserve"> </w:t>
      </w:r>
      <w:r w:rsidRPr="0075328F">
        <w:rPr>
          <w:rFonts w:ascii="Arial" w:eastAsia="Times New Roman" w:hAnsi="Arial" w:cs="Arial"/>
          <w:sz w:val="22"/>
          <w:szCs w:val="22"/>
        </w:rPr>
        <w:t>BSc Health and Social Care</w:t>
      </w:r>
    </w:p>
    <w:p w14:paraId="0CCE3962" w14:textId="77777777" w:rsidR="002825CC" w:rsidRPr="0075328F" w:rsidRDefault="002825CC" w:rsidP="002825CC">
      <w:pPr>
        <w:spacing w:line="480" w:lineRule="auto"/>
        <w:rPr>
          <w:rFonts w:ascii="Arial" w:eastAsia="Times New Roman" w:hAnsi="Arial" w:cs="Arial"/>
          <w:b/>
          <w:bCs/>
          <w:sz w:val="22"/>
          <w:szCs w:val="22"/>
        </w:rPr>
      </w:pPr>
      <w:r w:rsidRPr="0075328F">
        <w:rPr>
          <w:rFonts w:ascii="Arial" w:eastAsia="Times New Roman" w:hAnsi="Arial" w:cs="Arial"/>
          <w:b/>
          <w:bCs/>
          <w:i/>
          <w:iCs/>
          <w:sz w:val="22"/>
          <w:szCs w:val="22"/>
        </w:rPr>
        <w:t>Module code and title:</w:t>
      </w:r>
      <w:r w:rsidRPr="0075328F">
        <w:rPr>
          <w:rFonts w:ascii="Arial" w:eastAsia="Times New Roman" w:hAnsi="Arial" w:cs="Arial"/>
          <w:b/>
          <w:bCs/>
          <w:sz w:val="22"/>
          <w:szCs w:val="22"/>
        </w:rPr>
        <w:t xml:space="preserve"> </w:t>
      </w:r>
      <w:r w:rsidRPr="0075328F">
        <w:rPr>
          <w:rFonts w:ascii="Arial" w:eastAsia="Times New Roman" w:hAnsi="Arial" w:cs="Arial"/>
          <w:sz w:val="22"/>
          <w:szCs w:val="22"/>
        </w:rPr>
        <w:t>BMHP5016: Principles of Health and Social Care Practice</w:t>
      </w:r>
    </w:p>
    <w:p w14:paraId="5E7C1155" w14:textId="77777777" w:rsidR="002825CC" w:rsidRPr="0075328F" w:rsidRDefault="002825CC" w:rsidP="002825CC">
      <w:pPr>
        <w:spacing w:line="480" w:lineRule="auto"/>
        <w:rPr>
          <w:rFonts w:ascii="Arial" w:eastAsia="Times New Roman" w:hAnsi="Arial" w:cs="Arial"/>
          <w:b/>
          <w:bCs/>
          <w:sz w:val="22"/>
          <w:szCs w:val="22"/>
        </w:rPr>
      </w:pPr>
      <w:r w:rsidRPr="0075328F">
        <w:rPr>
          <w:rFonts w:ascii="Arial" w:eastAsia="Times New Roman" w:hAnsi="Arial" w:cs="Arial"/>
          <w:b/>
          <w:bCs/>
          <w:i/>
          <w:iCs/>
          <w:sz w:val="22"/>
          <w:szCs w:val="22"/>
        </w:rPr>
        <w:t>Assignment title:</w:t>
      </w:r>
      <w:r w:rsidRPr="0075328F">
        <w:rPr>
          <w:rFonts w:ascii="Arial" w:eastAsia="Times New Roman" w:hAnsi="Arial" w:cs="Arial"/>
          <w:b/>
          <w:bCs/>
          <w:sz w:val="22"/>
          <w:szCs w:val="22"/>
        </w:rPr>
        <w:t xml:space="preserve"> </w:t>
      </w:r>
      <w:r w:rsidRPr="0075328F">
        <w:rPr>
          <w:rFonts w:ascii="Arial" w:eastAsia="Times New Roman" w:hAnsi="Arial" w:cs="Arial"/>
          <w:sz w:val="22"/>
          <w:szCs w:val="22"/>
        </w:rPr>
        <w:t xml:space="preserve">Person Centred Care and Partnership Working </w:t>
      </w:r>
    </w:p>
    <w:p w14:paraId="58B1D493" w14:textId="65853B4F" w:rsidR="002825CC" w:rsidRPr="0075328F" w:rsidRDefault="002825CC" w:rsidP="002825CC">
      <w:pPr>
        <w:spacing w:line="480" w:lineRule="auto"/>
        <w:rPr>
          <w:rFonts w:ascii="Arial" w:eastAsia="Times New Roman" w:hAnsi="Arial" w:cs="Arial"/>
          <w:b/>
          <w:bCs/>
          <w:i/>
          <w:iCs/>
          <w:sz w:val="22"/>
          <w:szCs w:val="22"/>
        </w:rPr>
      </w:pPr>
      <w:r w:rsidRPr="0075328F">
        <w:rPr>
          <w:rFonts w:ascii="Arial" w:eastAsia="Times New Roman" w:hAnsi="Arial" w:cs="Arial"/>
          <w:b/>
          <w:bCs/>
          <w:i/>
          <w:iCs/>
          <w:sz w:val="22"/>
          <w:szCs w:val="22"/>
        </w:rPr>
        <w:t>Student name:</w:t>
      </w:r>
      <w:r w:rsidR="006C3593" w:rsidRPr="006C3593">
        <w:t xml:space="preserve"> </w:t>
      </w:r>
      <w:r w:rsidR="006C3593" w:rsidRPr="006C3593">
        <w:rPr>
          <w:rFonts w:ascii="Arial" w:eastAsia="Times New Roman" w:hAnsi="Arial" w:cs="Arial"/>
          <w:b/>
          <w:bCs/>
          <w:i/>
          <w:iCs/>
          <w:sz w:val="22"/>
          <w:szCs w:val="22"/>
        </w:rPr>
        <w:t>Serge Saidi</w:t>
      </w:r>
    </w:p>
    <w:p w14:paraId="3934FE6B" w14:textId="5CFA44EA" w:rsidR="002825CC" w:rsidRPr="0075328F" w:rsidRDefault="002825CC" w:rsidP="002825CC">
      <w:pPr>
        <w:spacing w:line="480" w:lineRule="auto"/>
        <w:rPr>
          <w:rFonts w:ascii="Arial" w:eastAsia="Times New Roman" w:hAnsi="Arial" w:cs="Arial"/>
          <w:b/>
          <w:bCs/>
          <w:i/>
          <w:iCs/>
          <w:sz w:val="22"/>
          <w:szCs w:val="22"/>
        </w:rPr>
      </w:pPr>
      <w:r w:rsidRPr="0075328F">
        <w:rPr>
          <w:rFonts w:ascii="Arial" w:eastAsia="Times New Roman" w:hAnsi="Arial" w:cs="Arial"/>
          <w:b/>
          <w:bCs/>
          <w:i/>
          <w:iCs/>
          <w:sz w:val="22"/>
          <w:szCs w:val="22"/>
        </w:rPr>
        <w:t>Student number:</w:t>
      </w:r>
      <w:r w:rsidR="006C3593" w:rsidRPr="006C3593">
        <w:rPr>
          <w:rFonts w:ascii="Arial" w:eastAsia="Times New Roman" w:hAnsi="Arial" w:cs="Arial"/>
          <w:b/>
          <w:bCs/>
          <w:i/>
          <w:iCs/>
          <w:sz w:val="22"/>
          <w:szCs w:val="22"/>
        </w:rPr>
        <w:t xml:space="preserve"> 2423011</w:t>
      </w:r>
    </w:p>
    <w:p w14:paraId="411121BE" w14:textId="2A06FFDB" w:rsidR="002825CC" w:rsidRPr="0075328F" w:rsidRDefault="002825CC" w:rsidP="002825CC">
      <w:pPr>
        <w:spacing w:line="480" w:lineRule="auto"/>
        <w:rPr>
          <w:rFonts w:ascii="Arial" w:eastAsia="Times New Roman" w:hAnsi="Arial" w:cs="Arial"/>
          <w:sz w:val="22"/>
          <w:szCs w:val="22"/>
        </w:rPr>
      </w:pPr>
      <w:r w:rsidRPr="0075328F">
        <w:rPr>
          <w:rFonts w:ascii="Arial" w:eastAsia="Times New Roman" w:hAnsi="Arial" w:cs="Arial"/>
          <w:b/>
          <w:bCs/>
          <w:i/>
          <w:iCs/>
          <w:sz w:val="22"/>
          <w:szCs w:val="22"/>
        </w:rPr>
        <w:t>Lecturer’s name:</w:t>
      </w:r>
      <w:r w:rsidRPr="0075328F">
        <w:rPr>
          <w:rFonts w:ascii="Arial" w:eastAsia="Times New Roman" w:hAnsi="Arial" w:cs="Arial"/>
          <w:b/>
          <w:bCs/>
          <w:sz w:val="22"/>
          <w:szCs w:val="22"/>
        </w:rPr>
        <w:t xml:space="preserve"> </w:t>
      </w:r>
      <w:r w:rsidR="006C3593" w:rsidRPr="006C3593">
        <w:rPr>
          <w:rFonts w:ascii="Arial" w:eastAsia="Times New Roman" w:hAnsi="Arial" w:cs="Arial"/>
          <w:b/>
          <w:bCs/>
          <w:sz w:val="22"/>
          <w:szCs w:val="22"/>
        </w:rPr>
        <w:t>Rizwan Nadim</w:t>
      </w:r>
    </w:p>
    <w:p w14:paraId="49484BD1" w14:textId="77777777" w:rsidR="002825CC" w:rsidRPr="0075328F" w:rsidRDefault="002825CC" w:rsidP="002825CC">
      <w:pPr>
        <w:spacing w:line="480" w:lineRule="auto"/>
        <w:rPr>
          <w:rFonts w:ascii="Arial" w:eastAsia="Times New Roman" w:hAnsi="Arial" w:cs="Arial"/>
          <w:sz w:val="22"/>
          <w:szCs w:val="22"/>
        </w:rPr>
      </w:pPr>
      <w:r w:rsidRPr="0075328F">
        <w:rPr>
          <w:rFonts w:ascii="Arial" w:eastAsia="Arial" w:hAnsi="Arial" w:cs="Arial"/>
          <w:b/>
          <w:i/>
          <w:color w:val="000000"/>
          <w:sz w:val="22"/>
          <w:szCs w:val="22"/>
        </w:rPr>
        <w:t>Term</w:t>
      </w:r>
      <w:r w:rsidRPr="0075328F">
        <w:rPr>
          <w:rFonts w:ascii="Arial" w:eastAsia="Arial" w:hAnsi="Arial" w:cs="Arial"/>
          <w:i/>
          <w:color w:val="000000"/>
          <w:sz w:val="22"/>
          <w:szCs w:val="22"/>
        </w:rPr>
        <w:t xml:space="preserve">: </w:t>
      </w:r>
    </w:p>
    <w:p w14:paraId="759169F0" w14:textId="20458483" w:rsidR="002825CC" w:rsidRPr="0075328F" w:rsidRDefault="002825CC" w:rsidP="002825CC">
      <w:pPr>
        <w:spacing w:line="480" w:lineRule="auto"/>
        <w:rPr>
          <w:rFonts w:ascii="Arial" w:eastAsia="Times New Roman" w:hAnsi="Arial" w:cs="Arial"/>
          <w:sz w:val="22"/>
          <w:szCs w:val="22"/>
        </w:rPr>
      </w:pPr>
      <w:r w:rsidRPr="0075328F">
        <w:rPr>
          <w:rFonts w:ascii="Arial" w:eastAsia="Arial" w:hAnsi="Arial" w:cs="Arial"/>
          <w:b/>
          <w:i/>
          <w:color w:val="000000"/>
          <w:sz w:val="22"/>
          <w:szCs w:val="22"/>
        </w:rPr>
        <w:t xml:space="preserve">Word count: </w:t>
      </w:r>
      <w:r w:rsidR="00A9404A">
        <w:rPr>
          <w:rFonts w:ascii="Arial" w:eastAsia="Arial" w:hAnsi="Arial" w:cs="Arial"/>
          <w:b/>
          <w:i/>
          <w:color w:val="000000"/>
          <w:sz w:val="22"/>
          <w:szCs w:val="22"/>
        </w:rPr>
        <w:t>2111</w:t>
      </w:r>
    </w:p>
    <w:p w14:paraId="669A144C" w14:textId="78C7EFFC" w:rsidR="0075328F" w:rsidRDefault="002825CC" w:rsidP="002825CC">
      <w:pPr>
        <w:spacing w:line="480" w:lineRule="auto"/>
        <w:rPr>
          <w:rFonts w:ascii="Arial" w:eastAsia="Arial" w:hAnsi="Arial" w:cs="Arial"/>
          <w:b/>
          <w:i/>
          <w:color w:val="000000"/>
          <w:sz w:val="22"/>
          <w:szCs w:val="22"/>
        </w:rPr>
      </w:pPr>
      <w:r w:rsidRPr="0075328F">
        <w:rPr>
          <w:rFonts w:ascii="Arial" w:eastAsia="Arial" w:hAnsi="Arial" w:cs="Arial"/>
          <w:b/>
          <w:i/>
          <w:color w:val="000000"/>
          <w:sz w:val="22"/>
          <w:szCs w:val="22"/>
        </w:rPr>
        <w:t>Submission deadline:</w:t>
      </w:r>
    </w:p>
    <w:p w14:paraId="294E9926" w14:textId="77777777" w:rsidR="0075328F" w:rsidRDefault="0075328F">
      <w:pPr>
        <w:spacing w:after="160" w:line="259" w:lineRule="auto"/>
        <w:jc w:val="left"/>
        <w:rPr>
          <w:rFonts w:ascii="Arial" w:eastAsia="Arial" w:hAnsi="Arial" w:cs="Arial"/>
          <w:b/>
          <w:i/>
          <w:color w:val="000000"/>
          <w:sz w:val="22"/>
          <w:szCs w:val="22"/>
        </w:rPr>
      </w:pPr>
      <w:r>
        <w:rPr>
          <w:rFonts w:ascii="Arial" w:eastAsia="Arial" w:hAnsi="Arial" w:cs="Arial"/>
          <w:b/>
          <w:i/>
          <w:color w:val="000000"/>
          <w:sz w:val="22"/>
          <w:szCs w:val="22"/>
        </w:rPr>
        <w:br w:type="page"/>
      </w:r>
    </w:p>
    <w:p w14:paraId="4532D651" w14:textId="77777777" w:rsidR="0075328F" w:rsidRPr="0075328F" w:rsidRDefault="0075328F" w:rsidP="0075328F">
      <w:pPr>
        <w:spacing w:line="480" w:lineRule="auto"/>
        <w:jc w:val="center"/>
        <w:rPr>
          <w:rFonts w:ascii="Arial" w:eastAsia="Times New Roman" w:hAnsi="Arial" w:cs="Arial"/>
          <w:sz w:val="22"/>
          <w:szCs w:val="22"/>
          <w:lang w:val="en-US"/>
        </w:rPr>
      </w:pPr>
      <w:r w:rsidRPr="0075328F">
        <w:rPr>
          <w:rFonts w:ascii="Arial" w:eastAsia="Times New Roman" w:hAnsi="Arial" w:cs="Arial"/>
          <w:b/>
          <w:bCs/>
          <w:sz w:val="22"/>
          <w:szCs w:val="22"/>
          <w:lang w:val="en-US"/>
        </w:rPr>
        <w:t>Abstract</w:t>
      </w:r>
    </w:p>
    <w:p w14:paraId="4A54B0B3" w14:textId="77777777" w:rsidR="0075328F" w:rsidRPr="0075328F" w:rsidRDefault="0075328F" w:rsidP="0075328F">
      <w:pPr>
        <w:rPr>
          <w:rFonts w:ascii="Arial" w:eastAsia="Times New Roman" w:hAnsi="Arial" w:cs="Arial"/>
          <w:sz w:val="22"/>
          <w:szCs w:val="22"/>
        </w:rPr>
      </w:pPr>
      <w:r w:rsidRPr="0075328F">
        <w:rPr>
          <w:rFonts w:ascii="Arial" w:eastAsia="Times New Roman" w:hAnsi="Arial" w:cs="Arial"/>
          <w:sz w:val="22"/>
          <w:szCs w:val="22"/>
        </w:rPr>
        <w:t>This report aims to critically analyse person-centred care (PCC) and partnership working (PW) in enhancing healthcare delivery in UK hospitals. PCC facilitates patients’ autonomy and decision-making within the care planning, while partnership working strengthens collaboration among the healthcare professions to ensure care delivery. Carl Rogers’ Person-Centred Theory and Bradshaw’s Model of Need guide for addressing person-centred care with uniqueness concerning personalised care. Ethical principles such as autonomy, beneficence, non-maleficence and justice need to be aligned within PCC and PW to optimise quality-care delivery for patients while protecting respect for both patients and staff. Additionally, partnership working also requires policies and legislation such as the Health and Social Care Act 2022 and the Health and Social Care Act 2012 to promote partnership working for framing effective care planning. Thus, aligning legislative practices for PCC and PW can empower UK hospitals to optimise healthcare services, thereby reducing the burden on the healthcare system and promoting population health.</w:t>
      </w:r>
    </w:p>
    <w:p w14:paraId="5DAAB3FE" w14:textId="77777777" w:rsidR="002825CC" w:rsidRPr="0075328F" w:rsidRDefault="002825CC" w:rsidP="002825CC">
      <w:pPr>
        <w:spacing w:line="480" w:lineRule="auto"/>
        <w:rPr>
          <w:rFonts w:ascii="Arial" w:eastAsia="Times New Roman" w:hAnsi="Arial" w:cs="Arial"/>
          <w:sz w:val="22"/>
          <w:szCs w:val="22"/>
        </w:rPr>
      </w:pPr>
    </w:p>
    <w:p w14:paraId="4009880B" w14:textId="77777777" w:rsidR="002825CC" w:rsidRPr="0075328F" w:rsidRDefault="002825CC" w:rsidP="002825CC">
      <w:pPr>
        <w:jc w:val="center"/>
        <w:rPr>
          <w:rFonts w:eastAsia="Times New Roman"/>
          <w:b/>
          <w:bCs/>
          <w:sz w:val="28"/>
          <w:szCs w:val="28"/>
        </w:rPr>
      </w:pPr>
    </w:p>
    <w:p w14:paraId="48B4DF11" w14:textId="77777777" w:rsidR="002825CC" w:rsidRPr="0075328F" w:rsidRDefault="002825CC" w:rsidP="002825CC">
      <w:pPr>
        <w:jc w:val="center"/>
        <w:rPr>
          <w:rFonts w:eastAsia="Times New Roman"/>
          <w:b/>
          <w:bCs/>
          <w:sz w:val="28"/>
          <w:szCs w:val="28"/>
        </w:rPr>
      </w:pPr>
      <w:r w:rsidRPr="0075328F">
        <w:rPr>
          <w:rFonts w:eastAsia="Times New Roman"/>
          <w:b/>
          <w:bCs/>
          <w:sz w:val="28"/>
          <w:szCs w:val="28"/>
        </w:rPr>
        <w:br w:type="page"/>
      </w:r>
    </w:p>
    <w:sdt>
      <w:sdtPr>
        <w:rPr>
          <w:rFonts w:ascii="Arial" w:eastAsiaTheme="minorHAnsi" w:hAnsi="Arial" w:cs="Arial"/>
          <w:b/>
          <w:bCs/>
          <w:color w:val="auto"/>
          <w:sz w:val="24"/>
          <w:szCs w:val="24"/>
        </w:rPr>
        <w:id w:val="-173737764"/>
        <w:docPartObj>
          <w:docPartGallery w:val="Table of Contents"/>
          <w:docPartUnique/>
        </w:docPartObj>
      </w:sdtPr>
      <w:sdtEndPr>
        <w:rPr>
          <w:rFonts w:ascii="Times New Roman" w:hAnsi="Times New Roman" w:cs="Times New Roman"/>
          <w:noProof/>
        </w:rPr>
      </w:sdtEndPr>
      <w:sdtContent>
        <w:p w14:paraId="072833F6" w14:textId="77777777" w:rsidR="002825CC" w:rsidRPr="0075328F" w:rsidRDefault="002825CC" w:rsidP="0075328F">
          <w:pPr>
            <w:pStyle w:val="TOCHeading"/>
            <w:jc w:val="center"/>
            <w:rPr>
              <w:rFonts w:ascii="Arial" w:hAnsi="Arial" w:cs="Arial"/>
              <w:b/>
              <w:bCs/>
              <w:color w:val="auto"/>
              <w:sz w:val="22"/>
              <w:szCs w:val="22"/>
            </w:rPr>
          </w:pPr>
          <w:r w:rsidRPr="0075328F">
            <w:rPr>
              <w:rFonts w:ascii="Arial" w:hAnsi="Arial" w:cs="Arial"/>
              <w:b/>
              <w:bCs/>
              <w:color w:val="auto"/>
              <w:sz w:val="22"/>
              <w:szCs w:val="22"/>
            </w:rPr>
            <w:t>Table of Contents</w:t>
          </w:r>
        </w:p>
        <w:p w14:paraId="7F94D05D" w14:textId="0032A367" w:rsidR="00022D9B" w:rsidRPr="00022D9B" w:rsidRDefault="002825CC">
          <w:pPr>
            <w:pStyle w:val="TOC1"/>
            <w:tabs>
              <w:tab w:val="right" w:leader="dot" w:pos="9016"/>
            </w:tabs>
            <w:rPr>
              <w:rFonts w:ascii="Arial" w:eastAsiaTheme="minorEastAsia" w:hAnsi="Arial"/>
              <w:noProof/>
              <w:color w:val="auto"/>
              <w:kern w:val="2"/>
              <w:sz w:val="22"/>
              <w:szCs w:val="22"/>
              <w:lang w:val="en-US" w:eastAsia="en-US"/>
              <w14:ligatures w14:val="standardContextual"/>
            </w:rPr>
          </w:pPr>
          <w:r w:rsidRPr="0075328F">
            <w:rPr>
              <w:rFonts w:ascii="Arial" w:hAnsi="Arial"/>
              <w:sz w:val="22"/>
              <w:szCs w:val="22"/>
            </w:rPr>
            <w:fldChar w:fldCharType="begin"/>
          </w:r>
          <w:r w:rsidRPr="0075328F">
            <w:rPr>
              <w:rFonts w:ascii="Arial" w:hAnsi="Arial"/>
              <w:sz w:val="22"/>
              <w:szCs w:val="22"/>
            </w:rPr>
            <w:instrText xml:space="preserve"> TOC \o "1-3" \h \z \u </w:instrText>
          </w:r>
          <w:r w:rsidRPr="0075328F">
            <w:rPr>
              <w:rFonts w:ascii="Arial" w:hAnsi="Arial"/>
              <w:sz w:val="22"/>
              <w:szCs w:val="22"/>
            </w:rPr>
            <w:fldChar w:fldCharType="separate"/>
          </w:r>
          <w:hyperlink w:anchor="_Toc235286442" w:history="1">
            <w:r w:rsidR="00022D9B" w:rsidRPr="00022D9B">
              <w:rPr>
                <w:rStyle w:val="Hyperlink"/>
                <w:rFonts w:ascii="Arial" w:hAnsi="Arial"/>
                <w:noProof/>
                <w:sz w:val="22"/>
                <w:szCs w:val="22"/>
              </w:rPr>
              <w:t>Introduction</w:t>
            </w:r>
            <w:r w:rsidR="00022D9B" w:rsidRPr="00022D9B">
              <w:rPr>
                <w:rFonts w:ascii="Arial" w:hAnsi="Arial"/>
                <w:noProof/>
                <w:webHidden/>
                <w:sz w:val="22"/>
                <w:szCs w:val="22"/>
              </w:rPr>
              <w:tab/>
            </w:r>
            <w:r w:rsidR="00022D9B" w:rsidRPr="00022D9B">
              <w:rPr>
                <w:rFonts w:ascii="Arial" w:hAnsi="Arial"/>
                <w:noProof/>
                <w:webHidden/>
                <w:sz w:val="22"/>
                <w:szCs w:val="22"/>
              </w:rPr>
              <w:fldChar w:fldCharType="begin"/>
            </w:r>
            <w:r w:rsidR="00022D9B" w:rsidRPr="00022D9B">
              <w:rPr>
                <w:rFonts w:ascii="Arial" w:hAnsi="Arial"/>
                <w:noProof/>
                <w:webHidden/>
                <w:sz w:val="22"/>
                <w:szCs w:val="22"/>
              </w:rPr>
              <w:instrText xml:space="preserve"> PAGEREF _Toc235286442 \h </w:instrText>
            </w:r>
            <w:r w:rsidR="00022D9B" w:rsidRPr="00022D9B">
              <w:rPr>
                <w:rFonts w:ascii="Arial" w:hAnsi="Arial"/>
                <w:noProof/>
                <w:webHidden/>
                <w:sz w:val="22"/>
                <w:szCs w:val="22"/>
              </w:rPr>
            </w:r>
            <w:r w:rsidR="00022D9B" w:rsidRPr="00022D9B">
              <w:rPr>
                <w:rFonts w:ascii="Arial" w:hAnsi="Arial"/>
                <w:noProof/>
                <w:webHidden/>
                <w:sz w:val="22"/>
                <w:szCs w:val="22"/>
              </w:rPr>
              <w:fldChar w:fldCharType="separate"/>
            </w:r>
            <w:r w:rsidR="00022D9B" w:rsidRPr="00022D9B">
              <w:rPr>
                <w:rFonts w:ascii="Arial" w:hAnsi="Arial"/>
                <w:noProof/>
                <w:webHidden/>
                <w:sz w:val="22"/>
                <w:szCs w:val="22"/>
              </w:rPr>
              <w:t>5</w:t>
            </w:r>
            <w:r w:rsidR="00022D9B" w:rsidRPr="00022D9B">
              <w:rPr>
                <w:rFonts w:ascii="Arial" w:hAnsi="Arial"/>
                <w:noProof/>
                <w:webHidden/>
                <w:sz w:val="22"/>
                <w:szCs w:val="22"/>
              </w:rPr>
              <w:fldChar w:fldCharType="end"/>
            </w:r>
          </w:hyperlink>
        </w:p>
        <w:p w14:paraId="0B0A6FBB" w14:textId="4810E8EC"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3" w:history="1">
            <w:r w:rsidRPr="00022D9B">
              <w:rPr>
                <w:rStyle w:val="Hyperlink"/>
                <w:rFonts w:ascii="Arial" w:hAnsi="Arial"/>
                <w:noProof/>
                <w:sz w:val="22"/>
                <w:szCs w:val="22"/>
              </w:rPr>
              <w:t>a) Definition of person-centred care (PCC)</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_Toc235286443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5</w:t>
            </w:r>
            <w:r w:rsidRPr="00022D9B">
              <w:rPr>
                <w:rFonts w:ascii="Arial" w:hAnsi="Arial"/>
                <w:noProof/>
                <w:webHidden/>
                <w:sz w:val="22"/>
                <w:szCs w:val="22"/>
              </w:rPr>
              <w:fldChar w:fldCharType="end"/>
            </w:r>
          </w:hyperlink>
        </w:p>
        <w:p w14:paraId="2A6D1ACC" w14:textId="4F0B1D4B"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4" w:history="1">
            <w:r w:rsidRPr="00022D9B">
              <w:rPr>
                <w:rStyle w:val="Hyperlink"/>
                <w:rFonts w:ascii="Arial" w:hAnsi="Arial"/>
                <w:noProof/>
                <w:sz w:val="22"/>
                <w:szCs w:val="22"/>
              </w:rPr>
              <w:t>b) Relevant theories</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_Toc235286444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6</w:t>
            </w:r>
            <w:r w:rsidRPr="00022D9B">
              <w:rPr>
                <w:rFonts w:ascii="Arial" w:hAnsi="Arial"/>
                <w:noProof/>
                <w:webHidden/>
                <w:sz w:val="22"/>
                <w:szCs w:val="22"/>
              </w:rPr>
              <w:fldChar w:fldCharType="end"/>
            </w:r>
          </w:hyperlink>
        </w:p>
        <w:p w14:paraId="36A9D0FD" w14:textId="6FCA21BA"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5" w:history="1">
            <w:r w:rsidRPr="00022D9B">
              <w:rPr>
                <w:rStyle w:val="Hyperlink"/>
                <w:rFonts w:ascii="Arial" w:hAnsi="Arial"/>
                <w:noProof/>
                <w:sz w:val="22"/>
                <w:szCs w:val="22"/>
              </w:rPr>
              <w:t>c) Ethical fundamentals of health and social care</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_Toc235286445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6</w:t>
            </w:r>
            <w:r w:rsidRPr="00022D9B">
              <w:rPr>
                <w:rFonts w:ascii="Arial" w:hAnsi="Arial"/>
                <w:noProof/>
                <w:webHidden/>
                <w:sz w:val="22"/>
                <w:szCs w:val="22"/>
              </w:rPr>
              <w:fldChar w:fldCharType="end"/>
            </w:r>
          </w:hyperlink>
        </w:p>
        <w:p w14:paraId="2BC33B53" w14:textId="27F7F7A5"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6" w:history="1">
            <w:r w:rsidRPr="00022D9B">
              <w:rPr>
                <w:rStyle w:val="Hyperlink"/>
                <w:rFonts w:ascii="Arial" w:hAnsi="Arial"/>
                <w:noProof/>
                <w:sz w:val="22"/>
                <w:szCs w:val="22"/>
              </w:rPr>
              <w:t>d) Evaluation of Partnership working</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_Toc235286446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7</w:t>
            </w:r>
            <w:r w:rsidRPr="00022D9B">
              <w:rPr>
                <w:rFonts w:ascii="Arial" w:hAnsi="Arial"/>
                <w:noProof/>
                <w:webHidden/>
                <w:sz w:val="22"/>
                <w:szCs w:val="22"/>
              </w:rPr>
              <w:fldChar w:fldCharType="end"/>
            </w:r>
          </w:hyperlink>
        </w:p>
        <w:p w14:paraId="7BC7A894" w14:textId="465ECF76"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7" w:history="1">
            <w:r w:rsidRPr="00022D9B">
              <w:rPr>
                <w:rStyle w:val="Hyperlink"/>
                <w:rFonts w:ascii="Arial" w:hAnsi="Arial"/>
                <w:noProof/>
                <w:sz w:val="22"/>
                <w:szCs w:val="22"/>
              </w:rPr>
              <w:t>e) Application of partnership working in hospital settings</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_Toc235286447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7</w:t>
            </w:r>
            <w:r w:rsidRPr="00022D9B">
              <w:rPr>
                <w:rFonts w:ascii="Arial" w:hAnsi="Arial"/>
                <w:noProof/>
                <w:webHidden/>
                <w:sz w:val="22"/>
                <w:szCs w:val="22"/>
              </w:rPr>
              <w:fldChar w:fldCharType="end"/>
            </w:r>
          </w:hyperlink>
        </w:p>
        <w:p w14:paraId="359B3645" w14:textId="2B293DA8"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8" w:history="1">
            <w:r w:rsidRPr="00022D9B">
              <w:rPr>
                <w:rStyle w:val="Hyperlink"/>
                <w:rFonts w:ascii="Arial" w:hAnsi="Arial"/>
                <w:noProof/>
                <w:sz w:val="22"/>
                <w:szCs w:val="22"/>
              </w:rPr>
              <w:t>f) Policy and legislation in relation to PCC and PW</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_Toc235286448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8</w:t>
            </w:r>
            <w:r w:rsidRPr="00022D9B">
              <w:rPr>
                <w:rFonts w:ascii="Arial" w:hAnsi="Arial"/>
                <w:noProof/>
                <w:webHidden/>
                <w:sz w:val="22"/>
                <w:szCs w:val="22"/>
              </w:rPr>
              <w:fldChar w:fldCharType="end"/>
            </w:r>
          </w:hyperlink>
        </w:p>
        <w:p w14:paraId="1E7DBC53" w14:textId="7113804F"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49" w:history="1">
            <w:r w:rsidRPr="00022D9B">
              <w:rPr>
                <w:rStyle w:val="Hyperlink"/>
                <w:rFonts w:ascii="Arial" w:hAnsi="Arial"/>
                <w:noProof/>
                <w:sz w:val="22"/>
                <w:szCs w:val="22"/>
              </w:rPr>
              <w:t>g) Recommendations</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_Toc235286449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9</w:t>
            </w:r>
            <w:r w:rsidRPr="00022D9B">
              <w:rPr>
                <w:rFonts w:ascii="Arial" w:hAnsi="Arial"/>
                <w:noProof/>
                <w:webHidden/>
                <w:sz w:val="22"/>
                <w:szCs w:val="22"/>
              </w:rPr>
              <w:fldChar w:fldCharType="end"/>
            </w:r>
          </w:hyperlink>
        </w:p>
        <w:p w14:paraId="58AE8C06" w14:textId="4D3696CA"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50" w:history="1">
            <w:r w:rsidRPr="00022D9B">
              <w:rPr>
                <w:rStyle w:val="Hyperlink"/>
                <w:rFonts w:ascii="Arial" w:hAnsi="Arial"/>
                <w:noProof/>
                <w:sz w:val="22"/>
                <w:szCs w:val="22"/>
              </w:rPr>
              <w:t>Conclusion</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_Toc235286450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10</w:t>
            </w:r>
            <w:r w:rsidRPr="00022D9B">
              <w:rPr>
                <w:rFonts w:ascii="Arial" w:hAnsi="Arial"/>
                <w:noProof/>
                <w:webHidden/>
                <w:sz w:val="22"/>
                <w:szCs w:val="22"/>
              </w:rPr>
              <w:fldChar w:fldCharType="end"/>
            </w:r>
          </w:hyperlink>
        </w:p>
        <w:p w14:paraId="3B3EB425" w14:textId="38D92F86" w:rsidR="00022D9B" w:rsidRPr="00022D9B" w:rsidRDefault="00022D9B">
          <w:pPr>
            <w:pStyle w:val="TOC1"/>
            <w:tabs>
              <w:tab w:val="right" w:leader="dot" w:pos="9016"/>
            </w:tabs>
            <w:rPr>
              <w:rFonts w:ascii="Arial" w:eastAsiaTheme="minorEastAsia" w:hAnsi="Arial"/>
              <w:noProof/>
              <w:color w:val="auto"/>
              <w:kern w:val="2"/>
              <w:sz w:val="22"/>
              <w:szCs w:val="22"/>
              <w:lang w:val="en-US" w:eastAsia="en-US"/>
              <w14:ligatures w14:val="standardContextual"/>
            </w:rPr>
          </w:pPr>
          <w:hyperlink w:anchor="_Toc235286451" w:history="1">
            <w:r w:rsidRPr="00022D9B">
              <w:rPr>
                <w:rStyle w:val="Hyperlink"/>
                <w:rFonts w:ascii="Arial" w:hAnsi="Arial"/>
                <w:noProof/>
                <w:sz w:val="22"/>
                <w:szCs w:val="22"/>
              </w:rPr>
              <w:t>References</w:t>
            </w:r>
            <w:r w:rsidRPr="00022D9B">
              <w:rPr>
                <w:rFonts w:ascii="Arial" w:hAnsi="Arial"/>
                <w:noProof/>
                <w:webHidden/>
                <w:sz w:val="22"/>
                <w:szCs w:val="22"/>
              </w:rPr>
              <w:tab/>
            </w:r>
            <w:r w:rsidRPr="00022D9B">
              <w:rPr>
                <w:rFonts w:ascii="Arial" w:hAnsi="Arial"/>
                <w:noProof/>
                <w:webHidden/>
                <w:sz w:val="22"/>
                <w:szCs w:val="22"/>
              </w:rPr>
              <w:fldChar w:fldCharType="begin"/>
            </w:r>
            <w:r w:rsidRPr="00022D9B">
              <w:rPr>
                <w:rFonts w:ascii="Arial" w:hAnsi="Arial"/>
                <w:noProof/>
                <w:webHidden/>
                <w:sz w:val="22"/>
                <w:szCs w:val="22"/>
              </w:rPr>
              <w:instrText xml:space="preserve"> PAGEREF _Toc235286451 \h </w:instrText>
            </w:r>
            <w:r w:rsidRPr="00022D9B">
              <w:rPr>
                <w:rFonts w:ascii="Arial" w:hAnsi="Arial"/>
                <w:noProof/>
                <w:webHidden/>
                <w:sz w:val="22"/>
                <w:szCs w:val="22"/>
              </w:rPr>
            </w:r>
            <w:r w:rsidRPr="00022D9B">
              <w:rPr>
                <w:rFonts w:ascii="Arial" w:hAnsi="Arial"/>
                <w:noProof/>
                <w:webHidden/>
                <w:sz w:val="22"/>
                <w:szCs w:val="22"/>
              </w:rPr>
              <w:fldChar w:fldCharType="separate"/>
            </w:r>
            <w:r w:rsidRPr="00022D9B">
              <w:rPr>
                <w:rFonts w:ascii="Arial" w:hAnsi="Arial"/>
                <w:noProof/>
                <w:webHidden/>
                <w:sz w:val="22"/>
                <w:szCs w:val="22"/>
              </w:rPr>
              <w:t>11</w:t>
            </w:r>
            <w:r w:rsidRPr="00022D9B">
              <w:rPr>
                <w:rFonts w:ascii="Arial" w:hAnsi="Arial"/>
                <w:noProof/>
                <w:webHidden/>
                <w:sz w:val="22"/>
                <w:szCs w:val="22"/>
              </w:rPr>
              <w:fldChar w:fldCharType="end"/>
            </w:r>
          </w:hyperlink>
        </w:p>
        <w:p w14:paraId="668B2EBF" w14:textId="6F91D3D8" w:rsidR="002825CC" w:rsidRPr="0075328F" w:rsidRDefault="002825CC" w:rsidP="002825CC">
          <w:r w:rsidRPr="0075328F">
            <w:rPr>
              <w:rFonts w:ascii="Arial" w:hAnsi="Arial" w:cs="Arial"/>
              <w:b/>
              <w:bCs/>
              <w:noProof/>
              <w:sz w:val="22"/>
              <w:szCs w:val="22"/>
            </w:rPr>
            <w:fldChar w:fldCharType="end"/>
          </w:r>
        </w:p>
      </w:sdtContent>
    </w:sdt>
    <w:p w14:paraId="048D5225" w14:textId="77777777" w:rsidR="002825CC" w:rsidRPr="0075328F" w:rsidRDefault="002825CC" w:rsidP="002825CC">
      <w:pPr>
        <w:spacing w:after="160" w:line="259" w:lineRule="auto"/>
        <w:jc w:val="left"/>
        <w:rPr>
          <w:rFonts w:ascii="Arial" w:hAnsi="Arial"/>
          <w:b/>
          <w:bCs/>
        </w:rPr>
      </w:pPr>
      <w:r w:rsidRPr="0075328F">
        <w:br w:type="page"/>
      </w:r>
    </w:p>
    <w:p w14:paraId="1177B028" w14:textId="77777777" w:rsidR="0075328F" w:rsidRPr="0075328F" w:rsidRDefault="0075328F" w:rsidP="0075328F">
      <w:pPr>
        <w:jc w:val="center"/>
        <w:rPr>
          <w:rFonts w:ascii="Arial" w:eastAsia="Times New Roman" w:hAnsi="Arial" w:cs="Arial"/>
          <w:b/>
          <w:bCs/>
          <w:sz w:val="22"/>
          <w:szCs w:val="22"/>
        </w:rPr>
      </w:pPr>
      <w:r w:rsidRPr="0075328F">
        <w:rPr>
          <w:rFonts w:ascii="Arial" w:eastAsia="Times New Roman" w:hAnsi="Arial" w:cs="Arial"/>
          <w:b/>
          <w:bCs/>
          <w:sz w:val="22"/>
          <w:szCs w:val="22"/>
        </w:rPr>
        <w:t>List of abbreviations</w:t>
      </w:r>
    </w:p>
    <w:p w14:paraId="37ADAC59" w14:textId="77777777" w:rsidR="0075328F" w:rsidRPr="0075328F" w:rsidRDefault="0075328F" w:rsidP="0075328F">
      <w:pPr>
        <w:rPr>
          <w:rFonts w:ascii="Arial" w:eastAsia="Times New Roman" w:hAnsi="Arial" w:cs="Arial"/>
          <w:sz w:val="22"/>
          <w:szCs w:val="22"/>
        </w:rPr>
      </w:pPr>
      <w:r w:rsidRPr="0075328F">
        <w:rPr>
          <w:rFonts w:ascii="Arial" w:eastAsia="Times New Roman" w:hAnsi="Arial" w:cs="Arial"/>
          <w:sz w:val="22"/>
          <w:szCs w:val="22"/>
        </w:rPr>
        <w:t>MDTs: Multidisciplinary Teams</w:t>
      </w:r>
    </w:p>
    <w:p w14:paraId="1CB9A68E" w14:textId="77777777" w:rsidR="0075328F" w:rsidRPr="0075328F" w:rsidRDefault="0075328F" w:rsidP="0075328F">
      <w:pPr>
        <w:rPr>
          <w:rFonts w:ascii="Arial" w:eastAsia="Times New Roman" w:hAnsi="Arial" w:cs="Arial"/>
          <w:sz w:val="22"/>
          <w:szCs w:val="22"/>
        </w:rPr>
      </w:pPr>
      <w:r w:rsidRPr="0075328F">
        <w:rPr>
          <w:rFonts w:ascii="Arial" w:eastAsia="Times New Roman" w:hAnsi="Arial" w:cs="Arial"/>
          <w:sz w:val="22"/>
          <w:szCs w:val="22"/>
        </w:rPr>
        <w:t>PCC: Person-Centred Care</w:t>
      </w:r>
    </w:p>
    <w:p w14:paraId="19374F5C" w14:textId="77777777" w:rsidR="0075328F" w:rsidRPr="0075328F" w:rsidRDefault="0075328F" w:rsidP="0075328F">
      <w:pPr>
        <w:rPr>
          <w:rFonts w:ascii="Arial" w:eastAsia="Times New Roman" w:hAnsi="Arial" w:cs="Arial"/>
          <w:sz w:val="22"/>
          <w:szCs w:val="22"/>
        </w:rPr>
      </w:pPr>
      <w:r w:rsidRPr="0075328F">
        <w:rPr>
          <w:rFonts w:ascii="Arial" w:eastAsia="Times New Roman" w:hAnsi="Arial" w:cs="Arial"/>
          <w:sz w:val="22"/>
          <w:szCs w:val="22"/>
        </w:rPr>
        <w:t>PHC: Primary Health Care</w:t>
      </w:r>
    </w:p>
    <w:p w14:paraId="79EC319E" w14:textId="77777777" w:rsidR="0075328F" w:rsidRPr="0075328F" w:rsidRDefault="0075328F" w:rsidP="0075328F">
      <w:pPr>
        <w:rPr>
          <w:rFonts w:ascii="Arial" w:eastAsia="Times New Roman" w:hAnsi="Arial" w:cs="Arial"/>
          <w:sz w:val="22"/>
          <w:szCs w:val="22"/>
        </w:rPr>
      </w:pPr>
      <w:r w:rsidRPr="0075328F">
        <w:rPr>
          <w:rFonts w:ascii="Arial" w:eastAsia="Times New Roman" w:hAnsi="Arial" w:cs="Arial"/>
          <w:sz w:val="22"/>
          <w:szCs w:val="22"/>
        </w:rPr>
        <w:t>PW: Partnership Working</w:t>
      </w:r>
    </w:p>
    <w:p w14:paraId="74EDAA69" w14:textId="2AF63113" w:rsidR="0075328F" w:rsidRDefault="0075328F">
      <w:pPr>
        <w:spacing w:after="160" w:line="259" w:lineRule="auto"/>
        <w:jc w:val="left"/>
        <w:rPr>
          <w:rFonts w:ascii="Arial" w:hAnsi="Arial" w:cs="Arial"/>
          <w:b/>
          <w:bCs/>
          <w:sz w:val="22"/>
          <w:szCs w:val="22"/>
        </w:rPr>
      </w:pPr>
      <w:r>
        <w:rPr>
          <w:rFonts w:ascii="Arial" w:hAnsi="Arial" w:cs="Arial"/>
          <w:b/>
          <w:bCs/>
          <w:sz w:val="22"/>
          <w:szCs w:val="22"/>
        </w:rPr>
        <w:br w:type="page"/>
      </w:r>
    </w:p>
    <w:p w14:paraId="3C95197A" w14:textId="5B8ABFD1" w:rsidR="002825CC" w:rsidRPr="0075328F" w:rsidRDefault="002825CC" w:rsidP="0075328F">
      <w:pPr>
        <w:pStyle w:val="Heading1"/>
      </w:pPr>
      <w:bookmarkStart w:id="0" w:name="_Toc235286442"/>
      <w:r w:rsidRPr="0075328F">
        <w:t>Introduction</w:t>
      </w:r>
      <w:bookmarkEnd w:id="0"/>
    </w:p>
    <w:p w14:paraId="3EFF3476" w14:textId="58617132" w:rsidR="002825CC" w:rsidRPr="0075328F" w:rsidRDefault="002825CC" w:rsidP="002825CC">
      <w:pPr>
        <w:rPr>
          <w:rFonts w:ascii="Arial" w:eastAsia="Times New Roman" w:hAnsi="Arial" w:cs="Arial"/>
          <w:sz w:val="22"/>
          <w:szCs w:val="22"/>
        </w:rPr>
      </w:pPr>
      <w:r w:rsidRPr="00203DE7">
        <w:rPr>
          <w:rFonts w:ascii="Arial" w:eastAsia="Times New Roman" w:hAnsi="Arial" w:cs="Arial"/>
          <w:sz w:val="22"/>
          <w:szCs w:val="22"/>
        </w:rPr>
        <w:t xml:space="preserve">Person-Centred Care (PCC) and partnership working (PW) are the key pillars of </w:t>
      </w:r>
      <w:r w:rsidR="00203DE7">
        <w:rPr>
          <w:rFonts w:ascii="Arial" w:eastAsia="Times New Roman" w:hAnsi="Arial" w:cs="Arial"/>
          <w:sz w:val="22"/>
          <w:szCs w:val="22"/>
        </w:rPr>
        <w:t>providing</w:t>
      </w:r>
      <w:r w:rsidRPr="00203DE7">
        <w:rPr>
          <w:rFonts w:ascii="Arial" w:eastAsia="Times New Roman" w:hAnsi="Arial" w:cs="Arial"/>
          <w:sz w:val="22"/>
          <w:szCs w:val="22"/>
        </w:rPr>
        <w:t xml:space="preserve"> </w:t>
      </w:r>
      <w:r w:rsidR="00203DE7">
        <w:rPr>
          <w:rFonts w:ascii="Arial" w:eastAsia="Times New Roman" w:hAnsi="Arial" w:cs="Arial"/>
          <w:sz w:val="22"/>
          <w:szCs w:val="22"/>
        </w:rPr>
        <w:t>efficient</w:t>
      </w:r>
      <w:r w:rsidRPr="00203DE7">
        <w:rPr>
          <w:rFonts w:ascii="Arial" w:eastAsia="Times New Roman" w:hAnsi="Arial" w:cs="Arial"/>
          <w:sz w:val="22"/>
          <w:szCs w:val="22"/>
        </w:rPr>
        <w:t xml:space="preserve"> health and social care services across the UK. Person-centred care focuses on </w:t>
      </w:r>
      <w:r w:rsidR="00203DE7">
        <w:rPr>
          <w:rFonts w:ascii="Arial" w:eastAsia="Times New Roman" w:hAnsi="Arial" w:cs="Arial"/>
          <w:sz w:val="22"/>
          <w:szCs w:val="22"/>
        </w:rPr>
        <w:t>respecting</w:t>
      </w:r>
      <w:r w:rsidRPr="00203DE7">
        <w:rPr>
          <w:rFonts w:ascii="Arial" w:eastAsia="Times New Roman" w:hAnsi="Arial" w:cs="Arial"/>
          <w:sz w:val="22"/>
          <w:szCs w:val="22"/>
        </w:rPr>
        <w:t xml:space="preserve"> individuals’ </w:t>
      </w:r>
      <w:r w:rsidR="00203DE7">
        <w:rPr>
          <w:rFonts w:ascii="Arial" w:eastAsia="Times New Roman" w:hAnsi="Arial" w:cs="Arial"/>
          <w:sz w:val="22"/>
          <w:szCs w:val="22"/>
        </w:rPr>
        <w:t>needs</w:t>
      </w:r>
      <w:r w:rsidRPr="00203DE7">
        <w:rPr>
          <w:rFonts w:ascii="Arial" w:eastAsia="Times New Roman" w:hAnsi="Arial" w:cs="Arial"/>
          <w:sz w:val="22"/>
          <w:szCs w:val="22"/>
        </w:rPr>
        <w:t xml:space="preserve">, </w:t>
      </w:r>
      <w:r w:rsidR="00203DE7">
        <w:rPr>
          <w:rFonts w:ascii="Arial" w:eastAsia="Times New Roman" w:hAnsi="Arial" w:cs="Arial"/>
          <w:sz w:val="22"/>
          <w:szCs w:val="22"/>
        </w:rPr>
        <w:t>values</w:t>
      </w:r>
      <w:r w:rsidRPr="00203DE7">
        <w:rPr>
          <w:rFonts w:ascii="Arial" w:eastAsia="Times New Roman" w:hAnsi="Arial" w:cs="Arial"/>
          <w:sz w:val="22"/>
          <w:szCs w:val="22"/>
        </w:rPr>
        <w:t xml:space="preserve"> and expectations to tailor care</w:t>
      </w:r>
      <w:r w:rsidR="00203DE7">
        <w:rPr>
          <w:rFonts w:ascii="Arial" w:eastAsia="Times New Roman" w:hAnsi="Arial" w:cs="Arial"/>
          <w:sz w:val="22"/>
          <w:szCs w:val="22"/>
        </w:rPr>
        <w:t xml:space="preserve"> thereby reducing unmet needs </w:t>
      </w:r>
      <w:r w:rsidRPr="00203DE7">
        <w:rPr>
          <w:rFonts w:ascii="Arial" w:eastAsia="Times New Roman" w:hAnsi="Arial" w:cs="Arial"/>
          <w:sz w:val="22"/>
          <w:szCs w:val="22"/>
        </w:rPr>
        <w:t>(</w:t>
      </w:r>
      <w:r w:rsidRPr="00203DE7">
        <w:rPr>
          <w:rFonts w:ascii="Arial" w:eastAsia="Times New Roman" w:hAnsi="Arial" w:cs="Arial"/>
          <w:sz w:val="22"/>
          <w:szCs w:val="22"/>
          <w:highlight w:val="white"/>
        </w:rPr>
        <w:t xml:space="preserve">Tong </w:t>
      </w:r>
      <w:r w:rsidRPr="00203DE7">
        <w:rPr>
          <w:rFonts w:ascii="Arial" w:eastAsia="Times New Roman" w:hAnsi="Arial" w:cs="Arial"/>
          <w:i/>
          <w:iCs/>
          <w:sz w:val="22"/>
          <w:szCs w:val="22"/>
          <w:highlight w:val="white"/>
        </w:rPr>
        <w:t xml:space="preserve">et al. </w:t>
      </w:r>
      <w:r w:rsidRPr="00203DE7">
        <w:rPr>
          <w:rFonts w:ascii="Arial" w:eastAsia="Times New Roman" w:hAnsi="Arial" w:cs="Arial"/>
          <w:sz w:val="22"/>
          <w:szCs w:val="22"/>
          <w:highlight w:val="white"/>
        </w:rPr>
        <w:t>2025</w:t>
      </w:r>
      <w:r w:rsidRPr="00203DE7">
        <w:rPr>
          <w:rFonts w:ascii="Arial" w:eastAsia="Times New Roman" w:hAnsi="Arial" w:cs="Arial"/>
          <w:sz w:val="22"/>
          <w:szCs w:val="22"/>
        </w:rPr>
        <w:t>).</w:t>
      </w:r>
      <w:r w:rsidRPr="0075328F">
        <w:rPr>
          <w:rFonts w:ascii="Arial" w:eastAsia="Times New Roman" w:hAnsi="Arial" w:cs="Arial"/>
          <w:sz w:val="22"/>
          <w:szCs w:val="22"/>
        </w:rPr>
        <w:t xml:space="preserve"> Partnership Working adds value to PCC by encouraging cooperation between healthcare practitioners, patients, families, carers and other stakeholders to coordinate and integrate their care (</w:t>
      </w:r>
      <w:r w:rsidRPr="0075328F">
        <w:rPr>
          <w:rFonts w:ascii="Arial" w:eastAsia="Times New Roman" w:hAnsi="Arial" w:cs="Arial"/>
          <w:sz w:val="22"/>
          <w:szCs w:val="22"/>
          <w:highlight w:val="white"/>
        </w:rPr>
        <w:t xml:space="preserve">Simpson </w:t>
      </w:r>
      <w:r w:rsidRPr="0075328F">
        <w:rPr>
          <w:rFonts w:ascii="Arial" w:eastAsia="Times New Roman" w:hAnsi="Arial" w:cs="Arial"/>
          <w:i/>
          <w:iCs/>
          <w:sz w:val="22"/>
          <w:szCs w:val="22"/>
          <w:highlight w:val="white"/>
        </w:rPr>
        <w:t>et al.</w:t>
      </w:r>
      <w:r w:rsidRPr="0075328F">
        <w:rPr>
          <w:rFonts w:ascii="Arial" w:eastAsia="Times New Roman" w:hAnsi="Arial" w:cs="Arial"/>
          <w:sz w:val="22"/>
          <w:szCs w:val="22"/>
          <w:highlight w:val="white"/>
        </w:rPr>
        <w:t xml:space="preserve"> 2022</w:t>
      </w:r>
      <w:r w:rsidRPr="0075328F">
        <w:rPr>
          <w:rFonts w:ascii="Arial" w:eastAsia="Times New Roman" w:hAnsi="Arial" w:cs="Arial"/>
          <w:sz w:val="22"/>
          <w:szCs w:val="22"/>
        </w:rPr>
        <w:t xml:space="preserve">). This report aims to critically analyse person-centred care and partnership working in relation to hospital settings. In this report, a critical analysis of person-centred care theory and ethical principles that align health and social care practices has been developed. Partnership working and its application to NHS hospitals have been evaluated to signify the impact on health and social care practice. Finally, UK legislative policy has been examined, and effective recommendations have been provided to strengthen person-centred and collaborative care in the UK. </w:t>
      </w:r>
    </w:p>
    <w:p w14:paraId="5F8C7638" w14:textId="77777777" w:rsidR="002825CC" w:rsidRPr="0075328F" w:rsidRDefault="002825CC" w:rsidP="0075328F">
      <w:pPr>
        <w:pStyle w:val="Heading1"/>
      </w:pPr>
      <w:bookmarkStart w:id="1" w:name="_Toc235286443"/>
      <w:r w:rsidRPr="0075328F">
        <w:t>a) Definition of person-centred care (PCC)</w:t>
      </w:r>
      <w:bookmarkEnd w:id="1"/>
      <w:r w:rsidRPr="0075328F">
        <w:t xml:space="preserve"> </w:t>
      </w:r>
    </w:p>
    <w:p w14:paraId="2AA03D01" w14:textId="77777777"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Person-centred care (PPC) is an ideology and approach of healthcare practice, which involves providing care to address the unique needs of patients or service users (</w:t>
      </w:r>
      <w:r w:rsidRPr="0075328F">
        <w:rPr>
          <w:rFonts w:ascii="Arial" w:eastAsia="Times New Roman" w:hAnsi="Arial" w:cs="Arial"/>
          <w:sz w:val="22"/>
          <w:szCs w:val="22"/>
          <w:highlight w:val="white"/>
        </w:rPr>
        <w:t xml:space="preserve">Tong </w:t>
      </w:r>
      <w:r w:rsidRPr="0075328F">
        <w:rPr>
          <w:rFonts w:ascii="Arial" w:eastAsia="Times New Roman" w:hAnsi="Arial" w:cs="Arial"/>
          <w:i/>
          <w:iCs/>
          <w:sz w:val="22"/>
          <w:szCs w:val="22"/>
          <w:highlight w:val="white"/>
        </w:rPr>
        <w:t xml:space="preserve">et al. </w:t>
      </w:r>
      <w:r w:rsidRPr="0075328F">
        <w:rPr>
          <w:rFonts w:ascii="Arial" w:eastAsia="Times New Roman" w:hAnsi="Arial" w:cs="Arial"/>
          <w:sz w:val="22"/>
          <w:szCs w:val="22"/>
          <w:highlight w:val="white"/>
        </w:rPr>
        <w:t>2025</w:t>
      </w:r>
      <w:r w:rsidRPr="0075328F">
        <w:rPr>
          <w:rFonts w:ascii="Arial" w:eastAsia="Times New Roman" w:hAnsi="Arial" w:cs="Arial"/>
          <w:sz w:val="22"/>
          <w:szCs w:val="22"/>
        </w:rPr>
        <w:t>). PCC ensures empathy, trust, authenticity and compassion to meet the health and social care needs of patients. For instance, at NHS England, the PCC allows individuals to perceive choice and control regarding their health and wellbeing by optimising personalised care and shared decision-making. The core benefits of PCC include patient satisfaction through the promotion of dignity and autonomy and increased trust and confidence among staff and patients. Hospital settings such as the NHS UK prioritise multidisciplinary team (MDT) collaboration to deliver safe and holistic care, thereby contributing to better health outcomes (NHS UK, 2026). Even though PCC is promoting high-quality care, the success through clinical outcomes depends upon organisational commitment, professional capabilities, and sufficient resources.</w:t>
      </w:r>
    </w:p>
    <w:p w14:paraId="6051101A" w14:textId="72A5E9BC"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 xml:space="preserve">Beyond notable advantages, the PCC approach has limitations due to a lack of direct structural governance </w:t>
      </w:r>
      <w:r w:rsidR="00203DE7">
        <w:rPr>
          <w:rFonts w:ascii="Arial" w:eastAsia="Times New Roman" w:hAnsi="Arial" w:cs="Arial"/>
          <w:sz w:val="22"/>
          <w:szCs w:val="22"/>
        </w:rPr>
        <w:t>lead to hindrance in dealing with</w:t>
      </w:r>
      <w:r w:rsidRPr="0075328F">
        <w:rPr>
          <w:rFonts w:ascii="Arial" w:eastAsia="Times New Roman" w:hAnsi="Arial" w:cs="Arial"/>
          <w:sz w:val="22"/>
          <w:szCs w:val="22"/>
        </w:rPr>
        <w:t xml:space="preserve"> coping strategies. For example, NHS England </w:t>
      </w:r>
      <w:r w:rsidR="00203DE7">
        <w:rPr>
          <w:rFonts w:ascii="Arial" w:eastAsia="Times New Roman" w:hAnsi="Arial" w:cs="Arial"/>
          <w:sz w:val="22"/>
          <w:szCs w:val="22"/>
        </w:rPr>
        <w:t>ensures</w:t>
      </w:r>
      <w:r w:rsidRPr="0075328F">
        <w:rPr>
          <w:rFonts w:ascii="Arial" w:eastAsia="Times New Roman" w:hAnsi="Arial" w:cs="Arial"/>
          <w:sz w:val="22"/>
          <w:szCs w:val="22"/>
        </w:rPr>
        <w:t xml:space="preserve"> that person-centred care delivery is </w:t>
      </w:r>
      <w:r w:rsidR="00203DE7">
        <w:rPr>
          <w:rFonts w:ascii="Arial" w:eastAsia="Times New Roman" w:hAnsi="Arial" w:cs="Arial"/>
          <w:sz w:val="22"/>
          <w:szCs w:val="22"/>
        </w:rPr>
        <w:t>immensely</w:t>
      </w:r>
      <w:r w:rsidRPr="0075328F">
        <w:rPr>
          <w:rFonts w:ascii="Arial" w:eastAsia="Times New Roman" w:hAnsi="Arial" w:cs="Arial"/>
          <w:sz w:val="22"/>
          <w:szCs w:val="22"/>
        </w:rPr>
        <w:t xml:space="preserve"> affected by </w:t>
      </w:r>
      <w:r w:rsidR="00203DE7">
        <w:rPr>
          <w:rFonts w:ascii="Arial" w:eastAsia="Times New Roman" w:hAnsi="Arial" w:cs="Arial"/>
          <w:sz w:val="22"/>
          <w:szCs w:val="22"/>
        </w:rPr>
        <w:t>limited workforce</w:t>
      </w:r>
      <w:r w:rsidRPr="0075328F">
        <w:rPr>
          <w:rFonts w:ascii="Arial" w:eastAsia="Times New Roman" w:hAnsi="Arial" w:cs="Arial"/>
          <w:sz w:val="22"/>
          <w:szCs w:val="22"/>
        </w:rPr>
        <w:t xml:space="preserve"> and time for </w:t>
      </w:r>
      <w:r w:rsidR="00203DE7">
        <w:rPr>
          <w:rFonts w:ascii="Arial" w:eastAsia="Times New Roman" w:hAnsi="Arial" w:cs="Arial"/>
          <w:sz w:val="22"/>
          <w:szCs w:val="22"/>
        </w:rPr>
        <w:t>arranging consultations or visit</w:t>
      </w:r>
      <w:r w:rsidRPr="0075328F">
        <w:rPr>
          <w:rFonts w:ascii="Arial" w:eastAsia="Times New Roman" w:hAnsi="Arial" w:cs="Arial"/>
          <w:sz w:val="22"/>
          <w:szCs w:val="22"/>
        </w:rPr>
        <w:t xml:space="preserve">, resulting in negligence in care (NHS UK, 2026). </w:t>
      </w:r>
      <w:r w:rsidR="00203DE7">
        <w:rPr>
          <w:rFonts w:ascii="Arial" w:eastAsia="Times New Roman" w:hAnsi="Arial" w:cs="Arial"/>
          <w:sz w:val="22"/>
          <w:szCs w:val="22"/>
        </w:rPr>
        <w:t>Consequently</w:t>
      </w:r>
      <w:r w:rsidRPr="0075328F">
        <w:rPr>
          <w:rFonts w:ascii="Arial" w:eastAsia="Times New Roman" w:hAnsi="Arial" w:cs="Arial"/>
          <w:sz w:val="22"/>
          <w:szCs w:val="22"/>
        </w:rPr>
        <w:t>, healthcare pr</w:t>
      </w:r>
      <w:r w:rsidR="00203DE7">
        <w:rPr>
          <w:rFonts w:ascii="Arial" w:eastAsia="Times New Roman" w:hAnsi="Arial" w:cs="Arial"/>
          <w:sz w:val="22"/>
          <w:szCs w:val="22"/>
        </w:rPr>
        <w:t>actitioners</w:t>
      </w:r>
      <w:r w:rsidRPr="0075328F">
        <w:rPr>
          <w:rFonts w:ascii="Arial" w:eastAsia="Times New Roman" w:hAnsi="Arial" w:cs="Arial"/>
          <w:sz w:val="22"/>
          <w:szCs w:val="22"/>
        </w:rPr>
        <w:t xml:space="preserve"> </w:t>
      </w:r>
      <w:r w:rsidR="00203DE7">
        <w:rPr>
          <w:rFonts w:ascii="Arial" w:eastAsia="Times New Roman" w:hAnsi="Arial" w:cs="Arial"/>
          <w:sz w:val="22"/>
          <w:szCs w:val="22"/>
        </w:rPr>
        <w:t>centred on completing daily workloads</w:t>
      </w:r>
      <w:r w:rsidRPr="0075328F">
        <w:rPr>
          <w:rFonts w:ascii="Arial" w:eastAsia="Times New Roman" w:hAnsi="Arial" w:cs="Arial"/>
          <w:sz w:val="22"/>
          <w:szCs w:val="22"/>
        </w:rPr>
        <w:t xml:space="preserve"> </w:t>
      </w:r>
      <w:r w:rsidR="00203DE7">
        <w:rPr>
          <w:rFonts w:ascii="Arial" w:eastAsia="Times New Roman" w:hAnsi="Arial" w:cs="Arial"/>
          <w:sz w:val="22"/>
          <w:szCs w:val="22"/>
        </w:rPr>
        <w:t>rather than</w:t>
      </w:r>
      <w:r w:rsidRPr="0075328F">
        <w:rPr>
          <w:rFonts w:ascii="Arial" w:eastAsia="Times New Roman" w:hAnsi="Arial" w:cs="Arial"/>
          <w:sz w:val="22"/>
          <w:szCs w:val="22"/>
        </w:rPr>
        <w:t xml:space="preserve"> </w:t>
      </w:r>
      <w:r w:rsidR="00203DE7">
        <w:rPr>
          <w:rFonts w:ascii="Arial" w:eastAsia="Times New Roman" w:hAnsi="Arial" w:cs="Arial"/>
          <w:sz w:val="22"/>
          <w:szCs w:val="22"/>
        </w:rPr>
        <w:t>establishing</w:t>
      </w:r>
      <w:r w:rsidRPr="0075328F">
        <w:rPr>
          <w:rFonts w:ascii="Arial" w:eastAsia="Times New Roman" w:hAnsi="Arial" w:cs="Arial"/>
          <w:sz w:val="22"/>
          <w:szCs w:val="22"/>
        </w:rPr>
        <w:t xml:space="preserve"> personal </w:t>
      </w:r>
      <w:r w:rsidR="00203DE7">
        <w:rPr>
          <w:rFonts w:ascii="Arial" w:eastAsia="Times New Roman" w:hAnsi="Arial" w:cs="Arial"/>
          <w:sz w:val="22"/>
          <w:szCs w:val="22"/>
        </w:rPr>
        <w:t>connections</w:t>
      </w:r>
      <w:r w:rsidRPr="0075328F">
        <w:rPr>
          <w:rFonts w:ascii="Arial" w:eastAsia="Times New Roman" w:hAnsi="Arial" w:cs="Arial"/>
          <w:sz w:val="22"/>
          <w:szCs w:val="22"/>
        </w:rPr>
        <w:t xml:space="preserve"> with patients, thus hindering shared decision-making for care. Indeed, PCC remains a major health and social care practice, and its successful </w:t>
      </w:r>
      <w:r w:rsidR="00203DE7">
        <w:rPr>
          <w:rFonts w:ascii="Arial" w:eastAsia="Times New Roman" w:hAnsi="Arial" w:cs="Arial"/>
          <w:sz w:val="22"/>
          <w:szCs w:val="22"/>
        </w:rPr>
        <w:t>outcomes</w:t>
      </w:r>
      <w:r w:rsidRPr="0075328F">
        <w:rPr>
          <w:rFonts w:ascii="Arial" w:eastAsia="Times New Roman" w:hAnsi="Arial" w:cs="Arial"/>
          <w:sz w:val="22"/>
          <w:szCs w:val="22"/>
        </w:rPr>
        <w:t xml:space="preserve"> requires </w:t>
      </w:r>
      <w:r w:rsidR="00203DE7">
        <w:rPr>
          <w:rFonts w:ascii="Arial" w:eastAsia="Times New Roman" w:hAnsi="Arial" w:cs="Arial"/>
          <w:sz w:val="22"/>
          <w:szCs w:val="22"/>
        </w:rPr>
        <w:t>continuous investment</w:t>
      </w:r>
      <w:r w:rsidRPr="0075328F">
        <w:rPr>
          <w:rFonts w:ascii="Arial" w:eastAsia="Times New Roman" w:hAnsi="Arial" w:cs="Arial"/>
          <w:sz w:val="22"/>
          <w:szCs w:val="22"/>
        </w:rPr>
        <w:t xml:space="preserve"> in workforce development, </w:t>
      </w:r>
      <w:r w:rsidR="00203DE7">
        <w:rPr>
          <w:rFonts w:ascii="Arial" w:eastAsia="Times New Roman" w:hAnsi="Arial" w:cs="Arial"/>
          <w:sz w:val="22"/>
          <w:szCs w:val="22"/>
        </w:rPr>
        <w:t>top-level</w:t>
      </w:r>
      <w:r w:rsidRPr="0075328F">
        <w:rPr>
          <w:rFonts w:ascii="Arial" w:eastAsia="Times New Roman" w:hAnsi="Arial" w:cs="Arial"/>
          <w:sz w:val="22"/>
          <w:szCs w:val="22"/>
        </w:rPr>
        <w:t xml:space="preserve"> support, and continuous evaluation of </w:t>
      </w:r>
      <w:r w:rsidR="00203DE7">
        <w:rPr>
          <w:rFonts w:ascii="Arial" w:eastAsia="Times New Roman" w:hAnsi="Arial" w:cs="Arial"/>
          <w:sz w:val="22"/>
          <w:szCs w:val="22"/>
        </w:rPr>
        <w:t xml:space="preserve">strategic </w:t>
      </w:r>
      <w:r w:rsidRPr="0075328F">
        <w:rPr>
          <w:rFonts w:ascii="Arial" w:eastAsia="Times New Roman" w:hAnsi="Arial" w:cs="Arial"/>
          <w:sz w:val="22"/>
          <w:szCs w:val="22"/>
        </w:rPr>
        <w:t xml:space="preserve">approaches. </w:t>
      </w:r>
    </w:p>
    <w:p w14:paraId="20E38CE4" w14:textId="77777777" w:rsidR="002825CC" w:rsidRPr="0075328F" w:rsidRDefault="002825CC" w:rsidP="0075328F">
      <w:pPr>
        <w:pStyle w:val="Heading1"/>
      </w:pPr>
      <w:bookmarkStart w:id="2" w:name="_Toc235286444"/>
      <w:r w:rsidRPr="0075328F">
        <w:t>b) Relevant theories</w:t>
      </w:r>
      <w:bookmarkEnd w:id="2"/>
    </w:p>
    <w:p w14:paraId="54A0B954" w14:textId="6CABA6A7"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Carl Rogers’ person-centred theory is based on the human assumptions that are innately influenced to achieve self-realisation through growth and recognising people as experts in their own lived experiences (</w:t>
      </w:r>
      <w:r w:rsidRPr="0075328F">
        <w:rPr>
          <w:rFonts w:ascii="Arial" w:eastAsia="Times New Roman" w:hAnsi="Arial" w:cs="Arial"/>
          <w:color w:val="222222"/>
          <w:sz w:val="22"/>
          <w:szCs w:val="22"/>
          <w:highlight w:val="white"/>
        </w:rPr>
        <w:t xml:space="preserve">Venturini </w:t>
      </w:r>
      <w:r w:rsidRPr="0075328F">
        <w:rPr>
          <w:rFonts w:ascii="Arial" w:eastAsia="Times New Roman" w:hAnsi="Arial" w:cs="Arial"/>
          <w:i/>
          <w:iCs/>
          <w:color w:val="222222"/>
          <w:sz w:val="22"/>
          <w:szCs w:val="22"/>
          <w:highlight w:val="white"/>
        </w:rPr>
        <w:t xml:space="preserve">et al. </w:t>
      </w:r>
      <w:r w:rsidRPr="0075328F">
        <w:rPr>
          <w:rFonts w:ascii="Arial" w:eastAsia="Times New Roman" w:hAnsi="Arial" w:cs="Arial"/>
          <w:color w:val="222222"/>
          <w:sz w:val="22"/>
          <w:szCs w:val="22"/>
          <w:highlight w:val="white"/>
        </w:rPr>
        <w:t>2024</w:t>
      </w:r>
      <w:r w:rsidRPr="0075328F">
        <w:rPr>
          <w:rFonts w:ascii="Arial" w:eastAsia="Times New Roman" w:hAnsi="Arial" w:cs="Arial"/>
          <w:sz w:val="22"/>
          <w:szCs w:val="22"/>
        </w:rPr>
        <w:t xml:space="preserve">). This theory emphasises the effectiveness of empathy, positive attitudes and respect for individuals’ strengths or autonomy, which enables patients to participate in decision-making. Carl Rogers’ theory supports the principles of PCC, such as shared decision-making, personalised treatment and therapeutic interaction, thus contributing to positive patient experience and clinical outcomes. In hospital settings, PCC optimises personalised care by considering each patient's unique preferences, which helps in </w:t>
      </w:r>
      <w:r w:rsidR="00203DE7">
        <w:rPr>
          <w:rFonts w:ascii="Arial" w:eastAsia="Times New Roman" w:hAnsi="Arial" w:cs="Arial"/>
          <w:sz w:val="22"/>
          <w:szCs w:val="22"/>
        </w:rPr>
        <w:t xml:space="preserve">managing </w:t>
      </w:r>
      <w:r w:rsidRPr="0075328F">
        <w:rPr>
          <w:rFonts w:ascii="Arial" w:eastAsia="Times New Roman" w:hAnsi="Arial" w:cs="Arial"/>
          <w:sz w:val="22"/>
          <w:szCs w:val="22"/>
        </w:rPr>
        <w:t xml:space="preserve">treatment procedures effectively. For example, the NHS offers personalised care to more than 2.5 million patients by </w:t>
      </w:r>
      <w:r w:rsidR="00203DE7">
        <w:rPr>
          <w:rFonts w:ascii="Arial" w:eastAsia="Times New Roman" w:hAnsi="Arial" w:cs="Arial"/>
          <w:sz w:val="22"/>
          <w:szCs w:val="22"/>
        </w:rPr>
        <w:t>enabling</w:t>
      </w:r>
      <w:r w:rsidRPr="0075328F">
        <w:rPr>
          <w:rFonts w:ascii="Arial" w:eastAsia="Times New Roman" w:hAnsi="Arial" w:cs="Arial"/>
          <w:sz w:val="22"/>
          <w:szCs w:val="22"/>
        </w:rPr>
        <w:t xml:space="preserve"> freedom of choice and control over physical and mental health (NHS UK, 2026). However, Rogers’ theoretical constructs are widely applied skills, knowledge and expertise, which sometimes limit hospital settings where insufficient workforce and knowledge discrepancies to establish therapeutic relationships. </w:t>
      </w:r>
    </w:p>
    <w:p w14:paraId="34F2B5B1" w14:textId="1A2EC60F" w:rsidR="002825CC" w:rsidRPr="0075328F" w:rsidRDefault="002825CC" w:rsidP="002825CC">
      <w:pPr>
        <w:rPr>
          <w:rFonts w:ascii="Arial" w:eastAsia="Times New Roman" w:hAnsi="Arial" w:cs="Arial"/>
          <w:b/>
          <w:bCs/>
          <w:sz w:val="22"/>
          <w:szCs w:val="22"/>
        </w:rPr>
      </w:pPr>
      <w:r w:rsidRPr="0075328F">
        <w:rPr>
          <w:rFonts w:ascii="Arial" w:eastAsia="Times New Roman" w:hAnsi="Arial" w:cs="Arial"/>
          <w:sz w:val="22"/>
          <w:szCs w:val="22"/>
        </w:rPr>
        <w:t>According to Bradshaw’s model of Need, person-centred care classifies needs into felt, expressed, normative and comparative needs to conduct individualised or comprehensive assessments within hospital settings (</w:t>
      </w:r>
      <w:r w:rsidRPr="0075328F">
        <w:rPr>
          <w:rFonts w:ascii="Arial" w:eastAsia="Times New Roman" w:hAnsi="Arial" w:cs="Arial"/>
          <w:sz w:val="22"/>
          <w:szCs w:val="22"/>
          <w:highlight w:val="white"/>
        </w:rPr>
        <w:t xml:space="preserve">Nicholson </w:t>
      </w:r>
      <w:r w:rsidRPr="0075328F">
        <w:rPr>
          <w:rFonts w:ascii="Arial" w:eastAsia="Times New Roman" w:hAnsi="Arial" w:cs="Arial"/>
          <w:i/>
          <w:iCs/>
          <w:sz w:val="22"/>
          <w:szCs w:val="22"/>
          <w:highlight w:val="white"/>
        </w:rPr>
        <w:t xml:space="preserve">et al. </w:t>
      </w:r>
      <w:r w:rsidRPr="0075328F">
        <w:rPr>
          <w:rFonts w:ascii="Arial" w:eastAsia="Times New Roman" w:hAnsi="Arial" w:cs="Arial"/>
          <w:sz w:val="22"/>
          <w:szCs w:val="22"/>
          <w:highlight w:val="white"/>
        </w:rPr>
        <w:t>2023</w:t>
      </w:r>
      <w:r w:rsidRPr="0075328F">
        <w:rPr>
          <w:rFonts w:ascii="Arial" w:eastAsia="Times New Roman" w:hAnsi="Arial" w:cs="Arial"/>
          <w:sz w:val="22"/>
          <w:szCs w:val="22"/>
        </w:rPr>
        <w:t xml:space="preserve">). The </w:t>
      </w:r>
      <w:r w:rsidR="00203DE7" w:rsidRPr="0075328F">
        <w:rPr>
          <w:rFonts w:ascii="Arial" w:eastAsia="Times New Roman" w:hAnsi="Arial" w:cs="Arial"/>
          <w:sz w:val="22"/>
          <w:szCs w:val="22"/>
        </w:rPr>
        <w:t xml:space="preserve">Bradshaw’s </w:t>
      </w:r>
      <w:r w:rsidR="00203DE7">
        <w:rPr>
          <w:rFonts w:ascii="Arial" w:eastAsia="Times New Roman" w:hAnsi="Arial" w:cs="Arial"/>
          <w:sz w:val="22"/>
          <w:szCs w:val="22"/>
        </w:rPr>
        <w:t xml:space="preserve">model of Need </w:t>
      </w:r>
      <w:r w:rsidRPr="0075328F">
        <w:rPr>
          <w:rFonts w:ascii="Arial" w:eastAsia="Times New Roman" w:hAnsi="Arial" w:cs="Arial"/>
          <w:sz w:val="22"/>
          <w:szCs w:val="22"/>
        </w:rPr>
        <w:t xml:space="preserve">directly </w:t>
      </w:r>
      <w:r w:rsidR="00061E0C">
        <w:rPr>
          <w:rFonts w:ascii="Arial" w:eastAsia="Times New Roman" w:hAnsi="Arial" w:cs="Arial"/>
          <w:sz w:val="22"/>
          <w:szCs w:val="22"/>
        </w:rPr>
        <w:t xml:space="preserve">aligns with </w:t>
      </w:r>
      <w:r w:rsidRPr="0075328F">
        <w:rPr>
          <w:rFonts w:ascii="Arial" w:eastAsia="Times New Roman" w:hAnsi="Arial" w:cs="Arial"/>
          <w:sz w:val="22"/>
          <w:szCs w:val="22"/>
        </w:rPr>
        <w:t xml:space="preserve">PCC principle of needs </w:t>
      </w:r>
      <w:r w:rsidR="00061E0C">
        <w:rPr>
          <w:rFonts w:ascii="Arial" w:eastAsia="Times New Roman" w:hAnsi="Arial" w:cs="Arial"/>
          <w:sz w:val="22"/>
          <w:szCs w:val="22"/>
        </w:rPr>
        <w:t xml:space="preserve">encouraging </w:t>
      </w:r>
      <w:r w:rsidRPr="0075328F">
        <w:rPr>
          <w:rFonts w:ascii="Arial" w:eastAsia="Times New Roman" w:hAnsi="Arial" w:cs="Arial"/>
          <w:sz w:val="22"/>
          <w:szCs w:val="22"/>
        </w:rPr>
        <w:t xml:space="preserve">professional judgement, thus </w:t>
      </w:r>
      <w:r w:rsidR="00061E0C">
        <w:rPr>
          <w:rFonts w:ascii="Arial" w:eastAsia="Times New Roman" w:hAnsi="Arial" w:cs="Arial"/>
          <w:sz w:val="22"/>
          <w:szCs w:val="22"/>
        </w:rPr>
        <w:t>optimising</w:t>
      </w:r>
      <w:r w:rsidRPr="0075328F">
        <w:rPr>
          <w:rFonts w:ascii="Arial" w:eastAsia="Times New Roman" w:hAnsi="Arial" w:cs="Arial"/>
          <w:sz w:val="22"/>
          <w:szCs w:val="22"/>
        </w:rPr>
        <w:t xml:space="preserve"> tailored care planning and </w:t>
      </w:r>
      <w:r w:rsidR="00061E0C">
        <w:rPr>
          <w:rFonts w:ascii="Arial" w:eastAsia="Times New Roman" w:hAnsi="Arial" w:cs="Arial"/>
          <w:sz w:val="22"/>
          <w:szCs w:val="22"/>
        </w:rPr>
        <w:t>ensuring equal access to</w:t>
      </w:r>
      <w:r w:rsidRPr="0075328F">
        <w:rPr>
          <w:rFonts w:ascii="Arial" w:eastAsia="Times New Roman" w:hAnsi="Arial" w:cs="Arial"/>
          <w:sz w:val="22"/>
          <w:szCs w:val="22"/>
        </w:rPr>
        <w:t xml:space="preserve"> healthcare services. In hospital settings, this framework is widely valuable for patient assessment, discharge planning and providing multidisciplinary care planning, thereby contributing to reducing unmet needs while promoting care continuity. For example, using Electronic Patient Record systems as a primary care assessment method, the NHS efficiently allocate resources and staff to address the diverse needs of patients, resulting in 1.7 million patient interactions per day (GOV UK, 2026). Nevertheless, this model has limitations as normative need is highly dependent on professional judgement, which results in neglecting patients' desires and violates the principle of PCC of decision-making. Thus, despite its limitations, Bradshaw’s model creates a comprehensive approach for needs assessment for holistic care delivery to patients. </w:t>
      </w:r>
    </w:p>
    <w:p w14:paraId="5E310989" w14:textId="77777777" w:rsidR="002825CC" w:rsidRPr="0075328F" w:rsidRDefault="002825CC" w:rsidP="0075328F">
      <w:pPr>
        <w:pStyle w:val="Heading1"/>
      </w:pPr>
      <w:bookmarkStart w:id="3" w:name="_Toc235286445"/>
      <w:r w:rsidRPr="0075328F">
        <w:t>c) Ethical fundamentals of health and social care</w:t>
      </w:r>
      <w:bookmarkEnd w:id="3"/>
      <w:r w:rsidRPr="0075328F">
        <w:t xml:space="preserve"> </w:t>
      </w:r>
    </w:p>
    <w:p w14:paraId="1A47BC7E" w14:textId="583C7A38"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Ethical principles such as autonomy, non-maleficence,</w:t>
      </w:r>
      <w:r w:rsidR="00061E0C">
        <w:rPr>
          <w:rFonts w:ascii="Arial" w:eastAsia="Times New Roman" w:hAnsi="Arial" w:cs="Arial"/>
          <w:sz w:val="22"/>
          <w:szCs w:val="22"/>
        </w:rPr>
        <w:t xml:space="preserve"> </w:t>
      </w:r>
      <w:r w:rsidR="00061E0C" w:rsidRPr="0075328F">
        <w:rPr>
          <w:rFonts w:ascii="Arial" w:eastAsia="Times New Roman" w:hAnsi="Arial" w:cs="Arial"/>
          <w:sz w:val="22"/>
          <w:szCs w:val="22"/>
        </w:rPr>
        <w:t>beneficence,</w:t>
      </w:r>
      <w:r w:rsidRPr="0075328F">
        <w:rPr>
          <w:rFonts w:ascii="Arial" w:eastAsia="Times New Roman" w:hAnsi="Arial" w:cs="Arial"/>
          <w:sz w:val="22"/>
          <w:szCs w:val="22"/>
        </w:rPr>
        <w:t xml:space="preserve"> and </w:t>
      </w:r>
      <w:r w:rsidR="00061E0C">
        <w:rPr>
          <w:rFonts w:ascii="Arial" w:eastAsia="Times New Roman" w:hAnsi="Arial" w:cs="Arial"/>
          <w:sz w:val="22"/>
          <w:szCs w:val="22"/>
        </w:rPr>
        <w:t xml:space="preserve">social </w:t>
      </w:r>
      <w:r w:rsidRPr="0075328F">
        <w:rPr>
          <w:rFonts w:ascii="Arial" w:eastAsia="Times New Roman" w:hAnsi="Arial" w:cs="Arial"/>
          <w:sz w:val="22"/>
          <w:szCs w:val="22"/>
        </w:rPr>
        <w:t xml:space="preserve">justice play </w:t>
      </w:r>
      <w:r w:rsidR="00061E0C" w:rsidRPr="0075328F">
        <w:rPr>
          <w:rFonts w:ascii="Arial" w:eastAsia="Times New Roman" w:hAnsi="Arial" w:cs="Arial"/>
          <w:sz w:val="22"/>
          <w:szCs w:val="22"/>
        </w:rPr>
        <w:t>a</w:t>
      </w:r>
      <w:r w:rsidRPr="0075328F">
        <w:rPr>
          <w:rFonts w:ascii="Arial" w:eastAsia="Times New Roman" w:hAnsi="Arial" w:cs="Arial"/>
          <w:sz w:val="22"/>
          <w:szCs w:val="22"/>
        </w:rPr>
        <w:t xml:space="preserve"> </w:t>
      </w:r>
      <w:r w:rsidR="00061E0C">
        <w:rPr>
          <w:rFonts w:ascii="Arial" w:eastAsia="Times New Roman" w:hAnsi="Arial" w:cs="Arial"/>
          <w:sz w:val="22"/>
          <w:szCs w:val="22"/>
        </w:rPr>
        <w:t>significant</w:t>
      </w:r>
      <w:r w:rsidRPr="0075328F">
        <w:rPr>
          <w:rFonts w:ascii="Arial" w:eastAsia="Times New Roman" w:hAnsi="Arial" w:cs="Arial"/>
          <w:sz w:val="22"/>
          <w:szCs w:val="22"/>
        </w:rPr>
        <w:t xml:space="preserve"> role in </w:t>
      </w:r>
      <w:r w:rsidR="00061E0C">
        <w:rPr>
          <w:rFonts w:ascii="Arial" w:eastAsia="Times New Roman" w:hAnsi="Arial" w:cs="Arial"/>
          <w:sz w:val="22"/>
          <w:szCs w:val="22"/>
        </w:rPr>
        <w:t>PCC</w:t>
      </w:r>
      <w:r w:rsidRPr="0075328F">
        <w:rPr>
          <w:rFonts w:ascii="Arial" w:eastAsia="Times New Roman" w:hAnsi="Arial" w:cs="Arial"/>
          <w:sz w:val="22"/>
          <w:szCs w:val="22"/>
        </w:rPr>
        <w:t xml:space="preserve"> and </w:t>
      </w:r>
      <w:r w:rsidR="00061E0C">
        <w:rPr>
          <w:rFonts w:ascii="Arial" w:eastAsia="Times New Roman" w:hAnsi="Arial" w:cs="Arial"/>
          <w:sz w:val="22"/>
          <w:szCs w:val="22"/>
        </w:rPr>
        <w:t>managing PW</w:t>
      </w:r>
      <w:r w:rsidRPr="0075328F">
        <w:rPr>
          <w:rFonts w:ascii="Arial" w:eastAsia="Times New Roman" w:hAnsi="Arial" w:cs="Arial"/>
          <w:sz w:val="22"/>
          <w:szCs w:val="22"/>
        </w:rPr>
        <w:t xml:space="preserve"> across hospital settings. Autonomy </w:t>
      </w:r>
      <w:r w:rsidR="00061E0C">
        <w:rPr>
          <w:rFonts w:ascii="Arial" w:eastAsia="Times New Roman" w:hAnsi="Arial" w:cs="Arial"/>
          <w:sz w:val="22"/>
          <w:szCs w:val="22"/>
        </w:rPr>
        <w:t xml:space="preserve">encourages </w:t>
      </w:r>
      <w:r w:rsidR="00061E0C" w:rsidRPr="0075328F">
        <w:rPr>
          <w:rFonts w:ascii="Arial" w:eastAsia="Times New Roman" w:hAnsi="Arial" w:cs="Arial"/>
          <w:sz w:val="22"/>
          <w:szCs w:val="22"/>
        </w:rPr>
        <w:t>individuals</w:t>
      </w:r>
      <w:r w:rsidRPr="0075328F">
        <w:rPr>
          <w:rFonts w:ascii="Arial" w:eastAsia="Times New Roman" w:hAnsi="Arial" w:cs="Arial"/>
          <w:sz w:val="22"/>
          <w:szCs w:val="22"/>
        </w:rPr>
        <w:t xml:space="preserve"> to make decisions</w:t>
      </w:r>
      <w:r w:rsidR="00061E0C">
        <w:rPr>
          <w:rFonts w:ascii="Arial" w:eastAsia="Times New Roman" w:hAnsi="Arial" w:cs="Arial"/>
          <w:sz w:val="22"/>
          <w:szCs w:val="22"/>
        </w:rPr>
        <w:t xml:space="preserve"> independently</w:t>
      </w:r>
      <w:r w:rsidRPr="0075328F">
        <w:rPr>
          <w:rFonts w:ascii="Arial" w:eastAsia="Times New Roman" w:hAnsi="Arial" w:cs="Arial"/>
          <w:sz w:val="22"/>
          <w:szCs w:val="22"/>
        </w:rPr>
        <w:t xml:space="preserve"> regarding health and care </w:t>
      </w:r>
      <w:r w:rsidR="00061E0C">
        <w:rPr>
          <w:rFonts w:ascii="Arial" w:eastAsia="Times New Roman" w:hAnsi="Arial" w:cs="Arial"/>
          <w:sz w:val="22"/>
          <w:szCs w:val="22"/>
        </w:rPr>
        <w:t>planning</w:t>
      </w:r>
      <w:r w:rsidRPr="0075328F">
        <w:rPr>
          <w:rFonts w:ascii="Arial" w:eastAsia="Times New Roman" w:hAnsi="Arial" w:cs="Arial"/>
          <w:sz w:val="22"/>
          <w:szCs w:val="22"/>
        </w:rPr>
        <w:t xml:space="preserve">, while beneficence </w:t>
      </w:r>
      <w:r w:rsidR="00061E0C">
        <w:rPr>
          <w:rFonts w:ascii="Arial" w:eastAsia="Times New Roman" w:hAnsi="Arial" w:cs="Arial"/>
          <w:sz w:val="22"/>
          <w:szCs w:val="22"/>
        </w:rPr>
        <w:t>guides</w:t>
      </w:r>
      <w:r w:rsidRPr="0075328F">
        <w:rPr>
          <w:rFonts w:ascii="Arial" w:eastAsia="Times New Roman" w:hAnsi="Arial" w:cs="Arial"/>
          <w:sz w:val="22"/>
          <w:szCs w:val="22"/>
        </w:rPr>
        <w:t xml:space="preserve"> healthcare providers to</w:t>
      </w:r>
      <w:r w:rsidR="00061E0C">
        <w:rPr>
          <w:rFonts w:ascii="Arial" w:eastAsia="Times New Roman" w:hAnsi="Arial" w:cs="Arial"/>
          <w:sz w:val="22"/>
          <w:szCs w:val="22"/>
        </w:rPr>
        <w:t xml:space="preserve"> meet service users’ needs respectively </w:t>
      </w:r>
      <w:r w:rsidRPr="0075328F">
        <w:rPr>
          <w:rFonts w:ascii="Arial" w:eastAsia="Times New Roman" w:hAnsi="Arial" w:cs="Arial"/>
          <w:sz w:val="22"/>
          <w:szCs w:val="22"/>
        </w:rPr>
        <w:t>(</w:t>
      </w:r>
      <w:r w:rsidRPr="0075328F">
        <w:rPr>
          <w:rFonts w:ascii="Arial" w:eastAsia="Times New Roman" w:hAnsi="Arial" w:cs="Arial"/>
          <w:sz w:val="22"/>
          <w:szCs w:val="22"/>
          <w:highlight w:val="white"/>
        </w:rPr>
        <w:t>Cheraghi</w:t>
      </w:r>
      <w:r w:rsidRPr="0075328F">
        <w:rPr>
          <w:rFonts w:ascii="Arial" w:eastAsia="Times New Roman" w:hAnsi="Arial" w:cs="Arial"/>
          <w:i/>
          <w:iCs/>
          <w:sz w:val="22"/>
          <w:szCs w:val="22"/>
          <w:highlight w:val="white"/>
        </w:rPr>
        <w:t xml:space="preserve"> et al. </w:t>
      </w:r>
      <w:r w:rsidRPr="0075328F">
        <w:rPr>
          <w:rFonts w:ascii="Arial" w:eastAsia="Times New Roman" w:hAnsi="Arial" w:cs="Arial"/>
          <w:sz w:val="22"/>
          <w:szCs w:val="22"/>
          <w:highlight w:val="white"/>
        </w:rPr>
        <w:t>2023</w:t>
      </w:r>
      <w:r w:rsidRPr="0075328F">
        <w:rPr>
          <w:rFonts w:ascii="Arial" w:eastAsia="Times New Roman" w:hAnsi="Arial" w:cs="Arial"/>
          <w:sz w:val="22"/>
          <w:szCs w:val="22"/>
        </w:rPr>
        <w:t xml:space="preserve">). </w:t>
      </w:r>
      <w:r w:rsidR="00061E0C">
        <w:rPr>
          <w:rFonts w:ascii="Arial" w:eastAsia="Times New Roman" w:hAnsi="Arial" w:cs="Arial"/>
          <w:sz w:val="22"/>
          <w:szCs w:val="22"/>
        </w:rPr>
        <w:t>On the contrary,</w:t>
      </w:r>
      <w:r w:rsidRPr="0075328F">
        <w:rPr>
          <w:rFonts w:ascii="Arial" w:eastAsia="Times New Roman" w:hAnsi="Arial" w:cs="Arial"/>
          <w:sz w:val="22"/>
          <w:szCs w:val="22"/>
        </w:rPr>
        <w:t xml:space="preserve"> non-maleficence </w:t>
      </w:r>
      <w:r w:rsidR="00061E0C">
        <w:rPr>
          <w:rFonts w:ascii="Arial" w:eastAsia="Times New Roman" w:hAnsi="Arial" w:cs="Arial"/>
          <w:sz w:val="22"/>
          <w:szCs w:val="22"/>
        </w:rPr>
        <w:t>concerns to ensure</w:t>
      </w:r>
      <w:r w:rsidRPr="0075328F">
        <w:rPr>
          <w:rFonts w:ascii="Arial" w:eastAsia="Times New Roman" w:hAnsi="Arial" w:cs="Arial"/>
          <w:sz w:val="22"/>
          <w:szCs w:val="22"/>
        </w:rPr>
        <w:t xml:space="preserve"> no </w:t>
      </w:r>
      <w:r w:rsidR="00061E0C">
        <w:rPr>
          <w:rFonts w:ascii="Arial" w:eastAsia="Times New Roman" w:hAnsi="Arial" w:cs="Arial"/>
          <w:sz w:val="22"/>
          <w:szCs w:val="22"/>
        </w:rPr>
        <w:t xml:space="preserve">risk of </w:t>
      </w:r>
      <w:r w:rsidRPr="0075328F">
        <w:rPr>
          <w:rFonts w:ascii="Arial" w:eastAsia="Times New Roman" w:hAnsi="Arial" w:cs="Arial"/>
          <w:sz w:val="22"/>
          <w:szCs w:val="22"/>
        </w:rPr>
        <w:t>harm occurs in the healthcare delivery process, while</w:t>
      </w:r>
      <w:r w:rsidR="00061E0C">
        <w:rPr>
          <w:rFonts w:ascii="Arial" w:eastAsia="Times New Roman" w:hAnsi="Arial" w:cs="Arial"/>
          <w:sz w:val="22"/>
          <w:szCs w:val="22"/>
        </w:rPr>
        <w:t xml:space="preserve"> social</w:t>
      </w:r>
      <w:r w:rsidRPr="0075328F">
        <w:rPr>
          <w:rFonts w:ascii="Arial" w:eastAsia="Times New Roman" w:hAnsi="Arial" w:cs="Arial"/>
          <w:sz w:val="22"/>
          <w:szCs w:val="22"/>
        </w:rPr>
        <w:t xml:space="preserve"> justice </w:t>
      </w:r>
      <w:r w:rsidR="00061E0C">
        <w:rPr>
          <w:rFonts w:ascii="Arial" w:eastAsia="Times New Roman" w:hAnsi="Arial" w:cs="Arial"/>
          <w:sz w:val="22"/>
          <w:szCs w:val="22"/>
        </w:rPr>
        <w:t>escalates</w:t>
      </w:r>
      <w:r w:rsidRPr="0075328F">
        <w:rPr>
          <w:rFonts w:ascii="Arial" w:eastAsia="Times New Roman" w:hAnsi="Arial" w:cs="Arial"/>
          <w:sz w:val="22"/>
          <w:szCs w:val="22"/>
        </w:rPr>
        <w:t xml:space="preserve"> direct access to health services without discrimination. These principles have notable implications for PCC to achieve its targets for promoting patients’ decision-making and fostering multidisciplinary teamwork. For example, 15% of healthcare providers reported that patients refused treatment because they do not want to receive care from Muslim doctors at the NHS (Rimi, 2024). This example </w:t>
      </w:r>
      <w:r w:rsidR="00061E0C">
        <w:rPr>
          <w:rFonts w:ascii="Arial" w:eastAsia="Times New Roman" w:hAnsi="Arial" w:cs="Arial"/>
          <w:sz w:val="22"/>
          <w:szCs w:val="22"/>
        </w:rPr>
        <w:t>demonstrates</w:t>
      </w:r>
      <w:r w:rsidRPr="0075328F">
        <w:rPr>
          <w:rFonts w:ascii="Arial" w:eastAsia="Times New Roman" w:hAnsi="Arial" w:cs="Arial"/>
          <w:sz w:val="22"/>
          <w:szCs w:val="22"/>
        </w:rPr>
        <w:t xml:space="preserve"> that the NHS </w:t>
      </w:r>
      <w:r w:rsidR="00061E0C">
        <w:rPr>
          <w:rFonts w:ascii="Arial" w:eastAsia="Times New Roman" w:hAnsi="Arial" w:cs="Arial"/>
          <w:sz w:val="22"/>
          <w:szCs w:val="22"/>
        </w:rPr>
        <w:t>preserves patients’ autonomy</w:t>
      </w:r>
      <w:r w:rsidRPr="0075328F">
        <w:rPr>
          <w:rFonts w:ascii="Arial" w:eastAsia="Times New Roman" w:hAnsi="Arial" w:cs="Arial"/>
          <w:sz w:val="22"/>
          <w:szCs w:val="22"/>
        </w:rPr>
        <w:t xml:space="preserve"> while </w:t>
      </w:r>
      <w:r w:rsidR="00061E0C">
        <w:rPr>
          <w:rFonts w:ascii="Arial" w:eastAsia="Times New Roman" w:hAnsi="Arial" w:cs="Arial"/>
          <w:sz w:val="22"/>
          <w:szCs w:val="22"/>
        </w:rPr>
        <w:t>care-providers</w:t>
      </w:r>
      <w:r w:rsidRPr="0075328F">
        <w:rPr>
          <w:rFonts w:ascii="Arial" w:eastAsia="Times New Roman" w:hAnsi="Arial" w:cs="Arial"/>
          <w:sz w:val="22"/>
          <w:szCs w:val="22"/>
        </w:rPr>
        <w:t xml:space="preserve"> engage famil</w:t>
      </w:r>
      <w:r w:rsidR="00061E0C">
        <w:rPr>
          <w:rFonts w:ascii="Arial" w:eastAsia="Times New Roman" w:hAnsi="Arial" w:cs="Arial"/>
          <w:sz w:val="22"/>
          <w:szCs w:val="22"/>
        </w:rPr>
        <w:t>y members</w:t>
      </w:r>
      <w:r w:rsidRPr="0075328F">
        <w:rPr>
          <w:rFonts w:ascii="Arial" w:eastAsia="Times New Roman" w:hAnsi="Arial" w:cs="Arial"/>
          <w:sz w:val="22"/>
          <w:szCs w:val="22"/>
        </w:rPr>
        <w:t xml:space="preserve"> to </w:t>
      </w:r>
      <w:r w:rsidR="00061E0C">
        <w:rPr>
          <w:rFonts w:ascii="Arial" w:eastAsia="Times New Roman" w:hAnsi="Arial" w:cs="Arial"/>
          <w:sz w:val="22"/>
          <w:szCs w:val="22"/>
        </w:rPr>
        <w:t>recognise the</w:t>
      </w:r>
      <w:r w:rsidRPr="0075328F">
        <w:rPr>
          <w:rFonts w:ascii="Arial" w:eastAsia="Times New Roman" w:hAnsi="Arial" w:cs="Arial"/>
          <w:sz w:val="22"/>
          <w:szCs w:val="22"/>
        </w:rPr>
        <w:t xml:space="preserve"> </w:t>
      </w:r>
      <w:r w:rsidR="00061E0C">
        <w:rPr>
          <w:rFonts w:ascii="Arial" w:eastAsia="Times New Roman" w:hAnsi="Arial" w:cs="Arial"/>
          <w:sz w:val="22"/>
          <w:szCs w:val="22"/>
        </w:rPr>
        <w:t>different</w:t>
      </w:r>
      <w:r w:rsidRPr="0075328F">
        <w:rPr>
          <w:rFonts w:ascii="Arial" w:eastAsia="Times New Roman" w:hAnsi="Arial" w:cs="Arial"/>
          <w:sz w:val="22"/>
          <w:szCs w:val="22"/>
        </w:rPr>
        <w:t xml:space="preserve"> treatment preferences that </w:t>
      </w:r>
      <w:r w:rsidR="00061E0C">
        <w:rPr>
          <w:rFonts w:ascii="Arial" w:eastAsia="Times New Roman" w:hAnsi="Arial" w:cs="Arial"/>
          <w:sz w:val="22"/>
          <w:szCs w:val="22"/>
        </w:rPr>
        <w:t>foster</w:t>
      </w:r>
      <w:r w:rsidRPr="0075328F">
        <w:rPr>
          <w:rFonts w:ascii="Arial" w:eastAsia="Times New Roman" w:hAnsi="Arial" w:cs="Arial"/>
          <w:sz w:val="22"/>
          <w:szCs w:val="22"/>
        </w:rPr>
        <w:t xml:space="preserve"> partnership working. Therefore, ethical principles empower hospital settings to promote respect for individuals while balancing professional accountability. </w:t>
      </w:r>
    </w:p>
    <w:p w14:paraId="4D16DA95" w14:textId="39A7D569"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 xml:space="preserve">In hospital settings, an ethical dilemma primarily arises when protecting patients' autonomy is fundamental, whereas conflicts </w:t>
      </w:r>
      <w:r w:rsidR="00061E0C">
        <w:rPr>
          <w:rFonts w:ascii="Arial" w:eastAsia="Times New Roman" w:hAnsi="Arial" w:cs="Arial"/>
          <w:sz w:val="22"/>
          <w:szCs w:val="22"/>
        </w:rPr>
        <w:t>drive with</w:t>
      </w:r>
      <w:r w:rsidRPr="0075328F">
        <w:rPr>
          <w:rFonts w:ascii="Arial" w:eastAsia="Times New Roman" w:hAnsi="Arial" w:cs="Arial"/>
          <w:sz w:val="22"/>
          <w:szCs w:val="22"/>
        </w:rPr>
        <w:t xml:space="preserve"> beneficence when patients </w:t>
      </w:r>
      <w:r w:rsidR="00061E0C">
        <w:rPr>
          <w:rFonts w:ascii="Arial" w:eastAsia="Times New Roman" w:hAnsi="Arial" w:cs="Arial"/>
          <w:sz w:val="22"/>
          <w:szCs w:val="22"/>
        </w:rPr>
        <w:t>are unwilling to accept</w:t>
      </w:r>
      <w:r w:rsidRPr="0075328F">
        <w:rPr>
          <w:rFonts w:ascii="Arial" w:eastAsia="Times New Roman" w:hAnsi="Arial" w:cs="Arial"/>
          <w:sz w:val="22"/>
          <w:szCs w:val="22"/>
        </w:rPr>
        <w:t xml:space="preserve"> life-saving medications. For example, at the NHS, the case of Indi Gregory results ethical dilemma where parents asked for life-sustaining treatment while professionals followed the duty to act in the best interests of the child (Gandhi, 2023). This example illustrates that healthcare professionals are likely to provide autonomy. However, the viewpoint of </w:t>
      </w:r>
      <w:r w:rsidRPr="0075328F">
        <w:rPr>
          <w:rFonts w:ascii="Arial" w:eastAsia="Times New Roman" w:hAnsi="Arial" w:cs="Arial"/>
          <w:sz w:val="22"/>
          <w:szCs w:val="22"/>
          <w:highlight w:val="white"/>
        </w:rPr>
        <w:t>Buka (2024</w:t>
      </w:r>
      <w:r w:rsidRPr="0075328F">
        <w:rPr>
          <w:rFonts w:ascii="Arial" w:eastAsia="Times New Roman" w:hAnsi="Arial" w:cs="Arial"/>
          <w:sz w:val="22"/>
          <w:szCs w:val="22"/>
        </w:rPr>
        <w:t xml:space="preserve">), avoiding clinical urgency may restrict personalised care for patients who significantly violate the principle of social justice through PCC and PW. Therefore, these differing viewpoints create ethical </w:t>
      </w:r>
      <w:r w:rsidR="00061E0C">
        <w:rPr>
          <w:rFonts w:ascii="Arial" w:eastAsia="Times New Roman" w:hAnsi="Arial" w:cs="Arial"/>
          <w:sz w:val="22"/>
          <w:szCs w:val="22"/>
        </w:rPr>
        <w:t>challenges</w:t>
      </w:r>
      <w:r w:rsidRPr="0075328F">
        <w:rPr>
          <w:rFonts w:ascii="Arial" w:eastAsia="Times New Roman" w:hAnsi="Arial" w:cs="Arial"/>
          <w:sz w:val="22"/>
          <w:szCs w:val="22"/>
        </w:rPr>
        <w:t xml:space="preserve"> in hospital settings that can be </w:t>
      </w:r>
      <w:r w:rsidR="00061E0C">
        <w:rPr>
          <w:rFonts w:ascii="Arial" w:eastAsia="Times New Roman" w:hAnsi="Arial" w:cs="Arial"/>
          <w:sz w:val="22"/>
          <w:szCs w:val="22"/>
        </w:rPr>
        <w:t>addressed</w:t>
      </w:r>
      <w:r w:rsidRPr="0075328F">
        <w:rPr>
          <w:rFonts w:ascii="Arial" w:eastAsia="Times New Roman" w:hAnsi="Arial" w:cs="Arial"/>
          <w:sz w:val="22"/>
          <w:szCs w:val="22"/>
        </w:rPr>
        <w:t xml:space="preserve"> through multidisciplinary team </w:t>
      </w:r>
      <w:r w:rsidR="00061E0C">
        <w:rPr>
          <w:rFonts w:ascii="Arial" w:eastAsia="Times New Roman" w:hAnsi="Arial" w:cs="Arial"/>
          <w:sz w:val="22"/>
          <w:szCs w:val="22"/>
        </w:rPr>
        <w:t>works</w:t>
      </w:r>
      <w:r w:rsidRPr="0075328F">
        <w:rPr>
          <w:rFonts w:ascii="Arial" w:eastAsia="Times New Roman" w:hAnsi="Arial" w:cs="Arial"/>
          <w:sz w:val="22"/>
          <w:szCs w:val="22"/>
        </w:rPr>
        <w:t xml:space="preserve"> and </w:t>
      </w:r>
      <w:r w:rsidR="00061E0C">
        <w:rPr>
          <w:rFonts w:ascii="Arial" w:eastAsia="Times New Roman" w:hAnsi="Arial" w:cs="Arial"/>
          <w:sz w:val="22"/>
          <w:szCs w:val="22"/>
        </w:rPr>
        <w:t>integration within</w:t>
      </w:r>
      <w:r w:rsidRPr="0075328F">
        <w:rPr>
          <w:rFonts w:ascii="Arial" w:eastAsia="Times New Roman" w:hAnsi="Arial" w:cs="Arial"/>
          <w:sz w:val="22"/>
          <w:szCs w:val="22"/>
        </w:rPr>
        <w:t xml:space="preserve"> professional </w:t>
      </w:r>
      <w:r w:rsidR="00061E0C">
        <w:rPr>
          <w:rFonts w:ascii="Arial" w:eastAsia="Times New Roman" w:hAnsi="Arial" w:cs="Arial"/>
          <w:sz w:val="22"/>
          <w:szCs w:val="22"/>
        </w:rPr>
        <w:t>decisions</w:t>
      </w:r>
      <w:r w:rsidRPr="0075328F">
        <w:rPr>
          <w:rFonts w:ascii="Arial" w:eastAsia="Times New Roman" w:hAnsi="Arial" w:cs="Arial"/>
          <w:sz w:val="22"/>
          <w:szCs w:val="22"/>
        </w:rPr>
        <w:t xml:space="preserve"> to </w:t>
      </w:r>
      <w:r w:rsidR="00061E0C">
        <w:rPr>
          <w:rFonts w:ascii="Arial" w:eastAsia="Times New Roman" w:hAnsi="Arial" w:cs="Arial"/>
          <w:sz w:val="22"/>
          <w:szCs w:val="22"/>
        </w:rPr>
        <w:t>fulfil</w:t>
      </w:r>
      <w:r w:rsidRPr="0075328F">
        <w:rPr>
          <w:rFonts w:ascii="Arial" w:eastAsia="Times New Roman" w:hAnsi="Arial" w:cs="Arial"/>
          <w:sz w:val="22"/>
          <w:szCs w:val="22"/>
        </w:rPr>
        <w:t xml:space="preserve"> patient needs and preferences.</w:t>
      </w:r>
    </w:p>
    <w:p w14:paraId="00CC5170" w14:textId="77777777" w:rsidR="002825CC" w:rsidRPr="0075328F" w:rsidRDefault="002825CC" w:rsidP="0075328F">
      <w:pPr>
        <w:pStyle w:val="Heading1"/>
      </w:pPr>
      <w:bookmarkStart w:id="4" w:name="_Toc235286446"/>
      <w:r w:rsidRPr="0075328F">
        <w:t>d) Evaluation of Partnership working</w:t>
      </w:r>
      <w:bookmarkEnd w:id="4"/>
      <w:r w:rsidRPr="0075328F">
        <w:t xml:space="preserve"> </w:t>
      </w:r>
    </w:p>
    <w:p w14:paraId="395CD7DB" w14:textId="26FFAAD4" w:rsidR="002825CC" w:rsidRPr="0075328F" w:rsidRDefault="002825CC" w:rsidP="002825CC">
      <w:pPr>
        <w:rPr>
          <w:rFonts w:ascii="Arial" w:eastAsia="Times New Roman" w:hAnsi="Arial" w:cs="Arial"/>
          <w:b/>
          <w:bCs/>
          <w:sz w:val="22"/>
          <w:szCs w:val="22"/>
        </w:rPr>
      </w:pPr>
      <w:r w:rsidRPr="0075328F">
        <w:rPr>
          <w:rFonts w:ascii="Arial" w:eastAsia="Times New Roman" w:hAnsi="Arial" w:cs="Arial"/>
          <w:sz w:val="22"/>
          <w:szCs w:val="22"/>
        </w:rPr>
        <w:t>Partnership working (PW) is defined as the collaborative approach of healthcare providers, social workers, patients, families and volunteers in providing coordinated care services to patients (</w:t>
      </w:r>
      <w:r w:rsidRPr="0075328F">
        <w:rPr>
          <w:rFonts w:ascii="Arial" w:eastAsia="Times New Roman" w:hAnsi="Arial" w:cs="Arial"/>
          <w:sz w:val="22"/>
          <w:szCs w:val="22"/>
          <w:highlight w:val="white"/>
        </w:rPr>
        <w:t>Couturier</w:t>
      </w:r>
      <w:r w:rsidRPr="0075328F">
        <w:rPr>
          <w:rFonts w:ascii="Arial" w:eastAsia="Times New Roman" w:hAnsi="Arial" w:cs="Arial"/>
          <w:i/>
          <w:iCs/>
          <w:sz w:val="22"/>
          <w:szCs w:val="22"/>
          <w:highlight w:val="white"/>
        </w:rPr>
        <w:t xml:space="preserve"> et al.</w:t>
      </w:r>
      <w:r w:rsidRPr="0075328F">
        <w:rPr>
          <w:rFonts w:ascii="Arial" w:eastAsia="Times New Roman" w:hAnsi="Arial" w:cs="Arial"/>
          <w:sz w:val="22"/>
          <w:szCs w:val="22"/>
          <w:highlight w:val="white"/>
        </w:rPr>
        <w:t xml:space="preserve"> 2023</w:t>
      </w:r>
      <w:r w:rsidRPr="0075328F">
        <w:rPr>
          <w:rFonts w:ascii="Arial" w:eastAsia="Times New Roman" w:hAnsi="Arial" w:cs="Arial"/>
          <w:sz w:val="22"/>
          <w:szCs w:val="22"/>
        </w:rPr>
        <w:t xml:space="preserve">). In the UK, under the Health and Care Act 2022, Integrated Care Systems (ICSs) strengthen collaboration between hospitals and local authorities to improve population health, enabling PCC. For instance, the NHS facilitate partnership working that reduces waiting times by 1.9%, as its treatment increased from 59.8% in 2025, which increased to 65.3% in 2026 (Health UK, 2026). In hospital settings, </w:t>
      </w:r>
      <w:r w:rsidR="00061E0C">
        <w:rPr>
          <w:rFonts w:ascii="Arial" w:eastAsia="Times New Roman" w:hAnsi="Arial" w:cs="Arial"/>
          <w:sz w:val="22"/>
          <w:szCs w:val="22"/>
        </w:rPr>
        <w:t>strategic</w:t>
      </w:r>
      <w:r w:rsidRPr="0075328F">
        <w:rPr>
          <w:rFonts w:ascii="Arial" w:eastAsia="Times New Roman" w:hAnsi="Arial" w:cs="Arial"/>
          <w:sz w:val="22"/>
          <w:szCs w:val="22"/>
        </w:rPr>
        <w:t xml:space="preserve"> partnership</w:t>
      </w:r>
      <w:r w:rsidR="00061E0C">
        <w:rPr>
          <w:rFonts w:ascii="Arial" w:eastAsia="Times New Roman" w:hAnsi="Arial" w:cs="Arial"/>
          <w:sz w:val="22"/>
          <w:szCs w:val="22"/>
        </w:rPr>
        <w:t xml:space="preserve"> strengthens</w:t>
      </w:r>
      <w:r w:rsidRPr="0075328F">
        <w:rPr>
          <w:rFonts w:ascii="Arial" w:eastAsia="Times New Roman" w:hAnsi="Arial" w:cs="Arial"/>
          <w:sz w:val="22"/>
          <w:szCs w:val="22"/>
        </w:rPr>
        <w:t xml:space="preserve"> </w:t>
      </w:r>
      <w:r w:rsidR="00061E0C">
        <w:rPr>
          <w:rFonts w:ascii="Arial" w:eastAsia="Times New Roman" w:hAnsi="Arial" w:cs="Arial"/>
          <w:sz w:val="22"/>
          <w:szCs w:val="22"/>
        </w:rPr>
        <w:t xml:space="preserve">sustained </w:t>
      </w:r>
      <w:r w:rsidRPr="0075328F">
        <w:rPr>
          <w:rFonts w:ascii="Arial" w:eastAsia="Times New Roman" w:hAnsi="Arial" w:cs="Arial"/>
          <w:sz w:val="22"/>
          <w:szCs w:val="22"/>
        </w:rPr>
        <w:t xml:space="preserve">patient care delivery </w:t>
      </w:r>
      <w:r w:rsidR="00061E0C">
        <w:rPr>
          <w:rFonts w:ascii="Arial" w:eastAsia="Times New Roman" w:hAnsi="Arial" w:cs="Arial"/>
          <w:sz w:val="22"/>
          <w:szCs w:val="22"/>
        </w:rPr>
        <w:t xml:space="preserve">that ensures </w:t>
      </w:r>
      <w:r w:rsidR="00C50189">
        <w:rPr>
          <w:rFonts w:ascii="Arial" w:eastAsia="Times New Roman" w:hAnsi="Arial" w:cs="Arial"/>
          <w:sz w:val="22"/>
          <w:szCs w:val="22"/>
        </w:rPr>
        <w:t xml:space="preserve">timely response </w:t>
      </w:r>
      <w:r w:rsidRPr="0075328F">
        <w:rPr>
          <w:rFonts w:ascii="Arial" w:eastAsia="Times New Roman" w:hAnsi="Arial" w:cs="Arial"/>
          <w:sz w:val="22"/>
          <w:szCs w:val="22"/>
        </w:rPr>
        <w:t xml:space="preserve">while </w:t>
      </w:r>
      <w:r w:rsidR="00C50189">
        <w:rPr>
          <w:rFonts w:ascii="Arial" w:eastAsia="Times New Roman" w:hAnsi="Arial" w:cs="Arial"/>
          <w:sz w:val="22"/>
          <w:szCs w:val="22"/>
        </w:rPr>
        <w:t>maximising</w:t>
      </w:r>
      <w:r w:rsidRPr="0075328F">
        <w:rPr>
          <w:rFonts w:ascii="Arial" w:eastAsia="Times New Roman" w:hAnsi="Arial" w:cs="Arial"/>
          <w:sz w:val="22"/>
          <w:szCs w:val="22"/>
        </w:rPr>
        <w:t xml:space="preserve"> </w:t>
      </w:r>
      <w:r w:rsidR="00C50189">
        <w:rPr>
          <w:rFonts w:ascii="Arial" w:eastAsia="Times New Roman" w:hAnsi="Arial" w:cs="Arial"/>
          <w:sz w:val="22"/>
          <w:szCs w:val="22"/>
        </w:rPr>
        <w:t>benefits for patients</w:t>
      </w:r>
      <w:r w:rsidRPr="0075328F">
        <w:rPr>
          <w:rFonts w:ascii="Arial" w:eastAsia="Times New Roman" w:hAnsi="Arial" w:cs="Arial"/>
          <w:sz w:val="22"/>
          <w:szCs w:val="22"/>
        </w:rPr>
        <w:t xml:space="preserve">. However, difficulties in partnership working arise due to a lack of communication and unclear roles of professionals, which limits coordination in delivering PCC. </w:t>
      </w:r>
      <w:r w:rsidR="00C50189">
        <w:rPr>
          <w:rFonts w:ascii="Arial" w:eastAsia="Times New Roman" w:hAnsi="Arial" w:cs="Arial"/>
          <w:sz w:val="22"/>
          <w:szCs w:val="22"/>
        </w:rPr>
        <w:t>Critically, it can be</w:t>
      </w:r>
      <w:r w:rsidRPr="0075328F">
        <w:rPr>
          <w:rFonts w:ascii="Arial" w:eastAsia="Times New Roman" w:hAnsi="Arial" w:cs="Arial"/>
          <w:sz w:val="22"/>
          <w:szCs w:val="22"/>
        </w:rPr>
        <w:t xml:space="preserve"> </w:t>
      </w:r>
      <w:r w:rsidR="00C50189">
        <w:rPr>
          <w:rFonts w:ascii="Arial" w:eastAsia="Times New Roman" w:hAnsi="Arial" w:cs="Arial"/>
          <w:sz w:val="22"/>
          <w:szCs w:val="22"/>
        </w:rPr>
        <w:t xml:space="preserve">demonstrated </w:t>
      </w:r>
      <w:r w:rsidRPr="0075328F">
        <w:rPr>
          <w:rFonts w:ascii="Arial" w:eastAsia="Times New Roman" w:hAnsi="Arial" w:cs="Arial"/>
          <w:sz w:val="22"/>
          <w:szCs w:val="22"/>
        </w:rPr>
        <w:t xml:space="preserve">that partnership working requires </w:t>
      </w:r>
      <w:r w:rsidR="00C50189">
        <w:rPr>
          <w:rFonts w:ascii="Arial" w:eastAsia="Times New Roman" w:hAnsi="Arial" w:cs="Arial"/>
          <w:sz w:val="22"/>
          <w:szCs w:val="22"/>
        </w:rPr>
        <w:t>information exchange and strategic focus on</w:t>
      </w:r>
      <w:r w:rsidRPr="0075328F">
        <w:rPr>
          <w:rFonts w:ascii="Arial" w:eastAsia="Times New Roman" w:hAnsi="Arial" w:cs="Arial"/>
          <w:sz w:val="22"/>
          <w:szCs w:val="22"/>
        </w:rPr>
        <w:t xml:space="preserve"> achiev</w:t>
      </w:r>
      <w:r w:rsidR="00C50189">
        <w:rPr>
          <w:rFonts w:ascii="Arial" w:eastAsia="Times New Roman" w:hAnsi="Arial" w:cs="Arial"/>
          <w:sz w:val="22"/>
          <w:szCs w:val="22"/>
        </w:rPr>
        <w:t xml:space="preserve">ing </w:t>
      </w:r>
      <w:r w:rsidRPr="0075328F">
        <w:rPr>
          <w:rFonts w:ascii="Arial" w:eastAsia="Times New Roman" w:hAnsi="Arial" w:cs="Arial"/>
          <w:sz w:val="22"/>
          <w:szCs w:val="22"/>
        </w:rPr>
        <w:t xml:space="preserve">common goals, while </w:t>
      </w:r>
      <w:r w:rsidR="00C50189">
        <w:rPr>
          <w:rFonts w:ascii="Arial" w:eastAsia="Times New Roman" w:hAnsi="Arial" w:cs="Arial"/>
          <w:sz w:val="22"/>
          <w:szCs w:val="22"/>
        </w:rPr>
        <w:t xml:space="preserve">limited focus on maintaining </w:t>
      </w:r>
      <w:r w:rsidRPr="0075328F">
        <w:rPr>
          <w:rFonts w:ascii="Arial" w:eastAsia="Times New Roman" w:hAnsi="Arial" w:cs="Arial"/>
          <w:sz w:val="22"/>
          <w:szCs w:val="22"/>
        </w:rPr>
        <w:t>professional accountability</w:t>
      </w:r>
      <w:r w:rsidR="00C50189">
        <w:rPr>
          <w:rFonts w:ascii="Arial" w:eastAsia="Times New Roman" w:hAnsi="Arial" w:cs="Arial"/>
          <w:sz w:val="22"/>
          <w:szCs w:val="22"/>
        </w:rPr>
        <w:t xml:space="preserve"> affected</w:t>
      </w:r>
      <w:r w:rsidRPr="0075328F">
        <w:rPr>
          <w:rFonts w:ascii="Arial" w:eastAsia="Times New Roman" w:hAnsi="Arial" w:cs="Arial"/>
          <w:sz w:val="22"/>
          <w:szCs w:val="22"/>
        </w:rPr>
        <w:t xml:space="preserve"> implications in providing PCC successfully. </w:t>
      </w:r>
    </w:p>
    <w:p w14:paraId="39D1BFCE" w14:textId="77777777" w:rsidR="002825CC" w:rsidRPr="0075328F" w:rsidRDefault="002825CC" w:rsidP="0075328F">
      <w:pPr>
        <w:pStyle w:val="Heading1"/>
      </w:pPr>
      <w:bookmarkStart w:id="5" w:name="_Toc235286447"/>
      <w:r w:rsidRPr="0075328F">
        <w:t>e) Application of partnership working in hospital settings</w:t>
      </w:r>
      <w:bookmarkEnd w:id="5"/>
    </w:p>
    <w:p w14:paraId="3EB81F92" w14:textId="0C7F84FC"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 xml:space="preserve">In hospital settings, partnership working </w:t>
      </w:r>
      <w:r w:rsidR="00C50189">
        <w:rPr>
          <w:rFonts w:ascii="Arial" w:eastAsia="Times New Roman" w:hAnsi="Arial" w:cs="Arial"/>
          <w:sz w:val="22"/>
          <w:szCs w:val="22"/>
        </w:rPr>
        <w:t>improves</w:t>
      </w:r>
      <w:r w:rsidRPr="0075328F">
        <w:rPr>
          <w:rFonts w:ascii="Arial" w:eastAsia="Times New Roman" w:hAnsi="Arial" w:cs="Arial"/>
          <w:sz w:val="22"/>
          <w:szCs w:val="22"/>
        </w:rPr>
        <w:t xml:space="preserve"> service quality by </w:t>
      </w:r>
      <w:r w:rsidR="00C50189">
        <w:rPr>
          <w:rFonts w:ascii="Arial" w:eastAsia="Times New Roman" w:hAnsi="Arial" w:cs="Arial"/>
          <w:sz w:val="22"/>
          <w:szCs w:val="22"/>
        </w:rPr>
        <w:t>nurturing</w:t>
      </w:r>
      <w:r w:rsidRPr="0075328F">
        <w:rPr>
          <w:rFonts w:ascii="Arial" w:eastAsia="Times New Roman" w:hAnsi="Arial" w:cs="Arial"/>
          <w:sz w:val="22"/>
          <w:szCs w:val="22"/>
        </w:rPr>
        <w:t xml:space="preserve"> collaboration among the MDTs, including healthcare </w:t>
      </w:r>
      <w:r w:rsidR="00C50189">
        <w:rPr>
          <w:rFonts w:ascii="Arial" w:eastAsia="Times New Roman" w:hAnsi="Arial" w:cs="Arial"/>
          <w:sz w:val="22"/>
          <w:szCs w:val="22"/>
        </w:rPr>
        <w:t>practitioners</w:t>
      </w:r>
      <w:r w:rsidRPr="0075328F">
        <w:rPr>
          <w:rFonts w:ascii="Arial" w:eastAsia="Times New Roman" w:hAnsi="Arial" w:cs="Arial"/>
          <w:sz w:val="22"/>
          <w:szCs w:val="22"/>
        </w:rPr>
        <w:t xml:space="preserve">, nurses, therapists, social workers and discharge coordinators. As </w:t>
      </w:r>
      <w:r w:rsidR="00C50189">
        <w:rPr>
          <w:rFonts w:ascii="Arial" w:eastAsia="Times New Roman" w:hAnsi="Arial" w:cs="Arial"/>
          <w:sz w:val="22"/>
          <w:szCs w:val="22"/>
        </w:rPr>
        <w:t>stated</w:t>
      </w:r>
      <w:r w:rsidRPr="0075328F">
        <w:rPr>
          <w:rFonts w:ascii="Arial" w:eastAsia="Times New Roman" w:hAnsi="Arial" w:cs="Arial"/>
          <w:sz w:val="22"/>
          <w:szCs w:val="22"/>
        </w:rPr>
        <w:t xml:space="preserve"> by </w:t>
      </w:r>
      <w:r w:rsidRPr="0075328F">
        <w:rPr>
          <w:rFonts w:ascii="Arial" w:eastAsia="Times New Roman" w:hAnsi="Arial" w:cs="Arial"/>
          <w:sz w:val="22"/>
          <w:szCs w:val="22"/>
          <w:highlight w:val="white"/>
        </w:rPr>
        <w:t>Hjelm</w:t>
      </w:r>
      <w:r w:rsidRPr="0075328F">
        <w:rPr>
          <w:rFonts w:ascii="Arial" w:eastAsia="Times New Roman" w:hAnsi="Arial" w:cs="Arial"/>
          <w:i/>
          <w:iCs/>
          <w:sz w:val="22"/>
          <w:szCs w:val="22"/>
          <w:highlight w:val="white"/>
        </w:rPr>
        <w:t xml:space="preserve"> et al. </w:t>
      </w:r>
      <w:r w:rsidRPr="0075328F">
        <w:rPr>
          <w:rFonts w:ascii="Arial" w:eastAsia="Times New Roman" w:hAnsi="Arial" w:cs="Arial"/>
          <w:sz w:val="22"/>
          <w:szCs w:val="22"/>
          <w:highlight w:val="white"/>
        </w:rPr>
        <w:t>(2024</w:t>
      </w:r>
      <w:r w:rsidRPr="0075328F">
        <w:rPr>
          <w:rFonts w:ascii="Arial" w:eastAsia="Times New Roman" w:hAnsi="Arial" w:cs="Arial"/>
          <w:sz w:val="22"/>
          <w:szCs w:val="22"/>
        </w:rPr>
        <w:t xml:space="preserve">), an integrated partnership working </w:t>
      </w:r>
      <w:r w:rsidR="00C50189">
        <w:rPr>
          <w:rFonts w:ascii="Arial" w:eastAsia="Times New Roman" w:hAnsi="Arial" w:cs="Arial"/>
          <w:sz w:val="22"/>
          <w:szCs w:val="22"/>
        </w:rPr>
        <w:t>ensures</w:t>
      </w:r>
      <w:r w:rsidRPr="0075328F">
        <w:rPr>
          <w:rFonts w:ascii="Arial" w:eastAsia="Times New Roman" w:hAnsi="Arial" w:cs="Arial"/>
          <w:sz w:val="22"/>
          <w:szCs w:val="22"/>
        </w:rPr>
        <w:t xml:space="preserve"> </w:t>
      </w:r>
      <w:r w:rsidR="00C50189">
        <w:rPr>
          <w:rFonts w:ascii="Arial" w:eastAsia="Times New Roman" w:hAnsi="Arial" w:cs="Arial"/>
          <w:sz w:val="22"/>
          <w:szCs w:val="22"/>
        </w:rPr>
        <w:t xml:space="preserve">ethical </w:t>
      </w:r>
      <w:r w:rsidRPr="0075328F">
        <w:rPr>
          <w:rFonts w:ascii="Arial" w:eastAsia="Times New Roman" w:hAnsi="Arial" w:cs="Arial"/>
          <w:sz w:val="22"/>
          <w:szCs w:val="22"/>
        </w:rPr>
        <w:t>decision-making while</w:t>
      </w:r>
      <w:r w:rsidR="00C50189">
        <w:rPr>
          <w:rFonts w:ascii="Arial" w:eastAsia="Times New Roman" w:hAnsi="Arial" w:cs="Arial"/>
          <w:sz w:val="22"/>
          <w:szCs w:val="22"/>
        </w:rPr>
        <w:t xml:space="preserve"> reducing</w:t>
      </w:r>
      <w:r w:rsidRPr="0075328F">
        <w:rPr>
          <w:rFonts w:ascii="Arial" w:eastAsia="Times New Roman" w:hAnsi="Arial" w:cs="Arial"/>
          <w:sz w:val="22"/>
          <w:szCs w:val="22"/>
        </w:rPr>
        <w:t xml:space="preserve"> service </w:t>
      </w:r>
      <w:r w:rsidR="00C50189">
        <w:rPr>
          <w:rFonts w:ascii="Arial" w:eastAsia="Times New Roman" w:hAnsi="Arial" w:cs="Arial"/>
          <w:sz w:val="22"/>
          <w:szCs w:val="22"/>
        </w:rPr>
        <w:t>disruption</w:t>
      </w:r>
      <w:r w:rsidRPr="0075328F">
        <w:rPr>
          <w:rFonts w:ascii="Arial" w:eastAsia="Times New Roman" w:hAnsi="Arial" w:cs="Arial"/>
          <w:sz w:val="22"/>
          <w:szCs w:val="22"/>
        </w:rPr>
        <w:t xml:space="preserve"> to </w:t>
      </w:r>
      <w:r w:rsidR="00C50189">
        <w:rPr>
          <w:rFonts w:ascii="Arial" w:eastAsia="Times New Roman" w:hAnsi="Arial" w:cs="Arial"/>
          <w:sz w:val="22"/>
          <w:szCs w:val="22"/>
        </w:rPr>
        <w:t>sec</w:t>
      </w:r>
      <w:r w:rsidRPr="0075328F">
        <w:rPr>
          <w:rFonts w:ascii="Arial" w:eastAsia="Times New Roman" w:hAnsi="Arial" w:cs="Arial"/>
          <w:sz w:val="22"/>
          <w:szCs w:val="22"/>
        </w:rPr>
        <w:t xml:space="preserve">ure seamless delivery of PCC at community levels. For example, Discharge to </w:t>
      </w:r>
      <w:r w:rsidR="00C50189">
        <w:rPr>
          <w:rFonts w:ascii="Arial" w:eastAsia="Times New Roman" w:hAnsi="Arial" w:cs="Arial"/>
          <w:sz w:val="22"/>
          <w:szCs w:val="22"/>
        </w:rPr>
        <w:t xml:space="preserve">assess model of NHS </w:t>
      </w:r>
      <w:r w:rsidRPr="0075328F">
        <w:rPr>
          <w:rFonts w:ascii="Arial" w:eastAsia="Times New Roman" w:hAnsi="Arial" w:cs="Arial"/>
          <w:sz w:val="22"/>
          <w:szCs w:val="22"/>
        </w:rPr>
        <w:t xml:space="preserve">reflects </w:t>
      </w:r>
      <w:r w:rsidR="00C50189">
        <w:rPr>
          <w:rFonts w:ascii="Arial" w:eastAsia="Times New Roman" w:hAnsi="Arial" w:cs="Arial"/>
          <w:sz w:val="22"/>
          <w:szCs w:val="22"/>
        </w:rPr>
        <w:t xml:space="preserve">strong </w:t>
      </w:r>
      <w:r w:rsidRPr="0075328F">
        <w:rPr>
          <w:rFonts w:ascii="Arial" w:eastAsia="Times New Roman" w:hAnsi="Arial" w:cs="Arial"/>
          <w:sz w:val="22"/>
          <w:szCs w:val="22"/>
        </w:rPr>
        <w:t xml:space="preserve">partnership between hospitals, local </w:t>
      </w:r>
      <w:r w:rsidR="00C50189">
        <w:rPr>
          <w:rFonts w:ascii="Arial" w:eastAsia="Times New Roman" w:hAnsi="Arial" w:cs="Arial"/>
          <w:sz w:val="22"/>
          <w:szCs w:val="22"/>
        </w:rPr>
        <w:t>councils</w:t>
      </w:r>
      <w:r w:rsidRPr="0075328F">
        <w:rPr>
          <w:rFonts w:ascii="Arial" w:eastAsia="Times New Roman" w:hAnsi="Arial" w:cs="Arial"/>
          <w:sz w:val="22"/>
          <w:szCs w:val="22"/>
        </w:rPr>
        <w:t xml:space="preserve">, and care providers to </w:t>
      </w:r>
      <w:r w:rsidR="00C50189">
        <w:rPr>
          <w:rFonts w:ascii="Arial" w:eastAsia="Times New Roman" w:hAnsi="Arial" w:cs="Arial"/>
          <w:sz w:val="22"/>
          <w:szCs w:val="22"/>
        </w:rPr>
        <w:t>manage</w:t>
      </w:r>
      <w:r w:rsidRPr="0075328F">
        <w:rPr>
          <w:rFonts w:ascii="Arial" w:eastAsia="Times New Roman" w:hAnsi="Arial" w:cs="Arial"/>
          <w:sz w:val="22"/>
          <w:szCs w:val="22"/>
        </w:rPr>
        <w:t xml:space="preserve"> early discharge for patients (NHS UK, 2026). Nevertheless, partnership working has been undermined through delays in information exchange and staff shortages, which result in inadequate collaboration, causing negative patient service outcomes. It is evidenced that a lack of coordination increases delays in discharge from 10.1% to 11% in 2026 at the NHS (Health UK, 2026). Consequently, a lack of partnership working among MDTs results in patient dissatisfaction and an inability to arrange beds for emergency services. </w:t>
      </w:r>
    </w:p>
    <w:p w14:paraId="38A006CC" w14:textId="77777777" w:rsidR="002825CC" w:rsidRPr="0075328F" w:rsidRDefault="002825CC" w:rsidP="002825CC">
      <w:pPr>
        <w:rPr>
          <w:rFonts w:ascii="Arial" w:eastAsia="Times New Roman" w:hAnsi="Arial" w:cs="Arial"/>
          <w:b/>
          <w:bCs/>
          <w:sz w:val="22"/>
          <w:szCs w:val="22"/>
        </w:rPr>
      </w:pPr>
      <w:r w:rsidRPr="0075328F">
        <w:rPr>
          <w:rFonts w:ascii="Arial" w:eastAsia="Times New Roman" w:hAnsi="Arial" w:cs="Arial"/>
          <w:sz w:val="22"/>
          <w:szCs w:val="22"/>
        </w:rPr>
        <w:t xml:space="preserve">Although partnership working in a hospital setting promotes effective decision-making regarding person-centred care by ensuring early recognition of problems and resolve with responsive actions such as timely referrals. Therefore, partnership working requires interprofessional training to ensure consistency in person-centred care delivery with coordination. </w:t>
      </w:r>
    </w:p>
    <w:p w14:paraId="6E318305" w14:textId="77777777" w:rsidR="002825CC" w:rsidRPr="0075328F" w:rsidRDefault="002825CC" w:rsidP="0075328F">
      <w:pPr>
        <w:pStyle w:val="Heading1"/>
      </w:pPr>
      <w:bookmarkStart w:id="6" w:name="_Toc235286448"/>
      <w:r w:rsidRPr="0075328F">
        <w:t>f) Policy and legislation in relation to PCC and PW</w:t>
      </w:r>
      <w:bookmarkEnd w:id="6"/>
      <w:r w:rsidRPr="0075328F">
        <w:t xml:space="preserve"> </w:t>
      </w:r>
    </w:p>
    <w:p w14:paraId="7C7C3885" w14:textId="77777777"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 xml:space="preserve">Person-centred care and partnership working are strongly aligned within UK policies and legislation to shape the legal responsibilities of care professionals within the integrated healthcare system. The Health and Social Care Act 2022 establishes ICSs, informing NHS foundations, local authorities and social workers to collaborate in providing person-centred care (PCC), thereby reducing service delays (Service Gov UK, 2026). Lack of coordination between multidisciplinary care teams results in delays that indicate ineffective partnership working (PW). Additionally, the Health and Social Care Act 2012 made provisions for establishing clinical service commissioning to ensure shared accountability in the facilitation of MDTs to maintain care continuity (Legislation Gov UK, 2026). For instance, NHS’s ward rounds set the focal point of MDTs to manage care planning for emergency care after receiving feedback (NICE UK, 2026). Thus, coordination indicates the effectiveness of the Health and Social Care Act 2012 to optimise the delivery of PCC, aligning the efficiency of partnership working. </w:t>
      </w:r>
    </w:p>
    <w:p w14:paraId="44914120" w14:textId="7C0A1B1C" w:rsidR="002825CC" w:rsidRPr="0075328F" w:rsidRDefault="002825CC" w:rsidP="0075328F">
      <w:pPr>
        <w:rPr>
          <w:rFonts w:ascii="Arial" w:eastAsia="Times New Roman" w:hAnsi="Arial" w:cs="Arial"/>
          <w:sz w:val="22"/>
          <w:szCs w:val="22"/>
        </w:rPr>
      </w:pPr>
      <w:r w:rsidRPr="0075328F">
        <w:rPr>
          <w:rFonts w:ascii="Arial" w:eastAsia="Times New Roman" w:hAnsi="Arial" w:cs="Arial"/>
          <w:sz w:val="22"/>
          <w:szCs w:val="22"/>
        </w:rPr>
        <w:t xml:space="preserve">However, these pieces of legislation provided limited practical knowledge to resolve conflicts in hospital settings, which led to discrepancies in conducting partnership working, thereby affecting coordinated care for patients. The Care Act 2014 emphasises preventive and personalised care for individuals to ensure wellbeing (GOV UK, 2026). For instance, 21% of adults reported that they are satisfied with NHS services as they prevent abuse or neglect, thereby contributing to safeguarding and wellbeing through PCC (Campbell and Thomas, 2025). </w:t>
      </w:r>
      <w:r w:rsidR="00C50189">
        <w:rPr>
          <w:rFonts w:ascii="Arial" w:eastAsia="Times New Roman" w:hAnsi="Arial" w:cs="Arial"/>
          <w:sz w:val="22"/>
          <w:szCs w:val="22"/>
        </w:rPr>
        <w:t>Nevertheless</w:t>
      </w:r>
      <w:r w:rsidRPr="0075328F">
        <w:rPr>
          <w:rFonts w:ascii="Arial" w:eastAsia="Times New Roman" w:hAnsi="Arial" w:cs="Arial"/>
          <w:sz w:val="22"/>
          <w:szCs w:val="22"/>
        </w:rPr>
        <w:t xml:space="preserve">, </w:t>
      </w:r>
      <w:r w:rsidR="00C50189">
        <w:rPr>
          <w:rFonts w:ascii="Arial" w:eastAsia="Times New Roman" w:hAnsi="Arial" w:cs="Arial"/>
          <w:sz w:val="22"/>
          <w:szCs w:val="22"/>
        </w:rPr>
        <w:t xml:space="preserve">resource constraints </w:t>
      </w:r>
      <w:r w:rsidRPr="0075328F">
        <w:rPr>
          <w:rFonts w:ascii="Arial" w:eastAsia="Times New Roman" w:hAnsi="Arial" w:cs="Arial"/>
          <w:sz w:val="22"/>
          <w:szCs w:val="22"/>
        </w:rPr>
        <w:t xml:space="preserve">and </w:t>
      </w:r>
      <w:r w:rsidR="00C50189">
        <w:rPr>
          <w:rFonts w:ascii="Arial" w:eastAsia="Times New Roman" w:hAnsi="Arial" w:cs="Arial"/>
          <w:sz w:val="22"/>
          <w:szCs w:val="22"/>
        </w:rPr>
        <w:t xml:space="preserve">limited social care service facilities </w:t>
      </w:r>
      <w:r w:rsidRPr="0075328F">
        <w:rPr>
          <w:rFonts w:ascii="Arial" w:eastAsia="Times New Roman" w:hAnsi="Arial" w:cs="Arial"/>
          <w:sz w:val="22"/>
          <w:szCs w:val="22"/>
        </w:rPr>
        <w:t xml:space="preserve">hinder the effectiveness of the Care Act 2014, </w:t>
      </w:r>
      <w:r w:rsidR="00C50189">
        <w:rPr>
          <w:rFonts w:ascii="Arial" w:eastAsia="Times New Roman" w:hAnsi="Arial" w:cs="Arial"/>
          <w:sz w:val="22"/>
          <w:szCs w:val="22"/>
        </w:rPr>
        <w:t xml:space="preserve">that result </w:t>
      </w:r>
      <w:r w:rsidRPr="0075328F">
        <w:rPr>
          <w:rFonts w:ascii="Arial" w:eastAsia="Times New Roman" w:hAnsi="Arial" w:cs="Arial"/>
          <w:sz w:val="22"/>
          <w:szCs w:val="22"/>
        </w:rPr>
        <w:t xml:space="preserve">delays in </w:t>
      </w:r>
      <w:r w:rsidR="00C50189">
        <w:rPr>
          <w:rFonts w:ascii="Arial" w:eastAsia="Times New Roman" w:hAnsi="Arial" w:cs="Arial"/>
          <w:sz w:val="22"/>
          <w:szCs w:val="22"/>
        </w:rPr>
        <w:t xml:space="preserve">providing </w:t>
      </w:r>
      <w:r w:rsidRPr="0075328F">
        <w:rPr>
          <w:rFonts w:ascii="Arial" w:eastAsia="Times New Roman" w:hAnsi="Arial" w:cs="Arial"/>
          <w:sz w:val="22"/>
          <w:szCs w:val="22"/>
        </w:rPr>
        <w:t xml:space="preserve">PCC while reducing partnership working (PW) efficiency. For example, a lack of cooperation from social care services results in prolonged hospital stays at the NHS, which imposes challenges in managing care continuity with PCC (NHS UK, 2026). </w:t>
      </w:r>
    </w:p>
    <w:p w14:paraId="137C3761" w14:textId="548EBC17" w:rsidR="002825CC" w:rsidRPr="0075328F" w:rsidRDefault="002825CC" w:rsidP="0075328F">
      <w:pPr>
        <w:pStyle w:val="NormalWeb"/>
        <w:spacing w:before="0" w:beforeAutospacing="0" w:after="0" w:afterAutospacing="0" w:line="360" w:lineRule="auto"/>
        <w:jc w:val="both"/>
        <w:rPr>
          <w:rFonts w:ascii="Arial" w:hAnsi="Arial" w:cs="Arial"/>
          <w:sz w:val="22"/>
          <w:szCs w:val="22"/>
          <w:lang w:val="en-GB"/>
        </w:rPr>
      </w:pPr>
      <w:r w:rsidRPr="0075328F">
        <w:rPr>
          <w:rFonts w:ascii="Arial" w:hAnsi="Arial" w:cs="Arial"/>
          <w:sz w:val="22"/>
          <w:szCs w:val="22"/>
          <w:lang w:val="en-GB"/>
        </w:rPr>
        <w:t>The Equality Act 2010 and Human Rights Act 1998 symbolise that patient care should be aligned with dignity and equality over discrimination (GOV UK, 2026; Legislation Gov UK, 2026). UK hospitals enable equal access for patients regardless of socio-cultural backgrounds or disabilities. Nevertheless, the lack of focus on protecting human rights also evidenced that 18% of disabled people from ethnic minorities experienced discrimination by NHS staff (Engage Britain, 2026). Critically,</w:t>
      </w:r>
      <w:r w:rsidR="00C50189">
        <w:rPr>
          <w:rFonts w:ascii="Arial" w:hAnsi="Arial" w:cs="Arial"/>
          <w:sz w:val="22"/>
          <w:szCs w:val="22"/>
          <w:lang w:val="en-GB"/>
        </w:rPr>
        <w:t xml:space="preserve"> lack of fulfilment to address </w:t>
      </w:r>
      <w:r w:rsidRPr="0075328F">
        <w:rPr>
          <w:rFonts w:ascii="Arial" w:hAnsi="Arial" w:cs="Arial"/>
          <w:sz w:val="22"/>
          <w:szCs w:val="22"/>
          <w:lang w:val="en-GB"/>
        </w:rPr>
        <w:t xml:space="preserve">Equality Act 2010 </w:t>
      </w:r>
      <w:r w:rsidR="00C50189">
        <w:rPr>
          <w:rFonts w:ascii="Arial" w:hAnsi="Arial" w:cs="Arial"/>
          <w:sz w:val="22"/>
          <w:szCs w:val="22"/>
          <w:lang w:val="en-GB"/>
        </w:rPr>
        <w:t xml:space="preserve">and </w:t>
      </w:r>
      <w:r w:rsidR="00C50189" w:rsidRPr="0075328F">
        <w:rPr>
          <w:rFonts w:ascii="Arial" w:hAnsi="Arial" w:cs="Arial"/>
          <w:sz w:val="22"/>
          <w:szCs w:val="22"/>
          <w:lang w:val="en-GB"/>
        </w:rPr>
        <w:t xml:space="preserve">Human Rights Act 1998 </w:t>
      </w:r>
      <w:r w:rsidRPr="0075328F">
        <w:rPr>
          <w:rFonts w:ascii="Arial" w:hAnsi="Arial" w:cs="Arial"/>
          <w:sz w:val="22"/>
          <w:szCs w:val="22"/>
          <w:lang w:val="en-GB"/>
        </w:rPr>
        <w:t>impose</w:t>
      </w:r>
      <w:r w:rsidR="00C50189">
        <w:rPr>
          <w:rFonts w:ascii="Arial" w:hAnsi="Arial" w:cs="Arial"/>
          <w:sz w:val="22"/>
          <w:szCs w:val="22"/>
          <w:lang w:val="en-GB"/>
        </w:rPr>
        <w:t>s burden of lawsuits</w:t>
      </w:r>
      <w:r w:rsidRPr="0075328F">
        <w:rPr>
          <w:rFonts w:ascii="Arial" w:hAnsi="Arial" w:cs="Arial"/>
          <w:sz w:val="22"/>
          <w:szCs w:val="22"/>
          <w:lang w:val="en-GB"/>
        </w:rPr>
        <w:t xml:space="preserve">, while hospital settings are </w:t>
      </w:r>
      <w:r w:rsidR="00C50189">
        <w:rPr>
          <w:rFonts w:ascii="Arial" w:hAnsi="Arial" w:cs="Arial"/>
          <w:sz w:val="22"/>
          <w:szCs w:val="22"/>
          <w:lang w:val="en-GB"/>
        </w:rPr>
        <w:t>concerned</w:t>
      </w:r>
      <w:r w:rsidRPr="0075328F">
        <w:rPr>
          <w:rFonts w:ascii="Arial" w:hAnsi="Arial" w:cs="Arial"/>
          <w:sz w:val="22"/>
          <w:szCs w:val="22"/>
          <w:lang w:val="en-GB"/>
        </w:rPr>
        <w:t xml:space="preserve"> to follow the </w:t>
      </w:r>
      <w:r w:rsidR="00C50189">
        <w:rPr>
          <w:rFonts w:ascii="Arial" w:hAnsi="Arial" w:cs="Arial"/>
          <w:sz w:val="22"/>
          <w:szCs w:val="22"/>
          <w:lang w:val="en-GB"/>
        </w:rPr>
        <w:t xml:space="preserve">policies and legislation </w:t>
      </w:r>
      <w:r w:rsidRPr="0075328F">
        <w:rPr>
          <w:rFonts w:ascii="Arial" w:hAnsi="Arial" w:cs="Arial"/>
          <w:sz w:val="22"/>
          <w:szCs w:val="22"/>
          <w:lang w:val="en-GB"/>
        </w:rPr>
        <w:t xml:space="preserve">to </w:t>
      </w:r>
      <w:r w:rsidR="00C50189">
        <w:rPr>
          <w:rFonts w:ascii="Arial" w:hAnsi="Arial" w:cs="Arial"/>
          <w:sz w:val="22"/>
          <w:szCs w:val="22"/>
          <w:lang w:val="en-GB"/>
        </w:rPr>
        <w:t xml:space="preserve">provide </w:t>
      </w:r>
      <w:r w:rsidRPr="0075328F">
        <w:rPr>
          <w:rFonts w:ascii="Arial" w:hAnsi="Arial" w:cs="Arial"/>
          <w:sz w:val="22"/>
          <w:szCs w:val="22"/>
          <w:lang w:val="en-GB"/>
        </w:rPr>
        <w:t>high-quality PCC and PW. Therefore, robust integration of legislative practices can optimise care planning evaluation bridging the gaps between clinical practice and care needs of patients.</w:t>
      </w:r>
    </w:p>
    <w:p w14:paraId="1F65340B" w14:textId="77777777" w:rsidR="002825CC" w:rsidRPr="0075328F" w:rsidRDefault="002825CC" w:rsidP="00022D9B">
      <w:pPr>
        <w:pStyle w:val="Heading1"/>
      </w:pPr>
      <w:bookmarkStart w:id="7" w:name="_Toc235286449"/>
      <w:r w:rsidRPr="0075328F">
        <w:t>g) Recommendations</w:t>
      </w:r>
      <w:bookmarkEnd w:id="7"/>
      <w:r w:rsidRPr="0075328F">
        <w:t xml:space="preserve"> </w:t>
      </w:r>
    </w:p>
    <w:p w14:paraId="088A5F7E" w14:textId="77777777" w:rsidR="002825CC" w:rsidRPr="0075328F" w:rsidRDefault="002825CC" w:rsidP="002825CC">
      <w:pPr>
        <w:rPr>
          <w:rFonts w:ascii="Arial" w:eastAsia="Times New Roman" w:hAnsi="Arial" w:cs="Arial"/>
          <w:b/>
          <w:bCs/>
          <w:sz w:val="22"/>
          <w:szCs w:val="22"/>
        </w:rPr>
      </w:pPr>
      <w:r w:rsidRPr="0075328F">
        <w:rPr>
          <w:rFonts w:ascii="Arial" w:eastAsia="Times New Roman" w:hAnsi="Arial" w:cs="Arial"/>
          <w:b/>
          <w:bCs/>
          <w:sz w:val="22"/>
          <w:szCs w:val="22"/>
        </w:rPr>
        <w:t>Recommendation for PCC: Integration of Structured Patient Narrative Care Planning (SPNCP) system</w:t>
      </w:r>
    </w:p>
    <w:p w14:paraId="3F7E21EA" w14:textId="09D85548"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 xml:space="preserve">UK hospitals need to be focused on the integration of the SPNCP system to address the limitations in managing the unique needs related to ethnic minorities or different cultural backgrounds of patients. For example, Sweden’s PHC model is attributed to recognising connecting nature social, mental and physical health of individuals for developing treatment plans (WHO, 2026). </w:t>
      </w:r>
      <w:r w:rsidR="00C50189">
        <w:rPr>
          <w:rFonts w:ascii="Arial" w:eastAsia="Times New Roman" w:hAnsi="Arial" w:cs="Arial"/>
          <w:sz w:val="22"/>
          <w:szCs w:val="22"/>
        </w:rPr>
        <w:t>H</w:t>
      </w:r>
      <w:r w:rsidRPr="0075328F">
        <w:rPr>
          <w:rFonts w:ascii="Arial" w:eastAsia="Times New Roman" w:hAnsi="Arial" w:cs="Arial"/>
          <w:sz w:val="22"/>
          <w:szCs w:val="22"/>
        </w:rPr>
        <w:t>ospital</w:t>
      </w:r>
      <w:r w:rsidR="00C50189">
        <w:rPr>
          <w:rFonts w:ascii="Arial" w:eastAsia="Times New Roman" w:hAnsi="Arial" w:cs="Arial"/>
          <w:sz w:val="22"/>
          <w:szCs w:val="22"/>
        </w:rPr>
        <w:t xml:space="preserve"> settings in UK</w:t>
      </w:r>
      <w:r w:rsidRPr="0075328F">
        <w:rPr>
          <w:rFonts w:ascii="Arial" w:eastAsia="Times New Roman" w:hAnsi="Arial" w:cs="Arial"/>
          <w:sz w:val="22"/>
          <w:szCs w:val="22"/>
        </w:rPr>
        <w:t xml:space="preserve"> can i</w:t>
      </w:r>
      <w:r w:rsidR="00C50189">
        <w:rPr>
          <w:rFonts w:ascii="Arial" w:eastAsia="Times New Roman" w:hAnsi="Arial" w:cs="Arial"/>
          <w:sz w:val="22"/>
          <w:szCs w:val="22"/>
        </w:rPr>
        <w:t>nvest for</w:t>
      </w:r>
      <w:r w:rsidRPr="0075328F">
        <w:rPr>
          <w:rFonts w:ascii="Arial" w:eastAsia="Times New Roman" w:hAnsi="Arial" w:cs="Arial"/>
          <w:sz w:val="22"/>
          <w:szCs w:val="22"/>
        </w:rPr>
        <w:t xml:space="preserve"> </w:t>
      </w:r>
      <w:r w:rsidR="00C50189">
        <w:rPr>
          <w:rFonts w:ascii="Arial" w:eastAsia="Times New Roman" w:hAnsi="Arial" w:cs="Arial"/>
          <w:sz w:val="22"/>
          <w:szCs w:val="22"/>
        </w:rPr>
        <w:t xml:space="preserve">integrating </w:t>
      </w:r>
      <w:r w:rsidRPr="0075328F">
        <w:rPr>
          <w:rFonts w:ascii="Arial" w:eastAsia="Times New Roman" w:hAnsi="Arial" w:cs="Arial"/>
          <w:sz w:val="22"/>
          <w:szCs w:val="22"/>
        </w:rPr>
        <w:t xml:space="preserve">SPNCP system by </w:t>
      </w:r>
      <w:r w:rsidR="00C50189">
        <w:rPr>
          <w:rFonts w:ascii="Arial" w:eastAsia="Times New Roman" w:hAnsi="Arial" w:cs="Arial"/>
          <w:sz w:val="22"/>
          <w:szCs w:val="22"/>
        </w:rPr>
        <w:t xml:space="preserve">designing </w:t>
      </w:r>
      <w:r w:rsidRPr="0075328F">
        <w:rPr>
          <w:rFonts w:ascii="Arial" w:eastAsia="Times New Roman" w:hAnsi="Arial" w:cs="Arial"/>
          <w:sz w:val="22"/>
          <w:szCs w:val="22"/>
        </w:rPr>
        <w:t xml:space="preserve">patient narrative </w:t>
      </w:r>
      <w:r w:rsidR="00290442">
        <w:rPr>
          <w:rFonts w:ascii="Arial" w:eastAsia="Times New Roman" w:hAnsi="Arial" w:cs="Arial"/>
          <w:sz w:val="22"/>
          <w:szCs w:val="22"/>
        </w:rPr>
        <w:t>formats</w:t>
      </w:r>
      <w:r w:rsidRPr="0075328F">
        <w:rPr>
          <w:rFonts w:ascii="Arial" w:eastAsia="Times New Roman" w:hAnsi="Arial" w:cs="Arial"/>
          <w:sz w:val="22"/>
          <w:szCs w:val="22"/>
        </w:rPr>
        <w:t xml:space="preserve"> to record the patients</w:t>
      </w:r>
      <w:r w:rsidR="00290442">
        <w:rPr>
          <w:rFonts w:ascii="Arial" w:eastAsia="Times New Roman" w:hAnsi="Arial" w:cs="Arial"/>
          <w:sz w:val="22"/>
          <w:szCs w:val="22"/>
        </w:rPr>
        <w:t>’ history</w:t>
      </w:r>
      <w:r w:rsidRPr="0075328F">
        <w:rPr>
          <w:rFonts w:ascii="Arial" w:eastAsia="Times New Roman" w:hAnsi="Arial" w:cs="Arial"/>
          <w:sz w:val="22"/>
          <w:szCs w:val="22"/>
        </w:rPr>
        <w:t xml:space="preserve">, aligning with the principle of shared decision-making. </w:t>
      </w:r>
      <w:r w:rsidR="00290442">
        <w:rPr>
          <w:rFonts w:ascii="Arial" w:eastAsia="Times New Roman" w:hAnsi="Arial" w:cs="Arial"/>
          <w:sz w:val="22"/>
          <w:szCs w:val="22"/>
        </w:rPr>
        <w:t>Nevertheless</w:t>
      </w:r>
      <w:r w:rsidRPr="0075328F">
        <w:rPr>
          <w:rFonts w:ascii="Arial" w:eastAsia="Times New Roman" w:hAnsi="Arial" w:cs="Arial"/>
          <w:sz w:val="22"/>
          <w:szCs w:val="22"/>
        </w:rPr>
        <w:t xml:space="preserve">, the time-consuming process for </w:t>
      </w:r>
      <w:r w:rsidR="00290442">
        <w:rPr>
          <w:rFonts w:ascii="Arial" w:eastAsia="Times New Roman" w:hAnsi="Arial" w:cs="Arial"/>
          <w:sz w:val="22"/>
          <w:szCs w:val="22"/>
        </w:rPr>
        <w:t>record-keeping</w:t>
      </w:r>
      <w:r w:rsidRPr="0075328F">
        <w:rPr>
          <w:rFonts w:ascii="Arial" w:eastAsia="Times New Roman" w:hAnsi="Arial" w:cs="Arial"/>
          <w:sz w:val="22"/>
          <w:szCs w:val="22"/>
        </w:rPr>
        <w:t xml:space="preserve"> and the longer consultation </w:t>
      </w:r>
      <w:r w:rsidR="00290442">
        <w:rPr>
          <w:rFonts w:ascii="Arial" w:eastAsia="Times New Roman" w:hAnsi="Arial" w:cs="Arial"/>
          <w:sz w:val="22"/>
          <w:szCs w:val="22"/>
        </w:rPr>
        <w:t>time</w:t>
      </w:r>
      <w:r w:rsidRPr="0075328F">
        <w:rPr>
          <w:rFonts w:ascii="Arial" w:eastAsia="Times New Roman" w:hAnsi="Arial" w:cs="Arial"/>
          <w:sz w:val="22"/>
          <w:szCs w:val="22"/>
        </w:rPr>
        <w:t xml:space="preserve"> may </w:t>
      </w:r>
      <w:r w:rsidR="00290442">
        <w:rPr>
          <w:rFonts w:ascii="Arial" w:eastAsia="Times New Roman" w:hAnsi="Arial" w:cs="Arial"/>
          <w:sz w:val="22"/>
          <w:szCs w:val="22"/>
        </w:rPr>
        <w:t>induce</w:t>
      </w:r>
      <w:r w:rsidRPr="0075328F">
        <w:rPr>
          <w:rFonts w:ascii="Arial" w:eastAsia="Times New Roman" w:hAnsi="Arial" w:cs="Arial"/>
          <w:sz w:val="22"/>
          <w:szCs w:val="22"/>
        </w:rPr>
        <w:t xml:space="preserve"> efficiency of implementation. Therefore, </w:t>
      </w:r>
      <w:r w:rsidR="00290442">
        <w:rPr>
          <w:rFonts w:ascii="Arial" w:eastAsia="Times New Roman" w:hAnsi="Arial" w:cs="Arial"/>
          <w:sz w:val="22"/>
          <w:szCs w:val="22"/>
        </w:rPr>
        <w:t xml:space="preserve">adequacy in </w:t>
      </w:r>
      <w:r w:rsidRPr="0075328F">
        <w:rPr>
          <w:rFonts w:ascii="Arial" w:eastAsia="Times New Roman" w:hAnsi="Arial" w:cs="Arial"/>
          <w:sz w:val="22"/>
          <w:szCs w:val="22"/>
        </w:rPr>
        <w:t xml:space="preserve">staff training and digital record-keeping would be more </w:t>
      </w:r>
      <w:r w:rsidR="00290442">
        <w:rPr>
          <w:rFonts w:ascii="Arial" w:eastAsia="Times New Roman" w:hAnsi="Arial" w:cs="Arial"/>
          <w:sz w:val="22"/>
          <w:szCs w:val="22"/>
        </w:rPr>
        <w:t>insightful</w:t>
      </w:r>
      <w:r w:rsidRPr="0075328F">
        <w:rPr>
          <w:rFonts w:ascii="Arial" w:eastAsia="Times New Roman" w:hAnsi="Arial" w:cs="Arial"/>
          <w:sz w:val="22"/>
          <w:szCs w:val="22"/>
        </w:rPr>
        <w:t xml:space="preserve"> for UK hospitals in improving PCC.</w:t>
      </w:r>
    </w:p>
    <w:p w14:paraId="64E7F03D" w14:textId="2BA84F91" w:rsidR="002825CC" w:rsidRPr="0075328F" w:rsidRDefault="002825CC" w:rsidP="002825CC">
      <w:pPr>
        <w:rPr>
          <w:rFonts w:ascii="Arial" w:eastAsia="Times New Roman" w:hAnsi="Arial" w:cs="Arial"/>
          <w:b/>
          <w:bCs/>
          <w:sz w:val="22"/>
          <w:szCs w:val="22"/>
        </w:rPr>
      </w:pPr>
      <w:r w:rsidRPr="0075328F">
        <w:rPr>
          <w:rFonts w:ascii="Arial" w:eastAsia="Times New Roman" w:hAnsi="Arial" w:cs="Arial"/>
          <w:b/>
          <w:bCs/>
          <w:sz w:val="22"/>
          <w:szCs w:val="22"/>
        </w:rPr>
        <w:t xml:space="preserve">Recommendation for PW: </w:t>
      </w:r>
      <w:r w:rsidR="00290442">
        <w:rPr>
          <w:rFonts w:ascii="Arial" w:eastAsia="Times New Roman" w:hAnsi="Arial" w:cs="Arial"/>
          <w:b/>
          <w:bCs/>
          <w:sz w:val="22"/>
          <w:szCs w:val="22"/>
        </w:rPr>
        <w:t>Government-authorised</w:t>
      </w:r>
      <w:r w:rsidRPr="0075328F">
        <w:rPr>
          <w:rFonts w:ascii="Arial" w:eastAsia="Times New Roman" w:hAnsi="Arial" w:cs="Arial"/>
          <w:b/>
          <w:bCs/>
          <w:sz w:val="22"/>
          <w:szCs w:val="22"/>
        </w:rPr>
        <w:t xml:space="preserve"> Interoperable Digital Health Record alignment within PW Model</w:t>
      </w:r>
    </w:p>
    <w:p w14:paraId="30F83305" w14:textId="3C8692C3"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 xml:space="preserve">UK hospitals </w:t>
      </w:r>
      <w:r w:rsidR="00290442">
        <w:rPr>
          <w:rFonts w:ascii="Arial" w:eastAsia="Times New Roman" w:hAnsi="Arial" w:cs="Arial"/>
          <w:sz w:val="22"/>
          <w:szCs w:val="22"/>
        </w:rPr>
        <w:t>should integrate</w:t>
      </w:r>
      <w:r w:rsidRPr="0075328F">
        <w:rPr>
          <w:rFonts w:ascii="Arial" w:eastAsia="Times New Roman" w:hAnsi="Arial" w:cs="Arial"/>
          <w:sz w:val="22"/>
          <w:szCs w:val="22"/>
        </w:rPr>
        <w:t xml:space="preserve"> </w:t>
      </w:r>
      <w:r w:rsidR="00290442">
        <w:rPr>
          <w:rFonts w:ascii="Arial" w:eastAsia="Times New Roman" w:hAnsi="Arial" w:cs="Arial"/>
          <w:sz w:val="22"/>
          <w:szCs w:val="22"/>
        </w:rPr>
        <w:t>government-authorised i</w:t>
      </w:r>
      <w:r w:rsidRPr="0075328F">
        <w:rPr>
          <w:rFonts w:ascii="Arial" w:eastAsia="Times New Roman" w:hAnsi="Arial" w:cs="Arial"/>
          <w:sz w:val="22"/>
          <w:szCs w:val="22"/>
        </w:rPr>
        <w:t>nteroperable digital health records within the PW model to address the gap in maintaining patient records for multidisciplinary care planning. For instance, Sundhed Platform facilitates electronic health records at the national level</w:t>
      </w:r>
      <w:r w:rsidR="00290442">
        <w:rPr>
          <w:rFonts w:ascii="Arial" w:eastAsia="Times New Roman" w:hAnsi="Arial" w:cs="Arial"/>
          <w:sz w:val="22"/>
          <w:szCs w:val="22"/>
        </w:rPr>
        <w:t xml:space="preserve"> </w:t>
      </w:r>
      <w:r w:rsidR="00290442" w:rsidRPr="0075328F">
        <w:rPr>
          <w:rFonts w:ascii="Arial" w:eastAsia="Times New Roman" w:hAnsi="Arial" w:cs="Arial"/>
          <w:sz w:val="22"/>
          <w:szCs w:val="22"/>
        </w:rPr>
        <w:t>in Denmark,</w:t>
      </w:r>
      <w:r w:rsidR="00290442">
        <w:rPr>
          <w:rFonts w:ascii="Arial" w:eastAsia="Times New Roman" w:hAnsi="Arial" w:cs="Arial"/>
          <w:sz w:val="22"/>
          <w:szCs w:val="22"/>
        </w:rPr>
        <w:t xml:space="preserve"> </w:t>
      </w:r>
      <w:r w:rsidRPr="0075328F">
        <w:rPr>
          <w:rFonts w:ascii="Arial" w:eastAsia="Times New Roman" w:hAnsi="Arial" w:cs="Arial"/>
          <w:sz w:val="22"/>
          <w:szCs w:val="22"/>
        </w:rPr>
        <w:t xml:space="preserve">which </w:t>
      </w:r>
      <w:r w:rsidR="00290442">
        <w:rPr>
          <w:rFonts w:ascii="Arial" w:eastAsia="Times New Roman" w:hAnsi="Arial" w:cs="Arial"/>
          <w:sz w:val="22"/>
          <w:szCs w:val="22"/>
        </w:rPr>
        <w:t>ensures</w:t>
      </w:r>
      <w:r w:rsidRPr="0075328F">
        <w:rPr>
          <w:rFonts w:ascii="Arial" w:eastAsia="Times New Roman" w:hAnsi="Arial" w:cs="Arial"/>
          <w:sz w:val="22"/>
          <w:szCs w:val="22"/>
        </w:rPr>
        <w:t xml:space="preserve"> real-time data </w:t>
      </w:r>
      <w:r w:rsidR="00290442">
        <w:rPr>
          <w:rFonts w:ascii="Arial" w:eastAsia="Times New Roman" w:hAnsi="Arial" w:cs="Arial"/>
          <w:sz w:val="22"/>
          <w:szCs w:val="22"/>
        </w:rPr>
        <w:t xml:space="preserve">sharing </w:t>
      </w:r>
      <w:r w:rsidRPr="0075328F">
        <w:rPr>
          <w:rFonts w:ascii="Arial" w:eastAsia="Times New Roman" w:hAnsi="Arial" w:cs="Arial"/>
          <w:sz w:val="22"/>
          <w:szCs w:val="22"/>
        </w:rPr>
        <w:t xml:space="preserve">with hospitals (Sundhed DK, 2026). UK hospital authorities must collaborate with the government and standardise digital interoperable recordkeeping platforms to promote collaboration among the MDTs. However, high initial investment requirements and cybersecurity risks may affect the implementation of a digital recordkeeping system. Therefore, strong collaboration with the government may secure investment for aligning the national interoperable record-keeping system to address resistance. </w:t>
      </w:r>
    </w:p>
    <w:p w14:paraId="3CCA1F02" w14:textId="77777777" w:rsidR="002825CC" w:rsidRPr="0075328F" w:rsidRDefault="002825CC" w:rsidP="0075328F">
      <w:pPr>
        <w:pStyle w:val="Heading1"/>
      </w:pPr>
      <w:bookmarkStart w:id="8" w:name="_Toc235286450"/>
      <w:r w:rsidRPr="0075328F">
        <w:t>Conclusion</w:t>
      </w:r>
      <w:bookmarkEnd w:id="8"/>
    </w:p>
    <w:p w14:paraId="3114618D" w14:textId="77777777" w:rsidR="002825CC" w:rsidRPr="0075328F" w:rsidRDefault="002825CC" w:rsidP="002825CC">
      <w:pPr>
        <w:rPr>
          <w:rFonts w:ascii="Arial" w:eastAsia="Times New Roman" w:hAnsi="Arial" w:cs="Arial"/>
          <w:sz w:val="22"/>
          <w:szCs w:val="22"/>
        </w:rPr>
      </w:pPr>
      <w:r w:rsidRPr="0075328F">
        <w:rPr>
          <w:rFonts w:ascii="Arial" w:eastAsia="Times New Roman" w:hAnsi="Arial" w:cs="Arial"/>
          <w:sz w:val="22"/>
          <w:szCs w:val="22"/>
        </w:rPr>
        <w:t>Thus, person-centred care and partnership working have a wider contribution to shape health and social care systems to improve consistent care delivery while reducing the burden on the healthcare system. Therefore, developing a structured patient narrative care planning using digital records can help in strengthening PCC and PW in the UK hospitals to promote sustainable population well-being.</w:t>
      </w:r>
    </w:p>
    <w:p w14:paraId="75EF1F2F" w14:textId="77777777" w:rsidR="002825CC" w:rsidRPr="0075328F" w:rsidRDefault="002825CC" w:rsidP="002825CC">
      <w:pPr>
        <w:rPr>
          <w:rFonts w:ascii="Arial" w:eastAsia="Times New Roman" w:hAnsi="Arial" w:cs="Arial"/>
          <w:b/>
          <w:bCs/>
          <w:sz w:val="22"/>
          <w:szCs w:val="22"/>
        </w:rPr>
      </w:pPr>
      <w:r w:rsidRPr="0075328F">
        <w:rPr>
          <w:rFonts w:ascii="Arial" w:eastAsia="Times New Roman" w:hAnsi="Arial" w:cs="Arial"/>
          <w:b/>
          <w:bCs/>
          <w:sz w:val="22"/>
          <w:szCs w:val="22"/>
        </w:rPr>
        <w:br w:type="page"/>
      </w:r>
    </w:p>
    <w:p w14:paraId="718C3A6B" w14:textId="77777777" w:rsidR="002825CC" w:rsidRPr="0075328F" w:rsidRDefault="002825CC" w:rsidP="0075328F">
      <w:pPr>
        <w:pStyle w:val="Heading1"/>
      </w:pPr>
      <w:bookmarkStart w:id="9" w:name="_Toc235286451"/>
      <w:r w:rsidRPr="0075328F">
        <w:t>References</w:t>
      </w:r>
      <w:bookmarkEnd w:id="9"/>
    </w:p>
    <w:p w14:paraId="04C968B9"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222222"/>
          <w:sz w:val="22"/>
          <w:szCs w:val="22"/>
          <w:shd w:val="clear" w:color="auto" w:fill="FFFFFF"/>
          <w:lang w:val="en-GB"/>
        </w:rPr>
        <w:t xml:space="preserve">Buka, P. ed., (2024). </w:t>
      </w:r>
      <w:r w:rsidRPr="0075328F">
        <w:rPr>
          <w:rFonts w:ascii="Arial" w:hAnsi="Arial" w:cs="Arial"/>
          <w:i/>
          <w:iCs/>
          <w:color w:val="222222"/>
          <w:sz w:val="22"/>
          <w:szCs w:val="22"/>
          <w:shd w:val="clear" w:color="auto" w:fill="FFFFFF"/>
          <w:lang w:val="en-GB"/>
        </w:rPr>
        <w:t>Patient Safety in Clinical Practice: A Diverse Approach to Safe Healthcare for All</w:t>
      </w:r>
      <w:r w:rsidRPr="0075328F">
        <w:rPr>
          <w:rFonts w:ascii="Arial" w:hAnsi="Arial" w:cs="Arial"/>
          <w:color w:val="222222"/>
          <w:sz w:val="22"/>
          <w:szCs w:val="22"/>
          <w:shd w:val="clear" w:color="auto" w:fill="FFFFFF"/>
          <w:lang w:val="en-GB"/>
        </w:rPr>
        <w:t>. Taylor &amp; Francis.</w:t>
      </w:r>
      <w:r w:rsidRPr="0075328F">
        <w:rPr>
          <w:rFonts w:ascii="Arial" w:hAnsi="Arial" w:cs="Arial"/>
          <w:color w:val="000000"/>
          <w:sz w:val="22"/>
          <w:szCs w:val="22"/>
          <w:lang w:val="en-GB"/>
        </w:rPr>
        <w:t> </w:t>
      </w:r>
    </w:p>
    <w:p w14:paraId="3DC3326F"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Campbell, D. and Thomas, T. (2025) </w:t>
      </w:r>
      <w:r w:rsidRPr="0075328F">
        <w:rPr>
          <w:rFonts w:ascii="Arial" w:hAnsi="Arial" w:cs="Arial"/>
          <w:i/>
          <w:iCs/>
          <w:color w:val="000000"/>
          <w:sz w:val="22"/>
          <w:szCs w:val="22"/>
          <w:lang w:val="en-GB"/>
        </w:rPr>
        <w:t>Patient satisfaction with NHS has hit record low of 21%, survey finds | NHS | the guardian</w:t>
      </w:r>
      <w:r w:rsidRPr="0075328F">
        <w:rPr>
          <w:rFonts w:ascii="Arial" w:hAnsi="Arial" w:cs="Arial"/>
          <w:color w:val="000000"/>
          <w:sz w:val="22"/>
          <w:szCs w:val="22"/>
          <w:lang w:val="en-GB"/>
        </w:rPr>
        <w:t xml:space="preserve">. Available at: </w:t>
      </w:r>
      <w:hyperlink r:id="rId8" w:history="1">
        <w:r w:rsidRPr="0075328F">
          <w:rPr>
            <w:rStyle w:val="Hyperlink"/>
            <w:rFonts w:ascii="Arial" w:hAnsi="Arial" w:cs="Arial"/>
            <w:color w:val="1155CC"/>
            <w:sz w:val="22"/>
            <w:szCs w:val="22"/>
            <w:lang w:val="en-GB"/>
          </w:rPr>
          <w:t>https://www.theguardian.com/society/2025/apr/02/patient-satisfaction-with-nhs-has-hit-record-low-of-21-survey-finds</w:t>
        </w:r>
      </w:hyperlink>
      <w:r w:rsidRPr="0075328F">
        <w:rPr>
          <w:rFonts w:ascii="Arial" w:hAnsi="Arial" w:cs="Arial"/>
          <w:color w:val="000000"/>
          <w:sz w:val="22"/>
          <w:szCs w:val="22"/>
          <w:lang w:val="en-GB"/>
        </w:rPr>
        <w:t xml:space="preserve"> (Accessed: 13 July 2026).</w:t>
      </w:r>
    </w:p>
    <w:p w14:paraId="0472B321"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shd w:val="clear" w:color="auto" w:fill="FFFFFF"/>
          <w:lang w:val="en-GB"/>
        </w:rPr>
        <w:t xml:space="preserve">Cheraghi, R., Valizadeh, L., Zamanzadeh, V., Hassankhani, H. and Jafarzadeh, A., (2023) ‘Clarification of ethical principle of the beneficence in nursing care: an integrative review’. </w:t>
      </w:r>
      <w:r w:rsidRPr="0075328F">
        <w:rPr>
          <w:rFonts w:ascii="Arial" w:hAnsi="Arial" w:cs="Arial"/>
          <w:i/>
          <w:iCs/>
          <w:color w:val="000000"/>
          <w:sz w:val="22"/>
          <w:szCs w:val="22"/>
          <w:shd w:val="clear" w:color="auto" w:fill="FFFFFF"/>
          <w:lang w:val="en-GB"/>
        </w:rPr>
        <w:t>BMC nursing</w:t>
      </w:r>
      <w:r w:rsidRPr="0075328F">
        <w:rPr>
          <w:rFonts w:ascii="Arial" w:hAnsi="Arial" w:cs="Arial"/>
          <w:color w:val="000000"/>
          <w:sz w:val="22"/>
          <w:szCs w:val="22"/>
          <w:shd w:val="clear" w:color="auto" w:fill="FFFFFF"/>
          <w:lang w:val="en-GB"/>
        </w:rPr>
        <w:t xml:space="preserve">, </w:t>
      </w:r>
      <w:r w:rsidRPr="0075328F">
        <w:rPr>
          <w:rFonts w:ascii="Arial" w:hAnsi="Arial" w:cs="Arial"/>
          <w:i/>
          <w:iCs/>
          <w:color w:val="000000"/>
          <w:sz w:val="22"/>
          <w:szCs w:val="22"/>
          <w:shd w:val="clear" w:color="auto" w:fill="FFFFFF"/>
          <w:lang w:val="en-GB"/>
        </w:rPr>
        <w:t>22</w:t>
      </w:r>
      <w:r w:rsidRPr="0075328F">
        <w:rPr>
          <w:rFonts w:ascii="Arial" w:hAnsi="Arial" w:cs="Arial"/>
          <w:color w:val="000000"/>
          <w:sz w:val="22"/>
          <w:szCs w:val="22"/>
          <w:shd w:val="clear" w:color="auto" w:fill="FFFFFF"/>
          <w:lang w:val="en-GB"/>
        </w:rPr>
        <w:t>(1), p.89.</w:t>
      </w:r>
      <w:r w:rsidRPr="0075328F">
        <w:rPr>
          <w:rFonts w:ascii="Arial" w:hAnsi="Arial" w:cs="Arial"/>
          <w:color w:val="000000"/>
          <w:sz w:val="22"/>
          <w:szCs w:val="22"/>
          <w:lang w:val="en-GB"/>
        </w:rPr>
        <w:t xml:space="preserve"> </w:t>
      </w:r>
      <w:hyperlink r:id="rId9" w:history="1">
        <w:r w:rsidRPr="0075328F">
          <w:rPr>
            <w:rStyle w:val="Hyperlink"/>
            <w:rFonts w:ascii="Arial" w:hAnsi="Arial" w:cs="Arial"/>
            <w:color w:val="1155CC"/>
            <w:sz w:val="22"/>
            <w:szCs w:val="22"/>
            <w:lang w:val="en-GB"/>
          </w:rPr>
          <w:t>https://journals.sagepub.com/doi/pdf/10.1177/02692163221118230</w:t>
        </w:r>
      </w:hyperlink>
      <w:r w:rsidRPr="0075328F">
        <w:rPr>
          <w:rFonts w:ascii="Arial" w:hAnsi="Arial" w:cs="Arial"/>
          <w:color w:val="000000"/>
          <w:sz w:val="22"/>
          <w:szCs w:val="22"/>
          <w:lang w:val="en-GB"/>
        </w:rPr>
        <w:t> </w:t>
      </w:r>
    </w:p>
    <w:p w14:paraId="3F4EB48F" w14:textId="77777777" w:rsidR="0075328F" w:rsidRPr="0075328F" w:rsidRDefault="0075328F" w:rsidP="002825CC">
      <w:pPr>
        <w:pStyle w:val="NormalWeb"/>
        <w:spacing w:before="0" w:beforeAutospacing="0" w:after="0" w:afterAutospacing="0" w:line="360" w:lineRule="auto"/>
        <w:jc w:val="both"/>
        <w:rPr>
          <w:rFonts w:ascii="Arial" w:hAnsi="Arial" w:cs="Arial"/>
          <w:sz w:val="22"/>
          <w:szCs w:val="22"/>
          <w:lang w:val="en-GB"/>
        </w:rPr>
      </w:pPr>
      <w:r w:rsidRPr="0075328F">
        <w:rPr>
          <w:rFonts w:ascii="Arial" w:hAnsi="Arial" w:cs="Arial"/>
          <w:color w:val="000000"/>
          <w:sz w:val="22"/>
          <w:szCs w:val="22"/>
          <w:shd w:val="clear" w:color="auto" w:fill="FFFFFF"/>
          <w:lang w:val="en-GB"/>
        </w:rPr>
        <w:t xml:space="preserve">Couturier, Y., Lanoue, S., Karam, M., Guillette, M. and Hudon, C. (2023) ‘Social workers coordination in primary healthcare for patients with complex needs: A scoping review’. </w:t>
      </w:r>
      <w:r w:rsidRPr="0075328F">
        <w:rPr>
          <w:rFonts w:ascii="Arial" w:hAnsi="Arial" w:cs="Arial"/>
          <w:i/>
          <w:iCs/>
          <w:color w:val="000000"/>
          <w:sz w:val="22"/>
          <w:szCs w:val="22"/>
          <w:shd w:val="clear" w:color="auto" w:fill="FFFFFF"/>
          <w:lang w:val="en-GB"/>
        </w:rPr>
        <w:t>International Journal of Care Coordination</w:t>
      </w:r>
      <w:r w:rsidRPr="0075328F">
        <w:rPr>
          <w:rFonts w:ascii="Arial" w:hAnsi="Arial" w:cs="Arial"/>
          <w:color w:val="000000"/>
          <w:sz w:val="22"/>
          <w:szCs w:val="22"/>
          <w:shd w:val="clear" w:color="auto" w:fill="FFFFFF"/>
          <w:lang w:val="en-GB"/>
        </w:rPr>
        <w:t xml:space="preserve">, </w:t>
      </w:r>
      <w:r w:rsidRPr="0075328F">
        <w:rPr>
          <w:rFonts w:ascii="Arial" w:hAnsi="Arial" w:cs="Arial"/>
          <w:i/>
          <w:iCs/>
          <w:color w:val="000000"/>
          <w:sz w:val="22"/>
          <w:szCs w:val="22"/>
          <w:shd w:val="clear" w:color="auto" w:fill="FFFFFF"/>
          <w:lang w:val="en-GB"/>
        </w:rPr>
        <w:t>26</w:t>
      </w:r>
      <w:r w:rsidRPr="0075328F">
        <w:rPr>
          <w:rFonts w:ascii="Arial" w:hAnsi="Arial" w:cs="Arial"/>
          <w:color w:val="000000"/>
          <w:sz w:val="22"/>
          <w:szCs w:val="22"/>
          <w:shd w:val="clear" w:color="auto" w:fill="FFFFFF"/>
          <w:lang w:val="en-GB"/>
        </w:rPr>
        <w:t>(1), pp.5-25.</w:t>
      </w:r>
      <w:r w:rsidRPr="0075328F">
        <w:rPr>
          <w:rFonts w:ascii="Arial" w:hAnsi="Arial" w:cs="Arial"/>
          <w:color w:val="000000"/>
          <w:sz w:val="22"/>
          <w:szCs w:val="22"/>
          <w:lang w:val="en-GB"/>
        </w:rPr>
        <w:t xml:space="preserve"> </w:t>
      </w:r>
      <w:hyperlink r:id="rId10" w:history="1">
        <w:r w:rsidRPr="0075328F">
          <w:rPr>
            <w:rStyle w:val="Hyperlink"/>
            <w:rFonts w:ascii="Arial" w:hAnsi="Arial" w:cs="Arial"/>
            <w:color w:val="1155CC"/>
            <w:sz w:val="22"/>
            <w:szCs w:val="22"/>
            <w:lang w:val="en-GB"/>
          </w:rPr>
          <w:t>https://journals.sagepub.com/doi/pdf/10.1177/20534345221122952</w:t>
        </w:r>
      </w:hyperlink>
      <w:r w:rsidRPr="0075328F">
        <w:rPr>
          <w:rFonts w:ascii="Arial" w:hAnsi="Arial" w:cs="Arial"/>
          <w:color w:val="000000"/>
          <w:sz w:val="22"/>
          <w:szCs w:val="22"/>
          <w:lang w:val="en-GB"/>
        </w:rPr>
        <w:t> </w:t>
      </w:r>
    </w:p>
    <w:p w14:paraId="497194EF"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Engage Britain (2026) </w:t>
      </w:r>
      <w:r w:rsidRPr="0075328F">
        <w:rPr>
          <w:rFonts w:ascii="Arial" w:hAnsi="Arial" w:cs="Arial"/>
          <w:i/>
          <w:iCs/>
          <w:color w:val="000000"/>
          <w:sz w:val="22"/>
          <w:szCs w:val="22"/>
          <w:lang w:val="en-GB"/>
        </w:rPr>
        <w:t>Health &amp; Care Survey: Experiences of the NHS | engage Britain</w:t>
      </w:r>
      <w:r w:rsidRPr="0075328F">
        <w:rPr>
          <w:rFonts w:ascii="Arial" w:hAnsi="Arial" w:cs="Arial"/>
          <w:color w:val="000000"/>
          <w:sz w:val="22"/>
          <w:szCs w:val="22"/>
          <w:lang w:val="en-GB"/>
        </w:rPr>
        <w:t xml:space="preserve">. Available at: </w:t>
      </w:r>
      <w:hyperlink r:id="rId11" w:history="1">
        <w:r w:rsidRPr="0075328F">
          <w:rPr>
            <w:rStyle w:val="Hyperlink"/>
            <w:rFonts w:ascii="Arial" w:hAnsi="Arial" w:cs="Arial"/>
            <w:color w:val="1155CC"/>
            <w:sz w:val="22"/>
            <w:szCs w:val="22"/>
            <w:lang w:val="en-GB"/>
          </w:rPr>
          <w:t>https://engagebritain.org/health-care-survey-experiences-nhs/</w:t>
        </w:r>
      </w:hyperlink>
      <w:r w:rsidRPr="0075328F">
        <w:rPr>
          <w:rFonts w:ascii="Arial" w:hAnsi="Arial" w:cs="Arial"/>
          <w:color w:val="000000"/>
          <w:sz w:val="22"/>
          <w:szCs w:val="22"/>
          <w:lang w:val="en-GB"/>
        </w:rPr>
        <w:t xml:space="preserve"> (Accessed: 12 July 2026).</w:t>
      </w:r>
    </w:p>
    <w:p w14:paraId="256B7D80"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Gandhi, D.A. (2023) </w:t>
      </w:r>
      <w:r w:rsidRPr="0075328F">
        <w:rPr>
          <w:rFonts w:ascii="Arial" w:hAnsi="Arial" w:cs="Arial"/>
          <w:i/>
          <w:iCs/>
          <w:color w:val="000000"/>
          <w:sz w:val="22"/>
          <w:szCs w:val="22"/>
          <w:lang w:val="en-GB"/>
        </w:rPr>
        <w:t>The Indi Gregory Case: NHS Medical Ethics &amp; Hot topics</w:t>
      </w:r>
      <w:r w:rsidRPr="0075328F">
        <w:rPr>
          <w:rFonts w:ascii="Arial" w:hAnsi="Arial" w:cs="Arial"/>
          <w:color w:val="000000"/>
          <w:sz w:val="22"/>
          <w:szCs w:val="22"/>
          <w:lang w:val="en-GB"/>
        </w:rPr>
        <w:t xml:space="preserve">. Available at: </w:t>
      </w:r>
      <w:hyperlink r:id="rId12" w:history="1">
        <w:r w:rsidRPr="0075328F">
          <w:rPr>
            <w:rStyle w:val="Hyperlink"/>
            <w:rFonts w:ascii="Arial" w:hAnsi="Arial" w:cs="Arial"/>
            <w:color w:val="1155CC"/>
            <w:sz w:val="22"/>
            <w:szCs w:val="22"/>
            <w:lang w:val="en-GB"/>
          </w:rPr>
          <w:t>https://www.theukcatpeople.co.uk/post/indi-gregory-case-medical-ethics-nhs-decision-making-mmi-hot-topics</w:t>
        </w:r>
      </w:hyperlink>
      <w:r w:rsidRPr="0075328F">
        <w:rPr>
          <w:rFonts w:ascii="Arial" w:hAnsi="Arial" w:cs="Arial"/>
          <w:color w:val="000000"/>
          <w:sz w:val="22"/>
          <w:szCs w:val="22"/>
          <w:lang w:val="en-GB"/>
        </w:rPr>
        <w:t xml:space="preserve"> (Accessed: 14 July 2026).</w:t>
      </w:r>
    </w:p>
    <w:p w14:paraId="27BA67D3"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GOV UK (2026) </w:t>
      </w:r>
      <w:r w:rsidRPr="0075328F">
        <w:rPr>
          <w:rFonts w:ascii="Arial" w:hAnsi="Arial" w:cs="Arial"/>
          <w:i/>
          <w:iCs/>
          <w:color w:val="000000"/>
          <w:sz w:val="22"/>
          <w:szCs w:val="22"/>
          <w:lang w:val="en-GB"/>
        </w:rPr>
        <w:t>Care Act 2014</w:t>
      </w:r>
      <w:r w:rsidRPr="0075328F">
        <w:rPr>
          <w:rFonts w:ascii="Arial" w:hAnsi="Arial" w:cs="Arial"/>
          <w:color w:val="000000"/>
          <w:sz w:val="22"/>
          <w:szCs w:val="22"/>
          <w:lang w:val="en-GB"/>
        </w:rPr>
        <w:t xml:space="preserve">. Available at: </w:t>
      </w:r>
      <w:hyperlink r:id="rId13" w:history="1">
        <w:r w:rsidRPr="0075328F">
          <w:rPr>
            <w:rStyle w:val="Hyperlink"/>
            <w:rFonts w:ascii="Arial" w:hAnsi="Arial" w:cs="Arial"/>
            <w:color w:val="1155CC"/>
            <w:sz w:val="22"/>
            <w:szCs w:val="22"/>
            <w:lang w:val="en-GB"/>
          </w:rPr>
          <w:t>https://www.legislation.gov.uk/ukpga/2014/23/contents</w:t>
        </w:r>
      </w:hyperlink>
      <w:r w:rsidRPr="0075328F">
        <w:rPr>
          <w:rFonts w:ascii="Arial" w:hAnsi="Arial" w:cs="Arial"/>
          <w:color w:val="000000"/>
          <w:sz w:val="22"/>
          <w:szCs w:val="22"/>
          <w:lang w:val="en-GB"/>
        </w:rPr>
        <w:t xml:space="preserve"> (Accessed: 13 July 2026).</w:t>
      </w:r>
    </w:p>
    <w:p w14:paraId="352DD8B4"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GOV UK (2026) </w:t>
      </w:r>
      <w:r w:rsidRPr="0075328F">
        <w:rPr>
          <w:rFonts w:ascii="Arial" w:hAnsi="Arial" w:cs="Arial"/>
          <w:i/>
          <w:iCs/>
          <w:color w:val="000000"/>
          <w:sz w:val="22"/>
          <w:szCs w:val="22"/>
          <w:lang w:val="en-GB"/>
        </w:rPr>
        <w:t>Equality act 2010: Guidance - GOV.UK</w:t>
      </w:r>
      <w:r w:rsidRPr="0075328F">
        <w:rPr>
          <w:rFonts w:ascii="Arial" w:hAnsi="Arial" w:cs="Arial"/>
          <w:color w:val="000000"/>
          <w:sz w:val="22"/>
          <w:szCs w:val="22"/>
          <w:lang w:val="en-GB"/>
        </w:rPr>
        <w:t xml:space="preserve">. Available at: </w:t>
      </w:r>
      <w:hyperlink r:id="rId14" w:history="1">
        <w:r w:rsidRPr="0075328F">
          <w:rPr>
            <w:rStyle w:val="Hyperlink"/>
            <w:rFonts w:ascii="Arial" w:hAnsi="Arial" w:cs="Arial"/>
            <w:color w:val="1155CC"/>
            <w:sz w:val="22"/>
            <w:szCs w:val="22"/>
            <w:lang w:val="en-GB"/>
          </w:rPr>
          <w:t>https://www.gov.uk/guidance/equality-act-2010-guidance</w:t>
        </w:r>
      </w:hyperlink>
      <w:r w:rsidRPr="0075328F">
        <w:rPr>
          <w:rFonts w:ascii="Arial" w:hAnsi="Arial" w:cs="Arial"/>
          <w:color w:val="000000"/>
          <w:sz w:val="22"/>
          <w:szCs w:val="22"/>
          <w:lang w:val="en-GB"/>
        </w:rPr>
        <w:t xml:space="preserve"> (Accessed: 15 July 2026).</w:t>
      </w:r>
    </w:p>
    <w:p w14:paraId="3ADF3D12"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GOV UK (2026) </w:t>
      </w:r>
      <w:r w:rsidRPr="0075328F">
        <w:rPr>
          <w:rFonts w:ascii="Arial" w:hAnsi="Arial" w:cs="Arial"/>
          <w:i/>
          <w:iCs/>
          <w:color w:val="000000"/>
          <w:sz w:val="22"/>
          <w:szCs w:val="22"/>
          <w:lang w:val="en-GB"/>
        </w:rPr>
        <w:t>Review of patient safety across the health and Care Landscape - GOV.UK</w:t>
      </w:r>
      <w:r w:rsidRPr="0075328F">
        <w:rPr>
          <w:rFonts w:ascii="Arial" w:hAnsi="Arial" w:cs="Arial"/>
          <w:color w:val="000000"/>
          <w:sz w:val="22"/>
          <w:szCs w:val="22"/>
          <w:lang w:val="en-GB"/>
        </w:rPr>
        <w:t xml:space="preserve">. Available at: </w:t>
      </w:r>
      <w:hyperlink r:id="rId15" w:history="1">
        <w:r w:rsidRPr="0075328F">
          <w:rPr>
            <w:rStyle w:val="Hyperlink"/>
            <w:rFonts w:ascii="Arial" w:hAnsi="Arial" w:cs="Arial"/>
            <w:color w:val="1155CC"/>
            <w:sz w:val="22"/>
            <w:szCs w:val="22"/>
            <w:lang w:val="en-GB"/>
          </w:rPr>
          <w:t>https://www.gov.uk/government/publications/review-of-patient-safety-across-the-health-and-care-landscape/review-of-patient-safety-across-the-health-and-care-landscape</w:t>
        </w:r>
      </w:hyperlink>
      <w:r w:rsidRPr="0075328F">
        <w:rPr>
          <w:rFonts w:ascii="Arial" w:hAnsi="Arial" w:cs="Arial"/>
          <w:color w:val="000000"/>
          <w:sz w:val="22"/>
          <w:szCs w:val="22"/>
          <w:lang w:val="en-GB"/>
        </w:rPr>
        <w:t xml:space="preserve"> (Accessed: 13 July 2026).</w:t>
      </w:r>
    </w:p>
    <w:p w14:paraId="2136A08D"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Health UK (2026) </w:t>
      </w:r>
      <w:r w:rsidRPr="0075328F">
        <w:rPr>
          <w:rFonts w:ascii="Arial" w:hAnsi="Arial" w:cs="Arial"/>
          <w:i/>
          <w:iCs/>
          <w:color w:val="000000"/>
          <w:sz w:val="22"/>
          <w:szCs w:val="22"/>
          <w:lang w:val="en-GB"/>
        </w:rPr>
        <w:t>Delayed discharges from hospital: Comparing performance this year and last - The Health Foundation</w:t>
      </w:r>
      <w:r w:rsidRPr="0075328F">
        <w:rPr>
          <w:rFonts w:ascii="Arial" w:hAnsi="Arial" w:cs="Arial"/>
          <w:color w:val="000000"/>
          <w:sz w:val="22"/>
          <w:szCs w:val="22"/>
          <w:lang w:val="en-GB"/>
        </w:rPr>
        <w:t xml:space="preserve">. Available at: </w:t>
      </w:r>
      <w:hyperlink r:id="rId16" w:history="1">
        <w:r w:rsidRPr="0075328F">
          <w:rPr>
            <w:rStyle w:val="Hyperlink"/>
            <w:rFonts w:ascii="Arial" w:hAnsi="Arial" w:cs="Arial"/>
            <w:color w:val="1155CC"/>
            <w:sz w:val="22"/>
            <w:szCs w:val="22"/>
            <w:lang w:val="en-GB"/>
          </w:rPr>
          <w:t>https://www.health.org.uk/reports-and-analysis/analysis/delayed-discharges-from-hospital-comparing-performance</w:t>
        </w:r>
      </w:hyperlink>
      <w:r w:rsidRPr="0075328F">
        <w:rPr>
          <w:rFonts w:ascii="Arial" w:hAnsi="Arial" w:cs="Arial"/>
          <w:color w:val="000000"/>
          <w:sz w:val="22"/>
          <w:szCs w:val="22"/>
          <w:lang w:val="en-GB"/>
        </w:rPr>
        <w:t xml:space="preserve"> (Accessed: 13 July 2026).</w:t>
      </w:r>
    </w:p>
    <w:p w14:paraId="47B9FFDD"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Health UK (2026) </w:t>
      </w:r>
      <w:r w:rsidRPr="0075328F">
        <w:rPr>
          <w:rFonts w:ascii="Arial" w:hAnsi="Arial" w:cs="Arial"/>
          <w:i/>
          <w:iCs/>
          <w:color w:val="000000"/>
          <w:sz w:val="22"/>
          <w:szCs w:val="22"/>
          <w:lang w:val="en-GB"/>
        </w:rPr>
        <w:t>Progress – but is it enough? what the latest NHS waiting times mean for elective recovery - The Health Foundation</w:t>
      </w:r>
      <w:r w:rsidRPr="0075328F">
        <w:rPr>
          <w:rFonts w:ascii="Arial" w:hAnsi="Arial" w:cs="Arial"/>
          <w:color w:val="000000"/>
          <w:sz w:val="22"/>
          <w:szCs w:val="22"/>
          <w:lang w:val="en-GB"/>
        </w:rPr>
        <w:t xml:space="preserve">. Available at: </w:t>
      </w:r>
      <w:hyperlink r:id="rId17" w:history="1">
        <w:r w:rsidRPr="0075328F">
          <w:rPr>
            <w:rStyle w:val="Hyperlink"/>
            <w:rFonts w:ascii="Arial" w:hAnsi="Arial" w:cs="Arial"/>
            <w:color w:val="1155CC"/>
            <w:sz w:val="22"/>
            <w:szCs w:val="22"/>
            <w:lang w:val="en-GB"/>
          </w:rPr>
          <w:t>https://www.health.org.uk/reports-and-analysis/analysis/progress-but-is-it-enough-what-the-latest-nhs-waiting-times-mean-for</w:t>
        </w:r>
      </w:hyperlink>
      <w:r w:rsidRPr="0075328F">
        <w:rPr>
          <w:rFonts w:ascii="Arial" w:hAnsi="Arial" w:cs="Arial"/>
          <w:color w:val="000000"/>
          <w:sz w:val="22"/>
          <w:szCs w:val="22"/>
          <w:lang w:val="en-GB"/>
        </w:rPr>
        <w:t xml:space="preserve"> (Accessed: 14 July 2026).</w:t>
      </w:r>
    </w:p>
    <w:p w14:paraId="4599956E"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222222"/>
          <w:sz w:val="22"/>
          <w:szCs w:val="22"/>
          <w:shd w:val="clear" w:color="auto" w:fill="FFFFFF"/>
          <w:lang w:val="en-GB"/>
        </w:rPr>
        <w:t xml:space="preserve">Hjelm, M., Andersson, A., Ujkani, V. and Andersson, E.K., (2024) ‘Registered nurse case managers’ work experiences with a person-centered collaborative healthcare model: an interview study’. </w:t>
      </w:r>
      <w:r w:rsidRPr="0075328F">
        <w:rPr>
          <w:rFonts w:ascii="Arial" w:hAnsi="Arial" w:cs="Arial"/>
          <w:i/>
          <w:iCs/>
          <w:color w:val="222222"/>
          <w:sz w:val="22"/>
          <w:szCs w:val="22"/>
          <w:shd w:val="clear" w:color="auto" w:fill="FFFFFF"/>
          <w:lang w:val="en-GB"/>
        </w:rPr>
        <w:t>BMC Health Services Research</w:t>
      </w:r>
      <w:r w:rsidRPr="0075328F">
        <w:rPr>
          <w:rFonts w:ascii="Arial" w:hAnsi="Arial" w:cs="Arial"/>
          <w:color w:val="222222"/>
          <w:sz w:val="22"/>
          <w:szCs w:val="22"/>
          <w:shd w:val="clear" w:color="auto" w:fill="FFFFFF"/>
          <w:lang w:val="en-GB"/>
        </w:rPr>
        <w:t xml:space="preserve">, </w:t>
      </w:r>
      <w:r w:rsidRPr="0075328F">
        <w:rPr>
          <w:rFonts w:ascii="Arial" w:hAnsi="Arial" w:cs="Arial"/>
          <w:i/>
          <w:iCs/>
          <w:color w:val="222222"/>
          <w:sz w:val="22"/>
          <w:szCs w:val="22"/>
          <w:shd w:val="clear" w:color="auto" w:fill="FFFFFF"/>
          <w:lang w:val="en-GB"/>
        </w:rPr>
        <w:t>24</w:t>
      </w:r>
      <w:r w:rsidRPr="0075328F">
        <w:rPr>
          <w:rFonts w:ascii="Arial" w:hAnsi="Arial" w:cs="Arial"/>
          <w:color w:val="222222"/>
          <w:sz w:val="22"/>
          <w:szCs w:val="22"/>
          <w:shd w:val="clear" w:color="auto" w:fill="FFFFFF"/>
          <w:lang w:val="en-GB"/>
        </w:rPr>
        <w:t>(1), p.1108.</w:t>
      </w:r>
      <w:r w:rsidRPr="0075328F">
        <w:rPr>
          <w:rFonts w:ascii="Arial" w:hAnsi="Arial" w:cs="Arial"/>
          <w:color w:val="000000"/>
          <w:sz w:val="22"/>
          <w:szCs w:val="22"/>
          <w:lang w:val="en-GB"/>
        </w:rPr>
        <w:t xml:space="preserve"> </w:t>
      </w:r>
      <w:hyperlink r:id="rId18" w:history="1">
        <w:r w:rsidRPr="0075328F">
          <w:rPr>
            <w:rStyle w:val="Hyperlink"/>
            <w:rFonts w:ascii="Arial" w:hAnsi="Arial" w:cs="Arial"/>
            <w:color w:val="1155CC"/>
            <w:sz w:val="22"/>
            <w:szCs w:val="22"/>
            <w:lang w:val="en-GB"/>
          </w:rPr>
          <w:t>https://link.springer.com/content/pdf/10.1186/s12913-024-11500-3.pdf</w:t>
        </w:r>
      </w:hyperlink>
    </w:p>
    <w:p w14:paraId="30067620"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Legislation Gov UK (2026) </w:t>
      </w:r>
      <w:r w:rsidRPr="0075328F">
        <w:rPr>
          <w:rFonts w:ascii="Arial" w:hAnsi="Arial" w:cs="Arial"/>
          <w:i/>
          <w:iCs/>
          <w:color w:val="000000"/>
          <w:sz w:val="22"/>
          <w:szCs w:val="22"/>
          <w:lang w:val="en-GB"/>
        </w:rPr>
        <w:t>Health and Social Care Act 2012</w:t>
      </w:r>
      <w:r w:rsidRPr="0075328F">
        <w:rPr>
          <w:rFonts w:ascii="Arial" w:hAnsi="Arial" w:cs="Arial"/>
          <w:color w:val="000000"/>
          <w:sz w:val="22"/>
          <w:szCs w:val="22"/>
          <w:lang w:val="en-GB"/>
        </w:rPr>
        <w:t xml:space="preserve">. Available at: </w:t>
      </w:r>
      <w:hyperlink r:id="rId19" w:history="1">
        <w:r w:rsidRPr="0075328F">
          <w:rPr>
            <w:rStyle w:val="Hyperlink"/>
            <w:rFonts w:ascii="Arial" w:hAnsi="Arial" w:cs="Arial"/>
            <w:color w:val="1155CC"/>
            <w:sz w:val="22"/>
            <w:szCs w:val="22"/>
            <w:lang w:val="en-GB"/>
          </w:rPr>
          <w:t>https://www.legislation.gov.uk/ukpga/2012/7/contents</w:t>
        </w:r>
      </w:hyperlink>
      <w:r w:rsidRPr="0075328F">
        <w:rPr>
          <w:rFonts w:ascii="Arial" w:hAnsi="Arial" w:cs="Arial"/>
          <w:color w:val="000000"/>
          <w:sz w:val="22"/>
          <w:szCs w:val="22"/>
          <w:lang w:val="en-GB"/>
        </w:rPr>
        <w:t xml:space="preserve"> (Accessed: 13 July 2026).</w:t>
      </w:r>
    </w:p>
    <w:p w14:paraId="02EE8950"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Legislation Gov UK (2026) </w:t>
      </w:r>
      <w:r w:rsidRPr="0075328F">
        <w:rPr>
          <w:rFonts w:ascii="Arial" w:hAnsi="Arial" w:cs="Arial"/>
          <w:i/>
          <w:iCs/>
          <w:color w:val="000000"/>
          <w:sz w:val="22"/>
          <w:szCs w:val="22"/>
          <w:lang w:val="en-GB"/>
        </w:rPr>
        <w:t>Human Rights Act 1998</w:t>
      </w:r>
      <w:r w:rsidRPr="0075328F">
        <w:rPr>
          <w:rFonts w:ascii="Arial" w:hAnsi="Arial" w:cs="Arial"/>
          <w:color w:val="000000"/>
          <w:sz w:val="22"/>
          <w:szCs w:val="22"/>
          <w:lang w:val="en-GB"/>
        </w:rPr>
        <w:t xml:space="preserve">. Available at: </w:t>
      </w:r>
      <w:hyperlink r:id="rId20" w:history="1">
        <w:r w:rsidRPr="0075328F">
          <w:rPr>
            <w:rStyle w:val="Hyperlink"/>
            <w:rFonts w:ascii="Arial" w:hAnsi="Arial" w:cs="Arial"/>
            <w:color w:val="1155CC"/>
            <w:sz w:val="22"/>
            <w:szCs w:val="22"/>
            <w:lang w:val="en-GB"/>
          </w:rPr>
          <w:t>https://www.legislation.gov.uk/ukpga/1998/42/contents</w:t>
        </w:r>
      </w:hyperlink>
      <w:r w:rsidRPr="0075328F">
        <w:rPr>
          <w:rFonts w:ascii="Arial" w:hAnsi="Arial" w:cs="Arial"/>
          <w:color w:val="000000"/>
          <w:sz w:val="22"/>
          <w:szCs w:val="22"/>
          <w:lang w:val="en-GB"/>
        </w:rPr>
        <w:t xml:space="preserve"> (Accessed: 14 July 2026).</w:t>
      </w:r>
    </w:p>
    <w:p w14:paraId="141673D1"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NHS UK (2026) </w:t>
      </w:r>
      <w:r w:rsidRPr="0075328F">
        <w:rPr>
          <w:rFonts w:ascii="Arial" w:hAnsi="Arial" w:cs="Arial"/>
          <w:i/>
          <w:iCs/>
          <w:color w:val="000000"/>
          <w:sz w:val="22"/>
          <w:szCs w:val="22"/>
          <w:lang w:val="en-GB"/>
        </w:rPr>
        <w:t>NHS England » implementation of a discharge to assess model</w:t>
      </w:r>
      <w:r w:rsidRPr="0075328F">
        <w:rPr>
          <w:rFonts w:ascii="Arial" w:hAnsi="Arial" w:cs="Arial"/>
          <w:color w:val="000000"/>
          <w:sz w:val="22"/>
          <w:szCs w:val="22"/>
          <w:lang w:val="en-GB"/>
        </w:rPr>
        <w:t xml:space="preserve">. Available at: </w:t>
      </w:r>
      <w:hyperlink r:id="rId21" w:history="1">
        <w:r w:rsidRPr="0075328F">
          <w:rPr>
            <w:rStyle w:val="Hyperlink"/>
            <w:rFonts w:ascii="Arial" w:hAnsi="Arial" w:cs="Arial"/>
            <w:color w:val="1155CC"/>
            <w:sz w:val="22"/>
            <w:szCs w:val="22"/>
            <w:lang w:val="en-GB"/>
          </w:rPr>
          <w:t>https://www.england.nhs.uk/urgent-emergency-care/improving-hospital-discharge/case-studies/implementation-of-a-discharge-to-assess-model/</w:t>
        </w:r>
      </w:hyperlink>
      <w:r w:rsidRPr="0075328F">
        <w:rPr>
          <w:rFonts w:ascii="Arial" w:hAnsi="Arial" w:cs="Arial"/>
          <w:color w:val="000000"/>
          <w:sz w:val="22"/>
          <w:szCs w:val="22"/>
          <w:lang w:val="en-GB"/>
        </w:rPr>
        <w:t xml:space="preserve"> (Accessed: 14 July 2026).</w:t>
      </w:r>
    </w:p>
    <w:p w14:paraId="3C65E3C8"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NHS UK (2026) </w:t>
      </w:r>
      <w:r w:rsidRPr="0075328F">
        <w:rPr>
          <w:rFonts w:ascii="Arial" w:hAnsi="Arial" w:cs="Arial"/>
          <w:i/>
          <w:iCs/>
          <w:color w:val="000000"/>
          <w:sz w:val="22"/>
          <w:szCs w:val="22"/>
          <w:lang w:val="en-GB"/>
        </w:rPr>
        <w:t>NHS England » NHS delivery and Continuous Improvement Review: Recommendations</w:t>
      </w:r>
      <w:r w:rsidRPr="0075328F">
        <w:rPr>
          <w:rFonts w:ascii="Arial" w:hAnsi="Arial" w:cs="Arial"/>
          <w:color w:val="000000"/>
          <w:sz w:val="22"/>
          <w:szCs w:val="22"/>
          <w:lang w:val="en-GB"/>
        </w:rPr>
        <w:t xml:space="preserve">. Available at: </w:t>
      </w:r>
      <w:hyperlink r:id="rId22" w:history="1">
        <w:r w:rsidRPr="0075328F">
          <w:rPr>
            <w:rStyle w:val="Hyperlink"/>
            <w:rFonts w:ascii="Arial" w:hAnsi="Arial" w:cs="Arial"/>
            <w:color w:val="1155CC"/>
            <w:sz w:val="22"/>
            <w:szCs w:val="22"/>
            <w:lang w:val="en-GB"/>
          </w:rPr>
          <w:t>https://www.england.nhs.uk/long-read/nhs-delivery-and-continuous-improvement-review-recommendations/</w:t>
        </w:r>
      </w:hyperlink>
      <w:r w:rsidRPr="0075328F">
        <w:rPr>
          <w:rFonts w:ascii="Arial" w:hAnsi="Arial" w:cs="Arial"/>
          <w:color w:val="000000"/>
          <w:sz w:val="22"/>
          <w:szCs w:val="22"/>
          <w:lang w:val="en-GB"/>
        </w:rPr>
        <w:t xml:space="preserve"> (Accessed: 15 July 2026).</w:t>
      </w:r>
    </w:p>
    <w:p w14:paraId="2BE04BBF"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NHS UK (2026) </w:t>
      </w:r>
      <w:r w:rsidRPr="0075328F">
        <w:rPr>
          <w:rFonts w:ascii="Arial" w:hAnsi="Arial" w:cs="Arial"/>
          <w:i/>
          <w:iCs/>
          <w:color w:val="000000"/>
          <w:sz w:val="22"/>
          <w:szCs w:val="22"/>
          <w:lang w:val="en-GB"/>
        </w:rPr>
        <w:t>NHS England » provision of person-centred holistic care delivered by neighbourhood multidisciplinary teams (high intensity use focused)</w:t>
      </w:r>
      <w:r w:rsidRPr="0075328F">
        <w:rPr>
          <w:rFonts w:ascii="Arial" w:hAnsi="Arial" w:cs="Arial"/>
          <w:color w:val="000000"/>
          <w:sz w:val="22"/>
          <w:szCs w:val="22"/>
          <w:lang w:val="en-GB"/>
        </w:rPr>
        <w:t xml:space="preserve">. Available at: </w:t>
      </w:r>
      <w:hyperlink r:id="rId23" w:history="1">
        <w:r w:rsidRPr="0075328F">
          <w:rPr>
            <w:rStyle w:val="Hyperlink"/>
            <w:rFonts w:ascii="Arial" w:hAnsi="Arial" w:cs="Arial"/>
            <w:color w:val="1155CC"/>
            <w:sz w:val="22"/>
            <w:szCs w:val="22"/>
            <w:lang w:val="en-GB"/>
          </w:rPr>
          <w:t>https://www.england.nhs.uk/long-read/provision-of-person-centred-holistic-care-delivered-by-neighbourhood-multidisciplinary-teams-high-intensity-use-focused/</w:t>
        </w:r>
      </w:hyperlink>
      <w:r w:rsidRPr="0075328F">
        <w:rPr>
          <w:rFonts w:ascii="Arial" w:hAnsi="Arial" w:cs="Arial"/>
          <w:color w:val="000000"/>
          <w:sz w:val="22"/>
          <w:szCs w:val="22"/>
          <w:lang w:val="en-GB"/>
        </w:rPr>
        <w:t xml:space="preserve"> (Accessed: 16 July 2026).</w:t>
      </w:r>
    </w:p>
    <w:p w14:paraId="56C69AED"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NHS UK (2026b) </w:t>
      </w:r>
      <w:r w:rsidRPr="0075328F">
        <w:rPr>
          <w:rFonts w:ascii="Arial" w:hAnsi="Arial" w:cs="Arial"/>
          <w:i/>
          <w:iCs/>
          <w:color w:val="000000"/>
          <w:sz w:val="22"/>
          <w:szCs w:val="22"/>
          <w:lang w:val="en-GB"/>
        </w:rPr>
        <w:t>NHS England » personalised care</w:t>
      </w:r>
      <w:r w:rsidRPr="0075328F">
        <w:rPr>
          <w:rFonts w:ascii="Arial" w:hAnsi="Arial" w:cs="Arial"/>
          <w:color w:val="000000"/>
          <w:sz w:val="22"/>
          <w:szCs w:val="22"/>
          <w:lang w:val="en-GB"/>
        </w:rPr>
        <w:t xml:space="preserve">. Available at: </w:t>
      </w:r>
      <w:hyperlink r:id="rId24" w:history="1">
        <w:r w:rsidRPr="0075328F">
          <w:rPr>
            <w:rStyle w:val="Hyperlink"/>
            <w:rFonts w:ascii="Arial" w:hAnsi="Arial" w:cs="Arial"/>
            <w:color w:val="1155CC"/>
            <w:sz w:val="22"/>
            <w:szCs w:val="22"/>
            <w:lang w:val="en-GB"/>
          </w:rPr>
          <w:t>https://www.england.nhs.uk/personalisedcare/</w:t>
        </w:r>
      </w:hyperlink>
      <w:r w:rsidRPr="0075328F">
        <w:rPr>
          <w:rFonts w:ascii="Arial" w:hAnsi="Arial" w:cs="Arial"/>
          <w:color w:val="000000"/>
          <w:sz w:val="22"/>
          <w:szCs w:val="22"/>
          <w:lang w:val="en-GB"/>
        </w:rPr>
        <w:t xml:space="preserve"> (Accessed: 15 July 2026).</w:t>
      </w:r>
    </w:p>
    <w:p w14:paraId="1C326D50"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NICE UK (2026) </w:t>
      </w:r>
      <w:r w:rsidRPr="0075328F">
        <w:rPr>
          <w:rFonts w:ascii="Arial" w:hAnsi="Arial" w:cs="Arial"/>
          <w:i/>
          <w:iCs/>
          <w:color w:val="000000"/>
          <w:sz w:val="22"/>
          <w:szCs w:val="22"/>
          <w:lang w:val="en-GB"/>
        </w:rPr>
        <w:t>Chapter 28 structured ward rounds</w:t>
      </w:r>
      <w:r w:rsidRPr="0075328F">
        <w:rPr>
          <w:rFonts w:ascii="Arial" w:hAnsi="Arial" w:cs="Arial"/>
          <w:color w:val="000000"/>
          <w:sz w:val="22"/>
          <w:szCs w:val="22"/>
          <w:lang w:val="en-GB"/>
        </w:rPr>
        <w:t xml:space="preserve">. Available at: </w:t>
      </w:r>
      <w:hyperlink r:id="rId25" w:history="1">
        <w:r w:rsidRPr="0075328F">
          <w:rPr>
            <w:rStyle w:val="Hyperlink"/>
            <w:rFonts w:ascii="Arial" w:hAnsi="Arial" w:cs="Arial"/>
            <w:color w:val="1155CC"/>
            <w:sz w:val="22"/>
            <w:szCs w:val="22"/>
            <w:lang w:val="en-GB"/>
          </w:rPr>
          <w:t>https://www.nice.org.uk/guidance/ng94/evidence/28.structured-ward-rounds-pdf-172397464641</w:t>
        </w:r>
      </w:hyperlink>
      <w:r w:rsidRPr="0075328F">
        <w:rPr>
          <w:rFonts w:ascii="Arial" w:hAnsi="Arial" w:cs="Arial"/>
          <w:color w:val="000000"/>
          <w:sz w:val="22"/>
          <w:szCs w:val="22"/>
          <w:lang w:val="en-GB"/>
        </w:rPr>
        <w:t xml:space="preserve"> (Accessed: 15 July 2026).</w:t>
      </w:r>
    </w:p>
    <w:p w14:paraId="5598492A" w14:textId="77777777" w:rsidR="0075328F" w:rsidRPr="0075328F" w:rsidRDefault="0075328F" w:rsidP="002825CC">
      <w:pPr>
        <w:pStyle w:val="NormalWeb"/>
        <w:spacing w:before="0" w:beforeAutospacing="0" w:after="0" w:afterAutospacing="0" w:line="360" w:lineRule="auto"/>
        <w:jc w:val="both"/>
        <w:rPr>
          <w:rFonts w:ascii="Arial" w:hAnsi="Arial" w:cs="Arial"/>
          <w:sz w:val="22"/>
          <w:szCs w:val="22"/>
          <w:lang w:val="en-GB"/>
        </w:rPr>
      </w:pPr>
      <w:r w:rsidRPr="0075328F">
        <w:rPr>
          <w:rFonts w:ascii="Arial" w:hAnsi="Arial" w:cs="Arial"/>
          <w:color w:val="000000"/>
          <w:sz w:val="22"/>
          <w:szCs w:val="22"/>
          <w:shd w:val="clear" w:color="auto" w:fill="FFFFFF"/>
          <w:lang w:val="en-GB"/>
        </w:rPr>
        <w:t xml:space="preserve">Nicholson, C.J., Combes, S., Mold, F., King, H. and Green, R., (2023) ‘Addressing inequity in palliative care provision for older people living with multimorbidity. Perspectives of community-dwelling older people on their palliative care needs: A scoping review’. </w:t>
      </w:r>
      <w:r w:rsidRPr="0075328F">
        <w:rPr>
          <w:rFonts w:ascii="Arial" w:hAnsi="Arial" w:cs="Arial"/>
          <w:i/>
          <w:iCs/>
          <w:color w:val="000000"/>
          <w:sz w:val="22"/>
          <w:szCs w:val="22"/>
          <w:shd w:val="clear" w:color="auto" w:fill="FFFFFF"/>
          <w:lang w:val="en-GB"/>
        </w:rPr>
        <w:t>Palliative medicine</w:t>
      </w:r>
      <w:r w:rsidRPr="0075328F">
        <w:rPr>
          <w:rFonts w:ascii="Arial" w:hAnsi="Arial" w:cs="Arial"/>
          <w:color w:val="000000"/>
          <w:sz w:val="22"/>
          <w:szCs w:val="22"/>
          <w:shd w:val="clear" w:color="auto" w:fill="FFFFFF"/>
          <w:lang w:val="en-GB"/>
        </w:rPr>
        <w:t xml:space="preserve">, </w:t>
      </w:r>
      <w:r w:rsidRPr="0075328F">
        <w:rPr>
          <w:rFonts w:ascii="Arial" w:hAnsi="Arial" w:cs="Arial"/>
          <w:i/>
          <w:iCs/>
          <w:color w:val="000000"/>
          <w:sz w:val="22"/>
          <w:szCs w:val="22"/>
          <w:shd w:val="clear" w:color="auto" w:fill="FFFFFF"/>
          <w:lang w:val="en-GB"/>
        </w:rPr>
        <w:t>37</w:t>
      </w:r>
      <w:r w:rsidRPr="0075328F">
        <w:rPr>
          <w:rFonts w:ascii="Arial" w:hAnsi="Arial" w:cs="Arial"/>
          <w:color w:val="000000"/>
          <w:sz w:val="22"/>
          <w:szCs w:val="22"/>
          <w:shd w:val="clear" w:color="auto" w:fill="FFFFFF"/>
          <w:lang w:val="en-GB"/>
        </w:rPr>
        <w:t>(4), pp.475-497.</w:t>
      </w:r>
      <w:r w:rsidRPr="0075328F">
        <w:rPr>
          <w:rFonts w:ascii="Arial" w:hAnsi="Arial" w:cs="Arial"/>
          <w:color w:val="000000"/>
          <w:sz w:val="22"/>
          <w:szCs w:val="22"/>
          <w:lang w:val="en-GB"/>
        </w:rPr>
        <w:t xml:space="preserve"> </w:t>
      </w:r>
      <w:hyperlink r:id="rId26" w:history="1">
        <w:r w:rsidRPr="0075328F">
          <w:rPr>
            <w:rStyle w:val="Hyperlink"/>
            <w:rFonts w:ascii="Arial" w:hAnsi="Arial" w:cs="Arial"/>
            <w:color w:val="1155CC"/>
            <w:sz w:val="22"/>
            <w:szCs w:val="22"/>
            <w:lang w:val="en-GB"/>
          </w:rPr>
          <w:t>https://journals.sagepub.com/doi/pdf/10.1177/02692163221118230</w:t>
        </w:r>
      </w:hyperlink>
      <w:r w:rsidRPr="0075328F">
        <w:rPr>
          <w:rFonts w:ascii="Arial" w:hAnsi="Arial" w:cs="Arial"/>
          <w:color w:val="000000"/>
          <w:sz w:val="22"/>
          <w:szCs w:val="22"/>
          <w:lang w:val="en-GB"/>
        </w:rPr>
        <w:t> </w:t>
      </w:r>
    </w:p>
    <w:p w14:paraId="4E3BA573"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Rimi, A. (2024) </w:t>
      </w:r>
      <w:r w:rsidRPr="0075328F">
        <w:rPr>
          <w:rFonts w:ascii="Arial" w:hAnsi="Arial" w:cs="Arial"/>
          <w:i/>
          <w:iCs/>
          <w:color w:val="000000"/>
          <w:sz w:val="22"/>
          <w:szCs w:val="22"/>
          <w:lang w:val="en-GB"/>
        </w:rPr>
        <w:t>44% of Muslim doctors ‘have faced regular discrimination since medical school’ - hyphen</w:t>
      </w:r>
      <w:r w:rsidRPr="0075328F">
        <w:rPr>
          <w:rFonts w:ascii="Arial" w:hAnsi="Arial" w:cs="Arial"/>
          <w:color w:val="000000"/>
          <w:sz w:val="22"/>
          <w:szCs w:val="22"/>
          <w:lang w:val="en-GB"/>
        </w:rPr>
        <w:t xml:space="preserve">. Available at: </w:t>
      </w:r>
      <w:hyperlink r:id="rId27" w:history="1">
        <w:r w:rsidRPr="0075328F">
          <w:rPr>
            <w:rStyle w:val="Hyperlink"/>
            <w:rFonts w:ascii="Arial" w:hAnsi="Arial" w:cs="Arial"/>
            <w:color w:val="1155CC"/>
            <w:sz w:val="22"/>
            <w:szCs w:val="22"/>
            <w:lang w:val="en-GB"/>
          </w:rPr>
          <w:t>https://hyphenonline.com/2024/12/23/44-of-muslim-doctors-have-faced-regular-discrimination-since-medical-school/</w:t>
        </w:r>
      </w:hyperlink>
      <w:r w:rsidRPr="0075328F">
        <w:rPr>
          <w:rFonts w:ascii="Arial" w:hAnsi="Arial" w:cs="Arial"/>
          <w:color w:val="000000"/>
          <w:sz w:val="22"/>
          <w:szCs w:val="22"/>
          <w:lang w:val="en-GB"/>
        </w:rPr>
        <w:t xml:space="preserve"> (Accessed: 14 July 2026).</w:t>
      </w:r>
    </w:p>
    <w:p w14:paraId="61471AC5"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Service Gov UK (2026) </w:t>
      </w:r>
      <w:r w:rsidRPr="0075328F">
        <w:rPr>
          <w:rFonts w:ascii="Arial" w:hAnsi="Arial" w:cs="Arial"/>
          <w:i/>
          <w:iCs/>
          <w:color w:val="000000"/>
          <w:sz w:val="22"/>
          <w:szCs w:val="22"/>
          <w:lang w:val="en-GB"/>
        </w:rPr>
        <w:t>Health and Care Act 2022 impact assessments summary document and analysis</w:t>
      </w:r>
      <w:r w:rsidRPr="0075328F">
        <w:rPr>
          <w:rFonts w:ascii="Arial" w:hAnsi="Arial" w:cs="Arial"/>
          <w:color w:val="000000"/>
          <w:sz w:val="22"/>
          <w:szCs w:val="22"/>
          <w:lang w:val="en-GB"/>
        </w:rPr>
        <w:t xml:space="preserve">. Available at: </w:t>
      </w:r>
      <w:hyperlink r:id="rId28" w:history="1">
        <w:r w:rsidRPr="0075328F">
          <w:rPr>
            <w:rStyle w:val="Hyperlink"/>
            <w:rFonts w:ascii="Arial" w:hAnsi="Arial" w:cs="Arial"/>
            <w:color w:val="1155CC"/>
            <w:sz w:val="22"/>
            <w:szCs w:val="22"/>
            <w:lang w:val="en-GB"/>
          </w:rPr>
          <w:t>https://assets.publishing.service.gov.uk/media/6363d911e90e0705a8c35457/health-and-care-act-2022-summary-and-additional-measures-impact-assessment.pdf</w:t>
        </w:r>
      </w:hyperlink>
      <w:r w:rsidRPr="0075328F">
        <w:rPr>
          <w:rFonts w:ascii="Arial" w:hAnsi="Arial" w:cs="Arial"/>
          <w:color w:val="000000"/>
          <w:sz w:val="22"/>
          <w:szCs w:val="22"/>
          <w:lang w:val="en-GB"/>
        </w:rPr>
        <w:t xml:space="preserve"> (Accessed: 12 July 2026).</w:t>
      </w:r>
    </w:p>
    <w:p w14:paraId="7FDAEA47" w14:textId="77777777" w:rsidR="0075328F" w:rsidRPr="0075328F" w:rsidRDefault="0075328F" w:rsidP="002825CC">
      <w:pPr>
        <w:pStyle w:val="NormalWeb"/>
        <w:spacing w:before="0" w:beforeAutospacing="0" w:after="0" w:afterAutospacing="0" w:line="360" w:lineRule="auto"/>
        <w:jc w:val="both"/>
        <w:rPr>
          <w:rFonts w:ascii="Arial" w:hAnsi="Arial" w:cs="Arial"/>
          <w:sz w:val="22"/>
          <w:szCs w:val="22"/>
          <w:lang w:val="en-GB"/>
        </w:rPr>
      </w:pPr>
      <w:r w:rsidRPr="0075328F">
        <w:rPr>
          <w:rFonts w:ascii="Arial" w:hAnsi="Arial" w:cs="Arial"/>
          <w:color w:val="222222"/>
          <w:sz w:val="22"/>
          <w:szCs w:val="22"/>
          <w:shd w:val="clear" w:color="auto" w:fill="FFFFFF"/>
          <w:lang w:val="en-GB"/>
        </w:rPr>
        <w:t xml:space="preserve">Simpson, K., Nham, W., Thariath, J., Schafer, H., Greenwood-Eriksen, M., Fetters, M.D., Serlin, D., Peterson, T. and Abir, M., (2022) ‘How health systems facilitate patient-centered care and care coordination: a case series analysis to identify best practices’. </w:t>
      </w:r>
      <w:r w:rsidRPr="0075328F">
        <w:rPr>
          <w:rFonts w:ascii="Arial" w:hAnsi="Arial" w:cs="Arial"/>
          <w:i/>
          <w:iCs/>
          <w:color w:val="222222"/>
          <w:sz w:val="22"/>
          <w:szCs w:val="22"/>
          <w:shd w:val="clear" w:color="auto" w:fill="FFFFFF"/>
          <w:lang w:val="en-GB"/>
        </w:rPr>
        <w:t>BMC Health Services Research</w:t>
      </w:r>
      <w:r w:rsidRPr="0075328F">
        <w:rPr>
          <w:rFonts w:ascii="Arial" w:hAnsi="Arial" w:cs="Arial"/>
          <w:color w:val="222222"/>
          <w:sz w:val="22"/>
          <w:szCs w:val="22"/>
          <w:shd w:val="clear" w:color="auto" w:fill="FFFFFF"/>
          <w:lang w:val="en-GB"/>
        </w:rPr>
        <w:t xml:space="preserve">, </w:t>
      </w:r>
      <w:r w:rsidRPr="0075328F">
        <w:rPr>
          <w:rFonts w:ascii="Arial" w:hAnsi="Arial" w:cs="Arial"/>
          <w:i/>
          <w:iCs/>
          <w:color w:val="222222"/>
          <w:sz w:val="22"/>
          <w:szCs w:val="22"/>
          <w:shd w:val="clear" w:color="auto" w:fill="FFFFFF"/>
          <w:lang w:val="en-GB"/>
        </w:rPr>
        <w:t>22</w:t>
      </w:r>
      <w:r w:rsidRPr="0075328F">
        <w:rPr>
          <w:rFonts w:ascii="Arial" w:hAnsi="Arial" w:cs="Arial"/>
          <w:color w:val="222222"/>
          <w:sz w:val="22"/>
          <w:szCs w:val="22"/>
          <w:shd w:val="clear" w:color="auto" w:fill="FFFFFF"/>
          <w:lang w:val="en-GB"/>
        </w:rPr>
        <w:t>(1), p.1448.</w:t>
      </w:r>
      <w:r w:rsidRPr="0075328F">
        <w:rPr>
          <w:rFonts w:ascii="Arial" w:hAnsi="Arial" w:cs="Arial"/>
          <w:color w:val="000000"/>
          <w:sz w:val="22"/>
          <w:szCs w:val="22"/>
          <w:lang w:val="en-GB"/>
        </w:rPr>
        <w:t xml:space="preserve"> </w:t>
      </w:r>
      <w:hyperlink r:id="rId29" w:history="1">
        <w:r w:rsidRPr="0075328F">
          <w:rPr>
            <w:rStyle w:val="Hyperlink"/>
            <w:rFonts w:ascii="Arial" w:hAnsi="Arial" w:cs="Arial"/>
            <w:color w:val="1155CC"/>
            <w:sz w:val="22"/>
            <w:szCs w:val="22"/>
            <w:lang w:val="en-GB"/>
          </w:rPr>
          <w:t>https://link.springer.com/content/pdf/10.1186/s12913-022-08623-w.pdf</w:t>
        </w:r>
      </w:hyperlink>
      <w:r w:rsidRPr="0075328F">
        <w:rPr>
          <w:rFonts w:ascii="Arial" w:hAnsi="Arial" w:cs="Arial"/>
          <w:color w:val="000000"/>
          <w:sz w:val="22"/>
          <w:szCs w:val="22"/>
          <w:lang w:val="en-GB"/>
        </w:rPr>
        <w:t> </w:t>
      </w:r>
    </w:p>
    <w:p w14:paraId="0C5AA985"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Sundhed DK (2026) </w:t>
      </w:r>
      <w:r w:rsidRPr="0075328F">
        <w:rPr>
          <w:rFonts w:ascii="Arial" w:hAnsi="Arial" w:cs="Arial"/>
          <w:i/>
          <w:iCs/>
          <w:color w:val="000000"/>
          <w:sz w:val="22"/>
          <w:szCs w:val="22"/>
          <w:lang w:val="en-GB"/>
        </w:rPr>
        <w:t>Background - Sundhed.dk</w:t>
      </w:r>
      <w:r w:rsidRPr="0075328F">
        <w:rPr>
          <w:rFonts w:ascii="Arial" w:hAnsi="Arial" w:cs="Arial"/>
          <w:color w:val="000000"/>
          <w:sz w:val="22"/>
          <w:szCs w:val="22"/>
          <w:lang w:val="en-GB"/>
        </w:rPr>
        <w:t xml:space="preserve">. Available at: </w:t>
      </w:r>
      <w:hyperlink r:id="rId30" w:history="1">
        <w:r w:rsidRPr="0075328F">
          <w:rPr>
            <w:rStyle w:val="Hyperlink"/>
            <w:rFonts w:ascii="Arial" w:hAnsi="Arial" w:cs="Arial"/>
            <w:color w:val="1155CC"/>
            <w:sz w:val="22"/>
            <w:szCs w:val="22"/>
            <w:lang w:val="en-GB"/>
          </w:rPr>
          <w:t>https://www.sundhed.dk/borger/service/om-sundheddk/om-organisationen/ehealth-in-denmark/background/</w:t>
        </w:r>
      </w:hyperlink>
      <w:r w:rsidRPr="0075328F">
        <w:rPr>
          <w:rFonts w:ascii="Arial" w:hAnsi="Arial" w:cs="Arial"/>
          <w:color w:val="000000"/>
          <w:sz w:val="22"/>
          <w:szCs w:val="22"/>
          <w:lang w:val="en-GB"/>
        </w:rPr>
        <w:t xml:space="preserve"> (Accessed: 13 July 2026).</w:t>
      </w:r>
    </w:p>
    <w:p w14:paraId="0D261362" w14:textId="77777777" w:rsidR="0075328F" w:rsidRPr="0075328F" w:rsidRDefault="0075328F" w:rsidP="0075328F">
      <w:pPr>
        <w:pStyle w:val="NormalWeb"/>
        <w:spacing w:before="240" w:beforeAutospacing="0" w:after="0" w:afterAutospacing="0" w:line="360" w:lineRule="auto"/>
        <w:jc w:val="both"/>
        <w:rPr>
          <w:rFonts w:ascii="Arial" w:hAnsi="Arial" w:cs="Arial"/>
          <w:sz w:val="22"/>
          <w:szCs w:val="22"/>
          <w:lang w:val="en-GB"/>
        </w:rPr>
      </w:pPr>
      <w:r w:rsidRPr="0075328F">
        <w:rPr>
          <w:rFonts w:ascii="Arial" w:hAnsi="Arial" w:cs="Arial"/>
          <w:color w:val="222222"/>
          <w:sz w:val="22"/>
          <w:szCs w:val="22"/>
          <w:shd w:val="clear" w:color="auto" w:fill="FFFFFF"/>
          <w:lang w:val="en-GB"/>
        </w:rPr>
        <w:t xml:space="preserve">Tong, L.K., Tam, H.L. and Mao, A.M., (2025) ‘A Bibliometric Review of Person-Centered Care Research 2010–2024’. In </w:t>
      </w:r>
      <w:r w:rsidRPr="0075328F">
        <w:rPr>
          <w:rFonts w:ascii="Arial" w:hAnsi="Arial" w:cs="Arial"/>
          <w:i/>
          <w:iCs/>
          <w:color w:val="222222"/>
          <w:sz w:val="22"/>
          <w:szCs w:val="22"/>
          <w:shd w:val="clear" w:color="auto" w:fill="FFFFFF"/>
          <w:lang w:val="en-GB"/>
        </w:rPr>
        <w:t>Healthcare</w:t>
      </w:r>
      <w:r w:rsidRPr="0075328F">
        <w:rPr>
          <w:rFonts w:ascii="Arial" w:hAnsi="Arial" w:cs="Arial"/>
          <w:color w:val="222222"/>
          <w:sz w:val="22"/>
          <w:szCs w:val="22"/>
          <w:shd w:val="clear" w:color="auto" w:fill="FFFFFF"/>
          <w:lang w:val="en-GB"/>
        </w:rPr>
        <w:t xml:space="preserve"> (Vol. 13, No. 11, p. 1267). MDPI.</w:t>
      </w:r>
      <w:r w:rsidRPr="0075328F">
        <w:rPr>
          <w:rFonts w:ascii="Arial" w:hAnsi="Arial" w:cs="Arial"/>
          <w:color w:val="000000"/>
          <w:sz w:val="22"/>
          <w:szCs w:val="22"/>
          <w:lang w:val="en-GB"/>
        </w:rPr>
        <w:t xml:space="preserve"> </w:t>
      </w:r>
      <w:hyperlink r:id="rId31" w:history="1">
        <w:r w:rsidRPr="0075328F">
          <w:rPr>
            <w:rStyle w:val="Hyperlink"/>
            <w:rFonts w:ascii="Arial" w:hAnsi="Arial" w:cs="Arial"/>
            <w:color w:val="1155CC"/>
            <w:sz w:val="22"/>
            <w:szCs w:val="22"/>
            <w:lang w:val="en-GB"/>
          </w:rPr>
          <w:t>https://www.mdpi.com/2227-9032/13/11/1267</w:t>
        </w:r>
      </w:hyperlink>
      <w:r w:rsidRPr="0075328F">
        <w:rPr>
          <w:rFonts w:ascii="Arial" w:hAnsi="Arial" w:cs="Arial"/>
          <w:color w:val="000000"/>
          <w:sz w:val="22"/>
          <w:szCs w:val="22"/>
          <w:lang w:val="en-GB"/>
        </w:rPr>
        <w:t> </w:t>
      </w:r>
    </w:p>
    <w:p w14:paraId="08C255B2" w14:textId="77777777" w:rsidR="0075328F" w:rsidRPr="0075328F" w:rsidRDefault="0075328F" w:rsidP="0075328F">
      <w:pPr>
        <w:pStyle w:val="NormalWeb"/>
        <w:spacing w:before="240" w:beforeAutospacing="0" w:after="0" w:afterAutospacing="0" w:line="360" w:lineRule="auto"/>
        <w:jc w:val="both"/>
        <w:rPr>
          <w:rFonts w:ascii="Arial" w:hAnsi="Arial" w:cs="Arial"/>
          <w:sz w:val="22"/>
          <w:szCs w:val="22"/>
          <w:lang w:val="en-GB"/>
        </w:rPr>
      </w:pPr>
      <w:r w:rsidRPr="0075328F">
        <w:rPr>
          <w:rFonts w:ascii="Arial" w:hAnsi="Arial" w:cs="Arial"/>
          <w:color w:val="222222"/>
          <w:sz w:val="22"/>
          <w:szCs w:val="22"/>
          <w:shd w:val="clear" w:color="auto" w:fill="FFFFFF"/>
          <w:lang w:val="en-GB"/>
        </w:rPr>
        <w:t xml:space="preserve">Venturini, L., Beuter, M., Kinalski, S.D.S., Backes, C., Benetti, E.R.R. and Bruinsma, J.L., (2024) ‘Health professional action grounded in Carl Rogers' theory’. </w:t>
      </w:r>
      <w:r w:rsidRPr="0075328F">
        <w:rPr>
          <w:rFonts w:ascii="Arial" w:hAnsi="Arial" w:cs="Arial"/>
          <w:i/>
          <w:iCs/>
          <w:color w:val="222222"/>
          <w:sz w:val="22"/>
          <w:szCs w:val="22"/>
          <w:shd w:val="clear" w:color="auto" w:fill="FFFFFF"/>
          <w:lang w:val="en-GB"/>
        </w:rPr>
        <w:t>Estudos de Psicologia (Campinas)</w:t>
      </w:r>
      <w:r w:rsidRPr="0075328F">
        <w:rPr>
          <w:rFonts w:ascii="Arial" w:hAnsi="Arial" w:cs="Arial"/>
          <w:color w:val="222222"/>
          <w:sz w:val="22"/>
          <w:szCs w:val="22"/>
          <w:shd w:val="clear" w:color="auto" w:fill="FFFFFF"/>
          <w:lang w:val="en-GB"/>
        </w:rPr>
        <w:t xml:space="preserve">, </w:t>
      </w:r>
      <w:r w:rsidRPr="0075328F">
        <w:rPr>
          <w:rFonts w:ascii="Arial" w:hAnsi="Arial" w:cs="Arial"/>
          <w:i/>
          <w:iCs/>
          <w:color w:val="222222"/>
          <w:sz w:val="22"/>
          <w:szCs w:val="22"/>
          <w:shd w:val="clear" w:color="auto" w:fill="FFFFFF"/>
          <w:lang w:val="en-GB"/>
        </w:rPr>
        <w:t>41</w:t>
      </w:r>
      <w:r w:rsidRPr="0075328F">
        <w:rPr>
          <w:rFonts w:ascii="Arial" w:hAnsi="Arial" w:cs="Arial"/>
          <w:color w:val="222222"/>
          <w:sz w:val="22"/>
          <w:szCs w:val="22"/>
          <w:shd w:val="clear" w:color="auto" w:fill="FFFFFF"/>
          <w:lang w:val="en-GB"/>
        </w:rPr>
        <w:t>, p.e210205.</w:t>
      </w:r>
      <w:r w:rsidRPr="0075328F">
        <w:rPr>
          <w:rFonts w:ascii="Arial" w:hAnsi="Arial" w:cs="Arial"/>
          <w:color w:val="000000"/>
          <w:sz w:val="22"/>
          <w:szCs w:val="22"/>
          <w:lang w:val="en-GB"/>
        </w:rPr>
        <w:t xml:space="preserve"> </w:t>
      </w:r>
      <w:hyperlink r:id="rId32" w:history="1">
        <w:r w:rsidRPr="0075328F">
          <w:rPr>
            <w:rStyle w:val="Hyperlink"/>
            <w:rFonts w:ascii="Arial" w:hAnsi="Arial" w:cs="Arial"/>
            <w:color w:val="1155CC"/>
            <w:sz w:val="22"/>
            <w:szCs w:val="22"/>
            <w:lang w:val="en-GB"/>
          </w:rPr>
          <w:t>https://www.scielo.br/j/estpsi/a/WKZWvqVZcBX7yJnWRyCbYMQ/?format=pdf&amp;lang=en</w:t>
        </w:r>
      </w:hyperlink>
      <w:r w:rsidRPr="0075328F">
        <w:rPr>
          <w:rFonts w:ascii="Arial" w:hAnsi="Arial" w:cs="Arial"/>
          <w:color w:val="000000"/>
          <w:sz w:val="22"/>
          <w:szCs w:val="22"/>
          <w:lang w:val="en-GB"/>
        </w:rPr>
        <w:t> </w:t>
      </w:r>
    </w:p>
    <w:p w14:paraId="225E3EE5" w14:textId="77777777" w:rsidR="0075328F" w:rsidRPr="0075328F" w:rsidRDefault="0075328F" w:rsidP="002825CC">
      <w:pPr>
        <w:pStyle w:val="NormalWeb"/>
        <w:spacing w:before="240" w:beforeAutospacing="0" w:after="240" w:afterAutospacing="0" w:line="360" w:lineRule="auto"/>
        <w:jc w:val="both"/>
        <w:rPr>
          <w:rFonts w:ascii="Arial" w:hAnsi="Arial" w:cs="Arial"/>
          <w:sz w:val="22"/>
          <w:szCs w:val="22"/>
          <w:lang w:val="en-GB"/>
        </w:rPr>
      </w:pPr>
      <w:r w:rsidRPr="0075328F">
        <w:rPr>
          <w:rFonts w:ascii="Arial" w:hAnsi="Arial" w:cs="Arial"/>
          <w:color w:val="000000"/>
          <w:sz w:val="22"/>
          <w:szCs w:val="22"/>
          <w:lang w:val="en-GB"/>
        </w:rPr>
        <w:t xml:space="preserve">WHO (2026) </w:t>
      </w:r>
      <w:r w:rsidRPr="0075328F">
        <w:rPr>
          <w:rFonts w:ascii="Arial" w:hAnsi="Arial" w:cs="Arial"/>
          <w:i/>
          <w:iCs/>
          <w:color w:val="000000"/>
          <w:sz w:val="22"/>
          <w:szCs w:val="22"/>
          <w:lang w:val="en-GB"/>
        </w:rPr>
        <w:t>Connecting Care: Exploring Sweden’s innovative PHC model</w:t>
      </w:r>
      <w:r w:rsidRPr="0075328F">
        <w:rPr>
          <w:rFonts w:ascii="Arial" w:hAnsi="Arial" w:cs="Arial"/>
          <w:color w:val="000000"/>
          <w:sz w:val="22"/>
          <w:szCs w:val="22"/>
          <w:lang w:val="en-GB"/>
        </w:rPr>
        <w:t xml:space="preserve">. Available at: </w:t>
      </w:r>
      <w:hyperlink r:id="rId33" w:history="1">
        <w:r w:rsidRPr="0075328F">
          <w:rPr>
            <w:rStyle w:val="Hyperlink"/>
            <w:rFonts w:ascii="Arial" w:hAnsi="Arial" w:cs="Arial"/>
            <w:color w:val="1155CC"/>
            <w:sz w:val="22"/>
            <w:szCs w:val="22"/>
            <w:lang w:val="en-GB"/>
          </w:rPr>
          <w:t>https://www.who.int/europe/news-room/photo-stories/item/connecting-care--exploring-sweden-s-innovative-phc-model</w:t>
        </w:r>
      </w:hyperlink>
      <w:r w:rsidRPr="0075328F">
        <w:rPr>
          <w:rFonts w:ascii="Arial" w:hAnsi="Arial" w:cs="Arial"/>
          <w:color w:val="000000"/>
          <w:sz w:val="22"/>
          <w:szCs w:val="22"/>
          <w:lang w:val="en-GB"/>
        </w:rPr>
        <w:t xml:space="preserve"> (Accessed: 14 July 2026).</w:t>
      </w:r>
    </w:p>
    <w:p w14:paraId="407B2912" w14:textId="77777777" w:rsidR="002825CC" w:rsidRPr="0075328F" w:rsidRDefault="002825CC" w:rsidP="002825CC">
      <w:pPr>
        <w:rPr>
          <w:rFonts w:ascii="Arial" w:eastAsia="Times New Roman" w:hAnsi="Arial" w:cs="Arial"/>
          <w:b/>
          <w:bCs/>
          <w:sz w:val="22"/>
          <w:szCs w:val="22"/>
        </w:rPr>
      </w:pPr>
    </w:p>
    <w:p w14:paraId="4FE35CEC" w14:textId="77777777" w:rsidR="002825CC" w:rsidRPr="0075328F" w:rsidRDefault="002825CC" w:rsidP="002825CC">
      <w:pPr>
        <w:spacing w:after="160" w:line="259" w:lineRule="auto"/>
        <w:jc w:val="left"/>
        <w:rPr>
          <w:b/>
          <w:bCs/>
        </w:rPr>
      </w:pPr>
    </w:p>
    <w:p w14:paraId="546ED357" w14:textId="6070AB37" w:rsidR="00FC7404" w:rsidRPr="0075328F" w:rsidRDefault="00FC7404" w:rsidP="00014E7A">
      <w:pPr>
        <w:spacing w:after="160" w:line="259" w:lineRule="auto"/>
        <w:jc w:val="left"/>
        <w:rPr>
          <w:b/>
          <w:bCs/>
        </w:rPr>
      </w:pPr>
    </w:p>
    <w:sectPr w:rsidR="00FC7404" w:rsidRPr="0075328F" w:rsidSect="00D047C8">
      <w:footerReference w:type="default" r:id="rId34"/>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F8551" w14:textId="77777777" w:rsidR="00474F4B" w:rsidRDefault="00474F4B" w:rsidP="0029768A">
      <w:pPr>
        <w:spacing w:line="240" w:lineRule="auto"/>
      </w:pPr>
      <w:r>
        <w:separator/>
      </w:r>
    </w:p>
  </w:endnote>
  <w:endnote w:type="continuationSeparator" w:id="0">
    <w:p w14:paraId="4C83BDFE" w14:textId="77777777" w:rsidR="00474F4B" w:rsidRDefault="00474F4B" w:rsidP="002976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189740"/>
      <w:docPartObj>
        <w:docPartGallery w:val="Page Numbers (Bottom of Page)"/>
        <w:docPartUnique/>
      </w:docPartObj>
    </w:sdtPr>
    <w:sdtEndPr>
      <w:rPr>
        <w:noProof/>
        <w:sz w:val="20"/>
        <w:szCs w:val="20"/>
      </w:rPr>
    </w:sdtEndPr>
    <w:sdtContent>
      <w:p w14:paraId="5A751955" w14:textId="6A05C069" w:rsidR="0029768A" w:rsidRPr="0029768A" w:rsidRDefault="0029768A" w:rsidP="0029768A">
        <w:pPr>
          <w:pStyle w:val="Footer"/>
          <w:jc w:val="right"/>
          <w:rPr>
            <w:sz w:val="20"/>
            <w:szCs w:val="20"/>
          </w:rPr>
        </w:pPr>
        <w:r w:rsidRPr="0029768A">
          <w:rPr>
            <w:sz w:val="20"/>
            <w:szCs w:val="20"/>
          </w:rPr>
          <w:fldChar w:fldCharType="begin"/>
        </w:r>
        <w:r w:rsidRPr="0029768A">
          <w:rPr>
            <w:sz w:val="20"/>
            <w:szCs w:val="20"/>
          </w:rPr>
          <w:instrText xml:space="preserve"> PAGE   \* MERGEFORMAT </w:instrText>
        </w:r>
        <w:r w:rsidRPr="0029768A">
          <w:rPr>
            <w:sz w:val="20"/>
            <w:szCs w:val="20"/>
          </w:rPr>
          <w:fldChar w:fldCharType="separate"/>
        </w:r>
        <w:r w:rsidRPr="0029768A">
          <w:rPr>
            <w:noProof/>
            <w:sz w:val="20"/>
            <w:szCs w:val="20"/>
          </w:rPr>
          <w:t>2</w:t>
        </w:r>
        <w:r w:rsidRPr="0029768A">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9CCCD" w14:textId="77777777" w:rsidR="00474F4B" w:rsidRDefault="00474F4B" w:rsidP="0029768A">
      <w:pPr>
        <w:spacing w:line="240" w:lineRule="auto"/>
      </w:pPr>
      <w:r>
        <w:separator/>
      </w:r>
    </w:p>
  </w:footnote>
  <w:footnote w:type="continuationSeparator" w:id="0">
    <w:p w14:paraId="5F44E077" w14:textId="77777777" w:rsidR="00474F4B" w:rsidRDefault="00474F4B" w:rsidP="002976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46CD4"/>
    <w:multiLevelType w:val="hybridMultilevel"/>
    <w:tmpl w:val="AB7C2964"/>
    <w:lvl w:ilvl="0" w:tplc="6D523F24">
      <w:start w:val="1"/>
      <w:numFmt w:val="bullet"/>
      <w:lvlText w:val="•"/>
      <w:lvlJc w:val="left"/>
      <w:pPr>
        <w:tabs>
          <w:tab w:val="num" w:pos="720"/>
        </w:tabs>
        <w:ind w:left="720" w:hanging="360"/>
      </w:pPr>
      <w:rPr>
        <w:rFonts w:ascii="Arial" w:hAnsi="Arial" w:hint="default"/>
      </w:rPr>
    </w:lvl>
    <w:lvl w:ilvl="1" w:tplc="A7362FB4" w:tentative="1">
      <w:start w:val="1"/>
      <w:numFmt w:val="bullet"/>
      <w:lvlText w:val="•"/>
      <w:lvlJc w:val="left"/>
      <w:pPr>
        <w:tabs>
          <w:tab w:val="num" w:pos="1440"/>
        </w:tabs>
        <w:ind w:left="1440" w:hanging="360"/>
      </w:pPr>
      <w:rPr>
        <w:rFonts w:ascii="Arial" w:hAnsi="Arial" w:hint="default"/>
      </w:rPr>
    </w:lvl>
    <w:lvl w:ilvl="2" w:tplc="6E7C2644" w:tentative="1">
      <w:start w:val="1"/>
      <w:numFmt w:val="bullet"/>
      <w:lvlText w:val="•"/>
      <w:lvlJc w:val="left"/>
      <w:pPr>
        <w:tabs>
          <w:tab w:val="num" w:pos="2160"/>
        </w:tabs>
        <w:ind w:left="2160" w:hanging="360"/>
      </w:pPr>
      <w:rPr>
        <w:rFonts w:ascii="Arial" w:hAnsi="Arial" w:hint="default"/>
      </w:rPr>
    </w:lvl>
    <w:lvl w:ilvl="3" w:tplc="8BC21BEA" w:tentative="1">
      <w:start w:val="1"/>
      <w:numFmt w:val="bullet"/>
      <w:lvlText w:val="•"/>
      <w:lvlJc w:val="left"/>
      <w:pPr>
        <w:tabs>
          <w:tab w:val="num" w:pos="2880"/>
        </w:tabs>
        <w:ind w:left="2880" w:hanging="360"/>
      </w:pPr>
      <w:rPr>
        <w:rFonts w:ascii="Arial" w:hAnsi="Arial" w:hint="default"/>
      </w:rPr>
    </w:lvl>
    <w:lvl w:ilvl="4" w:tplc="63CE31F4" w:tentative="1">
      <w:start w:val="1"/>
      <w:numFmt w:val="bullet"/>
      <w:lvlText w:val="•"/>
      <w:lvlJc w:val="left"/>
      <w:pPr>
        <w:tabs>
          <w:tab w:val="num" w:pos="3600"/>
        </w:tabs>
        <w:ind w:left="3600" w:hanging="360"/>
      </w:pPr>
      <w:rPr>
        <w:rFonts w:ascii="Arial" w:hAnsi="Arial" w:hint="default"/>
      </w:rPr>
    </w:lvl>
    <w:lvl w:ilvl="5" w:tplc="E8D4B69C" w:tentative="1">
      <w:start w:val="1"/>
      <w:numFmt w:val="bullet"/>
      <w:lvlText w:val="•"/>
      <w:lvlJc w:val="left"/>
      <w:pPr>
        <w:tabs>
          <w:tab w:val="num" w:pos="4320"/>
        </w:tabs>
        <w:ind w:left="4320" w:hanging="360"/>
      </w:pPr>
      <w:rPr>
        <w:rFonts w:ascii="Arial" w:hAnsi="Arial" w:hint="default"/>
      </w:rPr>
    </w:lvl>
    <w:lvl w:ilvl="6" w:tplc="1A684C50" w:tentative="1">
      <w:start w:val="1"/>
      <w:numFmt w:val="bullet"/>
      <w:lvlText w:val="•"/>
      <w:lvlJc w:val="left"/>
      <w:pPr>
        <w:tabs>
          <w:tab w:val="num" w:pos="5040"/>
        </w:tabs>
        <w:ind w:left="5040" w:hanging="360"/>
      </w:pPr>
      <w:rPr>
        <w:rFonts w:ascii="Arial" w:hAnsi="Arial" w:hint="default"/>
      </w:rPr>
    </w:lvl>
    <w:lvl w:ilvl="7" w:tplc="FA842462" w:tentative="1">
      <w:start w:val="1"/>
      <w:numFmt w:val="bullet"/>
      <w:lvlText w:val="•"/>
      <w:lvlJc w:val="left"/>
      <w:pPr>
        <w:tabs>
          <w:tab w:val="num" w:pos="5760"/>
        </w:tabs>
        <w:ind w:left="5760" w:hanging="360"/>
      </w:pPr>
      <w:rPr>
        <w:rFonts w:ascii="Arial" w:hAnsi="Arial" w:hint="default"/>
      </w:rPr>
    </w:lvl>
    <w:lvl w:ilvl="8" w:tplc="2CF0380C" w:tentative="1">
      <w:start w:val="1"/>
      <w:numFmt w:val="bullet"/>
      <w:lvlText w:val="•"/>
      <w:lvlJc w:val="left"/>
      <w:pPr>
        <w:tabs>
          <w:tab w:val="num" w:pos="6480"/>
        </w:tabs>
        <w:ind w:left="6480" w:hanging="360"/>
      </w:pPr>
      <w:rPr>
        <w:rFonts w:ascii="Arial" w:hAnsi="Arial" w:hint="default"/>
      </w:rPr>
    </w:lvl>
  </w:abstractNum>
  <w:num w:numId="1" w16cid:durableId="1060129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6A1"/>
    <w:rsid w:val="00010649"/>
    <w:rsid w:val="00013E94"/>
    <w:rsid w:val="00014E7A"/>
    <w:rsid w:val="00022D9B"/>
    <w:rsid w:val="00050C4E"/>
    <w:rsid w:val="00061E0C"/>
    <w:rsid w:val="0007232E"/>
    <w:rsid w:val="000754E3"/>
    <w:rsid w:val="000D1B57"/>
    <w:rsid w:val="000D21B0"/>
    <w:rsid w:val="000E48D1"/>
    <w:rsid w:val="00166B3C"/>
    <w:rsid w:val="00175776"/>
    <w:rsid w:val="00190774"/>
    <w:rsid w:val="00195A3D"/>
    <w:rsid w:val="001F3B49"/>
    <w:rsid w:val="001F5DDF"/>
    <w:rsid w:val="00203DE7"/>
    <w:rsid w:val="002332CB"/>
    <w:rsid w:val="00265457"/>
    <w:rsid w:val="002748CC"/>
    <w:rsid w:val="002825CC"/>
    <w:rsid w:val="00284D53"/>
    <w:rsid w:val="00290442"/>
    <w:rsid w:val="0029768A"/>
    <w:rsid w:val="002B693E"/>
    <w:rsid w:val="002D319B"/>
    <w:rsid w:val="002F3FFD"/>
    <w:rsid w:val="00314EC9"/>
    <w:rsid w:val="003473B5"/>
    <w:rsid w:val="00374729"/>
    <w:rsid w:val="00471F45"/>
    <w:rsid w:val="00474F4B"/>
    <w:rsid w:val="00494921"/>
    <w:rsid w:val="004C2E99"/>
    <w:rsid w:val="00535B10"/>
    <w:rsid w:val="00545CD3"/>
    <w:rsid w:val="00592205"/>
    <w:rsid w:val="00670DD6"/>
    <w:rsid w:val="006853D7"/>
    <w:rsid w:val="006C3593"/>
    <w:rsid w:val="006D6D28"/>
    <w:rsid w:val="006E4C47"/>
    <w:rsid w:val="006F41BB"/>
    <w:rsid w:val="0075328F"/>
    <w:rsid w:val="007720CE"/>
    <w:rsid w:val="00782BC7"/>
    <w:rsid w:val="007C509C"/>
    <w:rsid w:val="007D400E"/>
    <w:rsid w:val="008408EB"/>
    <w:rsid w:val="00863716"/>
    <w:rsid w:val="0088481C"/>
    <w:rsid w:val="008905E6"/>
    <w:rsid w:val="008B3298"/>
    <w:rsid w:val="0090726D"/>
    <w:rsid w:val="00923407"/>
    <w:rsid w:val="009B4905"/>
    <w:rsid w:val="009E2CEF"/>
    <w:rsid w:val="00A366D0"/>
    <w:rsid w:val="00A656A1"/>
    <w:rsid w:val="00A7160D"/>
    <w:rsid w:val="00A9404A"/>
    <w:rsid w:val="00B04BF1"/>
    <w:rsid w:val="00BA63EF"/>
    <w:rsid w:val="00C50189"/>
    <w:rsid w:val="00C75EAE"/>
    <w:rsid w:val="00D047C8"/>
    <w:rsid w:val="00D13362"/>
    <w:rsid w:val="00DF4242"/>
    <w:rsid w:val="00EA5493"/>
    <w:rsid w:val="00F7210A"/>
    <w:rsid w:val="00FC7404"/>
    <w:rsid w:val="00FF188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08B91"/>
  <w15:chartTrackingRefBased/>
  <w15:docId w15:val="{673CC515-F529-4494-99E2-C16190346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19B"/>
    <w:pPr>
      <w:spacing w:after="0" w:line="360" w:lineRule="auto"/>
      <w:jc w:val="both"/>
    </w:pPr>
    <w:rPr>
      <w:rFonts w:ascii="Times New Roman" w:hAnsi="Times New Roman" w:cs="Times New Roman"/>
      <w:sz w:val="24"/>
      <w:szCs w:val="24"/>
    </w:rPr>
  </w:style>
  <w:style w:type="paragraph" w:styleId="Heading1">
    <w:name w:val="heading 1"/>
    <w:basedOn w:val="Heading2"/>
    <w:next w:val="Normal"/>
    <w:link w:val="Heading1Char"/>
    <w:uiPriority w:val="9"/>
    <w:qFormat/>
    <w:rsid w:val="0075328F"/>
    <w:pPr>
      <w:outlineLvl w:val="0"/>
    </w:pPr>
  </w:style>
  <w:style w:type="paragraph" w:styleId="Heading2">
    <w:name w:val="heading 2"/>
    <w:basedOn w:val="Normal"/>
    <w:next w:val="Normal"/>
    <w:link w:val="Heading2Char"/>
    <w:uiPriority w:val="9"/>
    <w:unhideWhenUsed/>
    <w:qFormat/>
    <w:rsid w:val="0075328F"/>
    <w:pPr>
      <w:spacing w:before="240" w:after="240"/>
      <w:outlineLvl w:val="1"/>
    </w:pPr>
    <w:rPr>
      <w:rFonts w:ascii="Arial" w:hAnsi="Arial" w:cs="Arial"/>
      <w:b/>
      <w:bCs/>
      <w:sz w:val="22"/>
      <w:szCs w:val="22"/>
    </w:rPr>
  </w:style>
  <w:style w:type="paragraph" w:styleId="Heading3">
    <w:name w:val="heading 3"/>
    <w:basedOn w:val="Normal"/>
    <w:next w:val="Normal"/>
    <w:link w:val="Heading3Char"/>
    <w:uiPriority w:val="9"/>
    <w:semiHidden/>
    <w:unhideWhenUsed/>
    <w:qFormat/>
    <w:rsid w:val="00A656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56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56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56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6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6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6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qFormat/>
    <w:rsid w:val="008408EB"/>
    <w:rPr>
      <w:rFonts w:eastAsia="Arial" w:cs="Arial"/>
      <w:color w:val="000000" w:themeColor="text1"/>
      <w:kern w:val="0"/>
      <w:lang w:eastAsia="en-GB"/>
      <w14:ligatures w14:val="none"/>
    </w:rPr>
  </w:style>
  <w:style w:type="paragraph" w:styleId="TOC3">
    <w:name w:val="toc 3"/>
    <w:basedOn w:val="Normal"/>
    <w:next w:val="Normal"/>
    <w:uiPriority w:val="39"/>
    <w:semiHidden/>
    <w:unhideWhenUsed/>
    <w:qFormat/>
    <w:rsid w:val="008408EB"/>
    <w:pPr>
      <w:ind w:left="440"/>
    </w:pPr>
    <w:rPr>
      <w:rFonts w:eastAsia="Arial" w:cs="Arial"/>
      <w:color w:val="000000" w:themeColor="text1"/>
      <w:kern w:val="0"/>
      <w:lang w:eastAsia="en-GB"/>
      <w14:ligatures w14:val="none"/>
    </w:rPr>
  </w:style>
  <w:style w:type="paragraph" w:styleId="TableofFigures">
    <w:name w:val="table of figures"/>
    <w:basedOn w:val="Normal"/>
    <w:next w:val="Normal"/>
    <w:uiPriority w:val="99"/>
    <w:semiHidden/>
    <w:unhideWhenUsed/>
    <w:qFormat/>
    <w:rsid w:val="009E2CEF"/>
    <w:rPr>
      <w:rFonts w:eastAsia="Arial" w:cs="Arial"/>
      <w:color w:val="000000" w:themeColor="text1"/>
      <w:kern w:val="0"/>
      <w:lang w:eastAsia="en-GB"/>
      <w14:ligatures w14:val="none"/>
    </w:rPr>
  </w:style>
  <w:style w:type="paragraph" w:styleId="TOC2">
    <w:name w:val="toc 2"/>
    <w:basedOn w:val="Normal"/>
    <w:next w:val="Normal"/>
    <w:uiPriority w:val="39"/>
    <w:unhideWhenUsed/>
    <w:qFormat/>
    <w:rsid w:val="008408EB"/>
    <w:pPr>
      <w:ind w:left="220"/>
    </w:pPr>
    <w:rPr>
      <w:rFonts w:eastAsia="Arial" w:cs="Arial"/>
      <w:color w:val="000000" w:themeColor="text1"/>
      <w:kern w:val="0"/>
      <w:lang w:eastAsia="en-GB"/>
      <w14:ligatures w14:val="none"/>
    </w:rPr>
  </w:style>
  <w:style w:type="character" w:customStyle="1" w:styleId="Heading1Char">
    <w:name w:val="Heading 1 Char"/>
    <w:basedOn w:val="DefaultParagraphFont"/>
    <w:link w:val="Heading1"/>
    <w:uiPriority w:val="9"/>
    <w:rsid w:val="0075328F"/>
    <w:rPr>
      <w:rFonts w:ascii="Arial" w:hAnsi="Arial" w:cs="Arial"/>
      <w:b/>
      <w:bCs/>
    </w:rPr>
  </w:style>
  <w:style w:type="character" w:customStyle="1" w:styleId="Heading2Char">
    <w:name w:val="Heading 2 Char"/>
    <w:basedOn w:val="DefaultParagraphFont"/>
    <w:link w:val="Heading2"/>
    <w:uiPriority w:val="9"/>
    <w:rsid w:val="0075328F"/>
    <w:rPr>
      <w:rFonts w:ascii="Arial" w:hAnsi="Arial" w:cs="Arial"/>
      <w:b/>
      <w:bCs/>
    </w:rPr>
  </w:style>
  <w:style w:type="character" w:customStyle="1" w:styleId="Heading3Char">
    <w:name w:val="Heading 3 Char"/>
    <w:basedOn w:val="DefaultParagraphFont"/>
    <w:link w:val="Heading3"/>
    <w:uiPriority w:val="9"/>
    <w:semiHidden/>
    <w:rsid w:val="00A656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56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56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56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6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6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6A1"/>
    <w:rPr>
      <w:rFonts w:eastAsiaTheme="majorEastAsia" w:cstheme="majorBidi"/>
      <w:color w:val="272727" w:themeColor="text1" w:themeTint="D8"/>
    </w:rPr>
  </w:style>
  <w:style w:type="paragraph" w:styleId="Title">
    <w:name w:val="Title"/>
    <w:basedOn w:val="Normal"/>
    <w:next w:val="Normal"/>
    <w:link w:val="TitleChar"/>
    <w:uiPriority w:val="10"/>
    <w:qFormat/>
    <w:rsid w:val="00A656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6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6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6A1"/>
    <w:pPr>
      <w:spacing w:before="160"/>
      <w:jc w:val="center"/>
    </w:pPr>
    <w:rPr>
      <w:i/>
      <w:iCs/>
      <w:color w:val="404040" w:themeColor="text1" w:themeTint="BF"/>
    </w:rPr>
  </w:style>
  <w:style w:type="character" w:customStyle="1" w:styleId="QuoteChar">
    <w:name w:val="Quote Char"/>
    <w:basedOn w:val="DefaultParagraphFont"/>
    <w:link w:val="Quote"/>
    <w:uiPriority w:val="29"/>
    <w:rsid w:val="00A656A1"/>
    <w:rPr>
      <w:i/>
      <w:iCs/>
      <w:color w:val="404040" w:themeColor="text1" w:themeTint="BF"/>
    </w:rPr>
  </w:style>
  <w:style w:type="paragraph" w:styleId="ListParagraph">
    <w:name w:val="List Paragraph"/>
    <w:basedOn w:val="Normal"/>
    <w:uiPriority w:val="34"/>
    <w:qFormat/>
    <w:rsid w:val="00A656A1"/>
    <w:pPr>
      <w:ind w:left="720"/>
      <w:contextualSpacing/>
    </w:pPr>
  </w:style>
  <w:style w:type="character" w:styleId="IntenseEmphasis">
    <w:name w:val="Intense Emphasis"/>
    <w:basedOn w:val="DefaultParagraphFont"/>
    <w:uiPriority w:val="21"/>
    <w:qFormat/>
    <w:rsid w:val="00A656A1"/>
    <w:rPr>
      <w:i/>
      <w:iCs/>
      <w:color w:val="2F5496" w:themeColor="accent1" w:themeShade="BF"/>
    </w:rPr>
  </w:style>
  <w:style w:type="paragraph" w:styleId="IntenseQuote">
    <w:name w:val="Intense Quote"/>
    <w:basedOn w:val="Normal"/>
    <w:next w:val="Normal"/>
    <w:link w:val="IntenseQuoteChar"/>
    <w:uiPriority w:val="30"/>
    <w:qFormat/>
    <w:rsid w:val="00A656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56A1"/>
    <w:rPr>
      <w:i/>
      <w:iCs/>
      <w:color w:val="2F5496" w:themeColor="accent1" w:themeShade="BF"/>
    </w:rPr>
  </w:style>
  <w:style w:type="character" w:styleId="IntenseReference">
    <w:name w:val="Intense Reference"/>
    <w:basedOn w:val="DefaultParagraphFont"/>
    <w:uiPriority w:val="32"/>
    <w:qFormat/>
    <w:rsid w:val="00A656A1"/>
    <w:rPr>
      <w:b/>
      <w:bCs/>
      <w:smallCaps/>
      <w:color w:val="2F5496" w:themeColor="accent1" w:themeShade="BF"/>
      <w:spacing w:val="5"/>
    </w:rPr>
  </w:style>
  <w:style w:type="paragraph" w:styleId="Header">
    <w:name w:val="header"/>
    <w:basedOn w:val="Normal"/>
    <w:link w:val="HeaderChar"/>
    <w:uiPriority w:val="99"/>
    <w:unhideWhenUsed/>
    <w:rsid w:val="0029768A"/>
    <w:pPr>
      <w:tabs>
        <w:tab w:val="center" w:pos="4513"/>
        <w:tab w:val="right" w:pos="9026"/>
      </w:tabs>
      <w:spacing w:line="240" w:lineRule="auto"/>
    </w:pPr>
  </w:style>
  <w:style w:type="character" w:customStyle="1" w:styleId="HeaderChar">
    <w:name w:val="Header Char"/>
    <w:basedOn w:val="DefaultParagraphFont"/>
    <w:link w:val="Header"/>
    <w:uiPriority w:val="99"/>
    <w:rsid w:val="0029768A"/>
    <w:rPr>
      <w:rFonts w:ascii="Times New Roman" w:hAnsi="Times New Roman" w:cs="Times New Roman"/>
      <w:sz w:val="24"/>
      <w:szCs w:val="24"/>
    </w:rPr>
  </w:style>
  <w:style w:type="paragraph" w:styleId="Footer">
    <w:name w:val="footer"/>
    <w:basedOn w:val="Normal"/>
    <w:link w:val="FooterChar"/>
    <w:uiPriority w:val="99"/>
    <w:unhideWhenUsed/>
    <w:rsid w:val="0029768A"/>
    <w:pPr>
      <w:tabs>
        <w:tab w:val="center" w:pos="4513"/>
        <w:tab w:val="right" w:pos="9026"/>
      </w:tabs>
      <w:spacing w:line="240" w:lineRule="auto"/>
    </w:pPr>
  </w:style>
  <w:style w:type="character" w:customStyle="1" w:styleId="FooterChar">
    <w:name w:val="Footer Char"/>
    <w:basedOn w:val="DefaultParagraphFont"/>
    <w:link w:val="Footer"/>
    <w:uiPriority w:val="99"/>
    <w:rsid w:val="0029768A"/>
    <w:rPr>
      <w:rFonts w:ascii="Times New Roman" w:hAnsi="Times New Roman" w:cs="Times New Roman"/>
      <w:sz w:val="24"/>
      <w:szCs w:val="24"/>
    </w:rPr>
  </w:style>
  <w:style w:type="table" w:styleId="TableGrid">
    <w:name w:val="Table Grid"/>
    <w:basedOn w:val="TableNormal"/>
    <w:uiPriority w:val="39"/>
    <w:rsid w:val="00190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907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825CC"/>
    <w:pPr>
      <w:keepNext/>
      <w:keepLines/>
      <w:spacing w:after="0"/>
      <w:outlineLvl w:val="9"/>
    </w:pPr>
    <w:rPr>
      <w:rFonts w:asciiTheme="majorHAnsi" w:eastAsiaTheme="majorEastAsia" w:hAnsiTheme="majorHAnsi" w:cstheme="majorBidi"/>
      <w:b w:val="0"/>
      <w:bCs w:val="0"/>
      <w:color w:val="2F5496" w:themeColor="accent1" w:themeShade="BF"/>
      <w:sz w:val="32"/>
      <w:szCs w:val="32"/>
    </w:rPr>
  </w:style>
  <w:style w:type="paragraph" w:styleId="NormalWeb">
    <w:name w:val="Normal (Web)"/>
    <w:basedOn w:val="Normal"/>
    <w:uiPriority w:val="99"/>
    <w:unhideWhenUsed/>
    <w:rsid w:val="002825CC"/>
    <w:pPr>
      <w:spacing w:before="100" w:beforeAutospacing="1" w:after="100" w:afterAutospacing="1" w:line="240" w:lineRule="auto"/>
      <w:jc w:val="left"/>
    </w:pPr>
    <w:rPr>
      <w:rFonts w:eastAsia="Times New Roman"/>
      <w:kern w:val="0"/>
      <w:lang w:val="en-US"/>
      <w14:ligatures w14:val="none"/>
    </w:rPr>
  </w:style>
  <w:style w:type="character" w:styleId="Hyperlink">
    <w:name w:val="Hyperlink"/>
    <w:basedOn w:val="DefaultParagraphFont"/>
    <w:uiPriority w:val="99"/>
    <w:unhideWhenUsed/>
    <w:rsid w:val="002825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5/apr/02/patient-satisfaction-with-nhs-has-hit-record-low-of-21-survey-finds" TargetMode="External" /><Relationship Id="rId13" Type="http://schemas.openxmlformats.org/officeDocument/2006/relationships/hyperlink" Target="https://www.legislation.gov.uk/ukpga/2014/23/contents" TargetMode="External" /><Relationship Id="rId18" Type="http://schemas.openxmlformats.org/officeDocument/2006/relationships/hyperlink" Target="https://link.springer.com/content/pdf/10.1186/s12913-024-11500-3.pdf" TargetMode="External" /><Relationship Id="rId26" Type="http://schemas.openxmlformats.org/officeDocument/2006/relationships/hyperlink" Target="https://journals.sagepub.com/doi/pdf/10.1177/02692163221118230" TargetMode="External" /><Relationship Id="rId3" Type="http://schemas.openxmlformats.org/officeDocument/2006/relationships/settings" Target="settings.xml" /><Relationship Id="rId21" Type="http://schemas.openxmlformats.org/officeDocument/2006/relationships/hyperlink" Target="https://www.england.nhs.uk/urgent-emergency-care/improving-hospital-discharge/case-studies/implementation-of-a-discharge-to-assess-model/" TargetMode="External" /><Relationship Id="rId34"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s://www.theukcatpeople.co.uk/post/indi-gregory-case-medical-ethics-nhs-decision-making-mmi-hot-topics" TargetMode="External" /><Relationship Id="rId17" Type="http://schemas.openxmlformats.org/officeDocument/2006/relationships/hyperlink" Target="https://www.health.org.uk/reports-and-analysis/analysis/progress-but-is-it-enough-what-the-latest-nhs-waiting-times-mean-for" TargetMode="External" /><Relationship Id="rId25" Type="http://schemas.openxmlformats.org/officeDocument/2006/relationships/hyperlink" Target="https://www.nice.org.uk/guidance/ng94/evidence/28.structured-ward-rounds-pdf-172397464641" TargetMode="External" /><Relationship Id="rId33" Type="http://schemas.openxmlformats.org/officeDocument/2006/relationships/hyperlink" Target="https://www.who.int/europe/news-room/photo-stories/item/connecting-care--exploring-sweden-s-innovative-phc-model" TargetMode="External" /><Relationship Id="rId2" Type="http://schemas.openxmlformats.org/officeDocument/2006/relationships/styles" Target="styles.xml" /><Relationship Id="rId16" Type="http://schemas.openxmlformats.org/officeDocument/2006/relationships/hyperlink" Target="https://www.health.org.uk/reports-and-analysis/analysis/delayed-discharges-from-hospital-comparing-performance" TargetMode="External" /><Relationship Id="rId20" Type="http://schemas.openxmlformats.org/officeDocument/2006/relationships/hyperlink" Target="https://www.legislation.gov.uk/ukpga/1998/42/contents" TargetMode="External" /><Relationship Id="rId29" Type="http://schemas.openxmlformats.org/officeDocument/2006/relationships/hyperlink" Target="https://link.springer.com/content/pdf/10.1186/s12913-022-08623-w.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ngagebritain.org/health-care-survey-experiences-nhs/" TargetMode="External" /><Relationship Id="rId24" Type="http://schemas.openxmlformats.org/officeDocument/2006/relationships/hyperlink" Target="https://www.england.nhs.uk/personalisedcare/" TargetMode="External" /><Relationship Id="rId32" Type="http://schemas.openxmlformats.org/officeDocument/2006/relationships/hyperlink" Target="https://www.scielo.br/j/estpsi/a/WKZWvqVZcBX7yJnWRyCbYMQ/?format=pdf&amp;lang=en" TargetMode="External" /><Relationship Id="rId5" Type="http://schemas.openxmlformats.org/officeDocument/2006/relationships/footnotes" Target="footnotes.xml" /><Relationship Id="rId15" Type="http://schemas.openxmlformats.org/officeDocument/2006/relationships/hyperlink" Target="https://www.gov.uk/government/publications/review-of-patient-safety-across-the-health-and-care-landscape/review-of-patient-safety-across-the-health-and-care-landscape" TargetMode="External" /><Relationship Id="rId23" Type="http://schemas.openxmlformats.org/officeDocument/2006/relationships/hyperlink" Target="https://www.england.nhs.uk/long-read/provision-of-person-centred-holistic-care-delivered-by-neighbourhood-multidisciplinary-teams-high-intensity-use-focused/" TargetMode="External" /><Relationship Id="rId28" Type="http://schemas.openxmlformats.org/officeDocument/2006/relationships/hyperlink" Target="https://assets.publishing.service.gov.uk/media/6363d911e90e0705a8c35457/health-and-care-act-2022-summary-and-additional-measures-impact-assessment.pdf" TargetMode="External" /><Relationship Id="rId36" Type="http://schemas.openxmlformats.org/officeDocument/2006/relationships/theme" Target="theme/theme1.xml" /><Relationship Id="rId10" Type="http://schemas.openxmlformats.org/officeDocument/2006/relationships/hyperlink" Target="https://journals.sagepub.com/doi/pdf/10.1177/20534345221122952" TargetMode="External" /><Relationship Id="rId19" Type="http://schemas.openxmlformats.org/officeDocument/2006/relationships/hyperlink" Target="https://www.legislation.gov.uk/ukpga/2012/7/contents" TargetMode="External" /><Relationship Id="rId31" Type="http://schemas.openxmlformats.org/officeDocument/2006/relationships/hyperlink" Target="https://www.mdpi.com/2227-9032/13/11/1267" TargetMode="External" /><Relationship Id="rId4" Type="http://schemas.openxmlformats.org/officeDocument/2006/relationships/webSettings" Target="webSettings.xml" /><Relationship Id="rId9" Type="http://schemas.openxmlformats.org/officeDocument/2006/relationships/hyperlink" Target="https://journals.sagepub.com/doi/pdf/10.1177/02692163221118230" TargetMode="External" /><Relationship Id="rId14" Type="http://schemas.openxmlformats.org/officeDocument/2006/relationships/hyperlink" Target="https://www.gov.uk/guidance/equality-act-2010-guidance" TargetMode="External" /><Relationship Id="rId22" Type="http://schemas.openxmlformats.org/officeDocument/2006/relationships/hyperlink" Target="https://www.england.nhs.uk/long-read/nhs-delivery-and-continuous-improvement-review-recommendations/" TargetMode="External" /><Relationship Id="rId27" Type="http://schemas.openxmlformats.org/officeDocument/2006/relationships/hyperlink" Target="https://hyphenonline.com/2024/12/23/44-of-muslim-doctors-have-faced-regular-discrimination-since-medical-school/" TargetMode="External" /><Relationship Id="rId30" Type="http://schemas.openxmlformats.org/officeDocument/2006/relationships/hyperlink" Target="https://www.sundhed.dk/borger/service/om-sundheddk/om-organisationen/ehealth-in-denmark/background/"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4078</Words>
  <Characters>23246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saidiserge801@yahoo.com</cp:lastModifiedBy>
  <cp:revision>2</cp:revision>
  <dcterms:created xsi:type="dcterms:W3CDTF">2026-07-21T10:04:00Z</dcterms:created>
  <dcterms:modified xsi:type="dcterms:W3CDTF">2026-07-21T10:04:00Z</dcterms:modified>
</cp:coreProperties>
</file>