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84EF70" w14:textId="49D087BD" w:rsidR="00187BD8" w:rsidRPr="004218D1" w:rsidRDefault="000526AE" w:rsidP="000526AE">
      <w:pPr>
        <w:pStyle w:val="NormalWeb"/>
        <w:spacing w:before="0" w:beforeAutospacing="0" w:after="0" w:afterAutospacing="0" w:line="480" w:lineRule="auto"/>
        <w:jc w:val="both"/>
        <w:rPr>
          <w:b/>
          <w:bCs/>
          <w:color w:val="000000"/>
          <w:sz w:val="28"/>
          <w:szCs w:val="28"/>
        </w:rPr>
      </w:pPr>
      <w:r w:rsidRPr="004218D1">
        <w:rPr>
          <w:b/>
          <w:bCs/>
          <w:color w:val="000000"/>
          <w:sz w:val="28"/>
          <w:szCs w:val="28"/>
        </w:rPr>
        <w:t>How can teachers teach better</w:t>
      </w:r>
      <w:r w:rsidR="004218D1" w:rsidRPr="004218D1">
        <w:rPr>
          <w:b/>
          <w:bCs/>
          <w:color w:val="000000"/>
          <w:sz w:val="28"/>
          <w:szCs w:val="28"/>
        </w:rPr>
        <w:t xml:space="preserve"> with the right education and experience</w:t>
      </w:r>
      <w:r w:rsidRPr="004218D1">
        <w:rPr>
          <w:b/>
          <w:bCs/>
          <w:color w:val="000000"/>
          <w:sz w:val="28"/>
          <w:szCs w:val="28"/>
        </w:rPr>
        <w:t xml:space="preserve">: an analysis aimed at </w:t>
      </w:r>
      <w:r w:rsidR="00187BD8" w:rsidRPr="004218D1">
        <w:rPr>
          <w:b/>
          <w:bCs/>
          <w:color w:val="000000"/>
          <w:sz w:val="28"/>
          <w:szCs w:val="28"/>
        </w:rPr>
        <w:t>early educators regarding how to be best teachers to students having learning difficulties</w:t>
      </w:r>
    </w:p>
    <w:p w14:paraId="3D2BB1AF" w14:textId="77777777" w:rsidR="0098294C" w:rsidRPr="00187BD8" w:rsidRDefault="0098294C" w:rsidP="000526AE">
      <w:pPr>
        <w:pStyle w:val="NormalWeb"/>
        <w:spacing w:before="0" w:beforeAutospacing="0" w:after="0" w:afterAutospacing="0" w:line="480" w:lineRule="auto"/>
        <w:jc w:val="both"/>
        <w:rPr>
          <w:b/>
          <w:bCs/>
          <w:color w:val="000000"/>
        </w:rPr>
      </w:pPr>
    </w:p>
    <w:p w14:paraId="2D8FF843" w14:textId="4B6E2E65" w:rsidR="000526AE" w:rsidRPr="000526AE" w:rsidRDefault="000526AE" w:rsidP="000526AE">
      <w:pPr>
        <w:pStyle w:val="NormalWeb"/>
        <w:spacing w:before="0" w:beforeAutospacing="0" w:after="0" w:afterAutospacing="0" w:line="480" w:lineRule="auto"/>
        <w:jc w:val="both"/>
      </w:pPr>
      <w:r w:rsidRPr="000526AE">
        <w:rPr>
          <w:color w:val="000000"/>
        </w:rPr>
        <w:t xml:space="preserve">Education is considered an essential pillar in the advancement and refining of societies. There is a correlation between the standards of teaching in contrast to the nuance and cognitive abilities of the child. The better the learning techniques utilized, the more improved is the child’s aptitude to process the world and solve complex problems.  On a global scale, nations that invest more in refining the quality of education experience improved societal and economic prosperity. A report by the World Bank states that globally, for every extra year of schooling, there is a 9% increase in hourly earnings. </w:t>
      </w:r>
      <w:hyperlink r:id="rId4" w:history="1">
        <w:r w:rsidRPr="000526AE">
          <w:rPr>
            <w:rStyle w:val="Hyperlink"/>
            <w:color w:val="1155CC"/>
            <w:shd w:val="clear" w:color="auto" w:fill="FFFFFF"/>
          </w:rPr>
          <w:t>[1]</w:t>
        </w:r>
      </w:hyperlink>
    </w:p>
    <w:p w14:paraId="073400D4" w14:textId="77777777" w:rsidR="000526AE" w:rsidRPr="000526AE" w:rsidRDefault="000526AE" w:rsidP="000526AE">
      <w:pPr>
        <w:pStyle w:val="NormalWeb"/>
        <w:spacing w:before="0" w:beforeAutospacing="0" w:after="0" w:afterAutospacing="0" w:line="480" w:lineRule="auto"/>
        <w:jc w:val="both"/>
      </w:pPr>
      <w:r w:rsidRPr="000526AE">
        <w:rPr>
          <w:color w:val="000000"/>
        </w:rPr>
        <w:t>In a world where countless effort, expenditure, and resources are being poured into the sophistication of education and making it inclusive for all, it has become ever necessary to achieve learning objectives. As per the Glossary of Education Reform</w:t>
      </w:r>
      <w:r w:rsidRPr="000526AE">
        <w:rPr>
          <w:i/>
          <w:iCs/>
          <w:color w:val="000000"/>
        </w:rPr>
        <w:t xml:space="preserve">, </w:t>
      </w:r>
      <w:r w:rsidRPr="000526AE">
        <w:rPr>
          <w:color w:val="000000"/>
        </w:rPr>
        <w:t>learning objectives are “</w:t>
      </w:r>
      <w:r w:rsidRPr="000526AE">
        <w:rPr>
          <w:i/>
          <w:iCs/>
          <w:color w:val="000000"/>
        </w:rPr>
        <w:t>the interim academic goals that teachers establish for students who are working toward meeting more comprehensive learning standards.</w:t>
      </w:r>
      <w:r w:rsidRPr="000526AE">
        <w:rPr>
          <w:color w:val="000000"/>
        </w:rPr>
        <w:t>”</w:t>
      </w:r>
    </w:p>
    <w:p w14:paraId="71107A5D" w14:textId="2A8C33AF" w:rsidR="000526AE" w:rsidRPr="000526AE" w:rsidRDefault="000526AE" w:rsidP="000526AE">
      <w:pPr>
        <w:pStyle w:val="NormalWeb"/>
        <w:spacing w:before="0" w:beforeAutospacing="0" w:after="0" w:afterAutospacing="0" w:line="480" w:lineRule="auto"/>
        <w:jc w:val="both"/>
      </w:pPr>
      <w:r w:rsidRPr="000526AE">
        <w:rPr>
          <w:color w:val="000000"/>
        </w:rPr>
        <w:t xml:space="preserve">In today’s climate of inclusive learning, these objectives are targeted with special needs children having intellectual disabilities, learning disabilities, ADHD, emotional and </w:t>
      </w:r>
      <w:r w:rsidRPr="000526AE">
        <w:rPr>
          <w:color w:val="000000"/>
        </w:rPr>
        <w:t>behavioural</w:t>
      </w:r>
      <w:r w:rsidRPr="000526AE">
        <w:rPr>
          <w:color w:val="000000"/>
        </w:rPr>
        <w:t xml:space="preserve"> disorders, communication disorders; physical incapacities such as deafness or visual impairment; children who fall within the Autism Spectrum, to name a few. The performance of teachers who deal exclusively with Special Needs children is gauged by how effectively they achieve these learning objectives.</w:t>
      </w:r>
    </w:p>
    <w:p w14:paraId="20332837" w14:textId="77777777" w:rsidR="000526AE" w:rsidRPr="000526AE" w:rsidRDefault="000526AE" w:rsidP="000526AE">
      <w:pPr>
        <w:pStyle w:val="NormalWeb"/>
        <w:spacing w:before="0" w:beforeAutospacing="0" w:after="0" w:afterAutospacing="0" w:line="480" w:lineRule="auto"/>
        <w:jc w:val="both"/>
      </w:pPr>
      <w:r w:rsidRPr="000526AE">
        <w:rPr>
          <w:color w:val="000000"/>
        </w:rPr>
        <w:lastRenderedPageBreak/>
        <w:t xml:space="preserve">One of the primary factors that bolsters the efficacy of learning objectives is tenure, </w:t>
      </w:r>
      <w:proofErr w:type="gramStart"/>
      <w:r w:rsidRPr="000526AE">
        <w:rPr>
          <w:color w:val="000000"/>
        </w:rPr>
        <w:t>i.e.</w:t>
      </w:r>
      <w:proofErr w:type="gramEnd"/>
      <w:r w:rsidRPr="000526AE">
        <w:rPr>
          <w:color w:val="000000"/>
        </w:rPr>
        <w:t xml:space="preserve"> the period of time a teacher has spent in teaching children with special needs. It has been found that the higher the years of experience, the better results the teacher has gained with their learning objectives. Similarly, the less the years, the more dilute is the teacher’s performance. The tenure is also affected by the ‘productivity age’ of the teacher, where the individual’s natural capacity to improve with trial and error, and to learn from their experiences allows them to enhance their methods. But all this does not mean that a longer tenure automatically leads to better results, as a teacher’s efficacy is also determined by economic and contextual conditions, especially of a workplace promotion. Promotions lead to increased salaries, which in turn fuel motivation. In a culture where opportunities for a promotion are limited, an individual loses enthusiasm for their work which contributes to a decline in output and quality. It is therefore imperative to sustain a system that rewards teachers who have had a long tenure in their fields.</w:t>
      </w:r>
    </w:p>
    <w:p w14:paraId="659A8525" w14:textId="589ABF33" w:rsidR="000526AE" w:rsidRPr="000526AE" w:rsidRDefault="000526AE" w:rsidP="000526AE">
      <w:pPr>
        <w:pStyle w:val="NormalWeb"/>
        <w:spacing w:before="0" w:beforeAutospacing="0" w:after="0" w:afterAutospacing="0" w:line="480" w:lineRule="auto"/>
        <w:jc w:val="both"/>
      </w:pPr>
      <w:r w:rsidRPr="000526AE">
        <w:rPr>
          <w:color w:val="000000"/>
        </w:rPr>
        <w:t>Government and operational bodies have also paved the way for teachers to improve their professionalism and quality of teaching by earning certifications. A certificate legitimizes a teacher’s standard and acts as proof for their professional training.</w:t>
      </w:r>
      <w:r w:rsidRPr="000526AE">
        <w:rPr>
          <w:color w:val="FF0000"/>
        </w:rPr>
        <w:t xml:space="preserve"> </w:t>
      </w:r>
      <w:r>
        <w:rPr>
          <w:color w:val="000000" w:themeColor="text1"/>
        </w:rPr>
        <w:t>Generally</w:t>
      </w:r>
      <w:r w:rsidRPr="000526AE">
        <w:rPr>
          <w:color w:val="000000" w:themeColor="text1"/>
        </w:rPr>
        <w:t xml:space="preserve">, teacher certification is </w:t>
      </w:r>
      <w:r>
        <w:rPr>
          <w:color w:val="000000" w:themeColor="text1"/>
        </w:rPr>
        <w:t>required necessary</w:t>
      </w:r>
      <w:r w:rsidRPr="000526AE">
        <w:rPr>
          <w:color w:val="000000" w:themeColor="text1"/>
        </w:rPr>
        <w:t xml:space="preserve"> by Law No. 20 of 2003 </w:t>
      </w:r>
      <w:r>
        <w:rPr>
          <w:color w:val="000000" w:themeColor="text1"/>
        </w:rPr>
        <w:t>that concerns the National Education System</w:t>
      </w:r>
      <w:r w:rsidRPr="000526AE">
        <w:rPr>
          <w:color w:val="000000" w:themeColor="text1"/>
        </w:rPr>
        <w:t xml:space="preserve"> </w:t>
      </w:r>
      <w:r w:rsidRPr="000526AE">
        <w:rPr>
          <w:color w:val="000000"/>
        </w:rPr>
        <w:t>to showcase the eligibility of an educator to achieve their educational objectives. </w:t>
      </w:r>
    </w:p>
    <w:p w14:paraId="4ECDA39E" w14:textId="7B999AAE" w:rsidR="00483B44" w:rsidRPr="00483B44" w:rsidRDefault="00483B44" w:rsidP="000526AE">
      <w:pPr>
        <w:pStyle w:val="NormalWeb"/>
        <w:spacing w:before="0" w:beforeAutospacing="0" w:after="0" w:afterAutospacing="0" w:line="480" w:lineRule="auto"/>
        <w:jc w:val="both"/>
        <w:rPr>
          <w:b/>
          <w:bCs/>
          <w:color w:val="000000"/>
        </w:rPr>
      </w:pPr>
      <w:r w:rsidRPr="00483B44">
        <w:rPr>
          <w:b/>
          <w:bCs/>
          <w:color w:val="000000"/>
        </w:rPr>
        <w:t>Research Questions:</w:t>
      </w:r>
    </w:p>
    <w:p w14:paraId="73F2BB00" w14:textId="539679DB" w:rsidR="000526AE" w:rsidRPr="000526AE" w:rsidRDefault="000526AE" w:rsidP="000526AE">
      <w:pPr>
        <w:pStyle w:val="NormalWeb"/>
        <w:spacing w:before="0" w:beforeAutospacing="0" w:after="0" w:afterAutospacing="0" w:line="480" w:lineRule="auto"/>
        <w:jc w:val="both"/>
      </w:pPr>
      <w:r w:rsidRPr="000526AE">
        <w:rPr>
          <w:color w:val="000000"/>
        </w:rPr>
        <w:t>To explore the facets of what leads to being an effective teacher to special needs children, this paper aims to answer the following questions:</w:t>
      </w:r>
    </w:p>
    <w:p w14:paraId="41FCD1AE" w14:textId="0FACB819" w:rsidR="000526AE" w:rsidRPr="000526AE" w:rsidRDefault="000526AE" w:rsidP="000526AE">
      <w:pPr>
        <w:pStyle w:val="NormalWeb"/>
        <w:spacing w:before="0" w:beforeAutospacing="0" w:after="0" w:afterAutospacing="0" w:line="480" w:lineRule="auto"/>
        <w:jc w:val="both"/>
        <w:rPr>
          <w:color w:val="000000" w:themeColor="text1"/>
        </w:rPr>
      </w:pPr>
      <w:r w:rsidRPr="000526AE">
        <w:rPr>
          <w:color w:val="000000" w:themeColor="text1"/>
        </w:rPr>
        <w:t xml:space="preserve">1) </w:t>
      </w:r>
      <w:r w:rsidR="004218D1">
        <w:rPr>
          <w:color w:val="000000" w:themeColor="text1"/>
        </w:rPr>
        <w:t>How does job tenure effect the performance of teachers?</w:t>
      </w:r>
    </w:p>
    <w:p w14:paraId="1B04E298" w14:textId="5F0C3B22" w:rsidR="000526AE" w:rsidRPr="000526AE" w:rsidRDefault="000526AE" w:rsidP="000526AE">
      <w:pPr>
        <w:pStyle w:val="NormalWeb"/>
        <w:spacing w:before="0" w:beforeAutospacing="0" w:after="0" w:afterAutospacing="0" w:line="480" w:lineRule="auto"/>
        <w:jc w:val="both"/>
        <w:rPr>
          <w:color w:val="000000" w:themeColor="text1"/>
        </w:rPr>
      </w:pPr>
      <w:r w:rsidRPr="000526AE">
        <w:rPr>
          <w:color w:val="000000" w:themeColor="text1"/>
        </w:rPr>
        <w:t xml:space="preserve">2) </w:t>
      </w:r>
      <w:r w:rsidR="004218D1">
        <w:rPr>
          <w:color w:val="000000" w:themeColor="text1"/>
        </w:rPr>
        <w:t>How does certification effect the performance of teachers?</w:t>
      </w:r>
    </w:p>
    <w:p w14:paraId="2DAD819E" w14:textId="7B788175" w:rsidR="000526AE" w:rsidRDefault="000526AE" w:rsidP="004218D1">
      <w:pPr>
        <w:pStyle w:val="NormalWeb"/>
        <w:spacing w:before="0" w:beforeAutospacing="0" w:after="0" w:afterAutospacing="0" w:line="480" w:lineRule="auto"/>
        <w:jc w:val="both"/>
        <w:rPr>
          <w:color w:val="000000" w:themeColor="text1"/>
        </w:rPr>
      </w:pPr>
      <w:r w:rsidRPr="000526AE">
        <w:rPr>
          <w:color w:val="000000" w:themeColor="text1"/>
        </w:rPr>
        <w:lastRenderedPageBreak/>
        <w:t xml:space="preserve">3) </w:t>
      </w:r>
      <w:r w:rsidR="004218D1">
        <w:rPr>
          <w:color w:val="000000" w:themeColor="text1"/>
        </w:rPr>
        <w:t>What is the role of teacher education in teachers’ performance during teachings students with additional learning needs?</w:t>
      </w:r>
    </w:p>
    <w:p w14:paraId="590B5944" w14:textId="236C77F9" w:rsidR="00ED4223" w:rsidRDefault="00ED4223" w:rsidP="004218D1">
      <w:pPr>
        <w:pStyle w:val="NormalWeb"/>
        <w:spacing w:before="0" w:beforeAutospacing="0" w:after="0" w:afterAutospacing="0" w:line="480" w:lineRule="auto"/>
        <w:jc w:val="both"/>
        <w:rPr>
          <w:color w:val="000000" w:themeColor="text1"/>
        </w:rPr>
      </w:pPr>
    </w:p>
    <w:p w14:paraId="13433F03" w14:textId="047159CE" w:rsidR="00ED4223" w:rsidRDefault="00ED4223" w:rsidP="004218D1">
      <w:pPr>
        <w:pStyle w:val="NormalWeb"/>
        <w:spacing w:before="0" w:beforeAutospacing="0" w:after="0" w:afterAutospacing="0" w:line="480" w:lineRule="auto"/>
        <w:jc w:val="both"/>
        <w:rPr>
          <w:b/>
          <w:bCs/>
          <w:color w:val="000000" w:themeColor="text1"/>
        </w:rPr>
      </w:pPr>
      <w:r>
        <w:rPr>
          <w:b/>
          <w:bCs/>
          <w:color w:val="000000" w:themeColor="text1"/>
        </w:rPr>
        <w:t>Research methodology</w:t>
      </w:r>
    </w:p>
    <w:p w14:paraId="549B8FBB" w14:textId="1AA13022" w:rsidR="00AD6EA4" w:rsidRDefault="009D5267" w:rsidP="00F867D7">
      <w:pPr>
        <w:pStyle w:val="NormalWeb"/>
        <w:spacing w:before="0" w:beforeAutospacing="0" w:after="0" w:afterAutospacing="0" w:line="480" w:lineRule="auto"/>
        <w:jc w:val="both"/>
        <w:rPr>
          <w:color w:val="000000" w:themeColor="text1"/>
        </w:rPr>
      </w:pPr>
      <w:r>
        <w:rPr>
          <w:color w:val="000000" w:themeColor="text1"/>
        </w:rPr>
        <w:t xml:space="preserve">This research has made use of the critical </w:t>
      </w:r>
      <w:r w:rsidR="00B23540">
        <w:rPr>
          <w:color w:val="000000" w:themeColor="text1"/>
        </w:rPr>
        <w:t xml:space="preserve">analysis </w:t>
      </w:r>
      <w:r>
        <w:rPr>
          <w:color w:val="000000" w:themeColor="text1"/>
        </w:rPr>
        <w:t>approach</w:t>
      </w:r>
      <w:r w:rsidR="00B23540">
        <w:rPr>
          <w:color w:val="000000" w:themeColor="text1"/>
        </w:rPr>
        <w:t xml:space="preserve"> with some important points gathered from articles. This approach was chosen because it helped explain the topic under consideration better and elaboratively. The topic at hand needed to be scrutinised critically. This research method can be used to put forth the ideas of other researchers in the past and relate it to the ideas that exist newly while the writer can give their own opinion about how</w:t>
      </w:r>
      <w:r w:rsidR="00684611">
        <w:rPr>
          <w:color w:val="000000" w:themeColor="text1"/>
        </w:rPr>
        <w:t xml:space="preserve"> any of the points are valid or invalid.</w:t>
      </w:r>
      <w:r w:rsidR="003770FF">
        <w:rPr>
          <w:color w:val="000000" w:themeColor="text1"/>
        </w:rPr>
        <w:t xml:space="preserve"> The critical writing helps us get involved in a critical debate. According to the university of Leicester “</w:t>
      </w:r>
      <w:r w:rsidR="003770FF">
        <w:t>e. It requires ‘a refusal to accept the conclusions of other writers without evaluating the arguments and evidence they provide’</w:t>
      </w:r>
      <w:r w:rsidR="003770FF">
        <w:t xml:space="preserve">. </w:t>
      </w:r>
      <w:r w:rsidR="001D115E">
        <w:t xml:space="preserve">In this research paper, as we move on with the literature review and analyse how different researchers have different views, we will delve deeper into evidence given by researchers. The research will make an </w:t>
      </w:r>
      <w:proofErr w:type="gramStart"/>
      <w:r w:rsidR="001D115E">
        <w:t>open minded</w:t>
      </w:r>
      <w:proofErr w:type="gramEnd"/>
      <w:r w:rsidR="001D115E">
        <w:t xml:space="preserve"> argument and the results would end up open ended so that the readers and observers can also have their own view. Researchers and ideas would be openly challenged so that we allow for different ideas to be introduced in the paper. </w:t>
      </w:r>
      <w:r w:rsidR="006A0353">
        <w:t xml:space="preserve">It would also be kept in mind that an alternative approach be given. Most of all, the research methodology would revolve around the ideas of different researchers and their critical analysis be organised and evaluated with evidence. The comparisons between materials </w:t>
      </w:r>
      <w:proofErr w:type="gramStart"/>
      <w:r w:rsidR="006A0353">
        <w:t>is</w:t>
      </w:r>
      <w:proofErr w:type="gramEnd"/>
      <w:r w:rsidR="006A0353">
        <w:t xml:space="preserve"> a must. The application of personal judgements would be </w:t>
      </w:r>
      <w:proofErr w:type="gramStart"/>
      <w:r w:rsidR="006A0353">
        <w:t>avoided</w:t>
      </w:r>
      <w:proofErr w:type="gramEnd"/>
      <w:r w:rsidR="006A0353">
        <w:t xml:space="preserve"> and any arguments given would purely be derived after thorough research and knowledge of the topic at hand. Moreover, as it is an established fact that in order to write a critical analysis, a descriptive analysis ought to be parallel as well. The element of both descriptive and critical is crucial to the development of an </w:t>
      </w:r>
      <w:r w:rsidR="006A0353">
        <w:lastRenderedPageBreak/>
        <w:t xml:space="preserve">argument if one needs the results to be fruitful. The descriptive writing, according to the short guide to critical writing always helps a research paper’s critical thought to be stronger. </w:t>
      </w:r>
      <w:r w:rsidR="00F867D7">
        <w:t xml:space="preserve">A critical analysis, which is a compare, </w:t>
      </w:r>
      <w:r w:rsidR="00D20ACC">
        <w:t>contrast,</w:t>
      </w:r>
      <w:r w:rsidR="00F867D7">
        <w:t xml:space="preserve"> and a critical commentary, is always said to have gained students’ scores in their examination. According to the university of Leicester’s learning and development centre ‘</w:t>
      </w:r>
      <w:r w:rsidR="00F867D7">
        <w:t xml:space="preserve">‘The most characteristic features of descriptive writing are that it will describe </w:t>
      </w:r>
      <w:r w:rsidR="00D20ACC">
        <w:t>something but</w:t>
      </w:r>
      <w:r w:rsidR="00F867D7">
        <w:t xml:space="preserve"> will not go beyond an account of what appears to be there’</w:t>
      </w:r>
      <w:r w:rsidR="00F867D7">
        <w:t xml:space="preserve">. It is important that we know where to </w:t>
      </w:r>
      <w:r w:rsidR="00F867D7">
        <w:rPr>
          <w:color w:val="000000" w:themeColor="text1"/>
        </w:rPr>
        <w:t xml:space="preserve">put a halt while writing </w:t>
      </w:r>
      <w:r w:rsidR="00D20ACC">
        <w:rPr>
          <w:color w:val="000000" w:themeColor="text1"/>
        </w:rPr>
        <w:t>the</w:t>
      </w:r>
      <w:r w:rsidR="00F867D7">
        <w:rPr>
          <w:color w:val="000000" w:themeColor="text1"/>
        </w:rPr>
        <w:t xml:space="preserve"> descriptive section in critical analysis. Oft times, when great descriptions are provided the critical element of the research paper loses its essence. So, in order to make sure that both, the critical and the descriptive part are equally parted, it should be made sure that no lengthy descriptions are given. In this research paper, we will critically analyse how researchers talk about different ways teachers can improve their learning curve in order to aid students with learning disabilities or more commonly known as students with Additional Learning Needs (ALN). </w:t>
      </w:r>
    </w:p>
    <w:p w14:paraId="34C058FA" w14:textId="52223361" w:rsidR="00D20ACC" w:rsidRDefault="00D20ACC" w:rsidP="00F867D7">
      <w:pPr>
        <w:pStyle w:val="NormalWeb"/>
        <w:spacing w:before="0" w:beforeAutospacing="0" w:after="0" w:afterAutospacing="0" w:line="480" w:lineRule="auto"/>
        <w:jc w:val="both"/>
        <w:rPr>
          <w:color w:val="000000" w:themeColor="text1"/>
        </w:rPr>
      </w:pPr>
    </w:p>
    <w:p w14:paraId="0519F1CD" w14:textId="79C62902" w:rsidR="00D20ACC" w:rsidRDefault="00D20ACC" w:rsidP="00F867D7">
      <w:pPr>
        <w:pStyle w:val="NormalWeb"/>
        <w:spacing w:before="0" w:beforeAutospacing="0" w:after="0" w:afterAutospacing="0" w:line="480" w:lineRule="auto"/>
        <w:jc w:val="both"/>
        <w:rPr>
          <w:b/>
          <w:bCs/>
          <w:color w:val="000000" w:themeColor="text1"/>
        </w:rPr>
      </w:pPr>
      <w:r>
        <w:rPr>
          <w:b/>
          <w:bCs/>
          <w:color w:val="000000" w:themeColor="text1"/>
        </w:rPr>
        <w:t>Literature Review:</w:t>
      </w:r>
    </w:p>
    <w:p w14:paraId="42203B98" w14:textId="74B339FF" w:rsidR="00D20ACC" w:rsidRDefault="00D20ACC" w:rsidP="00F867D7">
      <w:pPr>
        <w:pStyle w:val="NormalWeb"/>
        <w:spacing w:before="0" w:beforeAutospacing="0" w:after="0" w:afterAutospacing="0" w:line="480" w:lineRule="auto"/>
        <w:jc w:val="both"/>
      </w:pPr>
      <w:proofErr w:type="spellStart"/>
      <w:r>
        <w:t>Pelgrum</w:t>
      </w:r>
      <w:proofErr w:type="spellEnd"/>
      <w:r>
        <w:t xml:space="preserve"> argues that we have noticed how the world of education is changing, especially owing to the fact that the technologies of this world are developing so fast we should also develop human output and input in the world of academics to match with the pacing world. The acquisition of the world in this sophisticated, tech savvy world should also be as sharp as the technology. </w:t>
      </w:r>
      <w:proofErr w:type="spellStart"/>
      <w:r>
        <w:t>Pelgrum</w:t>
      </w:r>
      <w:proofErr w:type="spellEnd"/>
      <w:r>
        <w:t xml:space="preserve"> puts forth a perfect point as we, as teachers, should also be highly equipped to use the technology so that we can teach the younger generation. Further arguing, teachers with a knowledge of the technology might also be able to teach, in the future, students who have learning disabilities. </w:t>
      </w:r>
      <w:r w:rsidR="002D0C4E">
        <w:t xml:space="preserve">For instance, we take a child case who is diagnosed with autism. Due to this a great lag in the learning </w:t>
      </w:r>
      <w:r w:rsidR="002D0C4E">
        <w:lastRenderedPageBreak/>
        <w:t xml:space="preserve">might occur. For the teacher to make it easy for the child, she should have some tech savvy activities designed for the ALN student so that if there exists any difficulty in learning, it can e sorted out smartly and quickly with the help of technology as we are aware children these days are all drawn to technology. </w:t>
      </w:r>
      <w:r w:rsidR="004556AF">
        <w:t xml:space="preserve">J.M. Kaufman argues that in every country, educational learning objectives should be achieved with inclusion. He states how without including special needs cases like emotional and behavioural disorder, ADHD, Autism, hard of hearing, deaf, and dumb, blind, low vision and even an </w:t>
      </w:r>
      <w:r w:rsidR="002A504E">
        <w:t>inclusion</w:t>
      </w:r>
      <w:r w:rsidR="004556AF">
        <w:t xml:space="preserve"> of special gifts and talents is necessary. </w:t>
      </w:r>
      <w:r w:rsidR="00CE3943">
        <w:t xml:space="preserve">Kaufman says </w:t>
      </w:r>
      <w:proofErr w:type="gramStart"/>
      <w:r w:rsidR="00CE3943">
        <w:t>that  the</w:t>
      </w:r>
      <w:proofErr w:type="gramEnd"/>
      <w:r w:rsidR="00CE3943">
        <w:t xml:space="preserve"> achievement of learning objectives and the performance of the teacher should be united as one. </w:t>
      </w:r>
      <w:r w:rsidR="006827E5">
        <w:t xml:space="preserve">Further delving into Kaufman’s argument, if we compare this argument with </w:t>
      </w:r>
      <w:proofErr w:type="spellStart"/>
      <w:r w:rsidR="006827E5">
        <w:t>Pelgrum’s</w:t>
      </w:r>
      <w:proofErr w:type="spellEnd"/>
      <w:r w:rsidR="006827E5">
        <w:t xml:space="preserve"> argument, we see that in order for teachers to be make a perfect inclusive environment for all the students, especially student with ALN, teachers must be equipped with the perfect tool that is, the perfect knowledge and experience to teach all the children/students alike. </w:t>
      </w:r>
      <w:r w:rsidR="00460279">
        <w:t xml:space="preserve">J. Purnomo states that just as important it is for a country to have its educational initiatives taken </w:t>
      </w:r>
      <w:proofErr w:type="gramStart"/>
      <w:r w:rsidR="00460279">
        <w:t>seriously,</w:t>
      </w:r>
      <w:proofErr w:type="gramEnd"/>
      <w:r w:rsidR="00460279">
        <w:t xml:space="preserve"> it should also be deemed important that a teacher of the nation takes his own educational elements very seriously. Learning objectives for students with ALN can only be achieved if the teachers who are designated to teach ALN students have equipped themselves with the latest education and knowledge about how best to teach and deal with students who have additional learning needs. We can never exclude students from the learning programmes because of the challenges the life has naturally thrown at them. According to Purnomo, our teachers should be educated enough to equip all the students perfectly without creating a bias for any group of students.</w:t>
      </w:r>
    </w:p>
    <w:p w14:paraId="1AC4E014" w14:textId="6ECC2186" w:rsidR="00B76568" w:rsidRDefault="00B76568" w:rsidP="00F867D7">
      <w:pPr>
        <w:pStyle w:val="NormalWeb"/>
        <w:spacing w:before="0" w:beforeAutospacing="0" w:after="0" w:afterAutospacing="0" w:line="480" w:lineRule="auto"/>
        <w:jc w:val="both"/>
      </w:pPr>
      <w:r>
        <w:t xml:space="preserve">According to Greenstein and </w:t>
      </w:r>
      <w:proofErr w:type="spellStart"/>
      <w:r>
        <w:t>Burhaein</w:t>
      </w:r>
      <w:proofErr w:type="spellEnd"/>
      <w:r>
        <w:t>, “</w:t>
      </w:r>
      <w:r>
        <w:t xml:space="preserve">Learning objectives are a </w:t>
      </w:r>
      <w:proofErr w:type="spellStart"/>
      <w:r>
        <w:t>behavior</w:t>
      </w:r>
      <w:proofErr w:type="spellEnd"/>
      <w:r>
        <w:t xml:space="preserve"> of learning outcomes expected to occur, be owned, or be mastered by students after participating in certain learning activities</w:t>
      </w:r>
      <w:r>
        <w:t xml:space="preserve">”. </w:t>
      </w:r>
      <w:r w:rsidR="00C7483C">
        <w:t xml:space="preserve">Further discussing this point, it should also be noticed how Greenstein and </w:t>
      </w:r>
      <w:proofErr w:type="spellStart"/>
      <w:r w:rsidR="00C7483C">
        <w:t>Burhaein</w:t>
      </w:r>
      <w:proofErr w:type="spellEnd"/>
      <w:r w:rsidR="00C7483C">
        <w:t xml:space="preserve"> </w:t>
      </w:r>
      <w:r w:rsidR="00C7483C">
        <w:lastRenderedPageBreak/>
        <w:t xml:space="preserve">have stereotypically given a mainstream idea of learning objectives although learning objectives can differ from student to student. It is not necessary that each and every student owns or masters a learning objective after participating in a certain environment, </w:t>
      </w:r>
      <w:r w:rsidR="00824365">
        <w:t>that</w:t>
      </w:r>
      <w:r w:rsidR="00C7483C">
        <w:t xml:space="preserve"> is where we are reminded of students with ALN.  Often times, students with ALN or learning disabilities no matter how hard it is implemented on them, fail to produce the same results as their </w:t>
      </w:r>
      <w:r w:rsidR="00824365">
        <w:t>classmates</w:t>
      </w:r>
      <w:r w:rsidR="00C7483C">
        <w:t>. It should be noted that sometimes an inexperienced or a faulty teacher might also be the reason behind the lag of an ALN student. This</w:t>
      </w:r>
      <w:r w:rsidR="00824365">
        <w:t xml:space="preserve"> loophole in this</w:t>
      </w:r>
      <w:r w:rsidR="00C7483C">
        <w:t xml:space="preserve"> </w:t>
      </w:r>
      <w:r w:rsidR="00824365">
        <w:t>generic</w:t>
      </w:r>
      <w:r w:rsidR="00C7483C">
        <w:t xml:space="preserve"> statement by both the authors</w:t>
      </w:r>
      <w:r w:rsidR="00824365">
        <w:t xml:space="preserve"> can be proved by E. </w:t>
      </w:r>
      <w:proofErr w:type="spellStart"/>
      <w:r w:rsidR="00824365">
        <w:t>Miranti</w:t>
      </w:r>
      <w:proofErr w:type="spellEnd"/>
      <w:r w:rsidR="00824365">
        <w:t xml:space="preserve"> who argues how a teachers time spent teaching or the tenure of the job can be calculated through how long has been the teacher teaching in a proper setup and what level of experience does the teacher have? </w:t>
      </w:r>
      <w:proofErr w:type="spellStart"/>
      <w:r w:rsidR="00824365">
        <w:t>Miranti</w:t>
      </w:r>
      <w:proofErr w:type="spellEnd"/>
      <w:r w:rsidR="00824365">
        <w:t xml:space="preserve">, moreover, clears the point saying that the more the experience of the job is, the better the performance of the teacher is. Although, it can not be wholly agreed upon that great experience brings great teaching. There could be cases existing where the teachers are teachings since aeons but have terrible teaching methods and are not producing great results. But in some cases, </w:t>
      </w:r>
      <w:proofErr w:type="spellStart"/>
      <w:r w:rsidR="00824365">
        <w:t>Miranti’s</w:t>
      </w:r>
      <w:proofErr w:type="spellEnd"/>
      <w:r w:rsidR="00824365">
        <w:t xml:space="preserve"> theory proves right. Similarly, </w:t>
      </w:r>
      <w:proofErr w:type="spellStart"/>
      <w:r w:rsidR="00824365">
        <w:t>Aprilyanti</w:t>
      </w:r>
      <w:proofErr w:type="spellEnd"/>
      <w:r w:rsidR="00824365">
        <w:t xml:space="preserve">, also argues how the quality if teaching increased and betters with teaching experience. He argues that if the person has limited </w:t>
      </w:r>
      <w:proofErr w:type="gramStart"/>
      <w:r w:rsidR="00824365">
        <w:t>experience</w:t>
      </w:r>
      <w:proofErr w:type="gramEnd"/>
      <w:r w:rsidR="00824365">
        <w:t xml:space="preserve"> he will also give out a low quality output. </w:t>
      </w:r>
      <w:r w:rsidR="00FF3750">
        <w:t xml:space="preserve">He then argues how job tenure can also be significantly </w:t>
      </w:r>
      <w:proofErr w:type="gramStart"/>
      <w:r w:rsidR="00FF3750">
        <w:t>effected</w:t>
      </w:r>
      <w:proofErr w:type="gramEnd"/>
      <w:r w:rsidR="00FF3750">
        <w:t xml:space="preserve"> by the productive age of the teacher. </w:t>
      </w:r>
      <w:r w:rsidR="00152CCE">
        <w:t>Someone</w:t>
      </w:r>
      <w:r w:rsidR="009376E6">
        <w:t xml:space="preserve"> who young with experience will always </w:t>
      </w:r>
      <w:r w:rsidR="00AE3A7C">
        <w:t>perform</w:t>
      </w:r>
      <w:r w:rsidR="009376E6">
        <w:t xml:space="preserve"> better than anyone who is in their old age and suffer from physical limitations. </w:t>
      </w:r>
      <w:r w:rsidR="00152CCE">
        <w:t xml:space="preserve">It is the foremost duty of the teacher to make sure to </w:t>
      </w:r>
      <w:r w:rsidR="00AE3A7C">
        <w:t xml:space="preserve">gain positive and challenging experiences in order for them to have a greater knowledge about how to deal with students who have learning disabilities. </w:t>
      </w:r>
    </w:p>
    <w:p w14:paraId="282EF7F5" w14:textId="4C622870" w:rsidR="00AE3A7C" w:rsidRDefault="00AE3A7C" w:rsidP="00F867D7">
      <w:pPr>
        <w:pStyle w:val="NormalWeb"/>
        <w:spacing w:before="0" w:beforeAutospacing="0" w:after="0" w:afterAutospacing="0" w:line="480" w:lineRule="auto"/>
        <w:jc w:val="both"/>
        <w:rPr>
          <w:b/>
          <w:bCs/>
        </w:rPr>
      </w:pPr>
      <w:r w:rsidRPr="00AE3A7C">
        <w:rPr>
          <w:b/>
          <w:bCs/>
        </w:rPr>
        <w:t>How does job tenure effect the teacher performance, who have to teach the special needs students?</w:t>
      </w:r>
    </w:p>
    <w:p w14:paraId="30026535" w14:textId="3538B94E" w:rsidR="007216A5" w:rsidRDefault="00AE3A7C" w:rsidP="007216A5">
      <w:pPr>
        <w:pStyle w:val="NormalWeb"/>
        <w:spacing w:after="0" w:line="480" w:lineRule="auto"/>
        <w:jc w:val="both"/>
      </w:pPr>
      <w:proofErr w:type="spellStart"/>
      <w:r>
        <w:lastRenderedPageBreak/>
        <w:t>Koesindratmono</w:t>
      </w:r>
      <w:proofErr w:type="spellEnd"/>
      <w:r>
        <w:t xml:space="preserve"> argues that there are significant results in this field that show how job tenure greatly effects the teacher who needs to teach special needs students. Job tenure makes the basis of the experiences of the teachers throughout their life in academics while working for a school or an organisation. In order to make it easy for the ALN students to learn better, it is important that we make sure that highly qualified teachers, ideally teachers who have learned and also experienced with children with ALN are hired at schools and colleges. </w:t>
      </w:r>
      <w:r w:rsidR="00B07DAF">
        <w:t xml:space="preserve">Agreeing with the point our researcher has put forth we might take a supposed example </w:t>
      </w:r>
      <w:proofErr w:type="gramStart"/>
      <w:r w:rsidR="00B07DAF">
        <w:t>where</w:t>
      </w:r>
      <w:proofErr w:type="gramEnd"/>
      <w:r w:rsidR="00B07DAF">
        <w:t xml:space="preserve"> learned but unexperienced teacher is allowed to rake a big class of ALN students and they end up confusing and making the </w:t>
      </w:r>
      <w:proofErr w:type="spellStart"/>
      <w:r w:rsidR="00B07DAF">
        <w:t>studsnts</w:t>
      </w:r>
      <w:proofErr w:type="spellEnd"/>
      <w:r w:rsidR="00B07DAF">
        <w:t xml:space="preserve"> upset. For the teachers to have a better experience with the ALN students, it is ideal that teachers take up volunteer jobs with highly experienced teachers and learn with them in order to score a better job in the future. </w:t>
      </w:r>
      <w:r w:rsidR="00466753">
        <w:t xml:space="preserve">However, Guile puts forth a point where he states that the experience of job tenure or a great number of years of services are of great use to help the teachers in handling work problems if they occur. Although some teachers are reluctant to complete these tasks and are not ready to do new tasks for the students which puts a great halt in the learning of the student. </w:t>
      </w:r>
      <w:r w:rsidR="009F668E">
        <w:t xml:space="preserve"> </w:t>
      </w:r>
      <w:proofErr w:type="spellStart"/>
      <w:r w:rsidR="009F668E">
        <w:t>Miranti</w:t>
      </w:r>
      <w:proofErr w:type="spellEnd"/>
      <w:r w:rsidR="009F668E">
        <w:t xml:space="preserve"> again argues how it is necessary to have a great tenure as it also “</w:t>
      </w:r>
      <w:r w:rsidR="009F668E">
        <w:t>has a positive impact on the level of income and experience. Also, the longer work experience has an impact on well-being. The years of service can be expressed as employee loyalty at work.</w:t>
      </w:r>
      <w:r w:rsidR="009F668E">
        <w:t xml:space="preserve">” Here the employee loyalty is very important because often companies give out jobs to teachers who have had a great history about working for years at a single company. </w:t>
      </w:r>
      <w:r w:rsidR="007216A5">
        <w:t>Longer employment translates into more experience and better performance [28]. A worker with little job experience will have a low degree of</w:t>
      </w:r>
      <w:r w:rsidR="007216A5">
        <w:t xml:space="preserve"> </w:t>
      </w:r>
      <w:r w:rsidR="007216A5">
        <w:t>skills. Age also has an impact on a worker's length of employment.</w:t>
      </w:r>
    </w:p>
    <w:p w14:paraId="3A1A4E01" w14:textId="6F2B0CFB" w:rsidR="00460279" w:rsidRDefault="007216A5" w:rsidP="003C6DFA">
      <w:pPr>
        <w:pStyle w:val="NormalWeb"/>
        <w:spacing w:after="0" w:line="480" w:lineRule="auto"/>
        <w:jc w:val="both"/>
      </w:pPr>
      <w:r>
        <w:t>When compared to an older person with physical restrictions, someone who is still in their prime is more productive</w:t>
      </w:r>
      <w:r>
        <w:t xml:space="preserve">. </w:t>
      </w:r>
      <w:r>
        <w:t xml:space="preserve">The results of a prior study by Rida, et al., which found a strong relationship </w:t>
      </w:r>
      <w:r>
        <w:lastRenderedPageBreak/>
        <w:t>between job tenure and teacher professionalism, complement the findings of this study as well. Compared to earlier research, this one has the following innovations: 1) Research participants who represent a larger research population than Rida et al. therefore, this study makes use of five districts</w:t>
      </w:r>
      <w:proofErr w:type="gramStart"/>
      <w:r>
        <w:t>.</w:t>
      </w:r>
      <w:r w:rsidR="003C6DFA">
        <w:t xml:space="preserve"> </w:t>
      </w:r>
      <w:r w:rsidR="003C6DFA">
        <w:t>;</w:t>
      </w:r>
      <w:proofErr w:type="gramEnd"/>
      <w:r w:rsidR="003C6DFA">
        <w:t xml:space="preserve"> 2) unlike the prior diet, the participants in this trial were special needs teachers.</w:t>
      </w:r>
      <w:r w:rsidR="003C6DFA">
        <w:t xml:space="preserve"> Te</w:t>
      </w:r>
      <w:r w:rsidR="003C6DFA">
        <w:t xml:space="preserve">achers </w:t>
      </w:r>
      <w:proofErr w:type="gramStart"/>
      <w:r w:rsidR="003C6DFA">
        <w:t>of</w:t>
      </w:r>
      <w:proofErr w:type="gramEnd"/>
      <w:r w:rsidR="003C6DFA">
        <w:t xml:space="preserve"> elementary schools; and 3) instruments that were assessed for validity and adjusted to the various participant categories.</w:t>
      </w:r>
    </w:p>
    <w:p w14:paraId="619DE886" w14:textId="5980FE46" w:rsidR="003C6DFA" w:rsidRDefault="003C6DFA" w:rsidP="003C6DFA">
      <w:pPr>
        <w:pStyle w:val="NormalWeb"/>
        <w:spacing w:after="0" w:line="480" w:lineRule="auto"/>
        <w:jc w:val="both"/>
        <w:rPr>
          <w:b/>
          <w:bCs/>
        </w:rPr>
      </w:pPr>
      <w:r>
        <w:rPr>
          <w:b/>
          <w:bCs/>
        </w:rPr>
        <w:t>Effects of teacher certification:</w:t>
      </w:r>
    </w:p>
    <w:p w14:paraId="44A7A1C4" w14:textId="3A13CC6E" w:rsidR="003C6DFA" w:rsidRDefault="003C6DFA" w:rsidP="003C6DFA">
      <w:pPr>
        <w:pStyle w:val="NormalWeb"/>
        <w:spacing w:after="0" w:line="480" w:lineRule="auto"/>
        <w:jc w:val="both"/>
      </w:pPr>
      <w:r>
        <w:t>The outcome demonstrates a substantial relationship between Special Needs teacher effectiveness and teacher licensure.</w:t>
      </w:r>
      <w:r>
        <w:t xml:space="preserve"> </w:t>
      </w:r>
      <w:r>
        <w:t>This implies that teacher certification is one of the elements affecting teacher performance. Giving educators a certificate or other official acknowledgment as professionals is the process of certification. A licence or certificate can ensure and provide assurance regarding a person's professional position as a teacher and a licence holder who has proven their competence in offering educational services to the community.</w:t>
      </w:r>
      <w:r>
        <w:t xml:space="preserve"> </w:t>
      </w:r>
      <w:r w:rsidRPr="003C6DFA">
        <w:t xml:space="preserve">The Indonesian government advises teachers to perform their skills in accordance with the teacher competence standards rather than focusing primarily on earning a professional allowance when participating in the teacher certification programme through training for professional </w:t>
      </w:r>
      <w:proofErr w:type="gramStart"/>
      <w:r w:rsidRPr="003C6DFA">
        <w:t>school teachers</w:t>
      </w:r>
      <w:proofErr w:type="gramEnd"/>
      <w:r w:rsidRPr="003C6DFA">
        <w:t>. The Department of National Education [15] lists the following objectives of the government's teacher certification programme:</w:t>
      </w:r>
      <w:r>
        <w:t xml:space="preserve"> </w:t>
      </w:r>
      <w:r w:rsidRPr="003C6DFA">
        <w:t>Establishing a teacher's eligibility to perform the tasks of a professional educator, promoting teacher professionalism, and improving the process and quality of educational results are all priorities. Teachers must get ready to take the teacher certification exam after realising this. This approach will result in teacher certification having a favourable impact on quality improvement.</w:t>
      </w:r>
    </w:p>
    <w:p w14:paraId="24966EF4" w14:textId="3A2B5C0F" w:rsidR="003C6DFA" w:rsidRDefault="003C6DFA" w:rsidP="003C6DFA">
      <w:pPr>
        <w:pStyle w:val="NormalWeb"/>
        <w:spacing w:after="0" w:line="480" w:lineRule="auto"/>
        <w:jc w:val="both"/>
      </w:pPr>
    </w:p>
    <w:p w14:paraId="2C7787FD" w14:textId="25E8EA74" w:rsidR="003C6DFA" w:rsidRDefault="003C6DFA" w:rsidP="003C6DFA">
      <w:pPr>
        <w:pStyle w:val="NormalWeb"/>
        <w:spacing w:after="0" w:line="480" w:lineRule="auto"/>
        <w:jc w:val="both"/>
        <w:rPr>
          <w:b/>
          <w:bCs/>
        </w:rPr>
      </w:pPr>
      <w:r>
        <w:rPr>
          <w:b/>
          <w:bCs/>
        </w:rPr>
        <w:lastRenderedPageBreak/>
        <w:t>Motivation that can help teachers produce best results with ALN students:</w:t>
      </w:r>
    </w:p>
    <w:p w14:paraId="59F9D3FD" w14:textId="6C3319D1" w:rsidR="003513FD" w:rsidRDefault="003C6DFA" w:rsidP="003513FD">
      <w:pPr>
        <w:pStyle w:val="NormalWeb"/>
        <w:spacing w:after="0" w:line="480" w:lineRule="auto"/>
        <w:jc w:val="both"/>
      </w:pPr>
      <w:r>
        <w:t xml:space="preserve">The outcome demonstrates that job motivation has a substantial impact on Special Needs teachers' performance. This indicates that motivation is one of the elements affecting teacher performance. </w:t>
      </w:r>
      <w:proofErr w:type="spellStart"/>
      <w:r>
        <w:t>Anshel</w:t>
      </w:r>
      <w:proofErr w:type="spellEnd"/>
      <w:r>
        <w:t>.</w:t>
      </w:r>
      <w:r>
        <w:t xml:space="preserve"> defines motivation as a tendency and selectivity in conduct governed by its relationship to outcomes and tendencies to maintain goals until they are attained.</w:t>
      </w:r>
      <w:r>
        <w:t xml:space="preserve"> </w:t>
      </w:r>
      <w:r>
        <w:t>Motivation is described as the impetus that comes from both internal and external sources to carry out activities focused on particular objectives [19]. In other words, work motivation affects workplace zeal and/or spirit.</w:t>
      </w:r>
      <w:r>
        <w:t xml:space="preserve"> </w:t>
      </w:r>
      <w:r>
        <w:t>Coordination is made feasible by both intrinsic and extrinsic drive. Extrinsically motivated individuals will act in a practical manner</w:t>
      </w:r>
      <w:r>
        <w:t xml:space="preserve">. </w:t>
      </w:r>
      <w:r w:rsidRPr="003C6DFA">
        <w:t>Everyone has individual demands that motivate them to work for and fulfil those requirements. Due to Special Needs instructors' high levels of job satisfaction, work motivation is generally low. The majority of teachers, according to the study's findings, are highly motivated at work, which has an impact on how well Special Needs teachers perform in managing the teaching and learning process. It appears that the Special Needs instructors' attempts to satisfy their needs motivate them to perform better at school. The motivation of the teacher enhances work output. Professional special needs educators will be very motivated. Additionally, individuals who are very motivated to instruct will cheerfully do their duties.</w:t>
      </w:r>
      <w:r w:rsidR="003513FD">
        <w:t xml:space="preserve"> </w:t>
      </w:r>
      <w:r w:rsidR="003513FD" w:rsidRPr="003513FD">
        <w:t xml:space="preserve">The results of this study, which demonstrate a strong impact of work motivation on teacher performance, are also corroborated by a prior study by </w:t>
      </w:r>
      <w:proofErr w:type="spellStart"/>
      <w:r w:rsidR="003513FD" w:rsidRPr="003513FD">
        <w:t>Cahya</w:t>
      </w:r>
      <w:proofErr w:type="spellEnd"/>
      <w:r w:rsidR="003513FD" w:rsidRPr="003513FD">
        <w:t xml:space="preserve"> [35]. The following improvements over earlier studies have been made: 1) participants who made up a larger research sample, namely five in this study as opposed to one district in </w:t>
      </w:r>
      <w:proofErr w:type="spellStart"/>
      <w:r w:rsidR="003513FD" w:rsidRPr="003513FD">
        <w:t>Cahya's</w:t>
      </w:r>
      <w:proofErr w:type="spellEnd"/>
      <w:r w:rsidR="003513FD" w:rsidRPr="003513FD">
        <w:t xml:space="preserve"> research; 2) participants of this study are Special Needs teachers as opposed to </w:t>
      </w:r>
      <w:proofErr w:type="spellStart"/>
      <w:r w:rsidR="003513FD" w:rsidRPr="003513FD">
        <w:t>Cahya's</w:t>
      </w:r>
      <w:proofErr w:type="spellEnd"/>
      <w:r w:rsidR="003513FD" w:rsidRPr="003513FD">
        <w:t xml:space="preserve"> research participants, which were physical education teachers; and 3) instruments that were modified for different participant types and validated.</w:t>
      </w:r>
      <w:r w:rsidR="003513FD">
        <w:t xml:space="preserve"> </w:t>
      </w:r>
      <w:r w:rsidR="003513FD">
        <w:t xml:space="preserve">A </w:t>
      </w:r>
      <w:r w:rsidR="003513FD">
        <w:lastRenderedPageBreak/>
        <w:t>person or group of employees within an organisation might enhance their work performance in order to accomplish goals.</w:t>
      </w:r>
    </w:p>
    <w:p w14:paraId="60466760" w14:textId="77777777" w:rsidR="003513FD" w:rsidRDefault="003513FD" w:rsidP="003513FD">
      <w:pPr>
        <w:pStyle w:val="NormalWeb"/>
        <w:spacing w:after="0" w:line="480" w:lineRule="auto"/>
        <w:jc w:val="both"/>
      </w:pPr>
      <w:r>
        <w:t>The ability of a teacher to carry out their responsibilities as an educator or teacher, such as learning activities, supervision, and other important tasks based on the teacher's capacity to educate pupils to fulfil learning goals specified by the government, is known as special needs teacher performance.</w:t>
      </w:r>
    </w:p>
    <w:p w14:paraId="07F8BF3F" w14:textId="77777777" w:rsidR="003513FD" w:rsidRDefault="003513FD" w:rsidP="003513FD">
      <w:pPr>
        <w:pStyle w:val="NormalWeb"/>
        <w:spacing w:after="0" w:line="480" w:lineRule="auto"/>
        <w:jc w:val="both"/>
      </w:pPr>
      <w:r>
        <w:t>The development of all potential pupils is facilitated by special needs, and teachers play a vital part in this process.</w:t>
      </w:r>
    </w:p>
    <w:p w14:paraId="6B83A603" w14:textId="188189AC" w:rsidR="003C6DFA" w:rsidRPr="003C6DFA" w:rsidRDefault="003513FD" w:rsidP="00E95CCE">
      <w:pPr>
        <w:pStyle w:val="NormalWeb"/>
        <w:spacing w:after="0" w:line="480" w:lineRule="auto"/>
        <w:jc w:val="both"/>
      </w:pPr>
      <w:r>
        <w:t>The findings indicate that three variables—job tenure, teacher certification, and work motivation—have an impact on teachers' performance. The teacher's lengthy employment history suggests that she or he has more classroom experience. The length of a job reflects the knowledge, expertise, and work experience of</w:t>
      </w:r>
      <w:r w:rsidR="00E95CCE">
        <w:t xml:space="preserve"> “</w:t>
      </w:r>
      <w:r w:rsidR="00E95CCE">
        <w:t>an</w:t>
      </w:r>
      <w:r w:rsidR="00E95CCE">
        <w:t xml:space="preserve"> </w:t>
      </w:r>
      <w:r w:rsidR="00E95CCE">
        <w:t>employee. Also, the teacher’s years of service are</w:t>
      </w:r>
      <w:r w:rsidR="00E95CCE">
        <w:t xml:space="preserve"> </w:t>
      </w:r>
      <w:r w:rsidR="00E95CCE">
        <w:t>determined by job tenure as both civil servant and non-civil</w:t>
      </w:r>
      <w:r w:rsidR="00E95CCE">
        <w:t xml:space="preserve"> </w:t>
      </w:r>
      <w:r w:rsidR="00E95CCE">
        <w:t>servant.</w:t>
      </w:r>
      <w:r w:rsidR="00E95CCE">
        <w:t>”</w:t>
      </w:r>
    </w:p>
    <w:p w14:paraId="741FEC1C" w14:textId="77777777" w:rsidR="003C6DFA" w:rsidRPr="003C6DFA" w:rsidRDefault="003C6DFA" w:rsidP="003C6DFA">
      <w:pPr>
        <w:pStyle w:val="NormalWeb"/>
        <w:spacing w:after="0" w:line="480" w:lineRule="auto"/>
        <w:jc w:val="both"/>
      </w:pPr>
    </w:p>
    <w:p w14:paraId="19387C7C" w14:textId="270C5CC4" w:rsidR="00460279" w:rsidRDefault="00460279" w:rsidP="00F867D7">
      <w:pPr>
        <w:pStyle w:val="NormalWeb"/>
        <w:spacing w:before="0" w:beforeAutospacing="0" w:after="0" w:afterAutospacing="0" w:line="480" w:lineRule="auto"/>
        <w:jc w:val="both"/>
      </w:pPr>
    </w:p>
    <w:p w14:paraId="204F9C21" w14:textId="2925580F" w:rsidR="00460279" w:rsidRDefault="00460279" w:rsidP="00F867D7">
      <w:pPr>
        <w:pStyle w:val="NormalWeb"/>
        <w:spacing w:before="0" w:beforeAutospacing="0" w:after="0" w:afterAutospacing="0" w:line="480" w:lineRule="auto"/>
        <w:jc w:val="both"/>
      </w:pPr>
    </w:p>
    <w:p w14:paraId="18B00886" w14:textId="3443C4B0" w:rsidR="00460279" w:rsidRDefault="00460279" w:rsidP="00F867D7">
      <w:pPr>
        <w:pStyle w:val="NormalWeb"/>
        <w:spacing w:before="0" w:beforeAutospacing="0" w:after="0" w:afterAutospacing="0" w:line="480" w:lineRule="auto"/>
        <w:jc w:val="both"/>
      </w:pPr>
    </w:p>
    <w:p w14:paraId="26DD5CC5" w14:textId="153CBA53" w:rsidR="00460279" w:rsidRDefault="00460279" w:rsidP="00F867D7">
      <w:pPr>
        <w:pStyle w:val="NormalWeb"/>
        <w:spacing w:before="0" w:beforeAutospacing="0" w:after="0" w:afterAutospacing="0" w:line="480" w:lineRule="auto"/>
        <w:jc w:val="both"/>
      </w:pPr>
    </w:p>
    <w:p w14:paraId="55C4C3F0" w14:textId="789DBA75" w:rsidR="00460279" w:rsidRDefault="00460279" w:rsidP="00F867D7">
      <w:pPr>
        <w:pStyle w:val="NormalWeb"/>
        <w:spacing w:before="0" w:beforeAutospacing="0" w:after="0" w:afterAutospacing="0" w:line="480" w:lineRule="auto"/>
        <w:jc w:val="both"/>
      </w:pPr>
    </w:p>
    <w:p w14:paraId="56070666" w14:textId="668D6679" w:rsidR="00460279" w:rsidRDefault="00460279" w:rsidP="00F867D7">
      <w:pPr>
        <w:pStyle w:val="NormalWeb"/>
        <w:spacing w:before="0" w:beforeAutospacing="0" w:after="0" w:afterAutospacing="0" w:line="480" w:lineRule="auto"/>
        <w:jc w:val="both"/>
      </w:pPr>
    </w:p>
    <w:p w14:paraId="59A10D9E" w14:textId="35ED1F6D" w:rsidR="00460279" w:rsidRDefault="00824365" w:rsidP="00F867D7">
      <w:pPr>
        <w:pStyle w:val="NormalWeb"/>
        <w:spacing w:before="0" w:beforeAutospacing="0" w:after="0" w:afterAutospacing="0" w:line="480" w:lineRule="auto"/>
        <w:jc w:val="both"/>
      </w:pPr>
      <w:r>
        <w:t>“</w:t>
      </w:r>
    </w:p>
    <w:p w14:paraId="5CBBF278" w14:textId="3151C6ED" w:rsidR="00460279" w:rsidRDefault="00460279" w:rsidP="00F867D7">
      <w:pPr>
        <w:pStyle w:val="NormalWeb"/>
        <w:spacing w:before="0" w:beforeAutospacing="0" w:after="0" w:afterAutospacing="0" w:line="480" w:lineRule="auto"/>
        <w:jc w:val="both"/>
      </w:pPr>
    </w:p>
    <w:p w14:paraId="29494A11" w14:textId="7BAB2B17" w:rsidR="00460279" w:rsidRDefault="00460279" w:rsidP="00F867D7">
      <w:pPr>
        <w:pStyle w:val="NormalWeb"/>
        <w:spacing w:before="0" w:beforeAutospacing="0" w:after="0" w:afterAutospacing="0" w:line="480" w:lineRule="auto"/>
        <w:jc w:val="both"/>
      </w:pPr>
    </w:p>
    <w:p w14:paraId="70A1050B" w14:textId="6C4B6237" w:rsidR="00460279" w:rsidRDefault="00460279" w:rsidP="00F867D7">
      <w:pPr>
        <w:pStyle w:val="NormalWeb"/>
        <w:spacing w:before="0" w:beforeAutospacing="0" w:after="0" w:afterAutospacing="0" w:line="480" w:lineRule="auto"/>
        <w:jc w:val="both"/>
      </w:pPr>
    </w:p>
    <w:p w14:paraId="5EA0F895" w14:textId="1AAF6563" w:rsidR="00460279" w:rsidRDefault="00460279" w:rsidP="00F867D7">
      <w:pPr>
        <w:pStyle w:val="NormalWeb"/>
        <w:spacing w:before="0" w:beforeAutospacing="0" w:after="0" w:afterAutospacing="0" w:line="480" w:lineRule="auto"/>
        <w:jc w:val="both"/>
      </w:pPr>
      <w:r>
        <w:t>References:</w:t>
      </w:r>
    </w:p>
    <w:p w14:paraId="55D14022" w14:textId="579648E5" w:rsidR="00460279" w:rsidRDefault="00460279" w:rsidP="00F867D7">
      <w:pPr>
        <w:pStyle w:val="NormalWeb"/>
        <w:spacing w:before="0" w:beforeAutospacing="0" w:after="0" w:afterAutospacing="0" w:line="480" w:lineRule="auto"/>
        <w:jc w:val="both"/>
      </w:pPr>
    </w:p>
    <w:p w14:paraId="3B774C4A" w14:textId="3112752C" w:rsidR="00460279" w:rsidRDefault="00460279" w:rsidP="00F867D7">
      <w:pPr>
        <w:pStyle w:val="NormalWeb"/>
        <w:spacing w:before="0" w:beforeAutospacing="0" w:after="0" w:afterAutospacing="0" w:line="480" w:lineRule="auto"/>
        <w:jc w:val="both"/>
      </w:pPr>
      <w:r>
        <w:t>] J. M. Kauffman, D. P. Hallahan, Handbook of Special Education, Routledge, New York, 2011.</w:t>
      </w:r>
    </w:p>
    <w:p w14:paraId="2C25E317" w14:textId="4485B57C" w:rsidR="00460279" w:rsidRDefault="00460279" w:rsidP="00F867D7">
      <w:pPr>
        <w:pStyle w:val="NormalWeb"/>
        <w:spacing w:before="0" w:beforeAutospacing="0" w:after="0" w:afterAutospacing="0" w:line="480" w:lineRule="auto"/>
        <w:jc w:val="both"/>
      </w:pPr>
    </w:p>
    <w:p w14:paraId="0DC43039" w14:textId="77777777" w:rsidR="00460279" w:rsidRDefault="00460279" w:rsidP="00F867D7">
      <w:pPr>
        <w:pStyle w:val="NormalWeb"/>
        <w:spacing w:before="0" w:beforeAutospacing="0" w:after="0" w:afterAutospacing="0" w:line="480" w:lineRule="auto"/>
        <w:jc w:val="both"/>
      </w:pPr>
      <w:r>
        <w:t xml:space="preserve">[2] W. J. </w:t>
      </w:r>
      <w:proofErr w:type="spellStart"/>
      <w:r>
        <w:t>Pelgrum</w:t>
      </w:r>
      <w:proofErr w:type="spellEnd"/>
      <w:r>
        <w:t xml:space="preserve">. Obstacles to the integration of ICT in education: results from a worldwide educational assessment, Computers &amp; education, Vol. 37, No. 2, 163-178, 2001. </w:t>
      </w:r>
    </w:p>
    <w:p w14:paraId="11EBB68E" w14:textId="77777777" w:rsidR="00460279" w:rsidRDefault="00460279" w:rsidP="00F867D7">
      <w:pPr>
        <w:pStyle w:val="NormalWeb"/>
        <w:spacing w:before="0" w:beforeAutospacing="0" w:after="0" w:afterAutospacing="0" w:line="480" w:lineRule="auto"/>
        <w:jc w:val="both"/>
      </w:pPr>
    </w:p>
    <w:p w14:paraId="6660A6B8" w14:textId="77777777" w:rsidR="00460279" w:rsidRDefault="00460279" w:rsidP="00F867D7">
      <w:pPr>
        <w:pStyle w:val="NormalWeb"/>
        <w:spacing w:before="0" w:beforeAutospacing="0" w:after="0" w:afterAutospacing="0" w:line="480" w:lineRule="auto"/>
        <w:jc w:val="both"/>
      </w:pPr>
      <w:r>
        <w:t xml:space="preserve">[3] I. Purnomo, T. </w:t>
      </w:r>
      <w:proofErr w:type="spellStart"/>
      <w:r>
        <w:t>Tomolyus</w:t>
      </w:r>
      <w:proofErr w:type="spellEnd"/>
      <w:r>
        <w:t xml:space="preserve">, E. </w:t>
      </w:r>
      <w:proofErr w:type="spellStart"/>
      <w:r>
        <w:t>Burhaein</w:t>
      </w:r>
      <w:proofErr w:type="spellEnd"/>
      <w:r>
        <w:t xml:space="preserve">. Development of learning activities playing a ball on a goal to improve </w:t>
      </w:r>
      <w:proofErr w:type="spellStart"/>
      <w:r>
        <w:t>manupulative</w:t>
      </w:r>
      <w:proofErr w:type="spellEnd"/>
      <w:r>
        <w:t xml:space="preserve"> skills for lower class students, Proceeding of the 1st International Conference on Science and Technology for an Internet of Things. European Alliance for Innovation, 2018.</w:t>
      </w:r>
    </w:p>
    <w:p w14:paraId="12E0B420" w14:textId="77777777" w:rsidR="00460279" w:rsidRDefault="00460279" w:rsidP="00F867D7">
      <w:pPr>
        <w:pStyle w:val="NormalWeb"/>
        <w:spacing w:before="0" w:beforeAutospacing="0" w:after="0" w:afterAutospacing="0" w:line="480" w:lineRule="auto"/>
        <w:jc w:val="both"/>
      </w:pPr>
    </w:p>
    <w:p w14:paraId="58901E80" w14:textId="22253805" w:rsidR="00460279" w:rsidRDefault="00460279" w:rsidP="00F867D7">
      <w:pPr>
        <w:pStyle w:val="NormalWeb"/>
        <w:spacing w:before="0" w:beforeAutospacing="0" w:after="0" w:afterAutospacing="0" w:line="480" w:lineRule="auto"/>
        <w:jc w:val="both"/>
      </w:pPr>
      <w:r>
        <w:t xml:space="preserve"> [4] A. Greenstein. Today's learning objective is to have a party: playing research with students in a secondary school special needs unit, Journal of research in special educational needs, Vol. 14, No. 2, 71-81, 2014.</w:t>
      </w:r>
    </w:p>
    <w:p w14:paraId="08E2D2CA" w14:textId="00BD40FD" w:rsidR="00B76568" w:rsidRDefault="00B76568" w:rsidP="00F867D7">
      <w:pPr>
        <w:pStyle w:val="NormalWeb"/>
        <w:spacing w:before="0" w:beforeAutospacing="0" w:after="0" w:afterAutospacing="0" w:line="480" w:lineRule="auto"/>
        <w:jc w:val="both"/>
      </w:pPr>
    </w:p>
    <w:p w14:paraId="7772E6D3" w14:textId="49AA91C0" w:rsidR="00B76568" w:rsidRDefault="00B76568" w:rsidP="00F867D7">
      <w:pPr>
        <w:pStyle w:val="NormalWeb"/>
        <w:spacing w:before="0" w:beforeAutospacing="0" w:after="0" w:afterAutospacing="0" w:line="480" w:lineRule="auto"/>
        <w:jc w:val="both"/>
      </w:pPr>
      <w:r>
        <w:t xml:space="preserve">E. </w:t>
      </w:r>
      <w:proofErr w:type="spellStart"/>
      <w:r>
        <w:t>Burhaein</w:t>
      </w:r>
      <w:proofErr w:type="spellEnd"/>
      <w:r>
        <w:t xml:space="preserve">. </w:t>
      </w:r>
      <w:proofErr w:type="spellStart"/>
      <w:r>
        <w:t>Aktivitas</w:t>
      </w:r>
      <w:proofErr w:type="spellEnd"/>
      <w:r>
        <w:t xml:space="preserve"> </w:t>
      </w:r>
      <w:proofErr w:type="spellStart"/>
      <w:r>
        <w:t>fisik</w:t>
      </w:r>
      <w:proofErr w:type="spellEnd"/>
      <w:r>
        <w:t xml:space="preserve"> </w:t>
      </w:r>
      <w:proofErr w:type="spellStart"/>
      <w:r>
        <w:t>olahraga</w:t>
      </w:r>
      <w:proofErr w:type="spellEnd"/>
      <w:r>
        <w:t xml:space="preserve"> </w:t>
      </w:r>
      <w:proofErr w:type="spellStart"/>
      <w:r>
        <w:t>untuk</w:t>
      </w:r>
      <w:proofErr w:type="spellEnd"/>
      <w:r>
        <w:t xml:space="preserve"> </w:t>
      </w:r>
      <w:proofErr w:type="spellStart"/>
      <w:r>
        <w:t>pertumbuhan</w:t>
      </w:r>
      <w:proofErr w:type="spellEnd"/>
      <w:r>
        <w:t xml:space="preserve"> dan </w:t>
      </w:r>
      <w:proofErr w:type="spellStart"/>
      <w:r>
        <w:t>perkembangan</w:t>
      </w:r>
      <w:proofErr w:type="spellEnd"/>
      <w:r>
        <w:t xml:space="preserve"> </w:t>
      </w:r>
      <w:proofErr w:type="spellStart"/>
      <w:r>
        <w:t>siswa</w:t>
      </w:r>
      <w:proofErr w:type="spellEnd"/>
      <w:r>
        <w:t xml:space="preserve"> SD, Indonesian Journal of Primary Education, Vol. 1, No. 1, 51-58, 2017a.</w:t>
      </w:r>
    </w:p>
    <w:p w14:paraId="2FA65881" w14:textId="1B9E19F8" w:rsidR="00824365" w:rsidRDefault="00824365" w:rsidP="00F867D7">
      <w:pPr>
        <w:pStyle w:val="NormalWeb"/>
        <w:spacing w:before="0" w:beforeAutospacing="0" w:after="0" w:afterAutospacing="0" w:line="480" w:lineRule="auto"/>
        <w:jc w:val="both"/>
      </w:pPr>
    </w:p>
    <w:p w14:paraId="1B56EF0D" w14:textId="25F27B11" w:rsidR="00824365" w:rsidRDefault="00824365" w:rsidP="00F867D7">
      <w:pPr>
        <w:pStyle w:val="NormalWeb"/>
        <w:spacing w:before="0" w:beforeAutospacing="0" w:after="0" w:afterAutospacing="0" w:line="480" w:lineRule="auto"/>
        <w:jc w:val="both"/>
      </w:pPr>
      <w:r>
        <w:lastRenderedPageBreak/>
        <w:t xml:space="preserve">E. </w:t>
      </w:r>
      <w:proofErr w:type="spellStart"/>
      <w:r>
        <w:t>Miranti</w:t>
      </w:r>
      <w:proofErr w:type="spellEnd"/>
      <w:r>
        <w:t xml:space="preserve">, Y. Yacoub. </w:t>
      </w:r>
      <w:proofErr w:type="spellStart"/>
      <w:r>
        <w:t>Pengaruh</w:t>
      </w:r>
      <w:proofErr w:type="spellEnd"/>
      <w:r>
        <w:t xml:space="preserve"> Tingkat Pendidikan, Masa </w:t>
      </w:r>
      <w:proofErr w:type="spellStart"/>
      <w:r>
        <w:t>Kerja</w:t>
      </w:r>
      <w:proofErr w:type="spellEnd"/>
      <w:r>
        <w:t xml:space="preserve"> dan </w:t>
      </w:r>
      <w:proofErr w:type="spellStart"/>
      <w:r>
        <w:t>Motivasi</w:t>
      </w:r>
      <w:proofErr w:type="spellEnd"/>
      <w:r>
        <w:t xml:space="preserve"> </w:t>
      </w:r>
      <w:proofErr w:type="spellStart"/>
      <w:r>
        <w:t>Kerja</w:t>
      </w:r>
      <w:proofErr w:type="spellEnd"/>
      <w:r>
        <w:t xml:space="preserve"> </w:t>
      </w:r>
      <w:proofErr w:type="spellStart"/>
      <w:r>
        <w:t>terhadap</w:t>
      </w:r>
      <w:proofErr w:type="spellEnd"/>
      <w:r>
        <w:t xml:space="preserve"> Kinerja </w:t>
      </w:r>
      <w:proofErr w:type="spellStart"/>
      <w:r>
        <w:t>Karyawan</w:t>
      </w:r>
      <w:proofErr w:type="spellEnd"/>
      <w:r>
        <w:t xml:space="preserve">. </w:t>
      </w:r>
      <w:proofErr w:type="spellStart"/>
      <w:r>
        <w:t>Jurnal</w:t>
      </w:r>
      <w:proofErr w:type="spellEnd"/>
      <w:r>
        <w:t xml:space="preserve"> Pendidikan dan </w:t>
      </w:r>
      <w:proofErr w:type="spellStart"/>
      <w:r>
        <w:t>Pembelajaran</w:t>
      </w:r>
      <w:proofErr w:type="spellEnd"/>
      <w:r>
        <w:t xml:space="preserve"> </w:t>
      </w:r>
      <w:proofErr w:type="spellStart"/>
      <w:r>
        <w:t>Khatulistiwa</w:t>
      </w:r>
      <w:proofErr w:type="spellEnd"/>
      <w:r>
        <w:t>, Vol. 5, No. 3. 1-13, 2017.</w:t>
      </w:r>
    </w:p>
    <w:p w14:paraId="62681264" w14:textId="4D9670A7" w:rsidR="00AE3A7C" w:rsidRDefault="00AE3A7C" w:rsidP="00F867D7">
      <w:pPr>
        <w:pStyle w:val="NormalWeb"/>
        <w:spacing w:before="0" w:beforeAutospacing="0" w:after="0" w:afterAutospacing="0" w:line="480" w:lineRule="auto"/>
        <w:jc w:val="both"/>
      </w:pPr>
    </w:p>
    <w:p w14:paraId="29EEB7A0" w14:textId="77777777" w:rsidR="00AE3A7C" w:rsidRDefault="00AE3A7C" w:rsidP="00F867D7">
      <w:pPr>
        <w:pStyle w:val="NormalWeb"/>
        <w:spacing w:before="0" w:beforeAutospacing="0" w:after="0" w:afterAutospacing="0" w:line="480" w:lineRule="auto"/>
        <w:jc w:val="both"/>
      </w:pPr>
      <w:r>
        <w:t xml:space="preserve">[26] F. </w:t>
      </w:r>
      <w:proofErr w:type="spellStart"/>
      <w:r>
        <w:t>Koesindratmono</w:t>
      </w:r>
      <w:proofErr w:type="spellEnd"/>
      <w:r>
        <w:t xml:space="preserve">, B. G. </w:t>
      </w:r>
      <w:proofErr w:type="spellStart"/>
      <w:r>
        <w:t>Septarini</w:t>
      </w:r>
      <w:proofErr w:type="spellEnd"/>
      <w:r>
        <w:t xml:space="preserve">. </w:t>
      </w:r>
      <w:proofErr w:type="spellStart"/>
      <w:r>
        <w:t>Hubungan</w:t>
      </w:r>
      <w:proofErr w:type="spellEnd"/>
      <w:r>
        <w:t xml:space="preserve"> </w:t>
      </w:r>
      <w:proofErr w:type="spellStart"/>
      <w:r>
        <w:t>antara</w:t>
      </w:r>
      <w:proofErr w:type="spellEnd"/>
      <w:r>
        <w:t xml:space="preserve"> masa </w:t>
      </w:r>
      <w:proofErr w:type="spellStart"/>
      <w:r>
        <w:t>kerja</w:t>
      </w:r>
      <w:proofErr w:type="spellEnd"/>
      <w:r>
        <w:t xml:space="preserve"> </w:t>
      </w:r>
      <w:proofErr w:type="spellStart"/>
      <w:r>
        <w:t>dengan</w:t>
      </w:r>
      <w:proofErr w:type="spellEnd"/>
      <w:r>
        <w:t xml:space="preserve"> </w:t>
      </w:r>
      <w:proofErr w:type="spellStart"/>
      <w:r>
        <w:t>pemberdayaan</w:t>
      </w:r>
      <w:proofErr w:type="spellEnd"/>
      <w:r>
        <w:t xml:space="preserve"> </w:t>
      </w:r>
      <w:proofErr w:type="spellStart"/>
      <w:r>
        <w:t>psikologis</w:t>
      </w:r>
      <w:proofErr w:type="spellEnd"/>
      <w:r>
        <w:t xml:space="preserve"> pada </w:t>
      </w:r>
      <w:proofErr w:type="spellStart"/>
      <w:r>
        <w:t>karyawan</w:t>
      </w:r>
      <w:proofErr w:type="spellEnd"/>
      <w:r>
        <w:t xml:space="preserve"> PT. Perkebunan Nusantara X (Persero), </w:t>
      </w:r>
      <w:proofErr w:type="spellStart"/>
      <w:r>
        <w:t>Insan</w:t>
      </w:r>
      <w:proofErr w:type="spellEnd"/>
      <w:r>
        <w:t xml:space="preserve">, Vol. 13, No. 1, 50-57, 2011. </w:t>
      </w:r>
    </w:p>
    <w:p w14:paraId="1C4B8682" w14:textId="77777777" w:rsidR="00AE3A7C" w:rsidRDefault="00AE3A7C" w:rsidP="00F867D7">
      <w:pPr>
        <w:pStyle w:val="NormalWeb"/>
        <w:spacing w:before="0" w:beforeAutospacing="0" w:after="0" w:afterAutospacing="0" w:line="480" w:lineRule="auto"/>
        <w:jc w:val="both"/>
      </w:pPr>
      <w:r>
        <w:t xml:space="preserve">[27] D. Guile, T. Griffiths, Learning through work experience. Journal of education and work, Vol. 14, No. 1, 113-131, 2001. </w:t>
      </w:r>
    </w:p>
    <w:p w14:paraId="305C91C3" w14:textId="77777777" w:rsidR="00AE3A7C" w:rsidRDefault="00AE3A7C" w:rsidP="00F867D7">
      <w:pPr>
        <w:pStyle w:val="NormalWeb"/>
        <w:spacing w:before="0" w:beforeAutospacing="0" w:after="0" w:afterAutospacing="0" w:line="480" w:lineRule="auto"/>
        <w:jc w:val="both"/>
      </w:pPr>
      <w:r>
        <w:t xml:space="preserve">[28] E. </w:t>
      </w:r>
      <w:proofErr w:type="spellStart"/>
      <w:r>
        <w:t>Miranti</w:t>
      </w:r>
      <w:proofErr w:type="spellEnd"/>
      <w:r>
        <w:t xml:space="preserve">, Y. Yacoub. </w:t>
      </w:r>
      <w:proofErr w:type="spellStart"/>
      <w:r>
        <w:t>Pengaruh</w:t>
      </w:r>
      <w:proofErr w:type="spellEnd"/>
      <w:r>
        <w:t xml:space="preserve"> Tingkat Pendidikan, Masa </w:t>
      </w:r>
      <w:proofErr w:type="spellStart"/>
      <w:r>
        <w:t>Kerja</w:t>
      </w:r>
      <w:proofErr w:type="spellEnd"/>
      <w:r>
        <w:t xml:space="preserve"> dan </w:t>
      </w:r>
      <w:proofErr w:type="spellStart"/>
      <w:r>
        <w:t>Motivasi</w:t>
      </w:r>
      <w:proofErr w:type="spellEnd"/>
      <w:r>
        <w:t xml:space="preserve"> </w:t>
      </w:r>
      <w:proofErr w:type="spellStart"/>
      <w:r>
        <w:t>Kerja</w:t>
      </w:r>
      <w:proofErr w:type="spellEnd"/>
      <w:r>
        <w:t xml:space="preserve"> </w:t>
      </w:r>
      <w:proofErr w:type="spellStart"/>
      <w:r>
        <w:t>terhadap</w:t>
      </w:r>
      <w:proofErr w:type="spellEnd"/>
      <w:r>
        <w:t xml:space="preserve"> Kinerja </w:t>
      </w:r>
      <w:proofErr w:type="spellStart"/>
      <w:r>
        <w:t>Karyawan</w:t>
      </w:r>
      <w:proofErr w:type="spellEnd"/>
      <w:r>
        <w:t xml:space="preserve">, </w:t>
      </w:r>
      <w:proofErr w:type="spellStart"/>
      <w:r>
        <w:t>Jurnal</w:t>
      </w:r>
      <w:proofErr w:type="spellEnd"/>
      <w:r>
        <w:t xml:space="preserve"> Pendidikan dan </w:t>
      </w:r>
      <w:proofErr w:type="spellStart"/>
      <w:r>
        <w:t>Pembelajaran</w:t>
      </w:r>
      <w:proofErr w:type="spellEnd"/>
      <w:r>
        <w:t xml:space="preserve"> </w:t>
      </w:r>
      <w:proofErr w:type="spellStart"/>
      <w:r>
        <w:t>Khatulistiwa</w:t>
      </w:r>
      <w:proofErr w:type="spellEnd"/>
      <w:r>
        <w:t xml:space="preserve">, Vol. 5, No. 3, 1-13, 2016. </w:t>
      </w:r>
    </w:p>
    <w:p w14:paraId="3472036E" w14:textId="77777777" w:rsidR="00AE3A7C" w:rsidRDefault="00AE3A7C" w:rsidP="00F867D7">
      <w:pPr>
        <w:pStyle w:val="NormalWeb"/>
        <w:spacing w:before="0" w:beforeAutospacing="0" w:after="0" w:afterAutospacing="0" w:line="480" w:lineRule="auto"/>
        <w:jc w:val="both"/>
      </w:pPr>
      <w:r>
        <w:t xml:space="preserve">[29] S. </w:t>
      </w:r>
      <w:proofErr w:type="spellStart"/>
      <w:r>
        <w:t>Aprilyanti</w:t>
      </w:r>
      <w:proofErr w:type="spellEnd"/>
      <w:r>
        <w:t xml:space="preserve">. </w:t>
      </w:r>
      <w:proofErr w:type="spellStart"/>
      <w:r>
        <w:t>Pengaruh</w:t>
      </w:r>
      <w:proofErr w:type="spellEnd"/>
      <w:r>
        <w:t xml:space="preserve"> </w:t>
      </w:r>
      <w:proofErr w:type="spellStart"/>
      <w:r>
        <w:t>usia</w:t>
      </w:r>
      <w:proofErr w:type="spellEnd"/>
      <w:r>
        <w:t xml:space="preserve"> dan masa </w:t>
      </w:r>
      <w:proofErr w:type="spellStart"/>
      <w:r>
        <w:t>kerja</w:t>
      </w:r>
      <w:proofErr w:type="spellEnd"/>
      <w:r>
        <w:t xml:space="preserve"> </w:t>
      </w:r>
      <w:proofErr w:type="spellStart"/>
      <w:r>
        <w:t>terhadap</w:t>
      </w:r>
      <w:proofErr w:type="spellEnd"/>
      <w:r>
        <w:t xml:space="preserve"> </w:t>
      </w:r>
      <w:proofErr w:type="spellStart"/>
      <w:r>
        <w:t>produktivitas</w:t>
      </w:r>
      <w:proofErr w:type="spellEnd"/>
      <w:r>
        <w:t xml:space="preserve"> </w:t>
      </w:r>
      <w:proofErr w:type="spellStart"/>
      <w:r>
        <w:t>kerja</w:t>
      </w:r>
      <w:proofErr w:type="spellEnd"/>
      <w:r>
        <w:t xml:space="preserve"> (</w:t>
      </w:r>
      <w:proofErr w:type="spellStart"/>
      <w:r>
        <w:t>Studi</w:t>
      </w:r>
      <w:proofErr w:type="spellEnd"/>
      <w:r>
        <w:t xml:space="preserve"> </w:t>
      </w:r>
      <w:proofErr w:type="spellStart"/>
      <w:r>
        <w:t>kasus</w:t>
      </w:r>
      <w:proofErr w:type="spellEnd"/>
      <w:r>
        <w:t xml:space="preserve">: PT. Oasis Water International Cabang Palembang), </w:t>
      </w:r>
      <w:proofErr w:type="spellStart"/>
      <w:r>
        <w:t>Jurnal</w:t>
      </w:r>
      <w:proofErr w:type="spellEnd"/>
      <w:r>
        <w:t xml:space="preserve"> </w:t>
      </w:r>
      <w:proofErr w:type="spellStart"/>
      <w:r>
        <w:t>Sistem</w:t>
      </w:r>
      <w:proofErr w:type="spellEnd"/>
      <w:r>
        <w:t xml:space="preserve"> dan </w:t>
      </w:r>
      <w:proofErr w:type="spellStart"/>
      <w:r>
        <w:t>Manajemen</w:t>
      </w:r>
      <w:proofErr w:type="spellEnd"/>
      <w:r>
        <w:t xml:space="preserve"> </w:t>
      </w:r>
      <w:proofErr w:type="spellStart"/>
      <w:r>
        <w:t>Industri</w:t>
      </w:r>
      <w:proofErr w:type="spellEnd"/>
      <w:r>
        <w:t xml:space="preserve">, Vol. 1, No. 2, 68-72, 2017. </w:t>
      </w:r>
    </w:p>
    <w:p w14:paraId="1F6C86D8" w14:textId="743866FD" w:rsidR="00AE3A7C" w:rsidRDefault="00AE3A7C" w:rsidP="00F867D7">
      <w:pPr>
        <w:pStyle w:val="NormalWeb"/>
        <w:spacing w:before="0" w:beforeAutospacing="0" w:after="0" w:afterAutospacing="0" w:line="480" w:lineRule="auto"/>
        <w:jc w:val="both"/>
      </w:pPr>
      <w:r>
        <w:t xml:space="preserve">[30] D. T. P. </w:t>
      </w:r>
      <w:proofErr w:type="spellStart"/>
      <w:r>
        <w:t>Phytanza</w:t>
      </w:r>
      <w:proofErr w:type="spellEnd"/>
      <w:r>
        <w:t xml:space="preserve">, E. </w:t>
      </w:r>
      <w:proofErr w:type="spellStart"/>
      <w:r>
        <w:t>Burhaein</w:t>
      </w:r>
      <w:proofErr w:type="spellEnd"/>
      <w:r>
        <w:t xml:space="preserve">, </w:t>
      </w:r>
      <w:proofErr w:type="spellStart"/>
      <w:r>
        <w:t>Sukoco</w:t>
      </w:r>
      <w:proofErr w:type="spellEnd"/>
      <w:r>
        <w:t xml:space="preserve">, W. S. </w:t>
      </w:r>
      <w:proofErr w:type="spellStart"/>
      <w:r>
        <w:t>Ghautama</w:t>
      </w:r>
      <w:proofErr w:type="spellEnd"/>
      <w:r>
        <w:t xml:space="preserve">. Life Skill Dimension Based on Unified Sports Soccer Program in SLB of Intellectual Disability. </w:t>
      </w:r>
      <w:proofErr w:type="spellStart"/>
      <w:r>
        <w:t>Yaşam</w:t>
      </w:r>
      <w:proofErr w:type="spellEnd"/>
      <w:r>
        <w:t xml:space="preserve"> </w:t>
      </w:r>
      <w:proofErr w:type="spellStart"/>
      <w:r>
        <w:t>Becerileri</w:t>
      </w:r>
      <w:proofErr w:type="spellEnd"/>
      <w:r>
        <w:t xml:space="preserve"> </w:t>
      </w:r>
      <w:proofErr w:type="spellStart"/>
      <w:r>
        <w:t>Psikoloji</w:t>
      </w:r>
      <w:proofErr w:type="spellEnd"/>
      <w:r>
        <w:t xml:space="preserve"> </w:t>
      </w:r>
      <w:proofErr w:type="spellStart"/>
      <w:r>
        <w:t>Dergisi</w:t>
      </w:r>
      <w:proofErr w:type="spellEnd"/>
      <w:r>
        <w:t>, Vol. 2, No. 4, 199-205, 2018.</w:t>
      </w:r>
    </w:p>
    <w:p w14:paraId="32D3E36F" w14:textId="77777777" w:rsidR="00433373" w:rsidRPr="00D20ACC" w:rsidRDefault="00433373" w:rsidP="00F867D7">
      <w:pPr>
        <w:pStyle w:val="NormalWeb"/>
        <w:spacing w:before="0" w:beforeAutospacing="0" w:after="0" w:afterAutospacing="0" w:line="480" w:lineRule="auto"/>
        <w:jc w:val="both"/>
      </w:pPr>
    </w:p>
    <w:sectPr w:rsidR="00433373" w:rsidRPr="00D20ACC">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0FE3"/>
    <w:rsid w:val="000526AE"/>
    <w:rsid w:val="00152CCE"/>
    <w:rsid w:val="00187BD8"/>
    <w:rsid w:val="001D115E"/>
    <w:rsid w:val="002A504E"/>
    <w:rsid w:val="002D0C4E"/>
    <w:rsid w:val="003513FD"/>
    <w:rsid w:val="003770FF"/>
    <w:rsid w:val="003C6DFA"/>
    <w:rsid w:val="004218D1"/>
    <w:rsid w:val="00433373"/>
    <w:rsid w:val="004556AF"/>
    <w:rsid w:val="00460279"/>
    <w:rsid w:val="00466753"/>
    <w:rsid w:val="00483B44"/>
    <w:rsid w:val="006827E5"/>
    <w:rsid w:val="00684611"/>
    <w:rsid w:val="006A0353"/>
    <w:rsid w:val="00710832"/>
    <w:rsid w:val="007216A5"/>
    <w:rsid w:val="00824365"/>
    <w:rsid w:val="00860FE3"/>
    <w:rsid w:val="009376E6"/>
    <w:rsid w:val="0098294C"/>
    <w:rsid w:val="009D5267"/>
    <w:rsid w:val="009F668E"/>
    <w:rsid w:val="00AD6EA4"/>
    <w:rsid w:val="00AE3A7C"/>
    <w:rsid w:val="00B07DAF"/>
    <w:rsid w:val="00B23540"/>
    <w:rsid w:val="00B76568"/>
    <w:rsid w:val="00C7483C"/>
    <w:rsid w:val="00CE3943"/>
    <w:rsid w:val="00D20ACC"/>
    <w:rsid w:val="00E95CCE"/>
    <w:rsid w:val="00ED4223"/>
    <w:rsid w:val="00F867D7"/>
    <w:rsid w:val="00FF375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8BBF54"/>
  <w15:chartTrackingRefBased/>
  <w15:docId w15:val="{9049F410-2059-4BFE-A922-C11771006E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0526AE"/>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styleId="Hyperlink">
    <w:name w:val="Hyperlink"/>
    <w:basedOn w:val="DefaultParagraphFont"/>
    <w:uiPriority w:val="99"/>
    <w:semiHidden/>
    <w:unhideWhenUsed/>
    <w:rsid w:val="000526AE"/>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012270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www.worldbank.org/en/topic/education/overview"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403</TotalTime>
  <Pages>12</Pages>
  <Words>3167</Words>
  <Characters>18052</Characters>
  <Application>Microsoft Office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21177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Ayesha Khan</dc:creator>
  <cp:keywords/>
  <dc:description/>
  <cp:lastModifiedBy>Ayesha Khan</cp:lastModifiedBy>
  <cp:revision>29</cp:revision>
  <dcterms:created xsi:type="dcterms:W3CDTF">2022-11-07T17:11:00Z</dcterms:created>
  <dcterms:modified xsi:type="dcterms:W3CDTF">2022-11-07T23:56:00Z</dcterms:modified>
</cp:coreProperties>
</file>