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5EE6D" w14:textId="0802860D" w:rsidR="00CA1BDF" w:rsidRDefault="00CA1BDF" w:rsidP="00F1068A"/>
    <w:p w14:paraId="63DD4FC7" w14:textId="286C6C50" w:rsidR="00CA1BDF" w:rsidRDefault="00343A98">
      <w:r w:rsidRPr="00343A98">
        <w:drawing>
          <wp:inline distT="0" distB="0" distL="0" distR="0" wp14:anchorId="6283F441" wp14:editId="132A985F">
            <wp:extent cx="5731510" cy="4292600"/>
            <wp:effectExtent l="0" t="0" r="2540" b="0"/>
            <wp:docPr id="475541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541982" name=""/>
                    <pic:cNvPicPr/>
                  </pic:nvPicPr>
                  <pic:blipFill>
                    <a:blip r:embed="rId7"/>
                    <a:stretch>
                      <a:fillRect/>
                    </a:stretch>
                  </pic:blipFill>
                  <pic:spPr>
                    <a:xfrm>
                      <a:off x="0" y="0"/>
                      <a:ext cx="5731510" cy="4292600"/>
                    </a:xfrm>
                    <a:prstGeom prst="rect">
                      <a:avLst/>
                    </a:prstGeom>
                  </pic:spPr>
                </pic:pic>
              </a:graphicData>
            </a:graphic>
          </wp:inline>
        </w:drawing>
      </w:r>
      <w:r w:rsidR="00CA1BDF">
        <w:br w:type="page"/>
      </w:r>
    </w:p>
    <w:p w14:paraId="1941AFD0" w14:textId="77777777" w:rsidR="00F1068A" w:rsidRDefault="00F1068A" w:rsidP="00F1068A"/>
    <w:sdt>
      <w:sdtPr>
        <w:rPr>
          <w:rFonts w:asciiTheme="minorHAnsi" w:eastAsiaTheme="minorHAnsi" w:hAnsiTheme="minorHAnsi" w:cstheme="minorBidi"/>
          <w:b w:val="0"/>
          <w:bCs w:val="0"/>
          <w:color w:val="auto"/>
          <w:sz w:val="22"/>
          <w:szCs w:val="22"/>
          <w:lang w:val="en-IN" w:eastAsia="en-US"/>
        </w:rPr>
        <w:id w:val="-2020603053"/>
        <w:docPartObj>
          <w:docPartGallery w:val="Table of Contents"/>
          <w:docPartUnique/>
        </w:docPartObj>
      </w:sdtPr>
      <w:sdtEndPr>
        <w:rPr>
          <w:noProof/>
        </w:rPr>
      </w:sdtEndPr>
      <w:sdtContent>
        <w:p w14:paraId="49F87D6D" w14:textId="77777777" w:rsidR="0018373C" w:rsidRDefault="0018373C">
          <w:pPr>
            <w:pStyle w:val="TOCHeading"/>
          </w:pPr>
          <w:r>
            <w:t>Table of Contents</w:t>
          </w:r>
        </w:p>
        <w:p w14:paraId="5CF0906C" w14:textId="77777777" w:rsidR="004B4648" w:rsidRDefault="0018373C">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31079691" w:history="1">
            <w:r w:rsidR="004B4648" w:rsidRPr="00181156">
              <w:rPr>
                <w:rStyle w:val="Hyperlink"/>
                <w:rFonts w:ascii="Arial" w:hAnsi="Arial" w:cs="Arial"/>
                <w:noProof/>
              </w:rPr>
              <w:t>Introduction</w:t>
            </w:r>
            <w:r w:rsidR="004B4648">
              <w:rPr>
                <w:noProof/>
                <w:webHidden/>
              </w:rPr>
              <w:tab/>
            </w:r>
            <w:r w:rsidR="004B4648">
              <w:rPr>
                <w:noProof/>
                <w:webHidden/>
              </w:rPr>
              <w:fldChar w:fldCharType="begin"/>
            </w:r>
            <w:r w:rsidR="004B4648">
              <w:rPr>
                <w:noProof/>
                <w:webHidden/>
              </w:rPr>
              <w:instrText xml:space="preserve"> PAGEREF _Toc131079691 \h </w:instrText>
            </w:r>
            <w:r w:rsidR="004B4648">
              <w:rPr>
                <w:noProof/>
                <w:webHidden/>
              </w:rPr>
            </w:r>
            <w:r w:rsidR="004B4648">
              <w:rPr>
                <w:noProof/>
                <w:webHidden/>
              </w:rPr>
              <w:fldChar w:fldCharType="separate"/>
            </w:r>
            <w:r w:rsidR="004B4648">
              <w:rPr>
                <w:noProof/>
                <w:webHidden/>
              </w:rPr>
              <w:t>2</w:t>
            </w:r>
            <w:r w:rsidR="004B4648">
              <w:rPr>
                <w:noProof/>
                <w:webHidden/>
              </w:rPr>
              <w:fldChar w:fldCharType="end"/>
            </w:r>
          </w:hyperlink>
        </w:p>
        <w:p w14:paraId="13E15734" w14:textId="77777777" w:rsidR="004B4648" w:rsidRDefault="00000000">
          <w:pPr>
            <w:pStyle w:val="TOC1"/>
            <w:tabs>
              <w:tab w:val="right" w:leader="dot" w:pos="9016"/>
            </w:tabs>
            <w:rPr>
              <w:rFonts w:eastAsiaTheme="minorEastAsia"/>
              <w:noProof/>
              <w:lang w:eastAsia="en-IN"/>
            </w:rPr>
          </w:pPr>
          <w:hyperlink w:anchor="_Toc131079692" w:history="1">
            <w:r w:rsidR="004B4648" w:rsidRPr="00181156">
              <w:rPr>
                <w:rStyle w:val="Hyperlink"/>
                <w:rFonts w:ascii="Arial" w:hAnsi="Arial" w:cs="Arial"/>
                <w:noProof/>
              </w:rPr>
              <w:t>Strategic Direction of Altacor</w:t>
            </w:r>
            <w:r w:rsidR="004B4648">
              <w:rPr>
                <w:noProof/>
                <w:webHidden/>
              </w:rPr>
              <w:tab/>
            </w:r>
            <w:r w:rsidR="004B4648">
              <w:rPr>
                <w:noProof/>
                <w:webHidden/>
              </w:rPr>
              <w:fldChar w:fldCharType="begin"/>
            </w:r>
            <w:r w:rsidR="004B4648">
              <w:rPr>
                <w:noProof/>
                <w:webHidden/>
              </w:rPr>
              <w:instrText xml:space="preserve"> PAGEREF _Toc131079692 \h </w:instrText>
            </w:r>
            <w:r w:rsidR="004B4648">
              <w:rPr>
                <w:noProof/>
                <w:webHidden/>
              </w:rPr>
            </w:r>
            <w:r w:rsidR="004B4648">
              <w:rPr>
                <w:noProof/>
                <w:webHidden/>
              </w:rPr>
              <w:fldChar w:fldCharType="separate"/>
            </w:r>
            <w:r w:rsidR="004B4648">
              <w:rPr>
                <w:noProof/>
                <w:webHidden/>
              </w:rPr>
              <w:t>3</w:t>
            </w:r>
            <w:r w:rsidR="004B4648">
              <w:rPr>
                <w:noProof/>
                <w:webHidden/>
              </w:rPr>
              <w:fldChar w:fldCharType="end"/>
            </w:r>
          </w:hyperlink>
        </w:p>
        <w:p w14:paraId="46DB22CF" w14:textId="77777777" w:rsidR="004B4648" w:rsidRDefault="00000000">
          <w:pPr>
            <w:pStyle w:val="TOC1"/>
            <w:tabs>
              <w:tab w:val="right" w:leader="dot" w:pos="9016"/>
            </w:tabs>
            <w:rPr>
              <w:rFonts w:eastAsiaTheme="minorEastAsia"/>
              <w:noProof/>
              <w:lang w:eastAsia="en-IN"/>
            </w:rPr>
          </w:pPr>
          <w:hyperlink w:anchor="_Toc131079693" w:history="1">
            <w:r w:rsidR="004B4648" w:rsidRPr="00181156">
              <w:rPr>
                <w:rStyle w:val="Hyperlink"/>
                <w:rFonts w:ascii="Arial" w:hAnsi="Arial" w:cs="Arial"/>
                <w:noProof/>
              </w:rPr>
              <w:t>Internal and External Environmental Analysis of Altacor</w:t>
            </w:r>
            <w:r w:rsidR="004B4648">
              <w:rPr>
                <w:noProof/>
                <w:webHidden/>
              </w:rPr>
              <w:tab/>
            </w:r>
            <w:r w:rsidR="004B4648">
              <w:rPr>
                <w:noProof/>
                <w:webHidden/>
              </w:rPr>
              <w:fldChar w:fldCharType="begin"/>
            </w:r>
            <w:r w:rsidR="004B4648">
              <w:rPr>
                <w:noProof/>
                <w:webHidden/>
              </w:rPr>
              <w:instrText xml:space="preserve"> PAGEREF _Toc131079693 \h </w:instrText>
            </w:r>
            <w:r w:rsidR="004B4648">
              <w:rPr>
                <w:noProof/>
                <w:webHidden/>
              </w:rPr>
            </w:r>
            <w:r w:rsidR="004B4648">
              <w:rPr>
                <w:noProof/>
                <w:webHidden/>
              </w:rPr>
              <w:fldChar w:fldCharType="separate"/>
            </w:r>
            <w:r w:rsidR="004B4648">
              <w:rPr>
                <w:noProof/>
                <w:webHidden/>
              </w:rPr>
              <w:t>4</w:t>
            </w:r>
            <w:r w:rsidR="004B4648">
              <w:rPr>
                <w:noProof/>
                <w:webHidden/>
              </w:rPr>
              <w:fldChar w:fldCharType="end"/>
            </w:r>
          </w:hyperlink>
        </w:p>
        <w:p w14:paraId="5FD32C86" w14:textId="77777777" w:rsidR="004B4648" w:rsidRDefault="00000000">
          <w:pPr>
            <w:pStyle w:val="TOC2"/>
            <w:tabs>
              <w:tab w:val="right" w:leader="dot" w:pos="9016"/>
            </w:tabs>
            <w:rPr>
              <w:rFonts w:eastAsiaTheme="minorEastAsia"/>
              <w:noProof/>
              <w:lang w:eastAsia="en-IN"/>
            </w:rPr>
          </w:pPr>
          <w:hyperlink w:anchor="_Toc131079694" w:history="1">
            <w:r w:rsidR="004B4648" w:rsidRPr="00181156">
              <w:rPr>
                <w:rStyle w:val="Hyperlink"/>
                <w:rFonts w:ascii="Arial" w:hAnsi="Arial" w:cs="Arial"/>
                <w:noProof/>
              </w:rPr>
              <w:t>SWOT Analysis</w:t>
            </w:r>
            <w:r w:rsidR="004B4648">
              <w:rPr>
                <w:noProof/>
                <w:webHidden/>
              </w:rPr>
              <w:tab/>
            </w:r>
            <w:r w:rsidR="004B4648">
              <w:rPr>
                <w:noProof/>
                <w:webHidden/>
              </w:rPr>
              <w:fldChar w:fldCharType="begin"/>
            </w:r>
            <w:r w:rsidR="004B4648">
              <w:rPr>
                <w:noProof/>
                <w:webHidden/>
              </w:rPr>
              <w:instrText xml:space="preserve"> PAGEREF _Toc131079694 \h </w:instrText>
            </w:r>
            <w:r w:rsidR="004B4648">
              <w:rPr>
                <w:noProof/>
                <w:webHidden/>
              </w:rPr>
            </w:r>
            <w:r w:rsidR="004B4648">
              <w:rPr>
                <w:noProof/>
                <w:webHidden/>
              </w:rPr>
              <w:fldChar w:fldCharType="separate"/>
            </w:r>
            <w:r w:rsidR="004B4648">
              <w:rPr>
                <w:noProof/>
                <w:webHidden/>
              </w:rPr>
              <w:t>5</w:t>
            </w:r>
            <w:r w:rsidR="004B4648">
              <w:rPr>
                <w:noProof/>
                <w:webHidden/>
              </w:rPr>
              <w:fldChar w:fldCharType="end"/>
            </w:r>
          </w:hyperlink>
        </w:p>
        <w:p w14:paraId="435FFBE7" w14:textId="77777777" w:rsidR="004B4648" w:rsidRDefault="00000000">
          <w:pPr>
            <w:pStyle w:val="TOC2"/>
            <w:tabs>
              <w:tab w:val="right" w:leader="dot" w:pos="9016"/>
            </w:tabs>
            <w:rPr>
              <w:rFonts w:eastAsiaTheme="minorEastAsia"/>
              <w:noProof/>
              <w:lang w:eastAsia="en-IN"/>
            </w:rPr>
          </w:pPr>
          <w:hyperlink w:anchor="_Toc131079695" w:history="1">
            <w:r w:rsidR="004B4648" w:rsidRPr="00181156">
              <w:rPr>
                <w:rStyle w:val="Hyperlink"/>
                <w:rFonts w:ascii="Arial" w:hAnsi="Arial" w:cs="Arial"/>
                <w:noProof/>
              </w:rPr>
              <w:t>PESTLE Analysis</w:t>
            </w:r>
            <w:r w:rsidR="004B4648">
              <w:rPr>
                <w:noProof/>
                <w:webHidden/>
              </w:rPr>
              <w:tab/>
            </w:r>
            <w:r w:rsidR="004B4648">
              <w:rPr>
                <w:noProof/>
                <w:webHidden/>
              </w:rPr>
              <w:fldChar w:fldCharType="begin"/>
            </w:r>
            <w:r w:rsidR="004B4648">
              <w:rPr>
                <w:noProof/>
                <w:webHidden/>
              </w:rPr>
              <w:instrText xml:space="preserve"> PAGEREF _Toc131079695 \h </w:instrText>
            </w:r>
            <w:r w:rsidR="004B4648">
              <w:rPr>
                <w:noProof/>
                <w:webHidden/>
              </w:rPr>
            </w:r>
            <w:r w:rsidR="004B4648">
              <w:rPr>
                <w:noProof/>
                <w:webHidden/>
              </w:rPr>
              <w:fldChar w:fldCharType="separate"/>
            </w:r>
            <w:r w:rsidR="004B4648">
              <w:rPr>
                <w:noProof/>
                <w:webHidden/>
              </w:rPr>
              <w:t>7</w:t>
            </w:r>
            <w:r w:rsidR="004B4648">
              <w:rPr>
                <w:noProof/>
                <w:webHidden/>
              </w:rPr>
              <w:fldChar w:fldCharType="end"/>
            </w:r>
          </w:hyperlink>
        </w:p>
        <w:p w14:paraId="544FA3FC" w14:textId="77777777" w:rsidR="004B4648" w:rsidRDefault="00000000">
          <w:pPr>
            <w:pStyle w:val="TOC2"/>
            <w:tabs>
              <w:tab w:val="right" w:leader="dot" w:pos="9016"/>
            </w:tabs>
            <w:rPr>
              <w:rFonts w:eastAsiaTheme="minorEastAsia"/>
              <w:noProof/>
              <w:lang w:eastAsia="en-IN"/>
            </w:rPr>
          </w:pPr>
          <w:hyperlink w:anchor="_Toc131079696" w:history="1">
            <w:r w:rsidR="004B4648" w:rsidRPr="00181156">
              <w:rPr>
                <w:rStyle w:val="Hyperlink"/>
                <w:rFonts w:ascii="Arial" w:hAnsi="Arial" w:cs="Arial"/>
                <w:noProof/>
              </w:rPr>
              <w:t>VRIN Framework</w:t>
            </w:r>
            <w:r w:rsidR="004B4648">
              <w:rPr>
                <w:noProof/>
                <w:webHidden/>
              </w:rPr>
              <w:tab/>
            </w:r>
            <w:r w:rsidR="004B4648">
              <w:rPr>
                <w:noProof/>
                <w:webHidden/>
              </w:rPr>
              <w:fldChar w:fldCharType="begin"/>
            </w:r>
            <w:r w:rsidR="004B4648">
              <w:rPr>
                <w:noProof/>
                <w:webHidden/>
              </w:rPr>
              <w:instrText xml:space="preserve"> PAGEREF _Toc131079696 \h </w:instrText>
            </w:r>
            <w:r w:rsidR="004B4648">
              <w:rPr>
                <w:noProof/>
                <w:webHidden/>
              </w:rPr>
            </w:r>
            <w:r w:rsidR="004B4648">
              <w:rPr>
                <w:noProof/>
                <w:webHidden/>
              </w:rPr>
              <w:fldChar w:fldCharType="separate"/>
            </w:r>
            <w:r w:rsidR="004B4648">
              <w:rPr>
                <w:noProof/>
                <w:webHidden/>
              </w:rPr>
              <w:t>8</w:t>
            </w:r>
            <w:r w:rsidR="004B4648">
              <w:rPr>
                <w:noProof/>
                <w:webHidden/>
              </w:rPr>
              <w:fldChar w:fldCharType="end"/>
            </w:r>
          </w:hyperlink>
        </w:p>
        <w:p w14:paraId="0E52D6F0" w14:textId="77777777" w:rsidR="004B4648" w:rsidRDefault="00000000">
          <w:pPr>
            <w:pStyle w:val="TOC1"/>
            <w:tabs>
              <w:tab w:val="right" w:leader="dot" w:pos="9016"/>
            </w:tabs>
            <w:rPr>
              <w:rFonts w:eastAsiaTheme="minorEastAsia"/>
              <w:noProof/>
              <w:lang w:eastAsia="en-IN"/>
            </w:rPr>
          </w:pPr>
          <w:hyperlink w:anchor="_Toc131079697" w:history="1">
            <w:r w:rsidR="004B4648" w:rsidRPr="00181156">
              <w:rPr>
                <w:rStyle w:val="Hyperlink"/>
                <w:rFonts w:ascii="Arial" w:hAnsi="Arial" w:cs="Arial"/>
                <w:noProof/>
                <w:shd w:val="clear" w:color="auto" w:fill="FFFFFF"/>
              </w:rPr>
              <w:t>Sustainable Strategy for the Long-Term Future of Altacor</w:t>
            </w:r>
            <w:r w:rsidR="004B4648">
              <w:rPr>
                <w:noProof/>
                <w:webHidden/>
              </w:rPr>
              <w:tab/>
            </w:r>
            <w:r w:rsidR="004B4648">
              <w:rPr>
                <w:noProof/>
                <w:webHidden/>
              </w:rPr>
              <w:fldChar w:fldCharType="begin"/>
            </w:r>
            <w:r w:rsidR="004B4648">
              <w:rPr>
                <w:noProof/>
                <w:webHidden/>
              </w:rPr>
              <w:instrText xml:space="preserve"> PAGEREF _Toc131079697 \h </w:instrText>
            </w:r>
            <w:r w:rsidR="004B4648">
              <w:rPr>
                <w:noProof/>
                <w:webHidden/>
              </w:rPr>
            </w:r>
            <w:r w:rsidR="004B4648">
              <w:rPr>
                <w:noProof/>
                <w:webHidden/>
              </w:rPr>
              <w:fldChar w:fldCharType="separate"/>
            </w:r>
            <w:r w:rsidR="004B4648">
              <w:rPr>
                <w:noProof/>
                <w:webHidden/>
              </w:rPr>
              <w:t>10</w:t>
            </w:r>
            <w:r w:rsidR="004B4648">
              <w:rPr>
                <w:noProof/>
                <w:webHidden/>
              </w:rPr>
              <w:fldChar w:fldCharType="end"/>
            </w:r>
          </w:hyperlink>
        </w:p>
        <w:p w14:paraId="1B0C673E" w14:textId="77777777" w:rsidR="004B4648" w:rsidRDefault="00000000">
          <w:pPr>
            <w:pStyle w:val="TOC2"/>
            <w:tabs>
              <w:tab w:val="right" w:leader="dot" w:pos="9016"/>
            </w:tabs>
            <w:rPr>
              <w:rFonts w:eastAsiaTheme="minorEastAsia"/>
              <w:noProof/>
              <w:lang w:eastAsia="en-IN"/>
            </w:rPr>
          </w:pPr>
          <w:hyperlink w:anchor="_Toc131079698" w:history="1">
            <w:r w:rsidR="004B4648" w:rsidRPr="00181156">
              <w:rPr>
                <w:rStyle w:val="Hyperlink"/>
                <w:rFonts w:ascii="Arial" w:hAnsi="Arial" w:cs="Arial"/>
                <w:noProof/>
              </w:rPr>
              <w:t>Porter’s Generic Strategies</w:t>
            </w:r>
            <w:r w:rsidR="004B4648">
              <w:rPr>
                <w:noProof/>
                <w:webHidden/>
              </w:rPr>
              <w:tab/>
            </w:r>
            <w:r w:rsidR="004B4648">
              <w:rPr>
                <w:noProof/>
                <w:webHidden/>
              </w:rPr>
              <w:fldChar w:fldCharType="begin"/>
            </w:r>
            <w:r w:rsidR="004B4648">
              <w:rPr>
                <w:noProof/>
                <w:webHidden/>
              </w:rPr>
              <w:instrText xml:space="preserve"> PAGEREF _Toc131079698 \h </w:instrText>
            </w:r>
            <w:r w:rsidR="004B4648">
              <w:rPr>
                <w:noProof/>
                <w:webHidden/>
              </w:rPr>
            </w:r>
            <w:r w:rsidR="004B4648">
              <w:rPr>
                <w:noProof/>
                <w:webHidden/>
              </w:rPr>
              <w:fldChar w:fldCharType="separate"/>
            </w:r>
            <w:r w:rsidR="004B4648">
              <w:rPr>
                <w:noProof/>
                <w:webHidden/>
              </w:rPr>
              <w:t>11</w:t>
            </w:r>
            <w:r w:rsidR="004B4648">
              <w:rPr>
                <w:noProof/>
                <w:webHidden/>
              </w:rPr>
              <w:fldChar w:fldCharType="end"/>
            </w:r>
          </w:hyperlink>
        </w:p>
        <w:p w14:paraId="45E175E3" w14:textId="77777777" w:rsidR="004B4648" w:rsidRDefault="00000000">
          <w:pPr>
            <w:pStyle w:val="TOC2"/>
            <w:tabs>
              <w:tab w:val="right" w:leader="dot" w:pos="9016"/>
            </w:tabs>
            <w:rPr>
              <w:rFonts w:eastAsiaTheme="minorEastAsia"/>
              <w:noProof/>
              <w:lang w:eastAsia="en-IN"/>
            </w:rPr>
          </w:pPr>
          <w:hyperlink w:anchor="_Toc131079699" w:history="1">
            <w:r w:rsidR="004B4648" w:rsidRPr="00181156">
              <w:rPr>
                <w:rStyle w:val="Hyperlink"/>
                <w:rFonts w:ascii="Arial" w:hAnsi="Arial" w:cs="Arial"/>
                <w:noProof/>
              </w:rPr>
              <w:t>Ansoff’s Matrix</w:t>
            </w:r>
            <w:r w:rsidR="004B4648">
              <w:rPr>
                <w:noProof/>
                <w:webHidden/>
              </w:rPr>
              <w:tab/>
            </w:r>
            <w:r w:rsidR="004B4648">
              <w:rPr>
                <w:noProof/>
                <w:webHidden/>
              </w:rPr>
              <w:fldChar w:fldCharType="begin"/>
            </w:r>
            <w:r w:rsidR="004B4648">
              <w:rPr>
                <w:noProof/>
                <w:webHidden/>
              </w:rPr>
              <w:instrText xml:space="preserve"> PAGEREF _Toc131079699 \h </w:instrText>
            </w:r>
            <w:r w:rsidR="004B4648">
              <w:rPr>
                <w:noProof/>
                <w:webHidden/>
              </w:rPr>
            </w:r>
            <w:r w:rsidR="004B4648">
              <w:rPr>
                <w:noProof/>
                <w:webHidden/>
              </w:rPr>
              <w:fldChar w:fldCharType="separate"/>
            </w:r>
            <w:r w:rsidR="004B4648">
              <w:rPr>
                <w:noProof/>
                <w:webHidden/>
              </w:rPr>
              <w:t>12</w:t>
            </w:r>
            <w:r w:rsidR="004B4648">
              <w:rPr>
                <w:noProof/>
                <w:webHidden/>
              </w:rPr>
              <w:fldChar w:fldCharType="end"/>
            </w:r>
          </w:hyperlink>
        </w:p>
        <w:p w14:paraId="7574606D" w14:textId="77777777" w:rsidR="004B4648" w:rsidRDefault="00000000">
          <w:pPr>
            <w:pStyle w:val="TOC2"/>
            <w:tabs>
              <w:tab w:val="right" w:leader="dot" w:pos="9016"/>
            </w:tabs>
            <w:rPr>
              <w:rFonts w:eastAsiaTheme="minorEastAsia"/>
              <w:noProof/>
              <w:lang w:eastAsia="en-IN"/>
            </w:rPr>
          </w:pPr>
          <w:hyperlink w:anchor="_Toc131079700" w:history="1">
            <w:r w:rsidR="004B4648" w:rsidRPr="00181156">
              <w:rPr>
                <w:rStyle w:val="Hyperlink"/>
                <w:rFonts w:ascii="Arial" w:hAnsi="Arial" w:cs="Arial"/>
                <w:noProof/>
              </w:rPr>
              <w:t>Bowman’s Strategy Clock</w:t>
            </w:r>
            <w:r w:rsidR="004B4648">
              <w:rPr>
                <w:noProof/>
                <w:webHidden/>
              </w:rPr>
              <w:tab/>
            </w:r>
            <w:r w:rsidR="004B4648">
              <w:rPr>
                <w:noProof/>
                <w:webHidden/>
              </w:rPr>
              <w:fldChar w:fldCharType="begin"/>
            </w:r>
            <w:r w:rsidR="004B4648">
              <w:rPr>
                <w:noProof/>
                <w:webHidden/>
              </w:rPr>
              <w:instrText xml:space="preserve"> PAGEREF _Toc131079700 \h </w:instrText>
            </w:r>
            <w:r w:rsidR="004B4648">
              <w:rPr>
                <w:noProof/>
                <w:webHidden/>
              </w:rPr>
            </w:r>
            <w:r w:rsidR="004B4648">
              <w:rPr>
                <w:noProof/>
                <w:webHidden/>
              </w:rPr>
              <w:fldChar w:fldCharType="separate"/>
            </w:r>
            <w:r w:rsidR="004B4648">
              <w:rPr>
                <w:noProof/>
                <w:webHidden/>
              </w:rPr>
              <w:t>14</w:t>
            </w:r>
            <w:r w:rsidR="004B4648">
              <w:rPr>
                <w:noProof/>
                <w:webHidden/>
              </w:rPr>
              <w:fldChar w:fldCharType="end"/>
            </w:r>
          </w:hyperlink>
        </w:p>
        <w:p w14:paraId="0CA42312" w14:textId="77777777" w:rsidR="004B4648" w:rsidRDefault="00000000">
          <w:pPr>
            <w:pStyle w:val="TOC1"/>
            <w:tabs>
              <w:tab w:val="right" w:leader="dot" w:pos="9016"/>
            </w:tabs>
            <w:rPr>
              <w:rFonts w:eastAsiaTheme="minorEastAsia"/>
              <w:noProof/>
              <w:lang w:eastAsia="en-IN"/>
            </w:rPr>
          </w:pPr>
          <w:hyperlink w:anchor="_Toc131079701" w:history="1">
            <w:r w:rsidR="004B4648" w:rsidRPr="00181156">
              <w:rPr>
                <w:rStyle w:val="Hyperlink"/>
                <w:rFonts w:ascii="Arial" w:hAnsi="Arial" w:cs="Arial"/>
                <w:noProof/>
                <w:shd w:val="clear" w:color="auto" w:fill="FFFFFF"/>
              </w:rPr>
              <w:t>Stakeholder Analysis of Altacor</w:t>
            </w:r>
            <w:r w:rsidR="004B4648">
              <w:rPr>
                <w:noProof/>
                <w:webHidden/>
              </w:rPr>
              <w:tab/>
            </w:r>
            <w:r w:rsidR="004B4648">
              <w:rPr>
                <w:noProof/>
                <w:webHidden/>
              </w:rPr>
              <w:fldChar w:fldCharType="begin"/>
            </w:r>
            <w:r w:rsidR="004B4648">
              <w:rPr>
                <w:noProof/>
                <w:webHidden/>
              </w:rPr>
              <w:instrText xml:space="preserve"> PAGEREF _Toc131079701 \h </w:instrText>
            </w:r>
            <w:r w:rsidR="004B4648">
              <w:rPr>
                <w:noProof/>
                <w:webHidden/>
              </w:rPr>
            </w:r>
            <w:r w:rsidR="004B4648">
              <w:rPr>
                <w:noProof/>
                <w:webHidden/>
              </w:rPr>
              <w:fldChar w:fldCharType="separate"/>
            </w:r>
            <w:r w:rsidR="004B4648">
              <w:rPr>
                <w:noProof/>
                <w:webHidden/>
              </w:rPr>
              <w:t>16</w:t>
            </w:r>
            <w:r w:rsidR="004B4648">
              <w:rPr>
                <w:noProof/>
                <w:webHidden/>
              </w:rPr>
              <w:fldChar w:fldCharType="end"/>
            </w:r>
          </w:hyperlink>
        </w:p>
        <w:p w14:paraId="0FE22B8E" w14:textId="77777777" w:rsidR="004B4648" w:rsidRDefault="00000000">
          <w:pPr>
            <w:pStyle w:val="TOC2"/>
            <w:tabs>
              <w:tab w:val="right" w:leader="dot" w:pos="9016"/>
            </w:tabs>
            <w:rPr>
              <w:rFonts w:eastAsiaTheme="minorEastAsia"/>
              <w:noProof/>
              <w:lang w:eastAsia="en-IN"/>
            </w:rPr>
          </w:pPr>
          <w:hyperlink w:anchor="_Toc131079702" w:history="1">
            <w:r w:rsidR="004B4648" w:rsidRPr="00181156">
              <w:rPr>
                <w:rStyle w:val="Hyperlink"/>
                <w:rFonts w:ascii="Arial" w:hAnsi="Arial" w:cs="Arial"/>
                <w:noProof/>
              </w:rPr>
              <w:t>Mendelow’s Matrix</w:t>
            </w:r>
            <w:r w:rsidR="004B4648">
              <w:rPr>
                <w:noProof/>
                <w:webHidden/>
              </w:rPr>
              <w:tab/>
            </w:r>
            <w:r w:rsidR="004B4648">
              <w:rPr>
                <w:noProof/>
                <w:webHidden/>
              </w:rPr>
              <w:fldChar w:fldCharType="begin"/>
            </w:r>
            <w:r w:rsidR="004B4648">
              <w:rPr>
                <w:noProof/>
                <w:webHidden/>
              </w:rPr>
              <w:instrText xml:space="preserve"> PAGEREF _Toc131079702 \h </w:instrText>
            </w:r>
            <w:r w:rsidR="004B4648">
              <w:rPr>
                <w:noProof/>
                <w:webHidden/>
              </w:rPr>
            </w:r>
            <w:r w:rsidR="004B4648">
              <w:rPr>
                <w:noProof/>
                <w:webHidden/>
              </w:rPr>
              <w:fldChar w:fldCharType="separate"/>
            </w:r>
            <w:r w:rsidR="004B4648">
              <w:rPr>
                <w:noProof/>
                <w:webHidden/>
              </w:rPr>
              <w:t>17</w:t>
            </w:r>
            <w:r w:rsidR="004B4648">
              <w:rPr>
                <w:noProof/>
                <w:webHidden/>
              </w:rPr>
              <w:fldChar w:fldCharType="end"/>
            </w:r>
          </w:hyperlink>
        </w:p>
        <w:p w14:paraId="72AD9B08" w14:textId="77777777" w:rsidR="004B4648" w:rsidRDefault="00000000">
          <w:pPr>
            <w:pStyle w:val="TOC1"/>
            <w:tabs>
              <w:tab w:val="right" w:leader="dot" w:pos="9016"/>
            </w:tabs>
            <w:rPr>
              <w:rFonts w:eastAsiaTheme="minorEastAsia"/>
              <w:noProof/>
              <w:lang w:eastAsia="en-IN"/>
            </w:rPr>
          </w:pPr>
          <w:hyperlink w:anchor="_Toc131079703" w:history="1">
            <w:r w:rsidR="004B4648" w:rsidRPr="00181156">
              <w:rPr>
                <w:rStyle w:val="Hyperlink"/>
                <w:rFonts w:ascii="Arial" w:hAnsi="Arial" w:cs="Arial"/>
                <w:noProof/>
                <w:shd w:val="clear" w:color="auto" w:fill="FFFFFF"/>
              </w:rPr>
              <w:t>Key Strategic Recommendations for Altacor for Future Developments</w:t>
            </w:r>
            <w:r w:rsidR="004B4648">
              <w:rPr>
                <w:noProof/>
                <w:webHidden/>
              </w:rPr>
              <w:tab/>
            </w:r>
            <w:r w:rsidR="004B4648">
              <w:rPr>
                <w:noProof/>
                <w:webHidden/>
              </w:rPr>
              <w:fldChar w:fldCharType="begin"/>
            </w:r>
            <w:r w:rsidR="004B4648">
              <w:rPr>
                <w:noProof/>
                <w:webHidden/>
              </w:rPr>
              <w:instrText xml:space="preserve"> PAGEREF _Toc131079703 \h </w:instrText>
            </w:r>
            <w:r w:rsidR="004B4648">
              <w:rPr>
                <w:noProof/>
                <w:webHidden/>
              </w:rPr>
            </w:r>
            <w:r w:rsidR="004B4648">
              <w:rPr>
                <w:noProof/>
                <w:webHidden/>
              </w:rPr>
              <w:fldChar w:fldCharType="separate"/>
            </w:r>
            <w:r w:rsidR="004B4648">
              <w:rPr>
                <w:noProof/>
                <w:webHidden/>
              </w:rPr>
              <w:t>20</w:t>
            </w:r>
            <w:r w:rsidR="004B4648">
              <w:rPr>
                <w:noProof/>
                <w:webHidden/>
              </w:rPr>
              <w:fldChar w:fldCharType="end"/>
            </w:r>
          </w:hyperlink>
        </w:p>
        <w:p w14:paraId="092187CF" w14:textId="77777777" w:rsidR="004B4648" w:rsidRDefault="00000000">
          <w:pPr>
            <w:pStyle w:val="TOC1"/>
            <w:tabs>
              <w:tab w:val="right" w:leader="dot" w:pos="9016"/>
            </w:tabs>
            <w:rPr>
              <w:rFonts w:eastAsiaTheme="minorEastAsia"/>
              <w:noProof/>
              <w:lang w:eastAsia="en-IN"/>
            </w:rPr>
          </w:pPr>
          <w:hyperlink w:anchor="_Toc131079704" w:history="1">
            <w:r w:rsidR="004B4648" w:rsidRPr="00181156">
              <w:rPr>
                <w:rStyle w:val="Hyperlink"/>
                <w:rFonts w:ascii="Arial" w:hAnsi="Arial" w:cs="Arial"/>
                <w:noProof/>
                <w:shd w:val="clear" w:color="auto" w:fill="FFFFFF"/>
              </w:rPr>
              <w:t>Conclusion</w:t>
            </w:r>
            <w:r w:rsidR="004B4648">
              <w:rPr>
                <w:noProof/>
                <w:webHidden/>
              </w:rPr>
              <w:tab/>
            </w:r>
            <w:r w:rsidR="004B4648">
              <w:rPr>
                <w:noProof/>
                <w:webHidden/>
              </w:rPr>
              <w:fldChar w:fldCharType="begin"/>
            </w:r>
            <w:r w:rsidR="004B4648">
              <w:rPr>
                <w:noProof/>
                <w:webHidden/>
              </w:rPr>
              <w:instrText xml:space="preserve"> PAGEREF _Toc131079704 \h </w:instrText>
            </w:r>
            <w:r w:rsidR="004B4648">
              <w:rPr>
                <w:noProof/>
                <w:webHidden/>
              </w:rPr>
            </w:r>
            <w:r w:rsidR="004B4648">
              <w:rPr>
                <w:noProof/>
                <w:webHidden/>
              </w:rPr>
              <w:fldChar w:fldCharType="separate"/>
            </w:r>
            <w:r w:rsidR="004B4648">
              <w:rPr>
                <w:noProof/>
                <w:webHidden/>
              </w:rPr>
              <w:t>22</w:t>
            </w:r>
            <w:r w:rsidR="004B4648">
              <w:rPr>
                <w:noProof/>
                <w:webHidden/>
              </w:rPr>
              <w:fldChar w:fldCharType="end"/>
            </w:r>
          </w:hyperlink>
        </w:p>
        <w:p w14:paraId="6663B416" w14:textId="77777777" w:rsidR="004B4648" w:rsidRDefault="00000000">
          <w:pPr>
            <w:pStyle w:val="TOC1"/>
            <w:tabs>
              <w:tab w:val="right" w:leader="dot" w:pos="9016"/>
            </w:tabs>
            <w:rPr>
              <w:rFonts w:eastAsiaTheme="minorEastAsia"/>
              <w:noProof/>
              <w:lang w:eastAsia="en-IN"/>
            </w:rPr>
          </w:pPr>
          <w:hyperlink w:anchor="_Toc131079705" w:history="1">
            <w:r w:rsidR="004B4648" w:rsidRPr="00181156">
              <w:rPr>
                <w:rStyle w:val="Hyperlink"/>
                <w:rFonts w:ascii="Arial" w:hAnsi="Arial" w:cs="Arial"/>
                <w:noProof/>
                <w:shd w:val="clear" w:color="auto" w:fill="FFFFFF"/>
              </w:rPr>
              <w:t>Reference List</w:t>
            </w:r>
            <w:r w:rsidR="004B4648">
              <w:rPr>
                <w:noProof/>
                <w:webHidden/>
              </w:rPr>
              <w:tab/>
            </w:r>
            <w:r w:rsidR="004B4648">
              <w:rPr>
                <w:noProof/>
                <w:webHidden/>
              </w:rPr>
              <w:fldChar w:fldCharType="begin"/>
            </w:r>
            <w:r w:rsidR="004B4648">
              <w:rPr>
                <w:noProof/>
                <w:webHidden/>
              </w:rPr>
              <w:instrText xml:space="preserve"> PAGEREF _Toc131079705 \h </w:instrText>
            </w:r>
            <w:r w:rsidR="004B4648">
              <w:rPr>
                <w:noProof/>
                <w:webHidden/>
              </w:rPr>
            </w:r>
            <w:r w:rsidR="004B4648">
              <w:rPr>
                <w:noProof/>
                <w:webHidden/>
              </w:rPr>
              <w:fldChar w:fldCharType="separate"/>
            </w:r>
            <w:r w:rsidR="004B4648">
              <w:rPr>
                <w:noProof/>
                <w:webHidden/>
              </w:rPr>
              <w:t>23</w:t>
            </w:r>
            <w:r w:rsidR="004B4648">
              <w:rPr>
                <w:noProof/>
                <w:webHidden/>
              </w:rPr>
              <w:fldChar w:fldCharType="end"/>
            </w:r>
          </w:hyperlink>
        </w:p>
        <w:p w14:paraId="1A00B06C" w14:textId="77777777" w:rsidR="0018373C" w:rsidRDefault="0018373C">
          <w:r>
            <w:rPr>
              <w:b/>
              <w:bCs/>
              <w:noProof/>
            </w:rPr>
            <w:fldChar w:fldCharType="end"/>
          </w:r>
        </w:p>
      </w:sdtContent>
    </w:sdt>
    <w:p w14:paraId="277CDF73" w14:textId="77777777" w:rsidR="0018373C" w:rsidRDefault="0018373C" w:rsidP="00F1068A">
      <w:pPr>
        <w:pStyle w:val="Heading1"/>
        <w:spacing w:before="0" w:line="360" w:lineRule="auto"/>
        <w:jc w:val="both"/>
        <w:rPr>
          <w:rFonts w:ascii="Arial" w:hAnsi="Arial" w:cs="Arial"/>
          <w:sz w:val="32"/>
        </w:rPr>
      </w:pPr>
    </w:p>
    <w:p w14:paraId="7C950BCD" w14:textId="77777777" w:rsidR="0018373C" w:rsidRDefault="0018373C" w:rsidP="00F1068A">
      <w:pPr>
        <w:pStyle w:val="Heading1"/>
        <w:spacing w:before="0" w:line="360" w:lineRule="auto"/>
        <w:jc w:val="both"/>
        <w:rPr>
          <w:rFonts w:ascii="Arial" w:hAnsi="Arial" w:cs="Arial"/>
          <w:sz w:val="32"/>
        </w:rPr>
      </w:pPr>
    </w:p>
    <w:p w14:paraId="7CF2AD2E" w14:textId="77777777" w:rsidR="0018373C" w:rsidRDefault="0018373C" w:rsidP="00F1068A">
      <w:pPr>
        <w:pStyle w:val="Heading1"/>
        <w:spacing w:before="0" w:line="360" w:lineRule="auto"/>
        <w:jc w:val="both"/>
        <w:rPr>
          <w:rFonts w:ascii="Arial" w:hAnsi="Arial" w:cs="Arial"/>
          <w:sz w:val="32"/>
        </w:rPr>
      </w:pPr>
    </w:p>
    <w:p w14:paraId="04EACBB4" w14:textId="77777777" w:rsidR="0018373C" w:rsidRDefault="0018373C" w:rsidP="00F1068A">
      <w:pPr>
        <w:pStyle w:val="Heading1"/>
        <w:spacing w:before="0" w:line="360" w:lineRule="auto"/>
        <w:jc w:val="both"/>
        <w:rPr>
          <w:rFonts w:ascii="Arial" w:hAnsi="Arial" w:cs="Arial"/>
          <w:sz w:val="32"/>
        </w:rPr>
      </w:pPr>
    </w:p>
    <w:p w14:paraId="3E9573F6" w14:textId="77777777" w:rsidR="0018373C" w:rsidRDefault="0018373C" w:rsidP="0018373C"/>
    <w:p w14:paraId="068E675B" w14:textId="77777777" w:rsidR="0018373C" w:rsidRDefault="0018373C" w:rsidP="0018373C"/>
    <w:p w14:paraId="201FD05F" w14:textId="77777777" w:rsidR="0018373C" w:rsidRPr="0018373C" w:rsidRDefault="0018373C" w:rsidP="0018373C"/>
    <w:p w14:paraId="7F899CD5" w14:textId="77777777" w:rsidR="0018373C" w:rsidRDefault="0018373C" w:rsidP="00F1068A">
      <w:pPr>
        <w:pStyle w:val="Heading1"/>
        <w:spacing w:before="0" w:line="360" w:lineRule="auto"/>
        <w:jc w:val="both"/>
        <w:rPr>
          <w:rFonts w:ascii="Arial" w:hAnsi="Arial" w:cs="Arial"/>
          <w:sz w:val="32"/>
        </w:rPr>
      </w:pPr>
    </w:p>
    <w:p w14:paraId="5D528CCA" w14:textId="77777777" w:rsidR="0018373C" w:rsidRDefault="0018373C" w:rsidP="0018373C"/>
    <w:p w14:paraId="42F01380" w14:textId="77777777" w:rsidR="0018373C" w:rsidRDefault="0018373C" w:rsidP="00F1068A">
      <w:pPr>
        <w:pStyle w:val="Heading1"/>
        <w:spacing w:before="0" w:line="360" w:lineRule="auto"/>
        <w:jc w:val="both"/>
        <w:rPr>
          <w:rFonts w:asciiTheme="minorHAnsi" w:eastAsiaTheme="minorHAnsi" w:hAnsiTheme="minorHAnsi" w:cstheme="minorBidi"/>
          <w:b w:val="0"/>
          <w:bCs w:val="0"/>
          <w:color w:val="auto"/>
          <w:sz w:val="22"/>
          <w:szCs w:val="22"/>
        </w:rPr>
      </w:pPr>
    </w:p>
    <w:p w14:paraId="0F28E17B" w14:textId="77777777" w:rsidR="0018373C" w:rsidRPr="0018373C" w:rsidRDefault="0018373C" w:rsidP="0018373C"/>
    <w:p w14:paraId="2E5EE634" w14:textId="77777777" w:rsidR="00F1068A" w:rsidRPr="00F1068A" w:rsidRDefault="00F1068A" w:rsidP="00F1068A">
      <w:pPr>
        <w:pStyle w:val="Heading1"/>
        <w:spacing w:before="0" w:line="360" w:lineRule="auto"/>
        <w:jc w:val="both"/>
        <w:rPr>
          <w:rFonts w:ascii="Arial" w:hAnsi="Arial" w:cs="Arial"/>
          <w:sz w:val="32"/>
        </w:rPr>
      </w:pPr>
      <w:bookmarkStart w:id="0" w:name="_Toc131079691"/>
      <w:r w:rsidRPr="00F1068A">
        <w:rPr>
          <w:rFonts w:ascii="Arial" w:hAnsi="Arial" w:cs="Arial"/>
          <w:sz w:val="32"/>
        </w:rPr>
        <w:lastRenderedPageBreak/>
        <w:t>Introduction</w:t>
      </w:r>
      <w:bookmarkEnd w:id="0"/>
    </w:p>
    <w:p w14:paraId="09B22D6A" w14:textId="77777777" w:rsidR="00F1068A" w:rsidRPr="00F1068A" w:rsidRDefault="0018373C" w:rsidP="00F1068A">
      <w:pPr>
        <w:spacing w:line="360" w:lineRule="auto"/>
        <w:jc w:val="both"/>
        <w:rPr>
          <w:rFonts w:ascii="Arial" w:hAnsi="Arial" w:cs="Arial"/>
          <w:sz w:val="24"/>
        </w:rPr>
      </w:pPr>
      <w:r w:rsidRPr="0018373C">
        <w:rPr>
          <w:rFonts w:ascii="Arial" w:hAnsi="Arial" w:cs="Arial"/>
          <w:color w:val="222222"/>
          <w:sz w:val="24"/>
          <w:szCs w:val="24"/>
          <w:shd w:val="clear" w:color="auto" w:fill="FFFFFF"/>
        </w:rPr>
        <w:t>Altacor is a pharmaceutical company based in the UK that focuses on developing and commercializing innovative ophthalmic products. The company was founded in 2007 by a group of experienced pharmaceutical industry executives and was initially based in Cambridge, UK. In 2016, the company was acquired by Santen Pharmaceutical Co., Ltd., a global ophthalmic company based in Japan. Altacor's product portfolio includes prescription and over-the-counter ophthalmic products for the treatment of a range of conditions, such as dry eye syndrome, glaucoma, and other ocular surface disorders. The company's flagship product is Clinitas, a range of preservative-free eye drops for the treatment of dry eye syndrome (Altacor, 2021). In addition to developing and commercializing its own products, Altacor also provides contract manufacturing services for other pharmaceutical companies, offering expertise in formulation development, manufacturing, and packaging of ophthalmic products. Altacor has a strong focus on research and development, with a team of scientists and researchers working for developing new products and improving the existing ones. The company has collaborated with academic institutions and other pharmaceutical companies for advancing the understanding of ophthalmic diseases and developing new treatments. Its focus on research and development, as well as its expertise in manufacturing and formulation, make it an important player in the ophthalmic pharmaceutical industry (Altacor, 2021). In this report, the strategic direction of Altacor will be discussed by highlighting its vision, mission, values, goals, and objectives. The internal and external environmental analysis of Altacor will be conducted by using various tools such as SWOT analysis, PESTLE analysis, and VRIN. Also, the available growth strategies for SMEs along with a new and sustainable strategy for the long-term future of Altacor will be discussed using Porter’s Generic Strategies, Ansoff Matrix, and Bowman’s Strategy Clock Model. The report will also include a stakeholder analysis for Altacor for evaluating the expectations of different stakeholders. Moreover, it will provide certain recommendations for Altacor for future developments and implementation.</w:t>
      </w:r>
    </w:p>
    <w:p w14:paraId="1384EACA" w14:textId="77777777" w:rsidR="00F1068A" w:rsidRDefault="00F1068A" w:rsidP="00F1068A">
      <w:pPr>
        <w:pStyle w:val="Heading1"/>
        <w:spacing w:before="0" w:line="360" w:lineRule="auto"/>
        <w:jc w:val="both"/>
        <w:rPr>
          <w:rFonts w:ascii="Arial" w:hAnsi="Arial" w:cs="Arial"/>
          <w:sz w:val="32"/>
        </w:rPr>
      </w:pPr>
    </w:p>
    <w:p w14:paraId="6D301275" w14:textId="77777777" w:rsidR="00DD30B0" w:rsidRDefault="00DD30B0" w:rsidP="00DD30B0"/>
    <w:p w14:paraId="684112DB" w14:textId="77777777" w:rsidR="00F1068A" w:rsidRDefault="00F1068A" w:rsidP="006E2337">
      <w:pPr>
        <w:pStyle w:val="Heading1"/>
        <w:spacing w:before="0" w:line="360" w:lineRule="auto"/>
        <w:jc w:val="both"/>
        <w:rPr>
          <w:rFonts w:ascii="Arial" w:hAnsi="Arial" w:cs="Arial"/>
          <w:sz w:val="32"/>
        </w:rPr>
      </w:pPr>
      <w:bookmarkStart w:id="1" w:name="_Toc131079692"/>
      <w:r w:rsidRPr="00F1068A">
        <w:rPr>
          <w:rFonts w:ascii="Arial" w:hAnsi="Arial" w:cs="Arial"/>
          <w:sz w:val="32"/>
        </w:rPr>
        <w:lastRenderedPageBreak/>
        <w:t>Strategic Direction of Altacor</w:t>
      </w:r>
      <w:bookmarkEnd w:id="1"/>
      <w:r w:rsidRPr="00F1068A">
        <w:rPr>
          <w:rFonts w:ascii="Arial" w:hAnsi="Arial" w:cs="Arial"/>
          <w:sz w:val="32"/>
        </w:rPr>
        <w:t xml:space="preserve"> </w:t>
      </w:r>
    </w:p>
    <w:p w14:paraId="237D3B3E" w14:textId="77777777" w:rsidR="0018373C" w:rsidRPr="0018373C" w:rsidRDefault="0018373C" w:rsidP="0018373C">
      <w:pPr>
        <w:spacing w:line="360" w:lineRule="auto"/>
        <w:jc w:val="both"/>
        <w:rPr>
          <w:rFonts w:ascii="Arial" w:hAnsi="Arial" w:cs="Arial"/>
          <w:sz w:val="24"/>
        </w:rPr>
      </w:pPr>
      <w:r w:rsidRPr="0018373C">
        <w:rPr>
          <w:rFonts w:ascii="Arial" w:hAnsi="Arial" w:cs="Arial"/>
          <w:sz w:val="24"/>
        </w:rPr>
        <w:t>The strategic direction of Altacor can be identified by highlighting the vision, mission, values, goals, and objectives of the company. </w:t>
      </w:r>
    </w:p>
    <w:p w14:paraId="165691A4" w14:textId="77777777" w:rsidR="0018373C" w:rsidRPr="0018373C" w:rsidRDefault="0018373C" w:rsidP="0018373C">
      <w:pPr>
        <w:spacing w:after="0" w:line="360" w:lineRule="auto"/>
        <w:jc w:val="both"/>
        <w:rPr>
          <w:rFonts w:ascii="Arial" w:hAnsi="Arial" w:cs="Arial"/>
          <w:sz w:val="24"/>
        </w:rPr>
      </w:pPr>
      <w:r w:rsidRPr="0018373C">
        <w:rPr>
          <w:rStyle w:val="Emphasis"/>
          <w:rFonts w:ascii="Arial" w:hAnsi="Arial" w:cs="Arial"/>
          <w:color w:val="0E101A"/>
          <w:sz w:val="24"/>
        </w:rPr>
        <w:t>Vision of Altacor</w:t>
      </w:r>
    </w:p>
    <w:p w14:paraId="121E0B6F" w14:textId="77777777" w:rsidR="0018373C" w:rsidRDefault="0018373C" w:rsidP="0018373C">
      <w:pPr>
        <w:spacing w:after="0" w:line="360" w:lineRule="auto"/>
        <w:jc w:val="both"/>
        <w:rPr>
          <w:rFonts w:ascii="Arial" w:hAnsi="Arial" w:cs="Arial"/>
          <w:sz w:val="24"/>
        </w:rPr>
      </w:pPr>
      <w:r w:rsidRPr="0018373C">
        <w:rPr>
          <w:rFonts w:ascii="Arial" w:hAnsi="Arial" w:cs="Arial"/>
          <w:sz w:val="24"/>
        </w:rPr>
        <w:t xml:space="preserve">Altacor's vision is to become a leading global ophthalmic company that is known for improving the quality of life of patients with eye diseases. </w:t>
      </w:r>
    </w:p>
    <w:p w14:paraId="25A96669" w14:textId="77777777" w:rsidR="0018373C" w:rsidRPr="0018373C" w:rsidRDefault="0018373C" w:rsidP="0018373C">
      <w:pPr>
        <w:spacing w:after="0" w:line="360" w:lineRule="auto"/>
        <w:jc w:val="both"/>
        <w:rPr>
          <w:rFonts w:ascii="Arial" w:hAnsi="Arial" w:cs="Arial"/>
          <w:sz w:val="24"/>
        </w:rPr>
      </w:pPr>
      <w:r w:rsidRPr="0018373C">
        <w:rPr>
          <w:rFonts w:ascii="Arial" w:hAnsi="Arial" w:cs="Arial"/>
          <w:sz w:val="24"/>
        </w:rPr>
        <w:t xml:space="preserve">                      </w:t>
      </w:r>
    </w:p>
    <w:p w14:paraId="6ECA8FC0" w14:textId="77777777" w:rsidR="0018373C" w:rsidRPr="0018373C" w:rsidRDefault="0018373C" w:rsidP="0018373C">
      <w:pPr>
        <w:spacing w:after="0" w:line="360" w:lineRule="auto"/>
        <w:jc w:val="both"/>
        <w:rPr>
          <w:rFonts w:ascii="Arial" w:hAnsi="Arial" w:cs="Arial"/>
          <w:sz w:val="24"/>
        </w:rPr>
      </w:pPr>
      <w:r w:rsidRPr="0018373C">
        <w:rPr>
          <w:rStyle w:val="Emphasis"/>
          <w:rFonts w:ascii="Arial" w:hAnsi="Arial" w:cs="Arial"/>
          <w:color w:val="0E101A"/>
          <w:sz w:val="24"/>
        </w:rPr>
        <w:t>Mission of Altacor</w:t>
      </w:r>
    </w:p>
    <w:p w14:paraId="6BF9AF22" w14:textId="77777777" w:rsidR="0018373C" w:rsidRDefault="0018373C" w:rsidP="0018373C">
      <w:pPr>
        <w:spacing w:after="0" w:line="360" w:lineRule="auto"/>
        <w:jc w:val="both"/>
        <w:rPr>
          <w:rFonts w:ascii="Arial" w:hAnsi="Arial" w:cs="Arial"/>
          <w:sz w:val="24"/>
        </w:rPr>
      </w:pPr>
      <w:r w:rsidRPr="0018373C">
        <w:rPr>
          <w:rFonts w:ascii="Arial" w:hAnsi="Arial" w:cs="Arial"/>
          <w:sz w:val="24"/>
        </w:rPr>
        <w:t>Altacor's mission is to develop and commercialize innovative ophthalmic products that address unmet needs in the treatment of eye diseases, improve patient outcomes, and enhance the quality of life (Johnson et al., 2020).</w:t>
      </w:r>
    </w:p>
    <w:p w14:paraId="64C0AB41" w14:textId="77777777" w:rsidR="0018373C" w:rsidRPr="0018373C" w:rsidRDefault="0018373C" w:rsidP="0018373C">
      <w:pPr>
        <w:spacing w:after="0" w:line="360" w:lineRule="auto"/>
        <w:jc w:val="both"/>
        <w:rPr>
          <w:rFonts w:ascii="Arial" w:hAnsi="Arial" w:cs="Arial"/>
          <w:sz w:val="24"/>
        </w:rPr>
      </w:pPr>
    </w:p>
    <w:p w14:paraId="4E76B8D9" w14:textId="77777777" w:rsidR="0018373C" w:rsidRPr="0018373C" w:rsidRDefault="0018373C" w:rsidP="0018373C">
      <w:pPr>
        <w:spacing w:after="0" w:line="360" w:lineRule="auto"/>
        <w:jc w:val="both"/>
        <w:rPr>
          <w:rFonts w:ascii="Arial" w:hAnsi="Arial" w:cs="Arial"/>
          <w:sz w:val="24"/>
        </w:rPr>
      </w:pPr>
      <w:r w:rsidRPr="0018373C">
        <w:rPr>
          <w:rStyle w:val="Emphasis"/>
          <w:rFonts w:ascii="Arial" w:hAnsi="Arial" w:cs="Arial"/>
          <w:color w:val="0E101A"/>
          <w:sz w:val="24"/>
        </w:rPr>
        <w:t>Values of Altacor</w:t>
      </w:r>
    </w:p>
    <w:p w14:paraId="3B9E4DAD" w14:textId="77777777" w:rsidR="0018373C" w:rsidRPr="0018373C" w:rsidRDefault="0018373C" w:rsidP="0018373C">
      <w:pPr>
        <w:spacing w:after="0" w:line="360" w:lineRule="auto"/>
        <w:jc w:val="both"/>
        <w:rPr>
          <w:rFonts w:ascii="Arial" w:hAnsi="Arial" w:cs="Arial"/>
          <w:sz w:val="24"/>
        </w:rPr>
      </w:pPr>
      <w:r w:rsidRPr="0018373C">
        <w:rPr>
          <w:rFonts w:ascii="Arial" w:hAnsi="Arial" w:cs="Arial"/>
          <w:sz w:val="24"/>
        </w:rPr>
        <w:t>Altacor's values include a commitment to scientific excellence, ethical business practices, patient-centeredness, teamwork, and innovation.</w:t>
      </w:r>
    </w:p>
    <w:p w14:paraId="4316AE74" w14:textId="77777777" w:rsidR="00F90BB1" w:rsidRDefault="00F90BB1" w:rsidP="0018373C">
      <w:pPr>
        <w:spacing w:after="0" w:line="360" w:lineRule="auto"/>
        <w:jc w:val="both"/>
        <w:rPr>
          <w:rFonts w:ascii="Arial" w:hAnsi="Arial" w:cs="Arial"/>
          <w:sz w:val="24"/>
        </w:rPr>
      </w:pPr>
    </w:p>
    <w:p w14:paraId="582F725A" w14:textId="77777777" w:rsidR="0018373C" w:rsidRPr="0018373C" w:rsidRDefault="0018373C" w:rsidP="0018373C">
      <w:pPr>
        <w:spacing w:after="0" w:line="360" w:lineRule="auto"/>
        <w:jc w:val="both"/>
        <w:rPr>
          <w:rFonts w:ascii="Arial" w:hAnsi="Arial" w:cs="Arial"/>
          <w:sz w:val="24"/>
        </w:rPr>
      </w:pPr>
      <w:r w:rsidRPr="0018373C">
        <w:rPr>
          <w:rStyle w:val="Emphasis"/>
          <w:rFonts w:ascii="Arial" w:hAnsi="Arial" w:cs="Arial"/>
          <w:color w:val="0E101A"/>
          <w:sz w:val="24"/>
        </w:rPr>
        <w:t>Goals and objectives of Altacor</w:t>
      </w:r>
    </w:p>
    <w:p w14:paraId="2F42DB36" w14:textId="77777777" w:rsidR="0018373C" w:rsidRPr="0018373C" w:rsidRDefault="0018373C" w:rsidP="0018373C">
      <w:pPr>
        <w:spacing w:after="0" w:line="360" w:lineRule="auto"/>
        <w:jc w:val="both"/>
        <w:rPr>
          <w:rFonts w:ascii="Arial" w:hAnsi="Arial" w:cs="Arial"/>
          <w:sz w:val="24"/>
        </w:rPr>
      </w:pPr>
      <w:r w:rsidRPr="0018373C">
        <w:rPr>
          <w:rFonts w:ascii="Arial" w:hAnsi="Arial" w:cs="Arial"/>
          <w:sz w:val="24"/>
        </w:rPr>
        <w:t>Altacor's goals and objectives may include expanding its product portfolio through research and development efforts, increasing its global presence by entering new markets and collaborating with other companies, achieving regulatory approval for its products, maintaining high-quality standards in manufacturing and formulation, and ensuring the satisfaction of patients and healthcare providers who use its products (Grant, 2021).</w:t>
      </w:r>
    </w:p>
    <w:p w14:paraId="32E06B67" w14:textId="77777777" w:rsidR="003F6965" w:rsidRPr="005B49CA" w:rsidRDefault="003F6965" w:rsidP="003F79B8">
      <w:pPr>
        <w:spacing w:after="0" w:line="360" w:lineRule="auto"/>
        <w:jc w:val="both"/>
        <w:rPr>
          <w:rFonts w:ascii="Arial" w:hAnsi="Arial" w:cs="Arial"/>
          <w:color w:val="222222"/>
          <w:sz w:val="24"/>
          <w:szCs w:val="24"/>
          <w:shd w:val="clear" w:color="auto" w:fill="FFFFFF"/>
        </w:rPr>
      </w:pPr>
    </w:p>
    <w:p w14:paraId="66851E84" w14:textId="77777777" w:rsidR="003F79B8" w:rsidRPr="006E2337" w:rsidRDefault="003F79B8" w:rsidP="006E2337">
      <w:pPr>
        <w:spacing w:line="360" w:lineRule="auto"/>
        <w:jc w:val="both"/>
        <w:rPr>
          <w:rFonts w:ascii="Arial" w:hAnsi="Arial" w:cs="Arial"/>
          <w:sz w:val="24"/>
          <w:szCs w:val="24"/>
        </w:rPr>
      </w:pPr>
    </w:p>
    <w:p w14:paraId="1BF08E77" w14:textId="77777777" w:rsidR="00F1068A" w:rsidRDefault="00F1068A" w:rsidP="00F1068A"/>
    <w:p w14:paraId="76961CE8" w14:textId="77777777" w:rsidR="00F1068A" w:rsidRDefault="00F1068A" w:rsidP="00F1068A"/>
    <w:p w14:paraId="77DFDA87" w14:textId="77777777" w:rsidR="00F1068A" w:rsidRDefault="00F1068A" w:rsidP="00F1068A">
      <w:pPr>
        <w:pStyle w:val="Heading1"/>
        <w:spacing w:line="360" w:lineRule="auto"/>
        <w:jc w:val="both"/>
        <w:rPr>
          <w:rFonts w:ascii="Arial" w:hAnsi="Arial" w:cs="Arial"/>
          <w:sz w:val="32"/>
        </w:rPr>
      </w:pPr>
    </w:p>
    <w:p w14:paraId="61CF5CC2" w14:textId="77777777" w:rsidR="00B335A9" w:rsidRDefault="00B335A9" w:rsidP="00B335A9"/>
    <w:p w14:paraId="6B267815" w14:textId="77777777" w:rsidR="00B335A9" w:rsidRPr="00B335A9" w:rsidRDefault="00B335A9" w:rsidP="00B335A9"/>
    <w:p w14:paraId="3DD9B644" w14:textId="77777777" w:rsidR="00F1068A" w:rsidRDefault="00F1068A" w:rsidP="00B335A9">
      <w:pPr>
        <w:pStyle w:val="Heading1"/>
        <w:spacing w:before="0" w:line="360" w:lineRule="auto"/>
        <w:jc w:val="both"/>
        <w:rPr>
          <w:rFonts w:ascii="Arial" w:hAnsi="Arial" w:cs="Arial"/>
          <w:sz w:val="32"/>
        </w:rPr>
      </w:pPr>
      <w:bookmarkStart w:id="2" w:name="_Toc131079693"/>
      <w:r w:rsidRPr="00F1068A">
        <w:rPr>
          <w:rFonts w:ascii="Arial" w:hAnsi="Arial" w:cs="Arial"/>
          <w:sz w:val="32"/>
        </w:rPr>
        <w:lastRenderedPageBreak/>
        <w:t>Internal and External Environmental Analysis of Altacor</w:t>
      </w:r>
      <w:bookmarkEnd w:id="2"/>
      <w:r w:rsidRPr="00F1068A">
        <w:rPr>
          <w:rFonts w:ascii="Arial" w:hAnsi="Arial" w:cs="Arial"/>
          <w:sz w:val="32"/>
        </w:rPr>
        <w:t xml:space="preserve"> </w:t>
      </w:r>
    </w:p>
    <w:p w14:paraId="64321343" w14:textId="77777777" w:rsidR="00BE6E5C" w:rsidRDefault="00AF4962" w:rsidP="00B335A9">
      <w:pPr>
        <w:spacing w:line="360" w:lineRule="auto"/>
        <w:jc w:val="both"/>
        <w:rPr>
          <w:rFonts w:ascii="Arial" w:hAnsi="Arial" w:cs="Arial"/>
          <w:sz w:val="24"/>
          <w:szCs w:val="24"/>
        </w:rPr>
      </w:pPr>
      <w:r>
        <w:rPr>
          <w:rFonts w:ascii="Arial" w:hAnsi="Arial" w:cs="Arial"/>
          <w:sz w:val="24"/>
          <w:szCs w:val="24"/>
        </w:rPr>
        <w:t xml:space="preserve">The internal and external business environment of Altacor can be </w:t>
      </w:r>
      <w:r w:rsidR="00BE6E5C">
        <w:rPr>
          <w:rFonts w:ascii="Arial" w:hAnsi="Arial" w:cs="Arial"/>
          <w:sz w:val="24"/>
          <w:szCs w:val="24"/>
        </w:rPr>
        <w:t xml:space="preserve">analysed with the help of various business environmental scanning tools, such as SWOT analysis, PESTLE analysis, and VRIN framework. </w:t>
      </w:r>
    </w:p>
    <w:p w14:paraId="7019D2E5" w14:textId="77777777" w:rsidR="00BE6E5C" w:rsidRPr="00BE6E5C" w:rsidRDefault="00BE6E5C" w:rsidP="00BE6E5C">
      <w:pPr>
        <w:pStyle w:val="Heading2"/>
        <w:spacing w:before="0" w:line="360" w:lineRule="auto"/>
        <w:jc w:val="both"/>
        <w:rPr>
          <w:rFonts w:ascii="Arial" w:hAnsi="Arial" w:cs="Arial"/>
          <w:sz w:val="28"/>
          <w:szCs w:val="28"/>
        </w:rPr>
      </w:pPr>
      <w:bookmarkStart w:id="3" w:name="_Toc131079694"/>
      <w:r w:rsidRPr="00BE6E5C">
        <w:rPr>
          <w:rFonts w:ascii="Arial" w:hAnsi="Arial" w:cs="Arial"/>
          <w:sz w:val="28"/>
          <w:szCs w:val="28"/>
        </w:rPr>
        <w:t>SWOT Analysis</w:t>
      </w:r>
      <w:bookmarkEnd w:id="3"/>
    </w:p>
    <w:p w14:paraId="29BC8810"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SWOT analysis is a strategic tool or method that assists organisations in identifying and assessing the internal as well as external factors that might affect their business operations, i.e., strengths, weaknesses, opportunities, and threats. Conducting a SWOT analysis for Altacor will provide valuable insights into the company’s current position in the pharmaceutical industry and potential areas for improvement (Benzaghta et al., 2021).</w:t>
      </w:r>
    </w:p>
    <w:p w14:paraId="40BCA4CE"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200B4842"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Strengths</w:t>
      </w:r>
    </w:p>
    <w:p w14:paraId="6BDFC226"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color w:val="0E101A"/>
        </w:rPr>
        <w:t>Strong research and development capabilities:</w:t>
      </w:r>
      <w:r w:rsidRPr="00F90BB1">
        <w:rPr>
          <w:rFonts w:ascii="Arial" w:hAnsi="Arial" w:cs="Arial"/>
          <w:color w:val="0E101A"/>
        </w:rPr>
        <w:t> Altacor has a dedicated team of scientists and researchers which has led to the development of effective and innovative ophthalmic products. </w:t>
      </w:r>
    </w:p>
    <w:p w14:paraId="02281229"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564D672A"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color w:val="0E101A"/>
        </w:rPr>
        <w:t>Established distribution network:</w:t>
      </w:r>
      <w:r w:rsidRPr="00F90BB1">
        <w:rPr>
          <w:rFonts w:ascii="Arial" w:hAnsi="Arial" w:cs="Arial"/>
          <w:color w:val="0E101A"/>
        </w:rPr>
        <w:t> Altacor has an established distribution network that enables it to reach patients across multiple geographies.</w:t>
      </w:r>
    </w:p>
    <w:p w14:paraId="727B9FE8"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0BB27C79"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color w:val="0E101A"/>
        </w:rPr>
        <w:t>Innovative product portfolio:</w:t>
      </w:r>
      <w:r w:rsidRPr="00F90BB1">
        <w:rPr>
          <w:rFonts w:ascii="Arial" w:hAnsi="Arial" w:cs="Arial"/>
          <w:color w:val="0E101A"/>
        </w:rPr>
        <w:t> Altacor specialises in developing and commercialising innovative ophthalmic products, such as preservative-free eye drops for dry eye syndrome.</w:t>
      </w:r>
    </w:p>
    <w:p w14:paraId="595DE4BA"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021CAB4F"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color w:val="0E101A"/>
        </w:rPr>
        <w:t>Strong partnerships with healthcare providers:</w:t>
      </w:r>
      <w:r w:rsidRPr="00F90BB1">
        <w:rPr>
          <w:rFonts w:ascii="Arial" w:hAnsi="Arial" w:cs="Arial"/>
          <w:color w:val="0E101A"/>
        </w:rPr>
        <w:t> Altacor has developed strong partnerships with various healthcare providers, which has helped in increasing the visibility and adoption of its products.</w:t>
      </w:r>
    </w:p>
    <w:p w14:paraId="20E4B338"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00BC23B2"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color w:val="0E101A"/>
        </w:rPr>
        <w:t>Expertise in ophthalmic products:</w:t>
      </w:r>
      <w:r w:rsidRPr="00F90BB1">
        <w:rPr>
          <w:rFonts w:ascii="Arial" w:hAnsi="Arial" w:cs="Arial"/>
          <w:color w:val="0E101A"/>
        </w:rPr>
        <w:t> Altacor has extensive expertise in the development and commercialisation of ophthalmic products, which has helped it in establishing itself as a leader in the industry (Phadermrod et al., 2019).</w:t>
      </w:r>
    </w:p>
    <w:p w14:paraId="4CB21E8F"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684B24F2"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25D54AC8"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lastRenderedPageBreak/>
        <w:t>Weaknesses</w:t>
      </w:r>
    </w:p>
    <w:p w14:paraId="02A29F98"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color w:val="0E101A"/>
        </w:rPr>
        <w:t>Limited product portfolio:</w:t>
      </w:r>
      <w:r w:rsidRPr="00F90BB1">
        <w:rPr>
          <w:rFonts w:ascii="Arial" w:hAnsi="Arial" w:cs="Arial"/>
          <w:color w:val="0E101A"/>
        </w:rPr>
        <w:t> Altacor has a relatively limited product portfolio compared to some of its competitors, which could limit its revenue and growth potential.</w:t>
      </w:r>
    </w:p>
    <w:p w14:paraId="33D141E4"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7DD9A018"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color w:val="0E101A"/>
        </w:rPr>
        <w:t>Dependence on a few key products:</w:t>
      </w:r>
      <w:r w:rsidRPr="00F90BB1">
        <w:rPr>
          <w:rFonts w:ascii="Arial" w:hAnsi="Arial" w:cs="Arial"/>
          <w:color w:val="0E101A"/>
        </w:rPr>
        <w:t> Altacor’s revenue is heavily dependent on a few key products, which exposes the company to significant risk if these products become less popular or face increased competition.</w:t>
      </w:r>
    </w:p>
    <w:p w14:paraId="20DFA884"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3F5083BB"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color w:val="0E101A"/>
        </w:rPr>
        <w:t>Limited brand recognition:</w:t>
      </w:r>
      <w:r w:rsidRPr="00F90BB1">
        <w:rPr>
          <w:rFonts w:ascii="Arial" w:hAnsi="Arial" w:cs="Arial"/>
          <w:color w:val="0E101A"/>
        </w:rPr>
        <w:t> Altacor has relatively low brand recognition outside of its core markets, which could limit its ability to expand into new geographies (Vlados, 2019).</w:t>
      </w:r>
    </w:p>
    <w:p w14:paraId="0EDA641E"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6B3F9BCD"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Opportunities</w:t>
      </w:r>
    </w:p>
    <w:p w14:paraId="0248FD90"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color w:val="0E101A"/>
        </w:rPr>
        <w:t>Growing demand for ophthalmic products:</w:t>
      </w:r>
      <w:r w:rsidRPr="00F90BB1">
        <w:rPr>
          <w:rFonts w:ascii="Arial" w:hAnsi="Arial" w:cs="Arial"/>
          <w:color w:val="0E101A"/>
        </w:rPr>
        <w:t> The global population is aging, resulting in a growing demand for ophthalmic products such as those offered by Altacor.</w:t>
      </w:r>
    </w:p>
    <w:p w14:paraId="45343AFA"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7FC77577"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color w:val="0E101A"/>
        </w:rPr>
        <w:t>Expansion into new geographies:</w:t>
      </w:r>
      <w:r w:rsidRPr="00F90BB1">
        <w:rPr>
          <w:rFonts w:ascii="Arial" w:hAnsi="Arial" w:cs="Arial"/>
          <w:color w:val="0E101A"/>
        </w:rPr>
        <w:t> Altacor has the opportunity of entering new markets where there is a demand for its products.</w:t>
      </w:r>
    </w:p>
    <w:p w14:paraId="21F2559C"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68CB136B"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color w:val="0E101A"/>
        </w:rPr>
        <w:t>Development of new products:</w:t>
      </w:r>
      <w:r w:rsidRPr="00F90BB1">
        <w:rPr>
          <w:rFonts w:ascii="Arial" w:hAnsi="Arial" w:cs="Arial"/>
          <w:color w:val="0E101A"/>
        </w:rPr>
        <w:t> Altacor has the opportunity of developing new products for meeting the needs of patients with different eye-related conditions. </w:t>
      </w:r>
    </w:p>
    <w:p w14:paraId="51B4D03A"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20A5318A"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color w:val="0E101A"/>
        </w:rPr>
        <w:t>Collaborations and partnerships:</w:t>
      </w:r>
      <w:r w:rsidRPr="00F90BB1">
        <w:rPr>
          <w:rFonts w:ascii="Arial" w:hAnsi="Arial" w:cs="Arial"/>
          <w:color w:val="0E101A"/>
        </w:rPr>
        <w:t> Altacor has the opportunity of collaborating with academic institutions and other pharmaceutical companies for advancing the understanding of ophthalmic diseases and developing new treatments (Teoli et al., 2019).</w:t>
      </w:r>
    </w:p>
    <w:p w14:paraId="7C6A4742"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143C9DCC"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Threats</w:t>
      </w:r>
    </w:p>
    <w:p w14:paraId="747E6775"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color w:val="0E101A"/>
        </w:rPr>
        <w:t>Intense competition:</w:t>
      </w:r>
      <w:r w:rsidRPr="00F90BB1">
        <w:rPr>
          <w:rFonts w:ascii="Arial" w:hAnsi="Arial" w:cs="Arial"/>
          <w:color w:val="0E101A"/>
        </w:rPr>
        <w:t> The pharmaceutical industry is highly competitive, with many larger companies with more resources and broader product portfolios than Altacor.</w:t>
      </w:r>
    </w:p>
    <w:p w14:paraId="3053F73B"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20405280"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color w:val="0E101A"/>
        </w:rPr>
        <w:t>Stringent regulatory requirements:</w:t>
      </w:r>
      <w:r w:rsidRPr="00F90BB1">
        <w:rPr>
          <w:rFonts w:ascii="Arial" w:hAnsi="Arial" w:cs="Arial"/>
          <w:color w:val="0E101A"/>
        </w:rPr>
        <w:t> The pharmaceutical industry is heavily regulated and any changes in policies or regulations could impact Altacor’s operations.</w:t>
      </w:r>
    </w:p>
    <w:p w14:paraId="5EA9B797"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2FF4F373"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color w:val="0E101A"/>
        </w:rPr>
        <w:lastRenderedPageBreak/>
        <w:t>Increasing costs of drug development:</w:t>
      </w:r>
      <w:r w:rsidRPr="00F90BB1">
        <w:rPr>
          <w:rFonts w:ascii="Arial" w:hAnsi="Arial" w:cs="Arial"/>
          <w:color w:val="0E101A"/>
        </w:rPr>
        <w:t> The increasing costs of drug development and clinical trials could pose a challenge for Altacor (Vlados, 2019).</w:t>
      </w:r>
    </w:p>
    <w:p w14:paraId="632C4337" w14:textId="77777777" w:rsidR="00346E5F" w:rsidRDefault="00346E5F" w:rsidP="00814F07">
      <w:pPr>
        <w:spacing w:after="0" w:line="360" w:lineRule="auto"/>
        <w:jc w:val="both"/>
        <w:rPr>
          <w:rFonts w:ascii="Arial" w:hAnsi="Arial" w:cs="Arial"/>
          <w:sz w:val="24"/>
          <w:szCs w:val="24"/>
        </w:rPr>
      </w:pPr>
    </w:p>
    <w:p w14:paraId="341B76EA" w14:textId="77777777" w:rsidR="00346E5F" w:rsidRPr="00BE6E5C" w:rsidRDefault="00346E5F" w:rsidP="00814F07">
      <w:pPr>
        <w:spacing w:after="0" w:line="360" w:lineRule="auto"/>
        <w:jc w:val="both"/>
        <w:rPr>
          <w:rFonts w:ascii="Arial" w:hAnsi="Arial" w:cs="Arial"/>
          <w:sz w:val="24"/>
          <w:szCs w:val="24"/>
        </w:rPr>
      </w:pPr>
    </w:p>
    <w:p w14:paraId="1CADB1FF" w14:textId="77777777" w:rsidR="00BE6E5C" w:rsidRPr="00BE6E5C" w:rsidRDefault="00BE6E5C" w:rsidP="00814F07">
      <w:pPr>
        <w:pStyle w:val="Heading2"/>
        <w:spacing w:before="0" w:line="360" w:lineRule="auto"/>
        <w:jc w:val="both"/>
        <w:rPr>
          <w:rFonts w:ascii="Arial" w:hAnsi="Arial" w:cs="Arial"/>
          <w:sz w:val="28"/>
          <w:szCs w:val="28"/>
        </w:rPr>
      </w:pPr>
      <w:bookmarkStart w:id="4" w:name="_Toc131079695"/>
      <w:r w:rsidRPr="00BE6E5C">
        <w:rPr>
          <w:rFonts w:ascii="Arial" w:hAnsi="Arial" w:cs="Arial"/>
          <w:sz w:val="28"/>
          <w:szCs w:val="28"/>
        </w:rPr>
        <w:t>PESTLE Analysis</w:t>
      </w:r>
      <w:bookmarkEnd w:id="4"/>
    </w:p>
    <w:p w14:paraId="4E9245F3"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PESTLE analysis is a tool that helps business organisations in analysing the external factors that can impact their business environment. The PESTLE analysis of Altacor will help in gaining a better understanding of various factors, i.e., political, economic, social, technological, legal, and environmental that might influence the company’s strategic direction (Perera, 2017). </w:t>
      </w:r>
    </w:p>
    <w:p w14:paraId="5C924B99"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736B21FE"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Political</w:t>
      </w:r>
    </w:p>
    <w:p w14:paraId="7003FF50"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The pharmaceutical industry is heavily regulated by governments, and Altacor is no exception. Any changes in government policies, regulations, or laws could have an impact on the company's operations. For instance, changes in the regulatory environment around drug approvals and pricing could affect Altacor's ability to develop and commercialize its products.</w:t>
      </w:r>
    </w:p>
    <w:p w14:paraId="64668B95"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4D05C625"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Economic</w:t>
      </w:r>
    </w:p>
    <w:p w14:paraId="718F4C4F"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Altacor operates in a highly competitive market, with many other pharmaceutical companies offering similar products. Economic factors such as changes in interest rates, inflation rates, and currency fluctuations could impact the company's profitability. In addition, the increasing costs of drug development and clinical trials can pose a challenge for Altacor (Aithal, 2017).</w:t>
      </w:r>
    </w:p>
    <w:p w14:paraId="216F6EDC"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4AFCA0A6"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Social</w:t>
      </w:r>
    </w:p>
    <w:p w14:paraId="58ABD905"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The aging population in many countries is driving demand for ophthalmic products such as those offered by Altacor. Additionally, consumer preferences for more natural and sustainable products could affect the demand for the company's products. Altacor will need to stay attuned to changing consumer trends and preferences in order to remain competitive.</w:t>
      </w:r>
    </w:p>
    <w:p w14:paraId="53B1710D"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594AF090"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2AFBB348"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lastRenderedPageBreak/>
        <w:t>Technological</w:t>
      </w:r>
    </w:p>
    <w:p w14:paraId="1519AB5F"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Advancements in technology have allowed pharmaceutical companies the development of more effective and efficient drugs and treatments. Altacor will need to stay up to date on the latest technological advancements in order to remain competitive in the market. Additionally, data privacy and security concerns are becoming increasingly important and Altacor will need to ensure that it has robust measures in place for protecting the data of the patients (Berisha Qehaja et al., 2017).</w:t>
      </w:r>
    </w:p>
    <w:p w14:paraId="14D029AA"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10DB238C"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Legal</w:t>
      </w:r>
    </w:p>
    <w:p w14:paraId="41EF5B98"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Altacor Pharmaceuticals operates in a heavily regulated industry and is subject to various legal and compliance requirements. The company must ensure that it complies with various laws and regulations, including those related to drug development, manufacturing, and marketing. Any legal or compliance issues could have a significant impact on the business operations and reputation of Altacor.</w:t>
      </w:r>
    </w:p>
    <w:p w14:paraId="1699B6BB"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2203D59D"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Environmental</w:t>
      </w:r>
    </w:p>
    <w:p w14:paraId="0826ABED"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Altacor's products have the potential to impact the environment, particularly through the disposal of packaging and the use of certain chemicals in the manufacturing process. Additionally, climate change could impact the incidence and prevalence of various eye conditions, which could impact the demand for the products of Altacor. The company will need to be mindful of its environmental impact and take steps for mitigating any negative effects (Perera, 2017).</w:t>
      </w:r>
    </w:p>
    <w:p w14:paraId="4E9E45F0" w14:textId="77777777" w:rsidR="00AC447B" w:rsidRPr="001E4F4E" w:rsidRDefault="00AC447B" w:rsidP="00AC447B">
      <w:pPr>
        <w:spacing w:after="0" w:line="360" w:lineRule="auto"/>
        <w:jc w:val="both"/>
        <w:rPr>
          <w:rFonts w:ascii="Arial" w:hAnsi="Arial" w:cs="Arial"/>
          <w:color w:val="222222"/>
          <w:sz w:val="24"/>
          <w:szCs w:val="24"/>
          <w:shd w:val="clear" w:color="auto" w:fill="FFFFFF"/>
        </w:rPr>
      </w:pPr>
    </w:p>
    <w:p w14:paraId="28EDF3C9" w14:textId="77777777" w:rsidR="003E6FF9" w:rsidRPr="003E6FF9" w:rsidRDefault="003E6FF9" w:rsidP="00AC447B">
      <w:pPr>
        <w:spacing w:after="0" w:line="360" w:lineRule="auto"/>
        <w:jc w:val="both"/>
        <w:rPr>
          <w:rFonts w:ascii="Arial" w:hAnsi="Arial" w:cs="Arial"/>
          <w:sz w:val="24"/>
          <w:szCs w:val="24"/>
        </w:rPr>
      </w:pPr>
    </w:p>
    <w:p w14:paraId="4BAE3990" w14:textId="77777777" w:rsidR="00BE6E5C" w:rsidRPr="00BE6E5C" w:rsidRDefault="00BE6E5C" w:rsidP="003169B4">
      <w:pPr>
        <w:pStyle w:val="Heading2"/>
        <w:spacing w:before="0" w:line="360" w:lineRule="auto"/>
        <w:jc w:val="both"/>
        <w:rPr>
          <w:rFonts w:ascii="Arial" w:hAnsi="Arial" w:cs="Arial"/>
          <w:sz w:val="28"/>
          <w:szCs w:val="28"/>
        </w:rPr>
      </w:pPr>
      <w:bookmarkStart w:id="5" w:name="_Toc131079696"/>
      <w:r w:rsidRPr="00BE6E5C">
        <w:rPr>
          <w:rFonts w:ascii="Arial" w:hAnsi="Arial" w:cs="Arial"/>
          <w:sz w:val="28"/>
          <w:szCs w:val="28"/>
        </w:rPr>
        <w:t>VRIN Framework</w:t>
      </w:r>
      <w:bookmarkEnd w:id="5"/>
    </w:p>
    <w:p w14:paraId="75E33774" w14:textId="6B8C52B1"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The VRIN framework or model is used for evaluating the resources and capabilities of a company based on four key attributes, i.e., valuable, rare, i</w:t>
      </w:r>
      <w:r w:rsidR="002541B0">
        <w:rPr>
          <w:rFonts w:ascii="Arial" w:hAnsi="Arial" w:cs="Arial"/>
          <w:color w:val="0E101A"/>
        </w:rPr>
        <w:t>ni</w:t>
      </w:r>
      <w:r w:rsidRPr="00F90BB1">
        <w:rPr>
          <w:rFonts w:ascii="Arial" w:hAnsi="Arial" w:cs="Arial"/>
          <w:color w:val="0E101A"/>
        </w:rPr>
        <w:t>mitable and non-substitutable. The VRIN framework can be applied to Altacor for analysing the resources and capabilities of the company and identifying any potential sources of sustained competitive advantage (Adnan et al., 2018). </w:t>
      </w:r>
    </w:p>
    <w:p w14:paraId="28D35DCB"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4FC209F0"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62042A2E"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lastRenderedPageBreak/>
        <w:t>Valuable</w:t>
      </w:r>
    </w:p>
    <w:p w14:paraId="54D3196D"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The first attribute of the VRIN framework is value. A company's resources and capabilities must be valuable to the company in order to create a sustained competitive advantage. Altacor has several resources that add value, such as its strong brand reputation, customer relationships, and expertise in ophthalmic products. The company's ability of developing innovative products that address unmet medical needs also adds value to its operations, as it allows Altacor for differentiating itself from the competitors and appealing to a wider customer base. The company's value proposition is also driven by its strong corporate social responsibility initiatives, which help improve its reputation and attract talent (Gamble et al., 2019).</w:t>
      </w:r>
    </w:p>
    <w:p w14:paraId="418347F5"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646C6847"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Rare</w:t>
      </w:r>
    </w:p>
    <w:p w14:paraId="2DE969AD"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The second attribute of the VRIN framework is rarity. A company's resources and capabilities must be rare for creating a sustained competitive advantage in the market. In the case of Altacor, the company's expertise in the ophthalmology market and its focus on developing innovative products that address unmet medical needs are relatively rare resources in the pharmaceutical industry. While there are other companies that operate in the ophthalmology market, few have the same level of expertise and focus on innovation as Altacor. The company's strong customer relationships are also rare, as they are built over time through trust and reliability, and are not easily replicated by competitors (Huemer and Wang, 2021).</w:t>
      </w:r>
    </w:p>
    <w:p w14:paraId="6E87CB51"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6A8FC87A"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Inimitable</w:t>
      </w:r>
    </w:p>
    <w:p w14:paraId="290AD972"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The third attribute of the VRIN framework is inimitability. A company's resources and capabilities must be difficult to imitate for the competitor companies for acquiring a competitive advantage. Altacor’s resources and capabilities are difficult to replicate due to the significant investments required in research and development, clinical trials, and regulatory approvals. Moreover, developing expertise in a specific therapeutic area takes time and investment, and developing innovative products requires a significant amount of research and development. Therefore, the company's resources and capabilities could be difficult for competitors to replicate in the short-term (Bertheussen, 2021).</w:t>
      </w:r>
    </w:p>
    <w:p w14:paraId="2044BE30"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0840EDC4"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lastRenderedPageBreak/>
        <w:t>Non-Substitutable</w:t>
      </w:r>
    </w:p>
    <w:p w14:paraId="3DEE1FC4"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The non-substitutability attribute of the VRIN framework evaluates whether a company's resources and capabilities are unique and cannot be substituted by other resources. In the case of Altacor Pharmaceuticals, the company's expertise in the ophthalmology market and its focus on innovation could be difficult for competitors to substitute with other resources or capabilities. While competitors may be able to develop products that address similar ophthalmic conditions, they may not be able to replicate the same level of expertise and innovation that Altacor has developed over time.</w:t>
      </w:r>
    </w:p>
    <w:p w14:paraId="73457871"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4B2A89E0"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Overall, the VRIN framework suggests that Altacor has several resources and capabilities that could enable the company for creating a sustained competitive advantage. Altacor’s expertise in the ophthalmology market and its focus on innovation are valuable, rare, difficult to imitate, and non-substitutable resources that could differentiate the company from competitors and create value for its stakeholders. However, Altacor must continue to invest in research and development and adapt to changes in the external environment for maintaining its competitive position over the long term (Adnan et al., 2018).</w:t>
      </w:r>
    </w:p>
    <w:p w14:paraId="39F835E9" w14:textId="77777777" w:rsidR="00830FC9" w:rsidRDefault="00830FC9" w:rsidP="007777A7">
      <w:pPr>
        <w:spacing w:line="360" w:lineRule="auto"/>
        <w:jc w:val="both"/>
        <w:rPr>
          <w:rFonts w:ascii="Arial" w:hAnsi="Arial" w:cs="Arial"/>
          <w:sz w:val="24"/>
          <w:szCs w:val="24"/>
          <w:shd w:val="clear" w:color="auto" w:fill="FFFFFF"/>
        </w:rPr>
      </w:pPr>
    </w:p>
    <w:p w14:paraId="0238F5D4" w14:textId="77777777" w:rsidR="00D95665" w:rsidRDefault="00D95665" w:rsidP="007777A7">
      <w:pPr>
        <w:spacing w:line="360" w:lineRule="auto"/>
        <w:jc w:val="both"/>
        <w:rPr>
          <w:rFonts w:ascii="Arial" w:hAnsi="Arial" w:cs="Arial"/>
          <w:sz w:val="24"/>
          <w:szCs w:val="24"/>
          <w:shd w:val="clear" w:color="auto" w:fill="FFFFFF"/>
        </w:rPr>
      </w:pPr>
    </w:p>
    <w:p w14:paraId="5E3B72BF" w14:textId="77777777" w:rsidR="00D95665" w:rsidRDefault="00D95665" w:rsidP="007777A7">
      <w:pPr>
        <w:spacing w:line="360" w:lineRule="auto"/>
        <w:jc w:val="both"/>
        <w:rPr>
          <w:rFonts w:ascii="Arial" w:hAnsi="Arial" w:cs="Arial"/>
          <w:sz w:val="24"/>
          <w:szCs w:val="24"/>
          <w:shd w:val="clear" w:color="auto" w:fill="FFFFFF"/>
        </w:rPr>
      </w:pPr>
    </w:p>
    <w:p w14:paraId="29ADF417" w14:textId="77777777" w:rsidR="00D95665" w:rsidRDefault="00D95665" w:rsidP="007777A7">
      <w:pPr>
        <w:spacing w:line="360" w:lineRule="auto"/>
        <w:jc w:val="both"/>
        <w:rPr>
          <w:rFonts w:ascii="Arial" w:hAnsi="Arial" w:cs="Arial"/>
          <w:sz w:val="24"/>
          <w:szCs w:val="24"/>
          <w:shd w:val="clear" w:color="auto" w:fill="FFFFFF"/>
        </w:rPr>
      </w:pPr>
    </w:p>
    <w:p w14:paraId="1179D3A6" w14:textId="77777777" w:rsidR="00D95665" w:rsidRDefault="00D95665" w:rsidP="007777A7">
      <w:pPr>
        <w:spacing w:line="360" w:lineRule="auto"/>
        <w:jc w:val="both"/>
        <w:rPr>
          <w:rFonts w:ascii="Arial" w:hAnsi="Arial" w:cs="Arial"/>
          <w:sz w:val="24"/>
          <w:szCs w:val="24"/>
          <w:shd w:val="clear" w:color="auto" w:fill="FFFFFF"/>
        </w:rPr>
      </w:pPr>
    </w:p>
    <w:p w14:paraId="09B9511D" w14:textId="77777777" w:rsidR="00D95665" w:rsidRDefault="00D95665" w:rsidP="007777A7">
      <w:pPr>
        <w:spacing w:line="360" w:lineRule="auto"/>
        <w:jc w:val="both"/>
        <w:rPr>
          <w:rFonts w:ascii="Arial" w:hAnsi="Arial" w:cs="Arial"/>
          <w:sz w:val="24"/>
          <w:szCs w:val="24"/>
          <w:shd w:val="clear" w:color="auto" w:fill="FFFFFF"/>
        </w:rPr>
      </w:pPr>
    </w:p>
    <w:p w14:paraId="256975CA" w14:textId="77777777" w:rsidR="00D95665" w:rsidRDefault="00D95665" w:rsidP="007777A7">
      <w:pPr>
        <w:spacing w:line="360" w:lineRule="auto"/>
        <w:jc w:val="both"/>
        <w:rPr>
          <w:rFonts w:ascii="Arial" w:hAnsi="Arial" w:cs="Arial"/>
          <w:sz w:val="24"/>
          <w:szCs w:val="24"/>
          <w:shd w:val="clear" w:color="auto" w:fill="FFFFFF"/>
        </w:rPr>
      </w:pPr>
    </w:p>
    <w:p w14:paraId="59D89F52" w14:textId="77777777" w:rsidR="00D95665" w:rsidRDefault="00D95665" w:rsidP="007777A7">
      <w:pPr>
        <w:spacing w:line="360" w:lineRule="auto"/>
        <w:jc w:val="both"/>
        <w:rPr>
          <w:rFonts w:ascii="Arial" w:hAnsi="Arial" w:cs="Arial"/>
          <w:sz w:val="24"/>
          <w:szCs w:val="24"/>
          <w:shd w:val="clear" w:color="auto" w:fill="FFFFFF"/>
        </w:rPr>
      </w:pPr>
    </w:p>
    <w:p w14:paraId="6664FDEE" w14:textId="77777777" w:rsidR="00D95665" w:rsidRDefault="00D95665" w:rsidP="007777A7">
      <w:pPr>
        <w:spacing w:line="360" w:lineRule="auto"/>
        <w:jc w:val="both"/>
        <w:rPr>
          <w:rFonts w:ascii="Arial" w:hAnsi="Arial" w:cs="Arial"/>
          <w:sz w:val="24"/>
          <w:szCs w:val="24"/>
          <w:shd w:val="clear" w:color="auto" w:fill="FFFFFF"/>
        </w:rPr>
      </w:pPr>
    </w:p>
    <w:p w14:paraId="4B6E77F0" w14:textId="77777777" w:rsidR="00D95665" w:rsidRDefault="00D95665" w:rsidP="007777A7">
      <w:pPr>
        <w:spacing w:line="360" w:lineRule="auto"/>
        <w:jc w:val="both"/>
        <w:rPr>
          <w:rFonts w:ascii="Arial" w:hAnsi="Arial" w:cs="Arial"/>
          <w:sz w:val="24"/>
          <w:szCs w:val="24"/>
          <w:shd w:val="clear" w:color="auto" w:fill="FFFFFF"/>
        </w:rPr>
      </w:pPr>
    </w:p>
    <w:p w14:paraId="67FC2247" w14:textId="77777777" w:rsidR="00D95665" w:rsidRDefault="00D95665" w:rsidP="007777A7">
      <w:pPr>
        <w:spacing w:line="360" w:lineRule="auto"/>
        <w:jc w:val="both"/>
        <w:rPr>
          <w:rFonts w:ascii="Arial" w:hAnsi="Arial" w:cs="Arial"/>
          <w:sz w:val="24"/>
          <w:szCs w:val="24"/>
          <w:shd w:val="clear" w:color="auto" w:fill="FFFFFF"/>
        </w:rPr>
      </w:pPr>
    </w:p>
    <w:p w14:paraId="4EBBF3CE" w14:textId="77777777" w:rsidR="00D95665" w:rsidRDefault="00D95665" w:rsidP="00320DBB">
      <w:pPr>
        <w:pStyle w:val="Heading1"/>
        <w:spacing w:before="0" w:line="360" w:lineRule="auto"/>
        <w:jc w:val="both"/>
        <w:rPr>
          <w:rFonts w:ascii="Arial" w:hAnsi="Arial" w:cs="Arial"/>
          <w:sz w:val="32"/>
          <w:szCs w:val="32"/>
          <w:shd w:val="clear" w:color="auto" w:fill="FFFFFF"/>
        </w:rPr>
      </w:pPr>
      <w:bookmarkStart w:id="6" w:name="_Toc131079697"/>
      <w:r w:rsidRPr="00320DBB">
        <w:rPr>
          <w:rFonts w:ascii="Arial" w:hAnsi="Arial" w:cs="Arial"/>
          <w:sz w:val="32"/>
          <w:szCs w:val="32"/>
          <w:shd w:val="clear" w:color="auto" w:fill="FFFFFF"/>
        </w:rPr>
        <w:lastRenderedPageBreak/>
        <w:t>Sustainable Strateg</w:t>
      </w:r>
      <w:r w:rsidR="00320DBB" w:rsidRPr="00320DBB">
        <w:rPr>
          <w:rFonts w:ascii="Arial" w:hAnsi="Arial" w:cs="Arial"/>
          <w:sz w:val="32"/>
          <w:szCs w:val="32"/>
          <w:shd w:val="clear" w:color="auto" w:fill="FFFFFF"/>
        </w:rPr>
        <w:t>y for the Long-Term Future of Altacor</w:t>
      </w:r>
      <w:bookmarkEnd w:id="6"/>
      <w:r w:rsidRPr="00320DBB">
        <w:rPr>
          <w:rFonts w:ascii="Arial" w:hAnsi="Arial" w:cs="Arial"/>
          <w:sz w:val="32"/>
          <w:szCs w:val="32"/>
          <w:shd w:val="clear" w:color="auto" w:fill="FFFFFF"/>
        </w:rPr>
        <w:t xml:space="preserve"> </w:t>
      </w:r>
    </w:p>
    <w:p w14:paraId="1B8502E6" w14:textId="77777777" w:rsidR="00E10DE0" w:rsidRDefault="00F90BB1" w:rsidP="00320DBB">
      <w:pPr>
        <w:spacing w:line="360" w:lineRule="auto"/>
        <w:jc w:val="both"/>
        <w:rPr>
          <w:rFonts w:ascii="Arial" w:hAnsi="Arial" w:cs="Arial"/>
          <w:sz w:val="24"/>
          <w:szCs w:val="24"/>
        </w:rPr>
      </w:pPr>
      <w:r w:rsidRPr="00F90BB1">
        <w:rPr>
          <w:rFonts w:ascii="Arial" w:hAnsi="Arial" w:cs="Arial"/>
          <w:sz w:val="24"/>
          <w:szCs w:val="24"/>
        </w:rPr>
        <w:t>For achieving success in the long run, it is essential for business organisations to develop effective strategies for surviving in the fast-paced and competitive business environment. For this purpose, certain strategies must be developed by Altacor for increasing its potential for growth and success (Grant, 2021). This will be executed with the help of various strategic tools, i.e., Porter’s Generic Strategies, Ansoff’s Matrix, and Bowman’s Strategic Clock.</w:t>
      </w:r>
    </w:p>
    <w:p w14:paraId="58CCFBF5" w14:textId="77777777" w:rsidR="00F90BB1" w:rsidRDefault="00F90BB1" w:rsidP="00320DBB">
      <w:pPr>
        <w:spacing w:line="360" w:lineRule="auto"/>
        <w:jc w:val="both"/>
        <w:rPr>
          <w:rFonts w:ascii="Arial" w:hAnsi="Arial" w:cs="Arial"/>
          <w:sz w:val="24"/>
          <w:szCs w:val="24"/>
        </w:rPr>
      </w:pPr>
    </w:p>
    <w:p w14:paraId="4AEACE01" w14:textId="77777777" w:rsidR="00E10DE0" w:rsidRDefault="00E10DE0" w:rsidP="00E10DE0">
      <w:pPr>
        <w:pStyle w:val="Heading2"/>
        <w:spacing w:before="0" w:line="360" w:lineRule="auto"/>
        <w:jc w:val="both"/>
        <w:rPr>
          <w:rFonts w:ascii="Arial" w:hAnsi="Arial" w:cs="Arial"/>
          <w:sz w:val="28"/>
          <w:szCs w:val="28"/>
        </w:rPr>
      </w:pPr>
      <w:bookmarkStart w:id="7" w:name="_Toc131079698"/>
      <w:r w:rsidRPr="00E10DE0">
        <w:rPr>
          <w:rFonts w:ascii="Arial" w:hAnsi="Arial" w:cs="Arial"/>
          <w:sz w:val="28"/>
          <w:szCs w:val="28"/>
        </w:rPr>
        <w:t>Porter’s Generic Strategies</w:t>
      </w:r>
      <w:bookmarkEnd w:id="7"/>
    </w:p>
    <w:p w14:paraId="2CEDDAB3"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Porter’s Generic Strategies is a strategic framework that assists organisations in identifying the most appropriate approach for achieving sustainable competitive advantage in their respective industries. Altacor, a UK-based company specialising in ophthalmic products, can utilise this framework for determining its optimal strategic approach (Viltard, 2017). The generic strategies are as follows:</w:t>
      </w:r>
    </w:p>
    <w:p w14:paraId="3BEBD2CE"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6102F124"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Cost Leadership</w:t>
      </w:r>
    </w:p>
    <w:p w14:paraId="48E9D6C8"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The cost leadership strategy involves providing products or services at the lowest cost in the market. This is achieved by minimising the production costs, streamlining business operations, and reducing waste. In the case of Altacor, the cost leadership strategy may not be the most appropriate approach as the development and production of pharmaceutical products often require significant investments in research and development, clinical trials, and regulatory compliance. However, the company can still emphasise cost optimisation through the identification of cost-efficient methods for the production and distribution of its products. By keeping its costs low, Altacor can improve its profitability and provide value to its customers through competitive pricing (Islami et al., 2020). </w:t>
      </w:r>
    </w:p>
    <w:p w14:paraId="4DE1954A"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62292188"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Differentiation</w:t>
      </w:r>
    </w:p>
    <w:p w14:paraId="5EF83C97"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 xml:space="preserve">The differentiation strategy focuses on creating unique and high-quality products or services that stand out from those being offered by the competitors. Altacor can differentiate its products by developing effective and innovative ophthalmic products that provide greater benefits to the patients than those offered by competitors. By </w:t>
      </w:r>
      <w:r w:rsidRPr="00F90BB1">
        <w:rPr>
          <w:rFonts w:ascii="Arial" w:hAnsi="Arial" w:cs="Arial"/>
          <w:color w:val="0E101A"/>
        </w:rPr>
        <w:lastRenderedPageBreak/>
        <w:t>investing in research and development, Altacor can create products that are technologically advanced, safe, and more effective in treating eye-related conditions. The company can also differentiate itself by focusing on natural and sustainable ingredients in its products, which is aligned with growing customer preferences for eco-friendly products. By providing unique and high-quality products, Altacor can charge a premium price and acquire a competitive advantage over its rivals (Omsa et al., 2017). </w:t>
      </w:r>
    </w:p>
    <w:p w14:paraId="7439530E"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563436FF"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Focus</w:t>
      </w:r>
    </w:p>
    <w:p w14:paraId="2C2EB8AB"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The focus strategy involves targeting a specific market segment or niche and tailoring products or services for meeting their needs. Altacor can employ a focus strategy by targeting specific patient groups with unique eye-related conditions, such as those with severe dry eye or age-related macular degeneration. By focusing on these niche markets, Altacor can gain a deeper understanding of patient needs and develop specialized products that cater to their specific requirements. By addressing the unique needs of these niche markets; Altacor can create a loyal customer base and establish itself as a leader in the treatment of specialized eye-related conditions (Greckhamer and Gur, 2021).</w:t>
      </w:r>
    </w:p>
    <w:p w14:paraId="176F3E68"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21B9DDCC"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In conclusion, while the cost leadership strategy may not be suitable for Altacor given the nature of the pharmaceutical industry, the differentiation and focus strategies can be employed for gaining a competitive advantage in the industry.</w:t>
      </w:r>
    </w:p>
    <w:p w14:paraId="727E8F8E" w14:textId="77777777" w:rsidR="008C53A3" w:rsidRDefault="008C53A3" w:rsidP="008C53A3">
      <w:pPr>
        <w:pStyle w:val="Heading2"/>
        <w:spacing w:before="0" w:line="360" w:lineRule="auto"/>
        <w:jc w:val="both"/>
        <w:rPr>
          <w:rFonts w:ascii="Arial" w:hAnsi="Arial" w:cs="Arial"/>
          <w:sz w:val="28"/>
          <w:szCs w:val="28"/>
        </w:rPr>
      </w:pPr>
    </w:p>
    <w:p w14:paraId="7C56407B" w14:textId="77777777" w:rsidR="008C53A3" w:rsidRDefault="008C53A3" w:rsidP="008C53A3">
      <w:pPr>
        <w:pStyle w:val="Heading2"/>
        <w:spacing w:before="0" w:line="360" w:lineRule="auto"/>
        <w:jc w:val="both"/>
        <w:rPr>
          <w:rFonts w:ascii="Arial" w:hAnsi="Arial" w:cs="Arial"/>
          <w:sz w:val="28"/>
          <w:szCs w:val="28"/>
        </w:rPr>
      </w:pPr>
    </w:p>
    <w:p w14:paraId="13F49F4E" w14:textId="77777777" w:rsidR="008C53A3" w:rsidRDefault="008C53A3" w:rsidP="008C53A3">
      <w:pPr>
        <w:pStyle w:val="Heading2"/>
        <w:spacing w:before="0" w:line="360" w:lineRule="auto"/>
        <w:jc w:val="both"/>
        <w:rPr>
          <w:rFonts w:ascii="Arial" w:hAnsi="Arial" w:cs="Arial"/>
          <w:sz w:val="28"/>
          <w:szCs w:val="28"/>
        </w:rPr>
      </w:pPr>
      <w:bookmarkStart w:id="8" w:name="_Toc131079699"/>
      <w:r w:rsidRPr="00E10DE0">
        <w:rPr>
          <w:rFonts w:ascii="Arial" w:hAnsi="Arial" w:cs="Arial"/>
          <w:sz w:val="28"/>
          <w:szCs w:val="28"/>
        </w:rPr>
        <w:t>Ansoff’s Matrix</w:t>
      </w:r>
      <w:bookmarkEnd w:id="8"/>
    </w:p>
    <w:p w14:paraId="2A90271D" w14:textId="77777777" w:rsidR="00F90BB1" w:rsidRDefault="00F90BB1" w:rsidP="008C53A3">
      <w:pPr>
        <w:spacing w:after="0" w:line="360" w:lineRule="auto"/>
        <w:jc w:val="both"/>
        <w:rPr>
          <w:rFonts w:ascii="Arial" w:hAnsi="Arial" w:cs="Arial"/>
          <w:sz w:val="24"/>
          <w:szCs w:val="24"/>
        </w:rPr>
      </w:pPr>
      <w:r w:rsidRPr="00F90BB1">
        <w:rPr>
          <w:rFonts w:ascii="Arial" w:hAnsi="Arial" w:cs="Arial"/>
          <w:sz w:val="24"/>
          <w:szCs w:val="24"/>
        </w:rPr>
        <w:t>Ansoff’s Matrix is a strategic tool used for identifying growth opportunities for a company by analysing four possible strategies, i.e., market penetration, market development, product development, and diversification. For Altacor, Ansoff’s Matrix can assist in identifying growth opportunities and determining the best course of action for the company to achieve sustainable growth (Dawes, 2018)</w:t>
      </w:r>
      <w:r>
        <w:rPr>
          <w:rFonts w:ascii="Arial" w:hAnsi="Arial" w:cs="Arial"/>
          <w:sz w:val="24"/>
          <w:szCs w:val="24"/>
        </w:rPr>
        <w:t>.</w:t>
      </w:r>
    </w:p>
    <w:p w14:paraId="77394AB7" w14:textId="77777777" w:rsidR="00F90BB1" w:rsidRDefault="00F90BB1" w:rsidP="008C53A3">
      <w:pPr>
        <w:spacing w:after="0" w:line="360" w:lineRule="auto"/>
        <w:jc w:val="both"/>
        <w:rPr>
          <w:rFonts w:ascii="Arial" w:hAnsi="Arial" w:cs="Arial"/>
          <w:sz w:val="24"/>
          <w:szCs w:val="24"/>
        </w:rPr>
      </w:pPr>
    </w:p>
    <w:p w14:paraId="6BF43DBF" w14:textId="77777777" w:rsidR="00F90BB1" w:rsidRDefault="00F90BB1" w:rsidP="008C53A3">
      <w:pPr>
        <w:spacing w:after="0" w:line="360" w:lineRule="auto"/>
        <w:jc w:val="both"/>
        <w:rPr>
          <w:rFonts w:ascii="Arial" w:hAnsi="Arial" w:cs="Arial"/>
          <w:sz w:val="24"/>
          <w:szCs w:val="24"/>
        </w:rPr>
      </w:pPr>
    </w:p>
    <w:p w14:paraId="13F1BE8D" w14:textId="77777777" w:rsidR="00F90BB1" w:rsidRDefault="00F90BB1" w:rsidP="008C53A3">
      <w:pPr>
        <w:spacing w:after="0" w:line="360" w:lineRule="auto"/>
        <w:jc w:val="both"/>
        <w:rPr>
          <w:rFonts w:ascii="Arial" w:hAnsi="Arial" w:cs="Arial"/>
          <w:sz w:val="24"/>
          <w:szCs w:val="24"/>
        </w:rPr>
      </w:pPr>
    </w:p>
    <w:p w14:paraId="3C27EBEF" w14:textId="77777777" w:rsidR="00F90BB1" w:rsidRPr="00F90BB1" w:rsidRDefault="00F90BB1" w:rsidP="00F90BB1">
      <w:pPr>
        <w:spacing w:after="0" w:line="360" w:lineRule="auto"/>
        <w:jc w:val="both"/>
        <w:rPr>
          <w:rFonts w:ascii="Arial" w:hAnsi="Arial" w:cs="Arial"/>
          <w:sz w:val="24"/>
        </w:rPr>
      </w:pPr>
      <w:r w:rsidRPr="00F90BB1">
        <w:rPr>
          <w:rStyle w:val="Emphasis"/>
          <w:rFonts w:ascii="Arial" w:hAnsi="Arial" w:cs="Arial"/>
          <w:b/>
          <w:bCs/>
          <w:color w:val="0E101A"/>
          <w:sz w:val="24"/>
        </w:rPr>
        <w:lastRenderedPageBreak/>
        <w:t>Market Penetration</w:t>
      </w:r>
    </w:p>
    <w:p w14:paraId="6292F8F4" w14:textId="77777777" w:rsidR="00F90BB1" w:rsidRPr="00F90BB1" w:rsidRDefault="00F90BB1" w:rsidP="00F90BB1">
      <w:pPr>
        <w:spacing w:after="0" w:line="360" w:lineRule="auto"/>
        <w:jc w:val="both"/>
        <w:rPr>
          <w:rFonts w:ascii="Arial" w:hAnsi="Arial" w:cs="Arial"/>
          <w:sz w:val="24"/>
        </w:rPr>
      </w:pPr>
      <w:r w:rsidRPr="00F90BB1">
        <w:rPr>
          <w:rFonts w:ascii="Arial" w:hAnsi="Arial" w:cs="Arial"/>
          <w:sz w:val="24"/>
        </w:rPr>
        <w:t>Market penetration involves increasing the sales of existing products in existing markets. Altacor can focus on increasing its market share in its core markets by increasing sales of its existing ophthalmic products. This can be achieved by investing in marketing and advertising campaigns for raising awareness of its products and building stronger relationships with healthcare providers. By focusing on market penetration, Altacor can increase its revenue and profitability without the need for significant investments in research and development or entering new markets (Gurcaylilar-Yenidogan and Aksoy, 2018).</w:t>
      </w:r>
    </w:p>
    <w:p w14:paraId="3B658D45" w14:textId="77777777" w:rsidR="00F90BB1" w:rsidRPr="00F90BB1" w:rsidRDefault="00F90BB1" w:rsidP="00F90BB1">
      <w:pPr>
        <w:spacing w:after="0" w:line="360" w:lineRule="auto"/>
        <w:jc w:val="both"/>
        <w:rPr>
          <w:rFonts w:ascii="Arial" w:hAnsi="Arial" w:cs="Arial"/>
          <w:sz w:val="24"/>
        </w:rPr>
      </w:pPr>
    </w:p>
    <w:p w14:paraId="41E967BC" w14:textId="77777777" w:rsidR="00F90BB1" w:rsidRPr="00F90BB1" w:rsidRDefault="00F90BB1" w:rsidP="00F90BB1">
      <w:pPr>
        <w:spacing w:after="0" w:line="360" w:lineRule="auto"/>
        <w:jc w:val="both"/>
        <w:rPr>
          <w:rFonts w:ascii="Arial" w:hAnsi="Arial" w:cs="Arial"/>
          <w:sz w:val="24"/>
        </w:rPr>
      </w:pPr>
      <w:r w:rsidRPr="00F90BB1">
        <w:rPr>
          <w:rStyle w:val="Emphasis"/>
          <w:rFonts w:ascii="Arial" w:hAnsi="Arial" w:cs="Arial"/>
          <w:b/>
          <w:bCs/>
          <w:color w:val="0E101A"/>
          <w:sz w:val="24"/>
        </w:rPr>
        <w:t>Market Development</w:t>
      </w:r>
    </w:p>
    <w:p w14:paraId="323D5EB4" w14:textId="77777777" w:rsidR="00F90BB1" w:rsidRDefault="00F90BB1" w:rsidP="00F90BB1">
      <w:pPr>
        <w:spacing w:after="0" w:line="360" w:lineRule="auto"/>
        <w:jc w:val="both"/>
        <w:rPr>
          <w:rFonts w:ascii="Arial" w:hAnsi="Arial" w:cs="Arial"/>
          <w:sz w:val="24"/>
        </w:rPr>
      </w:pPr>
      <w:r w:rsidRPr="00F90BB1">
        <w:rPr>
          <w:rFonts w:ascii="Arial" w:hAnsi="Arial" w:cs="Arial"/>
          <w:sz w:val="24"/>
        </w:rPr>
        <w:t>Market development involves introducing existing products to new markets. Altacor can focus on expanding its reach by entering new geographies with its existing products. This can be achieved by building partnerships with local distributors and healthcare providers and conducting market research for identifying the unique needs of patients in different markets. By expanding into new geographies, Altacor can increase its customer base and revenue streams while leveraging its existing expertise in ophthalmic products (Cleberg, 2019).</w:t>
      </w:r>
    </w:p>
    <w:p w14:paraId="7766FD33" w14:textId="77777777" w:rsidR="00F90BB1" w:rsidRPr="00F90BB1" w:rsidRDefault="00F90BB1" w:rsidP="00F90BB1">
      <w:pPr>
        <w:spacing w:after="0" w:line="360" w:lineRule="auto"/>
        <w:jc w:val="both"/>
        <w:rPr>
          <w:rFonts w:ascii="Arial" w:hAnsi="Arial" w:cs="Arial"/>
          <w:sz w:val="24"/>
        </w:rPr>
      </w:pPr>
    </w:p>
    <w:p w14:paraId="450C7740" w14:textId="77777777" w:rsidR="00F90BB1" w:rsidRPr="00F90BB1" w:rsidRDefault="00F90BB1" w:rsidP="00F90BB1">
      <w:pPr>
        <w:spacing w:after="0" w:line="360" w:lineRule="auto"/>
        <w:jc w:val="both"/>
        <w:rPr>
          <w:rFonts w:ascii="Arial" w:hAnsi="Arial" w:cs="Arial"/>
          <w:sz w:val="24"/>
        </w:rPr>
      </w:pPr>
      <w:r w:rsidRPr="00F90BB1">
        <w:rPr>
          <w:rStyle w:val="Emphasis"/>
          <w:rFonts w:ascii="Arial" w:hAnsi="Arial" w:cs="Arial"/>
          <w:b/>
          <w:bCs/>
          <w:color w:val="0E101A"/>
          <w:sz w:val="24"/>
        </w:rPr>
        <w:t>Product Development </w:t>
      </w:r>
    </w:p>
    <w:p w14:paraId="0A47B77B" w14:textId="77777777" w:rsidR="00F90BB1" w:rsidRDefault="00F90BB1" w:rsidP="00F90BB1">
      <w:pPr>
        <w:spacing w:after="0" w:line="360" w:lineRule="auto"/>
        <w:jc w:val="both"/>
        <w:rPr>
          <w:rFonts w:ascii="Arial" w:hAnsi="Arial" w:cs="Arial"/>
          <w:sz w:val="24"/>
        </w:rPr>
      </w:pPr>
      <w:r w:rsidRPr="00F90BB1">
        <w:rPr>
          <w:rFonts w:ascii="Arial" w:hAnsi="Arial" w:cs="Arial"/>
          <w:sz w:val="24"/>
        </w:rPr>
        <w:t>Product development involves developing new products for meeting the needs of existing customers. Altacor can focus on developing new ophthalmic products that address the unmet needs of its existing customer base. By leveraging its expertise in ophthalmic products and making significant investments in research and development, Altacor can create new and innovative products for meeting the needs of patients with different eye-related conditions. This can help to differentiate the company's products from those of its competitors and increase its market share (Tsatsoula, 2018).</w:t>
      </w:r>
    </w:p>
    <w:p w14:paraId="7C56AC5E" w14:textId="77777777" w:rsidR="00F90BB1" w:rsidRDefault="00F90BB1" w:rsidP="00F90BB1">
      <w:pPr>
        <w:spacing w:after="0" w:line="360" w:lineRule="auto"/>
        <w:jc w:val="both"/>
        <w:rPr>
          <w:rFonts w:ascii="Arial" w:hAnsi="Arial" w:cs="Arial"/>
          <w:sz w:val="24"/>
        </w:rPr>
      </w:pPr>
    </w:p>
    <w:p w14:paraId="241F8551" w14:textId="77777777" w:rsidR="00F90BB1" w:rsidRPr="00F90BB1" w:rsidRDefault="00F90BB1" w:rsidP="00F90BB1">
      <w:pPr>
        <w:spacing w:after="0" w:line="360" w:lineRule="auto"/>
        <w:jc w:val="both"/>
        <w:rPr>
          <w:rFonts w:ascii="Arial" w:hAnsi="Arial" w:cs="Arial"/>
          <w:sz w:val="24"/>
        </w:rPr>
      </w:pPr>
      <w:r w:rsidRPr="00F90BB1">
        <w:rPr>
          <w:rStyle w:val="Emphasis"/>
          <w:rFonts w:ascii="Arial" w:hAnsi="Arial" w:cs="Arial"/>
          <w:b/>
          <w:bCs/>
          <w:color w:val="0E101A"/>
          <w:sz w:val="24"/>
        </w:rPr>
        <w:t>Diversification</w:t>
      </w:r>
    </w:p>
    <w:p w14:paraId="684A2EF1" w14:textId="77777777" w:rsidR="00F90BB1" w:rsidRDefault="00F90BB1" w:rsidP="00F90BB1">
      <w:pPr>
        <w:spacing w:after="0" w:line="360" w:lineRule="auto"/>
        <w:jc w:val="both"/>
        <w:rPr>
          <w:rFonts w:ascii="Arial" w:hAnsi="Arial" w:cs="Arial"/>
          <w:sz w:val="24"/>
        </w:rPr>
      </w:pPr>
      <w:r w:rsidRPr="00F90BB1">
        <w:rPr>
          <w:rFonts w:ascii="Arial" w:hAnsi="Arial" w:cs="Arial"/>
          <w:sz w:val="24"/>
        </w:rPr>
        <w:t xml:space="preserve">Diversification involves entering new markets with new products. Altacor can focus on diversification by expanding into new markets with new products outside of the ophthalmic space. This can be achieved through strategic partnerships or acquisitions of companies that have expertise in different therapeutic areas. By </w:t>
      </w:r>
      <w:r w:rsidRPr="00F90BB1">
        <w:rPr>
          <w:rFonts w:ascii="Arial" w:hAnsi="Arial" w:cs="Arial"/>
          <w:sz w:val="24"/>
        </w:rPr>
        <w:lastRenderedPageBreak/>
        <w:t>diversifying its product portfolio, Altacor can mitigate the risks associated with being too dependent on a few key products and increase its revenue streams (Dawes, 2018).</w:t>
      </w:r>
    </w:p>
    <w:p w14:paraId="00F7CE70" w14:textId="77777777" w:rsidR="00F90BB1" w:rsidRDefault="00F90BB1" w:rsidP="00F90BB1">
      <w:pPr>
        <w:spacing w:after="0" w:line="360" w:lineRule="auto"/>
        <w:jc w:val="both"/>
        <w:rPr>
          <w:rFonts w:ascii="Arial" w:hAnsi="Arial" w:cs="Arial"/>
          <w:sz w:val="24"/>
        </w:rPr>
      </w:pPr>
    </w:p>
    <w:p w14:paraId="3DB74DF8" w14:textId="77777777" w:rsidR="00F90BB1" w:rsidRPr="00F90BB1" w:rsidRDefault="00F90BB1" w:rsidP="00F90BB1">
      <w:pPr>
        <w:spacing w:after="0" w:line="360" w:lineRule="auto"/>
        <w:jc w:val="both"/>
        <w:rPr>
          <w:rFonts w:ascii="Arial" w:hAnsi="Arial" w:cs="Arial"/>
          <w:sz w:val="24"/>
        </w:rPr>
      </w:pPr>
    </w:p>
    <w:p w14:paraId="3C36EE2C" w14:textId="77777777" w:rsidR="008C53A3" w:rsidRDefault="008C53A3" w:rsidP="008C53A3">
      <w:pPr>
        <w:pStyle w:val="Heading2"/>
        <w:spacing w:before="0" w:line="360" w:lineRule="auto"/>
        <w:jc w:val="both"/>
        <w:rPr>
          <w:rFonts w:ascii="Arial" w:hAnsi="Arial" w:cs="Arial"/>
          <w:sz w:val="28"/>
          <w:szCs w:val="28"/>
        </w:rPr>
      </w:pPr>
      <w:bookmarkStart w:id="9" w:name="_Toc131079700"/>
      <w:r w:rsidRPr="00E10DE0">
        <w:rPr>
          <w:rFonts w:ascii="Arial" w:hAnsi="Arial" w:cs="Arial"/>
          <w:sz w:val="28"/>
          <w:szCs w:val="28"/>
        </w:rPr>
        <w:t>Bowman’s Strategy Clock</w:t>
      </w:r>
      <w:bookmarkEnd w:id="9"/>
    </w:p>
    <w:p w14:paraId="225BF370"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Bowman’s Strategy Clock is a strategic tool used for analysing a company’s competitive position in the market and for identifying potential strategies for achieving a sustainable competitive advantage. For Altacor, Bowman’s Strategy Clock can help in identifying the company’s competitive position in the ophthalmic pharmaceuticals market and determining the most effective strategies to grow and compete. According to the model, there are eight potential strategies for companies to compete in a market (Villagrasa et al., 2021).</w:t>
      </w:r>
    </w:p>
    <w:p w14:paraId="3C96E747"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04337599"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Low price and low value-added</w:t>
      </w:r>
    </w:p>
    <w:p w14:paraId="45332A26"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This is a low-cost strategy that seeks to compete by offering products at a lower price than competitors. However, this strategy requires significant cost-cutting measures and may compromise quality, which could negatively impact Altacor's reputation as a provider of high-quality ophthalmic pharmaceuticals.</w:t>
      </w:r>
    </w:p>
    <w:p w14:paraId="56E4DD27"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250509D8"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Low price</w:t>
      </w:r>
    </w:p>
    <w:p w14:paraId="4D5773CB"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This is a value-driven strategy that seeks to offer products at a price lower than the competitors while maintaining the same level of quality. This strategy requires efficiency in production and cost management while still maintaining high levels of quality, which can be challenging to achieve in the pharmaceutical industry.</w:t>
      </w:r>
    </w:p>
    <w:p w14:paraId="2F0201CC"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7B0BBAC9"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Hybrid</w:t>
      </w:r>
    </w:p>
    <w:p w14:paraId="0C099C65"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This strategy seeks to offer moderate price points with moderate value offerings. This may be a suitable strategy for Altacor as it can maintain a balance between quality and price and appeal to a wider customer base (Villagrasa et al., 2022).</w:t>
      </w:r>
    </w:p>
    <w:p w14:paraId="67C18D67" w14:textId="77777777" w:rsidR="00F90BB1" w:rsidRDefault="00F90BB1" w:rsidP="00F90BB1">
      <w:pPr>
        <w:pStyle w:val="NormalWeb"/>
        <w:spacing w:before="0" w:beforeAutospacing="0" w:after="0" w:afterAutospacing="0" w:line="360" w:lineRule="auto"/>
        <w:jc w:val="both"/>
        <w:rPr>
          <w:rFonts w:ascii="Arial" w:hAnsi="Arial" w:cs="Arial"/>
          <w:color w:val="0E101A"/>
        </w:rPr>
      </w:pPr>
    </w:p>
    <w:p w14:paraId="075AA9E6"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3C348B3C"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46CE5CDB"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lastRenderedPageBreak/>
        <w:t>Differentiation</w:t>
      </w:r>
    </w:p>
    <w:p w14:paraId="75CD1226"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This strategy seeks to offer unique products or services that differentiate a company from its competitors. This strategy can be challenging to implement in the pharmaceutical industry, where regulatory restrictions and complex R&amp;D processes can limit the scope for differentiation.</w:t>
      </w:r>
    </w:p>
    <w:p w14:paraId="573E3EC7"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09FB459E"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Focused differentiation</w:t>
      </w:r>
    </w:p>
    <w:p w14:paraId="07AA7267"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This strategy seeks to offer unique products or services in a specific niche market. This can be a suitable strategy for Altacor to target specific eye-related conditions and develop specialized products that meet the unique needs of patients.</w:t>
      </w:r>
    </w:p>
    <w:p w14:paraId="30F38F25"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0AC73AFD"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Risky high margins</w:t>
      </w:r>
    </w:p>
    <w:p w14:paraId="182EA666"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This strategy seeks to increase prices while maintaining the same level of value offered by competitors. This can be a challenging strategy to implement in a competitive market, and Altacor may need to have a strong brand reputation to justify the higher prices (Echchakoui, 2018).</w:t>
      </w:r>
    </w:p>
    <w:p w14:paraId="50B24A28"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62D3B5B9"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Monopoly pricing</w:t>
      </w:r>
    </w:p>
    <w:p w14:paraId="6EEF6833"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According to this strategy, a single company tends to control product pricing in the industry. The adoption of monopoly pricing will not be a feasible strategy for Altacor as it has a lot of big competitors in the pharmaceutical industry which has a greater potential of controlling the prices. </w:t>
      </w:r>
    </w:p>
    <w:p w14:paraId="717D5F3D"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71BBAAF5"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Loss of market share</w:t>
      </w:r>
    </w:p>
    <w:p w14:paraId="479A6653"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This is the worst-case scenario in which a company’s performance is either declining or it is taking an exit from the market. Altacor’s market share might decline if its pricing or product strategies are not appropriate or if it strategizes to move to new markets (Mihajlović and Miletić, 2022). </w:t>
      </w:r>
    </w:p>
    <w:p w14:paraId="09545898"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03D77BEA"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 xml:space="preserve">Overall, by leveraging its expertise in ophthalmic pharmaceuticals and investing in R&amp;D, Altacor can differentiate itself through a focused differentiation strategy. Additionally, the company can balance price and value to appeal to a wider customer base through a hybrid strategy. It is essential for Altacor to maintain its reputation as a provider of high-quality pharmaceuticals and carefully evaluate the potential </w:t>
      </w:r>
      <w:r w:rsidRPr="00F90BB1">
        <w:rPr>
          <w:rFonts w:ascii="Arial" w:hAnsi="Arial" w:cs="Arial"/>
          <w:color w:val="0E101A"/>
        </w:rPr>
        <w:lastRenderedPageBreak/>
        <w:t>benefits and risks of each strategy before implementing it. By using Bowman's Strategy Clock, Altacor can develop a comprehensive strategy to achieve a sustainable competitive advantage and grow its market share in the ophthalmic pharmaceuticals market (Villagrasa et al., 2022).</w:t>
      </w:r>
    </w:p>
    <w:p w14:paraId="7CB9786D" w14:textId="77777777" w:rsidR="00D555C4" w:rsidRDefault="00D555C4" w:rsidP="008C53A3">
      <w:pPr>
        <w:spacing w:line="360" w:lineRule="auto"/>
        <w:jc w:val="both"/>
        <w:rPr>
          <w:rFonts w:ascii="Arial" w:hAnsi="Arial" w:cs="Arial"/>
          <w:sz w:val="24"/>
          <w:szCs w:val="24"/>
          <w:shd w:val="clear" w:color="auto" w:fill="FFFFFF"/>
        </w:rPr>
      </w:pPr>
    </w:p>
    <w:p w14:paraId="724DE52E"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315E1205"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00E60A7C"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142CE129"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18C69885"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15D5F542"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4C2E9305"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31CB0531"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5492E6D7"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22AEAF3B"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22853E35"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6CB02D93"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3DD154B1"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22AAE08C"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107510F6"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76186662"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211CC693"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67FAAA60" w14:textId="77777777" w:rsidR="00F90BB1" w:rsidRDefault="00F90BB1" w:rsidP="00236C4B">
      <w:pPr>
        <w:pStyle w:val="Heading1"/>
        <w:spacing w:before="0" w:line="360" w:lineRule="auto"/>
        <w:jc w:val="both"/>
        <w:rPr>
          <w:rFonts w:ascii="Arial" w:hAnsi="Arial" w:cs="Arial"/>
          <w:sz w:val="32"/>
          <w:szCs w:val="32"/>
          <w:shd w:val="clear" w:color="auto" w:fill="FFFFFF"/>
        </w:rPr>
      </w:pPr>
    </w:p>
    <w:p w14:paraId="16670ED4" w14:textId="77777777" w:rsidR="00F90BB1" w:rsidRDefault="00F90BB1" w:rsidP="00F90BB1"/>
    <w:p w14:paraId="0AB0885A" w14:textId="77777777" w:rsidR="00F90BB1" w:rsidRPr="00F90BB1" w:rsidRDefault="00F90BB1" w:rsidP="00F90BB1"/>
    <w:p w14:paraId="316B940D" w14:textId="77777777" w:rsidR="00D555C4" w:rsidRDefault="00236C4B" w:rsidP="00236C4B">
      <w:pPr>
        <w:pStyle w:val="Heading1"/>
        <w:spacing w:before="0" w:line="360" w:lineRule="auto"/>
        <w:jc w:val="both"/>
        <w:rPr>
          <w:rFonts w:ascii="Arial" w:hAnsi="Arial" w:cs="Arial"/>
          <w:sz w:val="32"/>
          <w:szCs w:val="32"/>
          <w:shd w:val="clear" w:color="auto" w:fill="FFFFFF"/>
        </w:rPr>
      </w:pPr>
      <w:bookmarkStart w:id="10" w:name="_Toc131079701"/>
      <w:r w:rsidRPr="00236C4B">
        <w:rPr>
          <w:rFonts w:ascii="Arial" w:hAnsi="Arial" w:cs="Arial"/>
          <w:sz w:val="32"/>
          <w:szCs w:val="32"/>
          <w:shd w:val="clear" w:color="auto" w:fill="FFFFFF"/>
        </w:rPr>
        <w:lastRenderedPageBreak/>
        <w:t>Stakeholder Analysis of Altacor</w:t>
      </w:r>
      <w:bookmarkEnd w:id="10"/>
    </w:p>
    <w:p w14:paraId="071B88C6" w14:textId="77777777" w:rsidR="00F90BB1" w:rsidRDefault="00F90BB1" w:rsidP="00F90BB1">
      <w:pPr>
        <w:spacing w:line="360" w:lineRule="auto"/>
        <w:jc w:val="both"/>
        <w:rPr>
          <w:rFonts w:ascii="Arial" w:hAnsi="Arial" w:cs="Arial"/>
          <w:sz w:val="24"/>
        </w:rPr>
      </w:pPr>
      <w:r w:rsidRPr="00F90BB1">
        <w:rPr>
          <w:rFonts w:ascii="Arial" w:hAnsi="Arial" w:cs="Arial"/>
          <w:sz w:val="24"/>
        </w:rPr>
        <w:t>Stakeholder analysis is a process implemented to identify and analyse individuals or groups who have an interest in or can be affected by an organisation’s project or decisions. Stakeholders may include employees, customers, suppliers, government agencies, and communities. This analysis involves identifying the stakeholder’s level of interest and influence and their potential impact on the organisation’s decisions. This information is then utilised for developing strategies to engage with stakeholders and managing their expectations to ensure a successful relationship with them. The stakeholder analysis of Altacor can be conducted with the help of Mendelow’s Matrix (Wojewnik-Filipkowska et al., 2021).</w:t>
      </w:r>
    </w:p>
    <w:p w14:paraId="465AC36F" w14:textId="77777777" w:rsidR="00F90BB1" w:rsidRPr="00F90BB1" w:rsidRDefault="00F90BB1" w:rsidP="00F90BB1">
      <w:pPr>
        <w:spacing w:line="360" w:lineRule="auto"/>
        <w:jc w:val="both"/>
        <w:rPr>
          <w:rFonts w:ascii="Arial" w:hAnsi="Arial" w:cs="Arial"/>
          <w:sz w:val="24"/>
        </w:rPr>
      </w:pPr>
    </w:p>
    <w:p w14:paraId="2308594F" w14:textId="77777777" w:rsidR="00E855F7" w:rsidRDefault="00E855F7" w:rsidP="005B140C">
      <w:pPr>
        <w:pStyle w:val="Heading2"/>
        <w:spacing w:before="0" w:line="360" w:lineRule="auto"/>
        <w:jc w:val="both"/>
        <w:rPr>
          <w:rFonts w:ascii="Arial" w:hAnsi="Arial" w:cs="Arial"/>
          <w:sz w:val="28"/>
          <w:szCs w:val="28"/>
        </w:rPr>
      </w:pPr>
      <w:bookmarkStart w:id="11" w:name="_Toc131079702"/>
      <w:r w:rsidRPr="00E855F7">
        <w:rPr>
          <w:rFonts w:ascii="Arial" w:hAnsi="Arial" w:cs="Arial"/>
          <w:sz w:val="28"/>
          <w:szCs w:val="28"/>
        </w:rPr>
        <w:t>Mendelow’s Matrix</w:t>
      </w:r>
      <w:bookmarkEnd w:id="11"/>
    </w:p>
    <w:p w14:paraId="1256F954"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Mendelow’s Matrix is a framework used in business strategies for analysing the relationship between a company and its stakeholders. Altacor is a company that operates in the highly regulated pharmaceutical industry. In this industry, stakeholders have a significant impact on the strategic decisions of the organisation. Therefore, it is essential to evaluate the expectations of stakeholders and their relative power using Mendelow's Matrix for identifying the most suitable, feasible, and acceptable strategic options for Altacor. There are four quadrants in the matrix and each quadrant corresponds to a different stakeholder group and requires a specific approach to addressing their concerns and expectations (Tamam et al., 2021). </w:t>
      </w:r>
    </w:p>
    <w:p w14:paraId="2DA7C5E3"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185F5C0D"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High power, high interest</w:t>
      </w:r>
    </w:p>
    <w:p w14:paraId="1D5B163F"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 xml:space="preserve">These stakeholders are critical to the success of the company and have a significant impact on its operations. They include shareholders and customers. Shareholders are the owners of the company, have a significant financial interest in its success, and expect the company to generate a profitable return on its investment. Altacor needs to prioritize shareholder expectations by focusing on increasing profits and maximizing shareholder value through strategic decisions. Similarly, customers are essential stakeholders as they directly consume the company's products. They expect high-quality drugs and therapies that are effective, safe, and affordable. </w:t>
      </w:r>
      <w:r w:rsidRPr="00F90BB1">
        <w:rPr>
          <w:rFonts w:ascii="Arial" w:hAnsi="Arial" w:cs="Arial"/>
          <w:color w:val="0E101A"/>
        </w:rPr>
        <w:lastRenderedPageBreak/>
        <w:t>Altacor must prioritize customer expectations by focusing on research and development for creating innovative drugs that address unmet medical needs (Sapapthai et al., 2020). </w:t>
      </w:r>
    </w:p>
    <w:p w14:paraId="4A713937"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74ACD402"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High power, low interest</w:t>
      </w:r>
    </w:p>
    <w:p w14:paraId="254E598C"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These stakeholders have significant power to influence the company's operations but have a low interest in the company's success. They include regulators and suppliers. Regulators have the power of approving or rejecting the company's products and operations. They expect compliance with laws and regulations related to drug development, testing, and marketing. Altacor needs to prioritise regulatory expectations by maintaining compliance with all applicable laws and regulations. Similarly, suppliers provide essential resources and materials required for drug development and production. They expect fair pricing, timely payments, and a mutually beneficial relationship with the company. Altacor must prioritize supplier expectations by establishing long-term partnerships and ensuring ethical and sustainable sourcing practices (Nguyen et al., 2018).</w:t>
      </w:r>
    </w:p>
    <w:p w14:paraId="49CE1D69"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034B1EEA"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Low power, high interest</w:t>
      </w:r>
    </w:p>
    <w:p w14:paraId="73ED9B58"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These stakeholders have little power to influence the business operations of the company but have a high interest in the success of the company. They include the employees and local communities. Employees are the backbone of the company, and their contributions are essential to its success. The employees of Altacor expect a healthy, fulfilling, and safe working environment, opportunities for career growth and development, and competitive compensation. Altacor is required to prioritise employee expectations by investing in employee development and retention programs. Similarly, local communities may be affected by the company's operations, such as employment opportunities, environmental impact, and community engagement. They expect the company to act responsibly and contribute positively to the community. Altacor needs to prioritise community expectations by engaging in corporate social responsibility initiatives and sustainable business practices (Tamam et al., 2021).</w:t>
      </w:r>
    </w:p>
    <w:p w14:paraId="7D6D82D7"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6D417D65"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04747F4F"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0444B7AB"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lastRenderedPageBreak/>
        <w:t>Low power, low interest</w:t>
      </w:r>
    </w:p>
    <w:p w14:paraId="5B46D6EA"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These stakeholders have little interest in the company's success and have little power to influence its operations. They include competitors and other companies in the industry. They include competitors and other companies in the industry. Competitors may have an impact on the company's market share and profitability. They expect fair competition and compliance with antitrust laws. Altacor is required to prioritise competitive expectations by developing innovative products and strategies for differentiating itself from the competitors (Wojewnik-Filipkowska et al., 2021).</w:t>
      </w:r>
    </w:p>
    <w:p w14:paraId="47AFA6E6" w14:textId="77777777" w:rsidR="00BB067D" w:rsidRDefault="00BB067D" w:rsidP="00BB067D">
      <w:pPr>
        <w:spacing w:line="360" w:lineRule="auto"/>
        <w:jc w:val="both"/>
        <w:rPr>
          <w:rFonts w:ascii="Arial" w:hAnsi="Arial" w:cs="Arial"/>
          <w:sz w:val="24"/>
          <w:szCs w:val="24"/>
          <w:shd w:val="clear" w:color="auto" w:fill="FFFFFF"/>
        </w:rPr>
      </w:pPr>
    </w:p>
    <w:p w14:paraId="38A2A1DE" w14:textId="77777777" w:rsidR="00142283" w:rsidRDefault="00142283" w:rsidP="00BB067D">
      <w:pPr>
        <w:spacing w:line="360" w:lineRule="auto"/>
        <w:jc w:val="both"/>
        <w:rPr>
          <w:rFonts w:ascii="Arial" w:hAnsi="Arial" w:cs="Arial"/>
          <w:sz w:val="24"/>
          <w:szCs w:val="24"/>
          <w:shd w:val="clear" w:color="auto" w:fill="FFFFFF"/>
        </w:rPr>
      </w:pPr>
    </w:p>
    <w:p w14:paraId="52289318" w14:textId="77777777" w:rsidR="00142283" w:rsidRDefault="00142283" w:rsidP="00BB067D">
      <w:pPr>
        <w:spacing w:line="360" w:lineRule="auto"/>
        <w:jc w:val="both"/>
        <w:rPr>
          <w:rFonts w:ascii="Arial" w:hAnsi="Arial" w:cs="Arial"/>
          <w:sz w:val="24"/>
          <w:szCs w:val="24"/>
          <w:shd w:val="clear" w:color="auto" w:fill="FFFFFF"/>
        </w:rPr>
      </w:pPr>
    </w:p>
    <w:p w14:paraId="799FEA90" w14:textId="77777777" w:rsidR="00142283" w:rsidRDefault="00142283" w:rsidP="00BB067D">
      <w:pPr>
        <w:spacing w:line="360" w:lineRule="auto"/>
        <w:jc w:val="both"/>
        <w:rPr>
          <w:rFonts w:ascii="Arial" w:hAnsi="Arial" w:cs="Arial"/>
          <w:sz w:val="24"/>
          <w:szCs w:val="24"/>
          <w:shd w:val="clear" w:color="auto" w:fill="FFFFFF"/>
        </w:rPr>
      </w:pPr>
    </w:p>
    <w:p w14:paraId="06F69745" w14:textId="77777777" w:rsidR="00142283" w:rsidRDefault="00142283" w:rsidP="00BB067D">
      <w:pPr>
        <w:spacing w:line="360" w:lineRule="auto"/>
        <w:jc w:val="both"/>
        <w:rPr>
          <w:rFonts w:ascii="Arial" w:hAnsi="Arial" w:cs="Arial"/>
          <w:sz w:val="24"/>
          <w:szCs w:val="24"/>
          <w:shd w:val="clear" w:color="auto" w:fill="FFFFFF"/>
        </w:rPr>
      </w:pPr>
    </w:p>
    <w:p w14:paraId="3D15D668" w14:textId="77777777" w:rsidR="00142283" w:rsidRDefault="00142283" w:rsidP="00BB067D">
      <w:pPr>
        <w:spacing w:line="360" w:lineRule="auto"/>
        <w:jc w:val="both"/>
        <w:rPr>
          <w:rFonts w:ascii="Arial" w:hAnsi="Arial" w:cs="Arial"/>
          <w:sz w:val="24"/>
          <w:szCs w:val="24"/>
          <w:shd w:val="clear" w:color="auto" w:fill="FFFFFF"/>
        </w:rPr>
      </w:pPr>
    </w:p>
    <w:p w14:paraId="09CF314C" w14:textId="77777777" w:rsidR="00142283" w:rsidRDefault="00142283" w:rsidP="00BB067D">
      <w:pPr>
        <w:spacing w:line="360" w:lineRule="auto"/>
        <w:jc w:val="both"/>
        <w:rPr>
          <w:rFonts w:ascii="Arial" w:hAnsi="Arial" w:cs="Arial"/>
          <w:sz w:val="24"/>
          <w:szCs w:val="24"/>
          <w:shd w:val="clear" w:color="auto" w:fill="FFFFFF"/>
        </w:rPr>
      </w:pPr>
    </w:p>
    <w:p w14:paraId="6CA2D818" w14:textId="77777777" w:rsidR="00142283" w:rsidRDefault="00142283" w:rsidP="00BB067D">
      <w:pPr>
        <w:spacing w:line="360" w:lineRule="auto"/>
        <w:jc w:val="both"/>
        <w:rPr>
          <w:rFonts w:ascii="Arial" w:hAnsi="Arial" w:cs="Arial"/>
          <w:sz w:val="24"/>
          <w:szCs w:val="24"/>
          <w:shd w:val="clear" w:color="auto" w:fill="FFFFFF"/>
        </w:rPr>
      </w:pPr>
    </w:p>
    <w:p w14:paraId="3E49065B" w14:textId="77777777" w:rsidR="00142283" w:rsidRDefault="00142283" w:rsidP="00BB067D">
      <w:pPr>
        <w:spacing w:line="360" w:lineRule="auto"/>
        <w:jc w:val="both"/>
        <w:rPr>
          <w:rFonts w:ascii="Arial" w:hAnsi="Arial" w:cs="Arial"/>
          <w:sz w:val="24"/>
          <w:szCs w:val="24"/>
          <w:shd w:val="clear" w:color="auto" w:fill="FFFFFF"/>
        </w:rPr>
      </w:pPr>
    </w:p>
    <w:p w14:paraId="1285B1CB" w14:textId="77777777" w:rsidR="00142283" w:rsidRDefault="00142283" w:rsidP="00BB067D">
      <w:pPr>
        <w:spacing w:line="360" w:lineRule="auto"/>
        <w:jc w:val="both"/>
        <w:rPr>
          <w:rFonts w:ascii="Arial" w:hAnsi="Arial" w:cs="Arial"/>
          <w:sz w:val="24"/>
          <w:szCs w:val="24"/>
          <w:shd w:val="clear" w:color="auto" w:fill="FFFFFF"/>
        </w:rPr>
      </w:pPr>
    </w:p>
    <w:p w14:paraId="2E027F54" w14:textId="77777777" w:rsidR="00142283" w:rsidRDefault="00142283" w:rsidP="00BB067D">
      <w:pPr>
        <w:spacing w:line="360" w:lineRule="auto"/>
        <w:jc w:val="both"/>
        <w:rPr>
          <w:rFonts w:ascii="Arial" w:hAnsi="Arial" w:cs="Arial"/>
          <w:sz w:val="24"/>
          <w:szCs w:val="24"/>
          <w:shd w:val="clear" w:color="auto" w:fill="FFFFFF"/>
        </w:rPr>
      </w:pPr>
    </w:p>
    <w:p w14:paraId="30DB9767" w14:textId="77777777" w:rsidR="00142283" w:rsidRDefault="00142283" w:rsidP="00BB067D">
      <w:pPr>
        <w:spacing w:line="360" w:lineRule="auto"/>
        <w:jc w:val="both"/>
        <w:rPr>
          <w:rFonts w:ascii="Arial" w:hAnsi="Arial" w:cs="Arial"/>
          <w:sz w:val="24"/>
          <w:szCs w:val="24"/>
          <w:shd w:val="clear" w:color="auto" w:fill="FFFFFF"/>
        </w:rPr>
      </w:pPr>
    </w:p>
    <w:p w14:paraId="734C14BE" w14:textId="77777777" w:rsidR="00142283" w:rsidRDefault="00142283" w:rsidP="00BB067D">
      <w:pPr>
        <w:spacing w:line="360" w:lineRule="auto"/>
        <w:jc w:val="both"/>
        <w:rPr>
          <w:rFonts w:ascii="Arial" w:hAnsi="Arial" w:cs="Arial"/>
          <w:sz w:val="24"/>
          <w:szCs w:val="24"/>
          <w:shd w:val="clear" w:color="auto" w:fill="FFFFFF"/>
        </w:rPr>
      </w:pPr>
    </w:p>
    <w:p w14:paraId="48C4C46B" w14:textId="77777777" w:rsidR="00142283" w:rsidRDefault="00142283" w:rsidP="00BB067D">
      <w:pPr>
        <w:spacing w:line="360" w:lineRule="auto"/>
        <w:jc w:val="both"/>
        <w:rPr>
          <w:rFonts w:ascii="Arial" w:hAnsi="Arial" w:cs="Arial"/>
          <w:sz w:val="24"/>
          <w:szCs w:val="24"/>
          <w:shd w:val="clear" w:color="auto" w:fill="FFFFFF"/>
        </w:rPr>
      </w:pPr>
    </w:p>
    <w:p w14:paraId="3FB01F67" w14:textId="77777777" w:rsidR="00142283" w:rsidRDefault="00142283" w:rsidP="00BB067D">
      <w:pPr>
        <w:spacing w:line="360" w:lineRule="auto"/>
        <w:jc w:val="both"/>
        <w:rPr>
          <w:rFonts w:ascii="Arial" w:hAnsi="Arial" w:cs="Arial"/>
          <w:sz w:val="24"/>
          <w:szCs w:val="24"/>
          <w:shd w:val="clear" w:color="auto" w:fill="FFFFFF"/>
        </w:rPr>
      </w:pPr>
    </w:p>
    <w:p w14:paraId="62B186C9" w14:textId="77777777" w:rsidR="00142283" w:rsidRPr="00BB067D" w:rsidRDefault="00142283" w:rsidP="00BB067D">
      <w:pPr>
        <w:spacing w:line="360" w:lineRule="auto"/>
        <w:jc w:val="both"/>
        <w:rPr>
          <w:rFonts w:ascii="Arial" w:hAnsi="Arial" w:cs="Arial"/>
          <w:sz w:val="24"/>
          <w:szCs w:val="24"/>
          <w:shd w:val="clear" w:color="auto" w:fill="FFFFFF"/>
        </w:rPr>
      </w:pPr>
    </w:p>
    <w:p w14:paraId="4F8CBB17" w14:textId="77777777" w:rsidR="00236C4B" w:rsidRDefault="00236C4B" w:rsidP="00F072DA">
      <w:pPr>
        <w:pStyle w:val="Heading1"/>
        <w:spacing w:before="0" w:line="360" w:lineRule="auto"/>
        <w:jc w:val="both"/>
        <w:rPr>
          <w:rFonts w:ascii="Arial" w:hAnsi="Arial" w:cs="Arial"/>
          <w:sz w:val="32"/>
          <w:szCs w:val="32"/>
          <w:shd w:val="clear" w:color="auto" w:fill="FFFFFF"/>
        </w:rPr>
      </w:pPr>
      <w:bookmarkStart w:id="12" w:name="_Toc131079703"/>
      <w:r w:rsidRPr="00236C4B">
        <w:rPr>
          <w:rFonts w:ascii="Arial" w:hAnsi="Arial" w:cs="Arial"/>
          <w:sz w:val="32"/>
          <w:szCs w:val="32"/>
          <w:shd w:val="clear" w:color="auto" w:fill="FFFFFF"/>
        </w:rPr>
        <w:lastRenderedPageBreak/>
        <w:t>Key Strategic Recommendations for Altacor for Future Developments</w:t>
      </w:r>
      <w:bookmarkEnd w:id="12"/>
      <w:r w:rsidRPr="00236C4B">
        <w:rPr>
          <w:rFonts w:ascii="Arial" w:hAnsi="Arial" w:cs="Arial"/>
          <w:sz w:val="32"/>
          <w:szCs w:val="32"/>
          <w:shd w:val="clear" w:color="auto" w:fill="FFFFFF"/>
        </w:rPr>
        <w:t xml:space="preserve"> </w:t>
      </w:r>
    </w:p>
    <w:p w14:paraId="64F234AC"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Altacor is a UK-based SME that specialises in developing and marketing ophthalmic products. Like many other SMEs, Altacor also faces various challenges when implementing strategic directions. These challenges include resource limitations, limited access to capital, and a lack of internal expertise. For overcoming these challenges, Altacor needs to adopt a strategic approach that focuses on innovation, market expansion, and efficient resource allocation (Waltz et al., 2019). Some of the key strategic recommendations for Altacor for future developments and implementation are as follows:</w:t>
      </w:r>
    </w:p>
    <w:p w14:paraId="3ADBAA17"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1818F4A6"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Develop a strong innovation pipeline</w:t>
      </w:r>
    </w:p>
    <w:p w14:paraId="106E31F0"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Innovation is essential for the success of any pharmaceutical company. Altacor is required to invest more in research and development for creating a strong innovation pipeline that includes both incremental improvements to existing products and breakthrough innovations that address unmet medical needs in the market. By developing a strong innovation pipeline, Altacor can differentiate itself from its competitors and acquire a competitive advantage (Henry, 2021).</w:t>
      </w:r>
    </w:p>
    <w:p w14:paraId="6E7E8F6A"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0850BD70"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Expand its geographic presence</w:t>
      </w:r>
    </w:p>
    <w:p w14:paraId="1C8022C5"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Altacor should consider expanding its geographic presence for tapping into new markets and diversifying its revenue streams. This could involve entering new markets through partnerships with local distributors or by establishing subsidiaries in new regions. By expanding its geographic presence, Altacor can reduce its reliance on a single market and increase its revenue potential.</w:t>
      </w:r>
    </w:p>
    <w:p w14:paraId="7AC29211"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156A805A"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Leverage digital technologies</w:t>
      </w:r>
    </w:p>
    <w:p w14:paraId="31CABF02"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Another key strategic recommendation for Altacor is to leverage technology. The pharmaceutical industry is rapidly evolving, and technology is playing an increasingly important role in drug development and marketing. By adopting new technologies such as artificial intelligence (AI), big data analytics, and digital marketing, Altacor Pharmaceuticals can improve its efficiency, reduce costs, and reach its target audience more effectively (Hunger, 2020).</w:t>
      </w:r>
    </w:p>
    <w:p w14:paraId="4A0E800D"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lastRenderedPageBreak/>
        <w:t>Build strategic partnerships</w:t>
      </w:r>
    </w:p>
    <w:p w14:paraId="295341C6"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Altacor should consider building strategic partnerships with other pharmaceutical companies, academic institutions, and research organisations. These partnerships could provide Altacor with access to new technologies, expertise, and resources that it may not have internally. By building strategic partnerships, Altacor can accelerate its innovation pipeline, reduce its costs, and improve its competitive position in the market.</w:t>
      </w:r>
    </w:p>
    <w:p w14:paraId="7A0F149B"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2F9669AF"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Invest in talent</w:t>
      </w:r>
    </w:p>
    <w:p w14:paraId="38611D4A"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Altacor should invest in talent development and management for building a strong and diverse team that can drive the company's growth. This could involve hiring new talent, developing existing employees through training and development programs, and creating a culture that values innovation and collaboration. By investing in talent, Altacor can build a strong and resilient organisation that can adapt to changing market conditions in the pharmaceutical industry and drive long-term growth (Ansoff et al., 2018).</w:t>
      </w:r>
    </w:p>
    <w:p w14:paraId="00AD7B00"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1A545DAF"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Efficient resource allocation</w:t>
      </w:r>
    </w:p>
    <w:p w14:paraId="319ABC45" w14:textId="77777777" w:rsid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Altacor needs to ensure efficient resource allocation by prioritizing its strategic initiatives and allocating its resources accordingly. This could involve conducting a portfolio analysis for identifying which products and initiatives are most promising, establishing clear metrics for measuring success, and regularly reviewing and adjusting its resource allocation based on performance. By ensuring efficient resource allocation, Altacor can maximise its return on investment and ensure long-term sustainability.</w:t>
      </w:r>
    </w:p>
    <w:p w14:paraId="1835832A"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p>
    <w:p w14:paraId="57F5A727"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Style w:val="Emphasis"/>
          <w:rFonts w:ascii="Arial" w:hAnsi="Arial" w:cs="Arial"/>
          <w:b/>
          <w:bCs/>
          <w:color w:val="0E101A"/>
        </w:rPr>
        <w:t>Diversify the product line</w:t>
      </w:r>
    </w:p>
    <w:p w14:paraId="061A70E8" w14:textId="77777777" w:rsidR="00F90BB1" w:rsidRPr="00F90BB1" w:rsidRDefault="00F90BB1" w:rsidP="00F90BB1">
      <w:pPr>
        <w:pStyle w:val="NormalWeb"/>
        <w:spacing w:before="0" w:beforeAutospacing="0" w:after="0" w:afterAutospacing="0" w:line="360" w:lineRule="auto"/>
        <w:jc w:val="both"/>
        <w:rPr>
          <w:rFonts w:ascii="Arial" w:hAnsi="Arial" w:cs="Arial"/>
          <w:color w:val="0E101A"/>
        </w:rPr>
      </w:pPr>
      <w:r w:rsidRPr="00F90BB1">
        <w:rPr>
          <w:rFonts w:ascii="Arial" w:hAnsi="Arial" w:cs="Arial"/>
          <w:color w:val="0E101A"/>
        </w:rPr>
        <w:t>Another strategic recommendation for Altacor is to diversify its product line. The company currently has a strong focus on eye care products. However, it should consider expanding its offerings for including products related to other medical conditions. By diversifying the product line, Altacor can reduce its reliance on a single product category and increase its revenue streams, thereby, improving its overall business performance and profitability (Wheelen et al., 2017).</w:t>
      </w:r>
    </w:p>
    <w:p w14:paraId="3F6A151A" w14:textId="77777777" w:rsidR="00BA27B1" w:rsidRDefault="00BA27B1" w:rsidP="00D36433">
      <w:pPr>
        <w:spacing w:line="360" w:lineRule="auto"/>
        <w:jc w:val="both"/>
        <w:rPr>
          <w:rFonts w:ascii="Arial" w:hAnsi="Arial" w:cs="Arial"/>
          <w:sz w:val="24"/>
          <w:szCs w:val="24"/>
          <w:shd w:val="clear" w:color="auto" w:fill="FFFFFF"/>
        </w:rPr>
      </w:pPr>
    </w:p>
    <w:p w14:paraId="63B84F59" w14:textId="77777777" w:rsidR="00236C4B" w:rsidRPr="00236C4B" w:rsidRDefault="00236C4B" w:rsidP="00142283">
      <w:pPr>
        <w:pStyle w:val="Heading1"/>
        <w:spacing w:before="0" w:line="360" w:lineRule="auto"/>
        <w:jc w:val="both"/>
        <w:rPr>
          <w:rFonts w:ascii="Arial" w:hAnsi="Arial" w:cs="Arial"/>
          <w:sz w:val="32"/>
          <w:szCs w:val="32"/>
          <w:shd w:val="clear" w:color="auto" w:fill="FFFFFF"/>
        </w:rPr>
      </w:pPr>
      <w:bookmarkStart w:id="13" w:name="_Toc131079704"/>
      <w:r w:rsidRPr="00236C4B">
        <w:rPr>
          <w:rFonts w:ascii="Arial" w:hAnsi="Arial" w:cs="Arial"/>
          <w:sz w:val="32"/>
          <w:szCs w:val="32"/>
          <w:shd w:val="clear" w:color="auto" w:fill="FFFFFF"/>
        </w:rPr>
        <w:lastRenderedPageBreak/>
        <w:t>Conclusion</w:t>
      </w:r>
      <w:bookmarkEnd w:id="13"/>
    </w:p>
    <w:p w14:paraId="30C8FF6C" w14:textId="77777777" w:rsidR="00236C4B" w:rsidRPr="00F90BB1" w:rsidRDefault="00F90BB1" w:rsidP="00F90BB1">
      <w:pPr>
        <w:spacing w:line="360" w:lineRule="auto"/>
        <w:jc w:val="both"/>
        <w:rPr>
          <w:rFonts w:ascii="Arial" w:hAnsi="Arial" w:cs="Arial"/>
          <w:sz w:val="36"/>
          <w:szCs w:val="32"/>
          <w:shd w:val="clear" w:color="auto" w:fill="FFFFFF"/>
        </w:rPr>
      </w:pPr>
      <w:r w:rsidRPr="00F90BB1">
        <w:rPr>
          <w:rFonts w:ascii="Arial" w:hAnsi="Arial" w:cs="Arial"/>
          <w:sz w:val="24"/>
          <w:shd w:val="clear" w:color="auto" w:fill="FFFFFF"/>
        </w:rPr>
        <w:t>The report is focused on the strategic management of Altacor which is an SME in the pharmaceutical industry of the UK. It provides a detailed analysis of the strategies adopted by Altacor and the strategies that it must adopt for acquiring a competitive advantage in the long run. The vision, mission, goals, and objectives of the company have been briefly highlighted. Also, the business environment of Altacor has been scanned thoroughly with the help of certain tools such as SWOT analysis, PESTLE analysis, and VRIN framework. The report also provides sustainable strategies for Altacor for the long run with the help of strategic tools and methods, such as Porter’s Generic Strategies, Ansoff’s Matrix, and Bowman’s Strategy Clock. Moreover, a stakeholder analysis is also conducted for evaluating the expectations of different stakeholders of Altacor with the help of Mendelow’s power-interest grid matrix. Towards the end, the report also provides the key strategic recommendations for Altacor for future developments and implementation.</w:t>
      </w:r>
    </w:p>
    <w:p w14:paraId="29FB8FE7" w14:textId="77777777" w:rsidR="00236C4B" w:rsidRDefault="00236C4B" w:rsidP="00236C4B">
      <w:pPr>
        <w:pStyle w:val="Heading1"/>
        <w:spacing w:line="360" w:lineRule="auto"/>
        <w:jc w:val="both"/>
        <w:rPr>
          <w:rFonts w:ascii="Arial" w:hAnsi="Arial" w:cs="Arial"/>
          <w:sz w:val="32"/>
          <w:szCs w:val="32"/>
          <w:shd w:val="clear" w:color="auto" w:fill="FFFFFF"/>
        </w:rPr>
      </w:pPr>
    </w:p>
    <w:p w14:paraId="32CC5734" w14:textId="77777777" w:rsidR="00236C4B" w:rsidRDefault="00F90BB1" w:rsidP="00236C4B">
      <w:pPr>
        <w:pStyle w:val="Heading1"/>
        <w:spacing w:line="360" w:lineRule="auto"/>
        <w:jc w:val="both"/>
        <w:rPr>
          <w:rFonts w:ascii="Arial" w:hAnsi="Arial" w:cs="Arial"/>
          <w:sz w:val="32"/>
          <w:szCs w:val="32"/>
          <w:shd w:val="clear" w:color="auto" w:fill="FFFFFF"/>
        </w:rPr>
      </w:pPr>
      <w:r>
        <w:rPr>
          <w:rFonts w:ascii="Arial" w:hAnsi="Arial" w:cs="Arial"/>
          <w:sz w:val="32"/>
          <w:szCs w:val="32"/>
          <w:shd w:val="clear" w:color="auto" w:fill="FFFFFF"/>
        </w:rPr>
        <w:br/>
      </w:r>
    </w:p>
    <w:p w14:paraId="643A27E7" w14:textId="77777777" w:rsidR="00F90BB1" w:rsidRPr="00F90BB1" w:rsidRDefault="00F90BB1" w:rsidP="00F90BB1"/>
    <w:p w14:paraId="2619A3BC" w14:textId="77777777" w:rsidR="00236C4B" w:rsidRDefault="00236C4B" w:rsidP="00236C4B">
      <w:pPr>
        <w:pStyle w:val="Heading1"/>
        <w:spacing w:line="360" w:lineRule="auto"/>
        <w:jc w:val="both"/>
        <w:rPr>
          <w:rFonts w:ascii="Arial" w:hAnsi="Arial" w:cs="Arial"/>
          <w:sz w:val="32"/>
          <w:szCs w:val="32"/>
          <w:shd w:val="clear" w:color="auto" w:fill="FFFFFF"/>
        </w:rPr>
      </w:pPr>
    </w:p>
    <w:p w14:paraId="40AB1C78" w14:textId="77777777" w:rsidR="0018373C" w:rsidRDefault="0018373C" w:rsidP="0018373C"/>
    <w:p w14:paraId="7F6FF1C5" w14:textId="77777777" w:rsidR="0018373C" w:rsidRDefault="0018373C" w:rsidP="0018373C"/>
    <w:p w14:paraId="049B0C07" w14:textId="77777777" w:rsidR="0018373C" w:rsidRDefault="0018373C" w:rsidP="0018373C"/>
    <w:p w14:paraId="4B292CF4" w14:textId="77777777" w:rsidR="0018373C" w:rsidRDefault="0018373C" w:rsidP="0018373C"/>
    <w:p w14:paraId="05AE6044" w14:textId="77777777" w:rsidR="0018373C" w:rsidRPr="0018373C" w:rsidRDefault="0018373C" w:rsidP="0018373C"/>
    <w:p w14:paraId="0DAFB918" w14:textId="77777777" w:rsidR="00AA78C3" w:rsidRPr="0021062F" w:rsidRDefault="00236C4B" w:rsidP="0021062F">
      <w:pPr>
        <w:pStyle w:val="Heading1"/>
        <w:spacing w:before="0" w:line="360" w:lineRule="auto"/>
        <w:jc w:val="both"/>
        <w:rPr>
          <w:rFonts w:ascii="Arial" w:hAnsi="Arial" w:cs="Arial"/>
          <w:sz w:val="32"/>
          <w:szCs w:val="32"/>
          <w:shd w:val="clear" w:color="auto" w:fill="FFFFFF"/>
        </w:rPr>
      </w:pPr>
      <w:bookmarkStart w:id="14" w:name="_Toc131079705"/>
      <w:r w:rsidRPr="00236C4B">
        <w:rPr>
          <w:rFonts w:ascii="Arial" w:hAnsi="Arial" w:cs="Arial"/>
          <w:sz w:val="32"/>
          <w:szCs w:val="32"/>
          <w:shd w:val="clear" w:color="auto" w:fill="FFFFFF"/>
        </w:rPr>
        <w:lastRenderedPageBreak/>
        <w:t>Reference List</w:t>
      </w:r>
      <w:bookmarkEnd w:id="14"/>
    </w:p>
    <w:p w14:paraId="295C7D86"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Adnan, M., Abdulhamid, T. and Sohail, B. (2018). Predicting firm performance through resource-based framework. </w:t>
      </w:r>
      <w:r w:rsidRPr="0021062F">
        <w:rPr>
          <w:rFonts w:ascii="Arial" w:hAnsi="Arial" w:cs="Arial"/>
          <w:i/>
          <w:iCs/>
          <w:sz w:val="24"/>
          <w:szCs w:val="24"/>
          <w:shd w:val="clear" w:color="auto" w:fill="FFFFFF"/>
        </w:rPr>
        <w:t>European Journal of Business &amp; Management</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10</w:t>
      </w:r>
      <w:r w:rsidRPr="0021062F">
        <w:rPr>
          <w:rFonts w:ascii="Arial" w:hAnsi="Arial" w:cs="Arial"/>
          <w:sz w:val="24"/>
          <w:szCs w:val="24"/>
          <w:shd w:val="clear" w:color="auto" w:fill="FFFFFF"/>
        </w:rPr>
        <w:t>(1), pp.31-36.</w:t>
      </w:r>
    </w:p>
    <w:p w14:paraId="5C48532C"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Aithal, P.S. (2017). Industry Analysis–The First Step in Business Management Scholarly Research. </w:t>
      </w:r>
      <w:r w:rsidRPr="0021062F">
        <w:rPr>
          <w:rFonts w:ascii="Arial" w:hAnsi="Arial" w:cs="Arial"/>
          <w:i/>
          <w:iCs/>
          <w:sz w:val="24"/>
          <w:szCs w:val="24"/>
          <w:shd w:val="clear" w:color="auto" w:fill="FFFFFF"/>
        </w:rPr>
        <w:t>International Journal of Case Studies in Business, IT and Education (IJCSBE)</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1</w:t>
      </w:r>
      <w:r w:rsidRPr="0021062F">
        <w:rPr>
          <w:rFonts w:ascii="Arial" w:hAnsi="Arial" w:cs="Arial"/>
          <w:sz w:val="24"/>
          <w:szCs w:val="24"/>
          <w:shd w:val="clear" w:color="auto" w:fill="FFFFFF"/>
        </w:rPr>
        <w:t>(1), pp.1-13.</w:t>
      </w:r>
    </w:p>
    <w:p w14:paraId="5DABA27D" w14:textId="77777777" w:rsidR="0021062F" w:rsidRPr="0021062F" w:rsidRDefault="0021062F" w:rsidP="00AA78C3">
      <w:pPr>
        <w:spacing w:line="360" w:lineRule="auto"/>
        <w:jc w:val="both"/>
        <w:rPr>
          <w:rFonts w:ascii="Arial" w:hAnsi="Arial" w:cs="Arial"/>
          <w:sz w:val="24"/>
          <w:szCs w:val="24"/>
        </w:rPr>
      </w:pPr>
      <w:r w:rsidRPr="0021062F">
        <w:rPr>
          <w:rFonts w:ascii="Arial" w:hAnsi="Arial" w:cs="Arial"/>
          <w:sz w:val="24"/>
          <w:szCs w:val="24"/>
        </w:rPr>
        <w:t xml:space="preserve">Altacor, (2021). </w:t>
      </w:r>
      <w:r w:rsidRPr="0021062F">
        <w:rPr>
          <w:rFonts w:ascii="Arial" w:hAnsi="Arial" w:cs="Arial"/>
          <w:i/>
          <w:sz w:val="24"/>
          <w:szCs w:val="24"/>
        </w:rPr>
        <w:t xml:space="preserve">Introduction. </w:t>
      </w:r>
      <w:r w:rsidRPr="0021062F">
        <w:rPr>
          <w:rFonts w:ascii="Arial" w:hAnsi="Arial" w:cs="Arial"/>
          <w:sz w:val="24"/>
          <w:szCs w:val="24"/>
        </w:rPr>
        <w:t xml:space="preserve">(Online). Available at., </w:t>
      </w:r>
      <w:hyperlink r:id="rId8" w:history="1">
        <w:r w:rsidRPr="0021062F">
          <w:rPr>
            <w:rStyle w:val="Hyperlink"/>
            <w:rFonts w:ascii="Arial" w:hAnsi="Arial" w:cs="Arial"/>
            <w:color w:val="auto"/>
            <w:sz w:val="24"/>
            <w:szCs w:val="24"/>
          </w:rPr>
          <w:t>https://www.altacor-pharma.com/about-us</w:t>
        </w:r>
      </w:hyperlink>
      <w:r w:rsidRPr="0021062F">
        <w:rPr>
          <w:rFonts w:ascii="Arial" w:hAnsi="Arial" w:cs="Arial"/>
          <w:sz w:val="24"/>
          <w:szCs w:val="24"/>
        </w:rPr>
        <w:t xml:space="preserve"> [Accessed on 28</w:t>
      </w:r>
      <w:r w:rsidRPr="0021062F">
        <w:rPr>
          <w:rFonts w:ascii="Arial" w:hAnsi="Arial" w:cs="Arial"/>
          <w:sz w:val="24"/>
          <w:szCs w:val="24"/>
          <w:vertAlign w:val="superscript"/>
        </w:rPr>
        <w:t xml:space="preserve">th </w:t>
      </w:r>
      <w:r w:rsidRPr="0021062F">
        <w:rPr>
          <w:rFonts w:ascii="Arial" w:hAnsi="Arial" w:cs="Arial"/>
          <w:sz w:val="24"/>
          <w:szCs w:val="24"/>
        </w:rPr>
        <w:t>March, 2023].</w:t>
      </w:r>
    </w:p>
    <w:p w14:paraId="1C8577A5"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Ansoff, H.I., Kipley, D., Lewis, A.O., Helm-Stevens, R. and Ansoff, R. (2018). </w:t>
      </w:r>
      <w:r w:rsidRPr="0021062F">
        <w:rPr>
          <w:rFonts w:ascii="Arial" w:hAnsi="Arial" w:cs="Arial"/>
          <w:i/>
          <w:iCs/>
          <w:sz w:val="24"/>
          <w:szCs w:val="24"/>
          <w:shd w:val="clear" w:color="auto" w:fill="FFFFFF"/>
        </w:rPr>
        <w:t>Implanting strategic management</w:t>
      </w:r>
      <w:r w:rsidRPr="0021062F">
        <w:rPr>
          <w:rFonts w:ascii="Arial" w:hAnsi="Arial" w:cs="Arial"/>
          <w:sz w:val="24"/>
          <w:szCs w:val="24"/>
          <w:shd w:val="clear" w:color="auto" w:fill="FFFFFF"/>
        </w:rPr>
        <w:t>. Springer.</w:t>
      </w:r>
    </w:p>
    <w:p w14:paraId="474BAD70"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Benzaghta, M.A., Elwalda, A., Mousa, M.M., Erkan, I. and Rahman, M. (2021). SWOT analysis applications: An integrative literature review. </w:t>
      </w:r>
      <w:r w:rsidRPr="0021062F">
        <w:rPr>
          <w:rFonts w:ascii="Arial" w:hAnsi="Arial" w:cs="Arial"/>
          <w:i/>
          <w:iCs/>
          <w:sz w:val="24"/>
          <w:szCs w:val="24"/>
          <w:shd w:val="clear" w:color="auto" w:fill="FFFFFF"/>
        </w:rPr>
        <w:t>Journal of Global Business Insights</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6</w:t>
      </w:r>
      <w:r w:rsidRPr="0021062F">
        <w:rPr>
          <w:rFonts w:ascii="Arial" w:hAnsi="Arial" w:cs="Arial"/>
          <w:sz w:val="24"/>
          <w:szCs w:val="24"/>
          <w:shd w:val="clear" w:color="auto" w:fill="FFFFFF"/>
        </w:rPr>
        <w:t>(1), pp.55-73.</w:t>
      </w:r>
    </w:p>
    <w:p w14:paraId="3D4979E1"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Berisha Qehaja, A., Kutllovci, E. and Shiroka Pula, J. (2017). Strategic management tools and techniques: A comparative analysis of empirical studies. </w:t>
      </w:r>
      <w:r w:rsidRPr="0021062F">
        <w:rPr>
          <w:rFonts w:ascii="Arial" w:hAnsi="Arial" w:cs="Arial"/>
          <w:i/>
          <w:iCs/>
          <w:sz w:val="24"/>
          <w:szCs w:val="24"/>
          <w:shd w:val="clear" w:color="auto" w:fill="FFFFFF"/>
        </w:rPr>
        <w:t>Croatian Economic Survey</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19</w:t>
      </w:r>
      <w:r w:rsidRPr="0021062F">
        <w:rPr>
          <w:rFonts w:ascii="Arial" w:hAnsi="Arial" w:cs="Arial"/>
          <w:sz w:val="24"/>
          <w:szCs w:val="24"/>
          <w:shd w:val="clear" w:color="auto" w:fill="FFFFFF"/>
        </w:rPr>
        <w:t>(1), pp.67-99.</w:t>
      </w:r>
    </w:p>
    <w:p w14:paraId="46D57E8F"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Bertheussen, B.A. (2021). Sustained competitive advantage based on industry-specific institutional frameworks. </w:t>
      </w:r>
      <w:r w:rsidRPr="0021062F">
        <w:rPr>
          <w:rFonts w:ascii="Arial" w:hAnsi="Arial" w:cs="Arial"/>
          <w:i/>
          <w:iCs/>
          <w:sz w:val="24"/>
          <w:szCs w:val="24"/>
          <w:shd w:val="clear" w:color="auto" w:fill="FFFFFF"/>
        </w:rPr>
        <w:t>Frontiers in Marine Science</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8</w:t>
      </w:r>
      <w:r w:rsidRPr="0021062F">
        <w:rPr>
          <w:rFonts w:ascii="Arial" w:hAnsi="Arial" w:cs="Arial"/>
          <w:sz w:val="24"/>
          <w:szCs w:val="24"/>
          <w:shd w:val="clear" w:color="auto" w:fill="FFFFFF"/>
        </w:rPr>
        <w:t>, p.697936.</w:t>
      </w:r>
    </w:p>
    <w:p w14:paraId="07651B47"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Cleberg, C. (2019). Strategic Success: The Ansoff Matrix vs. The Balanced Scorecard.</w:t>
      </w:r>
    </w:p>
    <w:p w14:paraId="4CD438C7"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Dawes, J. (2018). The Ansoff matrix: A legendary tool, but with two logical problems. </w:t>
      </w:r>
      <w:r w:rsidRPr="0021062F">
        <w:rPr>
          <w:rFonts w:ascii="Arial" w:hAnsi="Arial" w:cs="Arial"/>
          <w:i/>
          <w:iCs/>
          <w:sz w:val="24"/>
          <w:szCs w:val="24"/>
          <w:shd w:val="clear" w:color="auto" w:fill="FFFFFF"/>
        </w:rPr>
        <w:t>But with Two Logical Problems (February 27, 2018)</w:t>
      </w:r>
      <w:r w:rsidRPr="0021062F">
        <w:rPr>
          <w:rFonts w:ascii="Arial" w:hAnsi="Arial" w:cs="Arial"/>
          <w:sz w:val="24"/>
          <w:szCs w:val="24"/>
          <w:shd w:val="clear" w:color="auto" w:fill="FFFFFF"/>
        </w:rPr>
        <w:t>.</w:t>
      </w:r>
    </w:p>
    <w:p w14:paraId="0492F6CC"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Echchakoui, S. (2018). An analytical model that links customer-perceived value and competitive strategies. </w:t>
      </w:r>
      <w:r w:rsidRPr="0021062F">
        <w:rPr>
          <w:rFonts w:ascii="Arial" w:hAnsi="Arial" w:cs="Arial"/>
          <w:i/>
          <w:iCs/>
          <w:sz w:val="24"/>
          <w:szCs w:val="24"/>
          <w:shd w:val="clear" w:color="auto" w:fill="FFFFFF"/>
        </w:rPr>
        <w:t>Journal of Marketing Analytics</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6</w:t>
      </w:r>
      <w:r w:rsidRPr="0021062F">
        <w:rPr>
          <w:rFonts w:ascii="Arial" w:hAnsi="Arial" w:cs="Arial"/>
          <w:sz w:val="24"/>
          <w:szCs w:val="24"/>
          <w:shd w:val="clear" w:color="auto" w:fill="FFFFFF"/>
        </w:rPr>
        <w:t>, pp.138-149.</w:t>
      </w:r>
    </w:p>
    <w:p w14:paraId="1512B50C"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Gamble, J., Thompson Jr, A. and Peteraf, M. (2019). Essentials of Strategic Management: The Quest for Competitive Advantage, 6e.</w:t>
      </w:r>
    </w:p>
    <w:p w14:paraId="09B84509"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Grant, R.M. (2021). </w:t>
      </w:r>
      <w:r w:rsidRPr="0021062F">
        <w:rPr>
          <w:rFonts w:ascii="Arial" w:hAnsi="Arial" w:cs="Arial"/>
          <w:i/>
          <w:iCs/>
          <w:sz w:val="24"/>
          <w:szCs w:val="24"/>
          <w:shd w:val="clear" w:color="auto" w:fill="FFFFFF"/>
        </w:rPr>
        <w:t>Contemporary strategy analysis</w:t>
      </w:r>
      <w:r w:rsidRPr="0021062F">
        <w:rPr>
          <w:rFonts w:ascii="Arial" w:hAnsi="Arial" w:cs="Arial"/>
          <w:sz w:val="24"/>
          <w:szCs w:val="24"/>
          <w:shd w:val="clear" w:color="auto" w:fill="FFFFFF"/>
        </w:rPr>
        <w:t>. John Wiley &amp; Sons.</w:t>
      </w:r>
    </w:p>
    <w:p w14:paraId="7D3D1C2B"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lastRenderedPageBreak/>
        <w:t>Greckhamer, T. and Gur, F.A. (2021). Disentangling combinations and contingencies of generic strategies: A set-theoretic configurational approach. </w:t>
      </w:r>
      <w:r w:rsidRPr="0021062F">
        <w:rPr>
          <w:rFonts w:ascii="Arial" w:hAnsi="Arial" w:cs="Arial"/>
          <w:i/>
          <w:iCs/>
          <w:sz w:val="24"/>
          <w:szCs w:val="24"/>
          <w:shd w:val="clear" w:color="auto" w:fill="FFFFFF"/>
        </w:rPr>
        <w:t>Long Range Planning</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54</w:t>
      </w:r>
      <w:r w:rsidRPr="0021062F">
        <w:rPr>
          <w:rFonts w:ascii="Arial" w:hAnsi="Arial" w:cs="Arial"/>
          <w:sz w:val="24"/>
          <w:szCs w:val="24"/>
          <w:shd w:val="clear" w:color="auto" w:fill="FFFFFF"/>
        </w:rPr>
        <w:t>(2), p.101951.</w:t>
      </w:r>
    </w:p>
    <w:p w14:paraId="2C6E9CC7"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Gurcaylilar-Yenidogan, T. and Aksoy, S. (2018). Applying Ansoff’s growth strategy matrix to innovation classification. </w:t>
      </w:r>
      <w:r w:rsidRPr="0021062F">
        <w:rPr>
          <w:rFonts w:ascii="Arial" w:hAnsi="Arial" w:cs="Arial"/>
          <w:i/>
          <w:iCs/>
          <w:sz w:val="24"/>
          <w:szCs w:val="24"/>
          <w:shd w:val="clear" w:color="auto" w:fill="FFFFFF"/>
        </w:rPr>
        <w:t>International Journal of Innovation Management</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22</w:t>
      </w:r>
      <w:r w:rsidRPr="0021062F">
        <w:rPr>
          <w:rFonts w:ascii="Arial" w:hAnsi="Arial" w:cs="Arial"/>
          <w:sz w:val="24"/>
          <w:szCs w:val="24"/>
          <w:shd w:val="clear" w:color="auto" w:fill="FFFFFF"/>
        </w:rPr>
        <w:t>(04), p.1850039.</w:t>
      </w:r>
    </w:p>
    <w:p w14:paraId="2A813B36"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Henry, A. (2021). </w:t>
      </w:r>
      <w:r w:rsidRPr="0021062F">
        <w:rPr>
          <w:rFonts w:ascii="Arial" w:hAnsi="Arial" w:cs="Arial"/>
          <w:i/>
          <w:iCs/>
          <w:sz w:val="24"/>
          <w:szCs w:val="24"/>
          <w:shd w:val="clear" w:color="auto" w:fill="FFFFFF"/>
        </w:rPr>
        <w:t>Understanding strategic management</w:t>
      </w:r>
      <w:r w:rsidRPr="0021062F">
        <w:rPr>
          <w:rFonts w:ascii="Arial" w:hAnsi="Arial" w:cs="Arial"/>
          <w:sz w:val="24"/>
          <w:szCs w:val="24"/>
          <w:shd w:val="clear" w:color="auto" w:fill="FFFFFF"/>
        </w:rPr>
        <w:t>. Oxford University Press.</w:t>
      </w:r>
    </w:p>
    <w:p w14:paraId="3AC953F2"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Huemer, L. and Wang, X. (2021). Resource bundles and value creation: An analytical framework. </w:t>
      </w:r>
      <w:r w:rsidRPr="0021062F">
        <w:rPr>
          <w:rFonts w:ascii="Arial" w:hAnsi="Arial" w:cs="Arial"/>
          <w:i/>
          <w:iCs/>
          <w:sz w:val="24"/>
          <w:szCs w:val="24"/>
          <w:shd w:val="clear" w:color="auto" w:fill="FFFFFF"/>
        </w:rPr>
        <w:t>Journal of Business Research</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134</w:t>
      </w:r>
      <w:r w:rsidRPr="0021062F">
        <w:rPr>
          <w:rFonts w:ascii="Arial" w:hAnsi="Arial" w:cs="Arial"/>
          <w:sz w:val="24"/>
          <w:szCs w:val="24"/>
          <w:shd w:val="clear" w:color="auto" w:fill="FFFFFF"/>
        </w:rPr>
        <w:t>, pp.720-728.</w:t>
      </w:r>
    </w:p>
    <w:p w14:paraId="58A62FC6"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Hunger, J.D. (2020). Essentials of strategic management.</w:t>
      </w:r>
    </w:p>
    <w:p w14:paraId="7A8395FE"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Islami, X., Mustafa, N. and Topuzovska Latkovikj, M. (2020). Linking Porter’s generic strategies to firm performance. </w:t>
      </w:r>
      <w:r w:rsidRPr="0021062F">
        <w:rPr>
          <w:rFonts w:ascii="Arial" w:hAnsi="Arial" w:cs="Arial"/>
          <w:i/>
          <w:iCs/>
          <w:sz w:val="24"/>
          <w:szCs w:val="24"/>
          <w:shd w:val="clear" w:color="auto" w:fill="FFFFFF"/>
        </w:rPr>
        <w:t>Future Business Journal</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6</w:t>
      </w:r>
      <w:r w:rsidRPr="0021062F">
        <w:rPr>
          <w:rFonts w:ascii="Arial" w:hAnsi="Arial" w:cs="Arial"/>
          <w:sz w:val="24"/>
          <w:szCs w:val="24"/>
          <w:shd w:val="clear" w:color="auto" w:fill="FFFFFF"/>
        </w:rPr>
        <w:t>, pp.1-15.</w:t>
      </w:r>
    </w:p>
    <w:p w14:paraId="251E3406"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Johnson, G., Whittington, R., Regnér, P., Angwin, D. and Scholes, K. (2020). </w:t>
      </w:r>
      <w:r w:rsidRPr="0021062F">
        <w:rPr>
          <w:rFonts w:ascii="Arial" w:hAnsi="Arial" w:cs="Arial"/>
          <w:i/>
          <w:iCs/>
          <w:sz w:val="24"/>
          <w:szCs w:val="24"/>
          <w:shd w:val="clear" w:color="auto" w:fill="FFFFFF"/>
        </w:rPr>
        <w:t>Exploring strategy</w:t>
      </w:r>
      <w:r w:rsidRPr="0021062F">
        <w:rPr>
          <w:rFonts w:ascii="Arial" w:hAnsi="Arial" w:cs="Arial"/>
          <w:sz w:val="24"/>
          <w:szCs w:val="24"/>
          <w:shd w:val="clear" w:color="auto" w:fill="FFFFFF"/>
        </w:rPr>
        <w:t>. Pearson UK.</w:t>
      </w:r>
    </w:p>
    <w:p w14:paraId="12BEA2AC"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Mihajlović, V. and Miletić, V. (2022). Limiting factors of strategic positioning within established businesses. </w:t>
      </w:r>
      <w:r w:rsidRPr="0021062F">
        <w:rPr>
          <w:rFonts w:ascii="Arial" w:hAnsi="Arial" w:cs="Arial"/>
          <w:i/>
          <w:iCs/>
          <w:sz w:val="24"/>
          <w:szCs w:val="24"/>
          <w:shd w:val="clear" w:color="auto" w:fill="FFFFFF"/>
        </w:rPr>
        <w:t>Ekonomski signali: poslovni magazin</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17</w:t>
      </w:r>
      <w:r w:rsidRPr="0021062F">
        <w:rPr>
          <w:rFonts w:ascii="Arial" w:hAnsi="Arial" w:cs="Arial"/>
          <w:sz w:val="24"/>
          <w:szCs w:val="24"/>
          <w:shd w:val="clear" w:color="auto" w:fill="FFFFFF"/>
        </w:rPr>
        <w:t>(1), pp.107-119.</w:t>
      </w:r>
    </w:p>
    <w:p w14:paraId="367367D1"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Nguyen, T.S., Mohamed, S. and Panuwatwanich, K. (2018). Stakeholder Management in Complex Project: Review of Contemporary Literature. </w:t>
      </w:r>
      <w:r w:rsidRPr="0021062F">
        <w:rPr>
          <w:rFonts w:ascii="Arial" w:hAnsi="Arial" w:cs="Arial"/>
          <w:i/>
          <w:iCs/>
          <w:sz w:val="24"/>
          <w:szCs w:val="24"/>
          <w:shd w:val="clear" w:color="auto" w:fill="FFFFFF"/>
        </w:rPr>
        <w:t>Journal of Engineering, Project &amp; Production Management</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8</w:t>
      </w:r>
      <w:r w:rsidRPr="0021062F">
        <w:rPr>
          <w:rFonts w:ascii="Arial" w:hAnsi="Arial" w:cs="Arial"/>
          <w:sz w:val="24"/>
          <w:szCs w:val="24"/>
          <w:shd w:val="clear" w:color="auto" w:fill="FFFFFF"/>
        </w:rPr>
        <w:t>(2).</w:t>
      </w:r>
    </w:p>
    <w:p w14:paraId="046293C6"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Omsa, S., Abdullah, I.H. and Jamali, H. (2017). Five competitive forces model and the implementation of Porter’s generic strategies to gain firm performances.</w:t>
      </w:r>
    </w:p>
    <w:p w14:paraId="54CBB40C"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Perera, R. (2017). </w:t>
      </w:r>
      <w:r w:rsidRPr="0021062F">
        <w:rPr>
          <w:rFonts w:ascii="Arial" w:hAnsi="Arial" w:cs="Arial"/>
          <w:i/>
          <w:iCs/>
          <w:sz w:val="24"/>
          <w:szCs w:val="24"/>
          <w:shd w:val="clear" w:color="auto" w:fill="FFFFFF"/>
        </w:rPr>
        <w:t>The PESTLE analysis</w:t>
      </w:r>
      <w:r w:rsidRPr="0021062F">
        <w:rPr>
          <w:rFonts w:ascii="Arial" w:hAnsi="Arial" w:cs="Arial"/>
          <w:sz w:val="24"/>
          <w:szCs w:val="24"/>
          <w:shd w:val="clear" w:color="auto" w:fill="FFFFFF"/>
        </w:rPr>
        <w:t>. Nerdynaut.</w:t>
      </w:r>
    </w:p>
    <w:p w14:paraId="25C71524"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Phadermrod, B., Crowder, R.M. and Wills, G.B. (2019). Importance-performance analysis based SWOT analysis. </w:t>
      </w:r>
      <w:r w:rsidRPr="0021062F">
        <w:rPr>
          <w:rFonts w:ascii="Arial" w:hAnsi="Arial" w:cs="Arial"/>
          <w:i/>
          <w:iCs/>
          <w:sz w:val="24"/>
          <w:szCs w:val="24"/>
          <w:shd w:val="clear" w:color="auto" w:fill="FFFFFF"/>
        </w:rPr>
        <w:t>International journal of information management</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44</w:t>
      </w:r>
      <w:r w:rsidRPr="0021062F">
        <w:rPr>
          <w:rFonts w:ascii="Arial" w:hAnsi="Arial" w:cs="Arial"/>
          <w:sz w:val="24"/>
          <w:szCs w:val="24"/>
          <w:shd w:val="clear" w:color="auto" w:fill="FFFFFF"/>
        </w:rPr>
        <w:t>, pp.194-203.</w:t>
      </w:r>
    </w:p>
    <w:p w14:paraId="6182C551"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Sapapthai, S., Leelawat, N., Tang, J., Kodaka, A., Chintanapakdee, C., Ino, E. and Watanabe, K. (2020). A stakeholder analysis approach for area business continuity management: A systematic review. </w:t>
      </w:r>
      <w:r w:rsidRPr="0021062F">
        <w:rPr>
          <w:rFonts w:ascii="Arial" w:hAnsi="Arial" w:cs="Arial"/>
          <w:i/>
          <w:iCs/>
          <w:sz w:val="24"/>
          <w:szCs w:val="24"/>
          <w:shd w:val="clear" w:color="auto" w:fill="FFFFFF"/>
        </w:rPr>
        <w:t>Journal of Disaster Research</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15</w:t>
      </w:r>
      <w:r w:rsidRPr="0021062F">
        <w:rPr>
          <w:rFonts w:ascii="Arial" w:hAnsi="Arial" w:cs="Arial"/>
          <w:sz w:val="24"/>
          <w:szCs w:val="24"/>
          <w:shd w:val="clear" w:color="auto" w:fill="FFFFFF"/>
        </w:rPr>
        <w:t>(5), pp.588-598.</w:t>
      </w:r>
    </w:p>
    <w:p w14:paraId="70D899F3"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lastRenderedPageBreak/>
        <w:t>Tamam, A., Abdelkader, H. and Haroun, A. (2021), July. A new model for making valuable decisions through user social network profiles and insights. In </w:t>
      </w:r>
      <w:r w:rsidRPr="0021062F">
        <w:rPr>
          <w:rFonts w:ascii="Arial" w:hAnsi="Arial" w:cs="Arial"/>
          <w:i/>
          <w:iCs/>
          <w:sz w:val="24"/>
          <w:szCs w:val="24"/>
          <w:shd w:val="clear" w:color="auto" w:fill="FFFFFF"/>
        </w:rPr>
        <w:t>2021 International Conference on Electronic Engineering (ICEEM)</w:t>
      </w:r>
      <w:r w:rsidRPr="0021062F">
        <w:rPr>
          <w:rFonts w:ascii="Arial" w:hAnsi="Arial" w:cs="Arial"/>
          <w:sz w:val="24"/>
          <w:szCs w:val="24"/>
          <w:shd w:val="clear" w:color="auto" w:fill="FFFFFF"/>
        </w:rPr>
        <w:t> (pp. 1-8). IEEE.</w:t>
      </w:r>
    </w:p>
    <w:p w14:paraId="40970433"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Teoli, D., Sanvictores, T. and An, J. (2019). SWOT analysis.</w:t>
      </w:r>
    </w:p>
    <w:p w14:paraId="7C88FB5B"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Tsatsoula, E. (2018). Application of Ansoff's Matrix-Methodology: Marketing Growth Strategies For Products.</w:t>
      </w:r>
    </w:p>
    <w:p w14:paraId="2E1FC24D"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Villagrasa, J., Sánchez, F. and Donaldson, C. (2021). DECIPHERING THE STRATEGIC CLOCK HANDS: FROM THEORY TO REALITY. In </w:t>
      </w:r>
      <w:r w:rsidRPr="0021062F">
        <w:rPr>
          <w:rFonts w:ascii="Arial" w:hAnsi="Arial" w:cs="Arial"/>
          <w:i/>
          <w:iCs/>
          <w:sz w:val="24"/>
          <w:szCs w:val="24"/>
          <w:shd w:val="clear" w:color="auto" w:fill="FFFFFF"/>
        </w:rPr>
        <w:t>INTED2021 Proceedings</w:t>
      </w:r>
      <w:r w:rsidRPr="0021062F">
        <w:rPr>
          <w:rFonts w:ascii="Arial" w:hAnsi="Arial" w:cs="Arial"/>
          <w:sz w:val="24"/>
          <w:szCs w:val="24"/>
          <w:shd w:val="clear" w:color="auto" w:fill="FFFFFF"/>
        </w:rPr>
        <w:t> (pp. 9571-9584). IATED.</w:t>
      </w:r>
    </w:p>
    <w:p w14:paraId="136DE1B6"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Villagrasa, J., Sánchez, F. and Donaldson, C. (2022). HOW TO TEACH THE STRATEGIC CLOCK WITH A NUMERICAL METHODOLOGY: MAKE IT REAL, MAKE IT HAPPEN. In </w:t>
      </w:r>
      <w:r w:rsidRPr="0021062F">
        <w:rPr>
          <w:rFonts w:ascii="Arial" w:hAnsi="Arial" w:cs="Arial"/>
          <w:i/>
          <w:iCs/>
          <w:sz w:val="24"/>
          <w:szCs w:val="24"/>
          <w:shd w:val="clear" w:color="auto" w:fill="FFFFFF"/>
        </w:rPr>
        <w:t>INTED2022 Proceedings</w:t>
      </w:r>
      <w:r w:rsidRPr="0021062F">
        <w:rPr>
          <w:rFonts w:ascii="Arial" w:hAnsi="Arial" w:cs="Arial"/>
          <w:sz w:val="24"/>
          <w:szCs w:val="24"/>
          <w:shd w:val="clear" w:color="auto" w:fill="FFFFFF"/>
        </w:rPr>
        <w:t> (pp. 35-44). IATED.</w:t>
      </w:r>
    </w:p>
    <w:p w14:paraId="7978BF82"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Viltard, L.A. (2017). Strategic mistakes (AVOIDABLE) The topicality of Michel Porter’s generic strategies. </w:t>
      </w:r>
      <w:r w:rsidRPr="0021062F">
        <w:rPr>
          <w:rFonts w:ascii="Arial" w:hAnsi="Arial" w:cs="Arial"/>
          <w:i/>
          <w:iCs/>
          <w:sz w:val="24"/>
          <w:szCs w:val="24"/>
          <w:shd w:val="clear" w:color="auto" w:fill="FFFFFF"/>
        </w:rPr>
        <w:t>Independent Journal of Management &amp; Production</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8</w:t>
      </w:r>
      <w:r w:rsidRPr="0021062F">
        <w:rPr>
          <w:rFonts w:ascii="Arial" w:hAnsi="Arial" w:cs="Arial"/>
          <w:sz w:val="24"/>
          <w:szCs w:val="24"/>
          <w:shd w:val="clear" w:color="auto" w:fill="FFFFFF"/>
        </w:rPr>
        <w:t>(2), pp.474-497.</w:t>
      </w:r>
    </w:p>
    <w:p w14:paraId="2857C781"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Vlados, C. (2019). On a correlative and evolutionary SWOT analysis. </w:t>
      </w:r>
      <w:r w:rsidRPr="0021062F">
        <w:rPr>
          <w:rFonts w:ascii="Arial" w:hAnsi="Arial" w:cs="Arial"/>
          <w:i/>
          <w:iCs/>
          <w:sz w:val="24"/>
          <w:szCs w:val="24"/>
          <w:shd w:val="clear" w:color="auto" w:fill="FFFFFF"/>
        </w:rPr>
        <w:t>Journal of Strategy and Management</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12</w:t>
      </w:r>
      <w:r w:rsidRPr="0021062F">
        <w:rPr>
          <w:rFonts w:ascii="Arial" w:hAnsi="Arial" w:cs="Arial"/>
          <w:sz w:val="24"/>
          <w:szCs w:val="24"/>
          <w:shd w:val="clear" w:color="auto" w:fill="FFFFFF"/>
        </w:rPr>
        <w:t>(3), pp.347-363.</w:t>
      </w:r>
    </w:p>
    <w:p w14:paraId="4A8D5B48"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Waltz, T.J., Powell, B.J., Fernández, M.E., Abadie, B. and Damschroder, L.J. (2019). Choosing implementation strategies to address contextual barriers: diversity in recommendations and future directions. </w:t>
      </w:r>
      <w:r w:rsidRPr="0021062F">
        <w:rPr>
          <w:rFonts w:ascii="Arial" w:hAnsi="Arial" w:cs="Arial"/>
          <w:i/>
          <w:iCs/>
          <w:sz w:val="24"/>
          <w:szCs w:val="24"/>
          <w:shd w:val="clear" w:color="auto" w:fill="FFFFFF"/>
        </w:rPr>
        <w:t>Implementation science</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14</w:t>
      </w:r>
      <w:r w:rsidRPr="0021062F">
        <w:rPr>
          <w:rFonts w:ascii="Arial" w:hAnsi="Arial" w:cs="Arial"/>
          <w:sz w:val="24"/>
          <w:szCs w:val="24"/>
          <w:shd w:val="clear" w:color="auto" w:fill="FFFFFF"/>
        </w:rPr>
        <w:t>(1), pp.1-15.</w:t>
      </w:r>
    </w:p>
    <w:p w14:paraId="2BF3B492"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Wheelen, T.L., Hunger, J.D., Hoffman, A.N. and Bamford, C.E. (2017). </w:t>
      </w:r>
      <w:r w:rsidRPr="0021062F">
        <w:rPr>
          <w:rFonts w:ascii="Arial" w:hAnsi="Arial" w:cs="Arial"/>
          <w:i/>
          <w:iCs/>
          <w:sz w:val="24"/>
          <w:szCs w:val="24"/>
          <w:shd w:val="clear" w:color="auto" w:fill="FFFFFF"/>
        </w:rPr>
        <w:t>Strategic management and business policy</w:t>
      </w:r>
      <w:r w:rsidRPr="0021062F">
        <w:rPr>
          <w:rFonts w:ascii="Arial" w:hAnsi="Arial" w:cs="Arial"/>
          <w:sz w:val="24"/>
          <w:szCs w:val="24"/>
          <w:shd w:val="clear" w:color="auto" w:fill="FFFFFF"/>
        </w:rPr>
        <w:t> (Vol. 55). Boston: pearson.</w:t>
      </w:r>
    </w:p>
    <w:p w14:paraId="3F630F98" w14:textId="77777777" w:rsidR="0021062F" w:rsidRPr="0021062F" w:rsidRDefault="0021062F" w:rsidP="00AA78C3">
      <w:pPr>
        <w:spacing w:line="360" w:lineRule="auto"/>
        <w:jc w:val="both"/>
        <w:rPr>
          <w:rFonts w:ascii="Arial" w:hAnsi="Arial" w:cs="Arial"/>
          <w:sz w:val="24"/>
          <w:szCs w:val="24"/>
          <w:shd w:val="clear" w:color="auto" w:fill="FFFFFF"/>
        </w:rPr>
      </w:pPr>
      <w:r w:rsidRPr="0021062F">
        <w:rPr>
          <w:rFonts w:ascii="Arial" w:hAnsi="Arial" w:cs="Arial"/>
          <w:sz w:val="24"/>
          <w:szCs w:val="24"/>
          <w:shd w:val="clear" w:color="auto" w:fill="FFFFFF"/>
        </w:rPr>
        <w:t>Wojewnik-Filipkowska, A., Dziadkiewicz, A., Dryl, W., Dryl, T. and Bęben, R. (2021). Obstacles and challenges in applying stakeholder analysis to infrastructure projects: Is there a gap between stakeholder theory and practice?. </w:t>
      </w:r>
      <w:r w:rsidRPr="0021062F">
        <w:rPr>
          <w:rFonts w:ascii="Arial" w:hAnsi="Arial" w:cs="Arial"/>
          <w:i/>
          <w:iCs/>
          <w:sz w:val="24"/>
          <w:szCs w:val="24"/>
          <w:shd w:val="clear" w:color="auto" w:fill="FFFFFF"/>
        </w:rPr>
        <w:t>Journal of property investment &amp; finance</w:t>
      </w:r>
      <w:r w:rsidRPr="0021062F">
        <w:rPr>
          <w:rFonts w:ascii="Arial" w:hAnsi="Arial" w:cs="Arial"/>
          <w:sz w:val="24"/>
          <w:szCs w:val="24"/>
          <w:shd w:val="clear" w:color="auto" w:fill="FFFFFF"/>
        </w:rPr>
        <w:t>, </w:t>
      </w:r>
      <w:r w:rsidRPr="0021062F">
        <w:rPr>
          <w:rFonts w:ascii="Arial" w:hAnsi="Arial" w:cs="Arial"/>
          <w:i/>
          <w:iCs/>
          <w:sz w:val="24"/>
          <w:szCs w:val="24"/>
          <w:shd w:val="clear" w:color="auto" w:fill="FFFFFF"/>
        </w:rPr>
        <w:t>39</w:t>
      </w:r>
      <w:r w:rsidRPr="0021062F">
        <w:rPr>
          <w:rFonts w:ascii="Arial" w:hAnsi="Arial" w:cs="Arial"/>
          <w:sz w:val="24"/>
          <w:szCs w:val="24"/>
          <w:shd w:val="clear" w:color="auto" w:fill="FFFFFF"/>
        </w:rPr>
        <w:t>(3), pp.199-222.</w:t>
      </w:r>
    </w:p>
    <w:sectPr w:rsidR="0021062F" w:rsidRPr="0021062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5A065" w14:textId="77777777" w:rsidR="0094632C" w:rsidRDefault="0094632C" w:rsidP="00F1068A">
      <w:pPr>
        <w:spacing w:after="0" w:line="240" w:lineRule="auto"/>
      </w:pPr>
      <w:r>
        <w:separator/>
      </w:r>
    </w:p>
  </w:endnote>
  <w:endnote w:type="continuationSeparator" w:id="0">
    <w:p w14:paraId="44FCD963" w14:textId="77777777" w:rsidR="0094632C" w:rsidRDefault="0094632C" w:rsidP="00F106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3F0E2" w14:textId="77777777" w:rsidR="0094632C" w:rsidRDefault="0094632C" w:rsidP="00F1068A">
      <w:pPr>
        <w:spacing w:after="0" w:line="240" w:lineRule="auto"/>
      </w:pPr>
      <w:r>
        <w:separator/>
      </w:r>
    </w:p>
  </w:footnote>
  <w:footnote w:type="continuationSeparator" w:id="0">
    <w:p w14:paraId="5C55CCC5" w14:textId="77777777" w:rsidR="0094632C" w:rsidRDefault="0094632C" w:rsidP="00F106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8853738"/>
      <w:docPartObj>
        <w:docPartGallery w:val="Page Numbers (Top of Page)"/>
        <w:docPartUnique/>
      </w:docPartObj>
    </w:sdtPr>
    <w:sdtEndPr>
      <w:rPr>
        <w:noProof/>
      </w:rPr>
    </w:sdtEndPr>
    <w:sdtContent>
      <w:p w14:paraId="7E1E0F8D" w14:textId="77777777" w:rsidR="003F53EA" w:rsidRDefault="003F53EA">
        <w:pPr>
          <w:pStyle w:val="Header"/>
          <w:jc w:val="right"/>
        </w:pPr>
        <w:r>
          <w:fldChar w:fldCharType="begin"/>
        </w:r>
        <w:r>
          <w:instrText xml:space="preserve"> PAGE   \* MERGEFORMAT </w:instrText>
        </w:r>
        <w:r>
          <w:fldChar w:fldCharType="separate"/>
        </w:r>
        <w:r w:rsidR="00442422">
          <w:rPr>
            <w:noProof/>
          </w:rPr>
          <w:t>1</w:t>
        </w:r>
        <w:r>
          <w:rPr>
            <w:noProof/>
          </w:rPr>
          <w:fldChar w:fldCharType="end"/>
        </w:r>
      </w:p>
    </w:sdtContent>
  </w:sdt>
  <w:p w14:paraId="62479B04" w14:textId="77777777" w:rsidR="003F53EA" w:rsidRDefault="003F53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37905"/>
    <w:rsid w:val="00007DF2"/>
    <w:rsid w:val="00057186"/>
    <w:rsid w:val="000862A0"/>
    <w:rsid w:val="00142283"/>
    <w:rsid w:val="00164C84"/>
    <w:rsid w:val="0018373C"/>
    <w:rsid w:val="001E4F4E"/>
    <w:rsid w:val="0021062F"/>
    <w:rsid w:val="002115B3"/>
    <w:rsid w:val="0021785F"/>
    <w:rsid w:val="00232E1F"/>
    <w:rsid w:val="00236C4B"/>
    <w:rsid w:val="002541B0"/>
    <w:rsid w:val="00267995"/>
    <w:rsid w:val="00272D0F"/>
    <w:rsid w:val="00290FED"/>
    <w:rsid w:val="00295DDF"/>
    <w:rsid w:val="002D4A7D"/>
    <w:rsid w:val="002E28EE"/>
    <w:rsid w:val="002E4547"/>
    <w:rsid w:val="00306AA1"/>
    <w:rsid w:val="003169B4"/>
    <w:rsid w:val="00320DBB"/>
    <w:rsid w:val="00330636"/>
    <w:rsid w:val="003435C1"/>
    <w:rsid w:val="00343A98"/>
    <w:rsid w:val="003455D9"/>
    <w:rsid w:val="00346E5F"/>
    <w:rsid w:val="00350661"/>
    <w:rsid w:val="003A71EA"/>
    <w:rsid w:val="003B6D4E"/>
    <w:rsid w:val="003D0A5E"/>
    <w:rsid w:val="003E6FF9"/>
    <w:rsid w:val="003F53EA"/>
    <w:rsid w:val="003F6965"/>
    <w:rsid w:val="003F79B8"/>
    <w:rsid w:val="004064E8"/>
    <w:rsid w:val="00442422"/>
    <w:rsid w:val="00445606"/>
    <w:rsid w:val="004613A3"/>
    <w:rsid w:val="00464E8D"/>
    <w:rsid w:val="00470022"/>
    <w:rsid w:val="004A52BE"/>
    <w:rsid w:val="004B4648"/>
    <w:rsid w:val="004C287E"/>
    <w:rsid w:val="005072DE"/>
    <w:rsid w:val="00517764"/>
    <w:rsid w:val="00527009"/>
    <w:rsid w:val="0054450A"/>
    <w:rsid w:val="0056141A"/>
    <w:rsid w:val="005614C9"/>
    <w:rsid w:val="005A0D36"/>
    <w:rsid w:val="005B140C"/>
    <w:rsid w:val="005D1396"/>
    <w:rsid w:val="005E2339"/>
    <w:rsid w:val="005F30F4"/>
    <w:rsid w:val="006A7321"/>
    <w:rsid w:val="006C2631"/>
    <w:rsid w:val="006E2337"/>
    <w:rsid w:val="00712F67"/>
    <w:rsid w:val="00737905"/>
    <w:rsid w:val="00737CE3"/>
    <w:rsid w:val="007777A7"/>
    <w:rsid w:val="007F5A4F"/>
    <w:rsid w:val="00814F07"/>
    <w:rsid w:val="008210DF"/>
    <w:rsid w:val="00830FC9"/>
    <w:rsid w:val="008A02FA"/>
    <w:rsid w:val="008C1031"/>
    <w:rsid w:val="008C53A3"/>
    <w:rsid w:val="008C660B"/>
    <w:rsid w:val="00905061"/>
    <w:rsid w:val="0094632C"/>
    <w:rsid w:val="0095690E"/>
    <w:rsid w:val="00991752"/>
    <w:rsid w:val="009A56B1"/>
    <w:rsid w:val="009C65FA"/>
    <w:rsid w:val="009F2DD7"/>
    <w:rsid w:val="009F34AF"/>
    <w:rsid w:val="00A45FAC"/>
    <w:rsid w:val="00AA78C3"/>
    <w:rsid w:val="00AC447B"/>
    <w:rsid w:val="00AF4962"/>
    <w:rsid w:val="00B04CD0"/>
    <w:rsid w:val="00B23F62"/>
    <w:rsid w:val="00B335A9"/>
    <w:rsid w:val="00B700FE"/>
    <w:rsid w:val="00B70C7C"/>
    <w:rsid w:val="00B74DD2"/>
    <w:rsid w:val="00B976C9"/>
    <w:rsid w:val="00BA27B1"/>
    <w:rsid w:val="00BA6775"/>
    <w:rsid w:val="00BB067D"/>
    <w:rsid w:val="00BB3FD8"/>
    <w:rsid w:val="00BB7754"/>
    <w:rsid w:val="00BC5677"/>
    <w:rsid w:val="00BD5496"/>
    <w:rsid w:val="00BE6E5C"/>
    <w:rsid w:val="00C01065"/>
    <w:rsid w:val="00C21122"/>
    <w:rsid w:val="00C335D4"/>
    <w:rsid w:val="00C67EDD"/>
    <w:rsid w:val="00CA1BDF"/>
    <w:rsid w:val="00CA1ED0"/>
    <w:rsid w:val="00CE535B"/>
    <w:rsid w:val="00D12BBA"/>
    <w:rsid w:val="00D36433"/>
    <w:rsid w:val="00D51F7D"/>
    <w:rsid w:val="00D52BCE"/>
    <w:rsid w:val="00D555C4"/>
    <w:rsid w:val="00D95665"/>
    <w:rsid w:val="00DB4142"/>
    <w:rsid w:val="00DC1CBC"/>
    <w:rsid w:val="00DC48A5"/>
    <w:rsid w:val="00DD30B0"/>
    <w:rsid w:val="00E105C5"/>
    <w:rsid w:val="00E10DE0"/>
    <w:rsid w:val="00E81EA7"/>
    <w:rsid w:val="00E855F7"/>
    <w:rsid w:val="00EA4359"/>
    <w:rsid w:val="00F072DA"/>
    <w:rsid w:val="00F1068A"/>
    <w:rsid w:val="00F33BC1"/>
    <w:rsid w:val="00F50036"/>
    <w:rsid w:val="00F51BA2"/>
    <w:rsid w:val="00F55AB1"/>
    <w:rsid w:val="00F90BB1"/>
    <w:rsid w:val="00FB3AF7"/>
    <w:rsid w:val="00FE23F1"/>
    <w:rsid w:val="00FE67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86F19"/>
  <w15:docId w15:val="{A4738C7B-F874-4DF8-8FAB-2E5674B99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068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E6E5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3790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37905"/>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F10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68A"/>
  </w:style>
  <w:style w:type="paragraph" w:styleId="Footer">
    <w:name w:val="footer"/>
    <w:basedOn w:val="Normal"/>
    <w:link w:val="FooterChar"/>
    <w:uiPriority w:val="99"/>
    <w:unhideWhenUsed/>
    <w:rsid w:val="00F10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68A"/>
  </w:style>
  <w:style w:type="character" w:customStyle="1" w:styleId="Heading1Char">
    <w:name w:val="Heading 1 Char"/>
    <w:basedOn w:val="DefaultParagraphFont"/>
    <w:link w:val="Heading1"/>
    <w:uiPriority w:val="9"/>
    <w:rsid w:val="00F1068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E6E5C"/>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AA78C3"/>
    <w:rPr>
      <w:color w:val="0000FF" w:themeColor="hyperlink"/>
      <w:u w:val="single"/>
    </w:rPr>
  </w:style>
  <w:style w:type="paragraph" w:styleId="TOCHeading">
    <w:name w:val="TOC Heading"/>
    <w:basedOn w:val="Heading1"/>
    <w:next w:val="Normal"/>
    <w:uiPriority w:val="39"/>
    <w:semiHidden/>
    <w:unhideWhenUsed/>
    <w:qFormat/>
    <w:rsid w:val="0018373C"/>
    <w:pPr>
      <w:outlineLvl w:val="9"/>
    </w:pPr>
    <w:rPr>
      <w:lang w:val="en-US" w:eastAsia="ja-JP"/>
    </w:rPr>
  </w:style>
  <w:style w:type="paragraph" w:styleId="TOC1">
    <w:name w:val="toc 1"/>
    <w:basedOn w:val="Normal"/>
    <w:next w:val="Normal"/>
    <w:autoRedefine/>
    <w:uiPriority w:val="39"/>
    <w:unhideWhenUsed/>
    <w:rsid w:val="0018373C"/>
    <w:pPr>
      <w:spacing w:after="100"/>
    </w:pPr>
  </w:style>
  <w:style w:type="paragraph" w:styleId="TOC2">
    <w:name w:val="toc 2"/>
    <w:basedOn w:val="Normal"/>
    <w:next w:val="Normal"/>
    <w:autoRedefine/>
    <w:uiPriority w:val="39"/>
    <w:unhideWhenUsed/>
    <w:rsid w:val="0018373C"/>
    <w:pPr>
      <w:spacing w:after="100"/>
      <w:ind w:left="220"/>
    </w:pPr>
  </w:style>
  <w:style w:type="paragraph" w:styleId="BalloonText">
    <w:name w:val="Balloon Text"/>
    <w:basedOn w:val="Normal"/>
    <w:link w:val="BalloonTextChar"/>
    <w:uiPriority w:val="99"/>
    <w:semiHidden/>
    <w:unhideWhenUsed/>
    <w:rsid w:val="001837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373C"/>
    <w:rPr>
      <w:rFonts w:ascii="Tahoma" w:hAnsi="Tahoma" w:cs="Tahoma"/>
      <w:sz w:val="16"/>
      <w:szCs w:val="16"/>
    </w:rPr>
  </w:style>
  <w:style w:type="paragraph" w:styleId="NormalWeb">
    <w:name w:val="Normal (Web)"/>
    <w:basedOn w:val="Normal"/>
    <w:uiPriority w:val="99"/>
    <w:semiHidden/>
    <w:unhideWhenUsed/>
    <w:rsid w:val="0018373C"/>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1837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081223">
      <w:bodyDiv w:val="1"/>
      <w:marLeft w:val="0"/>
      <w:marRight w:val="0"/>
      <w:marTop w:val="0"/>
      <w:marBottom w:val="0"/>
      <w:divBdr>
        <w:top w:val="none" w:sz="0" w:space="0" w:color="auto"/>
        <w:left w:val="none" w:sz="0" w:space="0" w:color="auto"/>
        <w:bottom w:val="none" w:sz="0" w:space="0" w:color="auto"/>
        <w:right w:val="none" w:sz="0" w:space="0" w:color="auto"/>
      </w:divBdr>
    </w:div>
    <w:div w:id="564997708">
      <w:bodyDiv w:val="1"/>
      <w:marLeft w:val="0"/>
      <w:marRight w:val="0"/>
      <w:marTop w:val="0"/>
      <w:marBottom w:val="0"/>
      <w:divBdr>
        <w:top w:val="none" w:sz="0" w:space="0" w:color="auto"/>
        <w:left w:val="none" w:sz="0" w:space="0" w:color="auto"/>
        <w:bottom w:val="none" w:sz="0" w:space="0" w:color="auto"/>
        <w:right w:val="none" w:sz="0" w:space="0" w:color="auto"/>
      </w:divBdr>
    </w:div>
    <w:div w:id="964392105">
      <w:bodyDiv w:val="1"/>
      <w:marLeft w:val="0"/>
      <w:marRight w:val="0"/>
      <w:marTop w:val="0"/>
      <w:marBottom w:val="0"/>
      <w:divBdr>
        <w:top w:val="none" w:sz="0" w:space="0" w:color="auto"/>
        <w:left w:val="none" w:sz="0" w:space="0" w:color="auto"/>
        <w:bottom w:val="none" w:sz="0" w:space="0" w:color="auto"/>
        <w:right w:val="none" w:sz="0" w:space="0" w:color="auto"/>
      </w:divBdr>
    </w:div>
    <w:div w:id="998196114">
      <w:bodyDiv w:val="1"/>
      <w:marLeft w:val="0"/>
      <w:marRight w:val="0"/>
      <w:marTop w:val="0"/>
      <w:marBottom w:val="0"/>
      <w:divBdr>
        <w:top w:val="none" w:sz="0" w:space="0" w:color="auto"/>
        <w:left w:val="none" w:sz="0" w:space="0" w:color="auto"/>
        <w:bottom w:val="none" w:sz="0" w:space="0" w:color="auto"/>
        <w:right w:val="none" w:sz="0" w:space="0" w:color="auto"/>
      </w:divBdr>
    </w:div>
    <w:div w:id="1096561800">
      <w:bodyDiv w:val="1"/>
      <w:marLeft w:val="0"/>
      <w:marRight w:val="0"/>
      <w:marTop w:val="0"/>
      <w:marBottom w:val="0"/>
      <w:divBdr>
        <w:top w:val="none" w:sz="0" w:space="0" w:color="auto"/>
        <w:left w:val="none" w:sz="0" w:space="0" w:color="auto"/>
        <w:bottom w:val="none" w:sz="0" w:space="0" w:color="auto"/>
        <w:right w:val="none" w:sz="0" w:space="0" w:color="auto"/>
      </w:divBdr>
    </w:div>
    <w:div w:id="1485001484">
      <w:bodyDiv w:val="1"/>
      <w:marLeft w:val="0"/>
      <w:marRight w:val="0"/>
      <w:marTop w:val="0"/>
      <w:marBottom w:val="0"/>
      <w:divBdr>
        <w:top w:val="none" w:sz="0" w:space="0" w:color="auto"/>
        <w:left w:val="none" w:sz="0" w:space="0" w:color="auto"/>
        <w:bottom w:val="none" w:sz="0" w:space="0" w:color="auto"/>
        <w:right w:val="none" w:sz="0" w:space="0" w:color="auto"/>
      </w:divBdr>
    </w:div>
    <w:div w:id="1564876156">
      <w:bodyDiv w:val="1"/>
      <w:marLeft w:val="0"/>
      <w:marRight w:val="0"/>
      <w:marTop w:val="0"/>
      <w:marBottom w:val="0"/>
      <w:divBdr>
        <w:top w:val="none" w:sz="0" w:space="0" w:color="auto"/>
        <w:left w:val="none" w:sz="0" w:space="0" w:color="auto"/>
        <w:bottom w:val="none" w:sz="0" w:space="0" w:color="auto"/>
        <w:right w:val="none" w:sz="0" w:space="0" w:color="auto"/>
      </w:divBdr>
    </w:div>
    <w:div w:id="1686514048">
      <w:bodyDiv w:val="1"/>
      <w:marLeft w:val="0"/>
      <w:marRight w:val="0"/>
      <w:marTop w:val="0"/>
      <w:marBottom w:val="0"/>
      <w:divBdr>
        <w:top w:val="none" w:sz="0" w:space="0" w:color="auto"/>
        <w:left w:val="none" w:sz="0" w:space="0" w:color="auto"/>
        <w:bottom w:val="none" w:sz="0" w:space="0" w:color="auto"/>
        <w:right w:val="none" w:sz="0" w:space="0" w:color="auto"/>
      </w:divBdr>
    </w:div>
    <w:div w:id="1775326601">
      <w:bodyDiv w:val="1"/>
      <w:marLeft w:val="0"/>
      <w:marRight w:val="0"/>
      <w:marTop w:val="0"/>
      <w:marBottom w:val="0"/>
      <w:divBdr>
        <w:top w:val="none" w:sz="0" w:space="0" w:color="auto"/>
        <w:left w:val="none" w:sz="0" w:space="0" w:color="auto"/>
        <w:bottom w:val="none" w:sz="0" w:space="0" w:color="auto"/>
        <w:right w:val="none" w:sz="0" w:space="0" w:color="auto"/>
      </w:divBdr>
    </w:div>
    <w:div w:id="1963150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tacor-pharma.com/about-us"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D8BD70-AA6C-46A4-9132-742D9A61A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568</TotalTime>
  <Pages>25</Pages>
  <Words>6053</Words>
  <Characters>34504</Characters>
  <Application>Microsoft Office Word</Application>
  <DocSecurity>0</DocSecurity>
  <Lines>287</Lines>
  <Paragraphs>80</Paragraphs>
  <ScaleCrop>false</ScaleCrop>
  <HeadingPairs>
    <vt:vector size="4" baseType="variant">
      <vt:variant>
        <vt:lpstr>Title</vt:lpstr>
      </vt:variant>
      <vt:variant>
        <vt:i4>1</vt:i4>
      </vt:variant>
      <vt:variant>
        <vt:lpstr>Headings</vt:lpstr>
      </vt:variant>
      <vt:variant>
        <vt:i4>29</vt:i4>
      </vt:variant>
    </vt:vector>
  </HeadingPairs>
  <TitlesOfParts>
    <vt:vector size="30" baseType="lpstr">
      <vt:lpstr/>
      <vt:lpstr/>
      <vt:lpstr/>
      <vt:lpstr/>
      <vt:lpstr/>
      <vt:lpstr/>
      <vt:lpstr/>
      <vt:lpstr>Introduction</vt:lpstr>
      <vt:lpstr/>
      <vt:lpstr>Strategic Direction of Altacor </vt:lpstr>
      <vt:lpstr/>
      <vt:lpstr>Internal and External Environmental Analysis of Altacor </vt:lpstr>
      <vt:lpstr>    SWOT Analysis</vt:lpstr>
      <vt:lpstr>    PESTLE Analysis</vt:lpstr>
      <vt:lpstr>    VRIN Framework</vt:lpstr>
      <vt:lpstr>Sustainable Strategy for the Long-Term Future of Altacor </vt:lpstr>
      <vt:lpstr>    Porter’s Generic Strategies</vt:lpstr>
      <vt:lpstr>    </vt:lpstr>
      <vt:lpstr>    </vt:lpstr>
      <vt:lpstr>    Ansoff’s Matrix</vt:lpstr>
      <vt:lpstr>    Bowman’s Strategy Clock</vt:lpstr>
      <vt:lpstr>Stakeholder Analysis of Altacor</vt:lpstr>
      <vt:lpstr>    Mendelow’s Matrix</vt:lpstr>
      <vt:lpstr>Key Strategic Recommendations for Altacor for Future Developments </vt:lpstr>
      <vt:lpstr>Conclusion</vt:lpstr>
      <vt:lpstr/>
      <vt:lpstr/>
      <vt:lpstr/>
      <vt:lpstr/>
      <vt:lpstr>Reference List</vt:lpstr>
    </vt:vector>
  </TitlesOfParts>
  <Company/>
  <LinksUpToDate>false</LinksUpToDate>
  <CharactersWithSpaces>40477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gk</dc:creator>
  <cp:lastModifiedBy>Cristian Iulian Iliusi</cp:lastModifiedBy>
  <cp:revision>107</cp:revision>
  <dcterms:created xsi:type="dcterms:W3CDTF">2023-03-28T09:26:00Z</dcterms:created>
  <dcterms:modified xsi:type="dcterms:W3CDTF">2023-05-02T16:55:00Z</dcterms:modified>
</cp:coreProperties>
</file>