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019891"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43019892"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43019893"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43019894"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02F80806" w14:textId="5923A21B" w:rsidR="0031199A" w:rsidRPr="0031199A" w:rsidRDefault="0031199A" w:rsidP="0031199A">
      <w:pPr>
        <w:pStyle w:val="Normal1"/>
        <w:spacing w:before="200" w:after="200"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w:t>
      </w:r>
      <w:r w:rsidRPr="0031199A">
        <w:rPr>
          <w:rFonts w:ascii="Times New Roman" w:eastAsia="Times New Roman" w:hAnsi="Times New Roman" w:cs="Times New Roman"/>
          <w:b/>
          <w:sz w:val="32"/>
          <w:szCs w:val="32"/>
          <w:lang w:val="en-GB"/>
        </w:rPr>
        <w:t>Neexit Puri</w:t>
      </w:r>
    </w:p>
    <w:p w14:paraId="43019895" w14:textId="5E0B7BDE" w:rsidR="00B25456" w:rsidRPr="006218C3" w:rsidRDefault="0031199A" w:rsidP="0031199A">
      <w:pPr>
        <w:pStyle w:val="Normal1"/>
        <w:spacing w:before="200" w:after="200" w:line="240" w:lineRule="auto"/>
        <w:jc w:val="center"/>
        <w:rPr>
          <w:rFonts w:ascii="Times New Roman" w:eastAsia="Times New Roman" w:hAnsi="Times New Roman" w:cs="Times New Roman"/>
          <w:b/>
          <w:sz w:val="32"/>
          <w:szCs w:val="32"/>
          <w:lang w:val="en-GB"/>
        </w:rPr>
      </w:pPr>
      <w:r w:rsidRPr="0031199A">
        <w:rPr>
          <w:rFonts w:ascii="Times New Roman" w:eastAsia="Times New Roman" w:hAnsi="Times New Roman" w:cs="Times New Roman"/>
          <w:b/>
          <w:sz w:val="32"/>
          <w:szCs w:val="32"/>
          <w:lang w:val="en-GB"/>
        </w:rPr>
        <w:t>Student I'd</w:t>
      </w:r>
      <w:r>
        <w:rPr>
          <w:rFonts w:ascii="Times New Roman" w:eastAsia="Times New Roman" w:hAnsi="Times New Roman" w:cs="Times New Roman"/>
          <w:b/>
          <w:sz w:val="32"/>
          <w:szCs w:val="32"/>
          <w:lang w:val="en-GB"/>
        </w:rPr>
        <w:t>:</w:t>
      </w:r>
      <w:bookmarkStart w:id="0" w:name="_GoBack"/>
      <w:bookmarkEnd w:id="0"/>
      <w:r w:rsidRPr="0031199A">
        <w:rPr>
          <w:rFonts w:ascii="Times New Roman" w:eastAsia="Times New Roman" w:hAnsi="Times New Roman" w:cs="Times New Roman"/>
          <w:b/>
          <w:sz w:val="32"/>
          <w:szCs w:val="32"/>
          <w:lang w:val="en-GB"/>
        </w:rPr>
        <w:t xml:space="preserve"> 2225662</w:t>
      </w:r>
    </w:p>
    <w:p w14:paraId="43019896"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43019897" w14:textId="77777777" w:rsidR="00B25456" w:rsidRPr="006218C3" w:rsidRDefault="00B25456" w:rsidP="004C4AFF">
      <w:pPr>
        <w:pStyle w:val="Normal1"/>
        <w:spacing w:before="200" w:after="200" w:line="360" w:lineRule="auto"/>
        <w:jc w:val="center"/>
        <w:rPr>
          <w:rFonts w:ascii="Times New Roman" w:eastAsia="Times New Roman" w:hAnsi="Times New Roman" w:cs="Times New Roman"/>
          <w:b/>
          <w:sz w:val="32"/>
          <w:szCs w:val="32"/>
          <w:lang w:val="en-GB"/>
        </w:rPr>
      </w:pPr>
    </w:p>
    <w:p w14:paraId="43019898" w14:textId="77777777" w:rsidR="00B25456" w:rsidRPr="006218C3" w:rsidRDefault="00A3548F" w:rsidP="004C4AFF">
      <w:pPr>
        <w:pStyle w:val="Normal1"/>
        <w:spacing w:before="200" w:after="200" w:line="360" w:lineRule="auto"/>
        <w:jc w:val="center"/>
        <w:rPr>
          <w:rFonts w:ascii="Times New Roman" w:eastAsia="Times New Roman" w:hAnsi="Times New Roman" w:cs="Times New Roman"/>
          <w:b/>
          <w:sz w:val="32"/>
          <w:szCs w:val="32"/>
          <w:lang w:val="en-GB"/>
        </w:rPr>
      </w:pPr>
      <w:r w:rsidRPr="006218C3">
        <w:rPr>
          <w:rFonts w:ascii="Times New Roman" w:eastAsia="Times New Roman" w:hAnsi="Times New Roman" w:cs="Times New Roman"/>
          <w:b/>
          <w:sz w:val="32"/>
          <w:szCs w:val="32"/>
          <w:lang w:val="en-GB"/>
        </w:rPr>
        <w:t>WALES COMPANY</w:t>
      </w:r>
      <w:r w:rsidRPr="006218C3">
        <w:rPr>
          <w:rFonts w:ascii="Times New Roman" w:hAnsi="Times New Roman" w:cs="Times New Roman"/>
          <w:lang w:val="en-GB"/>
        </w:rPr>
        <w:br w:type="page"/>
      </w:r>
    </w:p>
    <w:p w14:paraId="43019899" w14:textId="77777777" w:rsidR="00C52C44" w:rsidRPr="006218C3" w:rsidRDefault="00A3548F" w:rsidP="004C4AFF">
      <w:pPr>
        <w:pStyle w:val="Normal1"/>
        <w:spacing w:before="200" w:after="200" w:line="360" w:lineRule="auto"/>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lastRenderedPageBreak/>
        <w:t>Executive Summary</w:t>
      </w:r>
    </w:p>
    <w:p w14:paraId="4301989A" w14:textId="5760C3DF" w:rsidR="00B25456" w:rsidRPr="006218C3" w:rsidRDefault="001C30B0" w:rsidP="00C52C44">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The first part of the report involves ratio analysis has been performed within a study to assess financial performance of Next Plc. 4 different types of ratios such as profitability ratio, liquidity ratio, efficiency ratio, and solvency ratio have taken place within the study. In addition, limitation of ratio like change in management does not consider inflationary environments and based on past data also discussed within the study to elaborate financial performance of Next Plc.</w:t>
      </w:r>
      <w:r w:rsidR="006218C3" w:rsidRPr="006218C3">
        <w:rPr>
          <w:rFonts w:ascii="Times New Roman" w:eastAsia="Times New Roman" w:hAnsi="Times New Roman" w:cs="Times New Roman"/>
          <w:sz w:val="24"/>
          <w:szCs w:val="24"/>
          <w:lang w:val="en-GB"/>
        </w:rPr>
        <w:t xml:space="preserve"> </w:t>
      </w:r>
      <w:r w:rsidR="00C52C44" w:rsidRPr="006218C3">
        <w:rPr>
          <w:rFonts w:ascii="Times New Roman" w:eastAsia="Times New Roman" w:hAnsi="Times New Roman" w:cs="Times New Roman"/>
          <w:sz w:val="24"/>
          <w:szCs w:val="24"/>
          <w:lang w:val="en-GB"/>
        </w:rPr>
        <w:t>The second part of the report involves evaluating investment options for “Wales Company”. In order to take the decision, NPV, PP, &amp; IRR have been calculated. Theoretical arguments are included for selecting NPV as the best investment appraisal method. Other factors to be considered at the time of making an investment decision are discussed. Primary advantages &amp; disadvantages of both strategies are presented.</w:t>
      </w:r>
      <w:r w:rsidR="00A3548F" w:rsidRPr="006218C3">
        <w:rPr>
          <w:rFonts w:ascii="Times New Roman" w:hAnsi="Times New Roman" w:cs="Times New Roman"/>
          <w:lang w:val="en-GB"/>
        </w:rPr>
        <w:br w:type="page"/>
      </w:r>
    </w:p>
    <w:p w14:paraId="4301989B" w14:textId="77777777" w:rsidR="00C52C44" w:rsidRPr="006218C3" w:rsidRDefault="00A3548F" w:rsidP="004C4AFF">
      <w:pPr>
        <w:pStyle w:val="Normal1"/>
        <w:spacing w:before="200" w:after="200" w:line="360" w:lineRule="auto"/>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lastRenderedPageBreak/>
        <w:t>Table of Contents</w:t>
      </w:r>
    </w:p>
    <w:p w14:paraId="4301989C" w14:textId="77777777" w:rsidR="0031543D" w:rsidRPr="006218C3" w:rsidRDefault="00F62F59" w:rsidP="0031543D">
      <w:pPr>
        <w:pStyle w:val="TOC1"/>
        <w:rPr>
          <w:rFonts w:ascii="Times New Roman" w:eastAsiaTheme="minorEastAsia" w:hAnsi="Times New Roman" w:cs="Times New Roman"/>
          <w:noProof/>
          <w:sz w:val="24"/>
          <w:lang w:val="en-GB"/>
        </w:rPr>
      </w:pPr>
      <w:r w:rsidRPr="006218C3">
        <w:rPr>
          <w:rFonts w:ascii="Times New Roman" w:hAnsi="Times New Roman" w:cs="Times New Roman"/>
          <w:lang w:val="en-GB"/>
        </w:rPr>
        <w:fldChar w:fldCharType="begin"/>
      </w:r>
      <w:r w:rsidR="00C52C44" w:rsidRPr="006218C3">
        <w:rPr>
          <w:rFonts w:ascii="Times New Roman" w:hAnsi="Times New Roman" w:cs="Times New Roman"/>
          <w:lang w:val="en-GB"/>
        </w:rPr>
        <w:instrText xml:space="preserve"> TOC \o "1-3" \h \z \u </w:instrText>
      </w:r>
      <w:r w:rsidRPr="006218C3">
        <w:rPr>
          <w:rFonts w:ascii="Times New Roman" w:hAnsi="Times New Roman" w:cs="Times New Roman"/>
          <w:lang w:val="en-GB"/>
        </w:rPr>
        <w:fldChar w:fldCharType="separate"/>
      </w:r>
      <w:hyperlink w:anchor="_Toc128065899" w:history="1">
        <w:r w:rsidR="0031543D" w:rsidRPr="006218C3">
          <w:rPr>
            <w:rStyle w:val="Hyperlink"/>
            <w:rFonts w:ascii="Times New Roman" w:hAnsi="Times New Roman" w:cs="Times New Roman"/>
            <w:noProof/>
            <w:sz w:val="24"/>
            <w:lang w:val="en-GB"/>
          </w:rPr>
          <w:t>Part 1 – “Financial Statement Analysis and Presentation”:</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_Toc128065899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3</w:t>
        </w:r>
        <w:r w:rsidR="0031543D" w:rsidRPr="006218C3">
          <w:rPr>
            <w:rFonts w:ascii="Times New Roman" w:hAnsi="Times New Roman" w:cs="Times New Roman"/>
            <w:noProof/>
            <w:webHidden/>
            <w:sz w:val="24"/>
            <w:lang w:val="en-GB"/>
          </w:rPr>
          <w:fldChar w:fldCharType="end"/>
        </w:r>
      </w:hyperlink>
    </w:p>
    <w:p w14:paraId="4301989D"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0" w:history="1">
        <w:r w:rsidR="0031543D" w:rsidRPr="006218C3">
          <w:rPr>
            <w:rStyle w:val="Hyperlink"/>
            <w:rFonts w:ascii="Times New Roman" w:hAnsi="Times New Roman" w:cs="Times New Roman"/>
            <w:noProof/>
            <w:sz w:val="24"/>
            <w:lang w:val="en-GB"/>
          </w:rPr>
          <w:t>A. Company Overview:</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_Toc128065900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3</w:t>
        </w:r>
        <w:r w:rsidR="0031543D" w:rsidRPr="006218C3">
          <w:rPr>
            <w:rFonts w:ascii="Times New Roman" w:hAnsi="Times New Roman" w:cs="Times New Roman"/>
            <w:noProof/>
            <w:webHidden/>
            <w:sz w:val="24"/>
            <w:lang w:val="en-GB"/>
          </w:rPr>
          <w:fldChar w:fldCharType="end"/>
        </w:r>
      </w:hyperlink>
    </w:p>
    <w:p w14:paraId="4301989E"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1" w:history="1">
        <w:r w:rsidR="0031543D" w:rsidRPr="006218C3">
          <w:rPr>
            <w:rStyle w:val="Hyperlink"/>
            <w:rFonts w:ascii="Times New Roman" w:hAnsi="Times New Roman" w:cs="Times New Roman"/>
            <w:noProof/>
            <w:sz w:val="24"/>
            <w:lang w:val="en-GB"/>
          </w:rPr>
          <w:t>B. Ratio analysis and it limitaion</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_Toc128065901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3</w:t>
        </w:r>
        <w:r w:rsidR="0031543D" w:rsidRPr="006218C3">
          <w:rPr>
            <w:rFonts w:ascii="Times New Roman" w:hAnsi="Times New Roman" w:cs="Times New Roman"/>
            <w:noProof/>
            <w:webHidden/>
            <w:sz w:val="24"/>
            <w:lang w:val="en-GB"/>
          </w:rPr>
          <w:fldChar w:fldCharType="end"/>
        </w:r>
      </w:hyperlink>
    </w:p>
    <w:p w14:paraId="4301989F"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2" w:history="1">
        <w:r w:rsidR="0031543D" w:rsidRPr="006218C3">
          <w:rPr>
            <w:rStyle w:val="Hyperlink"/>
            <w:rFonts w:ascii="Times New Roman" w:hAnsi="Times New Roman" w:cs="Times New Roman"/>
            <w:noProof/>
            <w:sz w:val="24"/>
            <w:lang w:val="en-GB"/>
          </w:rPr>
          <w:t>C. Recommendation:</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_Toc128065902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16</w:t>
        </w:r>
        <w:r w:rsidR="0031543D" w:rsidRPr="006218C3">
          <w:rPr>
            <w:rFonts w:ascii="Times New Roman" w:hAnsi="Times New Roman" w:cs="Times New Roman"/>
            <w:noProof/>
            <w:webHidden/>
            <w:sz w:val="24"/>
            <w:lang w:val="en-GB"/>
          </w:rPr>
          <w:fldChar w:fldCharType="end"/>
        </w:r>
      </w:hyperlink>
    </w:p>
    <w:p w14:paraId="430198A0"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3" w:history="1">
        <w:r w:rsidR="0031543D" w:rsidRPr="006218C3">
          <w:rPr>
            <w:rStyle w:val="Hyperlink"/>
            <w:rFonts w:ascii="Times New Roman" w:hAnsi="Times New Roman" w:cs="Times New Roman"/>
            <w:noProof/>
            <w:sz w:val="24"/>
            <w:lang w:val="en-GB"/>
          </w:rPr>
          <w:t>Part 2 – “Wales Company Investment Programme”:</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_Toc128065903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18</w:t>
        </w:r>
        <w:r w:rsidR="0031543D" w:rsidRPr="006218C3">
          <w:rPr>
            <w:rFonts w:ascii="Times New Roman" w:hAnsi="Times New Roman" w:cs="Times New Roman"/>
            <w:noProof/>
            <w:webHidden/>
            <w:sz w:val="24"/>
            <w:lang w:val="en-GB"/>
          </w:rPr>
          <w:fldChar w:fldCharType="end"/>
        </w:r>
      </w:hyperlink>
    </w:p>
    <w:p w14:paraId="430198A1"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4" w:history="1">
        <w:r w:rsidR="0031543D" w:rsidRPr="006218C3">
          <w:rPr>
            <w:rStyle w:val="Hyperlink"/>
            <w:rFonts w:ascii="Times New Roman" w:hAnsi="Times New Roman" w:cs="Times New Roman"/>
            <w:noProof/>
            <w:sz w:val="24"/>
            <w:lang w:val="en-GB"/>
          </w:rPr>
          <w:t>A. Introduction:</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_Toc128065904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18</w:t>
        </w:r>
        <w:r w:rsidR="0031543D" w:rsidRPr="006218C3">
          <w:rPr>
            <w:rFonts w:ascii="Times New Roman" w:hAnsi="Times New Roman" w:cs="Times New Roman"/>
            <w:noProof/>
            <w:webHidden/>
            <w:sz w:val="24"/>
            <w:lang w:val="en-GB"/>
          </w:rPr>
          <w:fldChar w:fldCharType="end"/>
        </w:r>
      </w:hyperlink>
    </w:p>
    <w:p w14:paraId="430198A2"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5" w:history="1">
        <w:r w:rsidR="0031543D" w:rsidRPr="006218C3">
          <w:rPr>
            <w:rStyle w:val="Hyperlink"/>
            <w:rFonts w:ascii="Times New Roman" w:hAnsi="Times New Roman" w:cs="Times New Roman"/>
            <w:noProof/>
            <w:sz w:val="24"/>
            <w:lang w:val="en-GB"/>
          </w:rPr>
          <w:t>B. Evaluation through NPV:</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_Toc128065905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18</w:t>
        </w:r>
        <w:r w:rsidR="0031543D" w:rsidRPr="006218C3">
          <w:rPr>
            <w:rFonts w:ascii="Times New Roman" w:hAnsi="Times New Roman" w:cs="Times New Roman"/>
            <w:noProof/>
            <w:webHidden/>
            <w:sz w:val="24"/>
            <w:lang w:val="en-GB"/>
          </w:rPr>
          <w:fldChar w:fldCharType="end"/>
        </w:r>
      </w:hyperlink>
    </w:p>
    <w:p w14:paraId="430198A3"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6" w:history="1">
        <w:r w:rsidR="0031543D" w:rsidRPr="006218C3">
          <w:rPr>
            <w:rStyle w:val="Hyperlink"/>
            <w:rFonts w:ascii="Times New Roman" w:hAnsi="Times New Roman" w:cs="Times New Roman"/>
            <w:noProof/>
            <w:sz w:val="24"/>
            <w:lang w:val="en-GB"/>
          </w:rPr>
          <w:t>C. Evaluation through Payback:</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_Toc128065906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19</w:t>
        </w:r>
        <w:r w:rsidR="0031543D" w:rsidRPr="006218C3">
          <w:rPr>
            <w:rFonts w:ascii="Times New Roman" w:hAnsi="Times New Roman" w:cs="Times New Roman"/>
            <w:noProof/>
            <w:webHidden/>
            <w:sz w:val="24"/>
            <w:lang w:val="en-GB"/>
          </w:rPr>
          <w:fldChar w:fldCharType="end"/>
        </w:r>
      </w:hyperlink>
    </w:p>
    <w:p w14:paraId="430198A4"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7" w:history="1">
        <w:r w:rsidR="0031543D" w:rsidRPr="006218C3">
          <w:rPr>
            <w:rStyle w:val="Hyperlink"/>
            <w:rFonts w:ascii="Times New Roman" w:hAnsi="Times New Roman" w:cs="Times New Roman"/>
            <w:noProof/>
            <w:sz w:val="24"/>
            <w:lang w:val="en-GB"/>
          </w:rPr>
          <w:t>D. Evaluation through IRR:</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_Toc128065907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21</w:t>
        </w:r>
        <w:r w:rsidR="0031543D" w:rsidRPr="006218C3">
          <w:rPr>
            <w:rFonts w:ascii="Times New Roman" w:hAnsi="Times New Roman" w:cs="Times New Roman"/>
            <w:noProof/>
            <w:webHidden/>
            <w:sz w:val="24"/>
            <w:lang w:val="en-GB"/>
          </w:rPr>
          <w:fldChar w:fldCharType="end"/>
        </w:r>
      </w:hyperlink>
    </w:p>
    <w:p w14:paraId="430198A5"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8" w:history="1">
        <w:r w:rsidR="0031543D" w:rsidRPr="006218C3">
          <w:rPr>
            <w:rStyle w:val="Hyperlink"/>
            <w:rFonts w:ascii="Times New Roman" w:hAnsi="Times New Roman" w:cs="Times New Roman"/>
            <w:noProof/>
            <w:sz w:val="24"/>
            <w:lang w:val="en-GB"/>
          </w:rPr>
          <w:t>E. Interpretation of results:</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_Toc128065908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23</w:t>
        </w:r>
        <w:r w:rsidR="0031543D" w:rsidRPr="006218C3">
          <w:rPr>
            <w:rFonts w:ascii="Times New Roman" w:hAnsi="Times New Roman" w:cs="Times New Roman"/>
            <w:noProof/>
            <w:webHidden/>
            <w:sz w:val="24"/>
            <w:lang w:val="en-GB"/>
          </w:rPr>
          <w:fldChar w:fldCharType="end"/>
        </w:r>
      </w:hyperlink>
    </w:p>
    <w:p w14:paraId="430198A6"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09" w:history="1">
        <w:r w:rsidR="0031543D" w:rsidRPr="006218C3">
          <w:rPr>
            <w:rStyle w:val="Hyperlink"/>
            <w:rFonts w:ascii="Times New Roman" w:hAnsi="Times New Roman" w:cs="Times New Roman"/>
            <w:noProof/>
            <w:sz w:val="24"/>
            <w:lang w:val="en-GB"/>
          </w:rPr>
          <w:t>F. Recommendation to the company:</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_Toc128065909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24</w:t>
        </w:r>
        <w:r w:rsidR="0031543D" w:rsidRPr="006218C3">
          <w:rPr>
            <w:rFonts w:ascii="Times New Roman" w:hAnsi="Times New Roman" w:cs="Times New Roman"/>
            <w:noProof/>
            <w:webHidden/>
            <w:sz w:val="24"/>
            <w:lang w:val="en-GB"/>
          </w:rPr>
          <w:fldChar w:fldCharType="end"/>
        </w:r>
      </w:hyperlink>
    </w:p>
    <w:p w14:paraId="430198A7"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10" w:history="1">
        <w:r w:rsidR="0031543D" w:rsidRPr="006218C3">
          <w:rPr>
            <w:rStyle w:val="Hyperlink"/>
            <w:rFonts w:ascii="Times New Roman" w:hAnsi="Times New Roman" w:cs="Times New Roman"/>
            <w:noProof/>
            <w:sz w:val="24"/>
            <w:lang w:val="en-GB"/>
          </w:rPr>
          <w:t>G. Conclusion</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_Toc128065910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25</w:t>
        </w:r>
        <w:r w:rsidR="0031543D" w:rsidRPr="006218C3">
          <w:rPr>
            <w:rFonts w:ascii="Times New Roman" w:hAnsi="Times New Roman" w:cs="Times New Roman"/>
            <w:noProof/>
            <w:webHidden/>
            <w:sz w:val="24"/>
            <w:lang w:val="en-GB"/>
          </w:rPr>
          <w:fldChar w:fldCharType="end"/>
        </w:r>
      </w:hyperlink>
    </w:p>
    <w:p w14:paraId="430198A8" w14:textId="77777777" w:rsidR="0031543D" w:rsidRPr="006218C3" w:rsidRDefault="00044E64" w:rsidP="0031543D">
      <w:pPr>
        <w:pStyle w:val="TOC1"/>
        <w:rPr>
          <w:rFonts w:ascii="Times New Roman" w:eastAsiaTheme="minorEastAsia" w:hAnsi="Times New Roman" w:cs="Times New Roman"/>
          <w:noProof/>
          <w:sz w:val="24"/>
          <w:lang w:val="en-GB"/>
        </w:rPr>
      </w:pPr>
      <w:hyperlink w:anchor="_Toc128065911" w:history="1">
        <w:r w:rsidR="0031543D" w:rsidRPr="006218C3">
          <w:rPr>
            <w:rStyle w:val="Hyperlink"/>
            <w:rFonts w:ascii="Times New Roman" w:hAnsi="Times New Roman" w:cs="Times New Roman"/>
            <w:noProof/>
            <w:sz w:val="24"/>
            <w:lang w:val="en-GB"/>
          </w:rPr>
          <w:t>References</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_Toc128065911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26</w:t>
        </w:r>
        <w:r w:rsidR="0031543D" w:rsidRPr="006218C3">
          <w:rPr>
            <w:rFonts w:ascii="Times New Roman" w:hAnsi="Times New Roman" w:cs="Times New Roman"/>
            <w:noProof/>
            <w:webHidden/>
            <w:sz w:val="24"/>
            <w:lang w:val="en-GB"/>
          </w:rPr>
          <w:fldChar w:fldCharType="end"/>
        </w:r>
      </w:hyperlink>
    </w:p>
    <w:p w14:paraId="430198A9" w14:textId="77777777" w:rsidR="0031543D" w:rsidRPr="006218C3" w:rsidRDefault="00044E64" w:rsidP="0031543D">
      <w:pPr>
        <w:pStyle w:val="TOC1"/>
        <w:rPr>
          <w:rFonts w:asciiTheme="minorHAnsi" w:eastAsiaTheme="minorEastAsia" w:hAnsiTheme="minorHAnsi" w:cstheme="minorBidi"/>
          <w:noProof/>
          <w:lang w:val="en-GB"/>
        </w:rPr>
      </w:pPr>
      <w:hyperlink w:anchor="_Toc128065912" w:history="1">
        <w:r w:rsidR="0031543D" w:rsidRPr="006218C3">
          <w:rPr>
            <w:rStyle w:val="Hyperlink"/>
            <w:rFonts w:ascii="Times New Roman" w:hAnsi="Times New Roman" w:cs="Times New Roman"/>
            <w:noProof/>
            <w:sz w:val="24"/>
            <w:highlight w:val="white"/>
            <w:lang w:val="en-GB"/>
          </w:rPr>
          <w:t>Appendices</w:t>
        </w:r>
        <w:r w:rsidR="0031543D" w:rsidRPr="006218C3">
          <w:rPr>
            <w:rFonts w:ascii="Times New Roman" w:hAnsi="Times New Roman" w:cs="Times New Roman"/>
            <w:noProof/>
            <w:webHidden/>
            <w:sz w:val="24"/>
            <w:lang w:val="en-GB"/>
          </w:rPr>
          <w:tab/>
        </w:r>
        <w:r w:rsidR="0031543D" w:rsidRPr="006218C3">
          <w:rPr>
            <w:rFonts w:ascii="Times New Roman" w:hAnsi="Times New Roman" w:cs="Times New Roman"/>
            <w:noProof/>
            <w:webHidden/>
            <w:sz w:val="24"/>
            <w:lang w:val="en-GB"/>
          </w:rPr>
          <w:fldChar w:fldCharType="begin"/>
        </w:r>
        <w:r w:rsidR="0031543D" w:rsidRPr="006218C3">
          <w:rPr>
            <w:rFonts w:ascii="Times New Roman" w:hAnsi="Times New Roman" w:cs="Times New Roman"/>
            <w:noProof/>
            <w:webHidden/>
            <w:sz w:val="24"/>
            <w:lang w:val="en-GB"/>
          </w:rPr>
          <w:instrText xml:space="preserve"> PAGEREF _Toc128065912 \h </w:instrText>
        </w:r>
        <w:r w:rsidR="0031543D" w:rsidRPr="006218C3">
          <w:rPr>
            <w:rFonts w:ascii="Times New Roman" w:hAnsi="Times New Roman" w:cs="Times New Roman"/>
            <w:noProof/>
            <w:webHidden/>
            <w:sz w:val="24"/>
            <w:lang w:val="en-GB"/>
          </w:rPr>
        </w:r>
        <w:r w:rsidR="0031543D" w:rsidRPr="006218C3">
          <w:rPr>
            <w:rFonts w:ascii="Times New Roman" w:hAnsi="Times New Roman" w:cs="Times New Roman"/>
            <w:noProof/>
            <w:webHidden/>
            <w:sz w:val="24"/>
            <w:lang w:val="en-GB"/>
          </w:rPr>
          <w:fldChar w:fldCharType="separate"/>
        </w:r>
        <w:r w:rsidR="0031543D" w:rsidRPr="006218C3">
          <w:rPr>
            <w:rFonts w:ascii="Times New Roman" w:hAnsi="Times New Roman" w:cs="Times New Roman"/>
            <w:noProof/>
            <w:webHidden/>
            <w:sz w:val="24"/>
            <w:lang w:val="en-GB"/>
          </w:rPr>
          <w:t>30</w:t>
        </w:r>
        <w:r w:rsidR="0031543D" w:rsidRPr="006218C3">
          <w:rPr>
            <w:rFonts w:ascii="Times New Roman" w:hAnsi="Times New Roman" w:cs="Times New Roman"/>
            <w:noProof/>
            <w:webHidden/>
            <w:sz w:val="24"/>
            <w:lang w:val="en-GB"/>
          </w:rPr>
          <w:fldChar w:fldCharType="end"/>
        </w:r>
      </w:hyperlink>
    </w:p>
    <w:p w14:paraId="430198AA" w14:textId="77777777" w:rsidR="00B25456" w:rsidRPr="006218C3" w:rsidRDefault="00F62F59" w:rsidP="004C4AFF">
      <w:pPr>
        <w:pStyle w:val="Normal1"/>
        <w:spacing w:before="200" w:after="200" w:line="360" w:lineRule="auto"/>
        <w:jc w:val="center"/>
        <w:rPr>
          <w:rFonts w:ascii="Times New Roman" w:eastAsia="Times New Roman" w:hAnsi="Times New Roman" w:cs="Times New Roman"/>
          <w:b/>
          <w:sz w:val="24"/>
          <w:szCs w:val="24"/>
          <w:lang w:val="en-GB"/>
        </w:rPr>
      </w:pPr>
      <w:r w:rsidRPr="006218C3">
        <w:rPr>
          <w:rFonts w:ascii="Times New Roman" w:hAnsi="Times New Roman" w:cs="Times New Roman"/>
          <w:lang w:val="en-GB"/>
        </w:rPr>
        <w:fldChar w:fldCharType="end"/>
      </w:r>
      <w:r w:rsidR="00A3548F" w:rsidRPr="006218C3">
        <w:rPr>
          <w:rFonts w:ascii="Times New Roman" w:hAnsi="Times New Roman" w:cs="Times New Roman"/>
          <w:lang w:val="en-GB"/>
        </w:rPr>
        <w:br w:type="page"/>
      </w:r>
    </w:p>
    <w:p w14:paraId="430198AB" w14:textId="77777777" w:rsidR="00B25456" w:rsidRPr="006218C3" w:rsidRDefault="00A3548F" w:rsidP="00C52C44">
      <w:pPr>
        <w:pStyle w:val="Heading1"/>
        <w:rPr>
          <w:lang w:val="en-GB"/>
        </w:rPr>
      </w:pPr>
      <w:bookmarkStart w:id="1" w:name="_Toc128065899"/>
      <w:r w:rsidRPr="006218C3">
        <w:rPr>
          <w:lang w:val="en-GB"/>
        </w:rPr>
        <w:lastRenderedPageBreak/>
        <w:t>Part 1 – “Financial Statement Analysis and Presentation”:</w:t>
      </w:r>
      <w:bookmarkEnd w:id="1"/>
      <w:r w:rsidRPr="006218C3">
        <w:rPr>
          <w:lang w:val="en-GB"/>
        </w:rPr>
        <w:t xml:space="preserve"> </w:t>
      </w:r>
    </w:p>
    <w:p w14:paraId="430198AC" w14:textId="77777777" w:rsidR="00B25456" w:rsidRPr="006218C3" w:rsidRDefault="00A3548F" w:rsidP="00C52C44">
      <w:pPr>
        <w:pStyle w:val="Heading1"/>
        <w:rPr>
          <w:lang w:val="en-GB"/>
        </w:rPr>
      </w:pPr>
      <w:bookmarkStart w:id="2" w:name="_Toc128065900"/>
      <w:r w:rsidRPr="006218C3">
        <w:rPr>
          <w:lang w:val="en-GB"/>
        </w:rPr>
        <w:t>A. Company Overview:</w:t>
      </w:r>
      <w:bookmarkEnd w:id="2"/>
      <w:r w:rsidRPr="006218C3">
        <w:rPr>
          <w:lang w:val="en-GB"/>
        </w:rPr>
        <w:t xml:space="preserve"> </w:t>
      </w:r>
    </w:p>
    <w:p w14:paraId="430198AD" w14:textId="394A584D"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Next plc is a multinational clothing company in Britain, also selling footwear &amp; home products (nextplc.co.uk, 2023). Next has its headquarters in Enderby, England and is operating nearly 700 stores across the globe. 500 stores out of it </w:t>
      </w:r>
      <w:r w:rsidR="006218C3" w:rsidRPr="006218C3">
        <w:rPr>
          <w:rFonts w:ascii="Times New Roman" w:eastAsia="Times New Roman" w:hAnsi="Times New Roman" w:cs="Times New Roman"/>
          <w:sz w:val="24"/>
          <w:szCs w:val="24"/>
          <w:lang w:val="en-GB"/>
        </w:rPr>
        <w:t>are</w:t>
      </w:r>
      <w:r w:rsidRPr="006218C3">
        <w:rPr>
          <w:rFonts w:ascii="Times New Roman" w:eastAsia="Times New Roman" w:hAnsi="Times New Roman" w:cs="Times New Roman"/>
          <w:sz w:val="24"/>
          <w:szCs w:val="24"/>
          <w:lang w:val="en-GB"/>
        </w:rPr>
        <w:t xml:space="preserve"> located in United Kingdom, &amp; remaining 200 across Asia, Europe, &amp; Middle East. It is the biggest clothing retailer based on sales being overtaken by companies like “Marks &amp; Spencer” in the years 2012 &amp; 2014. Next plc is listed on LSE along with being a constituent of “FTSE 100 Index”. It is currently employing nearly 43,040 employees within the business (nextplc.co.uk, 2023). The company is the result of efforts made by Joseph Hepworth. In addition, Michael Roney has become the chair­person and Simon Wolfson is posted as the CEO. The key products of the company include men's, women's &amp; children's fashion along with beauty, homeware, designer brands, and more. The company aims at meeting expectations of customers by providing beautifully designed, exciting, &amp; excellent quality footwear, clothing, accessories &amp; homeware (nextplc.co.uk, 2023). “Full price sales” of the company were up by 4.8 percent in 9 weeks to December 30, 2022. This is more than the guidance made by Next Plc for a 2 percent sales decline.</w:t>
      </w:r>
    </w:p>
    <w:p w14:paraId="430198AE" w14:textId="77777777" w:rsidR="001061B0" w:rsidRPr="006218C3" w:rsidRDefault="002D2653" w:rsidP="00800857">
      <w:pPr>
        <w:pStyle w:val="Heading1"/>
        <w:rPr>
          <w:lang w:val="en-GB"/>
        </w:rPr>
      </w:pPr>
      <w:bookmarkStart w:id="3" w:name="_Toc128065901"/>
      <w:r w:rsidRPr="006218C3">
        <w:rPr>
          <w:lang w:val="en-GB"/>
        </w:rPr>
        <w:t xml:space="preserve">B. </w:t>
      </w:r>
      <w:r w:rsidR="001061B0" w:rsidRPr="006218C3">
        <w:rPr>
          <w:lang w:val="en-GB"/>
        </w:rPr>
        <w:t>Ratio analysis</w:t>
      </w:r>
      <w:r w:rsidRPr="006218C3">
        <w:rPr>
          <w:lang w:val="en-GB"/>
        </w:rPr>
        <w:t xml:space="preserve"> and it limita</w:t>
      </w:r>
      <w:r w:rsidR="009902E7" w:rsidRPr="006218C3">
        <w:rPr>
          <w:lang w:val="en-GB"/>
        </w:rPr>
        <w:t>t</w:t>
      </w:r>
      <w:r w:rsidRPr="006218C3">
        <w:rPr>
          <w:lang w:val="en-GB"/>
        </w:rPr>
        <w:t>ion</w:t>
      </w:r>
      <w:bookmarkEnd w:id="3"/>
      <w:r w:rsidRPr="006218C3">
        <w:rPr>
          <w:lang w:val="en-GB"/>
        </w:rPr>
        <w:t xml:space="preserve"> </w:t>
      </w:r>
    </w:p>
    <w:p w14:paraId="430198AF" w14:textId="77777777" w:rsidR="001061B0" w:rsidRPr="006218C3" w:rsidRDefault="001061B0" w:rsidP="001061B0">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Profitability Ratios</w:t>
      </w:r>
    </w:p>
    <w:p w14:paraId="430198B0"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Gross profit:</w:t>
      </w:r>
    </w:p>
    <w:p w14:paraId="430198B1" w14:textId="77777777" w:rsidR="00437B73" w:rsidRPr="006218C3" w:rsidRDefault="00437B73" w:rsidP="00437B73">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19" wp14:editId="43019C1A">
            <wp:extent cx="3705225" cy="2143125"/>
            <wp:effectExtent l="1905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0198B2" w14:textId="77777777" w:rsidR="00214F6D" w:rsidRPr="006218C3" w:rsidRDefault="00214F6D" w:rsidP="00437B73">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B3"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 xml:space="preserve">Gross profit ratio measures profitability of business by subtracting direct costs like labour, and materials costs, from total revenue. It is an important metric to evaluate whether businesses have pricing power or not (Nariswari and Nugraha, 2020). GP ratio of Next plc has been identified by 45% in 2022 and 38% in 2021. In fiscal year 2022 revenue of company increased by 33% but COGS was comparatively low and due to this reason GP margin of the company rose by 7% in 2022. It points out that Next Plc efficiently manages its direct cost and the product of company is also in demand which ensures better long-term sustainability for business. It also ensures that in a future company will perform well due to managing cost effectively and take lead in a competition that is good for existing shareholders.  </w:t>
      </w:r>
    </w:p>
    <w:p w14:paraId="430198B4"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Operating profit:</w:t>
      </w:r>
    </w:p>
    <w:p w14:paraId="430198B5" w14:textId="77777777" w:rsidR="00214F6D" w:rsidRPr="006218C3" w:rsidRDefault="00214F6D" w:rsidP="00214F6D">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1B" wp14:editId="43019C1C">
            <wp:extent cx="4067175" cy="2409825"/>
            <wp:effectExtent l="1905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0198B6" w14:textId="77777777" w:rsidR="009D0E51" w:rsidRPr="006218C3" w:rsidRDefault="009D0E51" w:rsidP="009D0E51">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B7" w14:textId="77777777" w:rsidR="001061B0"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Operating profit margin assesses a business's ability to maximise its profit from its core business operation. Based on the words of Mahdi and Khaddafi, (2020), the operating profit margin determines management's capability to manage variable costs and ensure better earnings for shareholders. OP margin for Next Plc has been calculated at 21% in 2022 and 14% in 2021 respectively. In 2022, COGS along with other operating expenses of company were low comparatively over sales and as result, EBIT jumped by 104%. Rise in OP margin is an indication that management of the company efficiently manages its overall cost which ensures better profitability. It helps to achieve higher growth in future and also influences the long-term sustainability of business that benefits shareholders. </w:t>
      </w:r>
    </w:p>
    <w:p w14:paraId="17F16DA9"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7AE6F44D" w14:textId="77777777" w:rsidR="006218C3" w:rsidRP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430198B8"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lastRenderedPageBreak/>
        <w:t>Net profit:</w:t>
      </w:r>
    </w:p>
    <w:p w14:paraId="430198B9" w14:textId="77777777" w:rsidR="00D84E49" w:rsidRPr="006218C3" w:rsidRDefault="00D84E49" w:rsidP="00D84E49">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1D" wp14:editId="43019C1E">
            <wp:extent cx="3981450" cy="2286000"/>
            <wp:effectExtent l="1905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0198BA" w14:textId="77777777" w:rsidR="00BF7827" w:rsidRPr="006218C3" w:rsidRDefault="00BF7827" w:rsidP="00BF7827">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BB"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Net profit evaluates the actual profitability of company that the business can generate after deducting all types of expenses. It helps to understand the current as well as future performance of a business and also helps to determine the business's ability to grow further (Alvian and Munandar, 2022). Net profit margin of Next Plc is figured to be 15% in 2022 and 9% in 2021. Due to the overall growth of sales, reduced COGS, and rise in financial income, net profit margin of company improved significantly. Moreover, the demand for company products, and after covid recovery of retail industry is also major reason behind significant growth in profitability of company (Nextplc.co.uk, 2022). Improvement or growth in net profit is an indication of strong financial stability and performance that influence the future growth of business. </w:t>
      </w:r>
    </w:p>
    <w:p w14:paraId="430198BC"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ROA:</w:t>
      </w:r>
    </w:p>
    <w:p w14:paraId="430198BD" w14:textId="77777777" w:rsidR="00A27C11" w:rsidRPr="006218C3" w:rsidRDefault="00A27C11" w:rsidP="00A27C11">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1F" wp14:editId="43019C20">
            <wp:extent cx="3733800" cy="2324100"/>
            <wp:effectExtent l="1905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0198BE" w14:textId="77777777" w:rsidR="00BF7827" w:rsidRPr="006218C3" w:rsidRDefault="00BF7827" w:rsidP="00BF7827">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(Source: Self-developed)</w:t>
      </w:r>
    </w:p>
    <w:p w14:paraId="430198BF"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ROA or Return on asset is an important financial ratio that reveals a business's ability and efficiency to maximise its profit by utilisation of assets (Husna and Satria, 2019). It is an important metric to evaluate the financial health of business. Next Plc reported a ROA of 17% in the fiscal year 2022 and 8% in 2021. Better managerial decisions, rise in demand for products, and effective cost management led 236% rise in net profit, and assets of company also increased in 2022. It helps company to double its ROA and it indicates that business effectively utilised its assets and ensured better future growth and sustainability.  </w:t>
      </w:r>
    </w:p>
    <w:p w14:paraId="430198C0"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ROCE:</w:t>
      </w:r>
    </w:p>
    <w:p w14:paraId="430198C1" w14:textId="77777777" w:rsidR="000819B1" w:rsidRPr="006218C3" w:rsidRDefault="000819B1" w:rsidP="000819B1">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1" wp14:editId="43019C22">
            <wp:extent cx="3895725" cy="2495550"/>
            <wp:effectExtent l="1905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0198C2" w14:textId="77777777" w:rsidR="003C10FD" w:rsidRPr="006218C3" w:rsidRDefault="003C10FD" w:rsidP="003C10FD">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C3" w14:textId="09371C59"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ROCE or return on capital employed is the most important financial metric to assess management intelligence to effectively utilisation of capital. Based on words of Maeenuddina </w:t>
      </w:r>
      <w:r w:rsidRPr="006218C3">
        <w:rPr>
          <w:rFonts w:ascii="Times New Roman" w:eastAsia="Times New Roman" w:hAnsi="Times New Roman" w:cs="Times New Roman"/>
          <w:i/>
          <w:sz w:val="24"/>
          <w:szCs w:val="24"/>
          <w:lang w:val="en-GB"/>
        </w:rPr>
        <w:t>et al.</w:t>
      </w:r>
      <w:r w:rsidRPr="006218C3">
        <w:rPr>
          <w:rFonts w:ascii="Times New Roman" w:eastAsia="Times New Roman" w:hAnsi="Times New Roman" w:cs="Times New Roman"/>
          <w:sz w:val="24"/>
          <w:szCs w:val="24"/>
          <w:lang w:val="en-GB"/>
        </w:rPr>
        <w:t xml:space="preserve"> (2020), ROCE points out whether a business can generate a return above cost of capital and ensure rational capital allocation decisions. ROCE of Next plc has been determined 33% in the fiscal year 2022 and 17% in 2021. Higher ROCE points out that management makes rational capital allocation decisions which leads businesses to generate much higher ROCE. It helps company to achieve higher growth by reinvesting a significant amount of surplus within a business and helping to earn profit and revenue. Higher ROCE also indicates strong financial positions and better future growth.   </w:t>
      </w:r>
    </w:p>
    <w:p w14:paraId="430198C4"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ROE:</w:t>
      </w:r>
    </w:p>
    <w:p w14:paraId="430198C5" w14:textId="77777777" w:rsidR="00B95699" w:rsidRPr="006218C3" w:rsidRDefault="00B95699" w:rsidP="00B95699">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lastRenderedPageBreak/>
        <w:drawing>
          <wp:inline distT="0" distB="0" distL="0" distR="0" wp14:anchorId="43019C23" wp14:editId="43019C24">
            <wp:extent cx="4000500" cy="2314575"/>
            <wp:effectExtent l="1905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0198C6" w14:textId="77777777" w:rsidR="00710EAC" w:rsidRPr="006218C3" w:rsidRDefault="00710EAC" w:rsidP="00710EAC">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C7" w14:textId="224724E0"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ROE or return on equity is used to measure the profitability of a company by looking at the earnings of shareholders by investing in a company. In words of Sharma </w:t>
      </w:r>
      <w:r w:rsidRPr="006218C3">
        <w:rPr>
          <w:rFonts w:ascii="Times New Roman" w:eastAsia="Times New Roman" w:hAnsi="Times New Roman" w:cs="Times New Roman"/>
          <w:i/>
          <w:sz w:val="24"/>
          <w:szCs w:val="24"/>
          <w:lang w:val="en-GB"/>
        </w:rPr>
        <w:t>et al.</w:t>
      </w:r>
      <w:r w:rsidRPr="006218C3">
        <w:rPr>
          <w:rFonts w:ascii="Times New Roman" w:eastAsia="Times New Roman" w:hAnsi="Times New Roman" w:cs="Times New Roman"/>
          <w:sz w:val="24"/>
          <w:szCs w:val="24"/>
          <w:lang w:val="en-GB"/>
        </w:rPr>
        <w:t xml:space="preserve"> (2021), ROE is important to assess business efficiency to utilise shareholder funds effectively and ensure strong financial performance. In fiscal year 2022. Next Plc reported an ROE of 67% whereas it was 43% in 2021. Due to a 236% jump in net profit, company can report higher ROE and it ensures a better return for shareholders. Moreover, it indicates company’s strong financial position and efficiently utilises shareholders' funds, and generates a higher return. Strong ROE improved shareholder's trust and developed a better relationship that positively impacted overall business operations. </w:t>
      </w:r>
    </w:p>
    <w:p w14:paraId="430198C8" w14:textId="77777777" w:rsidR="001061B0" w:rsidRPr="006218C3" w:rsidRDefault="001061B0" w:rsidP="001061B0">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Liquidity Ratios</w:t>
      </w:r>
    </w:p>
    <w:p w14:paraId="430198C9"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Current ratio:</w:t>
      </w:r>
    </w:p>
    <w:p w14:paraId="430198CA" w14:textId="77777777" w:rsidR="00D5556B" w:rsidRPr="006218C3" w:rsidRDefault="00D5556B" w:rsidP="00D5556B">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5" wp14:editId="43019C26">
            <wp:extent cx="4219575" cy="2514600"/>
            <wp:effectExtent l="1905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0198CB" w14:textId="77777777" w:rsidR="00C92F8E" w:rsidRPr="006218C3" w:rsidRDefault="00C92F8E" w:rsidP="00C92F8E">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(Source: Self-developed)</w:t>
      </w:r>
    </w:p>
    <w:p w14:paraId="430198CC"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Current ratio reveals the liquidity position of a business and its ability to repay short-term obligations and outstanding. It is an important metric to assess the short-term financial stability of a business and plot ideas about the efficiency in managing working capital (Mulyadi and Sihabudin, 2020). CR ratio of Next Plc has been calculated as 1.99 times in 2022 and 1.91 in 2021.  In the fiscal year, 2022 current assets of company improved and current liabilities were also lower therefore CR ratio increased by 0.08 times. Improvement in CR ratio is evidence that company has enough current assets compared to its current liabilities that ensure better financial stability. Moreover, company can face less trouble in a difficult situation as compared to company whose current ratio is lower, which influences business growth, revenue, and profitability. </w:t>
      </w:r>
    </w:p>
    <w:p w14:paraId="430198CD"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Quick ratio:</w:t>
      </w:r>
    </w:p>
    <w:p w14:paraId="430198CE" w14:textId="77777777" w:rsidR="00D5556B" w:rsidRPr="006218C3" w:rsidRDefault="00D5556B" w:rsidP="00D5556B">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7" wp14:editId="43019C28">
            <wp:extent cx="4029075" cy="2400300"/>
            <wp:effectExtent l="1905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0198CF" w14:textId="77777777" w:rsidR="006D0937" w:rsidRPr="006218C3" w:rsidRDefault="006D0937" w:rsidP="006D0937">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D0" w14:textId="47D932D1"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Quick ratio is part of liquidity ratios that measure a business's ability to repay its short-term obligation like the current ratio but it does not consider inventories as part of current assets. As opined by Kumoro</w:t>
      </w:r>
      <w:r w:rsid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i/>
          <w:sz w:val="24"/>
          <w:szCs w:val="24"/>
          <w:lang w:val="en-GB"/>
        </w:rPr>
        <w:t>et al.</w:t>
      </w:r>
      <w:r w:rsidRPr="006218C3">
        <w:rPr>
          <w:rFonts w:ascii="Times New Roman" w:eastAsia="Times New Roman" w:hAnsi="Times New Roman" w:cs="Times New Roman"/>
          <w:sz w:val="24"/>
          <w:szCs w:val="24"/>
          <w:lang w:val="en-GB"/>
        </w:rPr>
        <w:t xml:space="preserve"> (2020), quick ratio only considers most liquidate forms of an asset like cash and equivalent of cash or bills to evaluate the liquidity stability of business. Quick ratio of Next plc has been calculated as 1.47 times in 2022 whereas it was 1.46 times in 2021. Due to rise in inventories, quick ratio of company stagnated but still, quick ratio above 1 is considered a good ratio. It is evident that liquidity position of Next plc is strong and company has enough current assets to repay its short-term outstanding. Better liquidity positions ensure better financial performance and stability that led businesses to run operations effectively.  </w:t>
      </w:r>
    </w:p>
    <w:p w14:paraId="430198D1"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lastRenderedPageBreak/>
        <w:t>Cash ratio:</w:t>
      </w:r>
    </w:p>
    <w:p w14:paraId="430198D2" w14:textId="77777777" w:rsidR="00DB7BEF" w:rsidRPr="006218C3" w:rsidRDefault="00DB7BEF" w:rsidP="00DB7BEF">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9" wp14:editId="43019C2A">
            <wp:extent cx="4133850" cy="2324100"/>
            <wp:effectExtent l="1905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30198D3" w14:textId="77777777" w:rsidR="007001F9" w:rsidRPr="006218C3" w:rsidRDefault="007001F9" w:rsidP="007001F9">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D4" w14:textId="2C734003"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Cash is the most important driver for business growth, running daily operations, managing working capital, grabbing future opportunities, and tackling difficult situations. Cash ratio measures whether a business has enough cash or not if a business is forced to pay current liabilities immediately (Bacchetta </w:t>
      </w:r>
      <w:r w:rsidRPr="006218C3">
        <w:rPr>
          <w:rFonts w:ascii="Times New Roman" w:eastAsia="Times New Roman" w:hAnsi="Times New Roman" w:cs="Times New Roman"/>
          <w:i/>
          <w:sz w:val="24"/>
          <w:szCs w:val="24"/>
          <w:lang w:val="en-GB"/>
        </w:rPr>
        <w:t>et al.</w:t>
      </w:r>
      <w:r w:rsidRPr="006218C3">
        <w:rPr>
          <w:rFonts w:ascii="Times New Roman" w:eastAsia="Times New Roman" w:hAnsi="Times New Roman" w:cs="Times New Roman"/>
          <w:sz w:val="24"/>
          <w:szCs w:val="24"/>
          <w:lang w:val="en-GB"/>
        </w:rPr>
        <w:t xml:space="preserve"> 2019). Next Plc reported a cash ratio of 0.36 in 2022 and 0.51 in 2021 respectively. The free cash flow of business is down by £175.20 million in 2022 and therefore, cash ratio of business is also down significantly. However, Next Plc does not have enough cash against its current liabilities as it can only pay 1/3rd part of its current liabilities through cash. It is a worrying sign for businesses and shareholders as it can influence business goodwill and operation. </w:t>
      </w:r>
    </w:p>
    <w:p w14:paraId="430198D5" w14:textId="77777777" w:rsidR="001061B0" w:rsidRPr="006218C3" w:rsidRDefault="001061B0" w:rsidP="001061B0">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Efficiency Ratios</w:t>
      </w:r>
    </w:p>
    <w:p w14:paraId="430198D6"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Accounts receivable turnover:</w:t>
      </w:r>
    </w:p>
    <w:p w14:paraId="430198D7" w14:textId="77777777" w:rsidR="00791926" w:rsidRPr="006218C3" w:rsidRDefault="00791926" w:rsidP="00791926">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B" wp14:editId="7EAA71A3">
            <wp:extent cx="4305300" cy="2371725"/>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30198D8" w14:textId="77777777" w:rsidR="009D617C" w:rsidRPr="006218C3" w:rsidRDefault="009D617C" w:rsidP="009D617C">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(Source: Self-developed)</w:t>
      </w:r>
    </w:p>
    <w:p w14:paraId="430198D9" w14:textId="200BD6A2"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ART ratio or Accounts receivable turnover is used to measure how many times accounts receivable have been collected during a particular financial period. Usually, this metric is used to assess whether a business faced any trouble or not to collect its outstanding sales amount (Wajo, 2021). ART ratio of Next plc has been figured out as 3.66 times in 2022 which was 2.71 times in 2021. Rise in revenue along with a reduced amount of account receivables led the company to enjoy better ART. It points out that Next Plc is much more capable of collecting its dues or </w:t>
      </w:r>
      <w:r w:rsidR="006218C3" w:rsidRPr="006218C3">
        <w:rPr>
          <w:rFonts w:ascii="Times New Roman" w:eastAsia="Times New Roman" w:hAnsi="Times New Roman" w:cs="Times New Roman"/>
          <w:sz w:val="24"/>
          <w:szCs w:val="24"/>
          <w:lang w:val="en-GB"/>
        </w:rPr>
        <w:t>outstanding</w:t>
      </w:r>
      <w:r w:rsidRPr="006218C3">
        <w:rPr>
          <w:rFonts w:ascii="Times New Roman" w:eastAsia="Times New Roman" w:hAnsi="Times New Roman" w:cs="Times New Roman"/>
          <w:sz w:val="24"/>
          <w:szCs w:val="24"/>
          <w:lang w:val="en-GB"/>
        </w:rPr>
        <w:t xml:space="preserve"> from debtors that help to better manage working capital. </w:t>
      </w:r>
    </w:p>
    <w:p w14:paraId="430198DA"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Accounts Payable Turnover:</w:t>
      </w:r>
    </w:p>
    <w:p w14:paraId="430198DB" w14:textId="77777777" w:rsidR="00791926" w:rsidRPr="006218C3" w:rsidRDefault="00791926" w:rsidP="00791926">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D" wp14:editId="43019C2E">
            <wp:extent cx="4572000" cy="2738437"/>
            <wp:effectExtent l="1905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30198DC" w14:textId="77777777" w:rsidR="009D617C" w:rsidRPr="006218C3" w:rsidRDefault="009D617C" w:rsidP="009D617C">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DD" w14:textId="58F10BE0" w:rsidR="001061B0"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APT or Accounts Payable Turnover ratio determines how many times company pays its creditors. It also determines whether a business is in good standing or not with its creditors and suppliers and this ratio is very important for creditors' and suppliers' perception (Kartikasary </w:t>
      </w:r>
      <w:r w:rsidRPr="006218C3">
        <w:rPr>
          <w:rFonts w:ascii="Times New Roman" w:eastAsia="Times New Roman" w:hAnsi="Times New Roman" w:cs="Times New Roman"/>
          <w:i/>
          <w:sz w:val="24"/>
          <w:szCs w:val="24"/>
          <w:lang w:val="en-GB"/>
        </w:rPr>
        <w:t>et al.</w:t>
      </w:r>
      <w:r w:rsidRPr="006218C3">
        <w:rPr>
          <w:rFonts w:ascii="Times New Roman" w:eastAsia="Times New Roman" w:hAnsi="Times New Roman" w:cs="Times New Roman"/>
          <w:sz w:val="24"/>
          <w:szCs w:val="24"/>
          <w:lang w:val="en-GB"/>
        </w:rPr>
        <w:t xml:space="preserve"> 2021). In fiscal year 2022, Next Plc reported an APT ratio of 4.02 times, and one year ago in 2021 this ratio was 3.91 times. Due to the rise in </w:t>
      </w:r>
      <w:r w:rsidR="006218C3" w:rsidRPr="006218C3">
        <w:rPr>
          <w:rFonts w:ascii="Times New Roman" w:eastAsia="Times New Roman" w:hAnsi="Times New Roman" w:cs="Times New Roman"/>
          <w:sz w:val="24"/>
          <w:szCs w:val="24"/>
          <w:lang w:val="en-GB"/>
        </w:rPr>
        <w:t>number</w:t>
      </w:r>
      <w:r w:rsidRPr="006218C3">
        <w:rPr>
          <w:rFonts w:ascii="Times New Roman" w:eastAsia="Times New Roman" w:hAnsi="Times New Roman" w:cs="Times New Roman"/>
          <w:sz w:val="24"/>
          <w:szCs w:val="24"/>
          <w:lang w:val="en-GB"/>
        </w:rPr>
        <w:t xml:space="preserve"> of accounts payable along with rise in total purchase APR ratio of company improved. Improvement in this ratio points out that currently, company takes less time to repay its outstanding which is good sign for suppliers and creditors. It helps company to negotiate with suppliers to receive products at more discount as a result overall cost is reduced and profitability is further improved.   </w:t>
      </w:r>
    </w:p>
    <w:p w14:paraId="615ADD56" w14:textId="77777777" w:rsidR="006218C3" w:rsidRP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430198DE"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lastRenderedPageBreak/>
        <w:t>Asset Turnover:</w:t>
      </w:r>
    </w:p>
    <w:p w14:paraId="430198DF" w14:textId="77777777" w:rsidR="00DC00E5" w:rsidRPr="006218C3" w:rsidRDefault="00DC00E5" w:rsidP="00DC00E5">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2F" wp14:editId="43019C30">
            <wp:extent cx="4000500" cy="2581275"/>
            <wp:effectExtent l="1905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30198E0" w14:textId="77777777" w:rsidR="009D617C" w:rsidRPr="006218C3" w:rsidRDefault="009D617C" w:rsidP="009D617C">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E1" w14:textId="75EA2373"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Asset turnover ratio reveals efficiency of a business to generate higher revenue by effective utilisation of assets. Based on words of Kurniawan (2021), a higher asset turnover ratio is evident that the business is more efficient in utilising its assets and maximising revenue whereas a lower ratio shows the opposite thing. AT ratio of Next Plc has been calculated as 1.13 times in 2022 and 0.88 times in 2021. Rise in total sales, along with the increased value of total assets in 2022 AT ratio of company gaining strength.  It points out that Next Plc effectively utilised its assets and made good decisions that led the company to generate higher revenue and ensure better financial stability. </w:t>
      </w:r>
    </w:p>
    <w:p w14:paraId="430198E2"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Capital Turnover:</w:t>
      </w:r>
    </w:p>
    <w:p w14:paraId="430198E3" w14:textId="77777777" w:rsidR="00DC00E5" w:rsidRPr="006218C3" w:rsidRDefault="00DC00E5" w:rsidP="00DC00E5">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1" wp14:editId="43019C32">
            <wp:extent cx="3810000" cy="2276475"/>
            <wp:effectExtent l="1905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30198E4" w14:textId="77777777" w:rsidR="009D617C" w:rsidRPr="006218C3" w:rsidRDefault="009D617C" w:rsidP="009D617C">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E5"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 xml:space="preserve">Capital turnover ratio or CT ratio measures how efficiently a business utilised its shareholders' funds to maximise revenue. CT ratio is calculated by dividing total sales by shareholder's equity (Bintara, 2020). In fiscal year 2022, Next Plc reported a CT ratio of 4.33 and in the previous year, this ratio was 4.97. Due to an increase in shareholder funds compared to sales, CT ratio of Next Plc has gone down. However, sales of company increased and overall profitability and efficiency of business are also strong which led company to perform better in future. In addition, it enables company to better utilise shareholders' funds and maximise their wealth. </w:t>
      </w:r>
    </w:p>
    <w:p w14:paraId="430198E6"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Inventory Turnover:</w:t>
      </w:r>
    </w:p>
    <w:p w14:paraId="430198E7" w14:textId="77777777" w:rsidR="000D68EF" w:rsidRPr="006218C3" w:rsidRDefault="000D68EF" w:rsidP="000D68EF">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3" wp14:editId="43019C34">
            <wp:extent cx="3962400" cy="2476500"/>
            <wp:effectExtent l="1905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30198E8" w14:textId="77777777" w:rsidR="006C5D2A" w:rsidRPr="006218C3" w:rsidRDefault="006C5D2A" w:rsidP="006C5D2A">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E9" w14:textId="77777777" w:rsidR="001061B0"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Inventory turnover ratio or ITR assesses how many times a business can sell along with replenishing its inventory over particular time frame. Based on words of Aryanti and Nurasik, (2021), ITR ratio reveals how efficiently and quickly a business converts its finished goods into sales and generates profit. ITR ratio of Next Plc has been calculated 4.49 times in the fiscal year 2022 and 1.19 times in 2021. High demand for company products, after the Covid pandemic recovery and superior quality and customer service, enables a company to increase its ITR. COGS also lower over sales which further helps to improve overall efficiency of a business. Improvement in ITR ratio is evident that company products have high demand that ensures long-term sustainability and financial stability.   </w:t>
      </w:r>
    </w:p>
    <w:p w14:paraId="7F8DF9A6"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54CC556B"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1B1C6F5E" w14:textId="77777777" w:rsidR="006218C3" w:rsidRPr="006218C3" w:rsidRDefault="006218C3" w:rsidP="001061B0">
      <w:pPr>
        <w:pStyle w:val="Normal1"/>
        <w:spacing w:line="360" w:lineRule="auto"/>
        <w:jc w:val="both"/>
        <w:rPr>
          <w:rFonts w:ascii="Times New Roman" w:eastAsia="Times New Roman" w:hAnsi="Times New Roman" w:cs="Times New Roman"/>
          <w:b/>
          <w:i/>
          <w:sz w:val="24"/>
          <w:szCs w:val="24"/>
          <w:lang w:val="en-GB"/>
        </w:rPr>
      </w:pPr>
    </w:p>
    <w:p w14:paraId="430198EA" w14:textId="77777777" w:rsidR="003A57E9"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lastRenderedPageBreak/>
        <w:t>Working Capital Turnover</w:t>
      </w:r>
      <w:r w:rsidR="003A57E9" w:rsidRPr="006218C3">
        <w:rPr>
          <w:rFonts w:ascii="Times New Roman" w:eastAsia="Times New Roman" w:hAnsi="Times New Roman" w:cs="Times New Roman"/>
          <w:b/>
          <w:i/>
          <w:sz w:val="24"/>
          <w:szCs w:val="24"/>
          <w:lang w:val="en-GB"/>
        </w:rPr>
        <w:t>:</w:t>
      </w:r>
    </w:p>
    <w:p w14:paraId="430198EB" w14:textId="77777777" w:rsidR="001061B0" w:rsidRPr="006218C3" w:rsidRDefault="003A57E9" w:rsidP="003A57E9">
      <w:pPr>
        <w:pStyle w:val="Normal1"/>
        <w:spacing w:line="360" w:lineRule="auto"/>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i/>
          <w:noProof/>
          <w:sz w:val="24"/>
          <w:szCs w:val="24"/>
          <w:lang w:val="en-IN" w:eastAsia="en-IN"/>
        </w:rPr>
        <w:drawing>
          <wp:inline distT="0" distB="0" distL="0" distR="0" wp14:anchorId="43019C35" wp14:editId="43019C36">
            <wp:extent cx="4238625" cy="2505075"/>
            <wp:effectExtent l="1905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30198EC" w14:textId="77777777" w:rsidR="00004438" w:rsidRPr="006218C3" w:rsidRDefault="00004438" w:rsidP="00004438">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ED"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Working capital turnover ratio is used to evaluate efficiency of a business to maximise revenue by effective utilisation and managing working capital. It is an important indicator to assess the sustainability of business and measure efficiency to run daily operations (Hidayat and Dewi, 2023). WCT ratio of Next Plc has been figured out by 3.65 times in the financial year 2022 and 3.01 times in 2021. Having enough current assets against current liability and an increased value of sales led to significant growth in WCT ratio. It points out that businesses efficiently utilised their working capital which helps to manage short-term obligations, and influence revenue. It is evident that company’s financial position is strong and stable and it will perform better in future.  </w:t>
      </w:r>
    </w:p>
    <w:p w14:paraId="430198EE" w14:textId="77777777" w:rsidR="001061B0" w:rsidRPr="006218C3" w:rsidRDefault="001061B0" w:rsidP="001061B0">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Solvency Ratios</w:t>
      </w:r>
    </w:p>
    <w:p w14:paraId="430198EF"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Debt ratio:</w:t>
      </w:r>
    </w:p>
    <w:p w14:paraId="430198F0" w14:textId="77777777" w:rsidR="005D01B8" w:rsidRPr="006218C3" w:rsidRDefault="005D01B8" w:rsidP="005D01B8">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7" wp14:editId="43019C38">
            <wp:extent cx="4133850" cy="2419350"/>
            <wp:effectExtent l="1905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30198F1" w14:textId="77777777" w:rsidR="001874D8" w:rsidRPr="006218C3" w:rsidRDefault="001874D8" w:rsidP="001874D8">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(Source: Self-developed)</w:t>
      </w:r>
    </w:p>
    <w:p w14:paraId="430198F2"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Debt ratio is part of the solvency ratio that measures business's total debt as a percentage of total assets. A higher debt ratio always bears more risk and uncertainty and company with high debt face more trouble in difficult situations (Nuryani and Sunarsi, 2020). A debt ratio of Next Plc is reported by 0.53 in 2022 and 0.65 in 2021. Reducing debt position and rising value of total assets help company to reduce its debt ratio. It is good sign that company reduced its debt and value of assets increased, reducing business risk and bringing more stability to business operations. It helps to save money that company can utilise for developing existing products, bringing new products, and achieving better financial performance. </w:t>
      </w:r>
    </w:p>
    <w:p w14:paraId="430198F3"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Equity ratio:</w:t>
      </w:r>
    </w:p>
    <w:p w14:paraId="430198F4" w14:textId="77777777" w:rsidR="00F60F80" w:rsidRPr="006218C3" w:rsidRDefault="00F60F80" w:rsidP="00F60F80">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9" wp14:editId="43019C3A">
            <wp:extent cx="3848100" cy="2276475"/>
            <wp:effectExtent l="1905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30198F5" w14:textId="77777777" w:rsidR="00B606B8" w:rsidRPr="006218C3" w:rsidRDefault="00B606B8" w:rsidP="00B606B8">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F6" w14:textId="77777777" w:rsidR="001061B0"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Equity ratio reveals the leverage position of a business and indicates the percentage of total assets that are financed by equity capital.  Equity ratio points out that 25% of total assets are funded by equity capital in fiscal year 2022 which was 18% in 2021.  Due to the rise in total value of equity and assets, equity ratio of company has improved significantly. Debt always creates problems in difficult situations therefore, assets are more funded by equity capital reducing solvency risk and ensuring better stability. </w:t>
      </w:r>
    </w:p>
    <w:p w14:paraId="2A614EC3"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075F89A7"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1C4AEBF1"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177A3EB3" w14:textId="77777777" w:rsid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47B04792" w14:textId="77777777" w:rsidR="006218C3" w:rsidRPr="006218C3" w:rsidRDefault="006218C3" w:rsidP="001061B0">
      <w:pPr>
        <w:pStyle w:val="Normal1"/>
        <w:spacing w:line="360" w:lineRule="auto"/>
        <w:jc w:val="both"/>
        <w:rPr>
          <w:rFonts w:ascii="Times New Roman" w:eastAsia="Times New Roman" w:hAnsi="Times New Roman" w:cs="Times New Roman"/>
          <w:sz w:val="24"/>
          <w:szCs w:val="24"/>
          <w:lang w:val="en-GB"/>
        </w:rPr>
      </w:pPr>
    </w:p>
    <w:p w14:paraId="05525F6E" w14:textId="4F935DA5" w:rsidR="006218C3"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lastRenderedPageBreak/>
        <w:t>Debt to equity ratio:</w:t>
      </w:r>
    </w:p>
    <w:p w14:paraId="430198F8" w14:textId="77777777" w:rsidR="007A5DAF" w:rsidRPr="006218C3" w:rsidRDefault="007A5DAF" w:rsidP="007A5DAF">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B" wp14:editId="43019C3C">
            <wp:extent cx="3771900" cy="2066925"/>
            <wp:effectExtent l="1905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30198F9" w14:textId="77777777" w:rsidR="00374517" w:rsidRPr="006218C3" w:rsidRDefault="00374517" w:rsidP="00374517">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FA"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Debt to equity ratio is essential to measure financial risk of a business as it points out how much debt a company owes against its shareholders' funds (Irman and Purwati, 2020). A higher D/E ratio is always a concerning factor to shareholders as it bears more risk. D/E ratio of Next Plc has been figured out by 2.09 in 2022 and 3.70 in 2021 respectively. In fiscal year 2022 company reduced its debt by £336 million and the value of equity increased by £349.1 million which led D/E ratio down. Reducing debt against equity brings more stability to businesses and reduced financial risk.  </w:t>
      </w:r>
    </w:p>
    <w:p w14:paraId="430198FB" w14:textId="77777777" w:rsidR="001061B0" w:rsidRPr="006218C3" w:rsidRDefault="001061B0" w:rsidP="001061B0">
      <w:pPr>
        <w:pStyle w:val="Normal1"/>
        <w:spacing w:line="360" w:lineRule="auto"/>
        <w:jc w:val="both"/>
        <w:rPr>
          <w:rFonts w:ascii="Times New Roman" w:eastAsia="Times New Roman" w:hAnsi="Times New Roman" w:cs="Times New Roman"/>
          <w:b/>
          <w:i/>
          <w:sz w:val="24"/>
          <w:szCs w:val="24"/>
          <w:lang w:val="en-GB"/>
        </w:rPr>
      </w:pPr>
      <w:r w:rsidRPr="006218C3">
        <w:rPr>
          <w:rFonts w:ascii="Times New Roman" w:eastAsia="Times New Roman" w:hAnsi="Times New Roman" w:cs="Times New Roman"/>
          <w:b/>
          <w:i/>
          <w:sz w:val="24"/>
          <w:szCs w:val="24"/>
          <w:lang w:val="en-GB"/>
        </w:rPr>
        <w:t>Interest coverage ratio:</w:t>
      </w:r>
    </w:p>
    <w:p w14:paraId="430198FC" w14:textId="77777777" w:rsidR="001165C7" w:rsidRPr="006218C3" w:rsidRDefault="001165C7" w:rsidP="001165C7">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noProof/>
          <w:sz w:val="24"/>
          <w:szCs w:val="24"/>
          <w:lang w:val="en-IN" w:eastAsia="en-IN"/>
        </w:rPr>
        <w:drawing>
          <wp:inline distT="0" distB="0" distL="0" distR="0" wp14:anchorId="43019C3D" wp14:editId="43019C3E">
            <wp:extent cx="4181475" cy="2371725"/>
            <wp:effectExtent l="1905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30198FD" w14:textId="77777777" w:rsidR="004476EA" w:rsidRPr="006218C3" w:rsidRDefault="004476EA" w:rsidP="004476EA">
      <w:pPr>
        <w:pStyle w:val="Normal1"/>
        <w:spacing w:line="360" w:lineRule="auto"/>
        <w:jc w:val="center"/>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(Source: Self-developed)</w:t>
      </w:r>
    </w:p>
    <w:p w14:paraId="430198FE" w14:textId="77777777" w:rsidR="001061B0" w:rsidRPr="006218C3" w:rsidRDefault="001061B0" w:rsidP="001061B0">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Interest coverage ratio assesses how easily a business can pay interest on its outstanding debt. IC ratio enables investors, and financial institutions to understand current ability of businesses to pay accumulated debt (Ji, 2019). Next Plc reported its IC ratio of 9.94 times in 2022 which was </w:t>
      </w:r>
      <w:r w:rsidRPr="006218C3">
        <w:rPr>
          <w:rFonts w:ascii="Times New Roman" w:eastAsia="Times New Roman" w:hAnsi="Times New Roman" w:cs="Times New Roman"/>
          <w:sz w:val="24"/>
          <w:szCs w:val="24"/>
          <w:lang w:val="en-GB"/>
        </w:rPr>
        <w:lastRenderedPageBreak/>
        <w:t xml:space="preserve">4.38 in 2021. An increase in EBIT is a major reason behind the significant jump in IC ratio. Company’s ability to pay interest on outstanding debt is much higher which ensures better financial stability and reduces risk. It can help company to perform more effective ways to pay interest and report better financial results. </w:t>
      </w:r>
    </w:p>
    <w:p w14:paraId="430198FF" w14:textId="77777777" w:rsidR="001061B0" w:rsidRPr="006218C3" w:rsidRDefault="001061B0" w:rsidP="001061B0">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Limitation of ratio analysis:</w:t>
      </w:r>
    </w:p>
    <w:p w14:paraId="43019900" w14:textId="77777777" w:rsidR="001061B0" w:rsidRPr="006218C3" w:rsidRDefault="001061B0" w:rsidP="001061B0">
      <w:pPr>
        <w:pStyle w:val="Normal1"/>
        <w:numPr>
          <w:ilvl w:val="0"/>
          <w:numId w:val="3"/>
        </w:numPr>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Ratio analysis is performed based on historic data and a decision is made to generate higher returns in future. Business environment is filled with risk and uncertainties as events like the Russia-Ukraine war or Covid can happen that reduce the credibility and reliability of ratio analysis.</w:t>
      </w:r>
    </w:p>
    <w:p w14:paraId="43019901" w14:textId="77777777" w:rsidR="001061B0" w:rsidRPr="006218C3" w:rsidRDefault="001061B0" w:rsidP="001061B0">
      <w:pPr>
        <w:pStyle w:val="Normal1"/>
        <w:numPr>
          <w:ilvl w:val="0"/>
          <w:numId w:val="3"/>
        </w:numPr>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Change in management or change in business structure also makes significant impacts on the effectiveness of ratio analysis. New management will run business in a new way and bring changes in the overall process of business operation (Corporatefinanceinstitute.com, 2022). As a result, ratio analyses that were prepared based on past management performance do not have any signalling power about future performance.</w:t>
      </w:r>
    </w:p>
    <w:p w14:paraId="43019902" w14:textId="77777777" w:rsidR="001061B0" w:rsidRPr="006218C3" w:rsidRDefault="001061B0" w:rsidP="001061B0">
      <w:pPr>
        <w:pStyle w:val="Normal1"/>
        <w:numPr>
          <w:ilvl w:val="0"/>
          <w:numId w:val="3"/>
        </w:numPr>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Financial statements are released periodically and due to these reasons, there are significant time gaps between each release. If inflation takes place between these times then financial statements are unable to represent actual financial positions of the business.  Performed ratio analysis based on this data also leads to wrong results that impact business and shareholders.</w:t>
      </w:r>
    </w:p>
    <w:p w14:paraId="43019903" w14:textId="77777777" w:rsidR="00C52C44" w:rsidRPr="006218C3" w:rsidRDefault="001061B0"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Ratio analysis is performed based on data that are reported in financial statements. However, financial statements can easily be manipulated by increasing revenue, reducing cost or inflating asset value, and reducing liabilities (Corporatefinanceinstitute.com, 2022). Therefore, ratio analysis is not able to reflect the actual financial position of a business.   </w:t>
      </w:r>
    </w:p>
    <w:p w14:paraId="43019904" w14:textId="77777777" w:rsidR="00B25456" w:rsidRPr="006218C3" w:rsidRDefault="00A3548F" w:rsidP="00C52C44">
      <w:pPr>
        <w:pStyle w:val="Heading1"/>
        <w:rPr>
          <w:lang w:val="en-GB"/>
        </w:rPr>
      </w:pPr>
      <w:bookmarkStart w:id="4" w:name="_Toc128065902"/>
      <w:r w:rsidRPr="006218C3">
        <w:rPr>
          <w:lang w:val="en-GB"/>
        </w:rPr>
        <w:t>C. Recommendation:</w:t>
      </w:r>
      <w:bookmarkEnd w:id="4"/>
    </w:p>
    <w:p w14:paraId="43019905" w14:textId="77777777" w:rsidR="00B25456" w:rsidRPr="006218C3" w:rsidRDefault="00A3548F" w:rsidP="004C4AFF">
      <w:pPr>
        <w:pStyle w:val="Normal1"/>
        <w:numPr>
          <w:ilvl w:val="0"/>
          <w:numId w:val="2"/>
        </w:numPr>
        <w:spacing w:before="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In order to enhance its liquidity performance, the company will have to reduce its short-term debts and current liability along with increasing current assets. Based on the views of </w:t>
      </w:r>
      <w:r w:rsidRPr="006218C3">
        <w:rPr>
          <w:rFonts w:ascii="Times New Roman" w:eastAsia="Times New Roman" w:hAnsi="Times New Roman" w:cs="Times New Roman"/>
          <w:sz w:val="24"/>
          <w:szCs w:val="24"/>
          <w:highlight w:val="white"/>
          <w:lang w:val="en-GB"/>
        </w:rPr>
        <w:t>Yan and Zhang (2022)</w:t>
      </w:r>
      <w:r w:rsidRPr="006218C3">
        <w:rPr>
          <w:rFonts w:ascii="Times New Roman" w:eastAsia="Times New Roman" w:hAnsi="Times New Roman" w:cs="Times New Roman"/>
          <w:sz w:val="24"/>
          <w:szCs w:val="24"/>
          <w:lang w:val="en-GB"/>
        </w:rPr>
        <w:t xml:space="preserve">, the more the difference between current assets and current liabilities, the better the working capital of the company. With a higher balance of working capital, the company will be able to pay the business obligations. </w:t>
      </w:r>
    </w:p>
    <w:p w14:paraId="43019906" w14:textId="77777777" w:rsidR="00B25456" w:rsidRPr="006218C3" w:rsidRDefault="00A3548F" w:rsidP="004C4AFF">
      <w:pPr>
        <w:pStyle w:val="Normal1"/>
        <w:numPr>
          <w:ilvl w:val="0"/>
          <w:numId w:val="2"/>
        </w:numPr>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The best way to enhance the profitability performance of the company is to increase sales and reduce expenses. There are 4 main areas that help a company in driving profitability such as reducing costs, increasing productivity, increasing turnover, as well as increasing efficiency. The lower the cost, the better control the company will have over its profits and can pay dividends (</w:t>
      </w:r>
      <w:r w:rsidRPr="006218C3">
        <w:rPr>
          <w:rFonts w:ascii="Times New Roman" w:eastAsia="Times New Roman" w:hAnsi="Times New Roman" w:cs="Times New Roman"/>
          <w:sz w:val="24"/>
          <w:szCs w:val="24"/>
          <w:highlight w:val="white"/>
          <w:lang w:val="en-GB"/>
        </w:rPr>
        <w:t>Wang, 2021)</w:t>
      </w:r>
      <w:r w:rsidRPr="006218C3">
        <w:rPr>
          <w:rFonts w:ascii="Times New Roman" w:eastAsia="Times New Roman" w:hAnsi="Times New Roman" w:cs="Times New Roman"/>
          <w:sz w:val="24"/>
          <w:szCs w:val="24"/>
          <w:lang w:val="en-GB"/>
        </w:rPr>
        <w:t xml:space="preserve">. </w:t>
      </w:r>
    </w:p>
    <w:p w14:paraId="43019907" w14:textId="77777777" w:rsidR="00B25456" w:rsidRPr="006218C3" w:rsidRDefault="00A3548F" w:rsidP="004C4AFF">
      <w:pPr>
        <w:pStyle w:val="Normal1"/>
        <w:numPr>
          <w:ilvl w:val="0"/>
          <w:numId w:val="2"/>
        </w:numPr>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Inventory management is very important for the company due to which Next plc will have to ensure that the acquisition of resources is being done with proper planning. The company is currently overstocking due to which a lot of inventories are left at the end. This is not a correct approach to managing inventories because it leads to wastage. Rather, Next plc must use “Just in Time” inventory management technique where resources are acquired as per requirement or only when the existing ones are on the verge of getting used.</w:t>
      </w:r>
    </w:p>
    <w:p w14:paraId="43019908" w14:textId="77777777" w:rsidR="00B25456" w:rsidRPr="006218C3" w:rsidRDefault="00A3548F" w:rsidP="004C4AFF">
      <w:pPr>
        <w:pStyle w:val="Normal1"/>
        <w:numPr>
          <w:ilvl w:val="0"/>
          <w:numId w:val="2"/>
        </w:numPr>
        <w:spacing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Next plc is required to use assets strategically so that it can earn more returns over them. Asset management is very important for the business to ensure that it is earning well throughout the course of business. </w:t>
      </w:r>
      <w:r w:rsidR="004C4AFF" w:rsidRPr="006218C3">
        <w:rPr>
          <w:rFonts w:ascii="Times New Roman" w:eastAsia="Times New Roman" w:hAnsi="Times New Roman" w:cs="Times New Roman"/>
          <w:sz w:val="24"/>
          <w:szCs w:val="24"/>
          <w:lang w:val="en-GB"/>
        </w:rPr>
        <w:t xml:space="preserve">Along with this, the company is required to manage its capital in a better way to be able to earn more returns or ROCE.  </w:t>
      </w:r>
      <w:r w:rsidRPr="006218C3">
        <w:rPr>
          <w:rFonts w:ascii="Times New Roman" w:eastAsia="Times New Roman" w:hAnsi="Times New Roman" w:cs="Times New Roman"/>
          <w:sz w:val="24"/>
          <w:szCs w:val="24"/>
          <w:lang w:val="en-GB"/>
        </w:rPr>
        <w:t xml:space="preserve">    </w:t>
      </w:r>
    </w:p>
    <w:p w14:paraId="43019909" w14:textId="77777777" w:rsidR="00B25456" w:rsidRPr="006218C3" w:rsidRDefault="00B25456" w:rsidP="004C4AFF">
      <w:pPr>
        <w:pStyle w:val="Normal1"/>
        <w:spacing w:before="200" w:after="200" w:line="360" w:lineRule="auto"/>
        <w:jc w:val="both"/>
        <w:rPr>
          <w:rFonts w:ascii="Times New Roman" w:eastAsia="Times New Roman" w:hAnsi="Times New Roman" w:cs="Times New Roman"/>
          <w:sz w:val="24"/>
          <w:szCs w:val="24"/>
          <w:lang w:val="en-GB"/>
        </w:rPr>
      </w:pPr>
    </w:p>
    <w:p w14:paraId="4301990A"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b/>
          <w:sz w:val="24"/>
          <w:szCs w:val="24"/>
          <w:lang w:val="en-GB"/>
        </w:rPr>
      </w:pPr>
      <w:r w:rsidRPr="006218C3">
        <w:rPr>
          <w:rFonts w:ascii="Times New Roman" w:hAnsi="Times New Roman" w:cs="Times New Roman"/>
          <w:lang w:val="en-GB"/>
        </w:rPr>
        <w:br w:type="page"/>
      </w:r>
    </w:p>
    <w:p w14:paraId="4301990B" w14:textId="77777777" w:rsidR="00B25456" w:rsidRPr="006218C3" w:rsidRDefault="00A3548F" w:rsidP="00C52C44">
      <w:pPr>
        <w:pStyle w:val="Heading1"/>
        <w:rPr>
          <w:lang w:val="en-GB"/>
        </w:rPr>
      </w:pPr>
      <w:bookmarkStart w:id="5" w:name="_Toc128065903"/>
      <w:r w:rsidRPr="006218C3">
        <w:rPr>
          <w:lang w:val="en-GB"/>
        </w:rPr>
        <w:lastRenderedPageBreak/>
        <w:t>Part 2 – “Wales Company Investment Programme”:</w:t>
      </w:r>
      <w:bookmarkEnd w:id="5"/>
      <w:r w:rsidRPr="006218C3">
        <w:rPr>
          <w:lang w:val="en-GB"/>
        </w:rPr>
        <w:t xml:space="preserve"> </w:t>
      </w:r>
    </w:p>
    <w:p w14:paraId="4301990C" w14:textId="77777777" w:rsidR="00B25456" w:rsidRPr="006218C3" w:rsidRDefault="00A3548F" w:rsidP="00C52C44">
      <w:pPr>
        <w:pStyle w:val="Heading1"/>
        <w:rPr>
          <w:lang w:val="en-GB"/>
        </w:rPr>
      </w:pPr>
      <w:bookmarkStart w:id="6" w:name="_Toc128065904"/>
      <w:r w:rsidRPr="006218C3">
        <w:rPr>
          <w:lang w:val="en-GB"/>
        </w:rPr>
        <w:t>A. Introduction:</w:t>
      </w:r>
      <w:bookmarkEnd w:id="6"/>
    </w:p>
    <w:p w14:paraId="4301990D"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This study aims at evaluating investment options as well as proposing the way in which an investment program can be financed for “Wales Company”. In order to take the decision, NPV, PP, &amp; IRR have been calculated and interpreted in the report. Theoretical arguments are included for selecting NPV as the best investment appraisal method. The continued popularity of non-discounting methods among decision-makers in investment appraisal is explained. Other factors to be considered at the time of making an investment decision are discussed. Primary advantages &amp; disadvantages of both strategies are presented.</w:t>
      </w:r>
    </w:p>
    <w:p w14:paraId="4301990E" w14:textId="77777777" w:rsidR="00B25456" w:rsidRPr="006218C3" w:rsidRDefault="00A3548F" w:rsidP="00C52C44">
      <w:pPr>
        <w:pStyle w:val="Heading1"/>
        <w:rPr>
          <w:lang w:val="en-GB"/>
        </w:rPr>
      </w:pPr>
      <w:bookmarkStart w:id="7" w:name="_Toc128065905"/>
      <w:r w:rsidRPr="006218C3">
        <w:rPr>
          <w:lang w:val="en-GB"/>
        </w:rPr>
        <w:t>B. Evaluation through NPV:</w:t>
      </w:r>
      <w:bookmarkEnd w:id="7"/>
    </w:p>
    <w:p w14:paraId="4301990F"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Based on the views of </w:t>
      </w:r>
      <w:r w:rsidRPr="006218C3">
        <w:rPr>
          <w:rFonts w:ascii="Times New Roman" w:eastAsia="Times New Roman" w:hAnsi="Times New Roman" w:cs="Times New Roman"/>
          <w:sz w:val="24"/>
          <w:szCs w:val="24"/>
          <w:highlight w:val="white"/>
          <w:lang w:val="en-GB"/>
        </w:rPr>
        <w:t>Sokolov (2023)</w:t>
      </w:r>
      <w:r w:rsidRPr="006218C3">
        <w:rPr>
          <w:rFonts w:ascii="Times New Roman" w:eastAsia="Times New Roman" w:hAnsi="Times New Roman" w:cs="Times New Roman"/>
          <w:sz w:val="24"/>
          <w:szCs w:val="24"/>
          <w:lang w:val="en-GB"/>
        </w:rPr>
        <w:t>, NPV involves calculation of current value of any future payment stream from a project, or investment. It has been calculated using = “NPV = CF1/(1 + r)^1 + CF2/(1 + r)^2 + CF3/(1 + r)^3 +CF4/(1 + r)^4 + CF5/(1 + r)^5 - CF0”.</w:t>
      </w:r>
    </w:p>
    <w:tbl>
      <w:tblPr>
        <w:tblStyle w:val="a"/>
        <w:tblW w:w="823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0"/>
        <w:gridCol w:w="2160"/>
        <w:gridCol w:w="1965"/>
        <w:gridCol w:w="2100"/>
      </w:tblGrid>
      <w:tr w:rsidR="00B25456" w:rsidRPr="006218C3" w14:paraId="43019911" w14:textId="77777777" w:rsidTr="00C52C44">
        <w:trPr>
          <w:cantSplit/>
          <w:trHeight w:val="575"/>
          <w:tblHeader/>
          <w:jc w:val="center"/>
        </w:trPr>
        <w:tc>
          <w:tcPr>
            <w:tcW w:w="8235" w:type="dxa"/>
            <w:gridSpan w:val="4"/>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3019910" w14:textId="77777777" w:rsidR="00B25456" w:rsidRPr="006218C3" w:rsidRDefault="00A3548F" w:rsidP="004C4AFF">
            <w:pPr>
              <w:pStyle w:val="Normal1"/>
              <w:spacing w:line="360" w:lineRule="auto"/>
              <w:ind w:left="-96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NPV of Machine A</w:t>
            </w:r>
          </w:p>
        </w:tc>
      </w:tr>
      <w:tr w:rsidR="00B25456" w:rsidRPr="006218C3" w14:paraId="43019916"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2" w14:textId="77777777" w:rsidR="00B25456" w:rsidRPr="006218C3" w:rsidRDefault="00A3548F" w:rsidP="004C4AFF">
            <w:pPr>
              <w:pStyle w:val="Normal1"/>
              <w:spacing w:line="360" w:lineRule="auto"/>
              <w:ind w:left="-96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3" w14:textId="77777777" w:rsidR="00B25456" w:rsidRPr="006218C3" w:rsidRDefault="00A3548F" w:rsidP="004C4AFF">
            <w:pPr>
              <w:pStyle w:val="Normal1"/>
              <w:spacing w:line="360" w:lineRule="auto"/>
              <w:ind w:left="-96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4" w14:textId="77777777" w:rsidR="00B25456" w:rsidRPr="006218C3" w:rsidRDefault="00A3548F" w:rsidP="004C4AFF">
            <w:pPr>
              <w:pStyle w:val="Normal1"/>
              <w:spacing w:line="360" w:lineRule="auto"/>
              <w:ind w:left="-96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(20%)</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5" w14:textId="77777777" w:rsidR="00B25456" w:rsidRPr="006218C3" w:rsidRDefault="00A3548F" w:rsidP="004C4AFF">
            <w:pPr>
              <w:pStyle w:val="Normal1"/>
              <w:spacing w:line="360" w:lineRule="auto"/>
              <w:ind w:left="-96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r>
      <w:tr w:rsidR="00B25456" w:rsidRPr="006218C3" w14:paraId="4301991B"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7"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8"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100,000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9"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A"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100,000</w:t>
            </w:r>
          </w:p>
        </w:tc>
      </w:tr>
      <w:tr w:rsidR="00B25456" w:rsidRPr="006218C3" w14:paraId="43019920"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C"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D"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E"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0.8333</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1F"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33,333.33</w:t>
            </w:r>
          </w:p>
        </w:tc>
      </w:tr>
      <w:tr w:rsidR="00B25456" w:rsidRPr="006218C3" w14:paraId="43019925"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1"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2"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3"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0.6944</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4"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34,722.22</w:t>
            </w:r>
          </w:p>
        </w:tc>
      </w:tr>
      <w:tr w:rsidR="00B25456" w:rsidRPr="006218C3" w14:paraId="4301992A"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6"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7"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55,000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8"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0.5787</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9"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31,828.70</w:t>
            </w:r>
          </w:p>
        </w:tc>
      </w:tr>
      <w:tr w:rsidR="00B25456" w:rsidRPr="006218C3" w14:paraId="4301992F"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B"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C"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45,000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D"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0.4823</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2E"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21,701.39</w:t>
            </w:r>
          </w:p>
        </w:tc>
      </w:tr>
      <w:tr w:rsidR="00B25456" w:rsidRPr="006218C3" w14:paraId="43019934"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0"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1"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60,000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2"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0.4019</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3" w14:textId="77777777" w:rsidR="00B25456" w:rsidRPr="006218C3" w:rsidRDefault="00A3548F" w:rsidP="004C4AFF">
            <w:pPr>
              <w:pStyle w:val="Normal1"/>
              <w:spacing w:line="360" w:lineRule="auto"/>
              <w:ind w:left="-96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24,112.65</w:t>
            </w:r>
          </w:p>
        </w:tc>
      </w:tr>
      <w:tr w:rsidR="00B25456" w:rsidRPr="006218C3" w14:paraId="43019939"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5" w14:textId="77777777" w:rsidR="00B25456" w:rsidRPr="006218C3" w:rsidRDefault="00A3548F" w:rsidP="004C4AFF">
            <w:pPr>
              <w:pStyle w:val="Normal1"/>
              <w:spacing w:line="360" w:lineRule="auto"/>
              <w:ind w:left="-96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lastRenderedPageBreak/>
              <w:t>NPV</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6" w14:textId="77777777" w:rsidR="00B25456" w:rsidRPr="006218C3" w:rsidRDefault="00A3548F" w:rsidP="004C4AFF">
            <w:pPr>
              <w:pStyle w:val="Normal1"/>
              <w:spacing w:line="360" w:lineRule="auto"/>
              <w:ind w:left="-96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7" w14:textId="77777777" w:rsidR="00B25456" w:rsidRPr="006218C3" w:rsidRDefault="00A3548F" w:rsidP="004C4AFF">
            <w:pPr>
              <w:pStyle w:val="Normal1"/>
              <w:spacing w:line="360" w:lineRule="auto"/>
              <w:ind w:left="-96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8" w14:textId="77777777" w:rsidR="00B25456" w:rsidRPr="006218C3" w:rsidRDefault="00A3548F" w:rsidP="004C4AFF">
            <w:pPr>
              <w:pStyle w:val="Normal1"/>
              <w:spacing w:line="360" w:lineRule="auto"/>
              <w:ind w:left="-96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       45,698.30</w:t>
            </w:r>
          </w:p>
        </w:tc>
      </w:tr>
    </w:tbl>
    <w:p w14:paraId="4301993A" w14:textId="77777777" w:rsidR="00B25456" w:rsidRPr="006218C3" w:rsidRDefault="00A3548F" w:rsidP="004C4AFF">
      <w:pPr>
        <w:pStyle w:val="Normal1"/>
        <w:spacing w:before="240" w:after="24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bl>
      <w:tblPr>
        <w:tblStyle w:val="a0"/>
        <w:tblW w:w="8190" w:type="dxa"/>
        <w:jc w:val="center"/>
        <w:tblBorders>
          <w:top w:val="nil"/>
          <w:left w:val="nil"/>
          <w:bottom w:val="nil"/>
          <w:right w:val="nil"/>
          <w:insideH w:val="nil"/>
          <w:insideV w:val="nil"/>
        </w:tblBorders>
        <w:tblLayout w:type="fixed"/>
        <w:tblLook w:val="0600" w:firstRow="0" w:lastRow="0" w:firstColumn="0" w:lastColumn="0" w:noHBand="1" w:noVBand="1"/>
      </w:tblPr>
      <w:tblGrid>
        <w:gridCol w:w="1965"/>
        <w:gridCol w:w="2160"/>
        <w:gridCol w:w="1965"/>
        <w:gridCol w:w="2100"/>
      </w:tblGrid>
      <w:tr w:rsidR="00B25456" w:rsidRPr="006218C3" w14:paraId="4301993C" w14:textId="77777777" w:rsidTr="00C52C44">
        <w:trPr>
          <w:cantSplit/>
          <w:trHeight w:val="575"/>
          <w:tblHeader/>
          <w:jc w:val="center"/>
        </w:trPr>
        <w:tc>
          <w:tcPr>
            <w:tcW w:w="8190" w:type="dxa"/>
            <w:gridSpan w:val="4"/>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B" w14:textId="77777777" w:rsidR="00B25456" w:rsidRPr="006218C3" w:rsidRDefault="00A3548F" w:rsidP="004C4AFF">
            <w:pPr>
              <w:pStyle w:val="Normal1"/>
              <w:spacing w:line="360" w:lineRule="auto"/>
              <w:ind w:left="-92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NPV of Machine B</w:t>
            </w:r>
          </w:p>
        </w:tc>
      </w:tr>
      <w:tr w:rsidR="00B25456" w:rsidRPr="006218C3" w14:paraId="43019941"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D" w14:textId="77777777" w:rsidR="00B25456" w:rsidRPr="006218C3" w:rsidRDefault="00A3548F" w:rsidP="004C4AFF">
            <w:pPr>
              <w:pStyle w:val="Normal1"/>
              <w:spacing w:line="360" w:lineRule="auto"/>
              <w:ind w:left="-92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E" w14:textId="77777777" w:rsidR="00B25456" w:rsidRPr="006218C3" w:rsidRDefault="00A3548F" w:rsidP="004C4AFF">
            <w:pPr>
              <w:pStyle w:val="Normal1"/>
              <w:spacing w:line="360" w:lineRule="auto"/>
              <w:ind w:left="-92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3F" w14:textId="77777777" w:rsidR="00B25456" w:rsidRPr="006218C3" w:rsidRDefault="00A3548F" w:rsidP="004C4AFF">
            <w:pPr>
              <w:pStyle w:val="Normal1"/>
              <w:spacing w:line="360" w:lineRule="auto"/>
              <w:ind w:left="-92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(20%)</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0" w14:textId="77777777" w:rsidR="00B25456" w:rsidRPr="006218C3" w:rsidRDefault="00A3548F" w:rsidP="004C4AFF">
            <w:pPr>
              <w:pStyle w:val="Normal1"/>
              <w:spacing w:line="360" w:lineRule="auto"/>
              <w:ind w:left="-92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r>
      <w:tr w:rsidR="00B25456" w:rsidRPr="006218C3" w14:paraId="43019946"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2"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3"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100,000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4"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5"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100,000</w:t>
            </w:r>
          </w:p>
        </w:tc>
      </w:tr>
      <w:tr w:rsidR="00B25456" w:rsidRPr="006218C3" w14:paraId="4301994B"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7"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8"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25,000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9"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0.8333</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A"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20,833.33</w:t>
            </w:r>
          </w:p>
        </w:tc>
      </w:tr>
      <w:tr w:rsidR="00B25456" w:rsidRPr="006218C3" w14:paraId="43019950"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C"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D"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E"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0.6944</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4F"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27,777.78</w:t>
            </w:r>
          </w:p>
        </w:tc>
      </w:tr>
      <w:tr w:rsidR="00B25456" w:rsidRPr="006218C3" w14:paraId="43019955"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1"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2"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35,000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3"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0.5787</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4"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20,254.63</w:t>
            </w:r>
          </w:p>
        </w:tc>
      </w:tr>
      <w:tr w:rsidR="00B25456" w:rsidRPr="006218C3" w14:paraId="4301995A"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6"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7"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75,000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8"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0.4823</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9"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36,168.98</w:t>
            </w:r>
          </w:p>
        </w:tc>
      </w:tr>
      <w:tr w:rsidR="00B25456" w:rsidRPr="006218C3" w14:paraId="4301995F"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B"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C"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D"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0.4019</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5E" w14:textId="77777777" w:rsidR="00B25456" w:rsidRPr="006218C3" w:rsidRDefault="00A3548F" w:rsidP="004C4AFF">
            <w:pPr>
              <w:pStyle w:val="Normal1"/>
              <w:spacing w:line="360" w:lineRule="auto"/>
              <w:ind w:left="-92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20,093.88</w:t>
            </w:r>
          </w:p>
        </w:tc>
      </w:tr>
      <w:tr w:rsidR="00B25456" w:rsidRPr="006218C3" w14:paraId="43019964" w14:textId="77777777" w:rsidTr="00C52C44">
        <w:trPr>
          <w:cantSplit/>
          <w:trHeight w:val="575"/>
          <w:tblHeader/>
          <w:jc w:val="center"/>
        </w:trPr>
        <w:tc>
          <w:tcPr>
            <w:tcW w:w="19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0" w14:textId="77777777" w:rsidR="00B25456" w:rsidRPr="006218C3" w:rsidRDefault="00A3548F" w:rsidP="004C4AFF">
            <w:pPr>
              <w:pStyle w:val="Normal1"/>
              <w:spacing w:line="360" w:lineRule="auto"/>
              <w:ind w:left="-92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NPV</w:t>
            </w:r>
          </w:p>
        </w:tc>
        <w:tc>
          <w:tcPr>
            <w:tcW w:w="216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1" w14:textId="77777777" w:rsidR="00B25456" w:rsidRPr="006218C3" w:rsidRDefault="00A3548F" w:rsidP="004C4AFF">
            <w:pPr>
              <w:pStyle w:val="Normal1"/>
              <w:spacing w:line="360" w:lineRule="auto"/>
              <w:ind w:left="-92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9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2" w14:textId="77777777" w:rsidR="00B25456" w:rsidRPr="006218C3" w:rsidRDefault="00A3548F" w:rsidP="004C4AFF">
            <w:pPr>
              <w:pStyle w:val="Normal1"/>
              <w:spacing w:line="360" w:lineRule="auto"/>
              <w:ind w:left="-92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210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3" w14:textId="77777777" w:rsidR="00B25456" w:rsidRPr="006218C3" w:rsidRDefault="00A3548F" w:rsidP="004C4AFF">
            <w:pPr>
              <w:pStyle w:val="Normal1"/>
              <w:spacing w:line="360" w:lineRule="auto"/>
              <w:ind w:left="-92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       25,128.60</w:t>
            </w:r>
          </w:p>
        </w:tc>
      </w:tr>
    </w:tbl>
    <w:p w14:paraId="33344B05" w14:textId="77777777" w:rsid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The criteria for selection in the case of NPV is positive value because a negative amount shows that expenses are higher than income which is not beneficial for the business. On the other hand, positive value shows that income is higher than expense which is beneficial for the business that is willing to invest in a particular project. Not only this, if any project has NPV equal to zero, then it shows that expenses are equal to income which means no profit or loss will be earned by the company. If both the projects have positive value, then the one with a higher NPV will be selected over the lower one in order to achieve more profit. Here, NPV of machine A is £ 45,698.30 and of machine, B is £ 25,128.60, machine A must be selected.</w:t>
      </w:r>
    </w:p>
    <w:p w14:paraId="43019965" w14:textId="637C50CA"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p w14:paraId="43019966" w14:textId="77777777" w:rsidR="00B25456" w:rsidRPr="006218C3" w:rsidRDefault="00A3548F" w:rsidP="00C52C44">
      <w:pPr>
        <w:pStyle w:val="Heading1"/>
        <w:rPr>
          <w:lang w:val="en-GB"/>
        </w:rPr>
      </w:pPr>
      <w:bookmarkStart w:id="8" w:name="_Toc128065906"/>
      <w:r w:rsidRPr="006218C3">
        <w:rPr>
          <w:lang w:val="en-GB"/>
        </w:rPr>
        <w:lastRenderedPageBreak/>
        <w:t>C. Evaluation through Payback:</w:t>
      </w:r>
      <w:bookmarkEnd w:id="8"/>
    </w:p>
    <w:p w14:paraId="43019967"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As commented by </w:t>
      </w:r>
      <w:r w:rsidRPr="006218C3">
        <w:rPr>
          <w:rFonts w:ascii="Times New Roman" w:eastAsia="Times New Roman" w:hAnsi="Times New Roman" w:cs="Times New Roman"/>
          <w:sz w:val="24"/>
          <w:szCs w:val="24"/>
          <w:highlight w:val="white"/>
          <w:lang w:val="en-GB"/>
        </w:rPr>
        <w:t xml:space="preserve">Dai </w:t>
      </w:r>
      <w:r w:rsidRPr="006218C3">
        <w:rPr>
          <w:rFonts w:ascii="Times New Roman" w:eastAsia="Times New Roman" w:hAnsi="Times New Roman" w:cs="Times New Roman"/>
          <w:i/>
          <w:sz w:val="24"/>
          <w:szCs w:val="24"/>
          <w:highlight w:val="white"/>
          <w:lang w:val="en-GB"/>
        </w:rPr>
        <w:t xml:space="preserve">et al. </w:t>
      </w:r>
      <w:r w:rsidRPr="006218C3">
        <w:rPr>
          <w:rFonts w:ascii="Times New Roman" w:eastAsia="Times New Roman" w:hAnsi="Times New Roman" w:cs="Times New Roman"/>
          <w:sz w:val="24"/>
          <w:szCs w:val="24"/>
          <w:lang w:val="en-GB"/>
        </w:rPr>
        <w:t>(2022), payback includes time taken by the initial investment to be repaid out of the net cash inflows from a project. It has been calculated using = “payback = years before breakeven + unrecovered amount / Cash flow in recovery year”.</w:t>
      </w:r>
    </w:p>
    <w:tbl>
      <w:tblPr>
        <w:tblStyle w:val="a1"/>
        <w:tblW w:w="796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0"/>
        <w:gridCol w:w="3030"/>
        <w:gridCol w:w="2925"/>
      </w:tblGrid>
      <w:tr w:rsidR="00B25456" w:rsidRPr="006218C3" w14:paraId="43019969" w14:textId="77777777" w:rsidTr="00C52C44">
        <w:trPr>
          <w:cantSplit/>
          <w:trHeight w:val="575"/>
          <w:tblHeader/>
          <w:jc w:val="center"/>
        </w:trPr>
        <w:tc>
          <w:tcPr>
            <w:tcW w:w="7965" w:type="dxa"/>
            <w:gridSpan w:val="3"/>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3019968"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Payback of Machine A</w:t>
            </w:r>
          </w:p>
        </w:tc>
      </w:tr>
      <w:tr w:rsidR="00B25456" w:rsidRPr="006218C3" w14:paraId="4301996D"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A"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B"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C"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CCF</w:t>
            </w:r>
          </w:p>
        </w:tc>
      </w:tr>
      <w:tr w:rsidR="00B25456" w:rsidRPr="006218C3" w14:paraId="43019971"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6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w:t>
            </w:r>
            <w:r w:rsidRPr="006218C3">
              <w:rPr>
                <w:rFonts w:ascii="Times New Roman" w:eastAsia="Times New Roman" w:hAnsi="Times New Roman" w:cs="Times New Roman"/>
                <w:sz w:val="24"/>
                <w:szCs w:val="24"/>
                <w:lang w:val="en-GB"/>
              </w:rPr>
              <w:tab/>
              <w:t>100,000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r>
      <w:tr w:rsidR="00B25456" w:rsidRPr="006218C3" w14:paraId="43019975"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60,000</w:t>
            </w:r>
          </w:p>
        </w:tc>
      </w:tr>
      <w:tr w:rsidR="00B25456" w:rsidRPr="006218C3" w14:paraId="43019979"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10,000</w:t>
            </w:r>
          </w:p>
        </w:tc>
      </w:tr>
      <w:tr w:rsidR="00B25456" w:rsidRPr="006218C3" w14:paraId="4301997D"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55,000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w:t>
            </w:r>
            <w:r w:rsidRPr="006218C3">
              <w:rPr>
                <w:rFonts w:ascii="Times New Roman" w:eastAsia="Times New Roman" w:hAnsi="Times New Roman" w:cs="Times New Roman"/>
                <w:sz w:val="24"/>
                <w:szCs w:val="24"/>
                <w:lang w:val="en-GB"/>
              </w:rPr>
              <w:tab/>
              <w:t xml:space="preserve"> 45,000</w:t>
            </w:r>
          </w:p>
        </w:tc>
      </w:tr>
      <w:tr w:rsidR="00B25456" w:rsidRPr="006218C3" w14:paraId="43019981"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7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45,000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90,000</w:t>
            </w:r>
          </w:p>
        </w:tc>
      </w:tr>
      <w:tr w:rsidR="00B25456" w:rsidRPr="006218C3" w14:paraId="43019985"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60,000</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150,000</w:t>
            </w:r>
          </w:p>
        </w:tc>
      </w:tr>
      <w:tr w:rsidR="00B25456" w:rsidRPr="006218C3" w14:paraId="43019989"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6"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Payback</w:t>
            </w:r>
          </w:p>
        </w:tc>
        <w:tc>
          <w:tcPr>
            <w:tcW w:w="303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7" w14:textId="77777777" w:rsidR="00B25456" w:rsidRPr="006218C3" w:rsidRDefault="00A3548F" w:rsidP="004C4AFF">
            <w:pPr>
              <w:pStyle w:val="Normal1"/>
              <w:spacing w:line="360" w:lineRule="auto"/>
              <w:ind w:left="100"/>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292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8"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2.18 years</w:t>
            </w:r>
          </w:p>
        </w:tc>
      </w:tr>
    </w:tbl>
    <w:p w14:paraId="4301998A" w14:textId="77777777" w:rsidR="00B25456" w:rsidRPr="006218C3" w:rsidRDefault="00A3548F" w:rsidP="004C4AFF">
      <w:pPr>
        <w:pStyle w:val="Normal1"/>
        <w:spacing w:before="240" w:after="24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bl>
      <w:tblPr>
        <w:tblStyle w:val="a2"/>
        <w:tblW w:w="79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0"/>
        <w:gridCol w:w="3045"/>
        <w:gridCol w:w="2940"/>
      </w:tblGrid>
      <w:tr w:rsidR="00B25456" w:rsidRPr="006218C3" w14:paraId="4301998C" w14:textId="77777777" w:rsidTr="00C52C44">
        <w:trPr>
          <w:cantSplit/>
          <w:trHeight w:val="575"/>
          <w:tblHeader/>
          <w:jc w:val="center"/>
        </w:trPr>
        <w:tc>
          <w:tcPr>
            <w:tcW w:w="7995" w:type="dxa"/>
            <w:gridSpan w:val="3"/>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B"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Payback of Machine B</w:t>
            </w:r>
          </w:p>
        </w:tc>
      </w:tr>
      <w:tr w:rsidR="00B25456" w:rsidRPr="006218C3" w14:paraId="43019990"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D"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E"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8F"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CCF</w:t>
            </w:r>
          </w:p>
        </w:tc>
      </w:tr>
      <w:tr w:rsidR="00B25456" w:rsidRPr="006218C3" w14:paraId="43019994"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w:t>
            </w:r>
            <w:r w:rsidRPr="006218C3">
              <w:rPr>
                <w:rFonts w:ascii="Times New Roman" w:eastAsia="Times New Roman" w:hAnsi="Times New Roman" w:cs="Times New Roman"/>
                <w:sz w:val="24"/>
                <w:szCs w:val="24"/>
                <w:lang w:val="en-GB"/>
              </w:rPr>
              <w:tab/>
              <w:t>100,000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r>
      <w:tr w:rsidR="00B25456" w:rsidRPr="006218C3" w14:paraId="43019998"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1</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25,000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75,000</w:t>
            </w:r>
          </w:p>
        </w:tc>
      </w:tr>
      <w:tr w:rsidR="00B25456" w:rsidRPr="006218C3" w14:paraId="4301999C"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ab/>
              <w:t>35,000</w:t>
            </w:r>
          </w:p>
        </w:tc>
      </w:tr>
      <w:tr w:rsidR="00B25456" w:rsidRPr="006218C3" w14:paraId="430199A0"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D"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35,000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9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w:t>
            </w:r>
            <w:r w:rsidRPr="006218C3">
              <w:rPr>
                <w:rFonts w:ascii="Times New Roman" w:eastAsia="Times New Roman" w:hAnsi="Times New Roman" w:cs="Times New Roman"/>
                <w:sz w:val="24"/>
                <w:szCs w:val="24"/>
                <w:lang w:val="en-GB"/>
              </w:rPr>
              <w:tab/>
              <w:t xml:space="preserve">-  </w:t>
            </w:r>
          </w:p>
        </w:tc>
      </w:tr>
      <w:tr w:rsidR="00B25456" w:rsidRPr="006218C3" w14:paraId="430199A4"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75,000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75,000</w:t>
            </w:r>
          </w:p>
        </w:tc>
      </w:tr>
      <w:tr w:rsidR="00B25456" w:rsidRPr="006218C3" w14:paraId="430199A8"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125,000</w:t>
            </w:r>
          </w:p>
        </w:tc>
      </w:tr>
      <w:tr w:rsidR="00B25456" w:rsidRPr="006218C3" w14:paraId="430199AC" w14:textId="77777777" w:rsidTr="00C52C44">
        <w:trPr>
          <w:cantSplit/>
          <w:trHeight w:val="575"/>
          <w:tblHeader/>
          <w:jc w:val="center"/>
        </w:trPr>
        <w:tc>
          <w:tcPr>
            <w:tcW w:w="201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9"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Payback</w:t>
            </w:r>
          </w:p>
        </w:tc>
        <w:tc>
          <w:tcPr>
            <w:tcW w:w="304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A" w14:textId="77777777" w:rsidR="00B25456" w:rsidRPr="006218C3" w:rsidRDefault="00A3548F" w:rsidP="004C4AFF">
            <w:pPr>
              <w:pStyle w:val="Normal1"/>
              <w:spacing w:line="360" w:lineRule="auto"/>
              <w:ind w:left="100"/>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29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AB"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3 years</w:t>
            </w:r>
          </w:p>
        </w:tc>
      </w:tr>
    </w:tbl>
    <w:p w14:paraId="430199AD"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In the case of a payback period, the criteria of selection is the lowest time period taken. This means, the faster a company is able to regenerate all its invested amount of money, the more profitable it is for the investor to invest in it. Also, if both projects have low payback then the one with the lowest amount must be selected. Here, payback of machine A is 2.18 years and of machine, B is 3 years, machine A must be selected.</w:t>
      </w:r>
    </w:p>
    <w:p w14:paraId="430199AE" w14:textId="77777777" w:rsidR="00B25456" w:rsidRPr="006218C3" w:rsidRDefault="00A3548F" w:rsidP="00C52C44">
      <w:pPr>
        <w:pStyle w:val="Heading1"/>
        <w:rPr>
          <w:lang w:val="en-GB"/>
        </w:rPr>
      </w:pPr>
      <w:bookmarkStart w:id="9" w:name="_Toc128065907"/>
      <w:r w:rsidRPr="006218C3">
        <w:rPr>
          <w:lang w:val="en-GB"/>
        </w:rPr>
        <w:t>D. Evaluation through IRR:</w:t>
      </w:r>
      <w:bookmarkEnd w:id="9"/>
    </w:p>
    <w:p w14:paraId="430199AF"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In the views of </w:t>
      </w:r>
      <w:r w:rsidRPr="006218C3">
        <w:rPr>
          <w:rFonts w:ascii="Times New Roman" w:eastAsia="Times New Roman" w:hAnsi="Times New Roman" w:cs="Times New Roman"/>
          <w:sz w:val="24"/>
          <w:szCs w:val="24"/>
          <w:highlight w:val="white"/>
          <w:lang w:val="en-GB"/>
        </w:rPr>
        <w:t>Irwanto (2022)</w:t>
      </w:r>
      <w:r w:rsidRPr="006218C3">
        <w:rPr>
          <w:rFonts w:ascii="Times New Roman" w:eastAsia="Times New Roman" w:hAnsi="Times New Roman" w:cs="Times New Roman"/>
          <w:sz w:val="24"/>
          <w:szCs w:val="24"/>
          <w:lang w:val="en-GB"/>
        </w:rPr>
        <w:t>, IRR involves a tool to be used in the process of financial analysis for estimating profitability of the potential investments. It gives a discount rate at which NPV of cash</w:t>
      </w:r>
      <w:r w:rsidR="00C52C44" w:rsidRPr="006218C3">
        <w:rPr>
          <w:rFonts w:ascii="Times New Roman" w:eastAsia="Times New Roman" w:hAnsi="Times New Roman" w:cs="Times New Roman"/>
          <w:sz w:val="24"/>
          <w:szCs w:val="24"/>
          <w:lang w:val="en-GB"/>
        </w:rPr>
        <w:t xml:space="preserve"> </w:t>
      </w:r>
      <w:r w:rsidRPr="006218C3">
        <w:rPr>
          <w:rFonts w:ascii="Times New Roman" w:eastAsia="Times New Roman" w:hAnsi="Times New Roman" w:cs="Times New Roman"/>
          <w:sz w:val="24"/>
          <w:szCs w:val="24"/>
          <w:lang w:val="en-GB"/>
        </w:rPr>
        <w:t>flows is zero. It has been calculated using = “IRR = R1 + (NPV1 / (NPV1 - NPV2)) x (R2 - R1)”.</w:t>
      </w:r>
    </w:p>
    <w:tbl>
      <w:tblPr>
        <w:tblStyle w:val="a3"/>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855"/>
        <w:gridCol w:w="1635"/>
        <w:gridCol w:w="1740"/>
        <w:gridCol w:w="1740"/>
        <w:gridCol w:w="1740"/>
        <w:gridCol w:w="1620"/>
      </w:tblGrid>
      <w:tr w:rsidR="00B25456" w:rsidRPr="006218C3" w14:paraId="430199B1" w14:textId="77777777" w:rsidTr="00C52C44">
        <w:trPr>
          <w:cantSplit/>
          <w:trHeight w:val="575"/>
          <w:tblHeader/>
          <w:jc w:val="center"/>
        </w:trPr>
        <w:tc>
          <w:tcPr>
            <w:tcW w:w="9330" w:type="dxa"/>
            <w:gridSpan w:val="6"/>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30199B0"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IRR of Machine A</w:t>
            </w:r>
          </w:p>
        </w:tc>
      </w:tr>
      <w:tr w:rsidR="00B25456" w:rsidRPr="006218C3" w14:paraId="430199B8"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2"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3"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4"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(20%)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5"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6"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(30%)</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7"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r>
      <w:tr w:rsidR="00B25456" w:rsidRPr="006218C3" w14:paraId="430199BF"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D"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B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r>
      <w:tr w:rsidR="00B25456" w:rsidRPr="006218C3" w14:paraId="430199C6"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1</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0.8333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33,333.33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0.7407</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29,629.63</w:t>
            </w:r>
          </w:p>
        </w:tc>
      </w:tr>
      <w:tr w:rsidR="00B25456" w:rsidRPr="006218C3" w14:paraId="430199CD"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0.6944</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34,722.22</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0.5487</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27,434.84</w:t>
            </w:r>
          </w:p>
        </w:tc>
      </w:tr>
      <w:tr w:rsidR="00B25456" w:rsidRPr="006218C3" w14:paraId="430199D4"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C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55,000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0.5787</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31,828.70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0.4064</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22,354.32</w:t>
            </w:r>
          </w:p>
        </w:tc>
      </w:tr>
      <w:tr w:rsidR="00B25456" w:rsidRPr="006218C3" w14:paraId="430199DB"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45,000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0.4823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21,701.39</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0.3011</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13,548.07</w:t>
            </w:r>
          </w:p>
        </w:tc>
      </w:tr>
      <w:tr w:rsidR="00B25456" w:rsidRPr="006218C3" w14:paraId="430199E2"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D"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60,000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0.4019</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D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24,112.65</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0.2230</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13,380.81</w:t>
            </w:r>
          </w:p>
        </w:tc>
      </w:tr>
      <w:tr w:rsidR="00B25456" w:rsidRPr="006218C3" w14:paraId="430199E9"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3" w14:textId="77777777" w:rsidR="00B25456" w:rsidRPr="006218C3" w:rsidRDefault="00A3548F" w:rsidP="004C4AFF">
            <w:pPr>
              <w:pStyle w:val="Normal1"/>
              <w:spacing w:line="360" w:lineRule="auto"/>
              <w:ind w:left="100"/>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NPV</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45,698.30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6,347.67</w:t>
            </w:r>
          </w:p>
        </w:tc>
      </w:tr>
      <w:tr w:rsidR="00B25456" w:rsidRPr="006218C3" w14:paraId="430199F0" w14:textId="77777777" w:rsidTr="00C52C44">
        <w:trPr>
          <w:cantSplit/>
          <w:trHeight w:val="575"/>
          <w:tblHeader/>
          <w:jc w:val="center"/>
        </w:trPr>
        <w:tc>
          <w:tcPr>
            <w:tcW w:w="85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A"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IRR</w:t>
            </w:r>
          </w:p>
        </w:tc>
        <w:tc>
          <w:tcPr>
            <w:tcW w:w="163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B"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C"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D"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EF"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31.61%</w:t>
            </w:r>
          </w:p>
        </w:tc>
      </w:tr>
    </w:tbl>
    <w:p w14:paraId="430199F1" w14:textId="77777777" w:rsidR="00B25456" w:rsidRPr="006218C3" w:rsidRDefault="00A3548F" w:rsidP="004C4AFF">
      <w:pPr>
        <w:pStyle w:val="Normal1"/>
        <w:spacing w:before="240" w:after="24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bl>
      <w:tblPr>
        <w:tblStyle w:val="a4"/>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650"/>
        <w:gridCol w:w="1740"/>
        <w:gridCol w:w="1740"/>
        <w:gridCol w:w="1740"/>
        <w:gridCol w:w="1620"/>
      </w:tblGrid>
      <w:tr w:rsidR="00B25456" w:rsidRPr="006218C3" w14:paraId="430199F3" w14:textId="77777777" w:rsidTr="00C52C44">
        <w:trPr>
          <w:cantSplit/>
          <w:trHeight w:val="575"/>
          <w:tblHeader/>
          <w:jc w:val="center"/>
        </w:trPr>
        <w:tc>
          <w:tcPr>
            <w:tcW w:w="9330" w:type="dxa"/>
            <w:gridSpan w:val="6"/>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2"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IRR of Machine B</w:t>
            </w:r>
          </w:p>
        </w:tc>
      </w:tr>
      <w:tr w:rsidR="00B25456" w:rsidRPr="006218C3" w14:paraId="430199FA"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4"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Year</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5"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NCF</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6"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(20%)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7"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8"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WACC (30%)</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9" w14:textId="77777777" w:rsidR="00B25456" w:rsidRPr="006218C3" w:rsidRDefault="00A3548F" w:rsidP="004C4AFF">
            <w:pPr>
              <w:pStyle w:val="Normal1"/>
              <w:spacing w:line="360" w:lineRule="auto"/>
              <w:ind w:left="100"/>
              <w:jc w:val="center"/>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DCF</w:t>
            </w:r>
          </w:p>
        </w:tc>
      </w:tr>
      <w:tr w:rsidR="00B25456" w:rsidRPr="006218C3" w14:paraId="43019A01"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D"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9F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100,000</w:t>
            </w:r>
          </w:p>
        </w:tc>
      </w:tr>
      <w:tr w:rsidR="00B25456" w:rsidRPr="006218C3" w14:paraId="43019A08"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1</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25,000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0.8333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20,833.33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6"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0.7407</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18,518.52</w:t>
            </w:r>
          </w:p>
        </w:tc>
      </w:tr>
      <w:tr w:rsidR="00B25456" w:rsidRPr="006218C3" w14:paraId="43019A0F"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2</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40,000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0.6944</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27,777.78</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D"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0.5487</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0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21,947.87</w:t>
            </w:r>
          </w:p>
        </w:tc>
      </w:tr>
      <w:tr w:rsidR="00B25456" w:rsidRPr="006218C3" w14:paraId="43019A16"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3</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35,000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0.5787</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20,254.63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4"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0.4064</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5"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14,225.47</w:t>
            </w:r>
          </w:p>
        </w:tc>
      </w:tr>
      <w:tr w:rsidR="00B25456" w:rsidRPr="006218C3" w14:paraId="43019A1D"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7"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4</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75,000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0.4823</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36,168.98</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B"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0.3011</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C"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22,580.12</w:t>
            </w:r>
          </w:p>
        </w:tc>
      </w:tr>
      <w:tr w:rsidR="00B25456" w:rsidRPr="006218C3" w14:paraId="43019A24"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E"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5</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1F"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50,000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0.4019</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1"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20,093.88</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2"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0.2230</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3"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11,150.68</w:t>
            </w:r>
          </w:p>
        </w:tc>
      </w:tr>
      <w:tr w:rsidR="00B25456" w:rsidRPr="006218C3" w14:paraId="43019A2B"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5"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lastRenderedPageBreak/>
              <w:t>NPV</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6"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7"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8"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    25,128.60</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9"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A"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11,577.34</w:t>
            </w:r>
          </w:p>
        </w:tc>
      </w:tr>
      <w:tr w:rsidR="00B25456" w:rsidRPr="006218C3" w14:paraId="43019A32" w14:textId="77777777" w:rsidTr="00C52C44">
        <w:trPr>
          <w:cantSplit/>
          <w:trHeight w:val="575"/>
          <w:tblHeader/>
          <w:jc w:val="center"/>
        </w:trPr>
        <w:tc>
          <w:tcPr>
            <w:tcW w:w="84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C"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IRR</w:t>
            </w:r>
          </w:p>
        </w:tc>
        <w:tc>
          <w:tcPr>
            <w:tcW w:w="165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D"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E" w14:textId="77777777" w:rsidR="00B25456" w:rsidRPr="006218C3" w:rsidRDefault="00A3548F" w:rsidP="004C4AFF">
            <w:pPr>
              <w:pStyle w:val="Normal1"/>
              <w:spacing w:line="360" w:lineRule="auto"/>
              <w:ind w:left="100"/>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2F"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 xml:space="preserve"> </w:t>
            </w:r>
          </w:p>
        </w:tc>
        <w:tc>
          <w:tcPr>
            <w:tcW w:w="174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30" w14:textId="77777777" w:rsidR="00B25456" w:rsidRPr="006218C3" w:rsidRDefault="00A3548F" w:rsidP="004C4AFF">
            <w:pPr>
              <w:pStyle w:val="Normal1"/>
              <w:spacing w:line="360" w:lineRule="auto"/>
              <w:ind w:left="100"/>
              <w:jc w:val="right"/>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 </w:t>
            </w:r>
          </w:p>
        </w:tc>
        <w:tc>
          <w:tcPr>
            <w:tcW w:w="162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vAlign w:val="bottom"/>
          </w:tcPr>
          <w:p w14:paraId="43019A31" w14:textId="77777777" w:rsidR="00B25456" w:rsidRPr="006218C3" w:rsidRDefault="00A3548F" w:rsidP="004C4AFF">
            <w:pPr>
              <w:pStyle w:val="Normal1"/>
              <w:spacing w:line="360" w:lineRule="auto"/>
              <w:ind w:left="100"/>
              <w:jc w:val="right"/>
              <w:rPr>
                <w:rFonts w:ascii="Times New Roman" w:eastAsia="Times New Roman" w:hAnsi="Times New Roman" w:cs="Times New Roman"/>
                <w:b/>
                <w:sz w:val="24"/>
                <w:szCs w:val="24"/>
                <w:lang w:val="en-GB"/>
              </w:rPr>
            </w:pPr>
            <w:r w:rsidRPr="006218C3">
              <w:rPr>
                <w:rFonts w:ascii="Times New Roman" w:eastAsia="Times New Roman" w:hAnsi="Times New Roman" w:cs="Times New Roman"/>
                <w:b/>
                <w:sz w:val="24"/>
                <w:szCs w:val="24"/>
                <w:lang w:val="en-GB"/>
              </w:rPr>
              <w:t>26.85%</w:t>
            </w:r>
          </w:p>
        </w:tc>
      </w:tr>
    </w:tbl>
    <w:p w14:paraId="43019A33"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The selection criteria for IRR is that the rate must be higher than the cost of capital. If both the projects have IRR greater than the cost of capital then the one with higher value must be selected for better profitability by the business. Here, the IRR of machine A is 31.61% and of machine, B is 26.85%, machine A must be selected.</w:t>
      </w:r>
    </w:p>
    <w:p w14:paraId="43019A34" w14:textId="77777777" w:rsidR="00B25456" w:rsidRPr="006218C3" w:rsidRDefault="00A3548F" w:rsidP="00C52C44">
      <w:pPr>
        <w:pStyle w:val="Heading1"/>
        <w:rPr>
          <w:lang w:val="en-GB"/>
        </w:rPr>
      </w:pPr>
      <w:bookmarkStart w:id="10" w:name="_Toc128065908"/>
      <w:r w:rsidRPr="006218C3">
        <w:rPr>
          <w:lang w:val="en-GB"/>
        </w:rPr>
        <w:t>E. Interpretation of results:</w:t>
      </w:r>
      <w:bookmarkEnd w:id="10"/>
    </w:p>
    <w:p w14:paraId="43019A35"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Based on the above interpretation and calculation it can be said that the company must proceed with machine A as it has higher NPV &amp; IRR along with lower payback. As per the views put forward by </w:t>
      </w:r>
      <w:r w:rsidRPr="006218C3">
        <w:rPr>
          <w:rFonts w:ascii="Times New Roman" w:eastAsia="Times New Roman" w:hAnsi="Times New Roman" w:cs="Times New Roman"/>
          <w:sz w:val="24"/>
          <w:szCs w:val="24"/>
          <w:highlight w:val="white"/>
          <w:lang w:val="en-GB"/>
        </w:rPr>
        <w:t>Shou (2022)</w:t>
      </w:r>
      <w:r w:rsidRPr="006218C3">
        <w:rPr>
          <w:rFonts w:ascii="Times New Roman" w:eastAsia="Times New Roman" w:hAnsi="Times New Roman" w:cs="Times New Roman"/>
          <w:sz w:val="24"/>
          <w:szCs w:val="24"/>
          <w:lang w:val="en-GB"/>
        </w:rPr>
        <w:t xml:space="preserve">, NPV is considered the best method of investment appraisal because it uses the “time value of money” at the time of calculation, unlike payback &amp; ARR. This means the cash flows that a company will earn in the future are converted into the present values when the investor is taking decisions. This helps the company in taking accurate decisions so that more profits are earned. NPV is better than IRR because the cash flow of each year is discounted separately making the method more flexible at the time of evaluating individual periods. As commented by </w:t>
      </w:r>
      <w:r w:rsidRPr="006218C3">
        <w:rPr>
          <w:rFonts w:ascii="Times New Roman" w:eastAsia="Times New Roman" w:hAnsi="Times New Roman" w:cs="Times New Roman"/>
          <w:sz w:val="24"/>
          <w:szCs w:val="24"/>
          <w:highlight w:val="white"/>
          <w:lang w:val="en-GB"/>
        </w:rPr>
        <w:t>Magni and Marchioni (2020)</w:t>
      </w:r>
      <w:r w:rsidRPr="006218C3">
        <w:rPr>
          <w:rFonts w:ascii="Times New Roman" w:eastAsia="Times New Roman" w:hAnsi="Times New Roman" w:cs="Times New Roman"/>
          <w:sz w:val="24"/>
          <w:szCs w:val="24"/>
          <w:lang w:val="en-GB"/>
        </w:rPr>
        <w:t xml:space="preserve">, NPV is the most reliable investment appraisal tool because it gives the best result and investors can rely on it. This is the reason why when the outcome of all four methods differs from one another, companies would prefer to opt for the result given by NPV. All other methods are generally used in the form of supporting tools so that a good decision can be taken. </w:t>
      </w:r>
    </w:p>
    <w:p w14:paraId="43019A36"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On one hand, companies prefer discounting methods of investment appraisal to be able to take accurate decisions regarding investment to be done in a project. This is because future values are converted into their current amount so that decisions can be taken correctly (</w:t>
      </w:r>
      <w:r w:rsidRPr="006218C3">
        <w:rPr>
          <w:rFonts w:ascii="Times New Roman" w:eastAsia="Times New Roman" w:hAnsi="Times New Roman" w:cs="Times New Roman"/>
          <w:sz w:val="24"/>
          <w:szCs w:val="24"/>
          <w:highlight w:val="white"/>
          <w:lang w:val="en-GB"/>
        </w:rPr>
        <w:t xml:space="preserve">Liang </w:t>
      </w:r>
      <w:r w:rsidRPr="006218C3">
        <w:rPr>
          <w:rFonts w:ascii="Times New Roman" w:eastAsia="Times New Roman" w:hAnsi="Times New Roman" w:cs="Times New Roman"/>
          <w:i/>
          <w:sz w:val="24"/>
          <w:szCs w:val="24"/>
          <w:highlight w:val="white"/>
          <w:lang w:val="en-GB"/>
        </w:rPr>
        <w:t xml:space="preserve">et al. </w:t>
      </w:r>
      <w:r w:rsidRPr="006218C3">
        <w:rPr>
          <w:rFonts w:ascii="Times New Roman" w:eastAsia="Times New Roman" w:hAnsi="Times New Roman" w:cs="Times New Roman"/>
          <w:sz w:val="24"/>
          <w:szCs w:val="24"/>
          <w:highlight w:val="white"/>
          <w:lang w:val="en-GB"/>
        </w:rPr>
        <w:t>2022</w:t>
      </w:r>
      <w:r w:rsidRPr="006218C3">
        <w:rPr>
          <w:rFonts w:ascii="Times New Roman" w:eastAsia="Times New Roman" w:hAnsi="Times New Roman" w:cs="Times New Roman"/>
          <w:sz w:val="24"/>
          <w:szCs w:val="24"/>
          <w:lang w:val="en-GB"/>
        </w:rPr>
        <w:t xml:space="preserve">). However, the popularity of the non-discounting method is also there among the decision makers. The decision makers prefer non-discounting methods of investment appraisal because of the simplicity and convenience they provide them with. Not only this, the non-discounting method indicates different aspects and can be used easily during emergency situations by companies </w:t>
      </w:r>
      <w:r w:rsidRPr="006218C3">
        <w:rPr>
          <w:rFonts w:ascii="Times New Roman" w:eastAsia="Times New Roman" w:hAnsi="Times New Roman" w:cs="Times New Roman"/>
          <w:sz w:val="24"/>
          <w:szCs w:val="24"/>
          <w:lang w:val="en-GB"/>
        </w:rPr>
        <w:lastRenderedPageBreak/>
        <w:t xml:space="preserve">across the globe. Based on the views of </w:t>
      </w:r>
      <w:r w:rsidRPr="006218C3">
        <w:rPr>
          <w:rFonts w:ascii="Times New Roman" w:eastAsia="Times New Roman" w:hAnsi="Times New Roman" w:cs="Times New Roman"/>
          <w:sz w:val="24"/>
          <w:szCs w:val="24"/>
          <w:highlight w:val="white"/>
          <w:lang w:val="en-GB"/>
        </w:rPr>
        <w:t>Arjunan (2019)</w:t>
      </w:r>
      <w:r w:rsidRPr="006218C3">
        <w:rPr>
          <w:rFonts w:ascii="Times New Roman" w:eastAsia="Times New Roman" w:hAnsi="Times New Roman" w:cs="Times New Roman"/>
          <w:sz w:val="24"/>
          <w:szCs w:val="24"/>
          <w:lang w:val="en-GB"/>
        </w:rPr>
        <w:t xml:space="preserve">, payback is used in evaluating the liquidity aspects of a project which is not possible with the help of methods like NPV and IRR. The payback period gives an indication of the time required to regenerate the initial investment from any project highlighting how liquid any project is. This is also an important aspect that the investors would want to know and that is why the payback method is being used. Similarly, some companies also use ARR in order to know the accounting profit that the investment would earn at the end of the maturity. </w:t>
      </w:r>
    </w:p>
    <w:p w14:paraId="43019A37"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Inspired by the views of </w:t>
      </w:r>
      <w:r w:rsidRPr="006218C3">
        <w:rPr>
          <w:rFonts w:ascii="Times New Roman" w:eastAsia="Times New Roman" w:hAnsi="Times New Roman" w:cs="Times New Roman"/>
          <w:sz w:val="24"/>
          <w:szCs w:val="24"/>
          <w:highlight w:val="white"/>
          <w:lang w:val="en-GB"/>
        </w:rPr>
        <w:t>Hua (2022)</w:t>
      </w:r>
      <w:r w:rsidRPr="006218C3">
        <w:rPr>
          <w:rFonts w:ascii="Times New Roman" w:eastAsia="Times New Roman" w:hAnsi="Times New Roman" w:cs="Times New Roman"/>
          <w:sz w:val="24"/>
          <w:szCs w:val="24"/>
          <w:lang w:val="en-GB"/>
        </w:rPr>
        <w:t xml:space="preserve">, a non-discounting capital budgeting method involves one that ignores “time value of money”. In other words, all pounds to be earned in future are estimated to have same value as pounds today. Tools like NPV and IRR generally do not consider the aspect of depreciation while making decisions but some investors might be interested in this. Other discounting methods like ARR are preferred by the decision makers largely because it determines the accounting profit within a small period and with less effort. Influenced by the views of </w:t>
      </w:r>
      <w:r w:rsidRPr="006218C3">
        <w:rPr>
          <w:rFonts w:ascii="Times New Roman" w:eastAsia="Times New Roman" w:hAnsi="Times New Roman" w:cs="Times New Roman"/>
          <w:sz w:val="24"/>
          <w:szCs w:val="24"/>
          <w:highlight w:val="white"/>
          <w:lang w:val="en-GB"/>
        </w:rPr>
        <w:t>Liu (2022)</w:t>
      </w:r>
      <w:r w:rsidRPr="006218C3">
        <w:rPr>
          <w:rFonts w:ascii="Times New Roman" w:eastAsia="Times New Roman" w:hAnsi="Times New Roman" w:cs="Times New Roman"/>
          <w:sz w:val="24"/>
          <w:szCs w:val="24"/>
          <w:lang w:val="en-GB"/>
        </w:rPr>
        <w:t>, at the time of emergency decision making it is important for the company to use non-discounting methods like ARR and payback because it does not require calculation or estimation of discounting rates. Often discounting rates are incorrect or change with time which results in incorrect decision making using the discounting method. As a result, some companies would prefer a non-discounting method in order to get a better outcome (</w:t>
      </w:r>
      <w:r w:rsidRPr="006218C3">
        <w:rPr>
          <w:rFonts w:ascii="Times New Roman" w:eastAsia="Times New Roman" w:hAnsi="Times New Roman" w:cs="Times New Roman"/>
          <w:sz w:val="24"/>
          <w:szCs w:val="24"/>
          <w:highlight w:val="white"/>
          <w:lang w:val="en-GB"/>
        </w:rPr>
        <w:t>Wang, 2021</w:t>
      </w:r>
      <w:r w:rsidRPr="006218C3">
        <w:rPr>
          <w:rFonts w:ascii="Times New Roman" w:eastAsia="Times New Roman" w:hAnsi="Times New Roman" w:cs="Times New Roman"/>
          <w:sz w:val="24"/>
          <w:szCs w:val="24"/>
          <w:lang w:val="en-GB"/>
        </w:rPr>
        <w:t xml:space="preserve">). Even though the discounting methods provide so many benefits to a business, popularity of non-discounting methods is not decreasing among the decision makers. </w:t>
      </w:r>
    </w:p>
    <w:p w14:paraId="43019A38" w14:textId="77777777" w:rsidR="00B25456"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Other factors that must be considered at the time of taking any investment decision involve the amount of finance that the business has, the time period within which it wants to earn its initial investment, and the length of the project. Apart from this, companies must look for liquidity &amp; profitability within the industry in which it is going to invest money. Consideration must be given to risks related to the investment to be able to take better decisions. The risks include liquidity risk, credit risk, interest risk, fluctuation in discount rates, inflation, market risk, and others.  </w:t>
      </w:r>
    </w:p>
    <w:p w14:paraId="393D2B11" w14:textId="77777777" w:rsidR="006218C3" w:rsidRDefault="006218C3" w:rsidP="004C4AFF">
      <w:pPr>
        <w:pStyle w:val="Normal1"/>
        <w:spacing w:before="200" w:after="200" w:line="360" w:lineRule="auto"/>
        <w:jc w:val="both"/>
        <w:rPr>
          <w:rFonts w:ascii="Times New Roman" w:eastAsia="Times New Roman" w:hAnsi="Times New Roman" w:cs="Times New Roman"/>
          <w:sz w:val="24"/>
          <w:szCs w:val="24"/>
          <w:lang w:val="en-GB"/>
        </w:rPr>
      </w:pPr>
    </w:p>
    <w:p w14:paraId="63A6E921" w14:textId="77777777" w:rsidR="006218C3" w:rsidRPr="006218C3" w:rsidRDefault="006218C3" w:rsidP="004C4AFF">
      <w:pPr>
        <w:pStyle w:val="Normal1"/>
        <w:spacing w:before="200" w:after="200" w:line="360" w:lineRule="auto"/>
        <w:jc w:val="both"/>
        <w:rPr>
          <w:rFonts w:ascii="Times New Roman" w:eastAsia="Times New Roman" w:hAnsi="Times New Roman" w:cs="Times New Roman"/>
          <w:sz w:val="24"/>
          <w:szCs w:val="24"/>
          <w:lang w:val="en-GB"/>
        </w:rPr>
      </w:pPr>
    </w:p>
    <w:p w14:paraId="43019A39" w14:textId="77777777" w:rsidR="00B25456" w:rsidRPr="006218C3" w:rsidRDefault="00A3548F" w:rsidP="00C52C44">
      <w:pPr>
        <w:pStyle w:val="Heading1"/>
        <w:rPr>
          <w:lang w:val="en-GB"/>
        </w:rPr>
      </w:pPr>
      <w:bookmarkStart w:id="11" w:name="_Toc128065909"/>
      <w:r w:rsidRPr="006218C3">
        <w:rPr>
          <w:lang w:val="en-GB"/>
        </w:rPr>
        <w:lastRenderedPageBreak/>
        <w:t>F. Recommendation to the company:</w:t>
      </w:r>
      <w:bookmarkEnd w:id="11"/>
    </w:p>
    <w:p w14:paraId="43019A3A"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Based on the above discussion it can be said that Wales company must proceed with machine A as it has higher NPV &amp; IRR along with lower payback. Also, in order to perform the investment, debt capital is more reliable as a source of funding. Advantages &amp; disadvantages of both the machines have been compared before making the recommendation. </w:t>
      </w:r>
    </w:p>
    <w:p w14:paraId="43019A3B" w14:textId="77777777" w:rsidR="00B25456" w:rsidRPr="006218C3" w:rsidRDefault="00A3548F" w:rsidP="004C4AFF">
      <w:pPr>
        <w:pStyle w:val="Normal1"/>
        <w:numPr>
          <w:ilvl w:val="0"/>
          <w:numId w:val="1"/>
        </w:numPr>
        <w:spacing w:before="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Machine A would require an initial investment worth £ 100,000 from which it will earn £ 40000, £ 50000, £ 55000, £ 45000 &amp; £ 30000. As a result, total earnings from sales from this machine will be £ 220000. This machine can be sold for £ 30,000 at the end of the 5th year resulting in total earnings of £ 250000. The advantage of this machine is that it has higher total earnings which are beneficial for the company. In addition, the machine is earning higher NPV which means it is more profitable for the company. Another advantage is that lower payback results in a faster collection of the initial investment. Lastly, a higher IRR makes this machine more attractive in the eyes of investors.   </w:t>
      </w:r>
    </w:p>
    <w:p w14:paraId="43019A3C" w14:textId="77777777" w:rsidR="00B25456" w:rsidRPr="006218C3" w:rsidRDefault="00A3548F" w:rsidP="004C4AFF">
      <w:pPr>
        <w:pStyle w:val="Normal1"/>
        <w:numPr>
          <w:ilvl w:val="0"/>
          <w:numId w:val="1"/>
        </w:numPr>
        <w:spacing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Machine B would require an initial investment worth £ 100,000 from which it will earn £ 25000, £ 40000, £ 35000, £ 75000 &amp; £ 25000. As a result, total earnings from sales from this machine will be £ 200000. This machine can be sold for £ 25,000 at the end of the 5th year resulting in total earnings of £ 225000. The disadvantage of this machine is that it has lower total earnings which are not beneficial for the company. In addition, the machine is earning lower NPV which means it is less profitable for the company. Another disadvantage is that higher payback results in a slow collection of the initial investment. Lastly, a lower IRR makes this machine less attractive in the eyes of investors. </w:t>
      </w:r>
    </w:p>
    <w:p w14:paraId="43019A3D" w14:textId="77777777" w:rsidR="00B25456" w:rsidRPr="006218C3" w:rsidRDefault="00A3548F" w:rsidP="00C52C44">
      <w:pPr>
        <w:pStyle w:val="Heading1"/>
        <w:rPr>
          <w:lang w:val="en-GB"/>
        </w:rPr>
      </w:pPr>
      <w:bookmarkStart w:id="12" w:name="_Toc128065910"/>
      <w:r w:rsidRPr="006218C3">
        <w:rPr>
          <w:lang w:val="en-GB"/>
        </w:rPr>
        <w:t>G. Conclusion</w:t>
      </w:r>
      <w:bookmarkEnd w:id="12"/>
    </w:p>
    <w:p w14:paraId="43019A3E" w14:textId="77777777" w:rsidR="00B25456" w:rsidRPr="006218C3" w:rsidRDefault="00A3548F"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NPV of machine A is £ 45,698.30 &amp; of machine B is £ 25,128.60, payback of machine A is 2.18 years &amp; of machine B is 3 years and IRR of machine A is 31.61% &amp; of machine B is 26.85%. The study helps in concluding that Wales company must proceed with machine A as it has higher NPV &amp; IRR along with lower payback. In addition, NPV is the most reliable investment appraisal tool because it gives the best result to the investors or decision makers. Decision </w:t>
      </w:r>
      <w:r w:rsidRPr="006218C3">
        <w:rPr>
          <w:rFonts w:ascii="Times New Roman" w:eastAsia="Times New Roman" w:hAnsi="Times New Roman" w:cs="Times New Roman"/>
          <w:sz w:val="24"/>
          <w:szCs w:val="24"/>
          <w:lang w:val="en-GB"/>
        </w:rPr>
        <w:lastRenderedPageBreak/>
        <w:t>makers must look for liquidity &amp; profitability of the project within the industry in which it is going to invest money.</w:t>
      </w:r>
      <w:r w:rsidRPr="006218C3">
        <w:rPr>
          <w:rFonts w:ascii="Times New Roman" w:hAnsi="Times New Roman" w:cs="Times New Roman"/>
          <w:lang w:val="en-GB"/>
        </w:rPr>
        <w:br w:type="page"/>
      </w:r>
    </w:p>
    <w:p w14:paraId="43019A3F" w14:textId="77777777" w:rsidR="00B25456" w:rsidRPr="006218C3" w:rsidRDefault="00A3548F" w:rsidP="00C52C44">
      <w:pPr>
        <w:pStyle w:val="Heading1"/>
        <w:rPr>
          <w:lang w:val="en-GB"/>
        </w:rPr>
      </w:pPr>
      <w:bookmarkStart w:id="13" w:name="_Toc128065911"/>
      <w:r w:rsidRPr="006218C3">
        <w:rPr>
          <w:lang w:val="en-GB"/>
        </w:rPr>
        <w:lastRenderedPageBreak/>
        <w:t>References</w:t>
      </w:r>
      <w:bookmarkEnd w:id="13"/>
    </w:p>
    <w:p w14:paraId="43019A40" w14:textId="50BF36AC"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Alvian, R. and Munandar, A., (2022). The influence of </w:t>
      </w:r>
      <w:r w:rsidR="006218C3" w:rsidRPr="006218C3">
        <w:rPr>
          <w:rFonts w:ascii="Times New Roman" w:eastAsia="Times New Roman" w:hAnsi="Times New Roman" w:cs="Times New Roman"/>
          <w:sz w:val="24"/>
          <w:szCs w:val="24"/>
          <w:lang w:val="en-GB"/>
        </w:rPr>
        <w:t>debt-to-equity</w:t>
      </w:r>
      <w:r w:rsidRPr="006218C3">
        <w:rPr>
          <w:rFonts w:ascii="Times New Roman" w:eastAsia="Times New Roman" w:hAnsi="Times New Roman" w:cs="Times New Roman"/>
          <w:sz w:val="24"/>
          <w:szCs w:val="24"/>
          <w:lang w:val="en-GB"/>
        </w:rPr>
        <w:t xml:space="preserve"> ratio, net profit margin, and cash ratio on firm value. Fair Value: Jurnal Ilmiah Akuntansi dan Keuangan, 4(7), pp.2682-2690.</w:t>
      </w:r>
    </w:p>
    <w:p w14:paraId="43019A41"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Arjunan, K., (2019). Validity of NPV Rule and IRR Criterion for Capital Budgeting and CBA. </w:t>
      </w:r>
      <w:r w:rsidRPr="006218C3">
        <w:rPr>
          <w:rFonts w:ascii="Times New Roman" w:eastAsia="Times New Roman" w:hAnsi="Times New Roman" w:cs="Times New Roman"/>
          <w:i/>
          <w:sz w:val="24"/>
          <w:szCs w:val="24"/>
          <w:highlight w:val="white"/>
          <w:lang w:val="en-GB"/>
        </w:rPr>
        <w:t>Available at SSRN 3505058</w:t>
      </w:r>
      <w:r w:rsidRPr="006218C3">
        <w:rPr>
          <w:rFonts w:ascii="Times New Roman" w:eastAsia="Times New Roman" w:hAnsi="Times New Roman" w:cs="Times New Roman"/>
          <w:sz w:val="24"/>
          <w:szCs w:val="24"/>
          <w:highlight w:val="white"/>
          <w:lang w:val="en-GB"/>
        </w:rPr>
        <w:t>.</w:t>
      </w:r>
    </w:p>
    <w:p w14:paraId="43019A42"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Aryanti, D.F. and Nurasik, N., (2021). Effect of Current Ratio, Debt To Equity Ratio, Inventory Turnover, and Capital Structure on Profitability. Academia Open, 5(2), pp.10-21070.</w:t>
      </w:r>
    </w:p>
    <w:p w14:paraId="43019A43"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Bacchetta, P., Benhima, K. and Poilly, C., (2019). Corporate cash and employment. American Economic Journal: Macroeconomics, 11(3), pp.30-66.</w:t>
      </w:r>
    </w:p>
    <w:p w14:paraId="43019A44"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Bintara, R., (2020). The Effect of Working Capital, Liquidity and Leverage on Profitability. Saudi Journal of Economics and Finance Abbreviated, 4(1), pp.28-35.</w:t>
      </w:r>
    </w:p>
    <w:p w14:paraId="43019A45" w14:textId="77777777" w:rsidR="005D2771" w:rsidRPr="006218C3" w:rsidRDefault="005D2771" w:rsidP="005D2771">
      <w:pPr>
        <w:pStyle w:val="Normal1"/>
        <w:spacing w:before="240" w:after="24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Corporatefinanceinstitute.com. (2022). </w:t>
      </w:r>
      <w:r w:rsidRPr="006218C3">
        <w:rPr>
          <w:rFonts w:ascii="Times New Roman" w:eastAsia="Times New Roman" w:hAnsi="Times New Roman" w:cs="Times New Roman"/>
          <w:i/>
          <w:sz w:val="24"/>
          <w:szCs w:val="24"/>
          <w:lang w:val="en-GB"/>
        </w:rPr>
        <w:t>Limitations of Ratio Analysis - Ratios are Popular, Learn About the Problems.</w:t>
      </w:r>
      <w:r w:rsidRPr="006218C3">
        <w:rPr>
          <w:rFonts w:ascii="Times New Roman" w:eastAsia="Times New Roman" w:hAnsi="Times New Roman" w:cs="Times New Roman"/>
          <w:sz w:val="24"/>
          <w:szCs w:val="24"/>
          <w:lang w:val="en-GB"/>
        </w:rPr>
        <w:t xml:space="preserve"> Available at: https://corporatefinanceinstitute.com/resources/accounting/limitations-ratio-analysis/ [Accessed on: 23th February 2023] </w:t>
      </w:r>
    </w:p>
    <w:p w14:paraId="43019A46"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Dai, H., Li, N., Wang, Y. and Zhao, X., (2022), March. The Analysis of Three Main Investment Criteria: NPV IRR and Payback Period. In </w:t>
      </w:r>
      <w:r w:rsidRPr="006218C3">
        <w:rPr>
          <w:rFonts w:ascii="Times New Roman" w:eastAsia="Times New Roman" w:hAnsi="Times New Roman" w:cs="Times New Roman"/>
          <w:i/>
          <w:sz w:val="24"/>
          <w:szCs w:val="24"/>
          <w:highlight w:val="white"/>
          <w:lang w:val="en-GB"/>
        </w:rPr>
        <w:t>(2022) 7th International Conference on Financial Innovation and Economic Development (ICFIED (2022))</w:t>
      </w:r>
      <w:r w:rsidRPr="006218C3">
        <w:rPr>
          <w:rFonts w:ascii="Times New Roman" w:eastAsia="Times New Roman" w:hAnsi="Times New Roman" w:cs="Times New Roman"/>
          <w:sz w:val="24"/>
          <w:szCs w:val="24"/>
          <w:highlight w:val="white"/>
          <w:lang w:val="en-GB"/>
        </w:rPr>
        <w:t xml:space="preserve"> (pp. 185-189). Atlantis Press.</w:t>
      </w:r>
    </w:p>
    <w:p w14:paraId="43019A47"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Hidayat, I. and Dewi, F.O.S., (2023). The Effect of Liquidity, Leverage and Working Capital Turn on Profitability. APTISI Transactions on Management (ATM), 7(1), pp.60-68.</w:t>
      </w:r>
    </w:p>
    <w:p w14:paraId="43019A48"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Hua, Z., A (2022). Comparison of Similarities, Differences and Conflicts Between NPV and IRR.</w:t>
      </w:r>
    </w:p>
    <w:p w14:paraId="43019A49"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Husna, A. and Satria, I., (2019). Effects of return on asset, debt to asset ratio, current ratio, firm size, and dividend payout ratio on firm value. International Journal of Economics and Financial Issues, 9(5), pp.50-54.</w:t>
      </w:r>
    </w:p>
    <w:p w14:paraId="43019A4A"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lastRenderedPageBreak/>
        <w:t>Irman, M. and Purwati, A.A., (2020). Analysis of the influence of current ratio, debt to equity ratio, and total asset turnover toward return on assets on the automotive and component company that has been registered in Indonesia Stock Exchange Within 2011-2017. International Journal of Economics Development Research (IJEDR), 1(1), pp.36-44.</w:t>
      </w:r>
    </w:p>
    <w:p w14:paraId="43019A4B"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Irwanto, R., (2022), January. Why IRR is not the right measure for return analysis and What’s then?. In </w:t>
      </w:r>
      <w:r w:rsidRPr="006218C3">
        <w:rPr>
          <w:rFonts w:ascii="Times New Roman" w:eastAsia="Times New Roman" w:hAnsi="Times New Roman" w:cs="Times New Roman"/>
          <w:i/>
          <w:sz w:val="24"/>
          <w:szCs w:val="24"/>
          <w:highlight w:val="white"/>
          <w:lang w:val="en-GB"/>
        </w:rPr>
        <w:t>International Conference on Engineering, Construction, Renewable Energy, and Advanced Materials</w:t>
      </w:r>
      <w:r w:rsidRPr="006218C3">
        <w:rPr>
          <w:rFonts w:ascii="Times New Roman" w:eastAsia="Times New Roman" w:hAnsi="Times New Roman" w:cs="Times New Roman"/>
          <w:sz w:val="24"/>
          <w:szCs w:val="24"/>
          <w:highlight w:val="white"/>
          <w:lang w:val="en-GB"/>
        </w:rPr>
        <w:t>.</w:t>
      </w:r>
    </w:p>
    <w:p w14:paraId="43019A4C" w14:textId="77777777" w:rsidR="005D2771" w:rsidRPr="006218C3" w:rsidRDefault="005D2771" w:rsidP="005D2771">
      <w:pPr>
        <w:pStyle w:val="Normal1"/>
        <w:spacing w:line="360" w:lineRule="auto"/>
        <w:jc w:val="both"/>
        <w:rPr>
          <w:rFonts w:ascii="Times New Roman" w:eastAsia="Times New Roman" w:hAnsi="Times New Roman" w:cs="Times New Roman"/>
          <w:b/>
          <w:sz w:val="24"/>
          <w:szCs w:val="24"/>
          <w:lang w:val="en-GB"/>
        </w:rPr>
      </w:pPr>
      <w:r w:rsidRPr="006218C3">
        <w:rPr>
          <w:rFonts w:ascii="Times New Roman" w:eastAsia="Times New Roman" w:hAnsi="Times New Roman" w:cs="Times New Roman"/>
          <w:sz w:val="24"/>
          <w:szCs w:val="24"/>
          <w:lang w:val="en-GB"/>
        </w:rPr>
        <w:t>Ji, H., (2019). The Impact of interest coverage ratio on value relevance of reported earnings: evidence from South Korea. Sustainability, 11(24), p.7193.</w:t>
      </w:r>
    </w:p>
    <w:p w14:paraId="43019A4D"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Kartikasary, M., Marsintauli, F., Sitinjak, M., Laurens, S., Novianti, E. and Situmorang, R., (2021). The effect of working capital management, fixed financial asset ratio, and financial debt ratio on profitability in Indonesian consumer goods sector. Accounting, 7(3), pp.661-666.</w:t>
      </w:r>
    </w:p>
    <w:p w14:paraId="43019A4E"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Kumoro, D.F.C., Novitasari, D., Yuwono, T. and Asbari, M., (2020). Analysis of the Effect of Quick Ratio (QR), Total Assets Turn Over (TATO), and Debt To Equity Ratio (DER) on Return On Equity (ROE) at PT. XYZ. Journal of Industrial Engineering &amp; Management Research, 1(3), pp.166-183.</w:t>
      </w:r>
    </w:p>
    <w:p w14:paraId="43019A4F"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Kurniawan, A., (2021). Analysis of the effect of return on asset, debt to equity ratio, and total asset turnover on share return. Journal of Industrial Engineering &amp; Management Research, 2(1), pp.64-72.</w:t>
      </w:r>
    </w:p>
    <w:p w14:paraId="43019A50"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Liang, K., Zhu, Z. and Guo, H., (2022). Comparison between NPV and IRR.</w:t>
      </w:r>
    </w:p>
    <w:p w14:paraId="43019A51"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Maeenuddina, R.B., Hussain, A., Hafeez, M., Khan, M. and Wahi, N., (2020). Economic value added momentum &amp; traditional profitability measures (ROA, ROE &amp; ROCE): A comparative study. TEST-engineering and Management, 83, pp.13762-13774.</w:t>
      </w:r>
    </w:p>
    <w:p w14:paraId="43019A52"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Magni, C.A. and Marchioni, A., (2020). Average rates of return, working capital, and NPV-consistency in project appraisal: A sensitivity analysis approach. </w:t>
      </w:r>
      <w:r w:rsidRPr="006218C3">
        <w:rPr>
          <w:rFonts w:ascii="Times New Roman" w:eastAsia="Times New Roman" w:hAnsi="Times New Roman" w:cs="Times New Roman"/>
          <w:i/>
          <w:sz w:val="24"/>
          <w:szCs w:val="24"/>
          <w:highlight w:val="white"/>
          <w:lang w:val="en-GB"/>
        </w:rPr>
        <w:t>International Journal of Production Economics</w:t>
      </w:r>
      <w:r w:rsidRPr="006218C3">
        <w:rPr>
          <w:rFonts w:ascii="Times New Roman" w:eastAsia="Times New Roman" w:hAnsi="Times New Roman" w:cs="Times New Roman"/>
          <w:sz w:val="24"/>
          <w:szCs w:val="24"/>
          <w:highlight w:val="white"/>
          <w:lang w:val="en-GB"/>
        </w:rPr>
        <w:t xml:space="preserve">, </w:t>
      </w:r>
      <w:r w:rsidRPr="006218C3">
        <w:rPr>
          <w:rFonts w:ascii="Times New Roman" w:eastAsia="Times New Roman" w:hAnsi="Times New Roman" w:cs="Times New Roman"/>
          <w:i/>
          <w:sz w:val="24"/>
          <w:szCs w:val="24"/>
          <w:highlight w:val="white"/>
          <w:lang w:val="en-GB"/>
        </w:rPr>
        <w:t>229</w:t>
      </w:r>
      <w:r w:rsidRPr="006218C3">
        <w:rPr>
          <w:rFonts w:ascii="Times New Roman" w:eastAsia="Times New Roman" w:hAnsi="Times New Roman" w:cs="Times New Roman"/>
          <w:sz w:val="24"/>
          <w:szCs w:val="24"/>
          <w:highlight w:val="white"/>
          <w:lang w:val="en-GB"/>
        </w:rPr>
        <w:t>, p.107769.</w:t>
      </w:r>
    </w:p>
    <w:p w14:paraId="43019A53"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Mahdi, M. and Khaddafi, M., (2020). The Influence of Gross Profit Margin, Operating Profit Margin, and Net Profit Margin on the Stock Price of Consumer Good Industry in the Indonesia </w:t>
      </w:r>
      <w:r w:rsidRPr="006218C3">
        <w:rPr>
          <w:rFonts w:ascii="Times New Roman" w:eastAsia="Times New Roman" w:hAnsi="Times New Roman" w:cs="Times New Roman"/>
          <w:sz w:val="24"/>
          <w:szCs w:val="24"/>
          <w:lang w:val="en-GB"/>
        </w:rPr>
        <w:lastRenderedPageBreak/>
        <w:t>Stock Exchange in 2012-2014. International Journal of Business, Economics, and Social Development, 1(3), pp.153-163.</w:t>
      </w:r>
    </w:p>
    <w:p w14:paraId="43019A54"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Mulyadi, D. and Sihabudin, O.S., (2020). Analysis of current ratio, net profit margin, and good corporate governance against company value. Systematic Reviews in Pharmacy, 11(1), pp.588-600.</w:t>
      </w:r>
    </w:p>
    <w:p w14:paraId="43019A55"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Nariswari, T.N. and Nugraha, N.M., (2020). Profit growth: impact of net profit margin, gross profit margin, and total assets turnover. International Journal of Finance &amp; Banking Studies (2147-4486), 9(4), pp.87-96.</w:t>
      </w:r>
    </w:p>
    <w:p w14:paraId="43019A56" w14:textId="77777777" w:rsidR="005D2771" w:rsidRPr="006218C3" w:rsidRDefault="005D2771" w:rsidP="004C4AFF">
      <w:pPr>
        <w:pStyle w:val="Normal1"/>
        <w:spacing w:before="200" w:after="20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Nextplc.co.uk, (2023). </w:t>
      </w:r>
      <w:r w:rsidRPr="006218C3">
        <w:rPr>
          <w:rFonts w:ascii="Times New Roman" w:eastAsia="Times New Roman" w:hAnsi="Times New Roman" w:cs="Times New Roman"/>
          <w:i/>
          <w:sz w:val="24"/>
          <w:szCs w:val="24"/>
          <w:lang w:val="en-GB"/>
        </w:rPr>
        <w:t xml:space="preserve">About Next Plc. </w:t>
      </w:r>
      <w:r w:rsidRPr="006218C3">
        <w:rPr>
          <w:rFonts w:ascii="Times New Roman" w:eastAsia="Times New Roman" w:hAnsi="Times New Roman" w:cs="Times New Roman"/>
          <w:sz w:val="24"/>
          <w:szCs w:val="24"/>
          <w:lang w:val="en-GB"/>
        </w:rPr>
        <w:t>Available at: https://www.nextplc.co.uk/ [Accessed on 15 February 2023]</w:t>
      </w:r>
    </w:p>
    <w:p w14:paraId="43019A57" w14:textId="77777777" w:rsidR="005D2771" w:rsidRPr="006218C3" w:rsidRDefault="005D2771" w:rsidP="005D2771">
      <w:pPr>
        <w:pStyle w:val="Normal1"/>
        <w:spacing w:before="240" w:after="240"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 xml:space="preserve">Nextplc.co.uk. (2022). </w:t>
      </w:r>
      <w:r w:rsidRPr="006218C3">
        <w:rPr>
          <w:rFonts w:ascii="Times New Roman" w:eastAsia="Times New Roman" w:hAnsi="Times New Roman" w:cs="Times New Roman"/>
          <w:i/>
          <w:sz w:val="24"/>
          <w:szCs w:val="24"/>
          <w:lang w:val="en-GB"/>
        </w:rPr>
        <w:t>ANNUAL REPORT &amp; ACCOUNTS</w:t>
      </w:r>
      <w:r w:rsidRPr="006218C3">
        <w:rPr>
          <w:rFonts w:ascii="Times New Roman" w:eastAsia="Times New Roman" w:hAnsi="Times New Roman" w:cs="Times New Roman"/>
          <w:sz w:val="24"/>
          <w:szCs w:val="24"/>
          <w:lang w:val="en-GB"/>
        </w:rPr>
        <w:t xml:space="preserve">. Available at: https://www.nextplc.co.uk/~/media/Files/N/Next-PLC-V2/documents/2022/annual-reports-and-account-jan-2022.pdf [Accessed on: 23th February 2023] </w:t>
      </w:r>
    </w:p>
    <w:p w14:paraId="43019A58"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Nuryani, Y. and Sunarsi, D., (2020). The Effect of Current Ratio and Debt to Equity Ratio on Dividing Growth. JASa (Jurnal Akuntansi, Audit dan Sistem Informasi Akuntansi), 4(2), pp.304-312.</w:t>
      </w:r>
    </w:p>
    <w:p w14:paraId="43019A59"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Sharma, R.B., Sharma, A., Ali, S. and Dadhich, J., (2021). Corporate social responsibility and financial performance: Evidence from manufacturing and service industry. Academic Journal of Interdisciplinary Studies, 10(3), pp.301-301.</w:t>
      </w:r>
    </w:p>
    <w:p w14:paraId="43019A5A"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Shou, T., (2022), July. A Literature Review on the Net Present Value (NPV) Valuation Method. In </w:t>
      </w:r>
      <w:r w:rsidRPr="006218C3">
        <w:rPr>
          <w:rFonts w:ascii="Times New Roman" w:eastAsia="Times New Roman" w:hAnsi="Times New Roman" w:cs="Times New Roman"/>
          <w:i/>
          <w:sz w:val="24"/>
          <w:szCs w:val="24"/>
          <w:highlight w:val="white"/>
          <w:lang w:val="en-GB"/>
        </w:rPr>
        <w:t>(2022) 2nd International Conference on Enterprise Management and Economic Development (ICEMED (2022))</w:t>
      </w:r>
      <w:r w:rsidRPr="006218C3">
        <w:rPr>
          <w:rFonts w:ascii="Times New Roman" w:eastAsia="Times New Roman" w:hAnsi="Times New Roman" w:cs="Times New Roman"/>
          <w:sz w:val="24"/>
          <w:szCs w:val="24"/>
          <w:highlight w:val="white"/>
          <w:lang w:val="en-GB"/>
        </w:rPr>
        <w:t xml:space="preserve"> (pp. 826-830). Atlantis Press.</w:t>
      </w:r>
    </w:p>
    <w:p w14:paraId="43019A5B"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Sokolov, M.V., (2023). NPV, IRR, PI, PP, and DPP: a unified view. </w:t>
      </w:r>
      <w:r w:rsidRPr="006218C3">
        <w:rPr>
          <w:rFonts w:ascii="Times New Roman" w:eastAsia="Times New Roman" w:hAnsi="Times New Roman" w:cs="Times New Roman"/>
          <w:i/>
          <w:sz w:val="24"/>
          <w:szCs w:val="24"/>
          <w:highlight w:val="white"/>
          <w:lang w:val="en-GB"/>
        </w:rPr>
        <w:t>arXiv preprint arXiv:2302.02875</w:t>
      </w:r>
      <w:r w:rsidRPr="006218C3">
        <w:rPr>
          <w:rFonts w:ascii="Times New Roman" w:eastAsia="Times New Roman" w:hAnsi="Times New Roman" w:cs="Times New Roman"/>
          <w:sz w:val="24"/>
          <w:szCs w:val="24"/>
          <w:highlight w:val="white"/>
          <w:lang w:val="en-GB"/>
        </w:rPr>
        <w:t>.</w:t>
      </w:r>
    </w:p>
    <w:p w14:paraId="43019A5C" w14:textId="77777777" w:rsidR="005D2771" w:rsidRPr="006218C3" w:rsidRDefault="005D2771" w:rsidP="005D2771">
      <w:pPr>
        <w:pStyle w:val="Normal1"/>
        <w:spacing w:line="360" w:lineRule="auto"/>
        <w:jc w:val="both"/>
        <w:rPr>
          <w:rFonts w:ascii="Times New Roman" w:eastAsia="Times New Roman" w:hAnsi="Times New Roman" w:cs="Times New Roman"/>
          <w:sz w:val="24"/>
          <w:szCs w:val="24"/>
          <w:lang w:val="en-GB"/>
        </w:rPr>
      </w:pPr>
      <w:r w:rsidRPr="006218C3">
        <w:rPr>
          <w:rFonts w:ascii="Times New Roman" w:eastAsia="Times New Roman" w:hAnsi="Times New Roman" w:cs="Times New Roman"/>
          <w:sz w:val="24"/>
          <w:szCs w:val="24"/>
          <w:lang w:val="en-GB"/>
        </w:rPr>
        <w:t>Wajo, A.R., (2021). Effect of Cash Turnover, Receivable Turnover, Inventory Turnover, and Growth Opportunity on Profitability. ATESTASI: Jurnal Ilmiah Akuntansi, 4(1), pp.61-69.</w:t>
      </w:r>
    </w:p>
    <w:p w14:paraId="43019A5D" w14:textId="77777777" w:rsidR="005D2771"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lastRenderedPageBreak/>
        <w:t xml:space="preserve">Wang, Y., (2021), December. The development and usage of NPV and IRR and their comparison. In </w:t>
      </w:r>
      <w:r w:rsidRPr="006218C3">
        <w:rPr>
          <w:rFonts w:ascii="Times New Roman" w:eastAsia="Times New Roman" w:hAnsi="Times New Roman" w:cs="Times New Roman"/>
          <w:i/>
          <w:sz w:val="24"/>
          <w:szCs w:val="24"/>
          <w:highlight w:val="white"/>
          <w:lang w:val="en-GB"/>
        </w:rPr>
        <w:t>(2021) 3rd International Conference on Economic Management and Cultural Industry (ICEMCI (2021))</w:t>
      </w:r>
      <w:r w:rsidRPr="006218C3">
        <w:rPr>
          <w:rFonts w:ascii="Times New Roman" w:eastAsia="Times New Roman" w:hAnsi="Times New Roman" w:cs="Times New Roman"/>
          <w:sz w:val="24"/>
          <w:szCs w:val="24"/>
          <w:highlight w:val="white"/>
          <w:lang w:val="en-GB"/>
        </w:rPr>
        <w:t xml:space="preserve"> (pp. 2044-2048). Atlantis Press.</w:t>
      </w:r>
    </w:p>
    <w:p w14:paraId="43019A5E" w14:textId="77777777" w:rsidR="00E965E4" w:rsidRPr="006218C3" w:rsidRDefault="005D2771" w:rsidP="004C4AFF">
      <w:pPr>
        <w:pStyle w:val="Normal1"/>
        <w:spacing w:before="200" w:after="240" w:line="360" w:lineRule="auto"/>
        <w:jc w:val="both"/>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t xml:space="preserve">Yan, R. and Zhang, Y., (2022), March. The Introduction of NPV and IRR. In </w:t>
      </w:r>
      <w:r w:rsidRPr="006218C3">
        <w:rPr>
          <w:rFonts w:ascii="Times New Roman" w:eastAsia="Times New Roman" w:hAnsi="Times New Roman" w:cs="Times New Roman"/>
          <w:i/>
          <w:sz w:val="24"/>
          <w:szCs w:val="24"/>
          <w:highlight w:val="white"/>
          <w:lang w:val="en-GB"/>
        </w:rPr>
        <w:t>(2022) 7th International Conference on Financial Innovation and Economic Development (ICFIED (2022))</w:t>
      </w:r>
      <w:r w:rsidRPr="006218C3">
        <w:rPr>
          <w:rFonts w:ascii="Times New Roman" w:eastAsia="Times New Roman" w:hAnsi="Times New Roman" w:cs="Times New Roman"/>
          <w:sz w:val="24"/>
          <w:szCs w:val="24"/>
          <w:highlight w:val="white"/>
          <w:lang w:val="en-GB"/>
        </w:rPr>
        <w:t xml:space="preserve"> (pp. 1472-1476). Atlantis Press.</w:t>
      </w:r>
    </w:p>
    <w:p w14:paraId="43019A5F" w14:textId="77777777" w:rsidR="00E965E4" w:rsidRPr="006218C3" w:rsidRDefault="00E965E4">
      <w:pPr>
        <w:rPr>
          <w:rFonts w:ascii="Times New Roman" w:eastAsia="Times New Roman" w:hAnsi="Times New Roman" w:cs="Times New Roman"/>
          <w:sz w:val="24"/>
          <w:szCs w:val="24"/>
          <w:highlight w:val="white"/>
          <w:lang w:val="en-GB"/>
        </w:rPr>
      </w:pPr>
      <w:r w:rsidRPr="006218C3">
        <w:rPr>
          <w:rFonts w:ascii="Times New Roman" w:eastAsia="Times New Roman" w:hAnsi="Times New Roman" w:cs="Times New Roman"/>
          <w:sz w:val="24"/>
          <w:szCs w:val="24"/>
          <w:highlight w:val="white"/>
          <w:lang w:val="en-GB"/>
        </w:rPr>
        <w:br w:type="page"/>
      </w:r>
    </w:p>
    <w:p w14:paraId="43019A60" w14:textId="77777777" w:rsidR="005D2771" w:rsidRDefault="00E965E4" w:rsidP="00E965E4">
      <w:pPr>
        <w:pStyle w:val="Heading1"/>
        <w:rPr>
          <w:highlight w:val="white"/>
          <w:lang w:val="en-GB"/>
        </w:rPr>
      </w:pPr>
      <w:bookmarkStart w:id="14" w:name="_Toc128065912"/>
      <w:r w:rsidRPr="006218C3">
        <w:rPr>
          <w:highlight w:val="white"/>
          <w:lang w:val="en-GB"/>
        </w:rPr>
        <w:lastRenderedPageBreak/>
        <w:t>Appendices</w:t>
      </w:r>
      <w:bookmarkEnd w:id="14"/>
    </w:p>
    <w:p w14:paraId="01B0E2AE" w14:textId="2FE746EB" w:rsidR="000F6F65" w:rsidRPr="008A081E" w:rsidRDefault="000F6F65" w:rsidP="008A081E">
      <w:pPr>
        <w:pStyle w:val="Heading1"/>
        <w:rPr>
          <w:lang w:val="en-GB"/>
        </w:rPr>
      </w:pPr>
      <w:r>
        <w:rPr>
          <w:highlight w:val="white"/>
          <w:lang w:val="en-GB"/>
        </w:rPr>
        <w:t xml:space="preserve">Appendix 1: </w:t>
      </w:r>
      <w:r w:rsidRPr="006218C3">
        <w:rPr>
          <w:lang w:val="en-GB"/>
        </w:rPr>
        <w:t>Profitability Ratios</w:t>
      </w:r>
    </w:p>
    <w:tbl>
      <w:tblPr>
        <w:tblW w:w="5460" w:type="dxa"/>
        <w:jc w:val="center"/>
        <w:tblLook w:val="04A0" w:firstRow="1" w:lastRow="0" w:firstColumn="1" w:lastColumn="0" w:noHBand="0" w:noVBand="1"/>
      </w:tblPr>
      <w:tblGrid>
        <w:gridCol w:w="2926"/>
        <w:gridCol w:w="1267"/>
        <w:gridCol w:w="1267"/>
      </w:tblGrid>
      <w:tr w:rsidR="00E965E4" w:rsidRPr="006218C3" w14:paraId="43019A62"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61"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Profitability Ratios</w:t>
            </w:r>
          </w:p>
        </w:tc>
      </w:tr>
      <w:tr w:rsidR="00E965E4" w:rsidRPr="006218C3" w14:paraId="43019A64"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63"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Gross profit margin</w:t>
            </w:r>
          </w:p>
        </w:tc>
      </w:tr>
      <w:tr w:rsidR="00E965E4" w:rsidRPr="006218C3" w14:paraId="43019A68"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65"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66"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67"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6C"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6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Gross profit </w:t>
            </w:r>
          </w:p>
        </w:tc>
        <w:tc>
          <w:tcPr>
            <w:tcW w:w="1267" w:type="dxa"/>
            <w:tcBorders>
              <w:top w:val="nil"/>
              <w:left w:val="nil"/>
              <w:bottom w:val="single" w:sz="4" w:space="0" w:color="auto"/>
              <w:right w:val="single" w:sz="4" w:space="0" w:color="auto"/>
            </w:tcBorders>
            <w:shd w:val="clear" w:color="auto" w:fill="auto"/>
            <w:noWrap/>
            <w:vAlign w:val="bottom"/>
            <w:hideMark/>
          </w:tcPr>
          <w:p w14:paraId="43019A6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1,972.0 </w:t>
            </w:r>
          </w:p>
        </w:tc>
        <w:tc>
          <w:tcPr>
            <w:tcW w:w="1267" w:type="dxa"/>
            <w:tcBorders>
              <w:top w:val="nil"/>
              <w:left w:val="nil"/>
              <w:bottom w:val="single" w:sz="4" w:space="0" w:color="auto"/>
              <w:right w:val="single" w:sz="4" w:space="0" w:color="auto"/>
            </w:tcBorders>
            <w:shd w:val="clear" w:color="auto" w:fill="auto"/>
            <w:noWrap/>
            <w:vAlign w:val="bottom"/>
            <w:hideMark/>
          </w:tcPr>
          <w:p w14:paraId="43019A6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1,247.9 </w:t>
            </w:r>
          </w:p>
        </w:tc>
      </w:tr>
      <w:tr w:rsidR="00E965E4" w:rsidRPr="006218C3" w14:paraId="43019A70"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6D"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Revenue</w:t>
            </w:r>
          </w:p>
        </w:tc>
        <w:tc>
          <w:tcPr>
            <w:tcW w:w="1267" w:type="dxa"/>
            <w:tcBorders>
              <w:top w:val="nil"/>
              <w:left w:val="nil"/>
              <w:bottom w:val="single" w:sz="4" w:space="0" w:color="auto"/>
              <w:right w:val="single" w:sz="4" w:space="0" w:color="auto"/>
            </w:tcBorders>
            <w:shd w:val="clear" w:color="auto" w:fill="auto"/>
            <w:noWrap/>
            <w:vAlign w:val="bottom"/>
            <w:hideMark/>
          </w:tcPr>
          <w:p w14:paraId="43019A6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67" w:type="dxa"/>
            <w:tcBorders>
              <w:top w:val="nil"/>
              <w:left w:val="nil"/>
              <w:bottom w:val="single" w:sz="4" w:space="0" w:color="auto"/>
              <w:right w:val="single" w:sz="4" w:space="0" w:color="auto"/>
            </w:tcBorders>
            <w:shd w:val="clear" w:color="auto" w:fill="auto"/>
            <w:noWrap/>
            <w:vAlign w:val="bottom"/>
            <w:hideMark/>
          </w:tcPr>
          <w:p w14:paraId="43019A6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E965E4" w:rsidRPr="006218C3" w14:paraId="43019A74"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71"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Gross profit margin</w:t>
            </w:r>
          </w:p>
        </w:tc>
        <w:tc>
          <w:tcPr>
            <w:tcW w:w="1267" w:type="dxa"/>
            <w:tcBorders>
              <w:top w:val="nil"/>
              <w:left w:val="nil"/>
              <w:bottom w:val="single" w:sz="4" w:space="0" w:color="auto"/>
              <w:right w:val="single" w:sz="4" w:space="0" w:color="auto"/>
            </w:tcBorders>
            <w:shd w:val="clear" w:color="auto" w:fill="auto"/>
            <w:noWrap/>
            <w:vAlign w:val="bottom"/>
            <w:hideMark/>
          </w:tcPr>
          <w:p w14:paraId="43019A72"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45%</w:t>
            </w:r>
          </w:p>
        </w:tc>
        <w:tc>
          <w:tcPr>
            <w:tcW w:w="1267" w:type="dxa"/>
            <w:tcBorders>
              <w:top w:val="nil"/>
              <w:left w:val="nil"/>
              <w:bottom w:val="single" w:sz="4" w:space="0" w:color="auto"/>
              <w:right w:val="single" w:sz="4" w:space="0" w:color="auto"/>
            </w:tcBorders>
            <w:shd w:val="clear" w:color="auto" w:fill="auto"/>
            <w:noWrap/>
            <w:vAlign w:val="bottom"/>
            <w:hideMark/>
          </w:tcPr>
          <w:p w14:paraId="43019A73"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38%</w:t>
            </w:r>
          </w:p>
        </w:tc>
      </w:tr>
      <w:tr w:rsidR="00E965E4" w:rsidRPr="006218C3" w14:paraId="43019A78" w14:textId="77777777" w:rsidTr="00E965E4">
        <w:trPr>
          <w:trHeight w:val="315"/>
          <w:jc w:val="center"/>
        </w:trPr>
        <w:tc>
          <w:tcPr>
            <w:tcW w:w="2926" w:type="dxa"/>
            <w:tcBorders>
              <w:top w:val="nil"/>
              <w:left w:val="nil"/>
              <w:bottom w:val="nil"/>
              <w:right w:val="nil"/>
            </w:tcBorders>
            <w:shd w:val="clear" w:color="auto" w:fill="auto"/>
            <w:noWrap/>
            <w:vAlign w:val="bottom"/>
            <w:hideMark/>
          </w:tcPr>
          <w:p w14:paraId="43019A7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7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7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A7A"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79"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Operating profit margin</w:t>
            </w:r>
          </w:p>
        </w:tc>
      </w:tr>
      <w:tr w:rsidR="00E965E4" w:rsidRPr="006218C3" w14:paraId="43019A7E"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7B"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7C"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7D"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82"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7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Operating profit </w:t>
            </w:r>
          </w:p>
        </w:tc>
        <w:tc>
          <w:tcPr>
            <w:tcW w:w="1267" w:type="dxa"/>
            <w:tcBorders>
              <w:top w:val="nil"/>
              <w:left w:val="nil"/>
              <w:bottom w:val="single" w:sz="4" w:space="0" w:color="auto"/>
              <w:right w:val="single" w:sz="4" w:space="0" w:color="auto"/>
            </w:tcBorders>
            <w:shd w:val="clear" w:color="auto" w:fill="auto"/>
            <w:noWrap/>
            <w:vAlign w:val="bottom"/>
            <w:hideMark/>
          </w:tcPr>
          <w:p w14:paraId="43019A8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905.4 </w:t>
            </w:r>
          </w:p>
        </w:tc>
        <w:tc>
          <w:tcPr>
            <w:tcW w:w="1267" w:type="dxa"/>
            <w:tcBorders>
              <w:top w:val="nil"/>
              <w:left w:val="nil"/>
              <w:bottom w:val="single" w:sz="4" w:space="0" w:color="auto"/>
              <w:right w:val="single" w:sz="4" w:space="0" w:color="auto"/>
            </w:tcBorders>
            <w:shd w:val="clear" w:color="auto" w:fill="auto"/>
            <w:noWrap/>
            <w:vAlign w:val="bottom"/>
            <w:hideMark/>
          </w:tcPr>
          <w:p w14:paraId="43019A8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444.5 </w:t>
            </w:r>
          </w:p>
        </w:tc>
      </w:tr>
      <w:tr w:rsidR="00E965E4" w:rsidRPr="006218C3" w14:paraId="43019A86"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8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Revenue</w:t>
            </w:r>
          </w:p>
        </w:tc>
        <w:tc>
          <w:tcPr>
            <w:tcW w:w="1267" w:type="dxa"/>
            <w:tcBorders>
              <w:top w:val="nil"/>
              <w:left w:val="nil"/>
              <w:bottom w:val="single" w:sz="4" w:space="0" w:color="auto"/>
              <w:right w:val="single" w:sz="4" w:space="0" w:color="auto"/>
            </w:tcBorders>
            <w:shd w:val="clear" w:color="auto" w:fill="auto"/>
            <w:noWrap/>
            <w:vAlign w:val="bottom"/>
            <w:hideMark/>
          </w:tcPr>
          <w:p w14:paraId="43019A84"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67" w:type="dxa"/>
            <w:tcBorders>
              <w:top w:val="nil"/>
              <w:left w:val="nil"/>
              <w:bottom w:val="single" w:sz="4" w:space="0" w:color="auto"/>
              <w:right w:val="single" w:sz="4" w:space="0" w:color="auto"/>
            </w:tcBorders>
            <w:shd w:val="clear" w:color="auto" w:fill="auto"/>
            <w:noWrap/>
            <w:vAlign w:val="bottom"/>
            <w:hideMark/>
          </w:tcPr>
          <w:p w14:paraId="43019A8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E965E4" w:rsidRPr="006218C3" w14:paraId="43019A8A"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87"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Operating profit margin</w:t>
            </w:r>
          </w:p>
        </w:tc>
        <w:tc>
          <w:tcPr>
            <w:tcW w:w="1267" w:type="dxa"/>
            <w:tcBorders>
              <w:top w:val="nil"/>
              <w:left w:val="nil"/>
              <w:bottom w:val="single" w:sz="4" w:space="0" w:color="auto"/>
              <w:right w:val="single" w:sz="4" w:space="0" w:color="auto"/>
            </w:tcBorders>
            <w:shd w:val="clear" w:color="auto" w:fill="auto"/>
            <w:noWrap/>
            <w:vAlign w:val="bottom"/>
            <w:hideMark/>
          </w:tcPr>
          <w:p w14:paraId="43019A88"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21%</w:t>
            </w:r>
          </w:p>
        </w:tc>
        <w:tc>
          <w:tcPr>
            <w:tcW w:w="1267" w:type="dxa"/>
            <w:tcBorders>
              <w:top w:val="nil"/>
              <w:left w:val="nil"/>
              <w:bottom w:val="single" w:sz="4" w:space="0" w:color="auto"/>
              <w:right w:val="single" w:sz="4" w:space="0" w:color="auto"/>
            </w:tcBorders>
            <w:shd w:val="clear" w:color="auto" w:fill="auto"/>
            <w:noWrap/>
            <w:vAlign w:val="bottom"/>
            <w:hideMark/>
          </w:tcPr>
          <w:p w14:paraId="43019A8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14%</w:t>
            </w:r>
          </w:p>
        </w:tc>
      </w:tr>
      <w:tr w:rsidR="00E965E4" w:rsidRPr="006218C3" w14:paraId="43019A8E" w14:textId="77777777" w:rsidTr="00E965E4">
        <w:trPr>
          <w:trHeight w:val="315"/>
          <w:jc w:val="center"/>
        </w:trPr>
        <w:tc>
          <w:tcPr>
            <w:tcW w:w="2926" w:type="dxa"/>
            <w:tcBorders>
              <w:top w:val="nil"/>
              <w:left w:val="nil"/>
              <w:bottom w:val="nil"/>
              <w:right w:val="nil"/>
            </w:tcBorders>
            <w:shd w:val="clear" w:color="auto" w:fill="auto"/>
            <w:noWrap/>
            <w:vAlign w:val="bottom"/>
            <w:hideMark/>
          </w:tcPr>
          <w:p w14:paraId="43019A8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8C"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8D"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A90"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8F"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Net profit margin</w:t>
            </w:r>
          </w:p>
        </w:tc>
      </w:tr>
      <w:tr w:rsidR="00E965E4" w:rsidRPr="006218C3" w14:paraId="43019A94"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91"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92"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93"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98"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9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Net profit </w:t>
            </w:r>
          </w:p>
        </w:tc>
        <w:tc>
          <w:tcPr>
            <w:tcW w:w="1267" w:type="dxa"/>
            <w:tcBorders>
              <w:top w:val="nil"/>
              <w:left w:val="nil"/>
              <w:bottom w:val="single" w:sz="4" w:space="0" w:color="auto"/>
              <w:right w:val="single" w:sz="4" w:space="0" w:color="auto"/>
            </w:tcBorders>
            <w:shd w:val="clear" w:color="auto" w:fill="auto"/>
            <w:noWrap/>
            <w:vAlign w:val="bottom"/>
            <w:hideMark/>
          </w:tcPr>
          <w:p w14:paraId="43019A9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677.5 </w:t>
            </w:r>
          </w:p>
        </w:tc>
        <w:tc>
          <w:tcPr>
            <w:tcW w:w="1267" w:type="dxa"/>
            <w:tcBorders>
              <w:top w:val="nil"/>
              <w:left w:val="nil"/>
              <w:bottom w:val="single" w:sz="4" w:space="0" w:color="auto"/>
              <w:right w:val="single" w:sz="4" w:space="0" w:color="auto"/>
            </w:tcBorders>
            <w:shd w:val="clear" w:color="auto" w:fill="auto"/>
            <w:noWrap/>
            <w:vAlign w:val="bottom"/>
            <w:hideMark/>
          </w:tcPr>
          <w:p w14:paraId="43019A9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286.7 </w:t>
            </w:r>
          </w:p>
        </w:tc>
      </w:tr>
      <w:tr w:rsidR="00E965E4" w:rsidRPr="006218C3" w14:paraId="43019A9C"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9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Revenue</w:t>
            </w:r>
          </w:p>
        </w:tc>
        <w:tc>
          <w:tcPr>
            <w:tcW w:w="1267" w:type="dxa"/>
            <w:tcBorders>
              <w:top w:val="nil"/>
              <w:left w:val="nil"/>
              <w:bottom w:val="single" w:sz="4" w:space="0" w:color="auto"/>
              <w:right w:val="single" w:sz="4" w:space="0" w:color="auto"/>
            </w:tcBorders>
            <w:shd w:val="clear" w:color="auto" w:fill="auto"/>
            <w:noWrap/>
            <w:vAlign w:val="bottom"/>
            <w:hideMark/>
          </w:tcPr>
          <w:p w14:paraId="43019A9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67" w:type="dxa"/>
            <w:tcBorders>
              <w:top w:val="nil"/>
              <w:left w:val="nil"/>
              <w:bottom w:val="single" w:sz="4" w:space="0" w:color="auto"/>
              <w:right w:val="single" w:sz="4" w:space="0" w:color="auto"/>
            </w:tcBorders>
            <w:shd w:val="clear" w:color="auto" w:fill="auto"/>
            <w:noWrap/>
            <w:vAlign w:val="bottom"/>
            <w:hideMark/>
          </w:tcPr>
          <w:p w14:paraId="43019A9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E965E4" w:rsidRPr="006218C3" w14:paraId="43019AA0"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9D"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Net profit margin</w:t>
            </w:r>
          </w:p>
        </w:tc>
        <w:tc>
          <w:tcPr>
            <w:tcW w:w="1267" w:type="dxa"/>
            <w:tcBorders>
              <w:top w:val="nil"/>
              <w:left w:val="nil"/>
              <w:bottom w:val="single" w:sz="4" w:space="0" w:color="auto"/>
              <w:right w:val="single" w:sz="4" w:space="0" w:color="auto"/>
            </w:tcBorders>
            <w:shd w:val="clear" w:color="auto" w:fill="auto"/>
            <w:noWrap/>
            <w:vAlign w:val="bottom"/>
            <w:hideMark/>
          </w:tcPr>
          <w:p w14:paraId="43019A9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15%</w:t>
            </w:r>
          </w:p>
        </w:tc>
        <w:tc>
          <w:tcPr>
            <w:tcW w:w="1267" w:type="dxa"/>
            <w:tcBorders>
              <w:top w:val="nil"/>
              <w:left w:val="nil"/>
              <w:bottom w:val="single" w:sz="4" w:space="0" w:color="auto"/>
              <w:right w:val="single" w:sz="4" w:space="0" w:color="auto"/>
            </w:tcBorders>
            <w:shd w:val="clear" w:color="auto" w:fill="auto"/>
            <w:noWrap/>
            <w:vAlign w:val="bottom"/>
            <w:hideMark/>
          </w:tcPr>
          <w:p w14:paraId="43019A9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9%</w:t>
            </w:r>
          </w:p>
        </w:tc>
      </w:tr>
      <w:tr w:rsidR="00E965E4" w:rsidRPr="006218C3" w14:paraId="43019AA4" w14:textId="77777777" w:rsidTr="00E965E4">
        <w:trPr>
          <w:trHeight w:val="315"/>
          <w:jc w:val="center"/>
        </w:trPr>
        <w:tc>
          <w:tcPr>
            <w:tcW w:w="2926" w:type="dxa"/>
            <w:tcBorders>
              <w:top w:val="nil"/>
              <w:left w:val="nil"/>
              <w:bottom w:val="nil"/>
              <w:right w:val="nil"/>
            </w:tcBorders>
            <w:shd w:val="clear" w:color="auto" w:fill="auto"/>
            <w:noWrap/>
            <w:vAlign w:val="bottom"/>
            <w:hideMark/>
          </w:tcPr>
          <w:p w14:paraId="43019AA1" w14:textId="186248DC" w:rsidR="00AE2BE0" w:rsidRPr="006218C3" w:rsidRDefault="00AE2BE0" w:rsidP="00AE2BE0">
            <w:pPr>
              <w:spacing w:line="240" w:lineRule="auto"/>
              <w:jc w:val="both"/>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A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A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AA6"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A5"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Return on asset</w:t>
            </w:r>
          </w:p>
        </w:tc>
      </w:tr>
      <w:tr w:rsidR="00E965E4" w:rsidRPr="006218C3" w14:paraId="43019AAA"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A7"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A8"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A9"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AE"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A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Net profit </w:t>
            </w:r>
          </w:p>
        </w:tc>
        <w:tc>
          <w:tcPr>
            <w:tcW w:w="1267" w:type="dxa"/>
            <w:tcBorders>
              <w:top w:val="nil"/>
              <w:left w:val="nil"/>
              <w:bottom w:val="single" w:sz="4" w:space="0" w:color="auto"/>
              <w:right w:val="single" w:sz="4" w:space="0" w:color="auto"/>
            </w:tcBorders>
            <w:shd w:val="clear" w:color="auto" w:fill="auto"/>
            <w:noWrap/>
            <w:vAlign w:val="bottom"/>
            <w:hideMark/>
          </w:tcPr>
          <w:p w14:paraId="43019AAC"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677.5 </w:t>
            </w:r>
          </w:p>
        </w:tc>
        <w:tc>
          <w:tcPr>
            <w:tcW w:w="1267" w:type="dxa"/>
            <w:tcBorders>
              <w:top w:val="nil"/>
              <w:left w:val="nil"/>
              <w:bottom w:val="single" w:sz="4" w:space="0" w:color="auto"/>
              <w:right w:val="single" w:sz="4" w:space="0" w:color="auto"/>
            </w:tcBorders>
            <w:shd w:val="clear" w:color="auto" w:fill="auto"/>
            <w:noWrap/>
            <w:vAlign w:val="bottom"/>
            <w:hideMark/>
          </w:tcPr>
          <w:p w14:paraId="43019AAD"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286.7 </w:t>
            </w:r>
          </w:p>
        </w:tc>
      </w:tr>
      <w:tr w:rsidR="00E965E4" w:rsidRPr="006218C3" w14:paraId="43019AB2"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A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Total asset</w:t>
            </w:r>
          </w:p>
        </w:tc>
        <w:tc>
          <w:tcPr>
            <w:tcW w:w="1267" w:type="dxa"/>
            <w:tcBorders>
              <w:top w:val="nil"/>
              <w:left w:val="nil"/>
              <w:bottom w:val="single" w:sz="4" w:space="0" w:color="auto"/>
              <w:right w:val="single" w:sz="4" w:space="0" w:color="auto"/>
            </w:tcBorders>
            <w:shd w:val="clear" w:color="auto" w:fill="auto"/>
            <w:noWrap/>
            <w:vAlign w:val="bottom"/>
            <w:hideMark/>
          </w:tcPr>
          <w:p w14:paraId="43019AB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3,981.8 </w:t>
            </w:r>
          </w:p>
        </w:tc>
        <w:tc>
          <w:tcPr>
            <w:tcW w:w="1267" w:type="dxa"/>
            <w:tcBorders>
              <w:top w:val="nil"/>
              <w:left w:val="nil"/>
              <w:bottom w:val="single" w:sz="4" w:space="0" w:color="auto"/>
              <w:right w:val="single" w:sz="4" w:space="0" w:color="auto"/>
            </w:tcBorders>
            <w:shd w:val="clear" w:color="auto" w:fill="auto"/>
            <w:noWrap/>
            <w:vAlign w:val="bottom"/>
            <w:hideMark/>
          </w:tcPr>
          <w:p w14:paraId="43019AB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3,758.0 </w:t>
            </w:r>
          </w:p>
        </w:tc>
      </w:tr>
      <w:tr w:rsidR="00E965E4" w:rsidRPr="006218C3" w14:paraId="43019AB6"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B3"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ROA</w:t>
            </w:r>
          </w:p>
        </w:tc>
        <w:tc>
          <w:tcPr>
            <w:tcW w:w="1267" w:type="dxa"/>
            <w:tcBorders>
              <w:top w:val="nil"/>
              <w:left w:val="nil"/>
              <w:bottom w:val="single" w:sz="4" w:space="0" w:color="auto"/>
              <w:right w:val="single" w:sz="4" w:space="0" w:color="auto"/>
            </w:tcBorders>
            <w:shd w:val="clear" w:color="auto" w:fill="auto"/>
            <w:noWrap/>
            <w:vAlign w:val="bottom"/>
            <w:hideMark/>
          </w:tcPr>
          <w:p w14:paraId="43019AB4"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17%</w:t>
            </w:r>
          </w:p>
        </w:tc>
        <w:tc>
          <w:tcPr>
            <w:tcW w:w="1267" w:type="dxa"/>
            <w:tcBorders>
              <w:top w:val="nil"/>
              <w:left w:val="nil"/>
              <w:bottom w:val="single" w:sz="4" w:space="0" w:color="auto"/>
              <w:right w:val="single" w:sz="4" w:space="0" w:color="auto"/>
            </w:tcBorders>
            <w:shd w:val="clear" w:color="auto" w:fill="auto"/>
            <w:noWrap/>
            <w:vAlign w:val="bottom"/>
            <w:hideMark/>
          </w:tcPr>
          <w:p w14:paraId="43019AB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8%</w:t>
            </w:r>
          </w:p>
        </w:tc>
      </w:tr>
      <w:tr w:rsidR="00E965E4" w:rsidRPr="006218C3" w14:paraId="43019ABA" w14:textId="77777777" w:rsidTr="00E965E4">
        <w:trPr>
          <w:trHeight w:val="315"/>
          <w:jc w:val="center"/>
        </w:trPr>
        <w:tc>
          <w:tcPr>
            <w:tcW w:w="2926" w:type="dxa"/>
            <w:tcBorders>
              <w:top w:val="nil"/>
              <w:left w:val="nil"/>
              <w:bottom w:val="nil"/>
              <w:right w:val="nil"/>
            </w:tcBorders>
            <w:shd w:val="clear" w:color="auto" w:fill="auto"/>
            <w:noWrap/>
            <w:vAlign w:val="bottom"/>
            <w:hideMark/>
          </w:tcPr>
          <w:p w14:paraId="43019AB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B8"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B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ABC"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BB"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Return on capital employed</w:t>
            </w:r>
          </w:p>
        </w:tc>
      </w:tr>
      <w:tr w:rsidR="00E965E4" w:rsidRPr="006218C3" w14:paraId="43019AC0"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BD"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BE"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BF"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C4"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C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EBIT</w:t>
            </w:r>
          </w:p>
        </w:tc>
        <w:tc>
          <w:tcPr>
            <w:tcW w:w="1267" w:type="dxa"/>
            <w:tcBorders>
              <w:top w:val="nil"/>
              <w:left w:val="nil"/>
              <w:bottom w:val="single" w:sz="4" w:space="0" w:color="auto"/>
              <w:right w:val="single" w:sz="4" w:space="0" w:color="auto"/>
            </w:tcBorders>
            <w:shd w:val="clear" w:color="auto" w:fill="auto"/>
            <w:noWrap/>
            <w:vAlign w:val="bottom"/>
            <w:hideMark/>
          </w:tcPr>
          <w:p w14:paraId="43019AC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905.4 </w:t>
            </w:r>
          </w:p>
        </w:tc>
        <w:tc>
          <w:tcPr>
            <w:tcW w:w="1267" w:type="dxa"/>
            <w:tcBorders>
              <w:top w:val="nil"/>
              <w:left w:val="nil"/>
              <w:bottom w:val="single" w:sz="4" w:space="0" w:color="auto"/>
              <w:right w:val="single" w:sz="4" w:space="0" w:color="auto"/>
            </w:tcBorders>
            <w:shd w:val="clear" w:color="auto" w:fill="auto"/>
            <w:noWrap/>
            <w:vAlign w:val="bottom"/>
            <w:hideMark/>
          </w:tcPr>
          <w:p w14:paraId="43019AC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444.5 </w:t>
            </w:r>
          </w:p>
        </w:tc>
      </w:tr>
      <w:tr w:rsidR="00E965E4" w:rsidRPr="006218C3" w14:paraId="43019AC8"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C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Capital employed</w:t>
            </w:r>
          </w:p>
        </w:tc>
        <w:tc>
          <w:tcPr>
            <w:tcW w:w="1267" w:type="dxa"/>
            <w:tcBorders>
              <w:top w:val="nil"/>
              <w:left w:val="nil"/>
              <w:bottom w:val="single" w:sz="4" w:space="0" w:color="auto"/>
              <w:right w:val="single" w:sz="4" w:space="0" w:color="auto"/>
            </w:tcBorders>
            <w:shd w:val="clear" w:color="auto" w:fill="auto"/>
            <w:noWrap/>
            <w:vAlign w:val="bottom"/>
            <w:hideMark/>
          </w:tcPr>
          <w:p w14:paraId="43019AC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w:t>
            </w:r>
            <w:r w:rsidRPr="006218C3">
              <w:rPr>
                <w:rFonts w:ascii="Times New Roman" w:eastAsia="Times New Roman" w:hAnsi="Times New Roman" w:cs="Times New Roman"/>
                <w:color w:val="000000"/>
                <w:sz w:val="24"/>
                <w:szCs w:val="24"/>
                <w:lang w:val="en-GB"/>
              </w:rPr>
              <w:lastRenderedPageBreak/>
              <w:t xml:space="preserve">2,773.7 </w:t>
            </w:r>
          </w:p>
        </w:tc>
        <w:tc>
          <w:tcPr>
            <w:tcW w:w="1267" w:type="dxa"/>
            <w:tcBorders>
              <w:top w:val="nil"/>
              <w:left w:val="nil"/>
              <w:bottom w:val="single" w:sz="4" w:space="0" w:color="auto"/>
              <w:right w:val="single" w:sz="4" w:space="0" w:color="auto"/>
            </w:tcBorders>
            <w:shd w:val="clear" w:color="auto" w:fill="auto"/>
            <w:noWrap/>
            <w:vAlign w:val="bottom"/>
            <w:hideMark/>
          </w:tcPr>
          <w:p w14:paraId="43019AC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lastRenderedPageBreak/>
              <w:t xml:space="preserve"> £   </w:t>
            </w:r>
            <w:r w:rsidRPr="006218C3">
              <w:rPr>
                <w:rFonts w:ascii="Times New Roman" w:eastAsia="Times New Roman" w:hAnsi="Times New Roman" w:cs="Times New Roman"/>
                <w:color w:val="000000"/>
                <w:sz w:val="24"/>
                <w:szCs w:val="24"/>
                <w:lang w:val="en-GB"/>
              </w:rPr>
              <w:lastRenderedPageBreak/>
              <w:t xml:space="preserve">2,561.2 </w:t>
            </w:r>
          </w:p>
        </w:tc>
      </w:tr>
      <w:tr w:rsidR="00E965E4" w:rsidRPr="006218C3" w14:paraId="43019ACC"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C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lastRenderedPageBreak/>
              <w:t xml:space="preserve">Total asset </w:t>
            </w:r>
          </w:p>
        </w:tc>
        <w:tc>
          <w:tcPr>
            <w:tcW w:w="1267" w:type="dxa"/>
            <w:tcBorders>
              <w:top w:val="nil"/>
              <w:left w:val="nil"/>
              <w:bottom w:val="single" w:sz="4" w:space="0" w:color="auto"/>
              <w:right w:val="single" w:sz="4" w:space="0" w:color="auto"/>
            </w:tcBorders>
            <w:shd w:val="clear" w:color="auto" w:fill="auto"/>
            <w:noWrap/>
            <w:vAlign w:val="bottom"/>
            <w:hideMark/>
          </w:tcPr>
          <w:p w14:paraId="43019AC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3,981.8 </w:t>
            </w:r>
          </w:p>
        </w:tc>
        <w:tc>
          <w:tcPr>
            <w:tcW w:w="1267" w:type="dxa"/>
            <w:tcBorders>
              <w:top w:val="nil"/>
              <w:left w:val="nil"/>
              <w:bottom w:val="single" w:sz="4" w:space="0" w:color="auto"/>
              <w:right w:val="single" w:sz="4" w:space="0" w:color="auto"/>
            </w:tcBorders>
            <w:shd w:val="clear" w:color="auto" w:fill="auto"/>
            <w:noWrap/>
            <w:vAlign w:val="bottom"/>
            <w:hideMark/>
          </w:tcPr>
          <w:p w14:paraId="43019AC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3,758.0 </w:t>
            </w:r>
          </w:p>
        </w:tc>
      </w:tr>
      <w:tr w:rsidR="00E965E4" w:rsidRPr="006218C3" w14:paraId="43019AD0"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CD"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Current liabilities</w:t>
            </w:r>
          </w:p>
        </w:tc>
        <w:tc>
          <w:tcPr>
            <w:tcW w:w="1267" w:type="dxa"/>
            <w:tcBorders>
              <w:top w:val="nil"/>
              <w:left w:val="nil"/>
              <w:bottom w:val="single" w:sz="4" w:space="0" w:color="auto"/>
              <w:right w:val="single" w:sz="4" w:space="0" w:color="auto"/>
            </w:tcBorders>
            <w:shd w:val="clear" w:color="auto" w:fill="auto"/>
            <w:noWrap/>
            <w:vAlign w:val="bottom"/>
            <w:hideMark/>
          </w:tcPr>
          <w:p w14:paraId="43019AC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1,208.1 </w:t>
            </w:r>
          </w:p>
        </w:tc>
        <w:tc>
          <w:tcPr>
            <w:tcW w:w="1267" w:type="dxa"/>
            <w:tcBorders>
              <w:top w:val="nil"/>
              <w:left w:val="nil"/>
              <w:bottom w:val="single" w:sz="4" w:space="0" w:color="auto"/>
              <w:right w:val="single" w:sz="4" w:space="0" w:color="auto"/>
            </w:tcBorders>
            <w:shd w:val="clear" w:color="auto" w:fill="auto"/>
            <w:noWrap/>
            <w:vAlign w:val="bottom"/>
            <w:hideMark/>
          </w:tcPr>
          <w:p w14:paraId="43019AC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1,196.8 </w:t>
            </w:r>
          </w:p>
        </w:tc>
      </w:tr>
      <w:tr w:rsidR="00E965E4" w:rsidRPr="006218C3" w14:paraId="43019AD4"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D1"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ROCE</w:t>
            </w:r>
          </w:p>
        </w:tc>
        <w:tc>
          <w:tcPr>
            <w:tcW w:w="1267" w:type="dxa"/>
            <w:tcBorders>
              <w:top w:val="nil"/>
              <w:left w:val="nil"/>
              <w:bottom w:val="single" w:sz="4" w:space="0" w:color="auto"/>
              <w:right w:val="single" w:sz="4" w:space="0" w:color="auto"/>
            </w:tcBorders>
            <w:shd w:val="clear" w:color="auto" w:fill="auto"/>
            <w:noWrap/>
            <w:vAlign w:val="bottom"/>
            <w:hideMark/>
          </w:tcPr>
          <w:p w14:paraId="43019AD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33%</w:t>
            </w:r>
          </w:p>
        </w:tc>
        <w:tc>
          <w:tcPr>
            <w:tcW w:w="1267" w:type="dxa"/>
            <w:tcBorders>
              <w:top w:val="nil"/>
              <w:left w:val="nil"/>
              <w:bottom w:val="single" w:sz="4" w:space="0" w:color="auto"/>
              <w:right w:val="single" w:sz="4" w:space="0" w:color="auto"/>
            </w:tcBorders>
            <w:shd w:val="clear" w:color="auto" w:fill="auto"/>
            <w:noWrap/>
            <w:vAlign w:val="bottom"/>
            <w:hideMark/>
          </w:tcPr>
          <w:p w14:paraId="43019AD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17%</w:t>
            </w:r>
          </w:p>
        </w:tc>
      </w:tr>
      <w:tr w:rsidR="00E965E4" w:rsidRPr="006218C3" w14:paraId="43019AD8" w14:textId="77777777" w:rsidTr="00E965E4">
        <w:trPr>
          <w:trHeight w:val="315"/>
          <w:jc w:val="center"/>
        </w:trPr>
        <w:tc>
          <w:tcPr>
            <w:tcW w:w="2926" w:type="dxa"/>
            <w:tcBorders>
              <w:top w:val="nil"/>
              <w:left w:val="nil"/>
              <w:bottom w:val="nil"/>
              <w:right w:val="nil"/>
            </w:tcBorders>
            <w:shd w:val="clear" w:color="auto" w:fill="auto"/>
            <w:noWrap/>
            <w:vAlign w:val="bottom"/>
            <w:hideMark/>
          </w:tcPr>
          <w:p w14:paraId="43019AD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D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67" w:type="dxa"/>
            <w:tcBorders>
              <w:top w:val="nil"/>
              <w:left w:val="nil"/>
              <w:bottom w:val="nil"/>
              <w:right w:val="nil"/>
            </w:tcBorders>
            <w:shd w:val="clear" w:color="auto" w:fill="auto"/>
            <w:noWrap/>
            <w:vAlign w:val="bottom"/>
            <w:hideMark/>
          </w:tcPr>
          <w:p w14:paraId="43019AD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ADA" w14:textId="77777777" w:rsidTr="00E965E4">
        <w:trPr>
          <w:trHeight w:val="315"/>
          <w:jc w:val="center"/>
        </w:trPr>
        <w:tc>
          <w:tcPr>
            <w:tcW w:w="546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D9"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Return on equity</w:t>
            </w:r>
          </w:p>
        </w:tc>
      </w:tr>
      <w:tr w:rsidR="00E965E4" w:rsidRPr="006218C3" w14:paraId="43019ADE"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DB"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67" w:type="dxa"/>
            <w:tcBorders>
              <w:top w:val="nil"/>
              <w:left w:val="nil"/>
              <w:bottom w:val="single" w:sz="4" w:space="0" w:color="auto"/>
              <w:right w:val="single" w:sz="4" w:space="0" w:color="auto"/>
            </w:tcBorders>
            <w:shd w:val="clear" w:color="auto" w:fill="auto"/>
            <w:noWrap/>
            <w:vAlign w:val="bottom"/>
            <w:hideMark/>
          </w:tcPr>
          <w:p w14:paraId="43019ADC"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67" w:type="dxa"/>
            <w:tcBorders>
              <w:top w:val="nil"/>
              <w:left w:val="nil"/>
              <w:bottom w:val="single" w:sz="4" w:space="0" w:color="auto"/>
              <w:right w:val="single" w:sz="4" w:space="0" w:color="auto"/>
            </w:tcBorders>
            <w:shd w:val="clear" w:color="auto" w:fill="auto"/>
            <w:noWrap/>
            <w:vAlign w:val="bottom"/>
            <w:hideMark/>
          </w:tcPr>
          <w:p w14:paraId="43019ADD"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E2"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D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Net profit </w:t>
            </w:r>
          </w:p>
        </w:tc>
        <w:tc>
          <w:tcPr>
            <w:tcW w:w="1267" w:type="dxa"/>
            <w:tcBorders>
              <w:top w:val="nil"/>
              <w:left w:val="nil"/>
              <w:bottom w:val="single" w:sz="4" w:space="0" w:color="auto"/>
              <w:right w:val="single" w:sz="4" w:space="0" w:color="auto"/>
            </w:tcBorders>
            <w:shd w:val="clear" w:color="auto" w:fill="auto"/>
            <w:noWrap/>
            <w:vAlign w:val="bottom"/>
            <w:hideMark/>
          </w:tcPr>
          <w:p w14:paraId="43019AE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677.5 </w:t>
            </w:r>
          </w:p>
        </w:tc>
        <w:tc>
          <w:tcPr>
            <w:tcW w:w="1267" w:type="dxa"/>
            <w:tcBorders>
              <w:top w:val="nil"/>
              <w:left w:val="nil"/>
              <w:bottom w:val="single" w:sz="4" w:space="0" w:color="auto"/>
              <w:right w:val="single" w:sz="4" w:space="0" w:color="auto"/>
            </w:tcBorders>
            <w:shd w:val="clear" w:color="auto" w:fill="auto"/>
            <w:noWrap/>
            <w:vAlign w:val="bottom"/>
            <w:hideMark/>
          </w:tcPr>
          <w:p w14:paraId="43019AE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286.7 </w:t>
            </w:r>
          </w:p>
        </w:tc>
      </w:tr>
      <w:tr w:rsidR="00E965E4" w:rsidRPr="006218C3" w14:paraId="43019AE6"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E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Shareholders fund</w:t>
            </w:r>
          </w:p>
        </w:tc>
        <w:tc>
          <w:tcPr>
            <w:tcW w:w="1267" w:type="dxa"/>
            <w:tcBorders>
              <w:top w:val="nil"/>
              <w:left w:val="nil"/>
              <w:bottom w:val="single" w:sz="4" w:space="0" w:color="auto"/>
              <w:right w:val="single" w:sz="4" w:space="0" w:color="auto"/>
            </w:tcBorders>
            <w:shd w:val="clear" w:color="auto" w:fill="auto"/>
            <w:noWrap/>
            <w:vAlign w:val="bottom"/>
            <w:hideMark/>
          </w:tcPr>
          <w:p w14:paraId="43019AE4"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1,010.0 </w:t>
            </w:r>
          </w:p>
        </w:tc>
        <w:tc>
          <w:tcPr>
            <w:tcW w:w="1267" w:type="dxa"/>
            <w:tcBorders>
              <w:top w:val="nil"/>
              <w:left w:val="nil"/>
              <w:bottom w:val="single" w:sz="4" w:space="0" w:color="auto"/>
              <w:right w:val="single" w:sz="4" w:space="0" w:color="auto"/>
            </w:tcBorders>
            <w:shd w:val="clear" w:color="auto" w:fill="auto"/>
            <w:noWrap/>
            <w:vAlign w:val="bottom"/>
            <w:hideMark/>
          </w:tcPr>
          <w:p w14:paraId="43019AE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660.9 </w:t>
            </w:r>
          </w:p>
        </w:tc>
      </w:tr>
      <w:tr w:rsidR="00E965E4" w:rsidRPr="006218C3" w14:paraId="43019AEA" w14:textId="77777777" w:rsidTr="00E965E4">
        <w:trPr>
          <w:trHeight w:val="315"/>
          <w:jc w:val="center"/>
        </w:trPr>
        <w:tc>
          <w:tcPr>
            <w:tcW w:w="2926" w:type="dxa"/>
            <w:tcBorders>
              <w:top w:val="nil"/>
              <w:left w:val="single" w:sz="4" w:space="0" w:color="auto"/>
              <w:bottom w:val="single" w:sz="4" w:space="0" w:color="auto"/>
              <w:right w:val="single" w:sz="4" w:space="0" w:color="auto"/>
            </w:tcBorders>
            <w:shd w:val="clear" w:color="auto" w:fill="auto"/>
            <w:noWrap/>
            <w:vAlign w:val="bottom"/>
            <w:hideMark/>
          </w:tcPr>
          <w:p w14:paraId="43019AE7"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ROE</w:t>
            </w:r>
          </w:p>
        </w:tc>
        <w:tc>
          <w:tcPr>
            <w:tcW w:w="1267" w:type="dxa"/>
            <w:tcBorders>
              <w:top w:val="nil"/>
              <w:left w:val="nil"/>
              <w:bottom w:val="single" w:sz="4" w:space="0" w:color="auto"/>
              <w:right w:val="single" w:sz="4" w:space="0" w:color="auto"/>
            </w:tcBorders>
            <w:shd w:val="clear" w:color="auto" w:fill="auto"/>
            <w:noWrap/>
            <w:vAlign w:val="bottom"/>
            <w:hideMark/>
          </w:tcPr>
          <w:p w14:paraId="43019AE8"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67%</w:t>
            </w:r>
          </w:p>
        </w:tc>
        <w:tc>
          <w:tcPr>
            <w:tcW w:w="1267" w:type="dxa"/>
            <w:tcBorders>
              <w:top w:val="nil"/>
              <w:left w:val="nil"/>
              <w:bottom w:val="single" w:sz="4" w:space="0" w:color="auto"/>
              <w:right w:val="single" w:sz="4" w:space="0" w:color="auto"/>
            </w:tcBorders>
            <w:shd w:val="clear" w:color="auto" w:fill="auto"/>
            <w:noWrap/>
            <w:vAlign w:val="bottom"/>
            <w:hideMark/>
          </w:tcPr>
          <w:p w14:paraId="43019AE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43%</w:t>
            </w:r>
          </w:p>
        </w:tc>
      </w:tr>
    </w:tbl>
    <w:p w14:paraId="43019AEB" w14:textId="4FAEC02B" w:rsidR="008A081E" w:rsidRDefault="008A081E" w:rsidP="004C4AFF">
      <w:pPr>
        <w:pStyle w:val="Normal1"/>
        <w:spacing w:before="200" w:after="240" w:line="360" w:lineRule="auto"/>
        <w:jc w:val="both"/>
        <w:rPr>
          <w:rFonts w:ascii="Times New Roman" w:eastAsia="Times New Roman" w:hAnsi="Times New Roman" w:cs="Times New Roman"/>
          <w:sz w:val="24"/>
          <w:szCs w:val="24"/>
          <w:highlight w:val="white"/>
          <w:lang w:val="en-GB"/>
        </w:rPr>
      </w:pPr>
    </w:p>
    <w:p w14:paraId="7E0F157F" w14:textId="77777777" w:rsidR="008A081E" w:rsidRDefault="008A081E">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2F6BA53C" w14:textId="7BCA1783" w:rsidR="00E965E4" w:rsidRPr="008A081E" w:rsidRDefault="008A081E" w:rsidP="008A081E">
      <w:pPr>
        <w:pStyle w:val="Heading1"/>
        <w:rPr>
          <w:lang w:val="en-GB"/>
        </w:rPr>
      </w:pPr>
      <w:r>
        <w:rPr>
          <w:highlight w:val="white"/>
          <w:lang w:val="en-GB"/>
        </w:rPr>
        <w:lastRenderedPageBreak/>
        <w:t xml:space="preserve">Appendix 2: </w:t>
      </w:r>
      <w:r w:rsidRPr="006218C3">
        <w:rPr>
          <w:bCs/>
          <w:color w:val="000000"/>
          <w:lang w:val="en-GB"/>
        </w:rPr>
        <w:t xml:space="preserve">Liquidity </w:t>
      </w:r>
      <w:r w:rsidRPr="006218C3">
        <w:rPr>
          <w:lang w:val="en-GB"/>
        </w:rPr>
        <w:t>Ratios</w:t>
      </w:r>
    </w:p>
    <w:tbl>
      <w:tblPr>
        <w:tblW w:w="5520" w:type="dxa"/>
        <w:jc w:val="center"/>
        <w:tblLook w:val="04A0" w:firstRow="1" w:lastRow="0" w:firstColumn="1" w:lastColumn="0" w:noHBand="0" w:noVBand="1"/>
      </w:tblPr>
      <w:tblGrid>
        <w:gridCol w:w="3056"/>
        <w:gridCol w:w="1232"/>
        <w:gridCol w:w="1232"/>
      </w:tblGrid>
      <w:tr w:rsidR="00E965E4" w:rsidRPr="006218C3" w14:paraId="43019AED" w14:textId="77777777" w:rsidTr="008A081E">
        <w:trPr>
          <w:trHeight w:val="315"/>
          <w:jc w:val="center"/>
        </w:trPr>
        <w:tc>
          <w:tcPr>
            <w:tcW w:w="55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EC"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Liquidity Ratios</w:t>
            </w:r>
          </w:p>
        </w:tc>
      </w:tr>
      <w:tr w:rsidR="00E965E4" w:rsidRPr="006218C3" w14:paraId="43019AEF" w14:textId="77777777" w:rsidTr="008A081E">
        <w:trPr>
          <w:trHeight w:val="315"/>
          <w:jc w:val="center"/>
        </w:trPr>
        <w:tc>
          <w:tcPr>
            <w:tcW w:w="55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AEE"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Current ratio</w:t>
            </w:r>
          </w:p>
        </w:tc>
      </w:tr>
      <w:tr w:rsidR="00E965E4" w:rsidRPr="006218C3" w14:paraId="43019AF3"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AF0"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32" w:type="dxa"/>
            <w:tcBorders>
              <w:top w:val="nil"/>
              <w:left w:val="nil"/>
              <w:bottom w:val="single" w:sz="4" w:space="0" w:color="auto"/>
              <w:right w:val="single" w:sz="4" w:space="0" w:color="auto"/>
            </w:tcBorders>
            <w:shd w:val="clear" w:color="auto" w:fill="auto"/>
            <w:noWrap/>
            <w:vAlign w:val="bottom"/>
            <w:hideMark/>
          </w:tcPr>
          <w:p w14:paraId="43019AF1"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32" w:type="dxa"/>
            <w:tcBorders>
              <w:top w:val="nil"/>
              <w:left w:val="nil"/>
              <w:bottom w:val="single" w:sz="4" w:space="0" w:color="auto"/>
              <w:right w:val="single" w:sz="4" w:space="0" w:color="auto"/>
            </w:tcBorders>
            <w:shd w:val="clear" w:color="auto" w:fill="auto"/>
            <w:noWrap/>
            <w:vAlign w:val="bottom"/>
            <w:hideMark/>
          </w:tcPr>
          <w:p w14:paraId="43019AF2"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AF7"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AF4"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Current asset</w:t>
            </w:r>
          </w:p>
        </w:tc>
        <w:tc>
          <w:tcPr>
            <w:tcW w:w="1232" w:type="dxa"/>
            <w:tcBorders>
              <w:top w:val="nil"/>
              <w:left w:val="nil"/>
              <w:bottom w:val="single" w:sz="4" w:space="0" w:color="auto"/>
              <w:right w:val="single" w:sz="4" w:space="0" w:color="auto"/>
            </w:tcBorders>
            <w:shd w:val="clear" w:color="auto" w:fill="auto"/>
            <w:noWrap/>
            <w:vAlign w:val="bottom"/>
            <w:hideMark/>
          </w:tcPr>
          <w:p w14:paraId="43019AF5"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2,407.2 </w:t>
            </w:r>
          </w:p>
        </w:tc>
        <w:tc>
          <w:tcPr>
            <w:tcW w:w="1232" w:type="dxa"/>
            <w:tcBorders>
              <w:top w:val="nil"/>
              <w:left w:val="nil"/>
              <w:bottom w:val="single" w:sz="4" w:space="0" w:color="auto"/>
              <w:right w:val="single" w:sz="4" w:space="0" w:color="auto"/>
            </w:tcBorders>
            <w:shd w:val="clear" w:color="auto" w:fill="auto"/>
            <w:noWrap/>
            <w:vAlign w:val="bottom"/>
            <w:hideMark/>
          </w:tcPr>
          <w:p w14:paraId="43019AF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2,288.6 </w:t>
            </w:r>
          </w:p>
        </w:tc>
      </w:tr>
      <w:tr w:rsidR="00E965E4" w:rsidRPr="006218C3" w14:paraId="43019AFB"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AF8"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Current liabilities</w:t>
            </w:r>
          </w:p>
        </w:tc>
        <w:tc>
          <w:tcPr>
            <w:tcW w:w="1232" w:type="dxa"/>
            <w:tcBorders>
              <w:top w:val="nil"/>
              <w:left w:val="nil"/>
              <w:bottom w:val="single" w:sz="4" w:space="0" w:color="auto"/>
              <w:right w:val="single" w:sz="4" w:space="0" w:color="auto"/>
            </w:tcBorders>
            <w:shd w:val="clear" w:color="auto" w:fill="auto"/>
            <w:noWrap/>
            <w:vAlign w:val="bottom"/>
            <w:hideMark/>
          </w:tcPr>
          <w:p w14:paraId="43019AF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1,208.1 </w:t>
            </w:r>
          </w:p>
        </w:tc>
        <w:tc>
          <w:tcPr>
            <w:tcW w:w="1232" w:type="dxa"/>
            <w:tcBorders>
              <w:top w:val="nil"/>
              <w:left w:val="nil"/>
              <w:bottom w:val="single" w:sz="4" w:space="0" w:color="auto"/>
              <w:right w:val="single" w:sz="4" w:space="0" w:color="auto"/>
            </w:tcBorders>
            <w:shd w:val="clear" w:color="auto" w:fill="auto"/>
            <w:noWrap/>
            <w:vAlign w:val="bottom"/>
            <w:hideMark/>
          </w:tcPr>
          <w:p w14:paraId="43019AF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1,196.8 </w:t>
            </w:r>
          </w:p>
        </w:tc>
      </w:tr>
      <w:tr w:rsidR="00E965E4" w:rsidRPr="006218C3" w14:paraId="43019AFF"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AFC"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Current ratio</w:t>
            </w:r>
          </w:p>
        </w:tc>
        <w:tc>
          <w:tcPr>
            <w:tcW w:w="1232" w:type="dxa"/>
            <w:tcBorders>
              <w:top w:val="nil"/>
              <w:left w:val="nil"/>
              <w:bottom w:val="single" w:sz="4" w:space="0" w:color="auto"/>
              <w:right w:val="single" w:sz="4" w:space="0" w:color="auto"/>
            </w:tcBorders>
            <w:shd w:val="clear" w:color="auto" w:fill="auto"/>
            <w:noWrap/>
            <w:vAlign w:val="bottom"/>
            <w:hideMark/>
          </w:tcPr>
          <w:p w14:paraId="43019AFD"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1.99</w:t>
            </w:r>
          </w:p>
        </w:tc>
        <w:tc>
          <w:tcPr>
            <w:tcW w:w="1232" w:type="dxa"/>
            <w:tcBorders>
              <w:top w:val="nil"/>
              <w:left w:val="nil"/>
              <w:bottom w:val="single" w:sz="4" w:space="0" w:color="auto"/>
              <w:right w:val="single" w:sz="4" w:space="0" w:color="auto"/>
            </w:tcBorders>
            <w:shd w:val="clear" w:color="auto" w:fill="auto"/>
            <w:noWrap/>
            <w:vAlign w:val="bottom"/>
            <w:hideMark/>
          </w:tcPr>
          <w:p w14:paraId="43019AFE"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1.91</w:t>
            </w:r>
          </w:p>
        </w:tc>
      </w:tr>
      <w:tr w:rsidR="00E965E4" w:rsidRPr="006218C3" w14:paraId="43019B03" w14:textId="77777777" w:rsidTr="008A081E">
        <w:trPr>
          <w:trHeight w:val="315"/>
          <w:jc w:val="center"/>
        </w:trPr>
        <w:tc>
          <w:tcPr>
            <w:tcW w:w="3056" w:type="dxa"/>
            <w:tcBorders>
              <w:top w:val="nil"/>
              <w:left w:val="nil"/>
              <w:bottom w:val="nil"/>
              <w:right w:val="nil"/>
            </w:tcBorders>
            <w:shd w:val="clear" w:color="auto" w:fill="auto"/>
            <w:noWrap/>
            <w:vAlign w:val="bottom"/>
            <w:hideMark/>
          </w:tcPr>
          <w:p w14:paraId="43019B0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32" w:type="dxa"/>
            <w:tcBorders>
              <w:top w:val="nil"/>
              <w:left w:val="nil"/>
              <w:bottom w:val="nil"/>
              <w:right w:val="nil"/>
            </w:tcBorders>
            <w:shd w:val="clear" w:color="auto" w:fill="auto"/>
            <w:noWrap/>
            <w:vAlign w:val="bottom"/>
            <w:hideMark/>
          </w:tcPr>
          <w:p w14:paraId="43019B0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32" w:type="dxa"/>
            <w:tcBorders>
              <w:top w:val="nil"/>
              <w:left w:val="nil"/>
              <w:bottom w:val="nil"/>
              <w:right w:val="nil"/>
            </w:tcBorders>
            <w:shd w:val="clear" w:color="auto" w:fill="auto"/>
            <w:noWrap/>
            <w:vAlign w:val="bottom"/>
            <w:hideMark/>
          </w:tcPr>
          <w:p w14:paraId="43019B0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B05" w14:textId="77777777" w:rsidTr="008A081E">
        <w:trPr>
          <w:trHeight w:val="315"/>
          <w:jc w:val="center"/>
        </w:trPr>
        <w:tc>
          <w:tcPr>
            <w:tcW w:w="55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04"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Quick ratio</w:t>
            </w:r>
          </w:p>
        </w:tc>
      </w:tr>
      <w:tr w:rsidR="00E965E4" w:rsidRPr="006218C3" w14:paraId="43019B09"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06"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32" w:type="dxa"/>
            <w:tcBorders>
              <w:top w:val="nil"/>
              <w:left w:val="nil"/>
              <w:bottom w:val="single" w:sz="4" w:space="0" w:color="auto"/>
              <w:right w:val="single" w:sz="4" w:space="0" w:color="auto"/>
            </w:tcBorders>
            <w:shd w:val="clear" w:color="auto" w:fill="auto"/>
            <w:noWrap/>
            <w:vAlign w:val="bottom"/>
            <w:hideMark/>
          </w:tcPr>
          <w:p w14:paraId="43019B07"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32" w:type="dxa"/>
            <w:tcBorders>
              <w:top w:val="nil"/>
              <w:left w:val="nil"/>
              <w:bottom w:val="single" w:sz="4" w:space="0" w:color="auto"/>
              <w:right w:val="single" w:sz="4" w:space="0" w:color="auto"/>
            </w:tcBorders>
            <w:shd w:val="clear" w:color="auto" w:fill="auto"/>
            <w:noWrap/>
            <w:vAlign w:val="bottom"/>
            <w:hideMark/>
          </w:tcPr>
          <w:p w14:paraId="43019B08"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B0D"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0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Current asset</w:t>
            </w:r>
          </w:p>
        </w:tc>
        <w:tc>
          <w:tcPr>
            <w:tcW w:w="1232" w:type="dxa"/>
            <w:tcBorders>
              <w:top w:val="nil"/>
              <w:left w:val="nil"/>
              <w:bottom w:val="single" w:sz="4" w:space="0" w:color="auto"/>
              <w:right w:val="single" w:sz="4" w:space="0" w:color="auto"/>
            </w:tcBorders>
            <w:shd w:val="clear" w:color="auto" w:fill="auto"/>
            <w:noWrap/>
            <w:vAlign w:val="bottom"/>
            <w:hideMark/>
          </w:tcPr>
          <w:p w14:paraId="43019B0B"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2,407.2 </w:t>
            </w:r>
          </w:p>
        </w:tc>
        <w:tc>
          <w:tcPr>
            <w:tcW w:w="1232" w:type="dxa"/>
            <w:tcBorders>
              <w:top w:val="nil"/>
              <w:left w:val="nil"/>
              <w:bottom w:val="single" w:sz="4" w:space="0" w:color="auto"/>
              <w:right w:val="single" w:sz="4" w:space="0" w:color="auto"/>
            </w:tcBorders>
            <w:shd w:val="clear" w:color="auto" w:fill="auto"/>
            <w:noWrap/>
            <w:vAlign w:val="bottom"/>
            <w:hideMark/>
          </w:tcPr>
          <w:p w14:paraId="43019B0C"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2,288.6 </w:t>
            </w:r>
          </w:p>
        </w:tc>
      </w:tr>
      <w:tr w:rsidR="00E965E4" w:rsidRPr="006218C3" w14:paraId="43019B11"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0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Inventories</w:t>
            </w:r>
          </w:p>
        </w:tc>
        <w:tc>
          <w:tcPr>
            <w:tcW w:w="1232" w:type="dxa"/>
            <w:tcBorders>
              <w:top w:val="nil"/>
              <w:left w:val="nil"/>
              <w:bottom w:val="single" w:sz="4" w:space="0" w:color="auto"/>
              <w:right w:val="single" w:sz="4" w:space="0" w:color="auto"/>
            </w:tcBorders>
            <w:shd w:val="clear" w:color="auto" w:fill="auto"/>
            <w:noWrap/>
            <w:vAlign w:val="bottom"/>
            <w:hideMark/>
          </w:tcPr>
          <w:p w14:paraId="43019B0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633.0 </w:t>
            </w:r>
          </w:p>
        </w:tc>
        <w:tc>
          <w:tcPr>
            <w:tcW w:w="1232" w:type="dxa"/>
            <w:tcBorders>
              <w:top w:val="nil"/>
              <w:left w:val="nil"/>
              <w:bottom w:val="single" w:sz="4" w:space="0" w:color="auto"/>
              <w:right w:val="single" w:sz="4" w:space="0" w:color="auto"/>
            </w:tcBorders>
            <w:shd w:val="clear" w:color="auto" w:fill="auto"/>
            <w:noWrap/>
            <w:vAlign w:val="bottom"/>
            <w:hideMark/>
          </w:tcPr>
          <w:p w14:paraId="43019B1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536.9 </w:t>
            </w:r>
          </w:p>
        </w:tc>
      </w:tr>
      <w:tr w:rsidR="00E965E4" w:rsidRPr="006218C3" w14:paraId="43019B15"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1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Difference</w:t>
            </w:r>
          </w:p>
        </w:tc>
        <w:tc>
          <w:tcPr>
            <w:tcW w:w="1232" w:type="dxa"/>
            <w:tcBorders>
              <w:top w:val="nil"/>
              <w:left w:val="nil"/>
              <w:bottom w:val="single" w:sz="4" w:space="0" w:color="auto"/>
              <w:right w:val="single" w:sz="4" w:space="0" w:color="auto"/>
            </w:tcBorders>
            <w:shd w:val="clear" w:color="auto" w:fill="auto"/>
            <w:noWrap/>
            <w:vAlign w:val="bottom"/>
            <w:hideMark/>
          </w:tcPr>
          <w:p w14:paraId="43019B13"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1,774.2 </w:t>
            </w:r>
          </w:p>
        </w:tc>
        <w:tc>
          <w:tcPr>
            <w:tcW w:w="1232" w:type="dxa"/>
            <w:tcBorders>
              <w:top w:val="nil"/>
              <w:left w:val="nil"/>
              <w:bottom w:val="single" w:sz="4" w:space="0" w:color="auto"/>
              <w:right w:val="single" w:sz="4" w:space="0" w:color="auto"/>
            </w:tcBorders>
            <w:shd w:val="clear" w:color="auto" w:fill="auto"/>
            <w:noWrap/>
            <w:vAlign w:val="bottom"/>
            <w:hideMark/>
          </w:tcPr>
          <w:p w14:paraId="43019B14"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1,751.7 </w:t>
            </w:r>
          </w:p>
        </w:tc>
      </w:tr>
      <w:tr w:rsidR="00E965E4" w:rsidRPr="006218C3" w14:paraId="43019B19"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16"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Current liabilities</w:t>
            </w:r>
          </w:p>
        </w:tc>
        <w:tc>
          <w:tcPr>
            <w:tcW w:w="1232" w:type="dxa"/>
            <w:tcBorders>
              <w:top w:val="nil"/>
              <w:left w:val="nil"/>
              <w:bottom w:val="single" w:sz="4" w:space="0" w:color="auto"/>
              <w:right w:val="single" w:sz="4" w:space="0" w:color="auto"/>
            </w:tcBorders>
            <w:shd w:val="clear" w:color="auto" w:fill="auto"/>
            <w:noWrap/>
            <w:vAlign w:val="bottom"/>
            <w:hideMark/>
          </w:tcPr>
          <w:p w14:paraId="43019B17"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1,208.1 </w:t>
            </w:r>
          </w:p>
        </w:tc>
        <w:tc>
          <w:tcPr>
            <w:tcW w:w="1232" w:type="dxa"/>
            <w:tcBorders>
              <w:top w:val="nil"/>
              <w:left w:val="nil"/>
              <w:bottom w:val="single" w:sz="4" w:space="0" w:color="auto"/>
              <w:right w:val="single" w:sz="4" w:space="0" w:color="auto"/>
            </w:tcBorders>
            <w:shd w:val="clear" w:color="auto" w:fill="auto"/>
            <w:noWrap/>
            <w:vAlign w:val="bottom"/>
            <w:hideMark/>
          </w:tcPr>
          <w:p w14:paraId="43019B18"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1,196.8 </w:t>
            </w:r>
          </w:p>
        </w:tc>
      </w:tr>
      <w:tr w:rsidR="00E965E4" w:rsidRPr="006218C3" w14:paraId="43019B1D"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1A"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Quick ratio</w:t>
            </w:r>
          </w:p>
        </w:tc>
        <w:tc>
          <w:tcPr>
            <w:tcW w:w="1232" w:type="dxa"/>
            <w:tcBorders>
              <w:top w:val="nil"/>
              <w:left w:val="nil"/>
              <w:bottom w:val="single" w:sz="4" w:space="0" w:color="auto"/>
              <w:right w:val="single" w:sz="4" w:space="0" w:color="auto"/>
            </w:tcBorders>
            <w:shd w:val="clear" w:color="auto" w:fill="auto"/>
            <w:noWrap/>
            <w:vAlign w:val="bottom"/>
            <w:hideMark/>
          </w:tcPr>
          <w:p w14:paraId="43019B1B"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1.47</w:t>
            </w:r>
          </w:p>
        </w:tc>
        <w:tc>
          <w:tcPr>
            <w:tcW w:w="1232" w:type="dxa"/>
            <w:tcBorders>
              <w:top w:val="nil"/>
              <w:left w:val="nil"/>
              <w:bottom w:val="single" w:sz="4" w:space="0" w:color="auto"/>
              <w:right w:val="single" w:sz="4" w:space="0" w:color="auto"/>
            </w:tcBorders>
            <w:shd w:val="clear" w:color="auto" w:fill="auto"/>
            <w:noWrap/>
            <w:vAlign w:val="bottom"/>
            <w:hideMark/>
          </w:tcPr>
          <w:p w14:paraId="43019B1C"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1.46</w:t>
            </w:r>
          </w:p>
        </w:tc>
      </w:tr>
      <w:tr w:rsidR="00E965E4" w:rsidRPr="006218C3" w14:paraId="43019B21" w14:textId="77777777" w:rsidTr="008A081E">
        <w:trPr>
          <w:trHeight w:val="315"/>
          <w:jc w:val="center"/>
        </w:trPr>
        <w:tc>
          <w:tcPr>
            <w:tcW w:w="3056" w:type="dxa"/>
            <w:tcBorders>
              <w:top w:val="nil"/>
              <w:left w:val="nil"/>
              <w:bottom w:val="nil"/>
              <w:right w:val="nil"/>
            </w:tcBorders>
            <w:shd w:val="clear" w:color="auto" w:fill="auto"/>
            <w:noWrap/>
            <w:vAlign w:val="bottom"/>
            <w:hideMark/>
          </w:tcPr>
          <w:p w14:paraId="43019B1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32" w:type="dxa"/>
            <w:tcBorders>
              <w:top w:val="nil"/>
              <w:left w:val="nil"/>
              <w:bottom w:val="nil"/>
              <w:right w:val="nil"/>
            </w:tcBorders>
            <w:shd w:val="clear" w:color="auto" w:fill="auto"/>
            <w:noWrap/>
            <w:vAlign w:val="bottom"/>
            <w:hideMark/>
          </w:tcPr>
          <w:p w14:paraId="43019B1F"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c>
          <w:tcPr>
            <w:tcW w:w="1232" w:type="dxa"/>
            <w:tcBorders>
              <w:top w:val="nil"/>
              <w:left w:val="nil"/>
              <w:bottom w:val="nil"/>
              <w:right w:val="nil"/>
            </w:tcBorders>
            <w:shd w:val="clear" w:color="auto" w:fill="auto"/>
            <w:noWrap/>
            <w:vAlign w:val="bottom"/>
            <w:hideMark/>
          </w:tcPr>
          <w:p w14:paraId="43019B20"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p>
        </w:tc>
      </w:tr>
      <w:tr w:rsidR="00E965E4" w:rsidRPr="006218C3" w14:paraId="43019B23" w14:textId="77777777" w:rsidTr="008A081E">
        <w:trPr>
          <w:trHeight w:val="315"/>
          <w:jc w:val="center"/>
        </w:trPr>
        <w:tc>
          <w:tcPr>
            <w:tcW w:w="55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22" w14:textId="77777777" w:rsidR="00E965E4" w:rsidRPr="006218C3" w:rsidRDefault="00E965E4" w:rsidP="00E965E4">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Cash ratio</w:t>
            </w:r>
          </w:p>
        </w:tc>
      </w:tr>
      <w:tr w:rsidR="00E965E4" w:rsidRPr="006218C3" w14:paraId="43019B27"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24"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32" w:type="dxa"/>
            <w:tcBorders>
              <w:top w:val="nil"/>
              <w:left w:val="nil"/>
              <w:bottom w:val="single" w:sz="4" w:space="0" w:color="auto"/>
              <w:right w:val="single" w:sz="4" w:space="0" w:color="auto"/>
            </w:tcBorders>
            <w:shd w:val="clear" w:color="auto" w:fill="auto"/>
            <w:noWrap/>
            <w:vAlign w:val="bottom"/>
            <w:hideMark/>
          </w:tcPr>
          <w:p w14:paraId="43019B25"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32" w:type="dxa"/>
            <w:tcBorders>
              <w:top w:val="nil"/>
              <w:left w:val="nil"/>
              <w:bottom w:val="single" w:sz="4" w:space="0" w:color="auto"/>
              <w:right w:val="single" w:sz="4" w:space="0" w:color="auto"/>
            </w:tcBorders>
            <w:shd w:val="clear" w:color="auto" w:fill="auto"/>
            <w:noWrap/>
            <w:vAlign w:val="bottom"/>
            <w:hideMark/>
          </w:tcPr>
          <w:p w14:paraId="43019B26"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E965E4" w:rsidRPr="006218C3" w14:paraId="43019B2B"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28" w14:textId="0EEC474F"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Cash and </w:t>
            </w:r>
            <w:r w:rsidR="006218C3" w:rsidRPr="006218C3">
              <w:rPr>
                <w:rFonts w:ascii="Times New Roman" w:eastAsia="Times New Roman" w:hAnsi="Times New Roman" w:cs="Times New Roman"/>
                <w:color w:val="000000"/>
                <w:sz w:val="24"/>
                <w:szCs w:val="24"/>
                <w:lang w:val="en-GB"/>
              </w:rPr>
              <w:t>equivalent</w:t>
            </w:r>
            <w:r w:rsidRPr="006218C3">
              <w:rPr>
                <w:rFonts w:ascii="Times New Roman" w:eastAsia="Times New Roman" w:hAnsi="Times New Roman" w:cs="Times New Roman"/>
                <w:color w:val="000000"/>
                <w:sz w:val="24"/>
                <w:szCs w:val="24"/>
                <w:lang w:val="en-GB"/>
              </w:rPr>
              <w:t xml:space="preserve"> of cash</w:t>
            </w:r>
          </w:p>
        </w:tc>
        <w:tc>
          <w:tcPr>
            <w:tcW w:w="1232" w:type="dxa"/>
            <w:tcBorders>
              <w:top w:val="nil"/>
              <w:left w:val="nil"/>
              <w:bottom w:val="single" w:sz="4" w:space="0" w:color="auto"/>
              <w:right w:val="single" w:sz="4" w:space="0" w:color="auto"/>
            </w:tcBorders>
            <w:shd w:val="clear" w:color="auto" w:fill="auto"/>
            <w:noWrap/>
            <w:vAlign w:val="bottom"/>
            <w:hideMark/>
          </w:tcPr>
          <w:p w14:paraId="43019B29"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433.0 </w:t>
            </w:r>
          </w:p>
        </w:tc>
        <w:tc>
          <w:tcPr>
            <w:tcW w:w="1232" w:type="dxa"/>
            <w:tcBorders>
              <w:top w:val="nil"/>
              <w:left w:val="nil"/>
              <w:bottom w:val="single" w:sz="4" w:space="0" w:color="auto"/>
              <w:right w:val="single" w:sz="4" w:space="0" w:color="auto"/>
            </w:tcBorders>
            <w:shd w:val="clear" w:color="auto" w:fill="auto"/>
            <w:noWrap/>
            <w:vAlign w:val="bottom"/>
            <w:hideMark/>
          </w:tcPr>
          <w:p w14:paraId="43019B2A"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608.2 </w:t>
            </w:r>
          </w:p>
        </w:tc>
      </w:tr>
      <w:tr w:rsidR="00E965E4" w:rsidRPr="006218C3" w14:paraId="43019B2F"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2C"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Current liabilities</w:t>
            </w:r>
          </w:p>
        </w:tc>
        <w:tc>
          <w:tcPr>
            <w:tcW w:w="1232" w:type="dxa"/>
            <w:tcBorders>
              <w:top w:val="nil"/>
              <w:left w:val="nil"/>
              <w:bottom w:val="single" w:sz="4" w:space="0" w:color="auto"/>
              <w:right w:val="single" w:sz="4" w:space="0" w:color="auto"/>
            </w:tcBorders>
            <w:shd w:val="clear" w:color="auto" w:fill="auto"/>
            <w:noWrap/>
            <w:vAlign w:val="bottom"/>
            <w:hideMark/>
          </w:tcPr>
          <w:p w14:paraId="43019B2D"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1,208.1 </w:t>
            </w:r>
          </w:p>
        </w:tc>
        <w:tc>
          <w:tcPr>
            <w:tcW w:w="1232" w:type="dxa"/>
            <w:tcBorders>
              <w:top w:val="nil"/>
              <w:left w:val="nil"/>
              <w:bottom w:val="single" w:sz="4" w:space="0" w:color="auto"/>
              <w:right w:val="single" w:sz="4" w:space="0" w:color="auto"/>
            </w:tcBorders>
            <w:shd w:val="clear" w:color="auto" w:fill="auto"/>
            <w:noWrap/>
            <w:vAlign w:val="bottom"/>
            <w:hideMark/>
          </w:tcPr>
          <w:p w14:paraId="43019B2E"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1,196.8 </w:t>
            </w:r>
          </w:p>
        </w:tc>
      </w:tr>
      <w:tr w:rsidR="00E965E4" w:rsidRPr="006218C3" w14:paraId="43019B33" w14:textId="77777777" w:rsidTr="008A081E">
        <w:trPr>
          <w:trHeight w:val="315"/>
          <w:jc w:val="center"/>
        </w:trPr>
        <w:tc>
          <w:tcPr>
            <w:tcW w:w="3056" w:type="dxa"/>
            <w:tcBorders>
              <w:top w:val="nil"/>
              <w:left w:val="single" w:sz="4" w:space="0" w:color="auto"/>
              <w:bottom w:val="single" w:sz="4" w:space="0" w:color="auto"/>
              <w:right w:val="single" w:sz="4" w:space="0" w:color="auto"/>
            </w:tcBorders>
            <w:shd w:val="clear" w:color="auto" w:fill="auto"/>
            <w:noWrap/>
            <w:vAlign w:val="bottom"/>
            <w:hideMark/>
          </w:tcPr>
          <w:p w14:paraId="43019B30" w14:textId="77777777" w:rsidR="00E965E4" w:rsidRPr="006218C3" w:rsidRDefault="00E965E4" w:rsidP="00E965E4">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Cash ratio</w:t>
            </w:r>
          </w:p>
        </w:tc>
        <w:tc>
          <w:tcPr>
            <w:tcW w:w="1232" w:type="dxa"/>
            <w:tcBorders>
              <w:top w:val="nil"/>
              <w:left w:val="nil"/>
              <w:bottom w:val="single" w:sz="4" w:space="0" w:color="auto"/>
              <w:right w:val="single" w:sz="4" w:space="0" w:color="auto"/>
            </w:tcBorders>
            <w:shd w:val="clear" w:color="auto" w:fill="auto"/>
            <w:noWrap/>
            <w:vAlign w:val="bottom"/>
            <w:hideMark/>
          </w:tcPr>
          <w:p w14:paraId="43019B31"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0.36</w:t>
            </w:r>
          </w:p>
        </w:tc>
        <w:tc>
          <w:tcPr>
            <w:tcW w:w="1232" w:type="dxa"/>
            <w:tcBorders>
              <w:top w:val="nil"/>
              <w:left w:val="nil"/>
              <w:bottom w:val="single" w:sz="4" w:space="0" w:color="auto"/>
              <w:right w:val="single" w:sz="4" w:space="0" w:color="auto"/>
            </w:tcBorders>
            <w:shd w:val="clear" w:color="auto" w:fill="auto"/>
            <w:noWrap/>
            <w:vAlign w:val="bottom"/>
            <w:hideMark/>
          </w:tcPr>
          <w:p w14:paraId="43019B32" w14:textId="77777777" w:rsidR="00E965E4" w:rsidRPr="006218C3" w:rsidRDefault="00E965E4" w:rsidP="00E965E4">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0.51</w:t>
            </w:r>
          </w:p>
        </w:tc>
      </w:tr>
    </w:tbl>
    <w:p w14:paraId="234DFCE7" w14:textId="185F3F01" w:rsidR="008A081E" w:rsidRDefault="008A081E">
      <w:pPr>
        <w:rPr>
          <w:b/>
        </w:rPr>
      </w:pPr>
      <w:r>
        <w:rPr>
          <w:b/>
        </w:rPr>
        <w:br w:type="page"/>
      </w:r>
    </w:p>
    <w:p w14:paraId="512EB6A3" w14:textId="2A21F89F" w:rsidR="008A081E" w:rsidRPr="008A081E" w:rsidRDefault="008A081E" w:rsidP="008A081E">
      <w:pPr>
        <w:pStyle w:val="Heading1"/>
        <w:jc w:val="left"/>
        <w:rPr>
          <w:lang w:val="en-GB"/>
        </w:rPr>
      </w:pPr>
      <w:r w:rsidRPr="008A081E">
        <w:rPr>
          <w:highlight w:val="white"/>
        </w:rPr>
        <w:lastRenderedPageBreak/>
        <w:t>Appendix</w:t>
      </w:r>
      <w:r>
        <w:rPr>
          <w:highlight w:val="white"/>
          <w:lang w:val="en-GB"/>
        </w:rPr>
        <w:t xml:space="preserve"> 3: </w:t>
      </w:r>
      <w:r w:rsidRPr="006218C3">
        <w:rPr>
          <w:bCs/>
          <w:color w:val="000000"/>
          <w:lang w:val="en-GB"/>
        </w:rPr>
        <w:t xml:space="preserve">Efficiency </w:t>
      </w:r>
      <w:r w:rsidRPr="006218C3">
        <w:rPr>
          <w:lang w:val="en-GB"/>
        </w:rPr>
        <w:t>Ratios</w:t>
      </w:r>
    </w:p>
    <w:tbl>
      <w:tblPr>
        <w:tblW w:w="616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78"/>
        <w:gridCol w:w="1293"/>
        <w:gridCol w:w="1293"/>
      </w:tblGrid>
      <w:tr w:rsidR="008A081E" w:rsidRPr="006218C3" w14:paraId="43019B4F" w14:textId="77777777" w:rsidTr="008A081E">
        <w:trPr>
          <w:trHeight w:val="279"/>
          <w:jc w:val="center"/>
        </w:trPr>
        <w:tc>
          <w:tcPr>
            <w:tcW w:w="6164" w:type="dxa"/>
            <w:gridSpan w:val="3"/>
            <w:shd w:val="clear" w:color="auto" w:fill="auto"/>
            <w:noWrap/>
            <w:vAlign w:val="bottom"/>
            <w:hideMark/>
          </w:tcPr>
          <w:p w14:paraId="43019B4E" w14:textId="427983D8" w:rsidR="008A081E" w:rsidRPr="006218C3" w:rsidRDefault="008A081E" w:rsidP="008A081E">
            <w:pPr>
              <w:spacing w:line="240" w:lineRule="auto"/>
              <w:jc w:val="center"/>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b/>
                <w:bCs/>
                <w:color w:val="000000"/>
                <w:sz w:val="24"/>
                <w:szCs w:val="24"/>
                <w:lang w:val="en-GB"/>
              </w:rPr>
              <w:t>Efficiency Ratios</w:t>
            </w:r>
          </w:p>
        </w:tc>
      </w:tr>
      <w:tr w:rsidR="008A081E" w:rsidRPr="006218C3" w14:paraId="43019B51" w14:textId="77777777" w:rsidTr="008A081E">
        <w:trPr>
          <w:trHeight w:val="279"/>
          <w:jc w:val="center"/>
        </w:trPr>
        <w:tc>
          <w:tcPr>
            <w:tcW w:w="6164" w:type="dxa"/>
            <w:gridSpan w:val="3"/>
            <w:shd w:val="clear" w:color="auto" w:fill="auto"/>
            <w:noWrap/>
            <w:vAlign w:val="bottom"/>
            <w:hideMark/>
          </w:tcPr>
          <w:p w14:paraId="43019B50" w14:textId="0C2B7489" w:rsidR="008A081E" w:rsidRPr="006218C3" w:rsidRDefault="008A081E" w:rsidP="008A081E">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hAnsi="Times New Roman" w:cs="Times New Roman"/>
                <w:b/>
                <w:bCs/>
                <w:color w:val="000000"/>
                <w:sz w:val="24"/>
                <w:szCs w:val="24"/>
                <w:lang w:val="en-GB"/>
              </w:rPr>
              <w:t>Account receivable turnover</w:t>
            </w:r>
          </w:p>
        </w:tc>
      </w:tr>
      <w:tr w:rsidR="008A081E" w:rsidRPr="006218C3" w14:paraId="43019B55" w14:textId="77777777" w:rsidTr="008A081E">
        <w:trPr>
          <w:trHeight w:val="279"/>
          <w:jc w:val="center"/>
        </w:trPr>
        <w:tc>
          <w:tcPr>
            <w:tcW w:w="3578" w:type="dxa"/>
            <w:shd w:val="clear" w:color="auto" w:fill="auto"/>
            <w:noWrap/>
            <w:vAlign w:val="bottom"/>
            <w:hideMark/>
          </w:tcPr>
          <w:p w14:paraId="43019B52" w14:textId="11F7D938"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93" w:type="dxa"/>
            <w:shd w:val="clear" w:color="auto" w:fill="auto"/>
            <w:noWrap/>
            <w:vAlign w:val="bottom"/>
            <w:hideMark/>
          </w:tcPr>
          <w:p w14:paraId="43019B53" w14:textId="12E570C1"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93" w:type="dxa"/>
            <w:shd w:val="clear" w:color="auto" w:fill="auto"/>
            <w:noWrap/>
            <w:vAlign w:val="bottom"/>
            <w:hideMark/>
          </w:tcPr>
          <w:p w14:paraId="43019B54" w14:textId="72D90CB2"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8A081E" w:rsidRPr="006218C3" w14:paraId="43019B59" w14:textId="77777777" w:rsidTr="008A081E">
        <w:trPr>
          <w:trHeight w:val="279"/>
          <w:jc w:val="center"/>
        </w:trPr>
        <w:tc>
          <w:tcPr>
            <w:tcW w:w="3578" w:type="dxa"/>
            <w:shd w:val="clear" w:color="auto" w:fill="auto"/>
            <w:noWrap/>
            <w:vAlign w:val="bottom"/>
            <w:hideMark/>
          </w:tcPr>
          <w:p w14:paraId="43019B56" w14:textId="36BCE88E"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Net sales</w:t>
            </w:r>
          </w:p>
        </w:tc>
        <w:tc>
          <w:tcPr>
            <w:tcW w:w="1293" w:type="dxa"/>
            <w:shd w:val="clear" w:color="auto" w:fill="auto"/>
            <w:noWrap/>
            <w:vAlign w:val="bottom"/>
            <w:hideMark/>
          </w:tcPr>
          <w:p w14:paraId="43019B57" w14:textId="121A1FBA"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93" w:type="dxa"/>
            <w:shd w:val="clear" w:color="auto" w:fill="auto"/>
            <w:noWrap/>
            <w:vAlign w:val="bottom"/>
            <w:hideMark/>
          </w:tcPr>
          <w:p w14:paraId="43019B58" w14:textId="2247D666"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8A081E" w:rsidRPr="006218C3" w14:paraId="43019B5D" w14:textId="77777777" w:rsidTr="008A081E">
        <w:trPr>
          <w:trHeight w:val="279"/>
          <w:jc w:val="center"/>
        </w:trPr>
        <w:tc>
          <w:tcPr>
            <w:tcW w:w="3578" w:type="dxa"/>
            <w:shd w:val="clear" w:color="auto" w:fill="auto"/>
            <w:noWrap/>
            <w:vAlign w:val="bottom"/>
            <w:hideMark/>
          </w:tcPr>
          <w:p w14:paraId="43019B5A" w14:textId="3D48F4D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Average account receivables</w:t>
            </w:r>
          </w:p>
        </w:tc>
        <w:tc>
          <w:tcPr>
            <w:tcW w:w="1293" w:type="dxa"/>
            <w:shd w:val="clear" w:color="auto" w:fill="auto"/>
            <w:noWrap/>
            <w:vAlign w:val="bottom"/>
            <w:hideMark/>
          </w:tcPr>
          <w:p w14:paraId="43019B5B" w14:textId="310BFBE4"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1,194.5 </w:t>
            </w:r>
          </w:p>
        </w:tc>
        <w:tc>
          <w:tcPr>
            <w:tcW w:w="1293" w:type="dxa"/>
            <w:shd w:val="clear" w:color="auto" w:fill="auto"/>
            <w:noWrap/>
            <w:vAlign w:val="bottom"/>
            <w:hideMark/>
          </w:tcPr>
          <w:p w14:paraId="43019B5C" w14:textId="120C0104"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1,211.7 </w:t>
            </w:r>
          </w:p>
        </w:tc>
      </w:tr>
      <w:tr w:rsidR="008A081E" w:rsidRPr="006218C3" w14:paraId="43019B61" w14:textId="77777777" w:rsidTr="008A081E">
        <w:trPr>
          <w:trHeight w:val="279"/>
          <w:jc w:val="center"/>
        </w:trPr>
        <w:tc>
          <w:tcPr>
            <w:tcW w:w="3578" w:type="dxa"/>
            <w:shd w:val="clear" w:color="auto" w:fill="auto"/>
            <w:noWrap/>
            <w:vAlign w:val="bottom"/>
            <w:hideMark/>
          </w:tcPr>
          <w:p w14:paraId="43019B5E" w14:textId="31BE66E1"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hAnsi="Times New Roman" w:cs="Times New Roman"/>
                <w:b/>
                <w:bCs/>
                <w:color w:val="000000"/>
                <w:sz w:val="24"/>
                <w:szCs w:val="24"/>
                <w:lang w:val="en-GB"/>
              </w:rPr>
              <w:t>Account receivable turnover</w:t>
            </w:r>
          </w:p>
        </w:tc>
        <w:tc>
          <w:tcPr>
            <w:tcW w:w="1293" w:type="dxa"/>
            <w:shd w:val="clear" w:color="auto" w:fill="auto"/>
            <w:noWrap/>
            <w:vAlign w:val="bottom"/>
            <w:hideMark/>
          </w:tcPr>
          <w:p w14:paraId="43019B5F" w14:textId="1F6DF648"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3.66</w:t>
            </w:r>
          </w:p>
        </w:tc>
        <w:tc>
          <w:tcPr>
            <w:tcW w:w="1293" w:type="dxa"/>
            <w:shd w:val="clear" w:color="auto" w:fill="auto"/>
            <w:noWrap/>
            <w:vAlign w:val="bottom"/>
            <w:hideMark/>
          </w:tcPr>
          <w:p w14:paraId="43019B60" w14:textId="5A4E6C8D"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2.71</w:t>
            </w:r>
          </w:p>
        </w:tc>
      </w:tr>
      <w:tr w:rsidR="008A081E" w:rsidRPr="006218C3" w14:paraId="43019B65" w14:textId="77777777" w:rsidTr="008A081E">
        <w:trPr>
          <w:trHeight w:val="279"/>
          <w:jc w:val="center"/>
        </w:trPr>
        <w:tc>
          <w:tcPr>
            <w:tcW w:w="3578" w:type="dxa"/>
            <w:shd w:val="clear" w:color="auto" w:fill="auto"/>
            <w:noWrap/>
            <w:vAlign w:val="bottom"/>
            <w:hideMark/>
          </w:tcPr>
          <w:p w14:paraId="43019B62" w14:textId="62FDF239"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Account receivable in days</w:t>
            </w:r>
          </w:p>
        </w:tc>
        <w:tc>
          <w:tcPr>
            <w:tcW w:w="1293" w:type="dxa"/>
            <w:shd w:val="clear" w:color="auto" w:fill="auto"/>
            <w:noWrap/>
            <w:vAlign w:val="bottom"/>
            <w:hideMark/>
          </w:tcPr>
          <w:p w14:paraId="43019B63" w14:textId="663E6F51"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100</w:t>
            </w:r>
          </w:p>
        </w:tc>
        <w:tc>
          <w:tcPr>
            <w:tcW w:w="1293" w:type="dxa"/>
            <w:shd w:val="clear" w:color="auto" w:fill="auto"/>
            <w:noWrap/>
            <w:vAlign w:val="bottom"/>
            <w:hideMark/>
          </w:tcPr>
          <w:p w14:paraId="43019B64" w14:textId="5B4634A1"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135</w:t>
            </w:r>
          </w:p>
        </w:tc>
      </w:tr>
      <w:tr w:rsidR="008A081E" w:rsidRPr="006218C3" w14:paraId="43019B69" w14:textId="77777777" w:rsidTr="008A081E">
        <w:trPr>
          <w:trHeight w:val="279"/>
          <w:jc w:val="center"/>
        </w:trPr>
        <w:tc>
          <w:tcPr>
            <w:tcW w:w="3578" w:type="dxa"/>
            <w:shd w:val="clear" w:color="auto" w:fill="auto"/>
            <w:noWrap/>
            <w:vAlign w:val="bottom"/>
            <w:hideMark/>
          </w:tcPr>
          <w:p w14:paraId="43019B66"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67"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68"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r>
      <w:tr w:rsidR="008A081E" w:rsidRPr="006218C3" w14:paraId="43019B6B" w14:textId="77777777" w:rsidTr="008A081E">
        <w:trPr>
          <w:trHeight w:val="279"/>
          <w:jc w:val="center"/>
        </w:trPr>
        <w:tc>
          <w:tcPr>
            <w:tcW w:w="6164" w:type="dxa"/>
            <w:gridSpan w:val="3"/>
            <w:shd w:val="clear" w:color="auto" w:fill="auto"/>
            <w:noWrap/>
            <w:vAlign w:val="bottom"/>
            <w:hideMark/>
          </w:tcPr>
          <w:p w14:paraId="43019B6A" w14:textId="77777777" w:rsidR="008A081E" w:rsidRPr="006218C3" w:rsidRDefault="008A081E" w:rsidP="008A081E">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Asset Turnover Ratio</w:t>
            </w:r>
          </w:p>
        </w:tc>
      </w:tr>
      <w:tr w:rsidR="008A081E" w:rsidRPr="006218C3" w14:paraId="43019B6F" w14:textId="77777777" w:rsidTr="008A081E">
        <w:trPr>
          <w:trHeight w:val="279"/>
          <w:jc w:val="center"/>
        </w:trPr>
        <w:tc>
          <w:tcPr>
            <w:tcW w:w="3578" w:type="dxa"/>
            <w:shd w:val="clear" w:color="auto" w:fill="auto"/>
            <w:noWrap/>
            <w:vAlign w:val="bottom"/>
            <w:hideMark/>
          </w:tcPr>
          <w:p w14:paraId="43019B6C"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93" w:type="dxa"/>
            <w:shd w:val="clear" w:color="auto" w:fill="auto"/>
            <w:noWrap/>
            <w:vAlign w:val="bottom"/>
            <w:hideMark/>
          </w:tcPr>
          <w:p w14:paraId="43019B6D"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93" w:type="dxa"/>
            <w:shd w:val="clear" w:color="auto" w:fill="auto"/>
            <w:noWrap/>
            <w:vAlign w:val="bottom"/>
            <w:hideMark/>
          </w:tcPr>
          <w:p w14:paraId="43019B6E"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8A081E" w:rsidRPr="006218C3" w14:paraId="43019B73" w14:textId="77777777" w:rsidTr="008A081E">
        <w:trPr>
          <w:trHeight w:val="279"/>
          <w:jc w:val="center"/>
        </w:trPr>
        <w:tc>
          <w:tcPr>
            <w:tcW w:w="3578" w:type="dxa"/>
            <w:shd w:val="clear" w:color="auto" w:fill="auto"/>
            <w:noWrap/>
            <w:vAlign w:val="bottom"/>
            <w:hideMark/>
          </w:tcPr>
          <w:p w14:paraId="43019B70"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Net sales</w:t>
            </w:r>
          </w:p>
        </w:tc>
        <w:tc>
          <w:tcPr>
            <w:tcW w:w="1293" w:type="dxa"/>
            <w:shd w:val="clear" w:color="auto" w:fill="auto"/>
            <w:noWrap/>
            <w:vAlign w:val="bottom"/>
            <w:hideMark/>
          </w:tcPr>
          <w:p w14:paraId="43019B71"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93" w:type="dxa"/>
            <w:shd w:val="clear" w:color="auto" w:fill="auto"/>
            <w:noWrap/>
            <w:vAlign w:val="bottom"/>
            <w:hideMark/>
          </w:tcPr>
          <w:p w14:paraId="43019B72"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8A081E" w:rsidRPr="006218C3" w14:paraId="43019B77" w14:textId="77777777" w:rsidTr="008A081E">
        <w:trPr>
          <w:trHeight w:val="279"/>
          <w:jc w:val="center"/>
        </w:trPr>
        <w:tc>
          <w:tcPr>
            <w:tcW w:w="3578" w:type="dxa"/>
            <w:shd w:val="clear" w:color="auto" w:fill="auto"/>
            <w:noWrap/>
            <w:vAlign w:val="bottom"/>
            <w:hideMark/>
          </w:tcPr>
          <w:p w14:paraId="43019B74"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Average total assets</w:t>
            </w:r>
          </w:p>
        </w:tc>
        <w:tc>
          <w:tcPr>
            <w:tcW w:w="1293" w:type="dxa"/>
            <w:shd w:val="clear" w:color="auto" w:fill="auto"/>
            <w:noWrap/>
            <w:vAlign w:val="bottom"/>
            <w:hideMark/>
          </w:tcPr>
          <w:p w14:paraId="43019B75"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3,869.9 </w:t>
            </w:r>
          </w:p>
        </w:tc>
        <w:tc>
          <w:tcPr>
            <w:tcW w:w="1293" w:type="dxa"/>
            <w:shd w:val="clear" w:color="auto" w:fill="auto"/>
            <w:noWrap/>
            <w:vAlign w:val="bottom"/>
            <w:hideMark/>
          </w:tcPr>
          <w:p w14:paraId="43019B76"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3,715.7 </w:t>
            </w:r>
          </w:p>
        </w:tc>
      </w:tr>
      <w:tr w:rsidR="008A081E" w:rsidRPr="006218C3" w14:paraId="43019B7B" w14:textId="77777777" w:rsidTr="008A081E">
        <w:trPr>
          <w:trHeight w:val="279"/>
          <w:jc w:val="center"/>
        </w:trPr>
        <w:tc>
          <w:tcPr>
            <w:tcW w:w="3578" w:type="dxa"/>
            <w:shd w:val="clear" w:color="auto" w:fill="auto"/>
            <w:noWrap/>
            <w:vAlign w:val="bottom"/>
            <w:hideMark/>
          </w:tcPr>
          <w:p w14:paraId="43019B78"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ATR</w:t>
            </w:r>
          </w:p>
        </w:tc>
        <w:tc>
          <w:tcPr>
            <w:tcW w:w="1293" w:type="dxa"/>
            <w:shd w:val="clear" w:color="auto" w:fill="auto"/>
            <w:noWrap/>
            <w:vAlign w:val="bottom"/>
            <w:hideMark/>
          </w:tcPr>
          <w:p w14:paraId="43019B79"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1.13</w:t>
            </w:r>
          </w:p>
        </w:tc>
        <w:tc>
          <w:tcPr>
            <w:tcW w:w="1293" w:type="dxa"/>
            <w:shd w:val="clear" w:color="auto" w:fill="auto"/>
            <w:noWrap/>
            <w:vAlign w:val="bottom"/>
            <w:hideMark/>
          </w:tcPr>
          <w:p w14:paraId="43019B7A"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0.88</w:t>
            </w:r>
          </w:p>
        </w:tc>
      </w:tr>
      <w:tr w:rsidR="008A081E" w:rsidRPr="006218C3" w14:paraId="43019B7F" w14:textId="77777777" w:rsidTr="008A081E">
        <w:trPr>
          <w:trHeight w:val="279"/>
          <w:jc w:val="center"/>
        </w:trPr>
        <w:tc>
          <w:tcPr>
            <w:tcW w:w="3578" w:type="dxa"/>
            <w:shd w:val="clear" w:color="auto" w:fill="auto"/>
            <w:noWrap/>
            <w:vAlign w:val="bottom"/>
            <w:hideMark/>
          </w:tcPr>
          <w:p w14:paraId="43019B7C"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7D"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7E"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r>
      <w:tr w:rsidR="008A081E" w:rsidRPr="006218C3" w14:paraId="43019B81" w14:textId="77777777" w:rsidTr="008A081E">
        <w:trPr>
          <w:trHeight w:val="279"/>
          <w:jc w:val="center"/>
        </w:trPr>
        <w:tc>
          <w:tcPr>
            <w:tcW w:w="6164" w:type="dxa"/>
            <w:gridSpan w:val="3"/>
            <w:shd w:val="clear" w:color="auto" w:fill="auto"/>
            <w:noWrap/>
            <w:vAlign w:val="bottom"/>
            <w:hideMark/>
          </w:tcPr>
          <w:p w14:paraId="43019B80" w14:textId="77777777" w:rsidR="008A081E" w:rsidRPr="006218C3" w:rsidRDefault="008A081E" w:rsidP="008A081E">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Capital Turnover Ratio</w:t>
            </w:r>
          </w:p>
        </w:tc>
      </w:tr>
      <w:tr w:rsidR="008A081E" w:rsidRPr="006218C3" w14:paraId="43019B85" w14:textId="77777777" w:rsidTr="008A081E">
        <w:trPr>
          <w:trHeight w:val="279"/>
          <w:jc w:val="center"/>
        </w:trPr>
        <w:tc>
          <w:tcPr>
            <w:tcW w:w="3578" w:type="dxa"/>
            <w:shd w:val="clear" w:color="auto" w:fill="auto"/>
            <w:noWrap/>
            <w:vAlign w:val="bottom"/>
            <w:hideMark/>
          </w:tcPr>
          <w:p w14:paraId="43019B82"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93" w:type="dxa"/>
            <w:shd w:val="clear" w:color="auto" w:fill="auto"/>
            <w:noWrap/>
            <w:vAlign w:val="bottom"/>
            <w:hideMark/>
          </w:tcPr>
          <w:p w14:paraId="43019B83"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93" w:type="dxa"/>
            <w:shd w:val="clear" w:color="auto" w:fill="auto"/>
            <w:noWrap/>
            <w:vAlign w:val="bottom"/>
            <w:hideMark/>
          </w:tcPr>
          <w:p w14:paraId="43019B84"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8A081E" w:rsidRPr="006218C3" w14:paraId="43019B89" w14:textId="77777777" w:rsidTr="008A081E">
        <w:trPr>
          <w:trHeight w:val="279"/>
          <w:jc w:val="center"/>
        </w:trPr>
        <w:tc>
          <w:tcPr>
            <w:tcW w:w="3578" w:type="dxa"/>
            <w:shd w:val="clear" w:color="auto" w:fill="auto"/>
            <w:noWrap/>
            <w:vAlign w:val="bottom"/>
            <w:hideMark/>
          </w:tcPr>
          <w:p w14:paraId="43019B86"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Total sales</w:t>
            </w:r>
          </w:p>
        </w:tc>
        <w:tc>
          <w:tcPr>
            <w:tcW w:w="1293" w:type="dxa"/>
            <w:shd w:val="clear" w:color="auto" w:fill="auto"/>
            <w:noWrap/>
            <w:vAlign w:val="bottom"/>
            <w:hideMark/>
          </w:tcPr>
          <w:p w14:paraId="43019B87"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93" w:type="dxa"/>
            <w:shd w:val="clear" w:color="auto" w:fill="auto"/>
            <w:noWrap/>
            <w:vAlign w:val="bottom"/>
            <w:hideMark/>
          </w:tcPr>
          <w:p w14:paraId="43019B88"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8A081E" w:rsidRPr="006218C3" w14:paraId="43019B8D" w14:textId="77777777" w:rsidTr="008A081E">
        <w:trPr>
          <w:trHeight w:val="279"/>
          <w:jc w:val="center"/>
        </w:trPr>
        <w:tc>
          <w:tcPr>
            <w:tcW w:w="3578" w:type="dxa"/>
            <w:shd w:val="clear" w:color="auto" w:fill="auto"/>
            <w:noWrap/>
            <w:vAlign w:val="bottom"/>
            <w:hideMark/>
          </w:tcPr>
          <w:p w14:paraId="43019B8A"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Shareholders equity</w:t>
            </w:r>
          </w:p>
        </w:tc>
        <w:tc>
          <w:tcPr>
            <w:tcW w:w="1293" w:type="dxa"/>
            <w:shd w:val="clear" w:color="auto" w:fill="auto"/>
            <w:noWrap/>
            <w:vAlign w:val="bottom"/>
            <w:hideMark/>
          </w:tcPr>
          <w:p w14:paraId="43019B8B"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1,010.0 </w:t>
            </w:r>
          </w:p>
        </w:tc>
        <w:tc>
          <w:tcPr>
            <w:tcW w:w="1293" w:type="dxa"/>
            <w:shd w:val="clear" w:color="auto" w:fill="auto"/>
            <w:noWrap/>
            <w:vAlign w:val="bottom"/>
            <w:hideMark/>
          </w:tcPr>
          <w:p w14:paraId="43019B8C"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660.9 </w:t>
            </w:r>
          </w:p>
        </w:tc>
      </w:tr>
      <w:tr w:rsidR="008A081E" w:rsidRPr="006218C3" w14:paraId="43019B91" w14:textId="77777777" w:rsidTr="008A081E">
        <w:trPr>
          <w:trHeight w:val="279"/>
          <w:jc w:val="center"/>
        </w:trPr>
        <w:tc>
          <w:tcPr>
            <w:tcW w:w="3578" w:type="dxa"/>
            <w:shd w:val="clear" w:color="auto" w:fill="auto"/>
            <w:noWrap/>
            <w:vAlign w:val="bottom"/>
            <w:hideMark/>
          </w:tcPr>
          <w:p w14:paraId="43019B8E"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CTR</w:t>
            </w:r>
          </w:p>
        </w:tc>
        <w:tc>
          <w:tcPr>
            <w:tcW w:w="1293" w:type="dxa"/>
            <w:shd w:val="clear" w:color="auto" w:fill="auto"/>
            <w:noWrap/>
            <w:vAlign w:val="bottom"/>
            <w:hideMark/>
          </w:tcPr>
          <w:p w14:paraId="43019B8F"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4.33</w:t>
            </w:r>
          </w:p>
        </w:tc>
        <w:tc>
          <w:tcPr>
            <w:tcW w:w="1293" w:type="dxa"/>
            <w:shd w:val="clear" w:color="auto" w:fill="auto"/>
            <w:noWrap/>
            <w:vAlign w:val="bottom"/>
            <w:hideMark/>
          </w:tcPr>
          <w:p w14:paraId="43019B90"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4.97</w:t>
            </w:r>
          </w:p>
        </w:tc>
      </w:tr>
      <w:tr w:rsidR="008A081E" w:rsidRPr="006218C3" w14:paraId="43019B95" w14:textId="77777777" w:rsidTr="008A081E">
        <w:trPr>
          <w:trHeight w:val="279"/>
          <w:jc w:val="center"/>
        </w:trPr>
        <w:tc>
          <w:tcPr>
            <w:tcW w:w="3578" w:type="dxa"/>
            <w:shd w:val="clear" w:color="auto" w:fill="auto"/>
            <w:noWrap/>
            <w:vAlign w:val="bottom"/>
            <w:hideMark/>
          </w:tcPr>
          <w:p w14:paraId="43019B92"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93"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94"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r>
      <w:tr w:rsidR="008A081E" w:rsidRPr="006218C3" w14:paraId="43019B97" w14:textId="77777777" w:rsidTr="008A081E">
        <w:trPr>
          <w:trHeight w:val="279"/>
          <w:jc w:val="center"/>
        </w:trPr>
        <w:tc>
          <w:tcPr>
            <w:tcW w:w="6164" w:type="dxa"/>
            <w:gridSpan w:val="3"/>
            <w:shd w:val="clear" w:color="auto" w:fill="auto"/>
            <w:noWrap/>
            <w:vAlign w:val="bottom"/>
            <w:hideMark/>
          </w:tcPr>
          <w:p w14:paraId="43019B96" w14:textId="77777777" w:rsidR="008A081E" w:rsidRPr="006218C3" w:rsidRDefault="008A081E" w:rsidP="008A081E">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Inventory Turnover Ratio</w:t>
            </w:r>
          </w:p>
        </w:tc>
      </w:tr>
      <w:tr w:rsidR="008A081E" w:rsidRPr="006218C3" w14:paraId="43019B9B" w14:textId="77777777" w:rsidTr="008A081E">
        <w:trPr>
          <w:trHeight w:val="279"/>
          <w:jc w:val="center"/>
        </w:trPr>
        <w:tc>
          <w:tcPr>
            <w:tcW w:w="3578" w:type="dxa"/>
            <w:shd w:val="clear" w:color="auto" w:fill="auto"/>
            <w:noWrap/>
            <w:vAlign w:val="bottom"/>
            <w:hideMark/>
          </w:tcPr>
          <w:p w14:paraId="43019B98"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93" w:type="dxa"/>
            <w:shd w:val="clear" w:color="auto" w:fill="auto"/>
            <w:noWrap/>
            <w:vAlign w:val="bottom"/>
            <w:hideMark/>
          </w:tcPr>
          <w:p w14:paraId="43019B99"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93" w:type="dxa"/>
            <w:shd w:val="clear" w:color="auto" w:fill="auto"/>
            <w:noWrap/>
            <w:vAlign w:val="bottom"/>
            <w:hideMark/>
          </w:tcPr>
          <w:p w14:paraId="43019B9A"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8A081E" w:rsidRPr="006218C3" w14:paraId="43019B9F" w14:textId="77777777" w:rsidTr="008A081E">
        <w:trPr>
          <w:trHeight w:val="279"/>
          <w:jc w:val="center"/>
        </w:trPr>
        <w:tc>
          <w:tcPr>
            <w:tcW w:w="3578" w:type="dxa"/>
            <w:shd w:val="clear" w:color="auto" w:fill="auto"/>
            <w:noWrap/>
            <w:vAlign w:val="bottom"/>
            <w:hideMark/>
          </w:tcPr>
          <w:p w14:paraId="43019B9C"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COGS</w:t>
            </w:r>
          </w:p>
        </w:tc>
        <w:tc>
          <w:tcPr>
            <w:tcW w:w="1293" w:type="dxa"/>
            <w:shd w:val="clear" w:color="auto" w:fill="auto"/>
            <w:noWrap/>
            <w:vAlign w:val="bottom"/>
            <w:hideMark/>
          </w:tcPr>
          <w:p w14:paraId="43019B9D"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2,625.3 </w:t>
            </w:r>
          </w:p>
        </w:tc>
        <w:tc>
          <w:tcPr>
            <w:tcW w:w="1293" w:type="dxa"/>
            <w:shd w:val="clear" w:color="auto" w:fill="auto"/>
            <w:noWrap/>
            <w:vAlign w:val="bottom"/>
            <w:hideMark/>
          </w:tcPr>
          <w:p w14:paraId="43019B9E"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2,231.7 </w:t>
            </w:r>
          </w:p>
        </w:tc>
      </w:tr>
      <w:tr w:rsidR="008A081E" w:rsidRPr="006218C3" w14:paraId="43019BA3" w14:textId="77777777" w:rsidTr="008A081E">
        <w:trPr>
          <w:trHeight w:val="279"/>
          <w:jc w:val="center"/>
        </w:trPr>
        <w:tc>
          <w:tcPr>
            <w:tcW w:w="3578" w:type="dxa"/>
            <w:shd w:val="clear" w:color="auto" w:fill="auto"/>
            <w:noWrap/>
            <w:vAlign w:val="bottom"/>
            <w:hideMark/>
          </w:tcPr>
          <w:p w14:paraId="43019BA0"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Average inventories</w:t>
            </w:r>
          </w:p>
        </w:tc>
        <w:tc>
          <w:tcPr>
            <w:tcW w:w="1293" w:type="dxa"/>
            <w:shd w:val="clear" w:color="auto" w:fill="auto"/>
            <w:noWrap/>
            <w:vAlign w:val="bottom"/>
            <w:hideMark/>
          </w:tcPr>
          <w:p w14:paraId="43019BA1"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585.0 </w:t>
            </w:r>
          </w:p>
        </w:tc>
        <w:tc>
          <w:tcPr>
            <w:tcW w:w="1293" w:type="dxa"/>
            <w:shd w:val="clear" w:color="auto" w:fill="auto"/>
            <w:noWrap/>
            <w:vAlign w:val="bottom"/>
            <w:hideMark/>
          </w:tcPr>
          <w:p w14:paraId="43019BA2"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532.3 </w:t>
            </w:r>
          </w:p>
        </w:tc>
      </w:tr>
      <w:tr w:rsidR="008A081E" w:rsidRPr="006218C3" w14:paraId="43019BA7" w14:textId="77777777" w:rsidTr="008A081E">
        <w:trPr>
          <w:trHeight w:val="279"/>
          <w:jc w:val="center"/>
        </w:trPr>
        <w:tc>
          <w:tcPr>
            <w:tcW w:w="3578" w:type="dxa"/>
            <w:shd w:val="clear" w:color="auto" w:fill="auto"/>
            <w:noWrap/>
            <w:vAlign w:val="bottom"/>
            <w:hideMark/>
          </w:tcPr>
          <w:p w14:paraId="43019BA4"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ITR</w:t>
            </w:r>
          </w:p>
        </w:tc>
        <w:tc>
          <w:tcPr>
            <w:tcW w:w="1293" w:type="dxa"/>
            <w:shd w:val="clear" w:color="auto" w:fill="auto"/>
            <w:noWrap/>
            <w:vAlign w:val="bottom"/>
            <w:hideMark/>
          </w:tcPr>
          <w:p w14:paraId="43019BA5"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4.49</w:t>
            </w:r>
          </w:p>
        </w:tc>
        <w:tc>
          <w:tcPr>
            <w:tcW w:w="1293" w:type="dxa"/>
            <w:shd w:val="clear" w:color="auto" w:fill="auto"/>
            <w:noWrap/>
            <w:vAlign w:val="bottom"/>
            <w:hideMark/>
          </w:tcPr>
          <w:p w14:paraId="43019BA6"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4.19</w:t>
            </w:r>
          </w:p>
        </w:tc>
      </w:tr>
      <w:tr w:rsidR="008A081E" w:rsidRPr="006218C3" w14:paraId="43019BAB" w14:textId="77777777" w:rsidTr="008A081E">
        <w:trPr>
          <w:trHeight w:val="279"/>
          <w:jc w:val="center"/>
        </w:trPr>
        <w:tc>
          <w:tcPr>
            <w:tcW w:w="3578" w:type="dxa"/>
            <w:shd w:val="clear" w:color="auto" w:fill="auto"/>
            <w:noWrap/>
            <w:vAlign w:val="bottom"/>
            <w:hideMark/>
          </w:tcPr>
          <w:p w14:paraId="43019BA8"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A9"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c>
          <w:tcPr>
            <w:tcW w:w="1293" w:type="dxa"/>
            <w:shd w:val="clear" w:color="auto" w:fill="auto"/>
            <w:noWrap/>
            <w:vAlign w:val="bottom"/>
            <w:hideMark/>
          </w:tcPr>
          <w:p w14:paraId="43019BAA"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p>
        </w:tc>
      </w:tr>
      <w:tr w:rsidR="008A081E" w:rsidRPr="006218C3" w14:paraId="43019BAD" w14:textId="77777777" w:rsidTr="008A081E">
        <w:trPr>
          <w:trHeight w:val="279"/>
          <w:jc w:val="center"/>
        </w:trPr>
        <w:tc>
          <w:tcPr>
            <w:tcW w:w="6164" w:type="dxa"/>
            <w:gridSpan w:val="3"/>
            <w:shd w:val="clear" w:color="auto" w:fill="auto"/>
            <w:noWrap/>
            <w:vAlign w:val="bottom"/>
            <w:hideMark/>
          </w:tcPr>
          <w:p w14:paraId="43019BAC" w14:textId="77777777" w:rsidR="008A081E" w:rsidRPr="006218C3" w:rsidRDefault="008A081E" w:rsidP="008A081E">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Working Capital Turnover Ratio</w:t>
            </w:r>
          </w:p>
        </w:tc>
      </w:tr>
      <w:tr w:rsidR="008A081E" w:rsidRPr="006218C3" w14:paraId="43019BB1" w14:textId="77777777" w:rsidTr="008A081E">
        <w:trPr>
          <w:trHeight w:val="279"/>
          <w:jc w:val="center"/>
        </w:trPr>
        <w:tc>
          <w:tcPr>
            <w:tcW w:w="3578" w:type="dxa"/>
            <w:shd w:val="clear" w:color="auto" w:fill="auto"/>
            <w:noWrap/>
            <w:vAlign w:val="bottom"/>
            <w:hideMark/>
          </w:tcPr>
          <w:p w14:paraId="43019BAE"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93" w:type="dxa"/>
            <w:shd w:val="clear" w:color="auto" w:fill="auto"/>
            <w:noWrap/>
            <w:vAlign w:val="bottom"/>
            <w:hideMark/>
          </w:tcPr>
          <w:p w14:paraId="43019BAF"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93" w:type="dxa"/>
            <w:shd w:val="clear" w:color="auto" w:fill="auto"/>
            <w:noWrap/>
            <w:vAlign w:val="bottom"/>
            <w:hideMark/>
          </w:tcPr>
          <w:p w14:paraId="43019BB0"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8A081E" w:rsidRPr="006218C3" w14:paraId="43019BB5" w14:textId="77777777" w:rsidTr="008A081E">
        <w:trPr>
          <w:trHeight w:val="279"/>
          <w:jc w:val="center"/>
        </w:trPr>
        <w:tc>
          <w:tcPr>
            <w:tcW w:w="3578" w:type="dxa"/>
            <w:shd w:val="clear" w:color="auto" w:fill="auto"/>
            <w:noWrap/>
            <w:vAlign w:val="bottom"/>
            <w:hideMark/>
          </w:tcPr>
          <w:p w14:paraId="43019BB2"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Net sales</w:t>
            </w:r>
          </w:p>
        </w:tc>
        <w:tc>
          <w:tcPr>
            <w:tcW w:w="1293" w:type="dxa"/>
            <w:shd w:val="clear" w:color="auto" w:fill="auto"/>
            <w:noWrap/>
            <w:vAlign w:val="bottom"/>
            <w:hideMark/>
          </w:tcPr>
          <w:p w14:paraId="43019BB3"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4,376.5 </w:t>
            </w:r>
          </w:p>
        </w:tc>
        <w:tc>
          <w:tcPr>
            <w:tcW w:w="1293" w:type="dxa"/>
            <w:shd w:val="clear" w:color="auto" w:fill="auto"/>
            <w:noWrap/>
            <w:vAlign w:val="bottom"/>
            <w:hideMark/>
          </w:tcPr>
          <w:p w14:paraId="43019BB4"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3,284.1 </w:t>
            </w:r>
          </w:p>
        </w:tc>
      </w:tr>
      <w:tr w:rsidR="008A081E" w:rsidRPr="006218C3" w14:paraId="43019BB9" w14:textId="77777777" w:rsidTr="008A081E">
        <w:trPr>
          <w:trHeight w:val="279"/>
          <w:jc w:val="center"/>
        </w:trPr>
        <w:tc>
          <w:tcPr>
            <w:tcW w:w="3578" w:type="dxa"/>
            <w:shd w:val="clear" w:color="auto" w:fill="auto"/>
            <w:noWrap/>
            <w:vAlign w:val="bottom"/>
            <w:hideMark/>
          </w:tcPr>
          <w:p w14:paraId="43019BB6"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Working capital</w:t>
            </w:r>
          </w:p>
        </w:tc>
        <w:tc>
          <w:tcPr>
            <w:tcW w:w="1293" w:type="dxa"/>
            <w:shd w:val="clear" w:color="auto" w:fill="auto"/>
            <w:noWrap/>
            <w:vAlign w:val="bottom"/>
            <w:hideMark/>
          </w:tcPr>
          <w:p w14:paraId="43019BB7"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1,199.1 </w:t>
            </w:r>
          </w:p>
        </w:tc>
        <w:tc>
          <w:tcPr>
            <w:tcW w:w="1293" w:type="dxa"/>
            <w:shd w:val="clear" w:color="auto" w:fill="auto"/>
            <w:noWrap/>
            <w:vAlign w:val="bottom"/>
            <w:hideMark/>
          </w:tcPr>
          <w:p w14:paraId="43019BB8" w14:textId="77777777" w:rsidR="008A081E" w:rsidRPr="006218C3" w:rsidRDefault="008A081E" w:rsidP="008A081E">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1,091.8 </w:t>
            </w:r>
          </w:p>
        </w:tc>
      </w:tr>
      <w:tr w:rsidR="008A081E" w:rsidRPr="006218C3" w14:paraId="43019BBD" w14:textId="77777777" w:rsidTr="008A081E">
        <w:trPr>
          <w:trHeight w:val="279"/>
          <w:jc w:val="center"/>
        </w:trPr>
        <w:tc>
          <w:tcPr>
            <w:tcW w:w="3578" w:type="dxa"/>
            <w:shd w:val="clear" w:color="auto" w:fill="auto"/>
            <w:noWrap/>
            <w:vAlign w:val="bottom"/>
            <w:hideMark/>
          </w:tcPr>
          <w:p w14:paraId="43019BBA"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WCTR</w:t>
            </w:r>
          </w:p>
        </w:tc>
        <w:tc>
          <w:tcPr>
            <w:tcW w:w="1293" w:type="dxa"/>
            <w:shd w:val="clear" w:color="auto" w:fill="auto"/>
            <w:noWrap/>
            <w:vAlign w:val="bottom"/>
            <w:hideMark/>
          </w:tcPr>
          <w:p w14:paraId="43019BBB"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3.65</w:t>
            </w:r>
          </w:p>
        </w:tc>
        <w:tc>
          <w:tcPr>
            <w:tcW w:w="1293" w:type="dxa"/>
            <w:shd w:val="clear" w:color="auto" w:fill="auto"/>
            <w:noWrap/>
            <w:vAlign w:val="bottom"/>
            <w:hideMark/>
          </w:tcPr>
          <w:p w14:paraId="43019BBC" w14:textId="77777777" w:rsidR="008A081E" w:rsidRPr="006218C3" w:rsidRDefault="008A081E" w:rsidP="008A081E">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3.01</w:t>
            </w:r>
          </w:p>
        </w:tc>
      </w:tr>
    </w:tbl>
    <w:p w14:paraId="43019BBE" w14:textId="5F18AACE" w:rsidR="008A081E" w:rsidRDefault="008A081E" w:rsidP="004C4AFF">
      <w:pPr>
        <w:pStyle w:val="Normal1"/>
        <w:spacing w:before="200" w:after="240" w:line="360" w:lineRule="auto"/>
        <w:jc w:val="both"/>
        <w:rPr>
          <w:rFonts w:ascii="Times New Roman" w:eastAsia="Times New Roman" w:hAnsi="Times New Roman" w:cs="Times New Roman"/>
          <w:sz w:val="24"/>
          <w:szCs w:val="24"/>
          <w:highlight w:val="white"/>
          <w:lang w:val="en-GB"/>
        </w:rPr>
      </w:pPr>
    </w:p>
    <w:p w14:paraId="01F6DBA4" w14:textId="134292B4" w:rsidR="008A081E" w:rsidRPr="008A081E" w:rsidRDefault="008A081E" w:rsidP="008A081E">
      <w:pPr>
        <w:pStyle w:val="Heading1"/>
        <w:jc w:val="left"/>
        <w:rPr>
          <w:lang w:val="en-GB"/>
        </w:rPr>
      </w:pPr>
      <w:r w:rsidRPr="008A081E">
        <w:rPr>
          <w:highlight w:val="white"/>
        </w:rPr>
        <w:lastRenderedPageBreak/>
        <w:t>Appendix</w:t>
      </w:r>
      <w:r>
        <w:rPr>
          <w:highlight w:val="white"/>
          <w:lang w:val="en-GB"/>
        </w:rPr>
        <w:t xml:space="preserve"> 4: </w:t>
      </w:r>
      <w:r w:rsidRPr="006218C3">
        <w:rPr>
          <w:bCs/>
          <w:color w:val="000000"/>
          <w:lang w:val="en-GB"/>
        </w:rPr>
        <w:t xml:space="preserve">Solvency </w:t>
      </w:r>
      <w:r w:rsidRPr="006218C3">
        <w:rPr>
          <w:lang w:val="en-GB"/>
        </w:rPr>
        <w:t>Ratios</w:t>
      </w:r>
    </w:p>
    <w:tbl>
      <w:tblPr>
        <w:tblW w:w="5021" w:type="dxa"/>
        <w:jc w:val="center"/>
        <w:tblLook w:val="04A0" w:firstRow="1" w:lastRow="0" w:firstColumn="1" w:lastColumn="0" w:noHBand="0" w:noVBand="1"/>
      </w:tblPr>
      <w:tblGrid>
        <w:gridCol w:w="2593"/>
        <w:gridCol w:w="1214"/>
        <w:gridCol w:w="1214"/>
      </w:tblGrid>
      <w:tr w:rsidR="00DF5AD7" w:rsidRPr="006218C3" w14:paraId="43019BC0" w14:textId="77777777" w:rsidTr="00DF5AD7">
        <w:trPr>
          <w:trHeight w:val="315"/>
          <w:jc w:val="center"/>
        </w:trPr>
        <w:tc>
          <w:tcPr>
            <w:tcW w:w="502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BF" w14:textId="77777777" w:rsidR="00DF5AD7" w:rsidRPr="006218C3" w:rsidRDefault="00DF5AD7" w:rsidP="00DF5AD7">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Solvency Ratios</w:t>
            </w:r>
          </w:p>
        </w:tc>
      </w:tr>
      <w:tr w:rsidR="00DF5AD7" w:rsidRPr="006218C3" w14:paraId="43019BC2" w14:textId="77777777" w:rsidTr="00DF5AD7">
        <w:trPr>
          <w:trHeight w:val="315"/>
          <w:jc w:val="center"/>
        </w:trPr>
        <w:tc>
          <w:tcPr>
            <w:tcW w:w="502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C1" w14:textId="77777777" w:rsidR="00DF5AD7" w:rsidRPr="006218C3" w:rsidRDefault="00DF5AD7" w:rsidP="00DF5AD7">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Debt ratio</w:t>
            </w:r>
          </w:p>
        </w:tc>
      </w:tr>
      <w:tr w:rsidR="00DF5AD7" w:rsidRPr="006218C3" w14:paraId="43019BC6"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C3"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14" w:type="dxa"/>
            <w:tcBorders>
              <w:top w:val="nil"/>
              <w:left w:val="nil"/>
              <w:bottom w:val="single" w:sz="4" w:space="0" w:color="auto"/>
              <w:right w:val="single" w:sz="4" w:space="0" w:color="auto"/>
            </w:tcBorders>
            <w:shd w:val="clear" w:color="auto" w:fill="auto"/>
            <w:noWrap/>
            <w:vAlign w:val="bottom"/>
            <w:hideMark/>
          </w:tcPr>
          <w:p w14:paraId="43019BC4"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14" w:type="dxa"/>
            <w:tcBorders>
              <w:top w:val="nil"/>
              <w:left w:val="nil"/>
              <w:bottom w:val="single" w:sz="4" w:space="0" w:color="auto"/>
              <w:right w:val="single" w:sz="4" w:space="0" w:color="auto"/>
            </w:tcBorders>
            <w:shd w:val="clear" w:color="auto" w:fill="auto"/>
            <w:noWrap/>
            <w:vAlign w:val="bottom"/>
            <w:hideMark/>
          </w:tcPr>
          <w:p w14:paraId="43019BC5"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DF5AD7" w:rsidRPr="006218C3" w14:paraId="43019BCA"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C7"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Total debt</w:t>
            </w:r>
          </w:p>
        </w:tc>
        <w:tc>
          <w:tcPr>
            <w:tcW w:w="1214" w:type="dxa"/>
            <w:tcBorders>
              <w:top w:val="nil"/>
              <w:left w:val="nil"/>
              <w:bottom w:val="single" w:sz="4" w:space="0" w:color="auto"/>
              <w:right w:val="single" w:sz="4" w:space="0" w:color="auto"/>
            </w:tcBorders>
            <w:shd w:val="clear" w:color="auto" w:fill="auto"/>
            <w:noWrap/>
            <w:vAlign w:val="bottom"/>
            <w:hideMark/>
          </w:tcPr>
          <w:p w14:paraId="43019BC8"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2,106.3 </w:t>
            </w:r>
          </w:p>
        </w:tc>
        <w:tc>
          <w:tcPr>
            <w:tcW w:w="1214" w:type="dxa"/>
            <w:tcBorders>
              <w:top w:val="nil"/>
              <w:left w:val="nil"/>
              <w:bottom w:val="single" w:sz="4" w:space="0" w:color="auto"/>
              <w:right w:val="single" w:sz="4" w:space="0" w:color="auto"/>
            </w:tcBorders>
            <w:shd w:val="clear" w:color="auto" w:fill="auto"/>
            <w:noWrap/>
            <w:vAlign w:val="bottom"/>
            <w:hideMark/>
          </w:tcPr>
          <w:p w14:paraId="43019BC9"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2,442.3 </w:t>
            </w:r>
          </w:p>
        </w:tc>
      </w:tr>
      <w:tr w:rsidR="00DF5AD7" w:rsidRPr="006218C3" w14:paraId="43019BCE"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CB"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Total asset</w:t>
            </w:r>
          </w:p>
        </w:tc>
        <w:tc>
          <w:tcPr>
            <w:tcW w:w="1214" w:type="dxa"/>
            <w:tcBorders>
              <w:top w:val="nil"/>
              <w:left w:val="nil"/>
              <w:bottom w:val="single" w:sz="4" w:space="0" w:color="auto"/>
              <w:right w:val="single" w:sz="4" w:space="0" w:color="auto"/>
            </w:tcBorders>
            <w:shd w:val="clear" w:color="auto" w:fill="auto"/>
            <w:noWrap/>
            <w:vAlign w:val="bottom"/>
            <w:hideMark/>
          </w:tcPr>
          <w:p w14:paraId="43019BCC"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3,981.8 </w:t>
            </w:r>
          </w:p>
        </w:tc>
        <w:tc>
          <w:tcPr>
            <w:tcW w:w="1214" w:type="dxa"/>
            <w:tcBorders>
              <w:top w:val="nil"/>
              <w:left w:val="nil"/>
              <w:bottom w:val="single" w:sz="4" w:space="0" w:color="auto"/>
              <w:right w:val="single" w:sz="4" w:space="0" w:color="auto"/>
            </w:tcBorders>
            <w:shd w:val="clear" w:color="auto" w:fill="auto"/>
            <w:noWrap/>
            <w:vAlign w:val="bottom"/>
            <w:hideMark/>
          </w:tcPr>
          <w:p w14:paraId="43019BCD"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3,758.0 </w:t>
            </w:r>
          </w:p>
        </w:tc>
      </w:tr>
      <w:tr w:rsidR="00DF5AD7" w:rsidRPr="006218C3" w14:paraId="43019BD2"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CF"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Debt ratio</w:t>
            </w:r>
          </w:p>
        </w:tc>
        <w:tc>
          <w:tcPr>
            <w:tcW w:w="1214" w:type="dxa"/>
            <w:tcBorders>
              <w:top w:val="nil"/>
              <w:left w:val="nil"/>
              <w:bottom w:val="single" w:sz="4" w:space="0" w:color="auto"/>
              <w:right w:val="single" w:sz="4" w:space="0" w:color="auto"/>
            </w:tcBorders>
            <w:shd w:val="clear" w:color="auto" w:fill="auto"/>
            <w:noWrap/>
            <w:vAlign w:val="bottom"/>
            <w:hideMark/>
          </w:tcPr>
          <w:p w14:paraId="43019BD0"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0.53</w:t>
            </w:r>
          </w:p>
        </w:tc>
        <w:tc>
          <w:tcPr>
            <w:tcW w:w="1214" w:type="dxa"/>
            <w:tcBorders>
              <w:top w:val="nil"/>
              <w:left w:val="nil"/>
              <w:bottom w:val="single" w:sz="4" w:space="0" w:color="auto"/>
              <w:right w:val="single" w:sz="4" w:space="0" w:color="auto"/>
            </w:tcBorders>
            <w:shd w:val="clear" w:color="auto" w:fill="auto"/>
            <w:noWrap/>
            <w:vAlign w:val="bottom"/>
            <w:hideMark/>
          </w:tcPr>
          <w:p w14:paraId="43019BD1"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0.65</w:t>
            </w:r>
          </w:p>
        </w:tc>
      </w:tr>
      <w:tr w:rsidR="00DF5AD7" w:rsidRPr="006218C3" w14:paraId="43019BD6" w14:textId="77777777" w:rsidTr="00DF5AD7">
        <w:trPr>
          <w:trHeight w:val="315"/>
          <w:jc w:val="center"/>
        </w:trPr>
        <w:tc>
          <w:tcPr>
            <w:tcW w:w="2593" w:type="dxa"/>
            <w:tcBorders>
              <w:top w:val="nil"/>
              <w:left w:val="nil"/>
              <w:bottom w:val="nil"/>
              <w:right w:val="nil"/>
            </w:tcBorders>
            <w:shd w:val="clear" w:color="auto" w:fill="auto"/>
            <w:noWrap/>
            <w:vAlign w:val="bottom"/>
            <w:hideMark/>
          </w:tcPr>
          <w:p w14:paraId="43019BD3"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BD4"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BD5"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r>
      <w:tr w:rsidR="00DF5AD7" w:rsidRPr="006218C3" w14:paraId="43019BD8" w14:textId="77777777" w:rsidTr="00DF5AD7">
        <w:trPr>
          <w:trHeight w:val="315"/>
          <w:jc w:val="center"/>
        </w:trPr>
        <w:tc>
          <w:tcPr>
            <w:tcW w:w="502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D7" w14:textId="77777777" w:rsidR="00DF5AD7" w:rsidRPr="006218C3" w:rsidRDefault="00DF5AD7" w:rsidP="00DF5AD7">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Equity ratio</w:t>
            </w:r>
          </w:p>
        </w:tc>
      </w:tr>
      <w:tr w:rsidR="00DF5AD7" w:rsidRPr="006218C3" w14:paraId="43019BDC"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D9"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14" w:type="dxa"/>
            <w:tcBorders>
              <w:top w:val="nil"/>
              <w:left w:val="nil"/>
              <w:bottom w:val="single" w:sz="4" w:space="0" w:color="auto"/>
              <w:right w:val="single" w:sz="4" w:space="0" w:color="auto"/>
            </w:tcBorders>
            <w:shd w:val="clear" w:color="auto" w:fill="auto"/>
            <w:noWrap/>
            <w:vAlign w:val="bottom"/>
            <w:hideMark/>
          </w:tcPr>
          <w:p w14:paraId="43019BDA"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14" w:type="dxa"/>
            <w:tcBorders>
              <w:top w:val="nil"/>
              <w:left w:val="nil"/>
              <w:bottom w:val="single" w:sz="4" w:space="0" w:color="auto"/>
              <w:right w:val="single" w:sz="4" w:space="0" w:color="auto"/>
            </w:tcBorders>
            <w:shd w:val="clear" w:color="auto" w:fill="auto"/>
            <w:noWrap/>
            <w:vAlign w:val="bottom"/>
            <w:hideMark/>
          </w:tcPr>
          <w:p w14:paraId="43019BDB"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DF5AD7" w:rsidRPr="006218C3" w14:paraId="43019BE0"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DD" w14:textId="1BC8F817" w:rsidR="00DF5AD7" w:rsidRPr="006218C3" w:rsidRDefault="008A081E"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Shareholders’</w:t>
            </w:r>
            <w:r w:rsidR="00DF5AD7" w:rsidRPr="006218C3">
              <w:rPr>
                <w:rFonts w:ascii="Times New Roman" w:eastAsia="Times New Roman" w:hAnsi="Times New Roman" w:cs="Times New Roman"/>
                <w:color w:val="000000"/>
                <w:sz w:val="24"/>
                <w:szCs w:val="24"/>
                <w:lang w:val="en-GB"/>
              </w:rPr>
              <w:t xml:space="preserve"> equity</w:t>
            </w:r>
          </w:p>
        </w:tc>
        <w:tc>
          <w:tcPr>
            <w:tcW w:w="1214" w:type="dxa"/>
            <w:tcBorders>
              <w:top w:val="nil"/>
              <w:left w:val="nil"/>
              <w:bottom w:val="single" w:sz="4" w:space="0" w:color="auto"/>
              <w:right w:val="single" w:sz="4" w:space="0" w:color="auto"/>
            </w:tcBorders>
            <w:shd w:val="clear" w:color="auto" w:fill="auto"/>
            <w:noWrap/>
            <w:vAlign w:val="bottom"/>
            <w:hideMark/>
          </w:tcPr>
          <w:p w14:paraId="43019BDE"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1,010.0 </w:t>
            </w:r>
          </w:p>
        </w:tc>
        <w:tc>
          <w:tcPr>
            <w:tcW w:w="1214" w:type="dxa"/>
            <w:tcBorders>
              <w:top w:val="nil"/>
              <w:left w:val="nil"/>
              <w:bottom w:val="single" w:sz="4" w:space="0" w:color="auto"/>
              <w:right w:val="single" w:sz="4" w:space="0" w:color="auto"/>
            </w:tcBorders>
            <w:shd w:val="clear" w:color="auto" w:fill="auto"/>
            <w:noWrap/>
            <w:vAlign w:val="bottom"/>
            <w:hideMark/>
          </w:tcPr>
          <w:p w14:paraId="43019BDF"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660.9 </w:t>
            </w:r>
          </w:p>
        </w:tc>
      </w:tr>
      <w:tr w:rsidR="00DF5AD7" w:rsidRPr="006218C3" w14:paraId="43019BE4"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E1"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Total asset</w:t>
            </w:r>
          </w:p>
        </w:tc>
        <w:tc>
          <w:tcPr>
            <w:tcW w:w="1214" w:type="dxa"/>
            <w:tcBorders>
              <w:top w:val="nil"/>
              <w:left w:val="nil"/>
              <w:bottom w:val="single" w:sz="4" w:space="0" w:color="auto"/>
              <w:right w:val="single" w:sz="4" w:space="0" w:color="auto"/>
            </w:tcBorders>
            <w:shd w:val="clear" w:color="auto" w:fill="auto"/>
            <w:noWrap/>
            <w:vAlign w:val="bottom"/>
            <w:hideMark/>
          </w:tcPr>
          <w:p w14:paraId="43019BE2"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3,981.8 </w:t>
            </w:r>
          </w:p>
        </w:tc>
        <w:tc>
          <w:tcPr>
            <w:tcW w:w="1214" w:type="dxa"/>
            <w:tcBorders>
              <w:top w:val="nil"/>
              <w:left w:val="nil"/>
              <w:bottom w:val="single" w:sz="4" w:space="0" w:color="auto"/>
              <w:right w:val="single" w:sz="4" w:space="0" w:color="auto"/>
            </w:tcBorders>
            <w:shd w:val="clear" w:color="auto" w:fill="auto"/>
            <w:noWrap/>
            <w:vAlign w:val="bottom"/>
            <w:hideMark/>
          </w:tcPr>
          <w:p w14:paraId="43019BE3"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3,758.0 </w:t>
            </w:r>
          </w:p>
        </w:tc>
      </w:tr>
      <w:tr w:rsidR="00DF5AD7" w:rsidRPr="006218C3" w14:paraId="43019BE8"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E5"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Equity ratio</w:t>
            </w:r>
          </w:p>
        </w:tc>
        <w:tc>
          <w:tcPr>
            <w:tcW w:w="1214" w:type="dxa"/>
            <w:tcBorders>
              <w:top w:val="nil"/>
              <w:left w:val="nil"/>
              <w:bottom w:val="single" w:sz="4" w:space="0" w:color="auto"/>
              <w:right w:val="single" w:sz="4" w:space="0" w:color="auto"/>
            </w:tcBorders>
            <w:shd w:val="clear" w:color="auto" w:fill="auto"/>
            <w:noWrap/>
            <w:vAlign w:val="bottom"/>
            <w:hideMark/>
          </w:tcPr>
          <w:p w14:paraId="43019BE6"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0.25</w:t>
            </w:r>
          </w:p>
        </w:tc>
        <w:tc>
          <w:tcPr>
            <w:tcW w:w="1214" w:type="dxa"/>
            <w:tcBorders>
              <w:top w:val="nil"/>
              <w:left w:val="nil"/>
              <w:bottom w:val="single" w:sz="4" w:space="0" w:color="auto"/>
              <w:right w:val="single" w:sz="4" w:space="0" w:color="auto"/>
            </w:tcBorders>
            <w:shd w:val="clear" w:color="auto" w:fill="auto"/>
            <w:noWrap/>
            <w:vAlign w:val="bottom"/>
            <w:hideMark/>
          </w:tcPr>
          <w:p w14:paraId="43019BE7"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0.18</w:t>
            </w:r>
          </w:p>
        </w:tc>
      </w:tr>
      <w:tr w:rsidR="00DF5AD7" w:rsidRPr="006218C3" w14:paraId="43019BEC" w14:textId="77777777" w:rsidTr="00DF5AD7">
        <w:trPr>
          <w:trHeight w:val="315"/>
          <w:jc w:val="center"/>
        </w:trPr>
        <w:tc>
          <w:tcPr>
            <w:tcW w:w="2593" w:type="dxa"/>
            <w:tcBorders>
              <w:top w:val="nil"/>
              <w:left w:val="nil"/>
              <w:bottom w:val="nil"/>
              <w:right w:val="nil"/>
            </w:tcBorders>
            <w:shd w:val="clear" w:color="auto" w:fill="auto"/>
            <w:noWrap/>
            <w:vAlign w:val="bottom"/>
            <w:hideMark/>
          </w:tcPr>
          <w:p w14:paraId="43019BE9"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BEA"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BEB"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r>
      <w:tr w:rsidR="00DF5AD7" w:rsidRPr="006218C3" w14:paraId="43019BEE" w14:textId="77777777" w:rsidTr="00DF5AD7">
        <w:trPr>
          <w:trHeight w:val="315"/>
          <w:jc w:val="center"/>
        </w:trPr>
        <w:tc>
          <w:tcPr>
            <w:tcW w:w="502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BED" w14:textId="77777777" w:rsidR="00DF5AD7" w:rsidRPr="006218C3" w:rsidRDefault="00DF5AD7" w:rsidP="00DF5AD7">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Debt to equity ratio</w:t>
            </w:r>
          </w:p>
        </w:tc>
      </w:tr>
      <w:tr w:rsidR="00DF5AD7" w:rsidRPr="006218C3" w14:paraId="43019BF2"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EF"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14" w:type="dxa"/>
            <w:tcBorders>
              <w:top w:val="nil"/>
              <w:left w:val="nil"/>
              <w:bottom w:val="single" w:sz="4" w:space="0" w:color="auto"/>
              <w:right w:val="single" w:sz="4" w:space="0" w:color="auto"/>
            </w:tcBorders>
            <w:shd w:val="clear" w:color="auto" w:fill="auto"/>
            <w:noWrap/>
            <w:vAlign w:val="bottom"/>
            <w:hideMark/>
          </w:tcPr>
          <w:p w14:paraId="43019BF0"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14" w:type="dxa"/>
            <w:tcBorders>
              <w:top w:val="nil"/>
              <w:left w:val="nil"/>
              <w:bottom w:val="single" w:sz="4" w:space="0" w:color="auto"/>
              <w:right w:val="single" w:sz="4" w:space="0" w:color="auto"/>
            </w:tcBorders>
            <w:shd w:val="clear" w:color="auto" w:fill="auto"/>
            <w:noWrap/>
            <w:vAlign w:val="bottom"/>
            <w:hideMark/>
          </w:tcPr>
          <w:p w14:paraId="43019BF1"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DF5AD7" w:rsidRPr="006218C3" w14:paraId="43019BF6"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F3"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Total debt</w:t>
            </w:r>
          </w:p>
        </w:tc>
        <w:tc>
          <w:tcPr>
            <w:tcW w:w="1214" w:type="dxa"/>
            <w:tcBorders>
              <w:top w:val="nil"/>
              <w:left w:val="nil"/>
              <w:bottom w:val="single" w:sz="4" w:space="0" w:color="auto"/>
              <w:right w:val="single" w:sz="4" w:space="0" w:color="auto"/>
            </w:tcBorders>
            <w:shd w:val="clear" w:color="auto" w:fill="auto"/>
            <w:noWrap/>
            <w:vAlign w:val="bottom"/>
            <w:hideMark/>
          </w:tcPr>
          <w:p w14:paraId="43019BF4"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2,106.3 </w:t>
            </w:r>
          </w:p>
        </w:tc>
        <w:tc>
          <w:tcPr>
            <w:tcW w:w="1214" w:type="dxa"/>
            <w:tcBorders>
              <w:top w:val="nil"/>
              <w:left w:val="nil"/>
              <w:bottom w:val="single" w:sz="4" w:space="0" w:color="auto"/>
              <w:right w:val="single" w:sz="4" w:space="0" w:color="auto"/>
            </w:tcBorders>
            <w:shd w:val="clear" w:color="auto" w:fill="auto"/>
            <w:noWrap/>
            <w:vAlign w:val="bottom"/>
            <w:hideMark/>
          </w:tcPr>
          <w:p w14:paraId="43019BF5"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2,442.3 </w:t>
            </w:r>
          </w:p>
        </w:tc>
      </w:tr>
      <w:tr w:rsidR="00DF5AD7" w:rsidRPr="006218C3" w14:paraId="43019BFA"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F7"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Shareholders equity</w:t>
            </w:r>
          </w:p>
        </w:tc>
        <w:tc>
          <w:tcPr>
            <w:tcW w:w="1214" w:type="dxa"/>
            <w:tcBorders>
              <w:top w:val="nil"/>
              <w:left w:val="nil"/>
              <w:bottom w:val="single" w:sz="4" w:space="0" w:color="auto"/>
              <w:right w:val="single" w:sz="4" w:space="0" w:color="auto"/>
            </w:tcBorders>
            <w:shd w:val="clear" w:color="auto" w:fill="auto"/>
            <w:noWrap/>
            <w:vAlign w:val="bottom"/>
            <w:hideMark/>
          </w:tcPr>
          <w:p w14:paraId="43019BF8"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1,010.0 </w:t>
            </w:r>
          </w:p>
        </w:tc>
        <w:tc>
          <w:tcPr>
            <w:tcW w:w="1214" w:type="dxa"/>
            <w:tcBorders>
              <w:top w:val="nil"/>
              <w:left w:val="nil"/>
              <w:bottom w:val="single" w:sz="4" w:space="0" w:color="auto"/>
              <w:right w:val="single" w:sz="4" w:space="0" w:color="auto"/>
            </w:tcBorders>
            <w:shd w:val="clear" w:color="auto" w:fill="auto"/>
            <w:noWrap/>
            <w:vAlign w:val="bottom"/>
            <w:hideMark/>
          </w:tcPr>
          <w:p w14:paraId="43019BF9"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660.9 </w:t>
            </w:r>
          </w:p>
        </w:tc>
      </w:tr>
      <w:tr w:rsidR="00DF5AD7" w:rsidRPr="006218C3" w14:paraId="43019BFE"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BFB"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D/E ratio</w:t>
            </w:r>
          </w:p>
        </w:tc>
        <w:tc>
          <w:tcPr>
            <w:tcW w:w="1214" w:type="dxa"/>
            <w:tcBorders>
              <w:top w:val="nil"/>
              <w:left w:val="nil"/>
              <w:bottom w:val="single" w:sz="4" w:space="0" w:color="auto"/>
              <w:right w:val="single" w:sz="4" w:space="0" w:color="auto"/>
            </w:tcBorders>
            <w:shd w:val="clear" w:color="auto" w:fill="auto"/>
            <w:noWrap/>
            <w:vAlign w:val="bottom"/>
            <w:hideMark/>
          </w:tcPr>
          <w:p w14:paraId="43019BFC"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2.09</w:t>
            </w:r>
          </w:p>
        </w:tc>
        <w:tc>
          <w:tcPr>
            <w:tcW w:w="1214" w:type="dxa"/>
            <w:tcBorders>
              <w:top w:val="nil"/>
              <w:left w:val="nil"/>
              <w:bottom w:val="single" w:sz="4" w:space="0" w:color="auto"/>
              <w:right w:val="single" w:sz="4" w:space="0" w:color="auto"/>
            </w:tcBorders>
            <w:shd w:val="clear" w:color="auto" w:fill="auto"/>
            <w:noWrap/>
            <w:vAlign w:val="bottom"/>
            <w:hideMark/>
          </w:tcPr>
          <w:p w14:paraId="43019BFD"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3.70</w:t>
            </w:r>
          </w:p>
        </w:tc>
      </w:tr>
      <w:tr w:rsidR="00DF5AD7" w:rsidRPr="006218C3" w14:paraId="43019C02" w14:textId="77777777" w:rsidTr="00DF5AD7">
        <w:trPr>
          <w:trHeight w:val="315"/>
          <w:jc w:val="center"/>
        </w:trPr>
        <w:tc>
          <w:tcPr>
            <w:tcW w:w="2593" w:type="dxa"/>
            <w:tcBorders>
              <w:top w:val="nil"/>
              <w:left w:val="nil"/>
              <w:bottom w:val="nil"/>
              <w:right w:val="nil"/>
            </w:tcBorders>
            <w:shd w:val="clear" w:color="auto" w:fill="auto"/>
            <w:noWrap/>
            <w:vAlign w:val="bottom"/>
            <w:hideMark/>
          </w:tcPr>
          <w:p w14:paraId="43019BFF"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C00"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c>
          <w:tcPr>
            <w:tcW w:w="1214" w:type="dxa"/>
            <w:tcBorders>
              <w:top w:val="nil"/>
              <w:left w:val="nil"/>
              <w:bottom w:val="nil"/>
              <w:right w:val="nil"/>
            </w:tcBorders>
            <w:shd w:val="clear" w:color="auto" w:fill="auto"/>
            <w:noWrap/>
            <w:vAlign w:val="bottom"/>
            <w:hideMark/>
          </w:tcPr>
          <w:p w14:paraId="43019C01"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p>
        </w:tc>
      </w:tr>
      <w:tr w:rsidR="00DF5AD7" w:rsidRPr="006218C3" w14:paraId="43019C04" w14:textId="77777777" w:rsidTr="00DF5AD7">
        <w:trPr>
          <w:trHeight w:val="315"/>
          <w:jc w:val="center"/>
        </w:trPr>
        <w:tc>
          <w:tcPr>
            <w:tcW w:w="502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019C03" w14:textId="77777777" w:rsidR="00DF5AD7" w:rsidRPr="006218C3" w:rsidRDefault="00DF5AD7" w:rsidP="00DF5AD7">
            <w:pPr>
              <w:spacing w:line="240" w:lineRule="auto"/>
              <w:jc w:val="center"/>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Interest coverage ratio</w:t>
            </w:r>
          </w:p>
        </w:tc>
      </w:tr>
      <w:tr w:rsidR="00DF5AD7" w:rsidRPr="006218C3" w14:paraId="43019C08"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C05"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Particulars</w:t>
            </w:r>
          </w:p>
        </w:tc>
        <w:tc>
          <w:tcPr>
            <w:tcW w:w="1214" w:type="dxa"/>
            <w:tcBorders>
              <w:top w:val="nil"/>
              <w:left w:val="nil"/>
              <w:bottom w:val="single" w:sz="4" w:space="0" w:color="auto"/>
              <w:right w:val="single" w:sz="4" w:space="0" w:color="auto"/>
            </w:tcBorders>
            <w:shd w:val="clear" w:color="auto" w:fill="auto"/>
            <w:noWrap/>
            <w:vAlign w:val="bottom"/>
            <w:hideMark/>
          </w:tcPr>
          <w:p w14:paraId="43019C06"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2022, M</w:t>
            </w:r>
          </w:p>
        </w:tc>
        <w:tc>
          <w:tcPr>
            <w:tcW w:w="1214" w:type="dxa"/>
            <w:tcBorders>
              <w:top w:val="nil"/>
              <w:left w:val="nil"/>
              <w:bottom w:val="single" w:sz="4" w:space="0" w:color="auto"/>
              <w:right w:val="single" w:sz="4" w:space="0" w:color="auto"/>
            </w:tcBorders>
            <w:shd w:val="clear" w:color="auto" w:fill="auto"/>
            <w:noWrap/>
            <w:vAlign w:val="bottom"/>
            <w:hideMark/>
          </w:tcPr>
          <w:p w14:paraId="43019C07"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2021, M</w:t>
            </w:r>
          </w:p>
        </w:tc>
      </w:tr>
      <w:tr w:rsidR="00DF5AD7" w:rsidRPr="006218C3" w14:paraId="43019C0C"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C09"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EBIT</w:t>
            </w:r>
          </w:p>
        </w:tc>
        <w:tc>
          <w:tcPr>
            <w:tcW w:w="1214" w:type="dxa"/>
            <w:tcBorders>
              <w:top w:val="nil"/>
              <w:left w:val="nil"/>
              <w:bottom w:val="single" w:sz="4" w:space="0" w:color="auto"/>
              <w:right w:val="single" w:sz="4" w:space="0" w:color="auto"/>
            </w:tcBorders>
            <w:shd w:val="clear" w:color="auto" w:fill="auto"/>
            <w:noWrap/>
            <w:vAlign w:val="bottom"/>
            <w:hideMark/>
          </w:tcPr>
          <w:p w14:paraId="43019C0A"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905.4 </w:t>
            </w:r>
          </w:p>
        </w:tc>
        <w:tc>
          <w:tcPr>
            <w:tcW w:w="1214" w:type="dxa"/>
            <w:tcBorders>
              <w:top w:val="nil"/>
              <w:left w:val="nil"/>
              <w:bottom w:val="single" w:sz="4" w:space="0" w:color="auto"/>
              <w:right w:val="single" w:sz="4" w:space="0" w:color="auto"/>
            </w:tcBorders>
            <w:shd w:val="clear" w:color="auto" w:fill="auto"/>
            <w:noWrap/>
            <w:vAlign w:val="bottom"/>
            <w:hideMark/>
          </w:tcPr>
          <w:p w14:paraId="43019C0B"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444.5 </w:t>
            </w:r>
          </w:p>
        </w:tc>
      </w:tr>
      <w:tr w:rsidR="00DF5AD7" w:rsidRPr="006218C3" w14:paraId="43019C10"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C0D"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Interest expenses</w:t>
            </w:r>
          </w:p>
        </w:tc>
        <w:tc>
          <w:tcPr>
            <w:tcW w:w="1214" w:type="dxa"/>
            <w:tcBorders>
              <w:top w:val="nil"/>
              <w:left w:val="nil"/>
              <w:bottom w:val="single" w:sz="4" w:space="0" w:color="auto"/>
              <w:right w:val="single" w:sz="4" w:space="0" w:color="auto"/>
            </w:tcBorders>
            <w:shd w:val="clear" w:color="auto" w:fill="auto"/>
            <w:noWrap/>
            <w:vAlign w:val="bottom"/>
            <w:hideMark/>
          </w:tcPr>
          <w:p w14:paraId="43019C0E"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91.1 </w:t>
            </w:r>
          </w:p>
        </w:tc>
        <w:tc>
          <w:tcPr>
            <w:tcW w:w="1214" w:type="dxa"/>
            <w:tcBorders>
              <w:top w:val="nil"/>
              <w:left w:val="nil"/>
              <w:bottom w:val="single" w:sz="4" w:space="0" w:color="auto"/>
              <w:right w:val="single" w:sz="4" w:space="0" w:color="auto"/>
            </w:tcBorders>
            <w:shd w:val="clear" w:color="auto" w:fill="auto"/>
            <w:noWrap/>
            <w:vAlign w:val="bottom"/>
            <w:hideMark/>
          </w:tcPr>
          <w:p w14:paraId="43019C0F" w14:textId="77777777" w:rsidR="00DF5AD7" w:rsidRPr="006218C3" w:rsidRDefault="00DF5AD7" w:rsidP="00DF5AD7">
            <w:pPr>
              <w:spacing w:line="240" w:lineRule="auto"/>
              <w:jc w:val="right"/>
              <w:rPr>
                <w:rFonts w:ascii="Times New Roman" w:eastAsia="Times New Roman" w:hAnsi="Times New Roman" w:cs="Times New Roman"/>
                <w:color w:val="000000"/>
                <w:sz w:val="24"/>
                <w:szCs w:val="24"/>
                <w:lang w:val="en-GB"/>
              </w:rPr>
            </w:pPr>
            <w:r w:rsidRPr="006218C3">
              <w:rPr>
                <w:rFonts w:ascii="Times New Roman" w:eastAsia="Times New Roman" w:hAnsi="Times New Roman" w:cs="Times New Roman"/>
                <w:color w:val="000000"/>
                <w:sz w:val="24"/>
                <w:szCs w:val="24"/>
                <w:lang w:val="en-GB"/>
              </w:rPr>
              <w:t xml:space="preserve"> £      101.6 </w:t>
            </w:r>
          </w:p>
        </w:tc>
      </w:tr>
      <w:tr w:rsidR="00DF5AD7" w:rsidRPr="006218C3" w14:paraId="43019C14" w14:textId="77777777" w:rsidTr="00DF5AD7">
        <w:trPr>
          <w:trHeight w:val="315"/>
          <w:jc w:val="center"/>
        </w:trPr>
        <w:tc>
          <w:tcPr>
            <w:tcW w:w="2593" w:type="dxa"/>
            <w:tcBorders>
              <w:top w:val="nil"/>
              <w:left w:val="single" w:sz="4" w:space="0" w:color="auto"/>
              <w:bottom w:val="single" w:sz="4" w:space="0" w:color="auto"/>
              <w:right w:val="single" w:sz="4" w:space="0" w:color="auto"/>
            </w:tcBorders>
            <w:shd w:val="clear" w:color="auto" w:fill="auto"/>
            <w:noWrap/>
            <w:vAlign w:val="bottom"/>
            <w:hideMark/>
          </w:tcPr>
          <w:p w14:paraId="43019C11"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Interest coverage ratio</w:t>
            </w:r>
          </w:p>
        </w:tc>
        <w:tc>
          <w:tcPr>
            <w:tcW w:w="1214" w:type="dxa"/>
            <w:tcBorders>
              <w:top w:val="nil"/>
              <w:left w:val="nil"/>
              <w:bottom w:val="single" w:sz="4" w:space="0" w:color="auto"/>
              <w:right w:val="single" w:sz="4" w:space="0" w:color="auto"/>
            </w:tcBorders>
            <w:shd w:val="clear" w:color="auto" w:fill="auto"/>
            <w:noWrap/>
            <w:vAlign w:val="bottom"/>
            <w:hideMark/>
          </w:tcPr>
          <w:p w14:paraId="43019C12"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9.94</w:t>
            </w:r>
          </w:p>
        </w:tc>
        <w:tc>
          <w:tcPr>
            <w:tcW w:w="1214" w:type="dxa"/>
            <w:tcBorders>
              <w:top w:val="nil"/>
              <w:left w:val="nil"/>
              <w:bottom w:val="single" w:sz="4" w:space="0" w:color="auto"/>
              <w:right w:val="single" w:sz="4" w:space="0" w:color="auto"/>
            </w:tcBorders>
            <w:shd w:val="clear" w:color="auto" w:fill="auto"/>
            <w:noWrap/>
            <w:vAlign w:val="bottom"/>
            <w:hideMark/>
          </w:tcPr>
          <w:p w14:paraId="43019C13" w14:textId="77777777" w:rsidR="00DF5AD7" w:rsidRPr="006218C3" w:rsidRDefault="00DF5AD7" w:rsidP="00DF5AD7">
            <w:pPr>
              <w:spacing w:line="240" w:lineRule="auto"/>
              <w:jc w:val="right"/>
              <w:rPr>
                <w:rFonts w:ascii="Times New Roman" w:eastAsia="Times New Roman" w:hAnsi="Times New Roman" w:cs="Times New Roman"/>
                <w:b/>
                <w:bCs/>
                <w:color w:val="000000"/>
                <w:sz w:val="24"/>
                <w:szCs w:val="24"/>
                <w:lang w:val="en-GB"/>
              </w:rPr>
            </w:pPr>
            <w:r w:rsidRPr="006218C3">
              <w:rPr>
                <w:rFonts w:ascii="Times New Roman" w:eastAsia="Times New Roman" w:hAnsi="Times New Roman" w:cs="Times New Roman"/>
                <w:b/>
                <w:bCs/>
                <w:color w:val="000000"/>
                <w:sz w:val="24"/>
                <w:szCs w:val="24"/>
                <w:lang w:val="en-GB"/>
              </w:rPr>
              <w:t>4.38</w:t>
            </w:r>
          </w:p>
        </w:tc>
      </w:tr>
    </w:tbl>
    <w:p w14:paraId="43019C15" w14:textId="77777777" w:rsidR="00B25456" w:rsidRPr="006218C3" w:rsidRDefault="00B25456" w:rsidP="004C4AFF">
      <w:pPr>
        <w:pStyle w:val="Normal1"/>
        <w:spacing w:before="200" w:after="200" w:line="360" w:lineRule="auto"/>
        <w:jc w:val="both"/>
        <w:rPr>
          <w:rFonts w:ascii="Times New Roman" w:eastAsia="Times New Roman" w:hAnsi="Times New Roman" w:cs="Times New Roman"/>
          <w:sz w:val="24"/>
          <w:szCs w:val="24"/>
          <w:highlight w:val="white"/>
          <w:lang w:val="en-GB"/>
        </w:rPr>
      </w:pPr>
    </w:p>
    <w:p w14:paraId="43019C16" w14:textId="77777777" w:rsidR="00B25456" w:rsidRPr="006218C3" w:rsidRDefault="00B25456" w:rsidP="004C4AFF">
      <w:pPr>
        <w:pStyle w:val="Normal1"/>
        <w:spacing w:before="200" w:after="200" w:line="360" w:lineRule="auto"/>
        <w:jc w:val="both"/>
        <w:rPr>
          <w:rFonts w:ascii="Times New Roman" w:hAnsi="Times New Roman" w:cs="Times New Roman"/>
          <w:sz w:val="20"/>
          <w:szCs w:val="20"/>
          <w:highlight w:val="white"/>
          <w:lang w:val="en-GB"/>
        </w:rPr>
      </w:pPr>
    </w:p>
    <w:p w14:paraId="43019C17" w14:textId="77777777" w:rsidR="00B25456" w:rsidRPr="006218C3" w:rsidRDefault="00B25456" w:rsidP="004C4AFF">
      <w:pPr>
        <w:pStyle w:val="Normal1"/>
        <w:spacing w:before="200" w:after="200" w:line="360" w:lineRule="auto"/>
        <w:jc w:val="both"/>
        <w:rPr>
          <w:rFonts w:ascii="Times New Roman" w:hAnsi="Times New Roman" w:cs="Times New Roman"/>
          <w:sz w:val="20"/>
          <w:szCs w:val="20"/>
          <w:highlight w:val="white"/>
          <w:lang w:val="en-GB"/>
        </w:rPr>
      </w:pPr>
    </w:p>
    <w:p w14:paraId="43019C18" w14:textId="77777777" w:rsidR="00B25456" w:rsidRPr="006218C3" w:rsidRDefault="00B25456" w:rsidP="004C4AFF">
      <w:pPr>
        <w:pStyle w:val="Normal1"/>
        <w:spacing w:before="200" w:after="200" w:line="360" w:lineRule="auto"/>
        <w:jc w:val="both"/>
        <w:rPr>
          <w:rFonts w:ascii="Times New Roman" w:hAnsi="Times New Roman" w:cs="Times New Roman"/>
          <w:sz w:val="20"/>
          <w:szCs w:val="20"/>
          <w:highlight w:val="white"/>
          <w:lang w:val="en-GB"/>
        </w:rPr>
      </w:pPr>
    </w:p>
    <w:sectPr w:rsidR="00B25456" w:rsidRPr="006218C3" w:rsidSect="00C52C44">
      <w:footerReference w:type="default" r:id="rId27"/>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726576" w14:textId="77777777" w:rsidR="00044E64" w:rsidRDefault="00044E64" w:rsidP="00C52C44">
      <w:pPr>
        <w:spacing w:line="240" w:lineRule="auto"/>
      </w:pPr>
      <w:r>
        <w:separator/>
      </w:r>
    </w:p>
  </w:endnote>
  <w:endnote w:type="continuationSeparator" w:id="0">
    <w:p w14:paraId="0D5FB0AA" w14:textId="77777777" w:rsidR="00044E64" w:rsidRDefault="00044E64" w:rsidP="00C52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47263"/>
      <w:docPartObj>
        <w:docPartGallery w:val="Page Numbers (Bottom of Page)"/>
        <w:docPartUnique/>
      </w:docPartObj>
    </w:sdtPr>
    <w:sdtEndPr/>
    <w:sdtContent>
      <w:p w14:paraId="43019C43" w14:textId="2686E072" w:rsidR="00C52C44" w:rsidRDefault="00050D4D">
        <w:pPr>
          <w:pStyle w:val="Footer"/>
          <w:jc w:val="right"/>
        </w:pPr>
        <w:r>
          <w:fldChar w:fldCharType="begin"/>
        </w:r>
        <w:r>
          <w:instrText xml:space="preserve"> PAGE   \* MERGEFORMAT </w:instrText>
        </w:r>
        <w:r>
          <w:fldChar w:fldCharType="separate"/>
        </w:r>
        <w:r w:rsidR="0031199A">
          <w:rPr>
            <w:noProof/>
          </w:rPr>
          <w:t>0</w:t>
        </w:r>
        <w:r>
          <w:rPr>
            <w:noProof/>
          </w:rPr>
          <w:fldChar w:fldCharType="end"/>
        </w:r>
      </w:p>
    </w:sdtContent>
  </w:sdt>
  <w:p w14:paraId="43019C44" w14:textId="77777777" w:rsidR="00C52C44" w:rsidRDefault="00C52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FA0924" w14:textId="77777777" w:rsidR="00044E64" w:rsidRDefault="00044E64" w:rsidP="00C52C44">
      <w:pPr>
        <w:spacing w:line="240" w:lineRule="auto"/>
      </w:pPr>
      <w:r>
        <w:separator/>
      </w:r>
    </w:p>
  </w:footnote>
  <w:footnote w:type="continuationSeparator" w:id="0">
    <w:p w14:paraId="33911E61" w14:textId="77777777" w:rsidR="00044E64" w:rsidRDefault="00044E64" w:rsidP="00C52C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67C17"/>
    <w:multiLevelType w:val="multilevel"/>
    <w:tmpl w:val="9C722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265CF6"/>
    <w:multiLevelType w:val="multilevel"/>
    <w:tmpl w:val="2CE4A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B85960"/>
    <w:multiLevelType w:val="multilevel"/>
    <w:tmpl w:val="E0E0A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B25456"/>
    <w:rsid w:val="00004438"/>
    <w:rsid w:val="00044E64"/>
    <w:rsid w:val="00050D4D"/>
    <w:rsid w:val="000819B1"/>
    <w:rsid w:val="000D68EF"/>
    <w:rsid w:val="000F6F65"/>
    <w:rsid w:val="001061B0"/>
    <w:rsid w:val="001165C7"/>
    <w:rsid w:val="001874D8"/>
    <w:rsid w:val="001C30B0"/>
    <w:rsid w:val="00214F6D"/>
    <w:rsid w:val="002D2653"/>
    <w:rsid w:val="0031199A"/>
    <w:rsid w:val="0031543D"/>
    <w:rsid w:val="00371477"/>
    <w:rsid w:val="00374517"/>
    <w:rsid w:val="003A57E9"/>
    <w:rsid w:val="003C10FD"/>
    <w:rsid w:val="00437B73"/>
    <w:rsid w:val="004476EA"/>
    <w:rsid w:val="004C4AFF"/>
    <w:rsid w:val="00584370"/>
    <w:rsid w:val="005D01B8"/>
    <w:rsid w:val="005D2771"/>
    <w:rsid w:val="006218C3"/>
    <w:rsid w:val="006C5D2A"/>
    <w:rsid w:val="006D0937"/>
    <w:rsid w:val="007001F9"/>
    <w:rsid w:val="00710EAC"/>
    <w:rsid w:val="00791926"/>
    <w:rsid w:val="007A5DAF"/>
    <w:rsid w:val="00800857"/>
    <w:rsid w:val="008A081E"/>
    <w:rsid w:val="0091617D"/>
    <w:rsid w:val="009902E7"/>
    <w:rsid w:val="009D0E51"/>
    <w:rsid w:val="009D617C"/>
    <w:rsid w:val="00A1465A"/>
    <w:rsid w:val="00A27C11"/>
    <w:rsid w:val="00A3548F"/>
    <w:rsid w:val="00AE2BE0"/>
    <w:rsid w:val="00B25456"/>
    <w:rsid w:val="00B606B8"/>
    <w:rsid w:val="00B95699"/>
    <w:rsid w:val="00BF7827"/>
    <w:rsid w:val="00C52C44"/>
    <w:rsid w:val="00C65384"/>
    <w:rsid w:val="00C92F8E"/>
    <w:rsid w:val="00D5556B"/>
    <w:rsid w:val="00D84E49"/>
    <w:rsid w:val="00DB43A5"/>
    <w:rsid w:val="00DB7BEF"/>
    <w:rsid w:val="00DC00E5"/>
    <w:rsid w:val="00DF5AD7"/>
    <w:rsid w:val="00E965E4"/>
    <w:rsid w:val="00F60F80"/>
    <w:rsid w:val="00F62F59"/>
    <w:rsid w:val="00FF2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019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2F59"/>
  </w:style>
  <w:style w:type="paragraph" w:styleId="Heading1">
    <w:name w:val="heading 1"/>
    <w:basedOn w:val="Normal1"/>
    <w:next w:val="Normal1"/>
    <w:qFormat/>
    <w:rsid w:val="00C52C44"/>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qFormat/>
    <w:rsid w:val="00B25456"/>
    <w:pPr>
      <w:keepNext/>
      <w:keepLines/>
      <w:spacing w:before="360" w:after="120"/>
      <w:outlineLvl w:val="1"/>
    </w:pPr>
    <w:rPr>
      <w:sz w:val="32"/>
      <w:szCs w:val="32"/>
    </w:rPr>
  </w:style>
  <w:style w:type="paragraph" w:styleId="Heading3">
    <w:name w:val="heading 3"/>
    <w:basedOn w:val="Normal1"/>
    <w:next w:val="Normal1"/>
    <w:rsid w:val="00B25456"/>
    <w:pPr>
      <w:keepNext/>
      <w:keepLines/>
      <w:spacing w:before="320" w:after="80"/>
      <w:outlineLvl w:val="2"/>
    </w:pPr>
    <w:rPr>
      <w:color w:val="434343"/>
      <w:sz w:val="28"/>
      <w:szCs w:val="28"/>
    </w:rPr>
  </w:style>
  <w:style w:type="paragraph" w:styleId="Heading4">
    <w:name w:val="heading 4"/>
    <w:basedOn w:val="Normal1"/>
    <w:next w:val="Normal1"/>
    <w:rsid w:val="00B25456"/>
    <w:pPr>
      <w:keepNext/>
      <w:keepLines/>
      <w:spacing w:before="280" w:after="80"/>
      <w:outlineLvl w:val="3"/>
    </w:pPr>
    <w:rPr>
      <w:color w:val="666666"/>
      <w:sz w:val="24"/>
      <w:szCs w:val="24"/>
    </w:rPr>
  </w:style>
  <w:style w:type="paragraph" w:styleId="Heading5">
    <w:name w:val="heading 5"/>
    <w:basedOn w:val="Normal1"/>
    <w:next w:val="Normal1"/>
    <w:rsid w:val="00B25456"/>
    <w:pPr>
      <w:keepNext/>
      <w:keepLines/>
      <w:spacing w:before="240" w:after="80"/>
      <w:outlineLvl w:val="4"/>
    </w:pPr>
    <w:rPr>
      <w:color w:val="666666"/>
    </w:rPr>
  </w:style>
  <w:style w:type="paragraph" w:styleId="Heading6">
    <w:name w:val="heading 6"/>
    <w:basedOn w:val="Normal1"/>
    <w:next w:val="Normal1"/>
    <w:rsid w:val="00B254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5456"/>
  </w:style>
  <w:style w:type="paragraph" w:styleId="Title">
    <w:name w:val="Title"/>
    <w:basedOn w:val="Normal1"/>
    <w:next w:val="Normal1"/>
    <w:rsid w:val="00B25456"/>
    <w:pPr>
      <w:keepNext/>
      <w:keepLines/>
      <w:spacing w:after="60"/>
    </w:pPr>
    <w:rPr>
      <w:sz w:val="52"/>
      <w:szCs w:val="52"/>
    </w:rPr>
  </w:style>
  <w:style w:type="paragraph" w:styleId="Subtitle">
    <w:name w:val="Subtitle"/>
    <w:basedOn w:val="Normal1"/>
    <w:next w:val="Normal1"/>
    <w:rsid w:val="00B25456"/>
    <w:pPr>
      <w:keepNext/>
      <w:keepLines/>
      <w:spacing w:after="320"/>
    </w:pPr>
    <w:rPr>
      <w:color w:val="666666"/>
      <w:sz w:val="30"/>
      <w:szCs w:val="30"/>
    </w:rPr>
  </w:style>
  <w:style w:type="table" w:customStyle="1" w:styleId="a">
    <w:basedOn w:val="TableNormal"/>
    <w:rsid w:val="00B25456"/>
    <w:tblPr>
      <w:tblStyleRowBandSize w:val="1"/>
      <w:tblStyleColBandSize w:val="1"/>
      <w:tblCellMar>
        <w:top w:w="100" w:type="dxa"/>
        <w:left w:w="100" w:type="dxa"/>
        <w:bottom w:w="100" w:type="dxa"/>
        <w:right w:w="100" w:type="dxa"/>
      </w:tblCellMar>
    </w:tblPr>
  </w:style>
  <w:style w:type="table" w:customStyle="1" w:styleId="a0">
    <w:basedOn w:val="TableNormal"/>
    <w:rsid w:val="00B25456"/>
    <w:tblPr>
      <w:tblStyleRowBandSize w:val="1"/>
      <w:tblStyleColBandSize w:val="1"/>
      <w:tblCellMar>
        <w:top w:w="100" w:type="dxa"/>
        <w:left w:w="100" w:type="dxa"/>
        <w:bottom w:w="100" w:type="dxa"/>
        <w:right w:w="100" w:type="dxa"/>
      </w:tblCellMar>
    </w:tblPr>
  </w:style>
  <w:style w:type="table" w:customStyle="1" w:styleId="a1">
    <w:basedOn w:val="TableNormal"/>
    <w:rsid w:val="00B25456"/>
    <w:tblPr>
      <w:tblStyleRowBandSize w:val="1"/>
      <w:tblStyleColBandSize w:val="1"/>
      <w:tblCellMar>
        <w:top w:w="100" w:type="dxa"/>
        <w:left w:w="100" w:type="dxa"/>
        <w:bottom w:w="100" w:type="dxa"/>
        <w:right w:w="100" w:type="dxa"/>
      </w:tblCellMar>
    </w:tblPr>
  </w:style>
  <w:style w:type="table" w:customStyle="1" w:styleId="a2">
    <w:basedOn w:val="TableNormal"/>
    <w:rsid w:val="00B25456"/>
    <w:tblPr>
      <w:tblStyleRowBandSize w:val="1"/>
      <w:tblStyleColBandSize w:val="1"/>
      <w:tblCellMar>
        <w:top w:w="100" w:type="dxa"/>
        <w:left w:w="100" w:type="dxa"/>
        <w:bottom w:w="100" w:type="dxa"/>
        <w:right w:w="100" w:type="dxa"/>
      </w:tblCellMar>
    </w:tblPr>
  </w:style>
  <w:style w:type="table" w:customStyle="1" w:styleId="a3">
    <w:basedOn w:val="TableNormal"/>
    <w:rsid w:val="00B25456"/>
    <w:tblPr>
      <w:tblStyleRowBandSize w:val="1"/>
      <w:tblStyleColBandSize w:val="1"/>
      <w:tblCellMar>
        <w:top w:w="100" w:type="dxa"/>
        <w:left w:w="100" w:type="dxa"/>
        <w:bottom w:w="100" w:type="dxa"/>
        <w:right w:w="100" w:type="dxa"/>
      </w:tblCellMar>
    </w:tblPr>
  </w:style>
  <w:style w:type="table" w:customStyle="1" w:styleId="a4">
    <w:basedOn w:val="TableNormal"/>
    <w:rsid w:val="00B2545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52C44"/>
    <w:pPr>
      <w:tabs>
        <w:tab w:val="center" w:pos="4680"/>
        <w:tab w:val="right" w:pos="9360"/>
      </w:tabs>
      <w:spacing w:line="240" w:lineRule="auto"/>
    </w:pPr>
  </w:style>
  <w:style w:type="character" w:customStyle="1" w:styleId="HeaderChar">
    <w:name w:val="Header Char"/>
    <w:basedOn w:val="DefaultParagraphFont"/>
    <w:link w:val="Header"/>
    <w:uiPriority w:val="99"/>
    <w:rsid w:val="00C52C44"/>
  </w:style>
  <w:style w:type="paragraph" w:styleId="Footer">
    <w:name w:val="footer"/>
    <w:basedOn w:val="Normal"/>
    <w:link w:val="FooterChar"/>
    <w:uiPriority w:val="99"/>
    <w:unhideWhenUsed/>
    <w:rsid w:val="00C52C44"/>
    <w:pPr>
      <w:tabs>
        <w:tab w:val="center" w:pos="4680"/>
        <w:tab w:val="right" w:pos="9360"/>
      </w:tabs>
      <w:spacing w:line="240" w:lineRule="auto"/>
    </w:pPr>
  </w:style>
  <w:style w:type="character" w:customStyle="1" w:styleId="FooterChar">
    <w:name w:val="Footer Char"/>
    <w:basedOn w:val="DefaultParagraphFont"/>
    <w:link w:val="Footer"/>
    <w:uiPriority w:val="99"/>
    <w:rsid w:val="00C52C44"/>
  </w:style>
  <w:style w:type="paragraph" w:styleId="TOC1">
    <w:name w:val="toc 1"/>
    <w:basedOn w:val="Normal"/>
    <w:next w:val="Normal"/>
    <w:autoRedefine/>
    <w:uiPriority w:val="39"/>
    <w:unhideWhenUsed/>
    <w:rsid w:val="0031543D"/>
    <w:pPr>
      <w:tabs>
        <w:tab w:val="right" w:leader="dot" w:pos="9350"/>
      </w:tabs>
      <w:spacing w:after="100" w:line="360" w:lineRule="auto"/>
      <w:jc w:val="both"/>
    </w:pPr>
  </w:style>
  <w:style w:type="character" w:styleId="Hyperlink">
    <w:name w:val="Hyperlink"/>
    <w:basedOn w:val="DefaultParagraphFont"/>
    <w:uiPriority w:val="99"/>
    <w:unhideWhenUsed/>
    <w:rsid w:val="00C52C44"/>
    <w:rPr>
      <w:color w:val="0000FF" w:themeColor="hyperlink"/>
      <w:u w:val="single"/>
    </w:rPr>
  </w:style>
  <w:style w:type="paragraph" w:styleId="BalloonText">
    <w:name w:val="Balloon Text"/>
    <w:basedOn w:val="Normal"/>
    <w:link w:val="BalloonTextChar"/>
    <w:uiPriority w:val="99"/>
    <w:semiHidden/>
    <w:unhideWhenUsed/>
    <w:rsid w:val="00437B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B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38670">
      <w:bodyDiv w:val="1"/>
      <w:marLeft w:val="0"/>
      <w:marRight w:val="0"/>
      <w:marTop w:val="0"/>
      <w:marBottom w:val="0"/>
      <w:divBdr>
        <w:top w:val="none" w:sz="0" w:space="0" w:color="auto"/>
        <w:left w:val="none" w:sz="0" w:space="0" w:color="auto"/>
        <w:bottom w:val="none" w:sz="0" w:space="0" w:color="auto"/>
        <w:right w:val="none" w:sz="0" w:space="0" w:color="auto"/>
      </w:divBdr>
    </w:div>
    <w:div w:id="196704869">
      <w:bodyDiv w:val="1"/>
      <w:marLeft w:val="0"/>
      <w:marRight w:val="0"/>
      <w:marTop w:val="0"/>
      <w:marBottom w:val="0"/>
      <w:divBdr>
        <w:top w:val="none" w:sz="0" w:space="0" w:color="auto"/>
        <w:left w:val="none" w:sz="0" w:space="0" w:color="auto"/>
        <w:bottom w:val="none" w:sz="0" w:space="0" w:color="auto"/>
        <w:right w:val="none" w:sz="0" w:space="0" w:color="auto"/>
      </w:divBdr>
    </w:div>
    <w:div w:id="242380173">
      <w:bodyDiv w:val="1"/>
      <w:marLeft w:val="0"/>
      <w:marRight w:val="0"/>
      <w:marTop w:val="0"/>
      <w:marBottom w:val="0"/>
      <w:divBdr>
        <w:top w:val="none" w:sz="0" w:space="0" w:color="auto"/>
        <w:left w:val="none" w:sz="0" w:space="0" w:color="auto"/>
        <w:bottom w:val="none" w:sz="0" w:space="0" w:color="auto"/>
        <w:right w:val="none" w:sz="0" w:space="0" w:color="auto"/>
      </w:divBdr>
    </w:div>
    <w:div w:id="618033478">
      <w:bodyDiv w:val="1"/>
      <w:marLeft w:val="0"/>
      <w:marRight w:val="0"/>
      <w:marTop w:val="0"/>
      <w:marBottom w:val="0"/>
      <w:divBdr>
        <w:top w:val="none" w:sz="0" w:space="0" w:color="auto"/>
        <w:left w:val="none" w:sz="0" w:space="0" w:color="auto"/>
        <w:bottom w:val="none" w:sz="0" w:space="0" w:color="auto"/>
        <w:right w:val="none" w:sz="0" w:space="0" w:color="auto"/>
      </w:divBdr>
    </w:div>
    <w:div w:id="1129980653">
      <w:bodyDiv w:val="1"/>
      <w:marLeft w:val="0"/>
      <w:marRight w:val="0"/>
      <w:marTop w:val="0"/>
      <w:marBottom w:val="0"/>
      <w:divBdr>
        <w:top w:val="none" w:sz="0" w:space="0" w:color="auto"/>
        <w:left w:val="none" w:sz="0" w:space="0" w:color="auto"/>
        <w:bottom w:val="none" w:sz="0" w:space="0" w:color="auto"/>
        <w:right w:val="none" w:sz="0" w:space="0" w:color="auto"/>
      </w:divBdr>
    </w:div>
    <w:div w:id="1347756200">
      <w:bodyDiv w:val="1"/>
      <w:marLeft w:val="0"/>
      <w:marRight w:val="0"/>
      <w:marTop w:val="0"/>
      <w:marBottom w:val="0"/>
      <w:divBdr>
        <w:top w:val="none" w:sz="0" w:space="0" w:color="auto"/>
        <w:left w:val="none" w:sz="0" w:space="0" w:color="auto"/>
        <w:bottom w:val="none" w:sz="0" w:space="0" w:color="auto"/>
        <w:right w:val="none" w:sz="0" w:space="0" w:color="auto"/>
      </w:divBdr>
    </w:div>
    <w:div w:id="1516112778">
      <w:bodyDiv w:val="1"/>
      <w:marLeft w:val="0"/>
      <w:marRight w:val="0"/>
      <w:marTop w:val="0"/>
      <w:marBottom w:val="0"/>
      <w:divBdr>
        <w:top w:val="none" w:sz="0" w:space="0" w:color="auto"/>
        <w:left w:val="none" w:sz="0" w:space="0" w:color="auto"/>
        <w:bottom w:val="none" w:sz="0" w:space="0" w:color="auto"/>
        <w:right w:val="none" w:sz="0" w:space="0" w:color="auto"/>
      </w:divBdr>
    </w:div>
    <w:div w:id="15945079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chart" Target="charts/chart19.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chart" Target="charts/chart18.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chart" Target="charts/chart17.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6.xm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D:\Nandan\23th%20Feb\NA-SK346\NA-SK346.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Sheet1!$A$7</c:f>
              <c:strCache>
                <c:ptCount val="1"/>
                <c:pt idx="0">
                  <c:v>Gross profit margin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Sheet1!$B$4:$C$4</c:f>
              <c:strCache>
                <c:ptCount val="2"/>
                <c:pt idx="0">
                  <c:v>2022, M</c:v>
                </c:pt>
                <c:pt idx="1">
                  <c:v>2021, M</c:v>
                </c:pt>
              </c:strCache>
            </c:strRef>
          </c:cat>
          <c:val>
            <c:numRef>
              <c:f>Sheet1!$B$7:$C$7</c:f>
              <c:numCache>
                <c:formatCode>0%</c:formatCode>
                <c:ptCount val="2"/>
                <c:pt idx="0">
                  <c:v>0.45058836970181665</c:v>
                </c:pt>
                <c:pt idx="1">
                  <c:v>0.3799823391492344</c:v>
                </c:pt>
              </c:numCache>
            </c:numRef>
          </c:val>
          <c:extLst>
            <c:ext xmlns:c16="http://schemas.microsoft.com/office/drawing/2014/chart" uri="{C3380CC4-5D6E-409C-BE32-E72D297353CC}">
              <c16:uniqueId val="{00000000-DAF9-40D0-BEF3-C18F6F89FD29}"/>
            </c:ext>
          </c:extLst>
        </c:ser>
        <c:dLbls>
          <c:showLegendKey val="0"/>
          <c:showVal val="0"/>
          <c:showCatName val="0"/>
          <c:showSerName val="0"/>
          <c:showPercent val="0"/>
          <c:showBubbleSize val="0"/>
        </c:dLbls>
        <c:gapWidth val="150"/>
        <c:shape val="box"/>
        <c:axId val="132491520"/>
        <c:axId val="133632000"/>
        <c:axId val="0"/>
      </c:bar3DChart>
      <c:catAx>
        <c:axId val="132491520"/>
        <c:scaling>
          <c:orientation val="minMax"/>
        </c:scaling>
        <c:delete val="0"/>
        <c:axPos val="b"/>
        <c:numFmt formatCode="General" sourceLinked="0"/>
        <c:majorTickMark val="out"/>
        <c:minorTickMark val="none"/>
        <c:tickLblPos val="nextTo"/>
        <c:crossAx val="133632000"/>
        <c:crosses val="autoZero"/>
        <c:auto val="1"/>
        <c:lblAlgn val="ctr"/>
        <c:lblOffset val="100"/>
        <c:noMultiLvlLbl val="0"/>
      </c:catAx>
      <c:valAx>
        <c:axId val="133632000"/>
        <c:scaling>
          <c:orientation val="minMax"/>
        </c:scaling>
        <c:delete val="0"/>
        <c:axPos val="l"/>
        <c:majorGridlines/>
        <c:numFmt formatCode="0%" sourceLinked="1"/>
        <c:majorTickMark val="out"/>
        <c:minorTickMark val="none"/>
        <c:tickLblPos val="nextTo"/>
        <c:crossAx val="13249152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Sheet1!$A$13</c:f>
              <c:strCache>
                <c:ptCount val="1"/>
                <c:pt idx="0">
                  <c:v>Operating profit margin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Sheet1!$B$10:$C$10</c:f>
              <c:strCache>
                <c:ptCount val="2"/>
                <c:pt idx="0">
                  <c:v>2022, M</c:v>
                </c:pt>
                <c:pt idx="1">
                  <c:v>2021, M</c:v>
                </c:pt>
              </c:strCache>
            </c:strRef>
          </c:cat>
          <c:val>
            <c:numRef>
              <c:f>Sheet1!$B$13:$C$13</c:f>
              <c:numCache>
                <c:formatCode>0%</c:formatCode>
                <c:ptCount val="2"/>
                <c:pt idx="0">
                  <c:v>0.20687764195133096</c:v>
                </c:pt>
                <c:pt idx="1">
                  <c:v>0.13534910630005176</c:v>
                </c:pt>
              </c:numCache>
            </c:numRef>
          </c:val>
          <c:extLst>
            <c:ext xmlns:c16="http://schemas.microsoft.com/office/drawing/2014/chart" uri="{C3380CC4-5D6E-409C-BE32-E72D297353CC}">
              <c16:uniqueId val="{00000000-09E9-410A-B526-8854AE54D353}"/>
            </c:ext>
          </c:extLst>
        </c:ser>
        <c:dLbls>
          <c:showLegendKey val="0"/>
          <c:showVal val="0"/>
          <c:showCatName val="0"/>
          <c:showSerName val="0"/>
          <c:showPercent val="0"/>
          <c:showBubbleSize val="0"/>
        </c:dLbls>
        <c:gapWidth val="150"/>
        <c:shape val="box"/>
        <c:axId val="134795648"/>
        <c:axId val="135094656"/>
        <c:axId val="0"/>
      </c:bar3DChart>
      <c:catAx>
        <c:axId val="134795648"/>
        <c:scaling>
          <c:orientation val="minMax"/>
        </c:scaling>
        <c:delete val="0"/>
        <c:axPos val="b"/>
        <c:numFmt formatCode="General" sourceLinked="0"/>
        <c:majorTickMark val="out"/>
        <c:minorTickMark val="none"/>
        <c:tickLblPos val="nextTo"/>
        <c:crossAx val="135094656"/>
        <c:crosses val="autoZero"/>
        <c:auto val="1"/>
        <c:lblAlgn val="ctr"/>
        <c:lblOffset val="100"/>
        <c:noMultiLvlLbl val="0"/>
      </c:catAx>
      <c:valAx>
        <c:axId val="135094656"/>
        <c:scaling>
          <c:orientation val="minMax"/>
        </c:scaling>
        <c:delete val="0"/>
        <c:axPos val="l"/>
        <c:majorGridlines/>
        <c:numFmt formatCode="0%" sourceLinked="1"/>
        <c:majorTickMark val="out"/>
        <c:minorTickMark val="none"/>
        <c:tickLblPos val="nextTo"/>
        <c:crossAx val="13479564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0.10836351706036747"/>
          <c:y val="7.4678365797716001E-2"/>
          <c:w val="0.60409623797025369"/>
          <c:h val="0.79787411578210488"/>
        </c:manualLayout>
      </c:layout>
      <c:bar3DChart>
        <c:barDir val="col"/>
        <c:grouping val="stacked"/>
        <c:varyColors val="0"/>
        <c:ser>
          <c:idx val="0"/>
          <c:order val="0"/>
          <c:tx>
            <c:strRef>
              <c:f>Sheet1!$A$19</c:f>
              <c:strCache>
                <c:ptCount val="1"/>
                <c:pt idx="0">
                  <c:v>Net profit margin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Sheet1!$B$16:$C$16</c:f>
              <c:strCache>
                <c:ptCount val="2"/>
                <c:pt idx="0">
                  <c:v>2022, M</c:v>
                </c:pt>
                <c:pt idx="1">
                  <c:v>2021, M</c:v>
                </c:pt>
              </c:strCache>
            </c:strRef>
          </c:cat>
          <c:val>
            <c:numRef>
              <c:f>Sheet1!$B$19:$C$19</c:f>
              <c:numCache>
                <c:formatCode>0%</c:formatCode>
                <c:ptCount val="2"/>
                <c:pt idx="0">
                  <c:v>0.15480406717696793</c:v>
                </c:pt>
                <c:pt idx="1">
                  <c:v>8.729941231996588E-2</c:v>
                </c:pt>
              </c:numCache>
            </c:numRef>
          </c:val>
          <c:extLst>
            <c:ext xmlns:c16="http://schemas.microsoft.com/office/drawing/2014/chart" uri="{C3380CC4-5D6E-409C-BE32-E72D297353CC}">
              <c16:uniqueId val="{00000000-70A4-4A76-B361-E06398D5294B}"/>
            </c:ext>
          </c:extLst>
        </c:ser>
        <c:dLbls>
          <c:showLegendKey val="0"/>
          <c:showVal val="0"/>
          <c:showCatName val="0"/>
          <c:showSerName val="0"/>
          <c:showPercent val="0"/>
          <c:showBubbleSize val="0"/>
        </c:dLbls>
        <c:gapWidth val="150"/>
        <c:shape val="box"/>
        <c:axId val="137671040"/>
        <c:axId val="137687040"/>
        <c:axId val="0"/>
      </c:bar3DChart>
      <c:catAx>
        <c:axId val="137671040"/>
        <c:scaling>
          <c:orientation val="minMax"/>
        </c:scaling>
        <c:delete val="0"/>
        <c:axPos val="b"/>
        <c:numFmt formatCode="General" sourceLinked="0"/>
        <c:majorTickMark val="out"/>
        <c:minorTickMark val="none"/>
        <c:tickLblPos val="nextTo"/>
        <c:crossAx val="137687040"/>
        <c:crosses val="autoZero"/>
        <c:auto val="1"/>
        <c:lblAlgn val="ctr"/>
        <c:lblOffset val="100"/>
        <c:noMultiLvlLbl val="0"/>
      </c:catAx>
      <c:valAx>
        <c:axId val="137687040"/>
        <c:scaling>
          <c:orientation val="minMax"/>
        </c:scaling>
        <c:delete val="0"/>
        <c:axPos val="l"/>
        <c:majorGridlines/>
        <c:numFmt formatCode="0%" sourceLinked="1"/>
        <c:majorTickMark val="out"/>
        <c:minorTickMark val="none"/>
        <c:tickLblPos val="nextTo"/>
        <c:crossAx val="13767104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0.10454396325459317"/>
          <c:y val="7.4678338527291818E-2"/>
          <c:w val="0.69387401574803165"/>
          <c:h val="0.7978741895927528"/>
        </c:manualLayout>
      </c:layout>
      <c:bar3DChart>
        <c:barDir val="col"/>
        <c:grouping val="percentStacked"/>
        <c:varyColors val="0"/>
        <c:ser>
          <c:idx val="0"/>
          <c:order val="0"/>
          <c:tx>
            <c:strRef>
              <c:f>Sheet1!$A$25</c:f>
              <c:strCache>
                <c:ptCount val="1"/>
                <c:pt idx="0">
                  <c:v>ROA</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Sheet1!$B$22:$C$22</c:f>
              <c:strCache>
                <c:ptCount val="2"/>
                <c:pt idx="0">
                  <c:v>2022, M</c:v>
                </c:pt>
                <c:pt idx="1">
                  <c:v>2021, M</c:v>
                </c:pt>
              </c:strCache>
            </c:strRef>
          </c:cat>
          <c:val>
            <c:numRef>
              <c:f>Sheet1!$B$25:$C$25</c:f>
              <c:numCache>
                <c:formatCode>0%</c:formatCode>
                <c:ptCount val="2"/>
                <c:pt idx="0">
                  <c:v>0.17014917876337338</c:v>
                </c:pt>
                <c:pt idx="1">
                  <c:v>7.6290580095795632E-2</c:v>
                </c:pt>
              </c:numCache>
            </c:numRef>
          </c:val>
          <c:extLst>
            <c:ext xmlns:c16="http://schemas.microsoft.com/office/drawing/2014/chart" uri="{C3380CC4-5D6E-409C-BE32-E72D297353CC}">
              <c16:uniqueId val="{00000000-B839-41DC-B993-F6A3ED9348DC}"/>
            </c:ext>
          </c:extLst>
        </c:ser>
        <c:dLbls>
          <c:showLegendKey val="0"/>
          <c:showVal val="0"/>
          <c:showCatName val="0"/>
          <c:showSerName val="0"/>
          <c:showPercent val="0"/>
          <c:showBubbleSize val="0"/>
        </c:dLbls>
        <c:gapWidth val="150"/>
        <c:shape val="box"/>
        <c:axId val="137880704"/>
        <c:axId val="137882624"/>
        <c:axId val="0"/>
      </c:bar3DChart>
      <c:catAx>
        <c:axId val="137880704"/>
        <c:scaling>
          <c:orientation val="minMax"/>
        </c:scaling>
        <c:delete val="0"/>
        <c:axPos val="b"/>
        <c:numFmt formatCode="General" sourceLinked="0"/>
        <c:majorTickMark val="out"/>
        <c:minorTickMark val="none"/>
        <c:tickLblPos val="nextTo"/>
        <c:crossAx val="137882624"/>
        <c:crosses val="autoZero"/>
        <c:auto val="1"/>
        <c:lblAlgn val="ctr"/>
        <c:lblOffset val="100"/>
        <c:noMultiLvlLbl val="0"/>
      </c:catAx>
      <c:valAx>
        <c:axId val="137882624"/>
        <c:scaling>
          <c:orientation val="minMax"/>
        </c:scaling>
        <c:delete val="0"/>
        <c:axPos val="l"/>
        <c:majorGridlines/>
        <c:numFmt formatCode="0%" sourceLinked="1"/>
        <c:majorTickMark val="out"/>
        <c:minorTickMark val="none"/>
        <c:tickLblPos val="nextTo"/>
        <c:crossAx val="137880704"/>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Sheet1!$A$33</c:f>
              <c:strCache>
                <c:ptCount val="1"/>
                <c:pt idx="0">
                  <c:v>ROCE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Sheet1!$B$28:$C$28</c:f>
              <c:strCache>
                <c:ptCount val="2"/>
                <c:pt idx="0">
                  <c:v>2022, M</c:v>
                </c:pt>
                <c:pt idx="1">
                  <c:v>2021, M</c:v>
                </c:pt>
              </c:strCache>
            </c:strRef>
          </c:cat>
          <c:val>
            <c:numRef>
              <c:f>Sheet1!$B$33:$C$33</c:f>
              <c:numCache>
                <c:formatCode>0%</c:formatCode>
                <c:ptCount val="2"/>
                <c:pt idx="0">
                  <c:v>0.32642318924180702</c:v>
                </c:pt>
                <c:pt idx="1">
                  <c:v>0.17355146025300638</c:v>
                </c:pt>
              </c:numCache>
            </c:numRef>
          </c:val>
          <c:extLst>
            <c:ext xmlns:c16="http://schemas.microsoft.com/office/drawing/2014/chart" uri="{C3380CC4-5D6E-409C-BE32-E72D297353CC}">
              <c16:uniqueId val="{00000000-E3E0-462C-9212-FC5A266534DF}"/>
            </c:ext>
          </c:extLst>
        </c:ser>
        <c:dLbls>
          <c:showLegendKey val="0"/>
          <c:showVal val="0"/>
          <c:showCatName val="0"/>
          <c:showSerName val="0"/>
          <c:showPercent val="0"/>
          <c:showBubbleSize val="0"/>
        </c:dLbls>
        <c:gapWidth val="150"/>
        <c:shape val="box"/>
        <c:axId val="137992832"/>
        <c:axId val="139072256"/>
        <c:axId val="0"/>
      </c:bar3DChart>
      <c:catAx>
        <c:axId val="137992832"/>
        <c:scaling>
          <c:orientation val="minMax"/>
        </c:scaling>
        <c:delete val="0"/>
        <c:axPos val="b"/>
        <c:numFmt formatCode="General" sourceLinked="0"/>
        <c:majorTickMark val="out"/>
        <c:minorTickMark val="none"/>
        <c:tickLblPos val="nextTo"/>
        <c:crossAx val="139072256"/>
        <c:crosses val="autoZero"/>
        <c:auto val="1"/>
        <c:lblAlgn val="ctr"/>
        <c:lblOffset val="100"/>
        <c:noMultiLvlLbl val="0"/>
      </c:catAx>
      <c:valAx>
        <c:axId val="139072256"/>
        <c:scaling>
          <c:orientation val="minMax"/>
        </c:scaling>
        <c:delete val="0"/>
        <c:axPos val="l"/>
        <c:majorGridlines/>
        <c:numFmt formatCode="0%" sourceLinked="1"/>
        <c:majorTickMark val="out"/>
        <c:minorTickMark val="none"/>
        <c:tickLblPos val="nextTo"/>
        <c:crossAx val="13799283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Sheet1!$A$39</c:f>
              <c:strCache>
                <c:ptCount val="1"/>
                <c:pt idx="0">
                  <c:v>ROE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Sheet1!$B$36:$C$36</c:f>
              <c:strCache>
                <c:ptCount val="2"/>
                <c:pt idx="0">
                  <c:v>2022, M</c:v>
                </c:pt>
                <c:pt idx="1">
                  <c:v>2021, M</c:v>
                </c:pt>
              </c:strCache>
            </c:strRef>
          </c:cat>
          <c:val>
            <c:numRef>
              <c:f>Sheet1!$B$39:$C$39</c:f>
              <c:numCache>
                <c:formatCode>0%</c:formatCode>
                <c:ptCount val="2"/>
                <c:pt idx="0">
                  <c:v>0.67079207920792083</c:v>
                </c:pt>
                <c:pt idx="1">
                  <c:v>0.4338023906793767</c:v>
                </c:pt>
              </c:numCache>
            </c:numRef>
          </c:val>
          <c:extLst>
            <c:ext xmlns:c16="http://schemas.microsoft.com/office/drawing/2014/chart" uri="{C3380CC4-5D6E-409C-BE32-E72D297353CC}">
              <c16:uniqueId val="{00000000-5BD5-4AB8-AF9C-C060A209D661}"/>
            </c:ext>
          </c:extLst>
        </c:ser>
        <c:dLbls>
          <c:showLegendKey val="0"/>
          <c:showVal val="0"/>
          <c:showCatName val="0"/>
          <c:showSerName val="0"/>
          <c:showPercent val="0"/>
          <c:showBubbleSize val="0"/>
        </c:dLbls>
        <c:gapWidth val="150"/>
        <c:shape val="box"/>
        <c:axId val="139276672"/>
        <c:axId val="139278592"/>
        <c:axId val="105875200"/>
      </c:bar3DChart>
      <c:catAx>
        <c:axId val="139276672"/>
        <c:scaling>
          <c:orientation val="minMax"/>
        </c:scaling>
        <c:delete val="0"/>
        <c:axPos val="b"/>
        <c:numFmt formatCode="General" sourceLinked="0"/>
        <c:majorTickMark val="out"/>
        <c:minorTickMark val="none"/>
        <c:tickLblPos val="nextTo"/>
        <c:crossAx val="139278592"/>
        <c:crosses val="autoZero"/>
        <c:auto val="1"/>
        <c:lblAlgn val="ctr"/>
        <c:lblOffset val="100"/>
        <c:noMultiLvlLbl val="0"/>
      </c:catAx>
      <c:valAx>
        <c:axId val="139278592"/>
        <c:scaling>
          <c:orientation val="minMax"/>
        </c:scaling>
        <c:delete val="0"/>
        <c:axPos val="l"/>
        <c:majorGridlines/>
        <c:numFmt formatCode="0%" sourceLinked="1"/>
        <c:majorTickMark val="out"/>
        <c:minorTickMark val="none"/>
        <c:tickLblPos val="nextTo"/>
        <c:crossAx val="139276672"/>
        <c:crosses val="autoZero"/>
        <c:crossBetween val="between"/>
      </c:valAx>
      <c:serAx>
        <c:axId val="105875200"/>
        <c:scaling>
          <c:orientation val="minMax"/>
        </c:scaling>
        <c:delete val="0"/>
        <c:axPos val="b"/>
        <c:majorTickMark val="out"/>
        <c:minorTickMark val="none"/>
        <c:tickLblPos val="nextTo"/>
        <c:crossAx val="139278592"/>
        <c:crosses val="autoZero"/>
      </c:ser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Sheet1!$E$6</c:f>
              <c:strCache>
                <c:ptCount val="1"/>
                <c:pt idx="0">
                  <c:v>Current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Sheet1!$F$3:$G$3</c:f>
              <c:strCache>
                <c:ptCount val="2"/>
                <c:pt idx="0">
                  <c:v>2022, M</c:v>
                </c:pt>
                <c:pt idx="1">
                  <c:v>2021, M</c:v>
                </c:pt>
              </c:strCache>
            </c:strRef>
          </c:cat>
          <c:val>
            <c:numRef>
              <c:f>Sheet1!$F$6:$G$6</c:f>
              <c:numCache>
                <c:formatCode>0.00</c:formatCode>
                <c:ptCount val="2"/>
                <c:pt idx="0">
                  <c:v>1.9925502855723864</c:v>
                </c:pt>
                <c:pt idx="1">
                  <c:v>1.9122660427807487</c:v>
                </c:pt>
              </c:numCache>
            </c:numRef>
          </c:val>
          <c:extLst>
            <c:ext xmlns:c16="http://schemas.microsoft.com/office/drawing/2014/chart" uri="{C3380CC4-5D6E-409C-BE32-E72D297353CC}">
              <c16:uniqueId val="{00000000-A522-41E1-8729-7EFC190F93E2}"/>
            </c:ext>
          </c:extLst>
        </c:ser>
        <c:dLbls>
          <c:showLegendKey val="0"/>
          <c:showVal val="0"/>
          <c:showCatName val="0"/>
          <c:showSerName val="0"/>
          <c:showPercent val="0"/>
          <c:showBubbleSize val="0"/>
        </c:dLbls>
        <c:gapWidth val="150"/>
        <c:shape val="cylinder"/>
        <c:axId val="141370880"/>
        <c:axId val="141372416"/>
        <c:axId val="0"/>
      </c:bar3DChart>
      <c:catAx>
        <c:axId val="141370880"/>
        <c:scaling>
          <c:orientation val="minMax"/>
        </c:scaling>
        <c:delete val="0"/>
        <c:axPos val="b"/>
        <c:numFmt formatCode="General" sourceLinked="0"/>
        <c:majorTickMark val="out"/>
        <c:minorTickMark val="none"/>
        <c:tickLblPos val="nextTo"/>
        <c:crossAx val="141372416"/>
        <c:crosses val="autoZero"/>
        <c:auto val="1"/>
        <c:lblAlgn val="ctr"/>
        <c:lblOffset val="100"/>
        <c:noMultiLvlLbl val="0"/>
      </c:catAx>
      <c:valAx>
        <c:axId val="141372416"/>
        <c:scaling>
          <c:orientation val="minMax"/>
        </c:scaling>
        <c:delete val="0"/>
        <c:axPos val="l"/>
        <c:majorGridlines/>
        <c:numFmt formatCode="0.00" sourceLinked="1"/>
        <c:majorTickMark val="out"/>
        <c:minorTickMark val="none"/>
        <c:tickLblPos val="nextTo"/>
        <c:crossAx val="141370880"/>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Sheet1!$E$14</c:f>
              <c:strCache>
                <c:ptCount val="1"/>
                <c:pt idx="0">
                  <c:v>Quick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Sheet1!$F$9:$G$9</c:f>
              <c:strCache>
                <c:ptCount val="2"/>
                <c:pt idx="0">
                  <c:v>2022, M</c:v>
                </c:pt>
                <c:pt idx="1">
                  <c:v>2021, M</c:v>
                </c:pt>
              </c:strCache>
            </c:strRef>
          </c:cat>
          <c:val>
            <c:numRef>
              <c:f>Sheet1!$F$14:$G$14</c:f>
              <c:numCache>
                <c:formatCode>0.00</c:formatCode>
                <c:ptCount val="2"/>
                <c:pt idx="0">
                  <c:v>1.4685870374968961</c:v>
                </c:pt>
                <c:pt idx="1">
                  <c:v>1.4636530748663101</c:v>
                </c:pt>
              </c:numCache>
            </c:numRef>
          </c:val>
          <c:extLst>
            <c:ext xmlns:c16="http://schemas.microsoft.com/office/drawing/2014/chart" uri="{C3380CC4-5D6E-409C-BE32-E72D297353CC}">
              <c16:uniqueId val="{00000000-F9AD-4A68-A884-65D47142B8D9}"/>
            </c:ext>
          </c:extLst>
        </c:ser>
        <c:dLbls>
          <c:showLegendKey val="0"/>
          <c:showVal val="0"/>
          <c:showCatName val="0"/>
          <c:showSerName val="0"/>
          <c:showPercent val="0"/>
          <c:showBubbleSize val="0"/>
        </c:dLbls>
        <c:gapWidth val="150"/>
        <c:shape val="cylinder"/>
        <c:axId val="141869440"/>
        <c:axId val="141870976"/>
        <c:axId val="0"/>
      </c:bar3DChart>
      <c:catAx>
        <c:axId val="141869440"/>
        <c:scaling>
          <c:orientation val="minMax"/>
        </c:scaling>
        <c:delete val="0"/>
        <c:axPos val="b"/>
        <c:numFmt formatCode="General" sourceLinked="0"/>
        <c:majorTickMark val="out"/>
        <c:minorTickMark val="none"/>
        <c:tickLblPos val="nextTo"/>
        <c:crossAx val="141870976"/>
        <c:crosses val="autoZero"/>
        <c:auto val="1"/>
        <c:lblAlgn val="ctr"/>
        <c:lblOffset val="100"/>
        <c:noMultiLvlLbl val="0"/>
      </c:catAx>
      <c:valAx>
        <c:axId val="141870976"/>
        <c:scaling>
          <c:orientation val="minMax"/>
        </c:scaling>
        <c:delete val="0"/>
        <c:axPos val="l"/>
        <c:majorGridlines/>
        <c:numFmt formatCode="0%" sourceLinked="1"/>
        <c:majorTickMark val="out"/>
        <c:minorTickMark val="none"/>
        <c:tickLblPos val="nextTo"/>
        <c:crossAx val="141869440"/>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1"/>
          <c:order val="0"/>
          <c:tx>
            <c:strRef>
              <c:f>Sheet1!$E$20</c:f>
              <c:strCache>
                <c:ptCount val="1"/>
                <c:pt idx="0">
                  <c:v>Cash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Sheet1!$F$17:$G$17</c:f>
              <c:strCache>
                <c:ptCount val="2"/>
                <c:pt idx="0">
                  <c:v>2022, M</c:v>
                </c:pt>
                <c:pt idx="1">
                  <c:v>2021, M</c:v>
                </c:pt>
              </c:strCache>
            </c:strRef>
          </c:cat>
          <c:val>
            <c:numRef>
              <c:f>Sheet1!$F$20:$G$20</c:f>
              <c:numCache>
                <c:formatCode>0.00</c:formatCode>
                <c:ptCount val="2"/>
                <c:pt idx="0">
                  <c:v>0.35841403857296589</c:v>
                </c:pt>
                <c:pt idx="1">
                  <c:v>0.508188502673797</c:v>
                </c:pt>
              </c:numCache>
            </c:numRef>
          </c:val>
          <c:extLst>
            <c:ext xmlns:c16="http://schemas.microsoft.com/office/drawing/2014/chart" uri="{C3380CC4-5D6E-409C-BE32-E72D297353CC}">
              <c16:uniqueId val="{00000000-2907-4248-ACB6-0A56A069F076}"/>
            </c:ext>
          </c:extLst>
        </c:ser>
        <c:dLbls>
          <c:showLegendKey val="0"/>
          <c:showVal val="0"/>
          <c:showCatName val="0"/>
          <c:showSerName val="0"/>
          <c:showPercent val="0"/>
          <c:showBubbleSize val="0"/>
        </c:dLbls>
        <c:gapWidth val="150"/>
        <c:shape val="cylinder"/>
        <c:axId val="109322240"/>
        <c:axId val="109323776"/>
        <c:axId val="0"/>
      </c:bar3DChart>
      <c:catAx>
        <c:axId val="109322240"/>
        <c:scaling>
          <c:orientation val="minMax"/>
        </c:scaling>
        <c:delete val="0"/>
        <c:axPos val="b"/>
        <c:numFmt formatCode="General" sourceLinked="0"/>
        <c:majorTickMark val="out"/>
        <c:minorTickMark val="none"/>
        <c:tickLblPos val="nextTo"/>
        <c:crossAx val="109323776"/>
        <c:crosses val="autoZero"/>
        <c:auto val="1"/>
        <c:lblAlgn val="ctr"/>
        <c:lblOffset val="100"/>
        <c:noMultiLvlLbl val="0"/>
      </c:catAx>
      <c:valAx>
        <c:axId val="109323776"/>
        <c:scaling>
          <c:orientation val="minMax"/>
        </c:scaling>
        <c:delete val="0"/>
        <c:axPos val="l"/>
        <c:majorGridlines/>
        <c:numFmt formatCode="0.00" sourceLinked="1"/>
        <c:majorTickMark val="out"/>
        <c:minorTickMark val="none"/>
        <c:tickLblPos val="nextTo"/>
        <c:crossAx val="109322240"/>
        <c:crosses val="autoZero"/>
        <c:crossBetween val="between"/>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Sheet1!$I$6</c:f>
              <c:strCache>
                <c:ptCount val="1"/>
                <c:pt idx="0">
                  <c:v>Account receivable turnover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Sheet1!$J$3:$K$3</c:f>
              <c:strCache>
                <c:ptCount val="2"/>
                <c:pt idx="0">
                  <c:v>2022, M</c:v>
                </c:pt>
                <c:pt idx="1">
                  <c:v>2021, M</c:v>
                </c:pt>
              </c:strCache>
            </c:strRef>
          </c:cat>
          <c:val>
            <c:numRef>
              <c:f>Sheet1!$J$6:$K$6</c:f>
              <c:numCache>
                <c:formatCode>0.00</c:formatCode>
                <c:ptCount val="2"/>
                <c:pt idx="0">
                  <c:v>3.6638760987861034</c:v>
                </c:pt>
                <c:pt idx="1">
                  <c:v>2.7103243377073545</c:v>
                </c:pt>
              </c:numCache>
            </c:numRef>
          </c:val>
          <c:extLst>
            <c:ext xmlns:c16="http://schemas.microsoft.com/office/drawing/2014/chart" uri="{C3380CC4-5D6E-409C-BE32-E72D297353CC}">
              <c16:uniqueId val="{00000000-1079-451F-8D83-35BD3EA8A3F6}"/>
            </c:ext>
          </c:extLst>
        </c:ser>
        <c:ser>
          <c:idx val="1"/>
          <c:order val="1"/>
          <c:tx>
            <c:strRef>
              <c:f>Sheet1!$I$7</c:f>
              <c:strCache>
                <c:ptCount val="1"/>
                <c:pt idx="0">
                  <c:v>Account receivable in days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Sheet1!$J$3:$K$3</c:f>
              <c:strCache>
                <c:ptCount val="2"/>
                <c:pt idx="0">
                  <c:v>2022, M</c:v>
                </c:pt>
                <c:pt idx="1">
                  <c:v>2021, M</c:v>
                </c:pt>
              </c:strCache>
            </c:strRef>
          </c:cat>
          <c:val>
            <c:numRef>
              <c:f>Sheet1!$J$7:$K$7</c:f>
              <c:numCache>
                <c:formatCode>0</c:formatCode>
                <c:ptCount val="2"/>
                <c:pt idx="0">
                  <c:v>99.621272706500605</c:v>
                </c:pt>
                <c:pt idx="1">
                  <c:v>134.67022928656252</c:v>
                </c:pt>
              </c:numCache>
            </c:numRef>
          </c:val>
          <c:extLst>
            <c:ext xmlns:c16="http://schemas.microsoft.com/office/drawing/2014/chart" uri="{C3380CC4-5D6E-409C-BE32-E72D297353CC}">
              <c16:uniqueId val="{00000001-1079-451F-8D83-35BD3EA8A3F6}"/>
            </c:ext>
          </c:extLst>
        </c:ser>
        <c:dLbls>
          <c:showLegendKey val="0"/>
          <c:showVal val="0"/>
          <c:showCatName val="0"/>
          <c:showSerName val="0"/>
          <c:showPercent val="0"/>
          <c:showBubbleSize val="0"/>
        </c:dLbls>
        <c:gapWidth val="150"/>
        <c:shape val="box"/>
        <c:axId val="109333504"/>
        <c:axId val="109335296"/>
        <c:axId val="0"/>
      </c:bar3DChart>
      <c:catAx>
        <c:axId val="109333504"/>
        <c:scaling>
          <c:orientation val="minMax"/>
        </c:scaling>
        <c:delete val="0"/>
        <c:axPos val="b"/>
        <c:numFmt formatCode="General" sourceLinked="0"/>
        <c:majorTickMark val="out"/>
        <c:minorTickMark val="none"/>
        <c:tickLblPos val="nextTo"/>
        <c:crossAx val="109335296"/>
        <c:crosses val="autoZero"/>
        <c:auto val="1"/>
        <c:lblAlgn val="ctr"/>
        <c:lblOffset val="100"/>
        <c:noMultiLvlLbl val="0"/>
      </c:catAx>
      <c:valAx>
        <c:axId val="109335296"/>
        <c:scaling>
          <c:orientation val="minMax"/>
        </c:scaling>
        <c:delete val="0"/>
        <c:axPos val="l"/>
        <c:majorGridlines/>
        <c:numFmt formatCode="0.00" sourceLinked="1"/>
        <c:majorTickMark val="out"/>
        <c:minorTickMark val="none"/>
        <c:tickLblPos val="nextTo"/>
        <c:crossAx val="109333504"/>
        <c:crosses val="autoZero"/>
        <c:crossBetween val="between"/>
      </c:valAx>
    </c:plotArea>
    <c:legend>
      <c:legendPos val="r"/>
      <c:layout>
        <c:manualLayout>
          <c:xMode val="edge"/>
          <c:yMode val="edge"/>
          <c:x val="0.69382086614173277"/>
          <c:y val="0.28087518537034128"/>
          <c:w val="0.28951246719160156"/>
          <c:h val="0.27979902404181634"/>
        </c:manualLayout>
      </c:layout>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Sheet1!$I$13</c:f>
              <c:strCache>
                <c:ptCount val="1"/>
                <c:pt idx="0">
                  <c:v>Account payable turnover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Sheet1!$J$10:$K$10</c:f>
              <c:strCache>
                <c:ptCount val="2"/>
                <c:pt idx="0">
                  <c:v>2022, M</c:v>
                </c:pt>
                <c:pt idx="1">
                  <c:v>2021, M</c:v>
                </c:pt>
              </c:strCache>
            </c:strRef>
          </c:cat>
          <c:val>
            <c:numRef>
              <c:f>Sheet1!$J$13:$K$13</c:f>
              <c:numCache>
                <c:formatCode>0.00</c:formatCode>
                <c:ptCount val="2"/>
                <c:pt idx="0">
                  <c:v>4.0206840511191544</c:v>
                </c:pt>
                <c:pt idx="1">
                  <c:v>3.9065632354222961</c:v>
                </c:pt>
              </c:numCache>
            </c:numRef>
          </c:val>
          <c:extLst>
            <c:ext xmlns:c16="http://schemas.microsoft.com/office/drawing/2014/chart" uri="{C3380CC4-5D6E-409C-BE32-E72D297353CC}">
              <c16:uniqueId val="{00000000-0EE9-4CE8-82F0-0AD5CE18628F}"/>
            </c:ext>
          </c:extLst>
        </c:ser>
        <c:ser>
          <c:idx val="1"/>
          <c:order val="1"/>
          <c:tx>
            <c:strRef>
              <c:f>Sheet1!$I$14</c:f>
              <c:strCache>
                <c:ptCount val="1"/>
                <c:pt idx="0">
                  <c:v>Account payable in days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Sheet1!$J$10:$K$10</c:f>
              <c:strCache>
                <c:ptCount val="2"/>
                <c:pt idx="0">
                  <c:v>2022, M</c:v>
                </c:pt>
                <c:pt idx="1">
                  <c:v>2021, M</c:v>
                </c:pt>
              </c:strCache>
            </c:strRef>
          </c:cat>
          <c:val>
            <c:numRef>
              <c:f>Sheet1!$J$14:$K$14</c:f>
              <c:numCache>
                <c:formatCode>0</c:formatCode>
                <c:ptCount val="2"/>
                <c:pt idx="0">
                  <c:v>90.780572499448809</c:v>
                </c:pt>
                <c:pt idx="1">
                  <c:v>93.432507809013828</c:v>
                </c:pt>
              </c:numCache>
            </c:numRef>
          </c:val>
          <c:extLst>
            <c:ext xmlns:c16="http://schemas.microsoft.com/office/drawing/2014/chart" uri="{C3380CC4-5D6E-409C-BE32-E72D297353CC}">
              <c16:uniqueId val="{00000001-0EE9-4CE8-82F0-0AD5CE18628F}"/>
            </c:ext>
          </c:extLst>
        </c:ser>
        <c:dLbls>
          <c:showLegendKey val="0"/>
          <c:showVal val="0"/>
          <c:showCatName val="0"/>
          <c:showSerName val="0"/>
          <c:showPercent val="0"/>
          <c:showBubbleSize val="0"/>
        </c:dLbls>
        <c:gapWidth val="150"/>
        <c:shape val="box"/>
        <c:axId val="109352832"/>
        <c:axId val="109354368"/>
        <c:axId val="0"/>
      </c:bar3DChart>
      <c:catAx>
        <c:axId val="109352832"/>
        <c:scaling>
          <c:orientation val="minMax"/>
        </c:scaling>
        <c:delete val="0"/>
        <c:axPos val="b"/>
        <c:numFmt formatCode="General" sourceLinked="0"/>
        <c:majorTickMark val="out"/>
        <c:minorTickMark val="none"/>
        <c:tickLblPos val="nextTo"/>
        <c:crossAx val="109354368"/>
        <c:crosses val="autoZero"/>
        <c:auto val="1"/>
        <c:lblAlgn val="ctr"/>
        <c:lblOffset val="100"/>
        <c:noMultiLvlLbl val="0"/>
      </c:catAx>
      <c:valAx>
        <c:axId val="109354368"/>
        <c:scaling>
          <c:orientation val="minMax"/>
        </c:scaling>
        <c:delete val="0"/>
        <c:axPos val="l"/>
        <c:majorGridlines/>
        <c:numFmt formatCode="0.00" sourceLinked="1"/>
        <c:majorTickMark val="out"/>
        <c:minorTickMark val="none"/>
        <c:tickLblPos val="nextTo"/>
        <c:crossAx val="109352832"/>
        <c:crosses val="autoZero"/>
        <c:crossBetween val="between"/>
      </c:valAx>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Sheet1!$I$20</c:f>
              <c:strCache>
                <c:ptCount val="1"/>
                <c:pt idx="0">
                  <c:v>ATR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Sheet1!$J$17:$K$17</c:f>
              <c:strCache>
                <c:ptCount val="2"/>
                <c:pt idx="0">
                  <c:v>2022, M</c:v>
                </c:pt>
                <c:pt idx="1">
                  <c:v>2021, M</c:v>
                </c:pt>
              </c:strCache>
            </c:strRef>
          </c:cat>
          <c:val>
            <c:numRef>
              <c:f>Sheet1!$J$20:$K$20</c:f>
              <c:numCache>
                <c:formatCode>0.00</c:formatCode>
                <c:ptCount val="2"/>
                <c:pt idx="0">
                  <c:v>1.1309077753947132</c:v>
                </c:pt>
                <c:pt idx="1">
                  <c:v>0.88385612207823649</c:v>
                </c:pt>
              </c:numCache>
            </c:numRef>
          </c:val>
          <c:extLst>
            <c:ext xmlns:c16="http://schemas.microsoft.com/office/drawing/2014/chart" uri="{C3380CC4-5D6E-409C-BE32-E72D297353CC}">
              <c16:uniqueId val="{00000000-1A61-4ECF-8C42-A6D0F5EC2F9B}"/>
            </c:ext>
          </c:extLst>
        </c:ser>
        <c:dLbls>
          <c:showLegendKey val="0"/>
          <c:showVal val="0"/>
          <c:showCatName val="0"/>
          <c:showSerName val="0"/>
          <c:showPercent val="0"/>
          <c:showBubbleSize val="0"/>
        </c:dLbls>
        <c:gapWidth val="150"/>
        <c:shape val="cylinder"/>
        <c:axId val="109362560"/>
        <c:axId val="109368448"/>
        <c:axId val="0"/>
      </c:bar3DChart>
      <c:catAx>
        <c:axId val="109362560"/>
        <c:scaling>
          <c:orientation val="minMax"/>
        </c:scaling>
        <c:delete val="0"/>
        <c:axPos val="b"/>
        <c:numFmt formatCode="General" sourceLinked="0"/>
        <c:majorTickMark val="out"/>
        <c:minorTickMark val="none"/>
        <c:tickLblPos val="nextTo"/>
        <c:crossAx val="109368448"/>
        <c:crosses val="autoZero"/>
        <c:auto val="1"/>
        <c:lblAlgn val="ctr"/>
        <c:lblOffset val="100"/>
        <c:noMultiLvlLbl val="0"/>
      </c:catAx>
      <c:valAx>
        <c:axId val="109368448"/>
        <c:scaling>
          <c:orientation val="minMax"/>
        </c:scaling>
        <c:delete val="0"/>
        <c:axPos val="l"/>
        <c:majorGridlines/>
        <c:numFmt formatCode="0.00" sourceLinked="1"/>
        <c:majorTickMark val="out"/>
        <c:minorTickMark val="none"/>
        <c:tickLblPos val="nextTo"/>
        <c:crossAx val="109362560"/>
        <c:crosses val="autoZero"/>
        <c:crossBetween val="between"/>
      </c:valAx>
    </c:plotArea>
    <c:legend>
      <c:legendPos val="r"/>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Sheet1!$I$26</c:f>
              <c:strCache>
                <c:ptCount val="1"/>
                <c:pt idx="0">
                  <c:v>CTR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Sheet1!$J$23:$K$23</c:f>
              <c:strCache>
                <c:ptCount val="2"/>
                <c:pt idx="0">
                  <c:v>2022, M</c:v>
                </c:pt>
                <c:pt idx="1">
                  <c:v>2021, M</c:v>
                </c:pt>
              </c:strCache>
            </c:strRef>
          </c:cat>
          <c:val>
            <c:numRef>
              <c:f>Sheet1!$J$26:$K$26</c:f>
              <c:numCache>
                <c:formatCode>0.00</c:formatCode>
                <c:ptCount val="2"/>
                <c:pt idx="0">
                  <c:v>4.3331683168316832</c:v>
                </c:pt>
                <c:pt idx="1">
                  <c:v>4.9691330004539278</c:v>
                </c:pt>
              </c:numCache>
            </c:numRef>
          </c:val>
          <c:extLst>
            <c:ext xmlns:c16="http://schemas.microsoft.com/office/drawing/2014/chart" uri="{C3380CC4-5D6E-409C-BE32-E72D297353CC}">
              <c16:uniqueId val="{00000000-9460-4121-B974-26E96AE4ABD3}"/>
            </c:ext>
          </c:extLst>
        </c:ser>
        <c:dLbls>
          <c:showLegendKey val="0"/>
          <c:showVal val="0"/>
          <c:showCatName val="0"/>
          <c:showSerName val="0"/>
          <c:showPercent val="0"/>
          <c:showBubbleSize val="0"/>
        </c:dLbls>
        <c:gapWidth val="150"/>
        <c:shape val="box"/>
        <c:axId val="131630592"/>
        <c:axId val="131632128"/>
        <c:axId val="0"/>
      </c:bar3DChart>
      <c:catAx>
        <c:axId val="131630592"/>
        <c:scaling>
          <c:orientation val="minMax"/>
        </c:scaling>
        <c:delete val="0"/>
        <c:axPos val="b"/>
        <c:numFmt formatCode="General" sourceLinked="0"/>
        <c:majorTickMark val="out"/>
        <c:minorTickMark val="none"/>
        <c:tickLblPos val="nextTo"/>
        <c:crossAx val="131632128"/>
        <c:crosses val="autoZero"/>
        <c:auto val="1"/>
        <c:lblAlgn val="ctr"/>
        <c:lblOffset val="100"/>
        <c:noMultiLvlLbl val="0"/>
      </c:catAx>
      <c:valAx>
        <c:axId val="131632128"/>
        <c:scaling>
          <c:orientation val="minMax"/>
        </c:scaling>
        <c:delete val="0"/>
        <c:axPos val="l"/>
        <c:majorGridlines/>
        <c:numFmt formatCode="0.00" sourceLinked="1"/>
        <c:majorTickMark val="out"/>
        <c:minorTickMark val="none"/>
        <c:tickLblPos val="nextTo"/>
        <c:crossAx val="131630592"/>
        <c:crosses val="autoZero"/>
        <c:crossBetween val="between"/>
      </c:valAx>
    </c:plotArea>
    <c:legend>
      <c:legendPos val="r"/>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Sheet1!$I$32</c:f>
              <c:strCache>
                <c:ptCount val="1"/>
                <c:pt idx="0">
                  <c:v>ITR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Sheet1!$J$29:$K$29</c:f>
              <c:strCache>
                <c:ptCount val="2"/>
                <c:pt idx="0">
                  <c:v>2022, M</c:v>
                </c:pt>
                <c:pt idx="1">
                  <c:v>2021, M</c:v>
                </c:pt>
              </c:strCache>
            </c:strRef>
          </c:cat>
          <c:val>
            <c:numRef>
              <c:f>Sheet1!$J$32:$K$32</c:f>
              <c:numCache>
                <c:formatCode>0.00</c:formatCode>
                <c:ptCount val="2"/>
                <c:pt idx="0">
                  <c:v>4.4880759039234119</c:v>
                </c:pt>
                <c:pt idx="1">
                  <c:v>4.1929544387036151</c:v>
                </c:pt>
              </c:numCache>
            </c:numRef>
          </c:val>
          <c:extLst>
            <c:ext xmlns:c16="http://schemas.microsoft.com/office/drawing/2014/chart" uri="{C3380CC4-5D6E-409C-BE32-E72D297353CC}">
              <c16:uniqueId val="{00000000-3CB9-4FA0-A768-D6F8B9547A0C}"/>
            </c:ext>
          </c:extLst>
        </c:ser>
        <c:dLbls>
          <c:showLegendKey val="0"/>
          <c:showVal val="0"/>
          <c:showCatName val="0"/>
          <c:showSerName val="0"/>
          <c:showPercent val="0"/>
          <c:showBubbleSize val="0"/>
        </c:dLbls>
        <c:gapWidth val="150"/>
        <c:shape val="cylinder"/>
        <c:axId val="132488576"/>
        <c:axId val="133387392"/>
        <c:axId val="0"/>
      </c:bar3DChart>
      <c:catAx>
        <c:axId val="132488576"/>
        <c:scaling>
          <c:orientation val="minMax"/>
        </c:scaling>
        <c:delete val="0"/>
        <c:axPos val="b"/>
        <c:numFmt formatCode="General" sourceLinked="0"/>
        <c:majorTickMark val="out"/>
        <c:minorTickMark val="none"/>
        <c:tickLblPos val="nextTo"/>
        <c:crossAx val="133387392"/>
        <c:crosses val="autoZero"/>
        <c:auto val="1"/>
        <c:lblAlgn val="ctr"/>
        <c:lblOffset val="100"/>
        <c:noMultiLvlLbl val="0"/>
      </c:catAx>
      <c:valAx>
        <c:axId val="133387392"/>
        <c:scaling>
          <c:orientation val="minMax"/>
        </c:scaling>
        <c:delete val="0"/>
        <c:axPos val="l"/>
        <c:majorGridlines/>
        <c:numFmt formatCode="0%" sourceLinked="1"/>
        <c:majorTickMark val="out"/>
        <c:minorTickMark val="none"/>
        <c:tickLblPos val="nextTo"/>
        <c:crossAx val="132488576"/>
        <c:crosses val="autoZero"/>
        <c:crossBetween val="between"/>
      </c:valAx>
    </c:plotArea>
    <c:legend>
      <c:legendPos val="r"/>
      <c:overlay val="0"/>
    </c:legend>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Sheet1!$I$38</c:f>
              <c:strCache>
                <c:ptCount val="1"/>
                <c:pt idx="0">
                  <c:v>WCTR</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Sheet1!$J$35:$K$35</c:f>
              <c:strCache>
                <c:ptCount val="2"/>
                <c:pt idx="0">
                  <c:v>2022, M</c:v>
                </c:pt>
                <c:pt idx="1">
                  <c:v>2021, M</c:v>
                </c:pt>
              </c:strCache>
            </c:strRef>
          </c:cat>
          <c:val>
            <c:numRef>
              <c:f>Sheet1!$J$38:$K$38</c:f>
              <c:numCache>
                <c:formatCode>0.00</c:formatCode>
                <c:ptCount val="2"/>
                <c:pt idx="0">
                  <c:v>3.6498206988574777</c:v>
                </c:pt>
                <c:pt idx="1">
                  <c:v>3.0079684923978749</c:v>
                </c:pt>
              </c:numCache>
            </c:numRef>
          </c:val>
          <c:extLst>
            <c:ext xmlns:c16="http://schemas.microsoft.com/office/drawing/2014/chart" uri="{C3380CC4-5D6E-409C-BE32-E72D297353CC}">
              <c16:uniqueId val="{00000000-E75D-47A1-8CC5-44C85CA23189}"/>
            </c:ext>
          </c:extLst>
        </c:ser>
        <c:dLbls>
          <c:showLegendKey val="0"/>
          <c:showVal val="0"/>
          <c:showCatName val="0"/>
          <c:showSerName val="0"/>
          <c:showPercent val="0"/>
          <c:showBubbleSize val="0"/>
        </c:dLbls>
        <c:gapWidth val="150"/>
        <c:shape val="box"/>
        <c:axId val="136582656"/>
        <c:axId val="136584192"/>
        <c:axId val="0"/>
      </c:bar3DChart>
      <c:catAx>
        <c:axId val="136582656"/>
        <c:scaling>
          <c:orientation val="minMax"/>
        </c:scaling>
        <c:delete val="0"/>
        <c:axPos val="b"/>
        <c:numFmt formatCode="General" sourceLinked="0"/>
        <c:majorTickMark val="out"/>
        <c:minorTickMark val="none"/>
        <c:tickLblPos val="nextTo"/>
        <c:crossAx val="136584192"/>
        <c:crosses val="autoZero"/>
        <c:auto val="1"/>
        <c:lblAlgn val="ctr"/>
        <c:lblOffset val="100"/>
        <c:noMultiLvlLbl val="0"/>
      </c:catAx>
      <c:valAx>
        <c:axId val="136584192"/>
        <c:scaling>
          <c:orientation val="minMax"/>
        </c:scaling>
        <c:delete val="0"/>
        <c:axPos val="l"/>
        <c:majorGridlines/>
        <c:numFmt formatCode="0.00" sourceLinked="1"/>
        <c:majorTickMark val="out"/>
        <c:minorTickMark val="none"/>
        <c:tickLblPos val="nextTo"/>
        <c:crossAx val="136582656"/>
        <c:crosses val="autoZero"/>
        <c:crossBetween val="between"/>
      </c:valAx>
    </c:plotArea>
    <c:legend>
      <c:legendPos val="r"/>
      <c:overlay val="0"/>
    </c:legend>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Sheet1!$M$6</c:f>
              <c:strCache>
                <c:ptCount val="1"/>
                <c:pt idx="0">
                  <c:v>Debt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Sheet1!$N$3:$O$3</c:f>
              <c:strCache>
                <c:ptCount val="2"/>
                <c:pt idx="0">
                  <c:v>2022, M</c:v>
                </c:pt>
                <c:pt idx="1">
                  <c:v>2021, M</c:v>
                </c:pt>
              </c:strCache>
            </c:strRef>
          </c:cat>
          <c:val>
            <c:numRef>
              <c:f>Sheet1!$N$6:$O$6</c:f>
              <c:numCache>
                <c:formatCode>0.00</c:formatCode>
                <c:ptCount val="2"/>
                <c:pt idx="0">
                  <c:v>0.52898186749711174</c:v>
                </c:pt>
                <c:pt idx="1">
                  <c:v>0.64989356040447066</c:v>
                </c:pt>
              </c:numCache>
            </c:numRef>
          </c:val>
          <c:extLst>
            <c:ext xmlns:c16="http://schemas.microsoft.com/office/drawing/2014/chart" uri="{C3380CC4-5D6E-409C-BE32-E72D297353CC}">
              <c16:uniqueId val="{00000000-53FF-4C31-BB2C-4B17DEBC9337}"/>
            </c:ext>
          </c:extLst>
        </c:ser>
        <c:dLbls>
          <c:showLegendKey val="0"/>
          <c:showVal val="0"/>
          <c:showCatName val="0"/>
          <c:showSerName val="0"/>
          <c:showPercent val="0"/>
          <c:showBubbleSize val="0"/>
        </c:dLbls>
        <c:gapWidth val="150"/>
        <c:shape val="cylinder"/>
        <c:axId val="136596864"/>
        <c:axId val="136598656"/>
        <c:axId val="0"/>
      </c:bar3DChart>
      <c:catAx>
        <c:axId val="136596864"/>
        <c:scaling>
          <c:orientation val="minMax"/>
        </c:scaling>
        <c:delete val="0"/>
        <c:axPos val="b"/>
        <c:numFmt formatCode="General" sourceLinked="0"/>
        <c:majorTickMark val="out"/>
        <c:minorTickMark val="none"/>
        <c:tickLblPos val="nextTo"/>
        <c:crossAx val="136598656"/>
        <c:crosses val="autoZero"/>
        <c:auto val="1"/>
        <c:lblAlgn val="ctr"/>
        <c:lblOffset val="100"/>
        <c:noMultiLvlLbl val="0"/>
      </c:catAx>
      <c:valAx>
        <c:axId val="136598656"/>
        <c:scaling>
          <c:orientation val="minMax"/>
        </c:scaling>
        <c:delete val="0"/>
        <c:axPos val="l"/>
        <c:majorGridlines/>
        <c:numFmt formatCode="0.00" sourceLinked="1"/>
        <c:majorTickMark val="out"/>
        <c:minorTickMark val="none"/>
        <c:tickLblPos val="nextTo"/>
        <c:crossAx val="136596864"/>
        <c:crosses val="autoZero"/>
        <c:crossBetween val="between"/>
      </c:valAx>
    </c:plotArea>
    <c:legend>
      <c:legendPos val="r"/>
      <c:overlay val="0"/>
    </c:legend>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Sheet1!$M$12</c:f>
              <c:strCache>
                <c:ptCount val="1"/>
                <c:pt idx="0">
                  <c:v>Equity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Sheet1!$N$9:$O$9</c:f>
              <c:strCache>
                <c:ptCount val="2"/>
                <c:pt idx="0">
                  <c:v>2022, M</c:v>
                </c:pt>
                <c:pt idx="1">
                  <c:v>2021, M</c:v>
                </c:pt>
              </c:strCache>
            </c:strRef>
          </c:cat>
          <c:val>
            <c:numRef>
              <c:f>Sheet1!$N$12:$O$12</c:f>
              <c:numCache>
                <c:formatCode>0.00</c:formatCode>
                <c:ptCount val="2"/>
                <c:pt idx="0">
                  <c:v>0.25365412627454925</c:v>
                </c:pt>
                <c:pt idx="1">
                  <c:v>0.17586482171367745</c:v>
                </c:pt>
              </c:numCache>
            </c:numRef>
          </c:val>
          <c:extLst>
            <c:ext xmlns:c16="http://schemas.microsoft.com/office/drawing/2014/chart" uri="{C3380CC4-5D6E-409C-BE32-E72D297353CC}">
              <c16:uniqueId val="{00000000-8AA8-440A-9F9E-E8473B1E430B}"/>
            </c:ext>
          </c:extLst>
        </c:ser>
        <c:dLbls>
          <c:showLegendKey val="0"/>
          <c:showVal val="0"/>
          <c:showCatName val="0"/>
          <c:showSerName val="0"/>
          <c:showPercent val="0"/>
          <c:showBubbleSize val="0"/>
        </c:dLbls>
        <c:gapWidth val="150"/>
        <c:shape val="box"/>
        <c:axId val="136631808"/>
        <c:axId val="136633344"/>
        <c:axId val="109065984"/>
      </c:bar3DChart>
      <c:catAx>
        <c:axId val="136631808"/>
        <c:scaling>
          <c:orientation val="minMax"/>
        </c:scaling>
        <c:delete val="0"/>
        <c:axPos val="b"/>
        <c:numFmt formatCode="General" sourceLinked="0"/>
        <c:majorTickMark val="out"/>
        <c:minorTickMark val="none"/>
        <c:tickLblPos val="nextTo"/>
        <c:crossAx val="136633344"/>
        <c:crosses val="autoZero"/>
        <c:auto val="1"/>
        <c:lblAlgn val="ctr"/>
        <c:lblOffset val="100"/>
        <c:noMultiLvlLbl val="0"/>
      </c:catAx>
      <c:valAx>
        <c:axId val="136633344"/>
        <c:scaling>
          <c:orientation val="minMax"/>
        </c:scaling>
        <c:delete val="0"/>
        <c:axPos val="l"/>
        <c:majorGridlines/>
        <c:numFmt formatCode="0.00" sourceLinked="1"/>
        <c:majorTickMark val="out"/>
        <c:minorTickMark val="none"/>
        <c:tickLblPos val="nextTo"/>
        <c:crossAx val="136631808"/>
        <c:crosses val="autoZero"/>
        <c:crossBetween val="between"/>
      </c:valAx>
      <c:serAx>
        <c:axId val="109065984"/>
        <c:scaling>
          <c:orientation val="minMax"/>
        </c:scaling>
        <c:delete val="0"/>
        <c:axPos val="b"/>
        <c:majorTickMark val="out"/>
        <c:minorTickMark val="none"/>
        <c:tickLblPos val="nextTo"/>
        <c:crossAx val="136633344"/>
        <c:crosses val="autoZero"/>
      </c:serAx>
    </c:plotArea>
    <c:legend>
      <c:legendPos val="r"/>
      <c:overlay val="0"/>
    </c:legend>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Sheet1!$M$18</c:f>
              <c:strCache>
                <c:ptCount val="1"/>
                <c:pt idx="0">
                  <c:v>D/E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Sheet1!$N$15:$O$15</c:f>
              <c:strCache>
                <c:ptCount val="2"/>
                <c:pt idx="0">
                  <c:v>2022, M</c:v>
                </c:pt>
                <c:pt idx="1">
                  <c:v>2021, M</c:v>
                </c:pt>
              </c:strCache>
            </c:strRef>
          </c:cat>
          <c:val>
            <c:numRef>
              <c:f>Sheet1!$N$18:$O$18</c:f>
              <c:numCache>
                <c:formatCode>0.00</c:formatCode>
                <c:ptCount val="2"/>
                <c:pt idx="0">
                  <c:v>2.0854455445544553</c:v>
                </c:pt>
                <c:pt idx="1">
                  <c:v>3.69541534271448</c:v>
                </c:pt>
              </c:numCache>
            </c:numRef>
          </c:val>
          <c:extLst>
            <c:ext xmlns:c16="http://schemas.microsoft.com/office/drawing/2014/chart" uri="{C3380CC4-5D6E-409C-BE32-E72D297353CC}">
              <c16:uniqueId val="{00000000-E913-45B1-AB48-9BE6B1AB0F7E}"/>
            </c:ext>
          </c:extLst>
        </c:ser>
        <c:dLbls>
          <c:showLegendKey val="0"/>
          <c:showVal val="0"/>
          <c:showCatName val="0"/>
          <c:showSerName val="0"/>
          <c:showPercent val="0"/>
          <c:showBubbleSize val="0"/>
        </c:dLbls>
        <c:gapWidth val="150"/>
        <c:shape val="cylinder"/>
        <c:axId val="140964608"/>
        <c:axId val="140966144"/>
        <c:axId val="105887488"/>
      </c:bar3DChart>
      <c:catAx>
        <c:axId val="140964608"/>
        <c:scaling>
          <c:orientation val="minMax"/>
        </c:scaling>
        <c:delete val="0"/>
        <c:axPos val="b"/>
        <c:numFmt formatCode="General" sourceLinked="0"/>
        <c:majorTickMark val="out"/>
        <c:minorTickMark val="none"/>
        <c:tickLblPos val="nextTo"/>
        <c:crossAx val="140966144"/>
        <c:crosses val="autoZero"/>
        <c:auto val="1"/>
        <c:lblAlgn val="ctr"/>
        <c:lblOffset val="100"/>
        <c:noMultiLvlLbl val="0"/>
      </c:catAx>
      <c:valAx>
        <c:axId val="140966144"/>
        <c:scaling>
          <c:orientation val="minMax"/>
        </c:scaling>
        <c:delete val="0"/>
        <c:axPos val="l"/>
        <c:majorGridlines/>
        <c:numFmt formatCode="0.00" sourceLinked="1"/>
        <c:majorTickMark val="out"/>
        <c:minorTickMark val="none"/>
        <c:tickLblPos val="nextTo"/>
        <c:crossAx val="140964608"/>
        <c:crosses val="autoZero"/>
        <c:crossBetween val="between"/>
      </c:valAx>
      <c:serAx>
        <c:axId val="105887488"/>
        <c:scaling>
          <c:orientation val="minMax"/>
        </c:scaling>
        <c:delete val="0"/>
        <c:axPos val="b"/>
        <c:majorTickMark val="out"/>
        <c:minorTickMark val="none"/>
        <c:tickLblPos val="nextTo"/>
        <c:crossAx val="140966144"/>
        <c:crosses val="autoZero"/>
      </c:serAx>
    </c:plotArea>
    <c:legend>
      <c:legendPos val="r"/>
      <c:overlay val="0"/>
    </c:legend>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Sheet1!$M$24</c:f>
              <c:strCache>
                <c:ptCount val="1"/>
                <c:pt idx="0">
                  <c:v>Interest coverage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Sheet1!$N$21:$O$21</c:f>
              <c:strCache>
                <c:ptCount val="2"/>
                <c:pt idx="0">
                  <c:v>2022, M</c:v>
                </c:pt>
                <c:pt idx="1">
                  <c:v>2021, M</c:v>
                </c:pt>
              </c:strCache>
            </c:strRef>
          </c:cat>
          <c:val>
            <c:numRef>
              <c:f>Sheet1!$N$24:$O$24</c:f>
              <c:numCache>
                <c:formatCode>0.00</c:formatCode>
                <c:ptCount val="2"/>
                <c:pt idx="0">
                  <c:v>9.9385290889132829</c:v>
                </c:pt>
                <c:pt idx="1">
                  <c:v>4.375</c:v>
                </c:pt>
              </c:numCache>
            </c:numRef>
          </c:val>
          <c:extLst>
            <c:ext xmlns:c16="http://schemas.microsoft.com/office/drawing/2014/chart" uri="{C3380CC4-5D6E-409C-BE32-E72D297353CC}">
              <c16:uniqueId val="{00000000-E06E-471E-A89F-7D06E4F41207}"/>
            </c:ext>
          </c:extLst>
        </c:ser>
        <c:dLbls>
          <c:showLegendKey val="0"/>
          <c:showVal val="0"/>
          <c:showCatName val="0"/>
          <c:showSerName val="0"/>
          <c:showPercent val="0"/>
          <c:showBubbleSize val="0"/>
        </c:dLbls>
        <c:gapWidth val="150"/>
        <c:shape val="box"/>
        <c:axId val="141496320"/>
        <c:axId val="141497856"/>
        <c:axId val="0"/>
      </c:bar3DChart>
      <c:catAx>
        <c:axId val="141496320"/>
        <c:scaling>
          <c:orientation val="minMax"/>
        </c:scaling>
        <c:delete val="0"/>
        <c:axPos val="b"/>
        <c:numFmt formatCode="General" sourceLinked="0"/>
        <c:majorTickMark val="out"/>
        <c:minorTickMark val="none"/>
        <c:tickLblPos val="nextTo"/>
        <c:crossAx val="141497856"/>
        <c:crosses val="autoZero"/>
        <c:auto val="1"/>
        <c:lblAlgn val="ctr"/>
        <c:lblOffset val="100"/>
        <c:noMultiLvlLbl val="0"/>
      </c:catAx>
      <c:valAx>
        <c:axId val="141497856"/>
        <c:scaling>
          <c:orientation val="minMax"/>
        </c:scaling>
        <c:delete val="0"/>
        <c:axPos val="l"/>
        <c:majorGridlines/>
        <c:numFmt formatCode="0.00" sourceLinked="1"/>
        <c:majorTickMark val="out"/>
        <c:minorTickMark val="none"/>
        <c:tickLblPos val="nextTo"/>
        <c:crossAx val="14149632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D8739A-CECF-4696-8B0D-9969A74FB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6458</Words>
  <Characters>36813</Characters>
  <Application>Microsoft Office Word</Application>
  <DocSecurity>0</DocSecurity>
  <Lines>306</Lines>
  <Paragraphs>86</Paragraphs>
  <ScaleCrop>false</ScaleCrop>
  <Company/>
  <LinksUpToDate>false</LinksUpToDate>
  <CharactersWithSpaces>43185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2023-02-23T12:28:00Z</dcterms:created>
  <dcterms:modified xsi:type="dcterms:W3CDTF">2023-03-28T16:29:00Z</dcterms:modified>
</cp:coreProperties>
</file>