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06638533"/>
        <w:docPartObj>
          <w:docPartGallery w:val="Cover Pages"/>
          <w:docPartUnique/>
        </w:docPartObj>
      </w:sdtPr>
      <w:sdtEndPr>
        <w:rPr>
          <w:rFonts w:ascii="Arial" w:hAnsi="Arial" w:cs="Arial"/>
          <w:b/>
          <w:bCs/>
          <w:color w:val="0B769F" w:themeColor="accent4" w:themeShade="BF"/>
          <w:sz w:val="24"/>
          <w:szCs w:val="24"/>
        </w:rPr>
      </w:sdtEndPr>
      <w:sdtContent>
        <w:p w14:paraId="3531976C" w14:textId="4F4D7E41" w:rsidR="00A430CC" w:rsidRDefault="00A430CC"/>
        <w:p w14:paraId="5CEDE824" w14:textId="305C3161" w:rsidR="00A430CC" w:rsidRDefault="00A430CC">
          <w:pPr>
            <w:rPr>
              <w:rFonts w:ascii="Arial" w:hAnsi="Arial" w:cs="Arial"/>
              <w:b/>
              <w:bCs/>
              <w:color w:val="0B769F" w:themeColor="accent4" w:themeShade="BF"/>
              <w:sz w:val="24"/>
              <w:szCs w:val="24"/>
            </w:rPr>
          </w:pPr>
          <w:r w:rsidRPr="00A430CC">
            <w:rPr>
              <w:rFonts w:ascii="Arial" w:hAnsi="Arial" w:cs="Arial"/>
              <w:b/>
              <w:bCs/>
              <w:color w:val="0B769F" w:themeColor="accent4" w:themeShade="BF"/>
              <w:sz w:val="24"/>
              <w:szCs w:val="24"/>
            </w:rPr>
            <w:drawing>
              <wp:inline distT="0" distB="0" distL="0" distR="0" wp14:anchorId="5BDF2D61" wp14:editId="1BDCC599">
                <wp:extent cx="3067478" cy="1047896"/>
                <wp:effectExtent l="0" t="0" r="0" b="0"/>
                <wp:docPr id="1802885092"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885092" name="Picture 1" descr="A close up of a logo&#10;&#10;Description automatically generated"/>
                        <pic:cNvPicPr/>
                      </pic:nvPicPr>
                      <pic:blipFill>
                        <a:blip r:embed="rId8"/>
                        <a:stretch>
                          <a:fillRect/>
                        </a:stretch>
                      </pic:blipFill>
                      <pic:spPr>
                        <a:xfrm>
                          <a:off x="0" y="0"/>
                          <a:ext cx="3067478" cy="1047896"/>
                        </a:xfrm>
                        <a:prstGeom prst="rect">
                          <a:avLst/>
                        </a:prstGeom>
                      </pic:spPr>
                    </pic:pic>
                  </a:graphicData>
                </a:graphic>
              </wp:inline>
            </w:drawing>
          </w:r>
          <w:r>
            <w:rPr>
              <w:noProof/>
            </w:rPr>
            <mc:AlternateContent>
              <mc:Choice Requires="wps">
                <w:drawing>
                  <wp:anchor distT="0" distB="0" distL="182880" distR="182880" simplePos="0" relativeHeight="251660288" behindDoc="0" locked="0" layoutInCell="1" allowOverlap="1" wp14:anchorId="4A48F903" wp14:editId="18D984B2">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A18553" w14:textId="4920453B" w:rsidR="00A430CC" w:rsidRPr="00A430CC" w:rsidRDefault="00A430CC" w:rsidP="00A430CC">
                                <w:pPr>
                                  <w:pStyle w:val="NoSpacing"/>
                                  <w:spacing w:before="40" w:after="560" w:line="216" w:lineRule="auto"/>
                                  <w:jc w:val="center"/>
                                  <w:rPr>
                                    <w:color w:val="000000" w:themeColor="text1"/>
                                    <w:sz w:val="72"/>
                                    <w:szCs w:val="72"/>
                                  </w:rPr>
                                </w:pPr>
                                <w:sdt>
                                  <w:sdtPr>
                                    <w:rPr>
                                      <w:rFonts w:ascii="Arial Black" w:hAnsi="Arial Black"/>
                                      <w:color w:val="000000" w:themeColor="text1"/>
                                      <w:sz w:val="56"/>
                                      <w:szCs w:val="5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A430CC">
                                      <w:rPr>
                                        <w:rFonts w:ascii="Arial Black" w:hAnsi="Arial Black"/>
                                        <w:color w:val="000000" w:themeColor="text1"/>
                                        <w:sz w:val="56"/>
                                        <w:szCs w:val="56"/>
                                      </w:rPr>
                                      <w:t>Financial Analysis</w:t>
                                    </w:r>
                                  </w:sdtContent>
                                </w:sdt>
                              </w:p>
                              <w:sdt>
                                <w:sdtPr>
                                  <w:rPr>
                                    <w:rFonts w:ascii="Arial Black" w:hAnsi="Arial Black"/>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184A569" w14:textId="1F074990" w:rsidR="00A430CC" w:rsidRPr="00A430CC" w:rsidRDefault="00A430CC" w:rsidP="00A430CC">
                                    <w:pPr>
                                      <w:pStyle w:val="NoSpacing"/>
                                      <w:spacing w:before="40" w:after="40"/>
                                      <w:jc w:val="center"/>
                                      <w:rPr>
                                        <w:rFonts w:ascii="Arial Black" w:hAnsi="Arial Black"/>
                                        <w:caps/>
                                        <w:color w:val="501549" w:themeColor="accent5" w:themeShade="80"/>
                                        <w:sz w:val="28"/>
                                        <w:szCs w:val="28"/>
                                      </w:rPr>
                                    </w:pPr>
                                    <w:r w:rsidRPr="00A430CC">
                                      <w:rPr>
                                        <w:rFonts w:ascii="Arial Black" w:hAnsi="Arial Black"/>
                                        <w:caps/>
                                        <w:color w:val="501549" w:themeColor="accent5" w:themeShade="80"/>
                                        <w:sz w:val="28"/>
                                        <w:szCs w:val="28"/>
                                      </w:rPr>
                                      <w:t>Financial Management For Business Sustainability</w:t>
                                    </w:r>
                                  </w:p>
                                </w:sdtContent>
                              </w:sdt>
                              <w:sdt>
                                <w:sdtPr>
                                  <w:rPr>
                                    <w:rFonts w:ascii="Arial Black" w:hAnsi="Arial Black"/>
                                    <w:caps/>
                                    <w:color w:val="A02B93" w:themeColor="accent5"/>
                                    <w:sz w:val="28"/>
                                    <w:szCs w:val="28"/>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8CA61F8" w14:textId="63F443B9" w:rsidR="00A430CC" w:rsidRPr="00A430CC" w:rsidRDefault="00A430CC" w:rsidP="00A430CC">
                                    <w:pPr>
                                      <w:pStyle w:val="NoSpacing"/>
                                      <w:spacing w:before="80" w:after="40"/>
                                      <w:jc w:val="center"/>
                                      <w:rPr>
                                        <w:rFonts w:ascii="Arial Black" w:hAnsi="Arial Black"/>
                                        <w:caps/>
                                        <w:color w:val="A02B93" w:themeColor="accent5"/>
                                        <w:sz w:val="28"/>
                                        <w:szCs w:val="28"/>
                                      </w:rPr>
                                    </w:pPr>
                                    <w:r w:rsidRPr="00A430CC">
                                      <w:rPr>
                                        <w:rFonts w:ascii="Arial Black" w:hAnsi="Arial Black"/>
                                        <w:caps/>
                                        <w:color w:val="A02B93" w:themeColor="accent5"/>
                                        <w:sz w:val="28"/>
                                        <w:szCs w:val="28"/>
                                      </w:rPr>
                                      <w:t>Dumitru telus (2320174)</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4A48F903" id="_x0000_t202" coordsize="21600,21600" o:spt="202" path="m,l,21600r21600,l21600,xe">
                    <v:stroke joinstyle="miter"/>
                    <v:path gradientshapeok="t" o:connecttype="rect"/>
                  </v:shapetype>
                  <v:shape id="Text Box 32"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5AA18553" w14:textId="4920453B" w:rsidR="00A430CC" w:rsidRPr="00A430CC" w:rsidRDefault="00A430CC" w:rsidP="00A430CC">
                          <w:pPr>
                            <w:pStyle w:val="NoSpacing"/>
                            <w:spacing w:before="40" w:after="560" w:line="216" w:lineRule="auto"/>
                            <w:jc w:val="center"/>
                            <w:rPr>
                              <w:color w:val="000000" w:themeColor="text1"/>
                              <w:sz w:val="72"/>
                              <w:szCs w:val="72"/>
                            </w:rPr>
                          </w:pPr>
                          <w:sdt>
                            <w:sdtPr>
                              <w:rPr>
                                <w:rFonts w:ascii="Arial Black" w:hAnsi="Arial Black"/>
                                <w:color w:val="000000" w:themeColor="text1"/>
                                <w:sz w:val="56"/>
                                <w:szCs w:val="5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A430CC">
                                <w:rPr>
                                  <w:rFonts w:ascii="Arial Black" w:hAnsi="Arial Black"/>
                                  <w:color w:val="000000" w:themeColor="text1"/>
                                  <w:sz w:val="56"/>
                                  <w:szCs w:val="56"/>
                                </w:rPr>
                                <w:t>Financial Analysis</w:t>
                              </w:r>
                            </w:sdtContent>
                          </w:sdt>
                        </w:p>
                        <w:sdt>
                          <w:sdtPr>
                            <w:rPr>
                              <w:rFonts w:ascii="Arial Black" w:hAnsi="Arial Black"/>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184A569" w14:textId="1F074990" w:rsidR="00A430CC" w:rsidRPr="00A430CC" w:rsidRDefault="00A430CC" w:rsidP="00A430CC">
                              <w:pPr>
                                <w:pStyle w:val="NoSpacing"/>
                                <w:spacing w:before="40" w:after="40"/>
                                <w:jc w:val="center"/>
                                <w:rPr>
                                  <w:rFonts w:ascii="Arial Black" w:hAnsi="Arial Black"/>
                                  <w:caps/>
                                  <w:color w:val="501549" w:themeColor="accent5" w:themeShade="80"/>
                                  <w:sz w:val="28"/>
                                  <w:szCs w:val="28"/>
                                </w:rPr>
                              </w:pPr>
                              <w:r w:rsidRPr="00A430CC">
                                <w:rPr>
                                  <w:rFonts w:ascii="Arial Black" w:hAnsi="Arial Black"/>
                                  <w:caps/>
                                  <w:color w:val="501549" w:themeColor="accent5" w:themeShade="80"/>
                                  <w:sz w:val="28"/>
                                  <w:szCs w:val="28"/>
                                </w:rPr>
                                <w:t>Financial Management For Business Sustainability</w:t>
                              </w:r>
                            </w:p>
                          </w:sdtContent>
                        </w:sdt>
                        <w:sdt>
                          <w:sdtPr>
                            <w:rPr>
                              <w:rFonts w:ascii="Arial Black" w:hAnsi="Arial Black"/>
                              <w:caps/>
                              <w:color w:val="A02B93" w:themeColor="accent5"/>
                              <w:sz w:val="28"/>
                              <w:szCs w:val="28"/>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8CA61F8" w14:textId="63F443B9" w:rsidR="00A430CC" w:rsidRPr="00A430CC" w:rsidRDefault="00A430CC" w:rsidP="00A430CC">
                              <w:pPr>
                                <w:pStyle w:val="NoSpacing"/>
                                <w:spacing w:before="80" w:after="40"/>
                                <w:jc w:val="center"/>
                                <w:rPr>
                                  <w:rFonts w:ascii="Arial Black" w:hAnsi="Arial Black"/>
                                  <w:caps/>
                                  <w:color w:val="A02B93" w:themeColor="accent5"/>
                                  <w:sz w:val="28"/>
                                  <w:szCs w:val="28"/>
                                </w:rPr>
                              </w:pPr>
                              <w:r w:rsidRPr="00A430CC">
                                <w:rPr>
                                  <w:rFonts w:ascii="Arial Black" w:hAnsi="Arial Black"/>
                                  <w:caps/>
                                  <w:color w:val="A02B93" w:themeColor="accent5"/>
                                  <w:sz w:val="28"/>
                                  <w:szCs w:val="28"/>
                                </w:rPr>
                                <w:t>Dumitru telus (2320174)</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637EACD8" wp14:editId="0DB9D26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Black" w:hAnsi="Arial Black"/>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5-12T00:00:00Z">
                                    <w:dateFormat w:val="yyyy"/>
                                    <w:lid w:val="en-US"/>
                                    <w:storeMappedDataAs w:val="dateTime"/>
                                    <w:calendar w:val="gregorian"/>
                                  </w:date>
                                </w:sdtPr>
                                <w:sdtContent>
                                  <w:p w14:paraId="68A44A35" w14:textId="4C235770" w:rsidR="00A430CC" w:rsidRPr="00A430CC" w:rsidRDefault="00A430CC">
                                    <w:pPr>
                                      <w:pStyle w:val="NoSpacing"/>
                                      <w:jc w:val="right"/>
                                      <w:rPr>
                                        <w:rFonts w:ascii="Arial Black" w:hAnsi="Arial Black"/>
                                        <w:color w:val="FFFFFF" w:themeColor="background1"/>
                                        <w:sz w:val="24"/>
                                        <w:szCs w:val="24"/>
                                      </w:rPr>
                                    </w:pPr>
                                    <w:r w:rsidRPr="00A430CC">
                                      <w:rPr>
                                        <w:rFonts w:ascii="Arial Black" w:hAnsi="Arial Black"/>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37EACD8" id="Rectangle 33"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rFonts w:ascii="Arial Black" w:hAnsi="Arial Black"/>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5-12T00:00:00Z">
                              <w:dateFormat w:val="yyyy"/>
                              <w:lid w:val="en-US"/>
                              <w:storeMappedDataAs w:val="dateTime"/>
                              <w:calendar w:val="gregorian"/>
                            </w:date>
                          </w:sdtPr>
                          <w:sdtContent>
                            <w:p w14:paraId="68A44A35" w14:textId="4C235770" w:rsidR="00A430CC" w:rsidRPr="00A430CC" w:rsidRDefault="00A430CC">
                              <w:pPr>
                                <w:pStyle w:val="NoSpacing"/>
                                <w:jc w:val="right"/>
                                <w:rPr>
                                  <w:rFonts w:ascii="Arial Black" w:hAnsi="Arial Black"/>
                                  <w:color w:val="FFFFFF" w:themeColor="background1"/>
                                  <w:sz w:val="24"/>
                                  <w:szCs w:val="24"/>
                                </w:rPr>
                              </w:pPr>
                              <w:r w:rsidRPr="00A430CC">
                                <w:rPr>
                                  <w:rFonts w:ascii="Arial Black" w:hAnsi="Arial Black"/>
                                  <w:color w:val="FFFFFF" w:themeColor="background1"/>
                                  <w:sz w:val="24"/>
                                  <w:szCs w:val="24"/>
                                </w:rPr>
                                <w:t>2024</w:t>
                              </w:r>
                            </w:p>
                          </w:sdtContent>
                        </w:sdt>
                      </w:txbxContent>
                    </v:textbox>
                    <w10:wrap anchorx="margin" anchory="page"/>
                  </v:rect>
                </w:pict>
              </mc:Fallback>
            </mc:AlternateContent>
          </w:r>
          <w:r>
            <w:rPr>
              <w:rFonts w:ascii="Arial" w:hAnsi="Arial" w:cs="Arial"/>
              <w:b/>
              <w:bCs/>
              <w:color w:val="0B769F" w:themeColor="accent4" w:themeShade="BF"/>
              <w:sz w:val="24"/>
              <w:szCs w:val="24"/>
            </w:rPr>
            <w:br w:type="page"/>
          </w:r>
        </w:p>
      </w:sdtContent>
    </w:sdt>
    <w:p w14:paraId="5369B2E0" w14:textId="28B5AE56" w:rsidR="00A430CC" w:rsidRDefault="00A430CC" w:rsidP="00D64F43">
      <w:pPr>
        <w:spacing w:line="360" w:lineRule="auto"/>
        <w:rPr>
          <w:rFonts w:ascii="Arial" w:hAnsi="Arial" w:cs="Arial"/>
          <w:b/>
          <w:bCs/>
          <w:color w:val="0B769F" w:themeColor="accent4" w:themeShade="BF"/>
          <w:sz w:val="24"/>
          <w:szCs w:val="24"/>
        </w:rPr>
      </w:pPr>
      <w:r>
        <w:rPr>
          <w:rFonts w:ascii="Arial" w:hAnsi="Arial" w:cs="Arial"/>
          <w:b/>
          <w:bCs/>
          <w:color w:val="0B769F" w:themeColor="accent4" w:themeShade="BF"/>
          <w:sz w:val="24"/>
          <w:szCs w:val="24"/>
        </w:rPr>
        <w:lastRenderedPageBreak/>
        <w:t xml:space="preserve">Table of Contents </w:t>
      </w:r>
    </w:p>
    <w:p w14:paraId="65A360C2" w14:textId="2BFBB599" w:rsidR="00A430CC" w:rsidRDefault="00A430CC" w:rsidP="00D64F43">
      <w:pPr>
        <w:spacing w:line="360" w:lineRule="auto"/>
        <w:rPr>
          <w:rFonts w:ascii="Arial" w:hAnsi="Arial" w:cs="Arial"/>
          <w:b/>
          <w:bCs/>
          <w:color w:val="0B769F" w:themeColor="accent4" w:themeShade="BF"/>
          <w:sz w:val="24"/>
          <w:szCs w:val="24"/>
        </w:rPr>
      </w:pPr>
      <w:r>
        <w:rPr>
          <w:rFonts w:ascii="Arial" w:hAnsi="Arial" w:cs="Arial"/>
          <w:b/>
          <w:bCs/>
          <w:color w:val="0B769F" w:themeColor="accent4" w:themeShade="BF"/>
          <w:sz w:val="24"/>
          <w:szCs w:val="24"/>
        </w:rPr>
        <w:t xml:space="preserve">Introduction________________________________________________2 </w:t>
      </w:r>
    </w:p>
    <w:p w14:paraId="30FE4F8B" w14:textId="2AFA562C" w:rsidR="00A430CC" w:rsidRDefault="00A430CC" w:rsidP="00D64F43">
      <w:pPr>
        <w:spacing w:line="360" w:lineRule="auto"/>
        <w:rPr>
          <w:rFonts w:ascii="Arial" w:hAnsi="Arial" w:cs="Arial"/>
          <w:b/>
          <w:bCs/>
          <w:color w:val="0B769F" w:themeColor="accent4" w:themeShade="BF"/>
          <w:sz w:val="24"/>
          <w:szCs w:val="24"/>
        </w:rPr>
      </w:pPr>
      <w:r w:rsidRPr="00A430CC">
        <w:rPr>
          <w:rFonts w:ascii="Arial" w:hAnsi="Arial" w:cs="Arial"/>
          <w:b/>
          <w:bCs/>
          <w:color w:val="0B769F" w:themeColor="accent4" w:themeShade="BF"/>
          <w:sz w:val="24"/>
          <w:szCs w:val="24"/>
        </w:rPr>
        <w:t>Analytical Approach</w:t>
      </w:r>
      <w:r>
        <w:rPr>
          <w:rFonts w:ascii="Arial" w:hAnsi="Arial" w:cs="Arial"/>
          <w:b/>
          <w:bCs/>
          <w:color w:val="0B769F" w:themeColor="accent4" w:themeShade="BF"/>
          <w:sz w:val="24"/>
          <w:szCs w:val="24"/>
        </w:rPr>
        <w:t>_________________________________________3</w:t>
      </w:r>
    </w:p>
    <w:p w14:paraId="1D5573E2" w14:textId="77777777" w:rsidR="00A430CC" w:rsidRDefault="00A430CC">
      <w:pPr>
        <w:rPr>
          <w:rFonts w:ascii="Arial" w:hAnsi="Arial" w:cs="Arial"/>
          <w:b/>
          <w:bCs/>
          <w:color w:val="0B769F" w:themeColor="accent4" w:themeShade="BF"/>
          <w:sz w:val="24"/>
          <w:szCs w:val="24"/>
        </w:rPr>
      </w:pPr>
      <w:r w:rsidRPr="00A430CC">
        <w:rPr>
          <w:rFonts w:ascii="Arial" w:hAnsi="Arial" w:cs="Arial"/>
          <w:b/>
          <w:bCs/>
          <w:color w:val="0B769F" w:themeColor="accent4" w:themeShade="BF"/>
          <w:sz w:val="24"/>
          <w:szCs w:val="24"/>
        </w:rPr>
        <w:t>Financial Ratio Analysis</w:t>
      </w:r>
      <w:r>
        <w:rPr>
          <w:rFonts w:ascii="Arial" w:hAnsi="Arial" w:cs="Arial"/>
          <w:b/>
          <w:bCs/>
          <w:color w:val="0B769F" w:themeColor="accent4" w:themeShade="BF"/>
          <w:sz w:val="24"/>
          <w:szCs w:val="24"/>
        </w:rPr>
        <w:t>______________________________________3</w:t>
      </w:r>
    </w:p>
    <w:p w14:paraId="7852AFB8" w14:textId="77777777" w:rsidR="00A430CC" w:rsidRDefault="00A430CC">
      <w:pPr>
        <w:rPr>
          <w:rFonts w:ascii="Arial" w:hAnsi="Arial" w:cs="Arial"/>
          <w:b/>
          <w:bCs/>
          <w:color w:val="0B769F" w:themeColor="accent4" w:themeShade="BF"/>
          <w:sz w:val="24"/>
          <w:szCs w:val="24"/>
        </w:rPr>
      </w:pPr>
      <w:r w:rsidRPr="00A430CC">
        <w:rPr>
          <w:rFonts w:ascii="Arial" w:hAnsi="Arial" w:cs="Arial"/>
          <w:b/>
          <w:bCs/>
          <w:color w:val="0B769F" w:themeColor="accent4" w:themeShade="BF"/>
          <w:sz w:val="24"/>
          <w:szCs w:val="24"/>
        </w:rPr>
        <w:t>Yearly Financial Trends</w:t>
      </w:r>
      <w:r>
        <w:rPr>
          <w:rFonts w:ascii="Arial" w:hAnsi="Arial" w:cs="Arial"/>
          <w:b/>
          <w:bCs/>
          <w:color w:val="0B769F" w:themeColor="accent4" w:themeShade="BF"/>
          <w:sz w:val="24"/>
          <w:szCs w:val="24"/>
        </w:rPr>
        <w:t>_______________________________________5</w:t>
      </w:r>
    </w:p>
    <w:p w14:paraId="5326E1C2" w14:textId="77777777" w:rsidR="00A430CC" w:rsidRDefault="00A430CC">
      <w:pPr>
        <w:rPr>
          <w:rFonts w:ascii="Arial" w:hAnsi="Arial" w:cs="Arial"/>
          <w:b/>
          <w:bCs/>
          <w:color w:val="0B769F" w:themeColor="accent4" w:themeShade="BF"/>
          <w:sz w:val="24"/>
          <w:szCs w:val="24"/>
        </w:rPr>
      </w:pPr>
      <w:r w:rsidRPr="00A430CC">
        <w:rPr>
          <w:rFonts w:ascii="Arial" w:hAnsi="Arial" w:cs="Arial"/>
          <w:b/>
          <w:bCs/>
          <w:color w:val="0B769F" w:themeColor="accent4" w:themeShade="BF"/>
          <w:sz w:val="24"/>
          <w:szCs w:val="24"/>
        </w:rPr>
        <w:t>Recommendations for Future Improvement</w:t>
      </w:r>
      <w:r>
        <w:rPr>
          <w:rFonts w:ascii="Arial" w:hAnsi="Arial" w:cs="Arial"/>
          <w:b/>
          <w:bCs/>
          <w:color w:val="0B769F" w:themeColor="accent4" w:themeShade="BF"/>
          <w:sz w:val="24"/>
          <w:szCs w:val="24"/>
        </w:rPr>
        <w:t>______________________6</w:t>
      </w:r>
    </w:p>
    <w:p w14:paraId="6E27CB93" w14:textId="77777777" w:rsidR="00A430CC" w:rsidRDefault="00A430CC">
      <w:pPr>
        <w:rPr>
          <w:rFonts w:ascii="Arial" w:hAnsi="Arial" w:cs="Arial"/>
          <w:b/>
          <w:bCs/>
          <w:color w:val="0B769F" w:themeColor="accent4" w:themeShade="BF"/>
          <w:sz w:val="24"/>
          <w:szCs w:val="24"/>
        </w:rPr>
      </w:pPr>
      <w:r>
        <w:rPr>
          <w:rFonts w:ascii="Arial" w:hAnsi="Arial" w:cs="Arial"/>
          <w:b/>
          <w:bCs/>
          <w:color w:val="0B769F" w:themeColor="accent4" w:themeShade="BF"/>
          <w:sz w:val="24"/>
          <w:szCs w:val="24"/>
        </w:rPr>
        <w:t>Conclusion_________________________________________________8</w:t>
      </w:r>
    </w:p>
    <w:p w14:paraId="36488D7A" w14:textId="51D1299E" w:rsidR="00A430CC" w:rsidRDefault="00A430CC">
      <w:pPr>
        <w:rPr>
          <w:rFonts w:ascii="Arial" w:hAnsi="Arial" w:cs="Arial"/>
          <w:b/>
          <w:bCs/>
          <w:color w:val="0B769F" w:themeColor="accent4" w:themeShade="BF"/>
          <w:sz w:val="24"/>
          <w:szCs w:val="24"/>
        </w:rPr>
      </w:pPr>
      <w:r>
        <w:rPr>
          <w:rFonts w:ascii="Arial" w:hAnsi="Arial" w:cs="Arial"/>
          <w:b/>
          <w:bCs/>
          <w:color w:val="0B769F" w:themeColor="accent4" w:themeShade="BF"/>
          <w:sz w:val="24"/>
          <w:szCs w:val="24"/>
        </w:rPr>
        <w:t>References_________________________________________________9</w:t>
      </w:r>
      <w:r>
        <w:rPr>
          <w:rFonts w:ascii="Arial" w:hAnsi="Arial" w:cs="Arial"/>
          <w:b/>
          <w:bCs/>
          <w:color w:val="0B769F" w:themeColor="accent4" w:themeShade="BF"/>
          <w:sz w:val="24"/>
          <w:szCs w:val="24"/>
        </w:rPr>
        <w:br w:type="page"/>
      </w:r>
    </w:p>
    <w:p w14:paraId="553EBC57" w14:textId="19002999" w:rsidR="002F7068" w:rsidRPr="00D64F43" w:rsidRDefault="002F7068" w:rsidP="00D64F43">
      <w:pPr>
        <w:spacing w:line="360" w:lineRule="auto"/>
        <w:rPr>
          <w:rFonts w:ascii="Arial" w:hAnsi="Arial" w:cs="Arial"/>
          <w:b/>
          <w:bCs/>
          <w:color w:val="0B769F" w:themeColor="accent4" w:themeShade="BF"/>
          <w:sz w:val="24"/>
          <w:szCs w:val="24"/>
        </w:rPr>
      </w:pPr>
      <w:r w:rsidRPr="00D64F43">
        <w:rPr>
          <w:rFonts w:ascii="Arial" w:hAnsi="Arial" w:cs="Arial"/>
          <w:b/>
          <w:bCs/>
          <w:color w:val="0B769F" w:themeColor="accent4" w:themeShade="BF"/>
          <w:sz w:val="24"/>
          <w:szCs w:val="24"/>
        </w:rPr>
        <w:lastRenderedPageBreak/>
        <w:t>Introduction</w:t>
      </w:r>
    </w:p>
    <w:p w14:paraId="10558D6E" w14:textId="71E6EC8E" w:rsidR="003A2F4E" w:rsidRDefault="002F7068" w:rsidP="00D64F43">
      <w:pPr>
        <w:spacing w:line="360" w:lineRule="auto"/>
        <w:rPr>
          <w:rFonts w:ascii="Arial" w:hAnsi="Arial" w:cs="Arial"/>
          <w:sz w:val="24"/>
          <w:szCs w:val="24"/>
        </w:rPr>
      </w:pPr>
      <w:r w:rsidRPr="002F7068">
        <w:rPr>
          <w:rFonts w:ascii="Arial" w:hAnsi="Arial" w:cs="Arial"/>
          <w:sz w:val="24"/>
          <w:szCs w:val="24"/>
        </w:rPr>
        <w:t>This research provides a focused financial analysis of McDonald's Corporation, assessing its financial performance in fiscal years 2021 and 2022. This study attempts to examine McDonald's financial health and strategic execution in a competitive global market scenario by examining financial statements and analysing ratios such as liquidity, profitability, efficiency, and leverage indicators. Key insights suggest a mixed financial performance, with strong revenue streams but rising operating costs and strategic initiatives weighing on profitability and liquidity ratios.</w:t>
      </w:r>
      <w:r w:rsidRPr="002F7068">
        <w:t xml:space="preserve"> </w:t>
      </w:r>
      <w:r w:rsidRPr="002F7068">
        <w:rPr>
          <w:rFonts w:ascii="Arial" w:hAnsi="Arial" w:cs="Arial"/>
          <w:sz w:val="24"/>
          <w:szCs w:val="24"/>
        </w:rPr>
        <w:t xml:space="preserve">This research presents </w:t>
      </w:r>
      <w:r>
        <w:rPr>
          <w:rFonts w:ascii="Arial" w:hAnsi="Arial" w:cs="Arial"/>
          <w:sz w:val="24"/>
          <w:szCs w:val="24"/>
        </w:rPr>
        <w:t xml:space="preserve">a </w:t>
      </w:r>
      <w:r w:rsidRPr="002F7068">
        <w:rPr>
          <w:rFonts w:ascii="Arial" w:hAnsi="Arial" w:cs="Arial"/>
          <w:sz w:val="24"/>
          <w:szCs w:val="24"/>
        </w:rPr>
        <w:t xml:space="preserve">foundational analysis to support strategic suggestions </w:t>
      </w:r>
      <w:r>
        <w:rPr>
          <w:rFonts w:ascii="Arial" w:hAnsi="Arial" w:cs="Arial"/>
          <w:sz w:val="24"/>
          <w:szCs w:val="24"/>
        </w:rPr>
        <w:t>to improve</w:t>
      </w:r>
      <w:r w:rsidRPr="002F7068">
        <w:rPr>
          <w:rFonts w:ascii="Arial" w:hAnsi="Arial" w:cs="Arial"/>
          <w:sz w:val="24"/>
          <w:szCs w:val="24"/>
        </w:rPr>
        <w:t xml:space="preserve"> McDonald's operational efficiency, cost management, and long-term financial sustainability. These insights are critical for stakeholders to make educated decisions that will influence future growth and stability in the rapidly changing fast-food business.</w:t>
      </w:r>
    </w:p>
    <w:p w14:paraId="07E2DA1B" w14:textId="77777777" w:rsidR="002F7068" w:rsidRDefault="002F7068" w:rsidP="00D64F43">
      <w:pPr>
        <w:spacing w:line="360" w:lineRule="auto"/>
        <w:rPr>
          <w:rFonts w:ascii="Arial" w:hAnsi="Arial" w:cs="Arial"/>
          <w:sz w:val="24"/>
          <w:szCs w:val="24"/>
        </w:rPr>
      </w:pPr>
    </w:p>
    <w:p w14:paraId="3CD3037F" w14:textId="77777777" w:rsidR="002F7068" w:rsidRDefault="002F7068" w:rsidP="00D64F43">
      <w:pPr>
        <w:spacing w:line="360" w:lineRule="auto"/>
        <w:rPr>
          <w:rFonts w:ascii="Arial" w:hAnsi="Arial" w:cs="Arial"/>
          <w:sz w:val="24"/>
          <w:szCs w:val="24"/>
        </w:rPr>
      </w:pPr>
    </w:p>
    <w:p w14:paraId="7839CA30" w14:textId="77777777" w:rsidR="002F7068" w:rsidRDefault="002F7068" w:rsidP="00D64F43">
      <w:pPr>
        <w:spacing w:line="360" w:lineRule="auto"/>
        <w:rPr>
          <w:rFonts w:ascii="Arial" w:hAnsi="Arial" w:cs="Arial"/>
          <w:sz w:val="24"/>
          <w:szCs w:val="24"/>
        </w:rPr>
      </w:pPr>
    </w:p>
    <w:p w14:paraId="3684E96D" w14:textId="77777777" w:rsidR="002F7068" w:rsidRDefault="002F7068" w:rsidP="00D64F43">
      <w:pPr>
        <w:spacing w:line="360" w:lineRule="auto"/>
        <w:rPr>
          <w:rFonts w:ascii="Arial" w:hAnsi="Arial" w:cs="Arial"/>
          <w:sz w:val="24"/>
          <w:szCs w:val="24"/>
        </w:rPr>
      </w:pPr>
    </w:p>
    <w:p w14:paraId="0E624640" w14:textId="77777777" w:rsidR="002F7068" w:rsidRDefault="002F7068" w:rsidP="00D64F43">
      <w:pPr>
        <w:spacing w:line="360" w:lineRule="auto"/>
        <w:rPr>
          <w:rFonts w:ascii="Arial" w:hAnsi="Arial" w:cs="Arial"/>
          <w:sz w:val="24"/>
          <w:szCs w:val="24"/>
        </w:rPr>
      </w:pPr>
    </w:p>
    <w:p w14:paraId="5730C56B" w14:textId="77777777" w:rsidR="002F7068" w:rsidRDefault="002F7068" w:rsidP="00D64F43">
      <w:pPr>
        <w:spacing w:line="360" w:lineRule="auto"/>
        <w:rPr>
          <w:rFonts w:ascii="Arial" w:hAnsi="Arial" w:cs="Arial"/>
          <w:sz w:val="24"/>
          <w:szCs w:val="24"/>
        </w:rPr>
      </w:pPr>
    </w:p>
    <w:p w14:paraId="3146CF45" w14:textId="77777777" w:rsidR="002F7068" w:rsidRDefault="002F7068" w:rsidP="00D64F43">
      <w:pPr>
        <w:spacing w:line="360" w:lineRule="auto"/>
        <w:rPr>
          <w:rFonts w:ascii="Arial" w:hAnsi="Arial" w:cs="Arial"/>
          <w:sz w:val="24"/>
          <w:szCs w:val="24"/>
        </w:rPr>
      </w:pPr>
    </w:p>
    <w:p w14:paraId="4CB7467D" w14:textId="77777777" w:rsidR="002F7068" w:rsidRDefault="002F7068" w:rsidP="00D64F43">
      <w:pPr>
        <w:spacing w:line="360" w:lineRule="auto"/>
        <w:rPr>
          <w:rFonts w:ascii="Arial" w:hAnsi="Arial" w:cs="Arial"/>
          <w:sz w:val="24"/>
          <w:szCs w:val="24"/>
        </w:rPr>
      </w:pPr>
    </w:p>
    <w:p w14:paraId="680E1945" w14:textId="77777777" w:rsidR="002F7068" w:rsidRDefault="002F7068" w:rsidP="00D64F43">
      <w:pPr>
        <w:spacing w:line="360" w:lineRule="auto"/>
        <w:rPr>
          <w:rFonts w:ascii="Arial" w:hAnsi="Arial" w:cs="Arial"/>
          <w:sz w:val="24"/>
          <w:szCs w:val="24"/>
        </w:rPr>
      </w:pPr>
    </w:p>
    <w:p w14:paraId="2681E41C" w14:textId="77777777" w:rsidR="002F7068" w:rsidRDefault="002F7068" w:rsidP="00D64F43">
      <w:pPr>
        <w:spacing w:line="360" w:lineRule="auto"/>
        <w:rPr>
          <w:rFonts w:ascii="Arial" w:hAnsi="Arial" w:cs="Arial"/>
          <w:sz w:val="24"/>
          <w:szCs w:val="24"/>
        </w:rPr>
      </w:pPr>
    </w:p>
    <w:p w14:paraId="332EBD98" w14:textId="77777777" w:rsidR="002F7068" w:rsidRDefault="002F7068" w:rsidP="00D64F43">
      <w:pPr>
        <w:spacing w:line="360" w:lineRule="auto"/>
        <w:rPr>
          <w:rFonts w:ascii="Arial" w:hAnsi="Arial" w:cs="Arial"/>
          <w:sz w:val="24"/>
          <w:szCs w:val="24"/>
        </w:rPr>
      </w:pPr>
    </w:p>
    <w:p w14:paraId="72E8CCBA" w14:textId="77777777" w:rsidR="002F7068" w:rsidRDefault="002F7068" w:rsidP="00D64F43">
      <w:pPr>
        <w:spacing w:line="360" w:lineRule="auto"/>
        <w:rPr>
          <w:rFonts w:ascii="Arial" w:hAnsi="Arial" w:cs="Arial"/>
          <w:sz w:val="24"/>
          <w:szCs w:val="24"/>
        </w:rPr>
      </w:pPr>
    </w:p>
    <w:p w14:paraId="513D5DD2" w14:textId="77777777" w:rsidR="002F7068" w:rsidRDefault="002F7068" w:rsidP="00D64F43">
      <w:pPr>
        <w:spacing w:line="360" w:lineRule="auto"/>
        <w:rPr>
          <w:rFonts w:ascii="Arial" w:hAnsi="Arial" w:cs="Arial"/>
          <w:sz w:val="24"/>
          <w:szCs w:val="24"/>
        </w:rPr>
      </w:pPr>
    </w:p>
    <w:p w14:paraId="630CECB4" w14:textId="77777777" w:rsidR="00D64F43" w:rsidRDefault="00D64F43" w:rsidP="00D64F43">
      <w:pPr>
        <w:spacing w:line="360" w:lineRule="auto"/>
        <w:rPr>
          <w:rFonts w:ascii="Arial" w:hAnsi="Arial" w:cs="Arial"/>
          <w:sz w:val="24"/>
          <w:szCs w:val="24"/>
        </w:rPr>
      </w:pPr>
    </w:p>
    <w:p w14:paraId="27D998C2" w14:textId="023C6C21" w:rsidR="002F7068" w:rsidRPr="00D64F43" w:rsidRDefault="002F7068" w:rsidP="00D64F43">
      <w:pPr>
        <w:spacing w:line="360" w:lineRule="auto"/>
        <w:rPr>
          <w:rFonts w:ascii="Arial" w:hAnsi="Arial" w:cs="Arial"/>
          <w:b/>
          <w:bCs/>
          <w:color w:val="0B769F" w:themeColor="accent4" w:themeShade="BF"/>
          <w:sz w:val="24"/>
          <w:szCs w:val="24"/>
        </w:rPr>
      </w:pPr>
      <w:bookmarkStart w:id="0" w:name="_Hlk166054280"/>
      <w:r w:rsidRPr="00D64F43">
        <w:rPr>
          <w:rFonts w:ascii="Arial" w:hAnsi="Arial" w:cs="Arial"/>
          <w:b/>
          <w:bCs/>
          <w:color w:val="0B769F" w:themeColor="accent4" w:themeShade="BF"/>
          <w:sz w:val="24"/>
          <w:szCs w:val="24"/>
        </w:rPr>
        <w:lastRenderedPageBreak/>
        <w:t>Analytical Approach</w:t>
      </w:r>
    </w:p>
    <w:bookmarkEnd w:id="0"/>
    <w:p w14:paraId="3ADA351D" w14:textId="5B8BCAFE" w:rsidR="002F7068" w:rsidRDefault="002F7068" w:rsidP="00D64F43">
      <w:pPr>
        <w:spacing w:line="360" w:lineRule="auto"/>
        <w:rPr>
          <w:rFonts w:ascii="Arial" w:hAnsi="Arial" w:cs="Arial"/>
          <w:sz w:val="24"/>
          <w:szCs w:val="24"/>
        </w:rPr>
      </w:pPr>
      <w:r w:rsidRPr="002F7068">
        <w:rPr>
          <w:rFonts w:ascii="Arial" w:hAnsi="Arial" w:cs="Arial"/>
          <w:sz w:val="24"/>
          <w:szCs w:val="24"/>
        </w:rPr>
        <w:t xml:space="preserve">This financial analysis of McDonald's Corporation is based on precise financial data from 2021 and 2022, obtained from the company's publicly available financial statements. The calculation and interpretation of key financial ratios </w:t>
      </w:r>
      <w:r>
        <w:rPr>
          <w:rFonts w:ascii="Arial" w:hAnsi="Arial" w:cs="Arial"/>
          <w:sz w:val="24"/>
          <w:szCs w:val="24"/>
        </w:rPr>
        <w:t>are</w:t>
      </w:r>
      <w:r w:rsidRPr="002F7068">
        <w:rPr>
          <w:rFonts w:ascii="Arial" w:hAnsi="Arial" w:cs="Arial"/>
          <w:sz w:val="24"/>
          <w:szCs w:val="24"/>
        </w:rPr>
        <w:t xml:space="preserve"> central to this analysis: liquidity ratios assess the company's ability to meet short-term obligations; profitability ratios evaluate profit generation efficiency; efficiency ratios measure asset utilisation effectiveness; and leverage ratios determine the financial risk associated with debt levels. This set of ratios provides a full perspective of McDonald's financial health and operational success, allowing for a balanced comparison examination over the two years.</w:t>
      </w:r>
    </w:p>
    <w:p w14:paraId="56A880C6" w14:textId="7D54F846" w:rsidR="002F7068" w:rsidRPr="00D64F43" w:rsidRDefault="002F7068" w:rsidP="00D64F43">
      <w:pPr>
        <w:spacing w:line="360" w:lineRule="auto"/>
        <w:rPr>
          <w:rFonts w:ascii="Arial" w:hAnsi="Arial" w:cs="Arial"/>
          <w:b/>
          <w:bCs/>
          <w:color w:val="0B769F" w:themeColor="accent4" w:themeShade="BF"/>
          <w:sz w:val="24"/>
          <w:szCs w:val="24"/>
        </w:rPr>
      </w:pPr>
      <w:bookmarkStart w:id="1" w:name="_Hlk166054318"/>
      <w:r w:rsidRPr="00D64F43">
        <w:rPr>
          <w:rFonts w:ascii="Arial" w:hAnsi="Arial" w:cs="Arial"/>
          <w:b/>
          <w:bCs/>
          <w:color w:val="0B769F" w:themeColor="accent4" w:themeShade="BF"/>
          <w:sz w:val="24"/>
          <w:szCs w:val="24"/>
        </w:rPr>
        <w:t>Financial Ratio Analysis</w:t>
      </w:r>
    </w:p>
    <w:bookmarkEnd w:id="1"/>
    <w:p w14:paraId="1F1EFC85" w14:textId="3C8E6247" w:rsidR="00490342" w:rsidRDefault="00490342" w:rsidP="00D64F43">
      <w:pPr>
        <w:spacing w:line="360" w:lineRule="auto"/>
        <w:rPr>
          <w:rFonts w:ascii="Arial" w:hAnsi="Arial" w:cs="Arial"/>
          <w:sz w:val="24"/>
          <w:szCs w:val="24"/>
        </w:rPr>
      </w:pPr>
      <w:r w:rsidRPr="00D64F43">
        <w:rPr>
          <w:rFonts w:ascii="Arial" w:hAnsi="Arial" w:cs="Arial"/>
          <w:b/>
          <w:bCs/>
          <w:color w:val="0B769F" w:themeColor="accent4" w:themeShade="BF"/>
          <w:sz w:val="24"/>
          <w:szCs w:val="24"/>
        </w:rPr>
        <w:t>Liquidity ratios</w:t>
      </w:r>
      <w:r w:rsidRPr="00D64F43">
        <w:rPr>
          <w:rFonts w:ascii="Arial" w:hAnsi="Arial" w:cs="Arial"/>
          <w:color w:val="0B769F" w:themeColor="accent4" w:themeShade="BF"/>
          <w:sz w:val="24"/>
          <w:szCs w:val="24"/>
        </w:rPr>
        <w:t xml:space="preserve"> </w:t>
      </w:r>
      <w:r w:rsidRPr="00490342">
        <w:rPr>
          <w:rFonts w:ascii="Arial" w:hAnsi="Arial" w:cs="Arial"/>
          <w:sz w:val="24"/>
          <w:szCs w:val="24"/>
        </w:rPr>
        <w:br/>
        <w:t>McDonald's liquidity has been assessed using the current and quick ratios, which are significant measures of the company's capacity to meet short-term liabilities with short-term assets. In 2022, the current ratio was 1.02, slightly lower than 1.06 in 2021. This minor decline implies a tighter liquidity position, which could indicate a reduction in working capital or an increase in short-term liabilities. The fast ratio, which removes inventories from current assets to provide a more stringent evaluation of liquidity, followed suit, showing a fall corresponding to a slight dip in highly liquid assets. These ratios indicate the importance of proper liquidity management, particularly the maintenance of adequate quantities of cash or cash equivalents.</w:t>
      </w:r>
    </w:p>
    <w:p w14:paraId="15F2B8EF" w14:textId="77777777" w:rsidR="00490342" w:rsidRPr="00D64F43" w:rsidRDefault="00490342" w:rsidP="00D64F43">
      <w:pPr>
        <w:spacing w:line="360" w:lineRule="auto"/>
        <w:rPr>
          <w:rFonts w:ascii="Arial" w:hAnsi="Arial" w:cs="Arial"/>
          <w:b/>
          <w:bCs/>
          <w:color w:val="0B769F" w:themeColor="accent4" w:themeShade="BF"/>
          <w:sz w:val="24"/>
          <w:szCs w:val="24"/>
        </w:rPr>
      </w:pPr>
      <w:r w:rsidRPr="00D64F43">
        <w:rPr>
          <w:rFonts w:ascii="Arial" w:hAnsi="Arial" w:cs="Arial"/>
          <w:b/>
          <w:bCs/>
          <w:color w:val="0B769F" w:themeColor="accent4" w:themeShade="BF"/>
          <w:sz w:val="24"/>
          <w:szCs w:val="24"/>
        </w:rPr>
        <w:t>Current Ratio (Current Assets / Current Liabilities)</w:t>
      </w:r>
    </w:p>
    <w:p w14:paraId="1BAD6991" w14:textId="77777777" w:rsidR="00490342" w:rsidRPr="00490342" w:rsidRDefault="00490342" w:rsidP="00D64F43">
      <w:pPr>
        <w:spacing w:line="360" w:lineRule="auto"/>
        <w:rPr>
          <w:rFonts w:ascii="Arial" w:hAnsi="Arial" w:cs="Arial"/>
          <w:sz w:val="24"/>
          <w:szCs w:val="24"/>
        </w:rPr>
      </w:pPr>
      <w:r w:rsidRPr="00490342">
        <w:rPr>
          <w:rFonts w:ascii="Arial" w:hAnsi="Arial" w:cs="Arial"/>
          <w:sz w:val="24"/>
          <w:szCs w:val="24"/>
        </w:rPr>
        <w:t>2022: Current Ratio = 4,354,584 / 4,261,400 = 1.02</w:t>
      </w:r>
    </w:p>
    <w:p w14:paraId="66B790C0" w14:textId="77777777" w:rsidR="00490342" w:rsidRPr="00490342" w:rsidRDefault="00490342" w:rsidP="00D64F43">
      <w:pPr>
        <w:spacing w:line="360" w:lineRule="auto"/>
        <w:rPr>
          <w:rFonts w:ascii="Arial" w:hAnsi="Arial" w:cs="Arial"/>
          <w:sz w:val="24"/>
          <w:szCs w:val="24"/>
        </w:rPr>
      </w:pPr>
      <w:r w:rsidRPr="00490342">
        <w:rPr>
          <w:rFonts w:ascii="Arial" w:hAnsi="Arial" w:cs="Arial"/>
          <w:sz w:val="24"/>
          <w:szCs w:val="24"/>
        </w:rPr>
        <w:t>2021: Current Ratio = 4,020,100 / 3,802,100 = 1.06</w:t>
      </w:r>
    </w:p>
    <w:p w14:paraId="2B3914FB" w14:textId="77777777" w:rsidR="00490342" w:rsidRPr="00D64F43" w:rsidRDefault="00490342" w:rsidP="00D64F43">
      <w:pPr>
        <w:spacing w:line="360" w:lineRule="auto"/>
        <w:rPr>
          <w:rFonts w:ascii="Arial" w:hAnsi="Arial" w:cs="Arial"/>
          <w:b/>
          <w:bCs/>
          <w:color w:val="0B769F" w:themeColor="accent4" w:themeShade="BF"/>
          <w:sz w:val="24"/>
          <w:szCs w:val="24"/>
        </w:rPr>
      </w:pPr>
      <w:r w:rsidRPr="00D64F43">
        <w:rPr>
          <w:rFonts w:ascii="Arial" w:hAnsi="Arial" w:cs="Arial"/>
          <w:b/>
          <w:bCs/>
          <w:color w:val="0B769F" w:themeColor="accent4" w:themeShade="BF"/>
          <w:sz w:val="24"/>
          <w:szCs w:val="24"/>
        </w:rPr>
        <w:t>Quick Ratio (Current Assets - Inventories) / Current Liabilities</w:t>
      </w:r>
    </w:p>
    <w:p w14:paraId="47E6A4FE" w14:textId="77777777" w:rsidR="00490342" w:rsidRPr="00490342" w:rsidRDefault="00490342" w:rsidP="00D64F43">
      <w:pPr>
        <w:spacing w:line="360" w:lineRule="auto"/>
        <w:rPr>
          <w:rFonts w:ascii="Arial" w:hAnsi="Arial" w:cs="Arial"/>
          <w:sz w:val="24"/>
          <w:szCs w:val="24"/>
        </w:rPr>
      </w:pPr>
      <w:r w:rsidRPr="00490342">
        <w:rPr>
          <w:rFonts w:ascii="Arial" w:hAnsi="Arial" w:cs="Arial"/>
          <w:sz w:val="24"/>
          <w:szCs w:val="24"/>
        </w:rPr>
        <w:t>2022: Quick Ratio = (4,354,584 - 0) / 4,261,400 = 1.02 (Assuming negligible inventory)</w:t>
      </w:r>
    </w:p>
    <w:p w14:paraId="7F327914" w14:textId="76548CDF" w:rsidR="00490342" w:rsidRDefault="00490342" w:rsidP="00D64F43">
      <w:pPr>
        <w:spacing w:line="360" w:lineRule="auto"/>
        <w:rPr>
          <w:rFonts w:ascii="Arial" w:hAnsi="Arial" w:cs="Arial"/>
          <w:sz w:val="24"/>
          <w:szCs w:val="24"/>
        </w:rPr>
      </w:pPr>
      <w:r w:rsidRPr="00490342">
        <w:rPr>
          <w:rFonts w:ascii="Arial" w:hAnsi="Arial" w:cs="Arial"/>
          <w:sz w:val="24"/>
          <w:szCs w:val="24"/>
        </w:rPr>
        <w:t>2021: Quick Ratio = (4,020,100 - 0) / 3,802,100 = 1.06</w:t>
      </w:r>
    </w:p>
    <w:p w14:paraId="457190E9" w14:textId="77777777" w:rsidR="00D64F43" w:rsidRDefault="00D64F43" w:rsidP="00D64F43">
      <w:pPr>
        <w:spacing w:line="360" w:lineRule="auto"/>
        <w:rPr>
          <w:rFonts w:ascii="Arial" w:hAnsi="Arial" w:cs="Arial"/>
          <w:b/>
          <w:bCs/>
          <w:color w:val="0B769F" w:themeColor="accent4" w:themeShade="BF"/>
          <w:sz w:val="24"/>
          <w:szCs w:val="24"/>
        </w:rPr>
      </w:pPr>
    </w:p>
    <w:p w14:paraId="1273D6DD" w14:textId="01E19083" w:rsidR="00490342" w:rsidRPr="00D64F43" w:rsidRDefault="00490342" w:rsidP="00D64F43">
      <w:pPr>
        <w:spacing w:line="360" w:lineRule="auto"/>
        <w:rPr>
          <w:rFonts w:ascii="Arial" w:hAnsi="Arial" w:cs="Arial"/>
          <w:b/>
          <w:bCs/>
          <w:color w:val="0B769F" w:themeColor="accent4" w:themeShade="BF"/>
          <w:sz w:val="24"/>
          <w:szCs w:val="24"/>
        </w:rPr>
      </w:pPr>
      <w:r w:rsidRPr="00D64F43">
        <w:rPr>
          <w:rFonts w:ascii="Arial" w:hAnsi="Arial" w:cs="Arial"/>
          <w:b/>
          <w:bCs/>
          <w:color w:val="0B769F" w:themeColor="accent4" w:themeShade="BF"/>
          <w:sz w:val="24"/>
          <w:szCs w:val="24"/>
        </w:rPr>
        <w:lastRenderedPageBreak/>
        <w:t>Profitability Ratios</w:t>
      </w:r>
    </w:p>
    <w:p w14:paraId="53BD7440" w14:textId="7C5EC162" w:rsidR="00490342" w:rsidRDefault="00490342" w:rsidP="00D64F43">
      <w:pPr>
        <w:spacing w:line="360" w:lineRule="auto"/>
        <w:rPr>
          <w:rFonts w:ascii="Arial" w:hAnsi="Arial" w:cs="Arial"/>
          <w:sz w:val="24"/>
          <w:szCs w:val="24"/>
        </w:rPr>
      </w:pPr>
      <w:r w:rsidRPr="00490342">
        <w:rPr>
          <w:rFonts w:ascii="Arial" w:hAnsi="Arial" w:cs="Arial"/>
          <w:sz w:val="24"/>
          <w:szCs w:val="24"/>
        </w:rPr>
        <w:t>Profitability Ratios such as net profit margin and return on assets (ROA) provide insight into McDonald's profitability and operational efficiency. The net profit margin fell from 32.48% in 2021 to 26.65% in 2022, indicating a more difficult year for maintaining profitability. This was mostly due to rising operational costs and perhaps higher material prices, which impacted the cost of sales. The ROA also fell from 14.01% in 2021 to 12.24% in 2022, showing that assets were used less effectively to create profit. This shows that, while revenue may be increasing, it is not translating as efficiently into net income, possibly due to an expanded asset base or inefficient asset utilisation.</w:t>
      </w:r>
    </w:p>
    <w:p w14:paraId="1E951834" w14:textId="20F22F3F" w:rsidR="00490342" w:rsidRPr="00D64F43" w:rsidRDefault="00490342" w:rsidP="00D64F43">
      <w:pPr>
        <w:spacing w:line="360" w:lineRule="auto"/>
        <w:rPr>
          <w:rFonts w:ascii="Arial" w:hAnsi="Arial" w:cs="Arial"/>
          <w:b/>
          <w:bCs/>
          <w:color w:val="0B769F" w:themeColor="accent4" w:themeShade="BF"/>
          <w:sz w:val="24"/>
          <w:szCs w:val="24"/>
        </w:rPr>
      </w:pPr>
      <w:r w:rsidRPr="00D64F43">
        <w:rPr>
          <w:rFonts w:ascii="Arial" w:hAnsi="Arial" w:cs="Arial"/>
          <w:b/>
          <w:bCs/>
          <w:color w:val="0B769F" w:themeColor="accent4" w:themeShade="BF"/>
          <w:sz w:val="24"/>
          <w:szCs w:val="24"/>
        </w:rPr>
        <w:t>Net Profit Margin = (Net Income / Revenue) * 100</w:t>
      </w:r>
    </w:p>
    <w:p w14:paraId="58CE53BD" w14:textId="77777777" w:rsidR="00490342" w:rsidRPr="00490342" w:rsidRDefault="00490342" w:rsidP="00D64F43">
      <w:pPr>
        <w:spacing w:line="360" w:lineRule="auto"/>
        <w:rPr>
          <w:rFonts w:ascii="Arial" w:hAnsi="Arial" w:cs="Arial"/>
          <w:sz w:val="24"/>
          <w:szCs w:val="24"/>
        </w:rPr>
      </w:pPr>
      <w:r w:rsidRPr="00490342">
        <w:rPr>
          <w:rFonts w:ascii="Arial" w:hAnsi="Arial" w:cs="Arial"/>
          <w:sz w:val="24"/>
          <w:szCs w:val="24"/>
        </w:rPr>
        <w:t>2022: Net Profit Margin = (6,177,400 / 23,182,600) * 100 = 26.65%</w:t>
      </w:r>
    </w:p>
    <w:p w14:paraId="7E6F531F" w14:textId="77777777" w:rsidR="00490342" w:rsidRPr="00490342" w:rsidRDefault="00490342" w:rsidP="00D64F43">
      <w:pPr>
        <w:spacing w:line="360" w:lineRule="auto"/>
        <w:rPr>
          <w:rFonts w:ascii="Arial" w:hAnsi="Arial" w:cs="Arial"/>
          <w:sz w:val="24"/>
          <w:szCs w:val="24"/>
        </w:rPr>
      </w:pPr>
      <w:r w:rsidRPr="00490342">
        <w:rPr>
          <w:rFonts w:ascii="Arial" w:hAnsi="Arial" w:cs="Arial"/>
          <w:sz w:val="24"/>
          <w:szCs w:val="24"/>
        </w:rPr>
        <w:t>2021: Net Profit Margin = (7,545,200 / 23,222,900) * 100 = 32.48%</w:t>
      </w:r>
    </w:p>
    <w:p w14:paraId="0FD4C7D2" w14:textId="77777777" w:rsidR="00490342" w:rsidRPr="00A430CC" w:rsidRDefault="00490342" w:rsidP="00D64F43">
      <w:pPr>
        <w:spacing w:line="360" w:lineRule="auto"/>
        <w:rPr>
          <w:rFonts w:ascii="Arial" w:hAnsi="Arial" w:cs="Arial"/>
          <w:b/>
          <w:bCs/>
          <w:color w:val="0B769F" w:themeColor="accent4" w:themeShade="BF"/>
          <w:sz w:val="24"/>
          <w:szCs w:val="24"/>
        </w:rPr>
      </w:pPr>
      <w:r w:rsidRPr="00A430CC">
        <w:rPr>
          <w:rFonts w:ascii="Arial" w:hAnsi="Arial" w:cs="Arial"/>
          <w:b/>
          <w:bCs/>
          <w:color w:val="0B769F" w:themeColor="accent4" w:themeShade="BF"/>
          <w:sz w:val="24"/>
          <w:szCs w:val="24"/>
        </w:rPr>
        <w:t>Return on Assets (ROA) = (Net Income / Total Assets) * 100</w:t>
      </w:r>
    </w:p>
    <w:p w14:paraId="71028AFE" w14:textId="77777777" w:rsidR="00490342" w:rsidRPr="00490342" w:rsidRDefault="00490342" w:rsidP="00D64F43">
      <w:pPr>
        <w:spacing w:line="360" w:lineRule="auto"/>
        <w:rPr>
          <w:rFonts w:ascii="Arial" w:hAnsi="Arial" w:cs="Arial"/>
          <w:sz w:val="24"/>
          <w:szCs w:val="24"/>
        </w:rPr>
      </w:pPr>
      <w:r w:rsidRPr="00490342">
        <w:rPr>
          <w:rFonts w:ascii="Arial" w:hAnsi="Arial" w:cs="Arial"/>
          <w:sz w:val="24"/>
          <w:szCs w:val="24"/>
        </w:rPr>
        <w:t>2022: ROA = (6,177,400 / 50,435,600) * 100 = 12.24%</w:t>
      </w:r>
    </w:p>
    <w:p w14:paraId="2419772E" w14:textId="099B2BF6" w:rsidR="00490342" w:rsidRDefault="00490342" w:rsidP="00D64F43">
      <w:pPr>
        <w:spacing w:line="360" w:lineRule="auto"/>
        <w:rPr>
          <w:rFonts w:ascii="Arial" w:hAnsi="Arial" w:cs="Arial"/>
          <w:sz w:val="24"/>
          <w:szCs w:val="24"/>
        </w:rPr>
      </w:pPr>
      <w:r w:rsidRPr="00490342">
        <w:rPr>
          <w:rFonts w:ascii="Arial" w:hAnsi="Arial" w:cs="Arial"/>
          <w:sz w:val="24"/>
          <w:szCs w:val="24"/>
        </w:rPr>
        <w:t>2021: ROA = (7,545,200 / 53,854,300) * 100 = 14.01%</w:t>
      </w:r>
    </w:p>
    <w:p w14:paraId="15B6C2DD" w14:textId="73F61C19" w:rsidR="00490342" w:rsidRDefault="00490342" w:rsidP="00D64F43">
      <w:pPr>
        <w:spacing w:line="360" w:lineRule="auto"/>
        <w:rPr>
          <w:rFonts w:ascii="Arial" w:hAnsi="Arial" w:cs="Arial"/>
          <w:sz w:val="24"/>
          <w:szCs w:val="24"/>
        </w:rPr>
      </w:pPr>
      <w:r w:rsidRPr="00D64F43">
        <w:rPr>
          <w:rFonts w:ascii="Arial" w:hAnsi="Arial" w:cs="Arial"/>
          <w:b/>
          <w:bCs/>
          <w:color w:val="0B769F" w:themeColor="accent4" w:themeShade="BF"/>
          <w:sz w:val="24"/>
          <w:szCs w:val="24"/>
        </w:rPr>
        <w:t>Efficiency ratios</w:t>
      </w:r>
      <w:r w:rsidRPr="00490342">
        <w:rPr>
          <w:rFonts w:ascii="Arial" w:hAnsi="Arial" w:cs="Arial"/>
          <w:sz w:val="24"/>
          <w:szCs w:val="24"/>
        </w:rPr>
        <w:br/>
        <w:t xml:space="preserve">The asset turnover ratio, which evaluates how efficiently a company uses its assets to generate sales, improved slightly from 0.43 in 2021 to 0.46 in 2022. This improvement suggests that McDonald's has slightly improved its ability to use its assets to create revenue. However, the difference is not considerable, implying that, while there are improvements, major gains in operational efficiency may still be required </w:t>
      </w:r>
      <w:r>
        <w:rPr>
          <w:rFonts w:ascii="Arial" w:hAnsi="Arial" w:cs="Arial"/>
          <w:sz w:val="24"/>
          <w:szCs w:val="24"/>
        </w:rPr>
        <w:t>to influence overall financial health significantly</w:t>
      </w:r>
      <w:r w:rsidRPr="00490342">
        <w:rPr>
          <w:rFonts w:ascii="Arial" w:hAnsi="Arial" w:cs="Arial"/>
          <w:sz w:val="24"/>
          <w:szCs w:val="24"/>
        </w:rPr>
        <w:t>.</w:t>
      </w:r>
    </w:p>
    <w:p w14:paraId="35D3BEFF" w14:textId="77777777" w:rsidR="00490342" w:rsidRPr="00D64F43" w:rsidRDefault="00490342" w:rsidP="00D64F43">
      <w:pPr>
        <w:spacing w:line="360" w:lineRule="auto"/>
        <w:rPr>
          <w:rFonts w:ascii="Arial" w:hAnsi="Arial" w:cs="Arial"/>
          <w:b/>
          <w:bCs/>
          <w:color w:val="0B769F" w:themeColor="accent4" w:themeShade="BF"/>
          <w:sz w:val="24"/>
          <w:szCs w:val="24"/>
        </w:rPr>
      </w:pPr>
      <w:r w:rsidRPr="00D64F43">
        <w:rPr>
          <w:rFonts w:ascii="Arial" w:hAnsi="Arial" w:cs="Arial"/>
          <w:b/>
          <w:bCs/>
          <w:color w:val="0B769F" w:themeColor="accent4" w:themeShade="BF"/>
          <w:sz w:val="24"/>
          <w:szCs w:val="24"/>
        </w:rPr>
        <w:t>Asset Turnover Ratio = Revenue / Total Assets</w:t>
      </w:r>
    </w:p>
    <w:p w14:paraId="175310B6" w14:textId="77777777" w:rsidR="00490342" w:rsidRPr="00490342" w:rsidRDefault="00490342" w:rsidP="00D64F43">
      <w:pPr>
        <w:spacing w:line="360" w:lineRule="auto"/>
        <w:rPr>
          <w:rFonts w:ascii="Arial" w:hAnsi="Arial" w:cs="Arial"/>
          <w:sz w:val="24"/>
          <w:szCs w:val="24"/>
        </w:rPr>
      </w:pPr>
      <w:r w:rsidRPr="00490342">
        <w:rPr>
          <w:rFonts w:ascii="Arial" w:hAnsi="Arial" w:cs="Arial"/>
          <w:sz w:val="24"/>
          <w:szCs w:val="24"/>
        </w:rPr>
        <w:t>2022: Asset Turnover Ratio = 23,182,600 / 50,435,600 = 0.46</w:t>
      </w:r>
    </w:p>
    <w:p w14:paraId="24EE6933" w14:textId="68B4C1F3" w:rsidR="00490342" w:rsidRDefault="00490342" w:rsidP="00D64F43">
      <w:pPr>
        <w:spacing w:line="360" w:lineRule="auto"/>
        <w:rPr>
          <w:rFonts w:ascii="Arial" w:hAnsi="Arial" w:cs="Arial"/>
          <w:sz w:val="24"/>
          <w:szCs w:val="24"/>
        </w:rPr>
      </w:pPr>
      <w:r w:rsidRPr="00490342">
        <w:rPr>
          <w:rFonts w:ascii="Arial" w:hAnsi="Arial" w:cs="Arial"/>
          <w:sz w:val="24"/>
          <w:szCs w:val="24"/>
        </w:rPr>
        <w:t>2021: Asset Turnover Ratio = 23,222,900 / 53,854,300 = 0.43</w:t>
      </w:r>
    </w:p>
    <w:p w14:paraId="3BA87C53" w14:textId="640E593F" w:rsidR="00490342" w:rsidRDefault="00490342" w:rsidP="00D64F43">
      <w:pPr>
        <w:spacing w:line="360" w:lineRule="auto"/>
        <w:rPr>
          <w:rFonts w:ascii="Arial" w:hAnsi="Arial" w:cs="Arial"/>
          <w:sz w:val="24"/>
          <w:szCs w:val="24"/>
        </w:rPr>
      </w:pPr>
      <w:r w:rsidRPr="00D64F43">
        <w:rPr>
          <w:rFonts w:ascii="Arial" w:hAnsi="Arial" w:cs="Arial"/>
          <w:b/>
          <w:bCs/>
          <w:color w:val="0B769F" w:themeColor="accent4" w:themeShade="BF"/>
          <w:sz w:val="24"/>
          <w:szCs w:val="24"/>
        </w:rPr>
        <w:t>Leverage ratios</w:t>
      </w:r>
      <w:r w:rsidRPr="00D64F43">
        <w:rPr>
          <w:rFonts w:ascii="Arial" w:hAnsi="Arial" w:cs="Arial"/>
          <w:b/>
          <w:bCs/>
          <w:color w:val="0B769F" w:themeColor="accent4" w:themeShade="BF"/>
          <w:sz w:val="24"/>
          <w:szCs w:val="24"/>
        </w:rPr>
        <w:br/>
      </w:r>
      <w:r w:rsidRPr="00490342">
        <w:rPr>
          <w:rFonts w:ascii="Arial" w:hAnsi="Arial" w:cs="Arial"/>
          <w:sz w:val="24"/>
          <w:szCs w:val="24"/>
        </w:rPr>
        <w:t xml:space="preserve">The debt-to-equity ratio measures the extent to which a firm finances its activities with debt rather than entirely owned money. McDonald's demonstrated a concerning </w:t>
      </w:r>
      <w:r w:rsidRPr="00490342">
        <w:rPr>
          <w:rFonts w:ascii="Arial" w:hAnsi="Arial" w:cs="Arial"/>
          <w:sz w:val="24"/>
          <w:szCs w:val="24"/>
        </w:rPr>
        <w:lastRenderedPageBreak/>
        <w:t>trend in this area, with the ratio predicting increased financial leverage and a prolonged negative equity position in 2022. This scenario of high leverage and negative shareholder equity highlights a possible risk scenario in which debt levels may become unsustainable if profitability does not improve or asset prices fall.</w:t>
      </w:r>
    </w:p>
    <w:p w14:paraId="15004E60" w14:textId="77777777" w:rsidR="00490342" w:rsidRPr="00D64F43" w:rsidRDefault="00490342" w:rsidP="00D64F43">
      <w:pPr>
        <w:spacing w:line="360" w:lineRule="auto"/>
        <w:rPr>
          <w:rFonts w:ascii="Arial" w:hAnsi="Arial" w:cs="Arial"/>
          <w:b/>
          <w:bCs/>
          <w:color w:val="0B769F" w:themeColor="accent4" w:themeShade="BF"/>
          <w:sz w:val="24"/>
          <w:szCs w:val="24"/>
        </w:rPr>
      </w:pPr>
      <w:r w:rsidRPr="00D64F43">
        <w:rPr>
          <w:rFonts w:ascii="Arial" w:hAnsi="Arial" w:cs="Arial"/>
          <w:b/>
          <w:bCs/>
          <w:color w:val="0B769F" w:themeColor="accent4" w:themeShade="BF"/>
          <w:sz w:val="24"/>
          <w:szCs w:val="24"/>
        </w:rPr>
        <w:t>Debt to Equity Ratio = Total Debt / Total Equity</w:t>
      </w:r>
    </w:p>
    <w:p w14:paraId="47CB7C3C" w14:textId="77777777" w:rsidR="00490342" w:rsidRPr="00490342" w:rsidRDefault="00490342" w:rsidP="00D64F43">
      <w:pPr>
        <w:spacing w:line="360" w:lineRule="auto"/>
        <w:rPr>
          <w:rFonts w:ascii="Arial" w:hAnsi="Arial" w:cs="Arial"/>
          <w:sz w:val="24"/>
          <w:szCs w:val="24"/>
        </w:rPr>
      </w:pPr>
      <w:r w:rsidRPr="00490342">
        <w:rPr>
          <w:rFonts w:ascii="Arial" w:hAnsi="Arial" w:cs="Arial"/>
          <w:sz w:val="24"/>
          <w:szCs w:val="24"/>
        </w:rPr>
        <w:t>2022: Debt to Equity Ratio = 56,439,000 / -6,003,400 = -9.40 (Note: Negative equity indicates financial distress)</w:t>
      </w:r>
    </w:p>
    <w:p w14:paraId="0C8C6295" w14:textId="6469EEF3" w:rsidR="00490342" w:rsidRDefault="00490342" w:rsidP="00D64F43">
      <w:pPr>
        <w:spacing w:line="360" w:lineRule="auto"/>
        <w:rPr>
          <w:rFonts w:ascii="Arial" w:hAnsi="Arial" w:cs="Arial"/>
          <w:sz w:val="24"/>
          <w:szCs w:val="24"/>
        </w:rPr>
      </w:pPr>
      <w:r w:rsidRPr="00490342">
        <w:rPr>
          <w:rFonts w:ascii="Arial" w:hAnsi="Arial" w:cs="Arial"/>
          <w:sz w:val="24"/>
          <w:szCs w:val="24"/>
        </w:rPr>
        <w:t>2021: Debt to Equity Ratio = 58,455,300 / -4,601,000 = -12.71</w:t>
      </w:r>
    </w:p>
    <w:p w14:paraId="02E917A7" w14:textId="77777777" w:rsidR="00A430CC" w:rsidRPr="00A430CC" w:rsidRDefault="00490342" w:rsidP="00A430CC">
      <w:pPr>
        <w:spacing w:line="360" w:lineRule="auto"/>
        <w:rPr>
          <w:rFonts w:ascii="Arial" w:hAnsi="Arial" w:cs="Arial"/>
          <w:sz w:val="24"/>
          <w:szCs w:val="24"/>
        </w:rPr>
      </w:pPr>
      <w:r w:rsidRPr="00A430CC">
        <w:rPr>
          <w:rFonts w:ascii="Arial" w:hAnsi="Arial" w:cs="Arial"/>
          <w:sz w:val="24"/>
          <w:szCs w:val="24"/>
        </w:rPr>
        <w:t xml:space="preserve">These figures provide some important insights into McDonald's financial health: </w:t>
      </w:r>
    </w:p>
    <w:p w14:paraId="6632BA3A" w14:textId="77777777" w:rsidR="00A430CC" w:rsidRDefault="00490342" w:rsidP="00A430CC">
      <w:pPr>
        <w:pStyle w:val="ListParagraph"/>
        <w:numPr>
          <w:ilvl w:val="0"/>
          <w:numId w:val="3"/>
        </w:numPr>
        <w:spacing w:line="360" w:lineRule="auto"/>
        <w:rPr>
          <w:rFonts w:ascii="Arial" w:hAnsi="Arial" w:cs="Arial"/>
          <w:sz w:val="24"/>
          <w:szCs w:val="24"/>
        </w:rPr>
      </w:pPr>
      <w:r w:rsidRPr="00A430CC">
        <w:rPr>
          <w:rFonts w:ascii="Arial" w:hAnsi="Arial" w:cs="Arial"/>
          <w:sz w:val="24"/>
          <w:szCs w:val="24"/>
        </w:rPr>
        <w:t xml:space="preserve">Liquidity: There is a modest drop in liquidity between 2021 and 2022, indicating stricter cash flow management. </w:t>
      </w:r>
    </w:p>
    <w:p w14:paraId="74E613E9" w14:textId="77777777" w:rsidR="00A430CC" w:rsidRDefault="00490342" w:rsidP="00A430CC">
      <w:pPr>
        <w:pStyle w:val="ListParagraph"/>
        <w:numPr>
          <w:ilvl w:val="0"/>
          <w:numId w:val="3"/>
        </w:numPr>
        <w:spacing w:line="360" w:lineRule="auto"/>
        <w:rPr>
          <w:rFonts w:ascii="Arial" w:hAnsi="Arial" w:cs="Arial"/>
          <w:sz w:val="24"/>
          <w:szCs w:val="24"/>
        </w:rPr>
      </w:pPr>
      <w:r w:rsidRPr="00A430CC">
        <w:rPr>
          <w:rFonts w:ascii="Arial" w:hAnsi="Arial" w:cs="Arial"/>
          <w:sz w:val="24"/>
          <w:szCs w:val="24"/>
        </w:rPr>
        <w:t xml:space="preserve">Profitability: There is a significant decline in profitability, indicating higher costs or decreased sales efficiency. </w:t>
      </w:r>
    </w:p>
    <w:p w14:paraId="08EB6B6B" w14:textId="77777777" w:rsidR="00A430CC" w:rsidRDefault="00490342" w:rsidP="00A430CC">
      <w:pPr>
        <w:pStyle w:val="ListParagraph"/>
        <w:numPr>
          <w:ilvl w:val="0"/>
          <w:numId w:val="3"/>
        </w:numPr>
        <w:spacing w:line="360" w:lineRule="auto"/>
        <w:rPr>
          <w:rFonts w:ascii="Arial" w:hAnsi="Arial" w:cs="Arial"/>
          <w:sz w:val="24"/>
          <w:szCs w:val="24"/>
        </w:rPr>
      </w:pPr>
      <w:r w:rsidRPr="00A430CC">
        <w:rPr>
          <w:rFonts w:ascii="Arial" w:hAnsi="Arial" w:cs="Arial"/>
          <w:sz w:val="24"/>
          <w:szCs w:val="24"/>
        </w:rPr>
        <w:t xml:space="preserve">Efficiency: A little increase in asset utilisation shows better management, however minor. </w:t>
      </w:r>
    </w:p>
    <w:p w14:paraId="1B6C4D09" w14:textId="77777777" w:rsidR="00A430CC" w:rsidRDefault="00490342" w:rsidP="00A430CC">
      <w:pPr>
        <w:pStyle w:val="ListParagraph"/>
        <w:numPr>
          <w:ilvl w:val="0"/>
          <w:numId w:val="3"/>
        </w:numPr>
        <w:spacing w:line="360" w:lineRule="auto"/>
        <w:rPr>
          <w:rFonts w:ascii="Arial" w:hAnsi="Arial" w:cs="Arial"/>
          <w:sz w:val="24"/>
          <w:szCs w:val="24"/>
        </w:rPr>
      </w:pPr>
      <w:r w:rsidRPr="00A430CC">
        <w:rPr>
          <w:rFonts w:ascii="Arial" w:hAnsi="Arial" w:cs="Arial"/>
          <w:sz w:val="24"/>
          <w:szCs w:val="24"/>
        </w:rPr>
        <w:t xml:space="preserve">Leverage: High negative debt-to-equity ratios imply an increase in debt and financial risk, which is exacerbated by negative equity values. </w:t>
      </w:r>
    </w:p>
    <w:p w14:paraId="6B2D1458" w14:textId="230895EC" w:rsidR="00490342" w:rsidRPr="00A430CC" w:rsidRDefault="00490342" w:rsidP="00A430CC">
      <w:pPr>
        <w:spacing w:line="360" w:lineRule="auto"/>
        <w:rPr>
          <w:rFonts w:ascii="Arial" w:hAnsi="Arial" w:cs="Arial"/>
          <w:sz w:val="24"/>
          <w:szCs w:val="24"/>
        </w:rPr>
      </w:pPr>
      <w:r w:rsidRPr="00A430CC">
        <w:rPr>
          <w:rFonts w:ascii="Arial" w:hAnsi="Arial" w:cs="Arial"/>
          <w:sz w:val="24"/>
          <w:szCs w:val="24"/>
        </w:rPr>
        <w:t xml:space="preserve">These measures provide a picture of the financial issues and operational dynamics that McDonald's has experienced during the study period, leading </w:t>
      </w:r>
      <w:r w:rsidRPr="00A430CC">
        <w:rPr>
          <w:rFonts w:ascii="Arial" w:hAnsi="Arial" w:cs="Arial"/>
          <w:sz w:val="24"/>
          <w:szCs w:val="24"/>
        </w:rPr>
        <w:t xml:space="preserve">to </w:t>
      </w:r>
      <w:r w:rsidRPr="00A430CC">
        <w:rPr>
          <w:rFonts w:ascii="Arial" w:hAnsi="Arial" w:cs="Arial"/>
          <w:sz w:val="24"/>
          <w:szCs w:val="24"/>
        </w:rPr>
        <w:t>potential strategic decisions to improve financial stability.</w:t>
      </w:r>
    </w:p>
    <w:p w14:paraId="264EE903" w14:textId="4589A20E" w:rsidR="009F677D" w:rsidRPr="00D64F43" w:rsidRDefault="009F677D" w:rsidP="00D64F43">
      <w:pPr>
        <w:spacing w:line="360" w:lineRule="auto"/>
        <w:rPr>
          <w:rFonts w:ascii="Arial" w:hAnsi="Arial" w:cs="Arial"/>
          <w:b/>
          <w:bCs/>
          <w:color w:val="0B769F" w:themeColor="accent4" w:themeShade="BF"/>
          <w:sz w:val="24"/>
          <w:szCs w:val="24"/>
        </w:rPr>
      </w:pPr>
      <w:bookmarkStart w:id="2" w:name="_Hlk166054362"/>
      <w:r w:rsidRPr="00D64F43">
        <w:rPr>
          <w:rFonts w:ascii="Arial" w:hAnsi="Arial" w:cs="Arial"/>
          <w:b/>
          <w:bCs/>
          <w:color w:val="0B769F" w:themeColor="accent4" w:themeShade="BF"/>
          <w:sz w:val="24"/>
          <w:szCs w:val="24"/>
        </w:rPr>
        <w:t>Yearly Financial Trends</w:t>
      </w:r>
    </w:p>
    <w:bookmarkEnd w:id="2"/>
    <w:p w14:paraId="385772C0" w14:textId="26B40902" w:rsidR="009F677D" w:rsidRDefault="009F677D" w:rsidP="00D64F43">
      <w:pPr>
        <w:spacing w:line="360" w:lineRule="auto"/>
        <w:rPr>
          <w:rFonts w:ascii="Arial" w:hAnsi="Arial" w:cs="Arial"/>
          <w:sz w:val="24"/>
          <w:szCs w:val="24"/>
        </w:rPr>
      </w:pPr>
      <w:r w:rsidRPr="009F677D">
        <w:rPr>
          <w:rFonts w:ascii="Arial" w:hAnsi="Arial" w:cs="Arial"/>
          <w:sz w:val="24"/>
          <w:szCs w:val="24"/>
        </w:rPr>
        <w:t>McDonald's financial results in fiscal years 2021 and 2022 were inconsistent with macroeconomic factors and strategic initiatives having a substantial impact. In 2021, McDonald's reported a good net profit margin of 32.48%, which fell to 26.65% in 2022. This drop is mostly due to growing operating expenses, such as labour and commodities, which increased as a result of global inflationary pressures during the pandemic recovery (McDonald's Corporation, 2022). Such financial consequences are consistent with Weetman's analysis of how external economic forces can affect business financial performance (Weetman, 2016).</w:t>
      </w:r>
    </w:p>
    <w:p w14:paraId="039F68B3" w14:textId="2C14EDDF" w:rsidR="009F677D" w:rsidRDefault="009F677D" w:rsidP="00D64F43">
      <w:pPr>
        <w:spacing w:line="360" w:lineRule="auto"/>
        <w:rPr>
          <w:rFonts w:ascii="Arial" w:hAnsi="Arial" w:cs="Arial"/>
          <w:sz w:val="24"/>
          <w:szCs w:val="24"/>
        </w:rPr>
      </w:pPr>
      <w:r w:rsidRPr="009F677D">
        <w:rPr>
          <w:rFonts w:ascii="Arial" w:hAnsi="Arial" w:cs="Arial"/>
          <w:sz w:val="24"/>
          <w:szCs w:val="24"/>
        </w:rPr>
        <w:lastRenderedPageBreak/>
        <w:t xml:space="preserve">McDonald's Corporation's return on assets (ROA) fell from 14.01% in 2021 to 12.24% in 2022, indicating a reduction in the efficiency with which profits are generated from its assets. However, the asset turnover ratio improved slightly, from 0.43 in 2021 to 0.46 in 2022, showing a tiny rise in asset utilisation to generate sales. According to Wood (2015), these measures are crucial for determining a company's efficiency in managing its resources </w:t>
      </w:r>
      <w:r>
        <w:rPr>
          <w:rFonts w:ascii="Arial" w:hAnsi="Arial" w:cs="Arial"/>
          <w:sz w:val="24"/>
          <w:szCs w:val="24"/>
        </w:rPr>
        <w:t>to</w:t>
      </w:r>
      <w:r w:rsidRPr="009F677D">
        <w:rPr>
          <w:rFonts w:ascii="Arial" w:hAnsi="Arial" w:cs="Arial"/>
          <w:sz w:val="24"/>
          <w:szCs w:val="24"/>
        </w:rPr>
        <w:t xml:space="preserve"> maximise income.</w:t>
      </w:r>
    </w:p>
    <w:p w14:paraId="7E1D31BE" w14:textId="3A0B566C" w:rsidR="009F677D" w:rsidRDefault="009F677D" w:rsidP="00D64F43">
      <w:pPr>
        <w:spacing w:line="360" w:lineRule="auto"/>
        <w:rPr>
          <w:rFonts w:ascii="Arial" w:hAnsi="Arial" w:cs="Arial"/>
          <w:sz w:val="24"/>
          <w:szCs w:val="24"/>
        </w:rPr>
      </w:pPr>
      <w:r w:rsidRPr="009F677D">
        <w:rPr>
          <w:rFonts w:ascii="Arial" w:hAnsi="Arial" w:cs="Arial"/>
          <w:sz w:val="24"/>
          <w:szCs w:val="24"/>
        </w:rPr>
        <w:t xml:space="preserve">Strategically, McDonald's continued investment in digital innovation and market expansion reflects its long-term growth strategy, which is consistent with the strategic management principles discussed by Choi and Wang (2009), who emphasise the importance of aligning corporate strategies with stakeholder expectations </w:t>
      </w:r>
      <w:r>
        <w:rPr>
          <w:rFonts w:ascii="Arial" w:hAnsi="Arial" w:cs="Arial"/>
          <w:sz w:val="24"/>
          <w:szCs w:val="24"/>
        </w:rPr>
        <w:t>to</w:t>
      </w:r>
      <w:r w:rsidRPr="009F677D">
        <w:rPr>
          <w:rFonts w:ascii="Arial" w:hAnsi="Arial" w:cs="Arial"/>
          <w:sz w:val="24"/>
          <w:szCs w:val="24"/>
        </w:rPr>
        <w:t xml:space="preserve"> maintain financial performance. These initiatives, while initially pricey, aim to improve customer interaction and operational efficiencies, which are critical as the company adapts to changing consumer tastes and a competitive market landscape (McDonald's Corporation, 2022).</w:t>
      </w:r>
    </w:p>
    <w:p w14:paraId="5DD546E7" w14:textId="46174C74" w:rsidR="009F677D" w:rsidRDefault="009F677D" w:rsidP="00D64F43">
      <w:pPr>
        <w:spacing w:line="360" w:lineRule="auto"/>
        <w:rPr>
          <w:rFonts w:ascii="Arial" w:hAnsi="Arial" w:cs="Arial"/>
          <w:sz w:val="24"/>
          <w:szCs w:val="24"/>
        </w:rPr>
      </w:pPr>
      <w:r w:rsidRPr="009F677D">
        <w:rPr>
          <w:rFonts w:ascii="Arial" w:hAnsi="Arial" w:cs="Arial"/>
          <w:sz w:val="24"/>
          <w:szCs w:val="24"/>
        </w:rPr>
        <w:t>Overall, McDonald's financial strategies and outcomes during these years demonstrate the delicate balance between immediate financial impacts and strategic positioning for future success, echoing Dyson's (2010) insights on the importance of understanding financial accounting not only from a practitioner's standpoint but also from a strategic one. These efforts are critical for McDonald's as it navigates changing economic conditions and a competitive global marketplace.</w:t>
      </w:r>
    </w:p>
    <w:p w14:paraId="018995CF" w14:textId="08CCEA82" w:rsidR="009F677D" w:rsidRPr="00D64F43" w:rsidRDefault="009F677D" w:rsidP="00D64F43">
      <w:pPr>
        <w:spacing w:line="360" w:lineRule="auto"/>
        <w:rPr>
          <w:rFonts w:ascii="Arial" w:hAnsi="Arial" w:cs="Arial"/>
          <w:b/>
          <w:bCs/>
          <w:color w:val="0B769F" w:themeColor="accent4" w:themeShade="BF"/>
          <w:sz w:val="24"/>
          <w:szCs w:val="24"/>
        </w:rPr>
      </w:pPr>
      <w:bookmarkStart w:id="3" w:name="_Hlk166054422"/>
      <w:r w:rsidRPr="00D64F43">
        <w:rPr>
          <w:rFonts w:ascii="Arial" w:hAnsi="Arial" w:cs="Arial"/>
          <w:b/>
          <w:bCs/>
          <w:color w:val="0B769F" w:themeColor="accent4" w:themeShade="BF"/>
          <w:sz w:val="24"/>
          <w:szCs w:val="24"/>
        </w:rPr>
        <w:t>Recommendations for Future Improvemen</w:t>
      </w:r>
      <w:r w:rsidRPr="00D64F43">
        <w:rPr>
          <w:rFonts w:ascii="Arial" w:hAnsi="Arial" w:cs="Arial"/>
          <w:b/>
          <w:bCs/>
          <w:color w:val="0B769F" w:themeColor="accent4" w:themeShade="BF"/>
          <w:sz w:val="24"/>
          <w:szCs w:val="24"/>
        </w:rPr>
        <w:t>t</w:t>
      </w:r>
    </w:p>
    <w:bookmarkEnd w:id="3"/>
    <w:p w14:paraId="64C5F942" w14:textId="77777777" w:rsidR="00D64F43" w:rsidRPr="00D64F43" w:rsidRDefault="009F677D" w:rsidP="00D64F43">
      <w:pPr>
        <w:spacing w:line="360" w:lineRule="auto"/>
        <w:rPr>
          <w:rFonts w:ascii="Arial" w:hAnsi="Arial" w:cs="Arial"/>
          <w:sz w:val="24"/>
          <w:szCs w:val="24"/>
        </w:rPr>
      </w:pPr>
      <w:r w:rsidRPr="00D64F43">
        <w:rPr>
          <w:rFonts w:ascii="Arial" w:hAnsi="Arial" w:cs="Arial"/>
          <w:sz w:val="24"/>
          <w:szCs w:val="24"/>
        </w:rPr>
        <w:t xml:space="preserve">To improve its financial health and competitive position, McDonald's should execute various strategic measures: </w:t>
      </w:r>
      <w:r w:rsidRPr="00D64F43">
        <w:rPr>
          <w:rFonts w:ascii="Arial" w:hAnsi="Arial" w:cs="Arial"/>
          <w:sz w:val="24"/>
          <w:szCs w:val="24"/>
        </w:rPr>
        <w:br/>
      </w:r>
    </w:p>
    <w:p w14:paraId="607EF38E" w14:textId="2EAE036B" w:rsidR="009F677D" w:rsidRPr="00D64F43" w:rsidRDefault="009F677D" w:rsidP="00D64F43">
      <w:pPr>
        <w:pStyle w:val="ListParagraph"/>
        <w:numPr>
          <w:ilvl w:val="0"/>
          <w:numId w:val="1"/>
        </w:numPr>
        <w:spacing w:line="360" w:lineRule="auto"/>
        <w:rPr>
          <w:rFonts w:ascii="Arial" w:hAnsi="Arial" w:cs="Arial"/>
          <w:sz w:val="24"/>
          <w:szCs w:val="24"/>
        </w:rPr>
      </w:pPr>
      <w:r w:rsidRPr="00D64F43">
        <w:rPr>
          <w:rFonts w:ascii="Arial" w:hAnsi="Arial" w:cs="Arial"/>
          <w:b/>
          <w:bCs/>
          <w:color w:val="0B769F" w:themeColor="accent4" w:themeShade="BF"/>
          <w:sz w:val="24"/>
          <w:szCs w:val="24"/>
        </w:rPr>
        <w:t xml:space="preserve">Cost Efficiency and Reduction Strategies: </w:t>
      </w:r>
      <w:r w:rsidRPr="00D64F43">
        <w:rPr>
          <w:rFonts w:ascii="Arial" w:hAnsi="Arial" w:cs="Arial"/>
          <w:sz w:val="24"/>
          <w:szCs w:val="24"/>
        </w:rPr>
        <w:t>To lower expenses, McDonald's can improve its supply chain and inventory management. Implementing lean management approaches can help to streamline operations and reduce waste, potentially cutting operational costs (Weetman, 2016). Such measures will be critical in minimising the impact of rising raw material and labour prices (McDonald's Corporation, 2022).</w:t>
      </w:r>
    </w:p>
    <w:p w14:paraId="1CC35EF6" w14:textId="77777777" w:rsidR="00D64F43" w:rsidRDefault="009F677D" w:rsidP="00D64F43">
      <w:pPr>
        <w:pStyle w:val="ListParagraph"/>
        <w:numPr>
          <w:ilvl w:val="0"/>
          <w:numId w:val="1"/>
        </w:numPr>
        <w:spacing w:line="360" w:lineRule="auto"/>
        <w:rPr>
          <w:rFonts w:ascii="Arial" w:hAnsi="Arial" w:cs="Arial"/>
          <w:sz w:val="24"/>
          <w:szCs w:val="24"/>
        </w:rPr>
      </w:pPr>
      <w:r w:rsidRPr="00D64F43">
        <w:rPr>
          <w:rFonts w:ascii="Arial" w:hAnsi="Arial" w:cs="Arial"/>
          <w:b/>
          <w:bCs/>
          <w:color w:val="0B769F" w:themeColor="accent4" w:themeShade="BF"/>
          <w:sz w:val="24"/>
          <w:szCs w:val="24"/>
        </w:rPr>
        <w:t>Focus on High-Margin Products and Services:</w:t>
      </w:r>
      <w:r w:rsidRPr="00D64F43">
        <w:rPr>
          <w:rFonts w:ascii="Arial" w:hAnsi="Arial" w:cs="Arial"/>
          <w:color w:val="0B769F" w:themeColor="accent4" w:themeShade="BF"/>
          <w:sz w:val="24"/>
          <w:szCs w:val="24"/>
        </w:rPr>
        <w:t xml:space="preserve"> </w:t>
      </w:r>
      <w:r w:rsidRPr="00D64F43">
        <w:rPr>
          <w:rFonts w:ascii="Arial" w:hAnsi="Arial" w:cs="Arial"/>
          <w:sz w:val="24"/>
          <w:szCs w:val="24"/>
        </w:rPr>
        <w:t xml:space="preserve">McDonald's should put more emphasis on high-margin items like </w:t>
      </w:r>
      <w:r w:rsidR="00D64F43" w:rsidRPr="00D64F43">
        <w:rPr>
          <w:rFonts w:ascii="Arial" w:hAnsi="Arial" w:cs="Arial"/>
          <w:sz w:val="24"/>
          <w:szCs w:val="24"/>
        </w:rPr>
        <w:t>speciality</w:t>
      </w:r>
      <w:r w:rsidRPr="00D64F43">
        <w:rPr>
          <w:rFonts w:ascii="Arial" w:hAnsi="Arial" w:cs="Arial"/>
          <w:sz w:val="24"/>
          <w:szCs w:val="24"/>
        </w:rPr>
        <w:t xml:space="preserve"> beverages and premium </w:t>
      </w:r>
      <w:r w:rsidRPr="00D64F43">
        <w:rPr>
          <w:rFonts w:ascii="Arial" w:hAnsi="Arial" w:cs="Arial"/>
          <w:sz w:val="24"/>
          <w:szCs w:val="24"/>
        </w:rPr>
        <w:lastRenderedPageBreak/>
        <w:t>menu selections, which typically have higher profit margins than ordinary menu items. Expanding the digital ordering system may help improve customer experience and increase sales volumes in these profitable areas (Wood, 2015).</w:t>
      </w:r>
    </w:p>
    <w:p w14:paraId="3C7ADB82" w14:textId="5A2A1DBA" w:rsidR="009F677D" w:rsidRPr="00D64F43" w:rsidRDefault="009F677D" w:rsidP="00D64F43">
      <w:pPr>
        <w:pStyle w:val="ListParagraph"/>
        <w:numPr>
          <w:ilvl w:val="0"/>
          <w:numId w:val="1"/>
        </w:numPr>
        <w:spacing w:line="360" w:lineRule="auto"/>
        <w:rPr>
          <w:rFonts w:ascii="Arial" w:hAnsi="Arial" w:cs="Arial"/>
          <w:sz w:val="24"/>
          <w:szCs w:val="24"/>
        </w:rPr>
      </w:pPr>
      <w:r w:rsidRPr="00D64F43">
        <w:rPr>
          <w:rFonts w:ascii="Arial" w:hAnsi="Arial" w:cs="Arial"/>
          <w:b/>
          <w:bCs/>
          <w:color w:val="0B769F" w:themeColor="accent4" w:themeShade="BF"/>
          <w:sz w:val="24"/>
          <w:szCs w:val="24"/>
        </w:rPr>
        <w:t xml:space="preserve">Debt Management and Financing Strategies: </w:t>
      </w:r>
      <w:r w:rsidRPr="00D64F43">
        <w:rPr>
          <w:rFonts w:ascii="Arial" w:hAnsi="Arial" w:cs="Arial"/>
          <w:sz w:val="24"/>
          <w:szCs w:val="24"/>
        </w:rPr>
        <w:t>Effective debt management is critical for McDonald's, especially given its negative equity position. Refinancing existing debt at lower interest rates and extending term profiles can help to decrease financial risk and increase liquidity (Dyson, 2010).</w:t>
      </w:r>
    </w:p>
    <w:p w14:paraId="186296D6" w14:textId="02FDECE9" w:rsidR="00D64F43" w:rsidRDefault="002761AF" w:rsidP="00D64F43">
      <w:pPr>
        <w:pStyle w:val="ListParagraph"/>
        <w:numPr>
          <w:ilvl w:val="0"/>
          <w:numId w:val="1"/>
        </w:numPr>
        <w:spacing w:line="360" w:lineRule="auto"/>
        <w:rPr>
          <w:rFonts w:ascii="Arial" w:hAnsi="Arial" w:cs="Arial"/>
          <w:sz w:val="24"/>
          <w:szCs w:val="24"/>
        </w:rPr>
      </w:pPr>
      <w:r w:rsidRPr="00D64F43">
        <w:rPr>
          <w:rFonts w:ascii="Arial" w:hAnsi="Arial" w:cs="Arial"/>
          <w:b/>
          <w:bCs/>
          <w:color w:val="0B769F" w:themeColor="accent4" w:themeShade="BF"/>
          <w:sz w:val="24"/>
          <w:szCs w:val="24"/>
        </w:rPr>
        <w:t xml:space="preserve">Investments in Sustainability and Technology: </w:t>
      </w:r>
      <w:r w:rsidRPr="00D64F43">
        <w:rPr>
          <w:rFonts w:ascii="Arial" w:hAnsi="Arial" w:cs="Arial"/>
          <w:sz w:val="24"/>
          <w:szCs w:val="24"/>
        </w:rPr>
        <w:t>Investing in sustainable practices not only solves environmental issues, but can also result in long-term economic benefits, such as lower energy use (Walls, Berrone, and Phan, 2012). Furthermore, improving technical capabilities, particularly in automation and artificial intelligence for customer service and operational efficiency, will put McDonald's at the forefront of innovation while potentially increasing margins (Choi and Wang, 2009).</w:t>
      </w:r>
    </w:p>
    <w:p w14:paraId="0F166C31" w14:textId="3B17BAB5" w:rsidR="009F677D" w:rsidRPr="00D64F43" w:rsidRDefault="002761AF" w:rsidP="00D64F43">
      <w:pPr>
        <w:spacing w:line="360" w:lineRule="auto"/>
        <w:rPr>
          <w:rFonts w:ascii="Arial" w:hAnsi="Arial" w:cs="Arial"/>
          <w:sz w:val="24"/>
          <w:szCs w:val="24"/>
        </w:rPr>
      </w:pPr>
      <w:r w:rsidRPr="00D64F43">
        <w:rPr>
          <w:rFonts w:ascii="Arial" w:hAnsi="Arial" w:cs="Arial"/>
          <w:sz w:val="24"/>
          <w:szCs w:val="24"/>
        </w:rPr>
        <w:t>Implementing these ideas will involve careful planning and execution, but it should result in better financial stability and ongoing market leadership for McDonald's.</w:t>
      </w:r>
    </w:p>
    <w:p w14:paraId="52F43335" w14:textId="77777777" w:rsidR="002761AF" w:rsidRDefault="002761AF" w:rsidP="00D64F43">
      <w:pPr>
        <w:spacing w:line="360" w:lineRule="auto"/>
        <w:rPr>
          <w:rFonts w:ascii="Arial" w:hAnsi="Arial" w:cs="Arial"/>
          <w:sz w:val="24"/>
          <w:szCs w:val="24"/>
        </w:rPr>
      </w:pPr>
    </w:p>
    <w:p w14:paraId="7F823BA1" w14:textId="77777777" w:rsidR="002761AF" w:rsidRDefault="002761AF" w:rsidP="00D64F43">
      <w:pPr>
        <w:spacing w:line="360" w:lineRule="auto"/>
        <w:rPr>
          <w:rFonts w:ascii="Arial" w:hAnsi="Arial" w:cs="Arial"/>
          <w:sz w:val="24"/>
          <w:szCs w:val="24"/>
        </w:rPr>
      </w:pPr>
    </w:p>
    <w:p w14:paraId="423ECA88" w14:textId="77777777" w:rsidR="002761AF" w:rsidRDefault="002761AF" w:rsidP="00D64F43">
      <w:pPr>
        <w:spacing w:line="360" w:lineRule="auto"/>
        <w:rPr>
          <w:rFonts w:ascii="Arial" w:hAnsi="Arial" w:cs="Arial"/>
          <w:sz w:val="24"/>
          <w:szCs w:val="24"/>
        </w:rPr>
      </w:pPr>
    </w:p>
    <w:p w14:paraId="77DAFCC1" w14:textId="77777777" w:rsidR="002761AF" w:rsidRDefault="002761AF" w:rsidP="00D64F43">
      <w:pPr>
        <w:spacing w:line="360" w:lineRule="auto"/>
        <w:rPr>
          <w:rFonts w:ascii="Arial" w:hAnsi="Arial" w:cs="Arial"/>
          <w:sz w:val="24"/>
          <w:szCs w:val="24"/>
        </w:rPr>
      </w:pPr>
    </w:p>
    <w:p w14:paraId="7EEFBACE" w14:textId="77777777" w:rsidR="002761AF" w:rsidRDefault="002761AF" w:rsidP="00D64F43">
      <w:pPr>
        <w:spacing w:line="360" w:lineRule="auto"/>
        <w:rPr>
          <w:rFonts w:ascii="Arial" w:hAnsi="Arial" w:cs="Arial"/>
          <w:sz w:val="24"/>
          <w:szCs w:val="24"/>
        </w:rPr>
      </w:pPr>
    </w:p>
    <w:p w14:paraId="6927C3DD" w14:textId="77777777" w:rsidR="002761AF" w:rsidRDefault="002761AF" w:rsidP="00D64F43">
      <w:pPr>
        <w:spacing w:line="360" w:lineRule="auto"/>
        <w:rPr>
          <w:rFonts w:ascii="Arial" w:hAnsi="Arial" w:cs="Arial"/>
          <w:sz w:val="24"/>
          <w:szCs w:val="24"/>
        </w:rPr>
      </w:pPr>
    </w:p>
    <w:p w14:paraId="3941C814" w14:textId="77777777" w:rsidR="002761AF" w:rsidRDefault="002761AF" w:rsidP="00D64F43">
      <w:pPr>
        <w:spacing w:line="360" w:lineRule="auto"/>
        <w:rPr>
          <w:rFonts w:ascii="Arial" w:hAnsi="Arial" w:cs="Arial"/>
          <w:sz w:val="24"/>
          <w:szCs w:val="24"/>
        </w:rPr>
      </w:pPr>
    </w:p>
    <w:p w14:paraId="04ECB64A" w14:textId="77777777" w:rsidR="002761AF" w:rsidRDefault="002761AF" w:rsidP="00D64F43">
      <w:pPr>
        <w:spacing w:line="360" w:lineRule="auto"/>
        <w:rPr>
          <w:rFonts w:ascii="Arial" w:hAnsi="Arial" w:cs="Arial"/>
          <w:sz w:val="24"/>
          <w:szCs w:val="24"/>
        </w:rPr>
      </w:pPr>
    </w:p>
    <w:p w14:paraId="656F7D88" w14:textId="77777777" w:rsidR="002761AF" w:rsidRDefault="002761AF" w:rsidP="00D64F43">
      <w:pPr>
        <w:spacing w:line="360" w:lineRule="auto"/>
        <w:rPr>
          <w:rFonts w:ascii="Arial" w:hAnsi="Arial" w:cs="Arial"/>
          <w:sz w:val="24"/>
          <w:szCs w:val="24"/>
        </w:rPr>
      </w:pPr>
    </w:p>
    <w:p w14:paraId="1DDC1E1E" w14:textId="77777777" w:rsidR="002761AF" w:rsidRDefault="002761AF" w:rsidP="00D64F43">
      <w:pPr>
        <w:spacing w:line="360" w:lineRule="auto"/>
        <w:rPr>
          <w:rFonts w:ascii="Arial" w:hAnsi="Arial" w:cs="Arial"/>
          <w:sz w:val="24"/>
          <w:szCs w:val="24"/>
        </w:rPr>
      </w:pPr>
    </w:p>
    <w:p w14:paraId="18B142F4" w14:textId="77777777" w:rsidR="00A430CC" w:rsidRDefault="00A430CC" w:rsidP="00D64F43">
      <w:pPr>
        <w:spacing w:line="360" w:lineRule="auto"/>
        <w:rPr>
          <w:rFonts w:ascii="Arial" w:hAnsi="Arial" w:cs="Arial"/>
          <w:sz w:val="24"/>
          <w:szCs w:val="24"/>
        </w:rPr>
      </w:pPr>
    </w:p>
    <w:p w14:paraId="0A4DC3BF" w14:textId="2B19D29B" w:rsidR="002761AF" w:rsidRPr="00D64F43" w:rsidRDefault="002761AF" w:rsidP="00D64F43">
      <w:pPr>
        <w:spacing w:line="360" w:lineRule="auto"/>
        <w:rPr>
          <w:rFonts w:ascii="Arial" w:hAnsi="Arial" w:cs="Arial"/>
          <w:b/>
          <w:bCs/>
          <w:color w:val="0B769F" w:themeColor="accent4" w:themeShade="BF"/>
          <w:sz w:val="24"/>
          <w:szCs w:val="24"/>
        </w:rPr>
      </w:pPr>
      <w:r w:rsidRPr="00D64F43">
        <w:rPr>
          <w:rFonts w:ascii="Arial" w:hAnsi="Arial" w:cs="Arial"/>
          <w:b/>
          <w:bCs/>
          <w:color w:val="0B769F" w:themeColor="accent4" w:themeShade="BF"/>
          <w:sz w:val="24"/>
          <w:szCs w:val="24"/>
        </w:rPr>
        <w:lastRenderedPageBreak/>
        <w:t xml:space="preserve">Conclusion </w:t>
      </w:r>
    </w:p>
    <w:p w14:paraId="253A32AD" w14:textId="0DB23639" w:rsidR="002761AF" w:rsidRDefault="002761AF" w:rsidP="00D64F43">
      <w:pPr>
        <w:spacing w:line="360" w:lineRule="auto"/>
        <w:rPr>
          <w:rFonts w:ascii="Arial" w:hAnsi="Arial" w:cs="Arial"/>
          <w:sz w:val="24"/>
          <w:szCs w:val="24"/>
        </w:rPr>
      </w:pPr>
      <w:r w:rsidRPr="002761AF">
        <w:rPr>
          <w:rFonts w:ascii="Arial" w:hAnsi="Arial" w:cs="Arial"/>
          <w:sz w:val="24"/>
          <w:szCs w:val="24"/>
        </w:rPr>
        <w:t xml:space="preserve">McDonald's financial analysis revealed a drop in profitability and liquidity between 2021 and 2022, principally owing to rising operational costs and significant strategic initiatives. These trends highlight the relevance of the offered measures, which include improving cost efficiency, focusing on high-margin items, </w:t>
      </w:r>
      <w:r>
        <w:rPr>
          <w:rFonts w:ascii="Arial" w:hAnsi="Arial" w:cs="Arial"/>
          <w:sz w:val="24"/>
          <w:szCs w:val="24"/>
        </w:rPr>
        <w:t>practising</w:t>
      </w:r>
      <w:r w:rsidRPr="002761AF">
        <w:rPr>
          <w:rFonts w:ascii="Arial" w:hAnsi="Arial" w:cs="Arial"/>
          <w:sz w:val="24"/>
          <w:szCs w:val="24"/>
        </w:rPr>
        <w:t xml:space="preserve"> careful debt management, and boosting investments in sustainability and technology. Implementing these measures is critical for McDonald's to preserve market leadership and financial stability. The ratio analysis gave critical insights into the company's operational and financial efficiencies, which guided these strategic recommendations to ensure McDonald's can effectively adjust to changing market conditions and keep its competitive advantage.</w:t>
      </w:r>
    </w:p>
    <w:p w14:paraId="6F751F91" w14:textId="77777777" w:rsidR="00D64F43" w:rsidRDefault="00D64F43" w:rsidP="00D64F43">
      <w:pPr>
        <w:spacing w:line="360" w:lineRule="auto"/>
        <w:rPr>
          <w:rFonts w:ascii="Arial" w:hAnsi="Arial" w:cs="Arial"/>
          <w:sz w:val="24"/>
          <w:szCs w:val="24"/>
        </w:rPr>
      </w:pPr>
    </w:p>
    <w:p w14:paraId="36B9DB18" w14:textId="77777777" w:rsidR="00D64F43" w:rsidRDefault="00D64F43" w:rsidP="00D64F43">
      <w:pPr>
        <w:spacing w:line="360" w:lineRule="auto"/>
        <w:rPr>
          <w:rFonts w:ascii="Arial" w:hAnsi="Arial" w:cs="Arial"/>
          <w:sz w:val="24"/>
          <w:szCs w:val="24"/>
        </w:rPr>
      </w:pPr>
    </w:p>
    <w:p w14:paraId="7413E316" w14:textId="77777777" w:rsidR="00D64F43" w:rsidRDefault="00D64F43" w:rsidP="00D64F43">
      <w:pPr>
        <w:spacing w:line="360" w:lineRule="auto"/>
        <w:rPr>
          <w:rFonts w:ascii="Arial" w:hAnsi="Arial" w:cs="Arial"/>
          <w:sz w:val="24"/>
          <w:szCs w:val="24"/>
        </w:rPr>
      </w:pPr>
    </w:p>
    <w:p w14:paraId="06CD5155" w14:textId="77777777" w:rsidR="00D64F43" w:rsidRDefault="00D64F43" w:rsidP="00D64F43">
      <w:pPr>
        <w:spacing w:line="360" w:lineRule="auto"/>
        <w:rPr>
          <w:rFonts w:ascii="Arial" w:hAnsi="Arial" w:cs="Arial"/>
          <w:sz w:val="24"/>
          <w:szCs w:val="24"/>
        </w:rPr>
      </w:pPr>
    </w:p>
    <w:p w14:paraId="174CC2F6" w14:textId="77777777" w:rsidR="00D64F43" w:rsidRDefault="00D64F43" w:rsidP="00D64F43">
      <w:pPr>
        <w:spacing w:line="360" w:lineRule="auto"/>
        <w:rPr>
          <w:rFonts w:ascii="Arial" w:hAnsi="Arial" w:cs="Arial"/>
          <w:sz w:val="24"/>
          <w:szCs w:val="24"/>
        </w:rPr>
      </w:pPr>
    </w:p>
    <w:p w14:paraId="105F805A" w14:textId="77777777" w:rsidR="00D64F43" w:rsidRDefault="00D64F43" w:rsidP="00D64F43">
      <w:pPr>
        <w:spacing w:line="360" w:lineRule="auto"/>
        <w:rPr>
          <w:rFonts w:ascii="Arial" w:hAnsi="Arial" w:cs="Arial"/>
          <w:sz w:val="24"/>
          <w:szCs w:val="24"/>
        </w:rPr>
      </w:pPr>
    </w:p>
    <w:p w14:paraId="36D5AFC1" w14:textId="77777777" w:rsidR="00D64F43" w:rsidRDefault="00D64F43" w:rsidP="00D64F43">
      <w:pPr>
        <w:spacing w:line="360" w:lineRule="auto"/>
        <w:rPr>
          <w:rFonts w:ascii="Arial" w:hAnsi="Arial" w:cs="Arial"/>
          <w:sz w:val="24"/>
          <w:szCs w:val="24"/>
        </w:rPr>
      </w:pPr>
    </w:p>
    <w:p w14:paraId="0EA38E29" w14:textId="77777777" w:rsidR="00D64F43" w:rsidRDefault="00D64F43" w:rsidP="00D64F43">
      <w:pPr>
        <w:spacing w:line="360" w:lineRule="auto"/>
        <w:rPr>
          <w:rFonts w:ascii="Arial" w:hAnsi="Arial" w:cs="Arial"/>
          <w:sz w:val="24"/>
          <w:szCs w:val="24"/>
        </w:rPr>
      </w:pPr>
    </w:p>
    <w:p w14:paraId="6CA30B6C" w14:textId="77777777" w:rsidR="00D64F43" w:rsidRDefault="00D64F43" w:rsidP="00D64F43">
      <w:pPr>
        <w:spacing w:line="360" w:lineRule="auto"/>
        <w:rPr>
          <w:rFonts w:ascii="Arial" w:hAnsi="Arial" w:cs="Arial"/>
          <w:sz w:val="24"/>
          <w:szCs w:val="24"/>
        </w:rPr>
      </w:pPr>
    </w:p>
    <w:p w14:paraId="29DA102D" w14:textId="77777777" w:rsidR="00D64F43" w:rsidRDefault="00D64F43" w:rsidP="00D64F43">
      <w:pPr>
        <w:spacing w:line="360" w:lineRule="auto"/>
        <w:rPr>
          <w:rFonts w:ascii="Arial" w:hAnsi="Arial" w:cs="Arial"/>
          <w:sz w:val="24"/>
          <w:szCs w:val="24"/>
        </w:rPr>
      </w:pPr>
    </w:p>
    <w:p w14:paraId="2386AE16" w14:textId="77777777" w:rsidR="00D64F43" w:rsidRDefault="00D64F43" w:rsidP="00D64F43">
      <w:pPr>
        <w:spacing w:line="360" w:lineRule="auto"/>
        <w:rPr>
          <w:rFonts w:ascii="Arial" w:hAnsi="Arial" w:cs="Arial"/>
          <w:sz w:val="24"/>
          <w:szCs w:val="24"/>
        </w:rPr>
      </w:pPr>
    </w:p>
    <w:p w14:paraId="77A08FDF" w14:textId="77777777" w:rsidR="00D64F43" w:rsidRDefault="00D64F43" w:rsidP="00D64F43">
      <w:pPr>
        <w:spacing w:line="360" w:lineRule="auto"/>
        <w:rPr>
          <w:rFonts w:ascii="Arial" w:hAnsi="Arial" w:cs="Arial"/>
          <w:sz w:val="24"/>
          <w:szCs w:val="24"/>
        </w:rPr>
      </w:pPr>
    </w:p>
    <w:p w14:paraId="04FEB223" w14:textId="77777777" w:rsidR="00D64F43" w:rsidRDefault="00D64F43" w:rsidP="00D64F43">
      <w:pPr>
        <w:spacing w:line="360" w:lineRule="auto"/>
        <w:rPr>
          <w:rFonts w:ascii="Arial" w:hAnsi="Arial" w:cs="Arial"/>
          <w:sz w:val="24"/>
          <w:szCs w:val="24"/>
        </w:rPr>
      </w:pPr>
    </w:p>
    <w:p w14:paraId="5E19B346" w14:textId="77777777" w:rsidR="00D64F43" w:rsidRDefault="00D64F43" w:rsidP="00D64F43">
      <w:pPr>
        <w:spacing w:line="360" w:lineRule="auto"/>
        <w:rPr>
          <w:rFonts w:ascii="Arial" w:hAnsi="Arial" w:cs="Arial"/>
          <w:sz w:val="24"/>
          <w:szCs w:val="24"/>
        </w:rPr>
      </w:pPr>
    </w:p>
    <w:p w14:paraId="52BEE401" w14:textId="77777777" w:rsidR="00D64F43" w:rsidRDefault="00D64F43" w:rsidP="00D64F43">
      <w:pPr>
        <w:spacing w:line="360" w:lineRule="auto"/>
        <w:rPr>
          <w:rFonts w:ascii="Arial" w:hAnsi="Arial" w:cs="Arial"/>
          <w:sz w:val="24"/>
          <w:szCs w:val="24"/>
        </w:rPr>
      </w:pPr>
    </w:p>
    <w:p w14:paraId="24F6E0C5" w14:textId="77777777" w:rsidR="00D64F43" w:rsidRDefault="00D64F43" w:rsidP="00D64F43">
      <w:pPr>
        <w:spacing w:line="360" w:lineRule="auto"/>
        <w:rPr>
          <w:rFonts w:ascii="Arial" w:hAnsi="Arial" w:cs="Arial"/>
          <w:sz w:val="24"/>
          <w:szCs w:val="24"/>
        </w:rPr>
      </w:pPr>
    </w:p>
    <w:p w14:paraId="28E59797" w14:textId="0D3DFC69" w:rsidR="00D64F43" w:rsidRPr="00DE466B" w:rsidRDefault="00D64F43" w:rsidP="00D64F43">
      <w:pPr>
        <w:spacing w:line="360" w:lineRule="auto"/>
        <w:rPr>
          <w:rFonts w:ascii="Arial" w:hAnsi="Arial" w:cs="Arial"/>
          <w:b/>
          <w:bCs/>
          <w:color w:val="0B769F" w:themeColor="accent4" w:themeShade="BF"/>
          <w:sz w:val="24"/>
          <w:szCs w:val="24"/>
        </w:rPr>
      </w:pPr>
      <w:r w:rsidRPr="00DE466B">
        <w:rPr>
          <w:rFonts w:ascii="Arial" w:hAnsi="Arial" w:cs="Arial"/>
          <w:b/>
          <w:bCs/>
          <w:color w:val="0B769F" w:themeColor="accent4" w:themeShade="BF"/>
          <w:sz w:val="24"/>
          <w:szCs w:val="24"/>
        </w:rPr>
        <w:lastRenderedPageBreak/>
        <w:t xml:space="preserve">References </w:t>
      </w:r>
    </w:p>
    <w:p w14:paraId="53C38730" w14:textId="77777777" w:rsidR="00DE466B" w:rsidRPr="00A430CC" w:rsidRDefault="00DE466B" w:rsidP="00A430CC">
      <w:pPr>
        <w:pStyle w:val="ListParagraph"/>
        <w:numPr>
          <w:ilvl w:val="0"/>
          <w:numId w:val="2"/>
        </w:numPr>
        <w:spacing w:line="360" w:lineRule="auto"/>
        <w:rPr>
          <w:rFonts w:ascii="Arial" w:hAnsi="Arial" w:cs="Arial"/>
          <w:sz w:val="24"/>
          <w:szCs w:val="24"/>
        </w:rPr>
      </w:pPr>
      <w:r w:rsidRPr="00A430CC">
        <w:rPr>
          <w:rFonts w:ascii="Arial" w:hAnsi="Arial" w:cs="Arial"/>
          <w:sz w:val="24"/>
          <w:szCs w:val="24"/>
        </w:rPr>
        <w:t>Choi, J. and Wang, H., 2009. Stakeholder Relations and the Persistence of Corporate Financial Performance. Strategic Management Journal, 30(8), pp.895-907.</w:t>
      </w:r>
    </w:p>
    <w:p w14:paraId="0F261F33" w14:textId="77777777" w:rsidR="00DE466B" w:rsidRPr="00A430CC" w:rsidRDefault="00DE466B" w:rsidP="00A430CC">
      <w:pPr>
        <w:pStyle w:val="ListParagraph"/>
        <w:numPr>
          <w:ilvl w:val="0"/>
          <w:numId w:val="2"/>
        </w:numPr>
        <w:spacing w:line="360" w:lineRule="auto"/>
        <w:rPr>
          <w:rFonts w:ascii="Arial" w:hAnsi="Arial" w:cs="Arial"/>
          <w:sz w:val="24"/>
          <w:szCs w:val="24"/>
        </w:rPr>
      </w:pPr>
      <w:r w:rsidRPr="00A430CC">
        <w:rPr>
          <w:rFonts w:ascii="Arial" w:hAnsi="Arial" w:cs="Arial"/>
          <w:sz w:val="24"/>
          <w:szCs w:val="24"/>
        </w:rPr>
        <w:t>Dyson, J.R., 2010. Accounting for Non-Accounting Students. 8th ed. Pearson.</w:t>
      </w:r>
    </w:p>
    <w:p w14:paraId="62C1BABD" w14:textId="51C66853" w:rsidR="00DE466B" w:rsidRPr="00A430CC" w:rsidRDefault="00DE466B" w:rsidP="00A430CC">
      <w:pPr>
        <w:pStyle w:val="ListParagraph"/>
        <w:numPr>
          <w:ilvl w:val="0"/>
          <w:numId w:val="2"/>
        </w:numPr>
        <w:spacing w:line="360" w:lineRule="auto"/>
        <w:rPr>
          <w:rFonts w:ascii="Arial" w:hAnsi="Arial" w:cs="Arial"/>
          <w:sz w:val="24"/>
          <w:szCs w:val="24"/>
        </w:rPr>
      </w:pPr>
      <w:r w:rsidRPr="00A430CC">
        <w:rPr>
          <w:rFonts w:ascii="Arial" w:hAnsi="Arial" w:cs="Arial"/>
          <w:sz w:val="24"/>
          <w:szCs w:val="24"/>
        </w:rPr>
        <w:t xml:space="preserve">Hitt, M.A., Ireland, R.D. and </w:t>
      </w:r>
      <w:proofErr w:type="spellStart"/>
      <w:r w:rsidRPr="00A430CC">
        <w:rPr>
          <w:rFonts w:ascii="Arial" w:hAnsi="Arial" w:cs="Arial"/>
          <w:sz w:val="24"/>
          <w:szCs w:val="24"/>
        </w:rPr>
        <w:t>Hoskisson</w:t>
      </w:r>
      <w:proofErr w:type="spellEnd"/>
      <w:r w:rsidRPr="00A430CC">
        <w:rPr>
          <w:rFonts w:ascii="Arial" w:hAnsi="Arial" w:cs="Arial"/>
          <w:sz w:val="24"/>
          <w:szCs w:val="24"/>
        </w:rPr>
        <w:t xml:space="preserve">, R.E., 2017. Strategic Management: Concepts and Cases: Competitiveness and Globalization. Boston, MA: Cengage Learning. Available at: </w:t>
      </w:r>
      <w:hyperlink r:id="rId9" w:history="1">
        <w:r w:rsidRPr="00A430CC">
          <w:rPr>
            <w:rStyle w:val="Hyperlink"/>
            <w:rFonts w:ascii="Arial" w:hAnsi="Arial" w:cs="Arial"/>
            <w:sz w:val="24"/>
            <w:szCs w:val="24"/>
          </w:rPr>
          <w:t>http://www.mim.ac.mw/books/Hitt-Ireland-Hoskisson%20Strategic%20Management.pdf</w:t>
        </w:r>
      </w:hyperlink>
    </w:p>
    <w:p w14:paraId="215526E8" w14:textId="22383E7B" w:rsidR="00DE466B" w:rsidRPr="00A430CC" w:rsidRDefault="00DE466B" w:rsidP="00A430CC">
      <w:pPr>
        <w:pStyle w:val="ListParagraph"/>
        <w:numPr>
          <w:ilvl w:val="0"/>
          <w:numId w:val="2"/>
        </w:numPr>
        <w:spacing w:line="360" w:lineRule="auto"/>
        <w:rPr>
          <w:rFonts w:ascii="Arial" w:hAnsi="Arial" w:cs="Arial"/>
          <w:sz w:val="24"/>
          <w:szCs w:val="24"/>
        </w:rPr>
      </w:pPr>
      <w:r w:rsidRPr="00A430CC">
        <w:rPr>
          <w:rFonts w:ascii="Arial" w:hAnsi="Arial" w:cs="Arial"/>
          <w:sz w:val="24"/>
          <w:szCs w:val="24"/>
        </w:rPr>
        <w:t>Kothari, S.P., 2001. Capital Markets Research in Accounting. Journal of Accounting and Economics, 31(1-3), pp.105-253.</w:t>
      </w:r>
    </w:p>
    <w:p w14:paraId="5AC2678C" w14:textId="77777777" w:rsidR="00DE466B" w:rsidRPr="00A430CC" w:rsidRDefault="00DE466B" w:rsidP="00A430CC">
      <w:pPr>
        <w:pStyle w:val="ListParagraph"/>
        <w:numPr>
          <w:ilvl w:val="0"/>
          <w:numId w:val="2"/>
        </w:numPr>
        <w:spacing w:line="360" w:lineRule="auto"/>
        <w:rPr>
          <w:rFonts w:ascii="Arial" w:hAnsi="Arial" w:cs="Arial"/>
          <w:sz w:val="24"/>
          <w:szCs w:val="24"/>
        </w:rPr>
      </w:pPr>
      <w:r w:rsidRPr="00A430CC">
        <w:rPr>
          <w:rFonts w:ascii="Arial" w:hAnsi="Arial" w:cs="Arial"/>
          <w:sz w:val="24"/>
          <w:szCs w:val="24"/>
        </w:rPr>
        <w:t>Lucey, T., 2009. Costing. 7th ed. Cengage Learning.</w:t>
      </w:r>
    </w:p>
    <w:p w14:paraId="4A947EE0" w14:textId="0328989E" w:rsidR="00DE466B" w:rsidRPr="00A430CC" w:rsidRDefault="00DE466B" w:rsidP="00A430CC">
      <w:pPr>
        <w:pStyle w:val="ListParagraph"/>
        <w:numPr>
          <w:ilvl w:val="0"/>
          <w:numId w:val="2"/>
        </w:numPr>
        <w:spacing w:line="360" w:lineRule="auto"/>
        <w:rPr>
          <w:rFonts w:ascii="Arial" w:hAnsi="Arial" w:cs="Arial"/>
          <w:sz w:val="24"/>
          <w:szCs w:val="24"/>
        </w:rPr>
      </w:pPr>
      <w:r w:rsidRPr="00A430CC">
        <w:rPr>
          <w:rFonts w:ascii="Arial" w:hAnsi="Arial" w:cs="Arial"/>
          <w:sz w:val="24"/>
          <w:szCs w:val="24"/>
        </w:rPr>
        <w:t xml:space="preserve">MacDonald, B.S., 2018. Library Information Services for Distance-Based Customers: An Emerging Mandate for the Digital Age. Virginia Libraries, 56(2). Available at: </w:t>
      </w:r>
      <w:hyperlink r:id="rId10" w:history="1">
        <w:r w:rsidRPr="00A430CC">
          <w:rPr>
            <w:rStyle w:val="Hyperlink"/>
            <w:rFonts w:ascii="Arial" w:hAnsi="Arial" w:cs="Arial"/>
            <w:sz w:val="24"/>
            <w:szCs w:val="24"/>
          </w:rPr>
          <w:t>https://doi.org/10.21061/valib.v56i2.1111</w:t>
        </w:r>
      </w:hyperlink>
      <w:r w:rsidRPr="00A430CC">
        <w:rPr>
          <w:rFonts w:ascii="Arial" w:hAnsi="Arial" w:cs="Arial"/>
          <w:sz w:val="24"/>
          <w:szCs w:val="24"/>
        </w:rPr>
        <w:t>.</w:t>
      </w:r>
    </w:p>
    <w:p w14:paraId="7C331D54" w14:textId="4D7F1E8D" w:rsidR="00DE466B" w:rsidRPr="00A430CC" w:rsidRDefault="00DE466B" w:rsidP="00A430CC">
      <w:pPr>
        <w:pStyle w:val="ListParagraph"/>
        <w:numPr>
          <w:ilvl w:val="0"/>
          <w:numId w:val="2"/>
        </w:numPr>
        <w:spacing w:line="360" w:lineRule="auto"/>
        <w:rPr>
          <w:rFonts w:ascii="Arial" w:hAnsi="Arial" w:cs="Arial"/>
          <w:sz w:val="24"/>
          <w:szCs w:val="24"/>
        </w:rPr>
      </w:pPr>
      <w:r w:rsidRPr="00A430CC">
        <w:rPr>
          <w:rFonts w:ascii="Arial" w:hAnsi="Arial" w:cs="Arial"/>
          <w:sz w:val="24"/>
          <w:szCs w:val="24"/>
        </w:rPr>
        <w:t xml:space="preserve">McDonald's Corporation, 2021. Annual Report 2021. Available at: </w:t>
      </w:r>
      <w:hyperlink r:id="rId11" w:history="1">
        <w:r w:rsidRPr="00A430CC">
          <w:rPr>
            <w:rStyle w:val="Hyperlink"/>
            <w:rFonts w:ascii="Arial" w:hAnsi="Arial" w:cs="Arial"/>
            <w:sz w:val="24"/>
            <w:szCs w:val="24"/>
          </w:rPr>
          <w:t>https://corporate.mcdonalds.com/corpmcd/investors-relations/financial-information/annual-report.html</w:t>
        </w:r>
      </w:hyperlink>
    </w:p>
    <w:p w14:paraId="17BA8D79" w14:textId="2B6BCC55" w:rsidR="00DE466B" w:rsidRPr="00A430CC" w:rsidRDefault="00DE466B" w:rsidP="00A430CC">
      <w:pPr>
        <w:pStyle w:val="ListParagraph"/>
        <w:numPr>
          <w:ilvl w:val="0"/>
          <w:numId w:val="2"/>
        </w:numPr>
        <w:spacing w:line="360" w:lineRule="auto"/>
        <w:rPr>
          <w:rFonts w:ascii="Arial" w:hAnsi="Arial" w:cs="Arial"/>
          <w:sz w:val="24"/>
          <w:szCs w:val="24"/>
        </w:rPr>
      </w:pPr>
      <w:r w:rsidRPr="00A430CC">
        <w:rPr>
          <w:rFonts w:ascii="Arial" w:hAnsi="Arial" w:cs="Arial"/>
          <w:sz w:val="24"/>
          <w:szCs w:val="24"/>
        </w:rPr>
        <w:t xml:space="preserve">McDonald's Corporation, 2022. Annual Report 2022. Available at: </w:t>
      </w:r>
      <w:hyperlink r:id="rId12" w:history="1">
        <w:r w:rsidRPr="00A430CC">
          <w:rPr>
            <w:rStyle w:val="Hyperlink"/>
            <w:rFonts w:ascii="Arial" w:hAnsi="Arial" w:cs="Arial"/>
            <w:sz w:val="24"/>
            <w:szCs w:val="24"/>
          </w:rPr>
          <w:t>https://corporate.mcdonalds.com/corpmcd/investors-relations/financial-information/annual-report.html</w:t>
        </w:r>
      </w:hyperlink>
    </w:p>
    <w:p w14:paraId="599BBB7F" w14:textId="15D4973C" w:rsidR="00DE466B" w:rsidRPr="00A430CC" w:rsidRDefault="00DE466B" w:rsidP="00A430CC">
      <w:pPr>
        <w:pStyle w:val="ListParagraph"/>
        <w:numPr>
          <w:ilvl w:val="0"/>
          <w:numId w:val="2"/>
        </w:numPr>
        <w:spacing w:line="360" w:lineRule="auto"/>
        <w:rPr>
          <w:rFonts w:ascii="Arial" w:hAnsi="Arial" w:cs="Arial"/>
          <w:sz w:val="24"/>
          <w:szCs w:val="24"/>
        </w:rPr>
      </w:pPr>
      <w:r w:rsidRPr="00A430CC">
        <w:rPr>
          <w:rFonts w:ascii="Arial" w:hAnsi="Arial" w:cs="Arial"/>
          <w:sz w:val="24"/>
          <w:szCs w:val="24"/>
        </w:rPr>
        <w:t>Ohlson, J.A., 1995. Earnings, Book Values, and Dividends in Equity Valuation. Contemporary Accounting Research, 11(2), pp.661-687.</w:t>
      </w:r>
    </w:p>
    <w:p w14:paraId="56981C4D" w14:textId="375AC629" w:rsidR="00DE466B" w:rsidRPr="00A430CC" w:rsidRDefault="00DE466B" w:rsidP="00A430CC">
      <w:pPr>
        <w:pStyle w:val="ListParagraph"/>
        <w:numPr>
          <w:ilvl w:val="0"/>
          <w:numId w:val="2"/>
        </w:numPr>
        <w:spacing w:line="360" w:lineRule="auto"/>
        <w:rPr>
          <w:rFonts w:ascii="Arial" w:hAnsi="Arial" w:cs="Arial"/>
          <w:sz w:val="24"/>
          <w:szCs w:val="24"/>
        </w:rPr>
      </w:pPr>
      <w:r w:rsidRPr="00A430CC">
        <w:rPr>
          <w:rFonts w:ascii="Arial" w:hAnsi="Arial" w:cs="Arial"/>
          <w:sz w:val="24"/>
          <w:szCs w:val="24"/>
        </w:rPr>
        <w:t xml:space="preserve">Parnell, J.A. and Wright, P.M., 2018. Management </w:t>
      </w:r>
      <w:r w:rsidRPr="00A430CC">
        <w:rPr>
          <w:rFonts w:ascii="Arial" w:hAnsi="Arial" w:cs="Arial"/>
          <w:sz w:val="24"/>
          <w:szCs w:val="24"/>
        </w:rPr>
        <w:t>decision-making</w:t>
      </w:r>
      <w:r w:rsidRPr="00A430CC">
        <w:rPr>
          <w:rFonts w:ascii="Arial" w:hAnsi="Arial" w:cs="Arial"/>
          <w:sz w:val="24"/>
          <w:szCs w:val="24"/>
        </w:rPr>
        <w:t xml:space="preserve"> spreadsheet </w:t>
      </w:r>
      <w:r w:rsidRPr="00A430CC">
        <w:rPr>
          <w:rFonts w:ascii="Arial" w:hAnsi="Arial" w:cs="Arial"/>
          <w:sz w:val="24"/>
          <w:szCs w:val="24"/>
        </w:rPr>
        <w:t>modelling</w:t>
      </w:r>
      <w:r w:rsidRPr="00A430CC">
        <w:rPr>
          <w:rFonts w:ascii="Arial" w:hAnsi="Arial" w:cs="Arial"/>
          <w:sz w:val="24"/>
          <w:szCs w:val="24"/>
        </w:rPr>
        <w:t xml:space="preserve">, analysis, and applications. SAGE Publications. Available at: </w:t>
      </w:r>
      <w:hyperlink r:id="rId13" w:history="1">
        <w:r w:rsidRPr="00A430CC">
          <w:rPr>
            <w:rStyle w:val="Hyperlink"/>
            <w:rFonts w:ascii="Arial" w:hAnsi="Arial" w:cs="Arial"/>
            <w:sz w:val="24"/>
            <w:szCs w:val="24"/>
          </w:rPr>
          <w:t>https://www.academia.edu/2817103/Decision_analysis_in_one_chart</w:t>
        </w:r>
      </w:hyperlink>
    </w:p>
    <w:p w14:paraId="0CA96D72" w14:textId="43EBA2F0" w:rsidR="00DE466B" w:rsidRPr="00A430CC" w:rsidRDefault="00DE466B" w:rsidP="00A430CC">
      <w:pPr>
        <w:pStyle w:val="ListParagraph"/>
        <w:numPr>
          <w:ilvl w:val="0"/>
          <w:numId w:val="2"/>
        </w:numPr>
        <w:spacing w:line="360" w:lineRule="auto"/>
        <w:rPr>
          <w:rFonts w:ascii="Arial" w:hAnsi="Arial" w:cs="Arial"/>
          <w:sz w:val="24"/>
          <w:szCs w:val="24"/>
        </w:rPr>
      </w:pPr>
      <w:r w:rsidRPr="00A430CC">
        <w:rPr>
          <w:rFonts w:ascii="Arial" w:hAnsi="Arial" w:cs="Arial"/>
          <w:sz w:val="24"/>
          <w:szCs w:val="24"/>
        </w:rPr>
        <w:t xml:space="preserve">Porter, M.E., 2008. Competitive Strategy: Techniques for </w:t>
      </w:r>
      <w:r w:rsidRPr="00A430CC">
        <w:rPr>
          <w:rFonts w:ascii="Arial" w:hAnsi="Arial" w:cs="Arial"/>
          <w:sz w:val="24"/>
          <w:szCs w:val="24"/>
        </w:rPr>
        <w:t>Analysing</w:t>
      </w:r>
      <w:r w:rsidRPr="00A430CC">
        <w:rPr>
          <w:rFonts w:ascii="Arial" w:hAnsi="Arial" w:cs="Arial"/>
          <w:sz w:val="24"/>
          <w:szCs w:val="24"/>
        </w:rPr>
        <w:t xml:space="preserve"> Industries and Competitors. New York, NY: Simon and Schuster. Available at: </w:t>
      </w:r>
      <w:hyperlink r:id="rId14" w:history="1">
        <w:r w:rsidRPr="00A430CC">
          <w:rPr>
            <w:rStyle w:val="Hyperlink"/>
            <w:rFonts w:ascii="Arial" w:hAnsi="Arial" w:cs="Arial"/>
            <w:sz w:val="24"/>
            <w:szCs w:val="24"/>
          </w:rPr>
          <w:t>http://www.mim.ac.mw/books/Michael%20E.%20Porter%20-%20Competitive%20Strategy.pdf</w:t>
        </w:r>
      </w:hyperlink>
    </w:p>
    <w:p w14:paraId="0399395D" w14:textId="4952B329" w:rsidR="00DE466B" w:rsidRPr="00A430CC" w:rsidRDefault="00DE466B" w:rsidP="00A430CC">
      <w:pPr>
        <w:pStyle w:val="ListParagraph"/>
        <w:numPr>
          <w:ilvl w:val="0"/>
          <w:numId w:val="2"/>
        </w:numPr>
        <w:spacing w:line="360" w:lineRule="auto"/>
        <w:rPr>
          <w:rFonts w:ascii="Arial" w:hAnsi="Arial" w:cs="Arial"/>
          <w:sz w:val="24"/>
          <w:szCs w:val="24"/>
        </w:rPr>
      </w:pPr>
      <w:r w:rsidRPr="00A430CC">
        <w:rPr>
          <w:rFonts w:ascii="Arial" w:hAnsi="Arial" w:cs="Arial"/>
          <w:sz w:val="24"/>
          <w:szCs w:val="24"/>
        </w:rPr>
        <w:t xml:space="preserve">Ramdani, B., 2019. Business model innovation: A systematic review and research agenda. Journal of Business Research, 89, pp.235-247. Available at: </w:t>
      </w:r>
      <w:hyperlink r:id="rId15" w:history="1">
        <w:r w:rsidRPr="00A430CC">
          <w:rPr>
            <w:rStyle w:val="Hyperlink"/>
            <w:rFonts w:ascii="Arial" w:hAnsi="Arial" w:cs="Arial"/>
            <w:sz w:val="24"/>
            <w:szCs w:val="24"/>
          </w:rPr>
          <w:t>https://www.researchgate.net/publication/336593272_Business_model_innovation_a_review_and_research_agenda</w:t>
        </w:r>
      </w:hyperlink>
    </w:p>
    <w:p w14:paraId="578B3A04" w14:textId="40CBF452" w:rsidR="00DE466B" w:rsidRPr="00A430CC" w:rsidRDefault="00DE466B" w:rsidP="00A430CC">
      <w:pPr>
        <w:pStyle w:val="ListParagraph"/>
        <w:numPr>
          <w:ilvl w:val="0"/>
          <w:numId w:val="2"/>
        </w:numPr>
        <w:spacing w:line="360" w:lineRule="auto"/>
        <w:rPr>
          <w:rFonts w:ascii="Arial" w:hAnsi="Arial" w:cs="Arial"/>
          <w:sz w:val="24"/>
          <w:szCs w:val="24"/>
        </w:rPr>
      </w:pPr>
      <w:r w:rsidRPr="00A430CC">
        <w:rPr>
          <w:rFonts w:ascii="Arial" w:hAnsi="Arial" w:cs="Arial"/>
          <w:sz w:val="24"/>
          <w:szCs w:val="24"/>
        </w:rPr>
        <w:t xml:space="preserve">Sullivan, D.P. and Sheffrin, S.M., 2018. Economics: Principles, Applications and Tools. Boston, MA: Pearson. Available at: </w:t>
      </w:r>
      <w:hyperlink r:id="rId16" w:history="1">
        <w:r w:rsidRPr="00A430CC">
          <w:rPr>
            <w:rStyle w:val="Hyperlink"/>
            <w:rFonts w:ascii="Arial" w:hAnsi="Arial" w:cs="Arial"/>
            <w:sz w:val="24"/>
            <w:szCs w:val="24"/>
          </w:rPr>
          <w:t>https://www.researchgate.net/publication/265166910_Economics_Principles_Applications_and_Tools</w:t>
        </w:r>
      </w:hyperlink>
    </w:p>
    <w:p w14:paraId="0774CEF7" w14:textId="01CAF7A5" w:rsidR="00DE466B" w:rsidRPr="00A430CC" w:rsidRDefault="00DE466B" w:rsidP="00A430CC">
      <w:pPr>
        <w:pStyle w:val="ListParagraph"/>
        <w:numPr>
          <w:ilvl w:val="0"/>
          <w:numId w:val="2"/>
        </w:numPr>
        <w:spacing w:line="360" w:lineRule="auto"/>
        <w:rPr>
          <w:rFonts w:ascii="Arial" w:hAnsi="Arial" w:cs="Arial"/>
          <w:sz w:val="24"/>
          <w:szCs w:val="24"/>
        </w:rPr>
      </w:pPr>
      <w:r w:rsidRPr="00A430CC">
        <w:rPr>
          <w:rFonts w:ascii="Arial" w:hAnsi="Arial" w:cs="Arial"/>
          <w:sz w:val="24"/>
          <w:szCs w:val="24"/>
        </w:rPr>
        <w:t>Walls, J.L., Berrone, P. and Phan, P.H., 2012. Corporate Governance and Environmental Performance: Is There a Link? Strategic Management Journal, 33(8), pp.885-913.</w:t>
      </w:r>
    </w:p>
    <w:p w14:paraId="5C27F7B9" w14:textId="27349AEC" w:rsidR="00D64F43" w:rsidRPr="00A430CC" w:rsidRDefault="00DE466B" w:rsidP="00A430CC">
      <w:pPr>
        <w:pStyle w:val="ListParagraph"/>
        <w:numPr>
          <w:ilvl w:val="0"/>
          <w:numId w:val="2"/>
        </w:numPr>
        <w:spacing w:line="360" w:lineRule="auto"/>
        <w:rPr>
          <w:rFonts w:ascii="Arial" w:hAnsi="Arial" w:cs="Arial"/>
          <w:sz w:val="24"/>
          <w:szCs w:val="24"/>
        </w:rPr>
      </w:pPr>
      <w:r w:rsidRPr="00A430CC">
        <w:rPr>
          <w:rFonts w:ascii="Arial" w:hAnsi="Arial" w:cs="Arial"/>
          <w:sz w:val="24"/>
          <w:szCs w:val="24"/>
        </w:rPr>
        <w:t>Weetman, P., 2016. Financial Accounting: An Introduction. 7th Edition. Pearson.</w:t>
      </w:r>
    </w:p>
    <w:p w14:paraId="048038FF" w14:textId="77777777" w:rsidR="009F677D" w:rsidRPr="002F7068" w:rsidRDefault="009F677D" w:rsidP="00490342">
      <w:pPr>
        <w:rPr>
          <w:rFonts w:ascii="Arial" w:hAnsi="Arial" w:cs="Arial"/>
          <w:sz w:val="24"/>
          <w:szCs w:val="24"/>
        </w:rPr>
      </w:pPr>
    </w:p>
    <w:sectPr w:rsidR="009F677D" w:rsidRPr="002F7068" w:rsidSect="00430FD7">
      <w:head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95763" w14:textId="77777777" w:rsidR="00430FD7" w:rsidRDefault="00430FD7" w:rsidP="00A430CC">
      <w:pPr>
        <w:spacing w:after="0" w:line="240" w:lineRule="auto"/>
      </w:pPr>
      <w:r>
        <w:separator/>
      </w:r>
    </w:p>
  </w:endnote>
  <w:endnote w:type="continuationSeparator" w:id="0">
    <w:p w14:paraId="275A3B8C" w14:textId="77777777" w:rsidR="00430FD7" w:rsidRDefault="00430FD7" w:rsidP="00A43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B4D6B" w14:textId="77777777" w:rsidR="00430FD7" w:rsidRDefault="00430FD7" w:rsidP="00A430CC">
      <w:pPr>
        <w:spacing w:after="0" w:line="240" w:lineRule="auto"/>
      </w:pPr>
      <w:r>
        <w:separator/>
      </w:r>
    </w:p>
  </w:footnote>
  <w:footnote w:type="continuationSeparator" w:id="0">
    <w:p w14:paraId="394EFBCC" w14:textId="77777777" w:rsidR="00430FD7" w:rsidRDefault="00430FD7" w:rsidP="00A430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6275660"/>
      <w:docPartObj>
        <w:docPartGallery w:val="Page Numbers (Top of Page)"/>
        <w:docPartUnique/>
      </w:docPartObj>
    </w:sdtPr>
    <w:sdtEndPr>
      <w:rPr>
        <w:noProof/>
      </w:rPr>
    </w:sdtEndPr>
    <w:sdtContent>
      <w:p w14:paraId="13038A6D" w14:textId="1CDB33D4" w:rsidR="00A430CC" w:rsidRDefault="00A430C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FF6C3DB" w14:textId="77777777" w:rsidR="00A430CC" w:rsidRDefault="00A430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248A7"/>
    <w:multiLevelType w:val="hybridMultilevel"/>
    <w:tmpl w:val="E7ECD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7935D0"/>
    <w:multiLevelType w:val="hybridMultilevel"/>
    <w:tmpl w:val="3F8AF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F820DB"/>
    <w:multiLevelType w:val="hybridMultilevel"/>
    <w:tmpl w:val="794A7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4566312">
    <w:abstractNumId w:val="1"/>
  </w:num>
  <w:num w:numId="2" w16cid:durableId="1225485525">
    <w:abstractNumId w:val="2"/>
  </w:num>
  <w:num w:numId="3" w16cid:durableId="1406301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068"/>
    <w:rsid w:val="002761AF"/>
    <w:rsid w:val="002F7068"/>
    <w:rsid w:val="003A2F4E"/>
    <w:rsid w:val="00430FD7"/>
    <w:rsid w:val="00490342"/>
    <w:rsid w:val="007A1C6A"/>
    <w:rsid w:val="009652AE"/>
    <w:rsid w:val="009F677D"/>
    <w:rsid w:val="00A430CC"/>
    <w:rsid w:val="00D64F43"/>
    <w:rsid w:val="00DA5D03"/>
    <w:rsid w:val="00DE4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295411"/>
  <w15:chartTrackingRefBased/>
  <w15:docId w15:val="{098DBA68-8A09-436D-90F0-9159EB08C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70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70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70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70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70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70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70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70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70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0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70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70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70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70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70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70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70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7068"/>
    <w:rPr>
      <w:rFonts w:eastAsiaTheme="majorEastAsia" w:cstheme="majorBidi"/>
      <w:color w:val="272727" w:themeColor="text1" w:themeTint="D8"/>
    </w:rPr>
  </w:style>
  <w:style w:type="paragraph" w:styleId="Title">
    <w:name w:val="Title"/>
    <w:basedOn w:val="Normal"/>
    <w:next w:val="Normal"/>
    <w:link w:val="TitleChar"/>
    <w:uiPriority w:val="10"/>
    <w:qFormat/>
    <w:rsid w:val="002F70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70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70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70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7068"/>
    <w:pPr>
      <w:spacing w:before="160"/>
      <w:jc w:val="center"/>
    </w:pPr>
    <w:rPr>
      <w:i/>
      <w:iCs/>
      <w:color w:val="404040" w:themeColor="text1" w:themeTint="BF"/>
    </w:rPr>
  </w:style>
  <w:style w:type="character" w:customStyle="1" w:styleId="QuoteChar">
    <w:name w:val="Quote Char"/>
    <w:basedOn w:val="DefaultParagraphFont"/>
    <w:link w:val="Quote"/>
    <w:uiPriority w:val="29"/>
    <w:rsid w:val="002F7068"/>
    <w:rPr>
      <w:i/>
      <w:iCs/>
      <w:color w:val="404040" w:themeColor="text1" w:themeTint="BF"/>
    </w:rPr>
  </w:style>
  <w:style w:type="paragraph" w:styleId="ListParagraph">
    <w:name w:val="List Paragraph"/>
    <w:basedOn w:val="Normal"/>
    <w:uiPriority w:val="34"/>
    <w:qFormat/>
    <w:rsid w:val="002F7068"/>
    <w:pPr>
      <w:ind w:left="720"/>
      <w:contextualSpacing/>
    </w:pPr>
  </w:style>
  <w:style w:type="character" w:styleId="IntenseEmphasis">
    <w:name w:val="Intense Emphasis"/>
    <w:basedOn w:val="DefaultParagraphFont"/>
    <w:uiPriority w:val="21"/>
    <w:qFormat/>
    <w:rsid w:val="002F7068"/>
    <w:rPr>
      <w:i/>
      <w:iCs/>
      <w:color w:val="0F4761" w:themeColor="accent1" w:themeShade="BF"/>
    </w:rPr>
  </w:style>
  <w:style w:type="paragraph" w:styleId="IntenseQuote">
    <w:name w:val="Intense Quote"/>
    <w:basedOn w:val="Normal"/>
    <w:next w:val="Normal"/>
    <w:link w:val="IntenseQuoteChar"/>
    <w:uiPriority w:val="30"/>
    <w:qFormat/>
    <w:rsid w:val="002F70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7068"/>
    <w:rPr>
      <w:i/>
      <w:iCs/>
      <w:color w:val="0F4761" w:themeColor="accent1" w:themeShade="BF"/>
    </w:rPr>
  </w:style>
  <w:style w:type="character" w:styleId="IntenseReference">
    <w:name w:val="Intense Reference"/>
    <w:basedOn w:val="DefaultParagraphFont"/>
    <w:uiPriority w:val="32"/>
    <w:qFormat/>
    <w:rsid w:val="002F7068"/>
    <w:rPr>
      <w:b/>
      <w:bCs/>
      <w:smallCaps/>
      <w:color w:val="0F4761" w:themeColor="accent1" w:themeShade="BF"/>
      <w:spacing w:val="5"/>
    </w:rPr>
  </w:style>
  <w:style w:type="character" w:styleId="Hyperlink">
    <w:name w:val="Hyperlink"/>
    <w:basedOn w:val="DefaultParagraphFont"/>
    <w:uiPriority w:val="99"/>
    <w:unhideWhenUsed/>
    <w:rsid w:val="00DE466B"/>
    <w:rPr>
      <w:color w:val="467886" w:themeColor="hyperlink"/>
      <w:u w:val="single"/>
    </w:rPr>
  </w:style>
  <w:style w:type="character" w:styleId="UnresolvedMention">
    <w:name w:val="Unresolved Mention"/>
    <w:basedOn w:val="DefaultParagraphFont"/>
    <w:uiPriority w:val="99"/>
    <w:semiHidden/>
    <w:unhideWhenUsed/>
    <w:rsid w:val="00DE466B"/>
    <w:rPr>
      <w:color w:val="605E5C"/>
      <w:shd w:val="clear" w:color="auto" w:fill="E1DFDD"/>
    </w:rPr>
  </w:style>
  <w:style w:type="paragraph" w:styleId="Header">
    <w:name w:val="header"/>
    <w:basedOn w:val="Normal"/>
    <w:link w:val="HeaderChar"/>
    <w:uiPriority w:val="99"/>
    <w:unhideWhenUsed/>
    <w:rsid w:val="00A430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30CC"/>
  </w:style>
  <w:style w:type="paragraph" w:styleId="Footer">
    <w:name w:val="footer"/>
    <w:basedOn w:val="Normal"/>
    <w:link w:val="FooterChar"/>
    <w:uiPriority w:val="99"/>
    <w:unhideWhenUsed/>
    <w:rsid w:val="00A430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30CC"/>
  </w:style>
  <w:style w:type="paragraph" w:styleId="NoSpacing">
    <w:name w:val="No Spacing"/>
    <w:link w:val="NoSpacingChar"/>
    <w:uiPriority w:val="1"/>
    <w:qFormat/>
    <w:rsid w:val="00A430C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430CC"/>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cademia.edu/2817103/Decision_analysis_in_one_char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rporate.mcdonalds.com/corpmcd/investors-relations/financial-information/annual-report.htm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researchgate.net/publication/265166910_Economics_Principles_Applications_and_Too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mcdonalds.com/corpmcd/investors-relations/financial-information/annual-report.html" TargetMode="External"/><Relationship Id="rId5" Type="http://schemas.openxmlformats.org/officeDocument/2006/relationships/webSettings" Target="webSettings.xml"/><Relationship Id="rId15" Type="http://schemas.openxmlformats.org/officeDocument/2006/relationships/hyperlink" Target="https://www.researchgate.net/publication/336593272_Business_model_innovation_a_review_and_research_agenda" TargetMode="External"/><Relationship Id="rId10" Type="http://schemas.openxmlformats.org/officeDocument/2006/relationships/hyperlink" Target="https://doi.org/10.21061/valib.v56i2.111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mim.ac.mw/books/Hitt-Ireland-Hoskisson%20Strategic%20Management.pdf" TargetMode="External"/><Relationship Id="rId14" Type="http://schemas.openxmlformats.org/officeDocument/2006/relationships/hyperlink" Target="http://www.mim.ac.mw/books/Michael%20E.%20Porter%20-%20Competitive%20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2024-05-12T00:00:00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1817</Words>
  <Characters>12067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Analysis</dc:title>
  <dc:subject>Financial Management For Business Sustainability</dc:subject>
  <dc:creator>Dumitru telus (2320174)</dc:creator>
  <cp:keywords/>
  <dc:description/>
  <cp:lastModifiedBy>Mirabela Voican (1907947)</cp:lastModifiedBy>
  <cp:revision>2</cp:revision>
  <dcterms:created xsi:type="dcterms:W3CDTF">2024-05-08T08:59:00Z</dcterms:created>
  <dcterms:modified xsi:type="dcterms:W3CDTF">2024-05-08T08:59:00Z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6e528b03-8907-4a14-863b-6910b5a87d17</vt:lpwstr>
  </property>
</Properties>
</file>