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FC77C8">
      <w:pPr>
        <w:spacing w:line="360" w:lineRule="auto"/>
        <w:jc w:val="center"/>
        <w:rPr>
          <w:rFonts w:ascii="Arial" w:hAnsi="Arial" w:cs="Arial"/>
          <w:b/>
          <w:sz w:val="32"/>
          <w:szCs w:val="32"/>
        </w:rPr>
      </w:pPr>
      <w:bookmarkStart w:id="0" w:name="_Toc211437169"/>
      <w: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5C13ABF9">
      <w:pPr>
        <w:jc w:val="both"/>
      </w:pPr>
    </w:p>
    <w:p w14:paraId="2271E86D">
      <w:pPr>
        <w:jc w:val="center"/>
      </w:pPr>
    </w:p>
    <w:p w14:paraId="24D54E36">
      <w:pPr>
        <w:jc w:val="center"/>
      </w:pPr>
    </w:p>
    <w:p w14:paraId="6CB131B1">
      <w:pPr>
        <w:jc w:val="center"/>
      </w:pPr>
    </w:p>
    <w:p w14:paraId="61170BF1">
      <w:pPr>
        <w:jc w:val="center"/>
      </w:pPr>
    </w:p>
    <w:p w14:paraId="703DBEBD">
      <w:pPr>
        <w:jc w:val="center"/>
        <w:rPr>
          <w:rFonts w:hint="default" w:ascii="Arial" w:hAnsi="Arial" w:cs="Arial"/>
          <w:b/>
          <w:bCs/>
          <w:lang w:val="en-US"/>
        </w:rPr>
      </w:pPr>
      <w:r>
        <w:rPr>
          <w:rFonts w:ascii="Arial" w:hAnsi="Arial" w:cs="Arial"/>
          <w:b/>
          <w:bCs/>
        </w:rPr>
        <w:t>Student Name:</w:t>
      </w:r>
      <w:r>
        <w:rPr>
          <w:rFonts w:hint="default" w:ascii="Arial" w:hAnsi="Arial" w:cs="Arial"/>
          <w:b/>
          <w:bCs/>
          <w:lang w:val="en-US"/>
        </w:rPr>
        <w:t xml:space="preserve"> ABHI PATEL</w:t>
      </w:r>
    </w:p>
    <w:p w14:paraId="7040ECBC">
      <w:pPr>
        <w:jc w:val="center"/>
        <w:rPr>
          <w:rFonts w:hint="default" w:ascii="Arial" w:hAnsi="Arial" w:cs="Arial"/>
          <w:b/>
          <w:bCs/>
          <w:lang w:val="en-US"/>
        </w:rPr>
      </w:pPr>
    </w:p>
    <w:p w14:paraId="6300C419">
      <w:pPr>
        <w:jc w:val="center"/>
        <w:rPr>
          <w:rFonts w:hint="default" w:ascii="Arial" w:hAnsi="Arial" w:cs="Arial"/>
          <w:b/>
          <w:bCs/>
          <w:lang w:val="en-US"/>
        </w:rPr>
      </w:pPr>
    </w:p>
    <w:p w14:paraId="19C12E56">
      <w:pPr>
        <w:jc w:val="center"/>
        <w:rPr>
          <w:rFonts w:hint="default" w:ascii="Arial" w:hAnsi="Arial" w:cs="Arial"/>
          <w:b/>
          <w:bCs/>
          <w:lang w:val="en-US"/>
        </w:rPr>
      </w:pPr>
    </w:p>
    <w:p w14:paraId="3706B60E">
      <w:pPr>
        <w:jc w:val="center"/>
        <w:rPr>
          <w:rFonts w:hint="default" w:ascii="Arial" w:hAnsi="Arial" w:cs="Arial"/>
          <w:b/>
          <w:bCs/>
          <w:lang w:val="en-US"/>
        </w:rPr>
      </w:pPr>
    </w:p>
    <w:p w14:paraId="2DA14BA6">
      <w:pPr>
        <w:jc w:val="center"/>
        <w:rPr>
          <w:rFonts w:ascii="Arial" w:hAnsi="Arial" w:cs="Arial"/>
          <w:b/>
          <w:bCs/>
        </w:rPr>
      </w:pPr>
    </w:p>
    <w:p w14:paraId="2C30FAD8">
      <w:pPr>
        <w:jc w:val="center"/>
        <w:rPr>
          <w:rFonts w:hint="default" w:ascii="Arial" w:hAnsi="Arial" w:cs="Arial"/>
          <w:lang w:val="en-US"/>
        </w:rPr>
      </w:pPr>
      <w:r>
        <w:rPr>
          <w:rFonts w:ascii="Arial" w:hAnsi="Arial" w:cs="Arial"/>
          <w:b/>
          <w:bCs/>
        </w:rPr>
        <w:t>Student ID:</w:t>
      </w:r>
      <w:r>
        <w:rPr>
          <w:rFonts w:hint="default" w:ascii="Arial" w:hAnsi="Arial" w:cs="Arial"/>
          <w:b/>
          <w:bCs/>
          <w:lang w:val="en-US"/>
        </w:rPr>
        <w:t>2503794</w:t>
      </w:r>
    </w:p>
    <w:p w14:paraId="6F205E48">
      <w:pPr>
        <w:jc w:val="center"/>
        <w:rPr>
          <w:rFonts w:ascii="Arial" w:hAnsi="Arial" w:cs="Arial"/>
        </w:rPr>
      </w:pPr>
    </w:p>
    <w:p w14:paraId="540E88E8">
      <w:pPr>
        <w:jc w:val="center"/>
        <w:rPr>
          <w:rFonts w:ascii="Arial" w:hAnsi="Arial" w:cs="Arial"/>
        </w:rPr>
      </w:pPr>
    </w:p>
    <w:p w14:paraId="2F21E773">
      <w:pPr>
        <w:jc w:val="center"/>
        <w:rPr>
          <w:rFonts w:hint="default" w:ascii="Arial" w:hAnsi="Arial" w:cs="Arial"/>
          <w:b/>
          <w:bCs/>
          <w:lang w:val="en-US"/>
        </w:rPr>
      </w:pPr>
      <w:r>
        <w:rPr>
          <w:rFonts w:ascii="Arial" w:hAnsi="Arial" w:cs="Arial"/>
          <w:b/>
          <w:bCs/>
        </w:rPr>
        <w:t xml:space="preserve">Module Name: </w:t>
      </w:r>
      <w:r>
        <w:rPr>
          <w:rFonts w:hint="default" w:ascii="Arial" w:hAnsi="Arial" w:cs="Arial"/>
          <w:b/>
          <w:bCs/>
          <w:lang w:val="en-US"/>
        </w:rPr>
        <w:t>MARKETING MANAGEMENT</w:t>
      </w:r>
    </w:p>
    <w:p w14:paraId="26DA6F56">
      <w:pPr>
        <w:jc w:val="center"/>
        <w:rPr>
          <w:rFonts w:hint="default" w:ascii="Arial" w:hAnsi="Arial" w:cs="Arial"/>
          <w:b/>
          <w:bCs/>
          <w:lang w:val="en-US"/>
        </w:rPr>
      </w:pPr>
    </w:p>
    <w:p w14:paraId="33BA950D">
      <w:pPr>
        <w:jc w:val="center"/>
        <w:rPr>
          <w:rFonts w:ascii="Arial" w:hAnsi="Arial" w:cs="Arial"/>
          <w:b/>
          <w:bCs/>
        </w:rPr>
      </w:pPr>
    </w:p>
    <w:p w14:paraId="647BB9D3">
      <w:pPr>
        <w:jc w:val="center"/>
        <w:rPr>
          <w:rFonts w:hint="default" w:ascii="Arial" w:hAnsi="Arial" w:cs="Arial"/>
          <w:b/>
          <w:bCs/>
          <w:lang w:val="en-US"/>
        </w:rPr>
      </w:pPr>
      <w:r>
        <w:rPr>
          <w:rFonts w:ascii="Arial" w:hAnsi="Arial" w:cs="Arial"/>
          <w:b/>
          <w:bCs/>
        </w:rPr>
        <w:t>Module Code:</w:t>
      </w:r>
      <w:r>
        <w:rPr>
          <w:rFonts w:hint="default" w:ascii="Arial" w:hAnsi="Arial" w:cs="Arial"/>
          <w:b/>
          <w:bCs/>
          <w:lang w:val="en-US"/>
        </w:rPr>
        <w:t xml:space="preserve"> LCMB7024</w:t>
      </w:r>
    </w:p>
    <w:p w14:paraId="660F3C6E">
      <w:pPr>
        <w:jc w:val="center"/>
        <w:rPr>
          <w:rFonts w:ascii="Arial" w:hAnsi="Arial" w:cs="Arial"/>
          <w:b/>
          <w:bCs/>
        </w:rPr>
      </w:pPr>
    </w:p>
    <w:p w14:paraId="488D509A">
      <w:pPr>
        <w:jc w:val="center"/>
        <w:rPr>
          <w:rFonts w:ascii="Arial" w:hAnsi="Arial" w:cs="Arial"/>
          <w:b/>
          <w:bCs/>
        </w:rPr>
      </w:pPr>
    </w:p>
    <w:p w14:paraId="126119C1">
      <w:pPr>
        <w:jc w:val="both"/>
        <w:rPr>
          <w:rFonts w:ascii="Arial" w:hAnsi="Arial" w:cs="Arial"/>
          <w:b/>
          <w:bCs/>
        </w:rPr>
      </w:pPr>
    </w:p>
    <w:p w14:paraId="74CB8AE7">
      <w:pPr>
        <w:jc w:val="center"/>
        <w:rPr>
          <w:rFonts w:hint="default" w:ascii="Arial" w:hAnsi="Arial" w:cs="Arial"/>
          <w:b/>
          <w:bCs/>
          <w:lang w:val="en-US"/>
        </w:rPr>
      </w:pPr>
      <w:r>
        <w:rPr>
          <w:rFonts w:ascii="Arial" w:hAnsi="Arial" w:cs="Arial"/>
          <w:b/>
          <w:bCs/>
        </w:rPr>
        <w:t>Lecturer’s Name:</w:t>
      </w:r>
      <w:r>
        <w:rPr>
          <w:rFonts w:hint="default" w:ascii="Arial" w:hAnsi="Arial" w:cs="Arial"/>
          <w:b/>
          <w:bCs/>
          <w:lang w:val="en-US"/>
        </w:rPr>
        <w:t xml:space="preserve"> DR. LAILA MAAZOUZ</w:t>
      </w:r>
    </w:p>
    <w:p w14:paraId="6D8B87FE">
      <w:pPr>
        <w:jc w:val="center"/>
        <w:rPr>
          <w:rFonts w:ascii="Arial" w:hAnsi="Arial" w:cs="Arial"/>
          <w:b/>
          <w:bCs/>
        </w:rPr>
      </w:pPr>
    </w:p>
    <w:p w14:paraId="2D94F3CD">
      <w:pPr>
        <w:jc w:val="center"/>
        <w:rPr>
          <w:rFonts w:ascii="Arial" w:hAnsi="Arial" w:cs="Arial"/>
          <w:b/>
          <w:bCs/>
        </w:rPr>
      </w:pPr>
    </w:p>
    <w:p w14:paraId="5D7A498B">
      <w:pPr>
        <w:rPr>
          <w:rFonts w:ascii="Arial" w:hAnsi="Arial" w:cs="Arial"/>
          <w:b/>
          <w:bCs/>
        </w:rPr>
      </w:pPr>
    </w:p>
    <w:p w14:paraId="53604C04">
      <w:pPr>
        <w:jc w:val="center"/>
        <w:rPr>
          <w:rFonts w:hint="default" w:ascii="Arial" w:hAnsi="Arial" w:cs="Arial"/>
          <w:b/>
          <w:bCs/>
          <w:lang w:val="en-US"/>
        </w:rPr>
      </w:pPr>
      <w:r>
        <w:rPr>
          <w:rFonts w:ascii="Arial" w:hAnsi="Arial" w:cs="Arial"/>
          <w:b/>
          <w:bCs/>
        </w:rPr>
        <w:t>Work Count:</w:t>
      </w:r>
      <w:r>
        <w:rPr>
          <w:rFonts w:hint="default" w:ascii="Arial" w:hAnsi="Arial" w:cs="Arial"/>
          <w:b/>
          <w:bCs/>
          <w:lang w:val="en-US"/>
        </w:rPr>
        <w:t>2681</w:t>
      </w:r>
    </w:p>
    <w:p w14:paraId="45A0C8C7">
      <w:pPr>
        <w:jc w:val="center"/>
        <w:rPr>
          <w:rFonts w:ascii="Arial" w:hAnsi="Arial" w:cs="Arial"/>
          <w:b/>
          <w:bCs/>
        </w:rPr>
      </w:pPr>
    </w:p>
    <w:p w14:paraId="54B4CEE9">
      <w:pPr>
        <w:jc w:val="center"/>
        <w:rPr>
          <w:rFonts w:ascii="Arial" w:hAnsi="Arial" w:cs="Arial"/>
          <w:b/>
          <w:bCs/>
        </w:rPr>
      </w:pPr>
    </w:p>
    <w:p w14:paraId="0BBBECA1">
      <w:pPr>
        <w:jc w:val="center"/>
        <w:rPr>
          <w:rFonts w:ascii="Arial" w:hAnsi="Arial" w:cs="Arial"/>
          <w:b/>
          <w:bCs/>
        </w:rPr>
      </w:pPr>
    </w:p>
    <w:p w14:paraId="6FA06D09">
      <w:pPr>
        <w:jc w:val="center"/>
        <w:rPr>
          <w:rFonts w:ascii="Arial" w:hAnsi="Arial" w:cs="Arial"/>
          <w:b/>
          <w:bCs/>
        </w:rPr>
      </w:pPr>
    </w:p>
    <w:p w14:paraId="535EACA0">
      <w:pPr>
        <w:jc w:val="center"/>
        <w:rPr>
          <w:rFonts w:ascii="Arial" w:hAnsi="Arial" w:cs="Arial"/>
          <w:b/>
          <w:bCs/>
        </w:rPr>
      </w:pPr>
    </w:p>
    <w:p w14:paraId="5359C3A9">
      <w:pPr>
        <w:jc w:val="center"/>
        <w:rPr>
          <w:rFonts w:ascii="Arial" w:hAnsi="Arial" w:cs="Arial"/>
          <w:b/>
          <w:bCs/>
        </w:rPr>
      </w:pPr>
      <w:r>
        <w:rPr>
          <w:rFonts w:ascii="Arial" w:hAnsi="Arial" w:cs="Arial"/>
          <w:b/>
          <w:bCs/>
        </w:rPr>
        <w:t>Term 1</w:t>
      </w:r>
    </w:p>
    <w:p w14:paraId="62662862">
      <w:pPr>
        <w:pStyle w:val="39"/>
        <w:spacing w:line="360" w:lineRule="auto"/>
        <w:jc w:val="both"/>
        <w:rPr>
          <w:rFonts w:ascii="Times New Roman" w:hAnsi="Times New Roman" w:cs="Times New Roman"/>
          <w:sz w:val="24"/>
          <w:szCs w:val="24"/>
        </w:rPr>
        <w:sectPr>
          <w:pgSz w:w="11906" w:h="16838"/>
          <w:pgMar w:top="1440" w:right="1440" w:bottom="1440" w:left="1440" w:header="708" w:footer="708" w:gutter="0"/>
          <w:cols w:space="708" w:num="1"/>
          <w:docGrid w:linePitch="360" w:charSpace="0"/>
        </w:sectPr>
      </w:pPr>
    </w:p>
    <w:sdt>
      <w:sdtPr>
        <w:rPr>
          <w:rFonts w:ascii="Times New Roman" w:hAnsi="Times New Roman" w:cs="Times New Roman"/>
          <w:sz w:val="24"/>
          <w:szCs w:val="24"/>
        </w:rPr>
        <w:id w:val="1927305509"/>
        <w:docPartObj>
          <w:docPartGallery w:val="Table of Contents"/>
          <w:docPartUnique/>
        </w:docPartObj>
      </w:sdtPr>
      <w:sdtEndPr>
        <w:rPr>
          <w:rFonts w:ascii="Times New Roman" w:hAnsi="Times New Roman" w:cs="Times New Roman" w:eastAsiaTheme="minorHAnsi"/>
          <w:b/>
          <w:bCs/>
          <w:color w:val="auto"/>
          <w:kern w:val="2"/>
          <w:sz w:val="24"/>
          <w:szCs w:val="24"/>
          <w:lang w:val="en-GB"/>
          <w14:ligatures w14:val="standardContextual"/>
        </w:rPr>
      </w:sdtEndPr>
      <w:sdtContent>
        <w:p w14:paraId="35675ED4">
          <w:pPr>
            <w:pStyle w:val="39"/>
            <w:spacing w:line="360" w:lineRule="auto"/>
            <w:jc w:val="both"/>
            <w:rPr>
              <w:rFonts w:ascii="Times New Roman" w:hAnsi="Times New Roman" w:cs="Times New Roman"/>
              <w:sz w:val="24"/>
              <w:szCs w:val="24"/>
            </w:rPr>
          </w:pPr>
          <w:r>
            <w:rPr>
              <w:rFonts w:ascii="Times New Roman" w:hAnsi="Times New Roman" w:cs="Times New Roman"/>
              <w:sz w:val="24"/>
              <w:szCs w:val="24"/>
            </w:rPr>
            <w:t>Contents</w:t>
          </w:r>
        </w:p>
        <w:p w14:paraId="6DABDDE3">
          <w:pPr>
            <w:pStyle w:val="17"/>
            <w:tabs>
              <w:tab w:val="right" w:leader="dot" w:pos="9016"/>
            </w:tabs>
            <w:spacing w:line="360" w:lineRule="auto"/>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"_Toc214501996" </w:instrText>
          </w:r>
          <w:r>
            <w:fldChar w:fldCharType="separate"/>
          </w:r>
          <w:r>
            <w:rPr>
              <w:rStyle w:val="13"/>
              <w:rFonts w:ascii="Times New Roman" w:hAnsi="Times New Roman" w:cs="Times New Roman"/>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_Toc214501996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756C50A9">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"_Toc214501997" </w:instrText>
          </w:r>
          <w:r>
            <w:fldChar w:fldCharType="separate"/>
          </w:r>
          <w:r>
            <w:rPr>
              <w:rStyle w:val="13"/>
              <w:rFonts w:ascii="Times New Roman" w:hAnsi="Times New Roman" w:cs="Times New Roman"/>
            </w:rPr>
            <w:t>2. Task 1: Critical Analysis of the Macro Marketing Environment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_Toc214501997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575F65B2">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"_Toc214501998" </w:instrText>
          </w:r>
          <w:r>
            <w:fldChar w:fldCharType="separate"/>
          </w:r>
          <w:r>
            <w:rPr>
              <w:rStyle w:val="13"/>
              <w:rFonts w:ascii="Times New Roman" w:hAnsi="Times New Roman" w:cs="Times New Roman"/>
            </w:rPr>
            <w:t>2.1 Overview of the Macro Marketing Environment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_Toc214501998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01CD32B6">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"_Toc214501999" </w:instrText>
          </w:r>
          <w:r>
            <w:fldChar w:fldCharType="separate"/>
          </w:r>
          <w:r>
            <w:rPr>
              <w:rStyle w:val="13"/>
              <w:rFonts w:ascii="Times New Roman" w:hAnsi="Times New Roman" w:cs="Times New Roman"/>
            </w:rPr>
            <w:t>2.2 Selection of Two External Macro Marketing Actors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_Toc214501999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381F29D0">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"_Toc214502000" </w:instrText>
          </w:r>
          <w:r>
            <w:fldChar w:fldCharType="separate"/>
          </w:r>
          <w:r>
            <w:rPr>
              <w:rStyle w:val="13"/>
              <w:rFonts w:ascii="Times New Roman" w:hAnsi="Times New Roman" w:cs="Times New Roman"/>
            </w:rPr>
            <w:t>Identifying and justifying the selection of two external actors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_Toc214502000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1E93E529">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"_Toc214502001" </w:instrText>
          </w:r>
          <w:r>
            <w:fldChar w:fldCharType="separate"/>
          </w:r>
          <w:r>
            <w:rPr>
              <w:rStyle w:val="13"/>
              <w:rFonts w:ascii="Times New Roman" w:hAnsi="Times New Roman" w:cs="Times New Roman"/>
            </w:rPr>
            <w:t>The relevance and current influence within the chosen industry, using recent data, reports, or examples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_Toc214502001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2ACB2326">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"_Toc214502002" </w:instrText>
          </w:r>
          <w:r>
            <w:fldChar w:fldCharType="separate"/>
          </w:r>
          <w:r>
            <w:rPr>
              <w:rStyle w:val="13"/>
              <w:rFonts w:ascii="Times New Roman" w:hAnsi="Times New Roman" w:cs="Times New Roman"/>
            </w:rPr>
            <w:t>2.3 Critical Analysis of Each Actor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_Toc214502002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14:paraId="4E1026B2">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"_Toc214502003" </w:instrText>
          </w:r>
          <w:r>
            <w:fldChar w:fldCharType="separate"/>
          </w:r>
          <w:r>
            <w:rPr>
              <w:rStyle w:val="13"/>
              <w:rFonts w:ascii="Times New Roman" w:hAnsi="Times New Roman" w:cs="Times New Roman"/>
            </w:rPr>
            <w:t>3. Task 2: Strategic Responses of Pioneering and Follower Organisations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_Toc214502003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5CA955DA">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"_Toc214502004" </w:instrText>
          </w:r>
          <w:r>
            <w:fldChar w:fldCharType="separate"/>
          </w:r>
          <w:r>
            <w:rPr>
              <w:rStyle w:val="13"/>
              <w:rFonts w:ascii="Times New Roman" w:hAnsi="Times New Roman" w:cs="Times New Roman"/>
            </w:rPr>
            <w:t>3.1 Pioneering Organisations’ Strategic Responses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_Toc214502004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674F6835">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"_Toc214502005" </w:instrText>
          </w:r>
          <w:r>
            <w:fldChar w:fldCharType="separate"/>
          </w:r>
          <w:r>
            <w:rPr>
              <w:rStyle w:val="13"/>
              <w:rFonts w:ascii="Times New Roman" w:hAnsi="Times New Roman" w:cs="Times New Roman"/>
            </w:rPr>
            <w:t>Ansoff’s Growth Matrix applied to present and assess responses of pioneering pharmaceutical firms to external challenges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_Toc214502005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6C5D9530">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"_Toc214502006" </w:instrText>
          </w:r>
          <w:r>
            <w:fldChar w:fldCharType="separate"/>
          </w:r>
          <w:r>
            <w:rPr>
              <w:rStyle w:val="13"/>
              <w:rFonts w:ascii="Times New Roman" w:hAnsi="Times New Roman" w:cs="Times New Roman"/>
            </w:rPr>
            <w:t>Porter’s Generic Strategies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_Toc214502006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5D314DC5">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"_Toc214502007" </w:instrText>
          </w:r>
          <w:r>
            <w:fldChar w:fldCharType="separate"/>
          </w:r>
          <w:r>
            <w:rPr>
              <w:rStyle w:val="13"/>
              <w:rFonts w:ascii="Times New Roman" w:hAnsi="Times New Roman" w:cs="Times New Roman"/>
            </w:rPr>
            <w:t>3.3 Follower Organisations’ Strategic Responses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_Toc214502007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478157CE">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"_Toc214502008" </w:instrText>
          </w:r>
          <w:r>
            <w:fldChar w:fldCharType="separate"/>
          </w:r>
          <w:r>
            <w:rPr>
              <w:rStyle w:val="13"/>
              <w:rFonts w:ascii="Times New Roman" w:hAnsi="Times New Roman" w:cs="Times New Roman"/>
            </w:rPr>
            <w:t>Critically assess how follower organisations adapt their strategies to sustain competitiveness.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_Toc214502008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4812607D">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"_Toc214502009" </w:instrText>
          </w:r>
          <w:r>
            <w:fldChar w:fldCharType="separate"/>
          </w:r>
          <w:r>
            <w:rPr>
              <w:rStyle w:val="13"/>
              <w:rFonts w:ascii="Times New Roman" w:hAnsi="Times New Roman" w:cs="Times New Roman"/>
            </w:rPr>
            <w:t>Ansoff’s Growth Matrix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_Toc214502009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040C6F69">
          <w:pPr>
            <w:pStyle w:val="18"/>
            <w:tabs>
              <w:tab w:val="right" w:leader="dot" w:pos="9016"/>
            </w:tabs>
            <w:spacing w:line="360" w:lineRule="auto"/>
            <w:jc w:val="both"/>
            <w:rPr>
              <w:rFonts w:ascii="Times New Roman" w:hAnsi="Times New Roman" w:cs="Times New Roman"/>
            </w:rPr>
          </w:pPr>
          <w:r>
            <w:fldChar w:fldCharType="begin"/>
          </w:r>
          <w:r>
            <w:instrText xml:space="preserve"> HYPERLINK \l "_Toc214502010" </w:instrText>
          </w:r>
          <w:r>
            <w:fldChar w:fldCharType="separate"/>
          </w:r>
          <w:r>
            <w:rPr>
              <w:rStyle w:val="13"/>
              <w:rFonts w:ascii="Times New Roman" w:hAnsi="Times New Roman" w:cs="Times New Roman"/>
            </w:rPr>
            <w:t>Porter’s Generic Strategies for Cipla, which is the follower Firm</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_Toc214502010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14:paraId="6C1AB402">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"_Toc214502011" </w:instrText>
          </w:r>
          <w:r>
            <w:fldChar w:fldCharType="separate"/>
          </w:r>
          <w:r>
            <w:rPr>
              <w:rStyle w:val="13"/>
              <w:rFonts w:ascii="Times New Roman" w:hAnsi="Times New Roman" w:cs="Times New Roman"/>
            </w:rPr>
            <w:t>4.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_Toc214502011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14:paraId="577898A7">
          <w:pPr>
            <w:pStyle w:val="17"/>
            <w:tabs>
              <w:tab w:val="right" w:leader="dot" w:pos="9016"/>
            </w:tabs>
            <w:spacing w:line="360" w:lineRule="auto"/>
            <w:jc w:val="both"/>
            <w:rPr>
              <w:rFonts w:ascii="Times New Roman" w:hAnsi="Times New Roman" w:cs="Times New Roman"/>
            </w:rPr>
          </w:pPr>
          <w:r>
            <w:fldChar w:fldCharType="begin"/>
          </w:r>
          <w:r>
            <w:instrText xml:space="preserve"> HYPERLINK \l "_Toc214502012" </w:instrText>
          </w:r>
          <w:r>
            <w:fldChar w:fldCharType="separate"/>
          </w:r>
          <w:r>
            <w:rPr>
              <w:rStyle w:val="13"/>
              <w:rFonts w:ascii="Times New Roman" w:hAnsi="Times New Roman" w:cs="Times New Roman"/>
            </w:rPr>
            <w:t>5. 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_Toc214502012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14:paraId="59ADB44B">
          <w:pPr>
            <w:spacing w:line="360" w:lineRule="auto"/>
            <w:jc w:val="both"/>
            <w:rPr>
              <w:rFonts w:ascii="Times New Roman" w:hAnsi="Times New Roman" w:cs="Times New Roman"/>
            </w:rPr>
          </w:pPr>
          <w:r>
            <w:rPr>
              <w:rFonts w:ascii="Times New Roman" w:hAnsi="Times New Roman" w:cs="Times New Roman"/>
              <w:b/>
              <w:bCs/>
            </w:rPr>
            <w:fldChar w:fldCharType="end"/>
          </w:r>
        </w:p>
      </w:sdtContent>
    </w:sdt>
    <w:p w14:paraId="7D3E5693">
      <w:pPr>
        <w:spacing w:line="360" w:lineRule="auto"/>
        <w:jc w:val="both"/>
        <w:rPr>
          <w:rFonts w:ascii="Times New Roman" w:hAnsi="Times New Roman" w:cs="Times New Roman"/>
        </w:rPr>
      </w:pPr>
    </w:p>
    <w:p w14:paraId="0B2F2CEF">
      <w:pPr>
        <w:spacing w:line="360" w:lineRule="auto"/>
        <w:jc w:val="center"/>
        <w:rPr>
          <w:rFonts w:ascii="Arial" w:hAnsi="Arial" w:cs="Arial"/>
        </w:rPr>
      </w:pPr>
      <w:r>
        <w:rPr>
          <w:rFonts w:ascii="Arial" w:hAnsi="Arial" w:cs="Arial"/>
        </w:rPr>
        <w:br w:type="page"/>
      </w:r>
    </w:p>
    <w:p w14:paraId="2F486E1F">
      <w:pPr>
        <w:pStyle w:val="2"/>
      </w:pPr>
      <w:bookmarkStart w:id="1" w:name="_Toc214501996"/>
      <w:r>
        <w:t>1: Introduction</w:t>
      </w:r>
      <w:bookmarkEnd w:id="1"/>
      <w:r>
        <w:t xml:space="preserve"> </w:t>
      </w:r>
      <w:bookmarkEnd w:id="0"/>
    </w:p>
    <w:p w14:paraId="766EC26A">
      <w:pPr>
        <w:spacing w:line="360" w:lineRule="auto"/>
        <w:jc w:val="both"/>
        <w:rPr>
          <w:rFonts w:ascii="Arial" w:hAnsi="Arial" w:cs="Arial"/>
        </w:rPr>
      </w:pPr>
      <w:r>
        <w:rPr>
          <w:rFonts w:ascii="Arial" w:hAnsi="Arial" w:cs="Arial"/>
        </w:rPr>
        <w:t>The paper here emphasises the marketing management procedures that the marketing department of a company considers after assessing the macro environment of a particular country. Macro-environment factors like economic factors, political factors, legal factors, and technological factors often influence the marketing department of a company to develop strategies in terms of placing a product or pricing the product, adhering to these factors.</w:t>
      </w:r>
      <w:bookmarkStart w:id="2" w:name="_Toc211437170"/>
    </w:p>
    <w:p w14:paraId="246A0647">
      <w:pPr>
        <w:spacing w:line="360" w:lineRule="auto"/>
        <w:jc w:val="both"/>
        <w:rPr>
          <w:rFonts w:ascii="Arial" w:hAnsi="Arial" w:cs="Arial"/>
        </w:rPr>
      </w:pPr>
      <w:r>
        <w:rPr>
          <w:rFonts w:ascii="Arial" w:hAnsi="Arial" w:cs="Arial"/>
        </w:rPr>
        <w:t>Aghlmand et al. (2022) had stated that macro-environment factors, preferably ones that are obtained from the PESTLE framework, play a substantial role in shaping a company’s marketing decisions. This would be considered to create opportunities or threats beyond its control. For instance, nuances like political and legal changes affect regulations. Along with such, another example would be economic conditions that influence consumer spending, and could be in the form of purchasing power or GDP per capita of the nation. Factors like the shifts in social trends often shift consumer preferences. Makvandi (2024) had identified that technological advances further create new strategies to reach customers. An example of such would be environmental requirements and awareness that have compelled firms like Tesla to consider making electric vehicles as major eco-friendly alternatives.</w:t>
      </w:r>
    </w:p>
    <w:p w14:paraId="127FAA96">
      <w:pPr>
        <w:spacing w:line="360" w:lineRule="auto"/>
        <w:jc w:val="both"/>
        <w:rPr>
          <w:rFonts w:ascii="Arial" w:hAnsi="Arial" w:cs="Arial"/>
        </w:rPr>
      </w:pPr>
      <w:r>
        <w:rPr>
          <w:rFonts w:ascii="Arial" w:hAnsi="Arial" w:cs="Arial"/>
        </w:rPr>
        <w:t xml:space="preserve">In light of this, the paper here considers the macroeconomic factors that influence marketing management and relevant strategies. The essay would proceed to present two factors that impact a selected industry, which would be preferably from the UK. One demonstrating the impact on the sector, one pioneer company, and one follower company are chosen from the sector to assess how they fare in assessing these macro-environment principles. </w:t>
      </w:r>
    </w:p>
    <w:p w14:paraId="07FFF301">
      <w:pPr>
        <w:spacing w:line="360" w:lineRule="auto"/>
        <w:jc w:val="both"/>
        <w:rPr>
          <w:rFonts w:ascii="Arial" w:hAnsi="Arial" w:cs="Arial"/>
        </w:rPr>
      </w:pPr>
    </w:p>
    <w:p w14:paraId="1D1C3DBC">
      <w:pPr>
        <w:pStyle w:val="2"/>
      </w:pPr>
      <w:bookmarkStart w:id="3" w:name="_Toc214501997"/>
      <w:r>
        <w:t>2. Task 1: Critical Analysis of the Macro Marketing Environment</w:t>
      </w:r>
      <w:bookmarkEnd w:id="3"/>
      <w:r>
        <w:t xml:space="preserve"> </w:t>
      </w:r>
      <w:bookmarkEnd w:id="2"/>
    </w:p>
    <w:p w14:paraId="3957DFDA">
      <w:pPr>
        <w:pStyle w:val="3"/>
      </w:pPr>
      <w:bookmarkStart w:id="4" w:name="_Toc211437171"/>
      <w:bookmarkStart w:id="5" w:name="_Toc214501998"/>
      <w:r>
        <w:t>2.1 Overview of the Macro Marketing Environment</w:t>
      </w:r>
      <w:bookmarkEnd w:id="4"/>
      <w:bookmarkEnd w:id="5"/>
    </w:p>
    <w:p w14:paraId="1A73F58D">
      <w:pPr>
        <w:spacing w:line="360" w:lineRule="auto"/>
        <w:jc w:val="both"/>
        <w:rPr>
          <w:rFonts w:ascii="Arial" w:hAnsi="Arial" w:cs="Arial"/>
        </w:rPr>
      </w:pPr>
      <w:bookmarkStart w:id="6" w:name="_Toc211437172"/>
      <w:r>
        <w:rPr>
          <w:rFonts w:ascii="Arial" w:hAnsi="Arial" w:cs="Arial"/>
        </w:rPr>
        <w:t>The framework taught in the module PESTLE enables in determining of the macro environment factors that influence strategic marketing management and relevant strategy making. The tabular presentation below presents the PESTLE analysis of the UK, and aids in comprehending the manner in which these factors influence marketing strategies.</w:t>
      </w:r>
    </w:p>
    <w:tbl>
      <w:tblPr>
        <w:tblStyle w:val="38"/>
        <w:tblW w:w="0" w:type="auto"/>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1953"/>
        <w:gridCol w:w="4126"/>
        <w:gridCol w:w="3163"/>
      </w:tblGrid>
      <w:tr w14:paraId="75C52A5B">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c>
          <w:tcPr>
            <w:tcW w:w="0" w:type="auto"/>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14:paraId="31C2E433">
            <w:pPr>
              <w:spacing w:after="160"/>
              <w:jc w:val="both"/>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Factor</w:t>
            </w:r>
            <w:r>
              <w:rPr>
                <w:rFonts w:ascii="Arial" w:hAnsi="Arial" w:cs="Arial"/>
                <w:b w:val="0"/>
                <w:bCs w:val="0"/>
                <w:color w:val="FFFFFF" w:themeColor="background1"/>
                <w:sz w:val="22"/>
                <w:szCs w:val="22"/>
                <w14:textFill>
                  <w14:solidFill>
                    <w14:schemeClr w14:val="bg1"/>
                  </w14:solidFill>
                </w14:textFill>
              </w:rPr>
              <w:t xml:space="preserve">s determined from the PESTLE framework </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14:paraId="1CB944E2">
            <w:pPr>
              <w:spacing w:after="160"/>
              <w:jc w:val="both"/>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Key UK Data / Trends</w:t>
            </w:r>
            <w:r>
              <w:rPr>
                <w:rFonts w:ascii="Arial" w:hAnsi="Arial" w:cs="Arial"/>
                <w:b w:val="0"/>
                <w:bCs w:val="0"/>
                <w:color w:val="FFFFFF" w:themeColor="background1"/>
                <w:sz w:val="22"/>
                <w:szCs w:val="22"/>
                <w14:textFill>
                  <w14:solidFill>
                    <w14:schemeClr w14:val="bg1"/>
                  </w14:solidFill>
                </w14:textFill>
              </w:rPr>
              <w:t xml:space="preserve"> that had been identified which marketing department of a company must consider to formulate strategies </w:t>
            </w:r>
          </w:p>
        </w:tc>
        <w:tc>
          <w:tcPr>
            <w:tcW w:w="0" w:type="auto"/>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14:paraId="0A94491A">
            <w:pPr>
              <w:spacing w:after="160"/>
              <w:jc w:val="both"/>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Impact on Marketing Strategy</w:t>
            </w:r>
          </w:p>
        </w:tc>
      </w:tr>
      <w:tr w14:paraId="351757A0">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27F6E2F1">
            <w:pPr>
              <w:spacing w:after="160"/>
              <w:jc w:val="both"/>
              <w:rPr>
                <w:rFonts w:ascii="Arial" w:hAnsi="Arial" w:cs="Arial"/>
                <w:b/>
                <w:bCs/>
                <w:sz w:val="22"/>
                <w:szCs w:val="22"/>
              </w:rPr>
            </w:pPr>
            <w:r>
              <w:rPr>
                <w:rFonts w:ascii="Arial" w:hAnsi="Arial" w:cs="Arial"/>
                <w:b/>
                <w:bCs/>
                <w:sz w:val="22"/>
                <w:szCs w:val="22"/>
              </w:rPr>
              <w:t>Political</w:t>
            </w:r>
            <w:r>
              <w:rPr>
                <w:rFonts w:ascii="Arial" w:hAnsi="Arial" w:cs="Arial"/>
                <w:b w:val="0"/>
                <w:bCs w:val="0"/>
                <w:sz w:val="22"/>
                <w:szCs w:val="22"/>
              </w:rPr>
              <w:t xml:space="preserve"> factors </w:t>
            </w:r>
          </w:p>
        </w:tc>
        <w:tc>
          <w:tcPr>
            <w:tcW w:w="0" w:type="auto"/>
            <w:shd w:val="clear" w:color="auto" w:fill="FBE4D5" w:themeFill="accent2" w:themeFillTint="33"/>
          </w:tcPr>
          <w:p w14:paraId="26EDDD91">
            <w:pPr>
              <w:spacing w:after="160"/>
              <w:jc w:val="both"/>
              <w:rPr>
                <w:rFonts w:ascii="Arial" w:hAnsi="Arial" w:cs="Arial"/>
                <w:sz w:val="22"/>
                <w:szCs w:val="22"/>
              </w:rPr>
            </w:pPr>
            <w:r>
              <w:rPr>
                <w:rFonts w:ascii="Arial" w:hAnsi="Arial" w:cs="Arial"/>
                <w:sz w:val="22"/>
                <w:szCs w:val="22"/>
              </w:rPr>
              <w:t>A relatively stable democracy has been identified in the UK.  However, regulatory uncertainty post-Brexit persists, which has been in the form of new trade rules (Portes, 2022)</w:t>
            </w:r>
          </w:p>
          <w:p w14:paraId="456CF105">
            <w:pPr>
              <w:spacing w:after="160"/>
              <w:jc w:val="both"/>
              <w:rPr>
                <w:rFonts w:ascii="Arial" w:hAnsi="Arial" w:cs="Arial"/>
                <w:sz w:val="22"/>
                <w:szCs w:val="22"/>
              </w:rPr>
            </w:pPr>
            <w:r>
              <w:rPr>
                <w:rFonts w:ascii="Arial" w:hAnsi="Arial" w:cs="Arial"/>
                <w:sz w:val="22"/>
                <w:szCs w:val="22"/>
              </w:rPr>
              <w:t xml:space="preserve">The politics of immigration and free movement were the key drivers of the shape of the UK–EU post-Brexit economic (Portes, 2022) </w:t>
            </w:r>
          </w:p>
        </w:tc>
        <w:tc>
          <w:tcPr>
            <w:tcW w:w="0" w:type="auto"/>
            <w:shd w:val="clear" w:color="auto" w:fill="FBE4D5" w:themeFill="accent2" w:themeFillTint="33"/>
          </w:tcPr>
          <w:p w14:paraId="7F6732DD">
            <w:pPr>
              <w:spacing w:after="160"/>
              <w:jc w:val="both"/>
              <w:rPr>
                <w:rFonts w:ascii="Arial" w:hAnsi="Arial" w:cs="Arial"/>
                <w:sz w:val="22"/>
                <w:szCs w:val="22"/>
              </w:rPr>
            </w:pPr>
            <w:r>
              <w:rPr>
                <w:rFonts w:ascii="Arial" w:hAnsi="Arial" w:cs="Arial"/>
                <w:sz w:val="22"/>
                <w:szCs w:val="22"/>
              </w:rPr>
              <w:t>Adhering to this macro-economic trend, Brands may emphasize “Made in UK” or local supply chains to appeal to nationalist sentiment and reassure customers about reliability (Southgate, 2016).</w:t>
            </w:r>
          </w:p>
        </w:tc>
      </w:tr>
      <w:tr w14:paraId="1AD7087E">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5B895B08">
            <w:pPr>
              <w:spacing w:after="160"/>
              <w:jc w:val="both"/>
              <w:rPr>
                <w:rFonts w:ascii="Arial" w:hAnsi="Arial" w:cs="Arial"/>
                <w:b/>
                <w:bCs/>
                <w:sz w:val="22"/>
                <w:szCs w:val="22"/>
              </w:rPr>
            </w:pPr>
            <w:r>
              <w:rPr>
                <w:rFonts w:ascii="Arial" w:hAnsi="Arial" w:cs="Arial"/>
                <w:b/>
                <w:bCs/>
                <w:sz w:val="22"/>
                <w:szCs w:val="22"/>
              </w:rPr>
              <w:t>Economic</w:t>
            </w:r>
            <w:r>
              <w:rPr>
                <w:rFonts w:ascii="Arial" w:hAnsi="Arial" w:cs="Arial"/>
                <w:b w:val="0"/>
                <w:bCs w:val="0"/>
                <w:sz w:val="22"/>
                <w:szCs w:val="22"/>
              </w:rPr>
              <w:t xml:space="preserve"> factors </w:t>
            </w:r>
          </w:p>
        </w:tc>
        <w:tc>
          <w:tcPr>
            <w:tcW w:w="0" w:type="auto"/>
          </w:tcPr>
          <w:p w14:paraId="3F762DCE">
            <w:pPr>
              <w:spacing w:after="160"/>
              <w:jc w:val="both"/>
              <w:rPr>
                <w:rFonts w:ascii="Arial" w:hAnsi="Arial" w:cs="Arial"/>
                <w:sz w:val="22"/>
                <w:szCs w:val="22"/>
              </w:rPr>
            </w:pPr>
            <w:r>
              <w:rPr>
                <w:rFonts w:ascii="Arial" w:hAnsi="Arial" w:cs="Arial"/>
                <w:sz w:val="22"/>
                <w:szCs w:val="22"/>
              </w:rPr>
              <w:t xml:space="preserve">UK GDP per capita ≈ </w:t>
            </w:r>
            <w:r>
              <w:rPr>
                <w:rFonts w:ascii="Arial" w:hAnsi="Arial" w:cs="Arial"/>
                <w:b/>
                <w:bCs/>
                <w:sz w:val="22"/>
                <w:szCs w:val="22"/>
              </w:rPr>
              <w:t xml:space="preserve">£37,044 (), with </w:t>
            </w:r>
            <w:r>
              <w:rPr>
                <w:rFonts w:ascii="Arial" w:hAnsi="Arial" w:cs="Arial"/>
                <w:sz w:val="22"/>
                <w:szCs w:val="22"/>
              </w:rPr>
              <w:t xml:space="preserve">real GDP growth was </w:t>
            </w:r>
            <w:r>
              <w:rPr>
                <w:rFonts w:ascii="Arial" w:hAnsi="Arial" w:cs="Arial"/>
                <w:b/>
                <w:bCs/>
                <w:sz w:val="22"/>
                <w:szCs w:val="22"/>
              </w:rPr>
              <w:t>+1.1% in 2024</w:t>
            </w:r>
            <w:r>
              <w:rPr>
                <w:rFonts w:ascii="Arial" w:hAnsi="Arial" w:cs="Arial"/>
                <w:sz w:val="22"/>
                <w:szCs w:val="22"/>
              </w:rPr>
              <w:t xml:space="preserve"> (Statista, 2025). Hence, it could be concluded that in the UK, people do possess superior purchasing power. However, in the UK, it has been identified that the cost-of-living crisis persists (Statista, 2025). </w:t>
            </w:r>
          </w:p>
        </w:tc>
        <w:tc>
          <w:tcPr>
            <w:tcW w:w="0" w:type="auto"/>
          </w:tcPr>
          <w:p w14:paraId="33C800E4">
            <w:pPr>
              <w:spacing w:after="160"/>
              <w:jc w:val="both"/>
              <w:rPr>
                <w:rFonts w:ascii="Arial" w:hAnsi="Arial" w:cs="Arial"/>
                <w:sz w:val="22"/>
                <w:szCs w:val="22"/>
              </w:rPr>
            </w:pPr>
            <w:r>
              <w:rPr>
                <w:rFonts w:ascii="Arial" w:hAnsi="Arial" w:cs="Arial"/>
                <w:sz w:val="22"/>
                <w:szCs w:val="22"/>
              </w:rPr>
              <w:t>There could be instances of high disposable income in some segments that allow premium positioning, but cost pressures mean many firms must offer value-tier products or emphasize cost-efficiency.</w:t>
            </w:r>
          </w:p>
        </w:tc>
      </w:tr>
      <w:tr w14:paraId="51AAD332">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466D7F32">
            <w:pPr>
              <w:spacing w:after="160"/>
              <w:jc w:val="both"/>
              <w:rPr>
                <w:rFonts w:ascii="Arial" w:hAnsi="Arial" w:cs="Arial"/>
                <w:b/>
                <w:bCs/>
                <w:sz w:val="22"/>
                <w:szCs w:val="22"/>
              </w:rPr>
            </w:pPr>
            <w:r>
              <w:rPr>
                <w:rFonts w:ascii="Arial" w:hAnsi="Arial" w:cs="Arial"/>
                <w:b/>
                <w:bCs/>
                <w:sz w:val="22"/>
                <w:szCs w:val="22"/>
              </w:rPr>
              <w:t>Social</w:t>
            </w:r>
            <w:r>
              <w:rPr>
                <w:rFonts w:ascii="Arial" w:hAnsi="Arial" w:cs="Arial"/>
                <w:b w:val="0"/>
                <w:bCs w:val="0"/>
                <w:sz w:val="22"/>
                <w:szCs w:val="22"/>
              </w:rPr>
              <w:t xml:space="preserve"> factors </w:t>
            </w:r>
          </w:p>
        </w:tc>
        <w:tc>
          <w:tcPr>
            <w:tcW w:w="0" w:type="auto"/>
            <w:shd w:val="clear" w:color="auto" w:fill="FBE4D5" w:themeFill="accent2" w:themeFillTint="33"/>
          </w:tcPr>
          <w:p w14:paraId="665CDB6F">
            <w:pPr>
              <w:spacing w:after="160"/>
              <w:jc w:val="both"/>
              <w:rPr>
                <w:rFonts w:ascii="Arial" w:hAnsi="Arial" w:cs="Arial"/>
                <w:sz w:val="22"/>
                <w:szCs w:val="22"/>
              </w:rPr>
            </w:pPr>
            <w:r>
              <w:rPr>
                <w:rFonts w:ascii="Arial" w:hAnsi="Arial" w:cs="Arial"/>
                <w:sz w:val="22"/>
                <w:szCs w:val="22"/>
              </w:rPr>
              <w:t xml:space="preserve">The average age of the UK is generally high, and therefore, an aging population could be one of the factors that marketing management of a company must look into. GlobalData (2025) had identified that the median age of the UK is usually on the higher side. </w:t>
            </w:r>
          </w:p>
          <w:p w14:paraId="71B58E8F">
            <w:pPr>
              <w:spacing w:after="160"/>
              <w:jc w:val="both"/>
              <w:rPr>
                <w:rFonts w:ascii="Arial" w:hAnsi="Arial" w:cs="Arial"/>
                <w:sz w:val="22"/>
                <w:szCs w:val="22"/>
              </w:rPr>
            </w:pPr>
            <w:r>
              <w:rPr>
                <w:rFonts w:ascii="Arial" w:hAnsi="Arial" w:cs="Arial"/>
                <w:sz w:val="22"/>
                <w:szCs w:val="22"/>
              </w:rPr>
              <w:t>The Mean Age in the United Kingdom was 40.2 years in 2021. The mean age in the United Kingdom was highest in 2021 at 40.2 years and was lowest in 2018 at 39.9 years 2018 2021. It recorded a growth of 0.3% in 2021 compared to the previous year. Between 2018-2021, the mean age in the United Kingdom increased by 0.9% (GlobalData (2025).</w:t>
            </w:r>
          </w:p>
        </w:tc>
        <w:tc>
          <w:tcPr>
            <w:tcW w:w="0" w:type="auto"/>
            <w:shd w:val="clear" w:color="auto" w:fill="FBE4D5" w:themeFill="accent2" w:themeFillTint="33"/>
          </w:tcPr>
          <w:p w14:paraId="5D2AE548">
            <w:pPr>
              <w:spacing w:after="160"/>
              <w:jc w:val="both"/>
              <w:rPr>
                <w:rFonts w:ascii="Arial" w:hAnsi="Arial" w:cs="Arial"/>
                <w:sz w:val="22"/>
                <w:szCs w:val="22"/>
              </w:rPr>
            </w:pPr>
            <w:r>
              <w:rPr>
                <w:rFonts w:ascii="Arial" w:hAnsi="Arial" w:cs="Arial"/>
                <w:sz w:val="22"/>
                <w:szCs w:val="22"/>
              </w:rPr>
              <w:t>Furthermore, it has to be realised that marketing should be tailored: diversity in messaging, premium products for older demographics, and digital and social campaigns for educated, urban consumers.</w:t>
            </w:r>
          </w:p>
        </w:tc>
      </w:tr>
      <w:tr w14:paraId="70CA9B06">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21750F6A">
            <w:pPr>
              <w:spacing w:after="160"/>
              <w:jc w:val="both"/>
              <w:rPr>
                <w:rFonts w:ascii="Arial" w:hAnsi="Arial" w:cs="Arial"/>
                <w:b/>
                <w:bCs/>
                <w:sz w:val="22"/>
                <w:szCs w:val="22"/>
              </w:rPr>
            </w:pPr>
            <w:r>
              <w:rPr>
                <w:rFonts w:ascii="Arial" w:hAnsi="Arial" w:cs="Arial"/>
                <w:b/>
                <w:bCs/>
                <w:sz w:val="22"/>
                <w:szCs w:val="22"/>
              </w:rPr>
              <w:t>Technological</w:t>
            </w:r>
            <w:r>
              <w:rPr>
                <w:rFonts w:ascii="Arial" w:hAnsi="Arial" w:cs="Arial"/>
                <w:b w:val="0"/>
                <w:bCs w:val="0"/>
                <w:sz w:val="22"/>
                <w:szCs w:val="22"/>
              </w:rPr>
              <w:t xml:space="preserve"> factors </w:t>
            </w:r>
          </w:p>
        </w:tc>
        <w:tc>
          <w:tcPr>
            <w:tcW w:w="0" w:type="auto"/>
          </w:tcPr>
          <w:p w14:paraId="22DD1EB7">
            <w:pPr>
              <w:spacing w:after="160"/>
              <w:jc w:val="both"/>
              <w:rPr>
                <w:rFonts w:ascii="Arial" w:hAnsi="Arial" w:cs="Arial"/>
                <w:sz w:val="22"/>
                <w:szCs w:val="22"/>
              </w:rPr>
            </w:pPr>
            <w:r>
              <w:rPr>
                <w:rFonts w:ascii="Arial" w:hAnsi="Arial" w:cs="Arial"/>
                <w:sz w:val="22"/>
                <w:szCs w:val="22"/>
              </w:rPr>
              <w:t>The UK has been a proponent of strong R&amp;D, high internet penetration, innovation in AI, and fintech. He </w:t>
            </w:r>
            <w:r>
              <w:rPr>
                <w:rFonts w:ascii="Arial" w:hAnsi="Arial" w:cs="Arial"/>
                <w:b/>
                <w:bCs/>
                <w:sz w:val="22"/>
                <w:szCs w:val="22"/>
              </w:rPr>
              <w:t>UK has</w:t>
            </w:r>
            <w:r>
              <w:rPr>
                <w:rFonts w:ascii="Arial" w:hAnsi="Arial" w:cs="Arial"/>
                <w:sz w:val="22"/>
                <w:szCs w:val="22"/>
              </w:rPr>
              <w:t> firmly positioned itself as a leader in financial </w:t>
            </w:r>
            <w:r>
              <w:rPr>
                <w:rFonts w:ascii="Arial" w:hAnsi="Arial" w:cs="Arial"/>
                <w:b/>
                <w:bCs/>
                <w:sz w:val="22"/>
                <w:szCs w:val="22"/>
              </w:rPr>
              <w:t>innovation</w:t>
            </w:r>
            <w:r>
              <w:rPr>
                <w:rFonts w:ascii="Arial" w:hAnsi="Arial" w:cs="Arial"/>
                <w:sz w:val="22"/>
                <w:szCs w:val="22"/>
              </w:rPr>
              <w:t>, offering a regulatory environment that's both tech-positive and agile (NayaOne, 2025)</w:t>
            </w:r>
          </w:p>
        </w:tc>
        <w:tc>
          <w:tcPr>
            <w:tcW w:w="0" w:type="auto"/>
          </w:tcPr>
          <w:p w14:paraId="17F017B8">
            <w:pPr>
              <w:spacing w:after="160"/>
              <w:jc w:val="both"/>
              <w:rPr>
                <w:rFonts w:ascii="Arial" w:hAnsi="Arial" w:cs="Arial"/>
                <w:sz w:val="22"/>
                <w:szCs w:val="22"/>
              </w:rPr>
            </w:pPr>
            <w:r>
              <w:rPr>
                <w:rFonts w:ascii="Arial" w:hAnsi="Arial" w:cs="Arial"/>
                <w:sz w:val="22"/>
                <w:szCs w:val="22"/>
              </w:rPr>
              <w:t>It is often witnessed that companies can consider leveraging advanced digital marketing, personalising via data analytics, and launching tech-driven products or services (an example of such would be the recent fintech apps) to stay competitive.</w:t>
            </w:r>
          </w:p>
        </w:tc>
      </w:tr>
      <w:tr w14:paraId="24BC0B05">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27AA2353">
            <w:pPr>
              <w:spacing w:after="160"/>
              <w:jc w:val="both"/>
              <w:rPr>
                <w:rFonts w:ascii="Arial" w:hAnsi="Arial" w:cs="Arial"/>
                <w:b/>
                <w:bCs/>
                <w:sz w:val="22"/>
                <w:szCs w:val="22"/>
              </w:rPr>
            </w:pPr>
            <w:r>
              <w:rPr>
                <w:rFonts w:ascii="Arial" w:hAnsi="Arial" w:cs="Arial"/>
                <w:b/>
                <w:bCs/>
                <w:sz w:val="22"/>
                <w:szCs w:val="22"/>
              </w:rPr>
              <w:t>Legal</w:t>
            </w:r>
            <w:r>
              <w:rPr>
                <w:rFonts w:ascii="Arial" w:hAnsi="Arial" w:cs="Arial"/>
                <w:b w:val="0"/>
                <w:bCs w:val="0"/>
                <w:sz w:val="22"/>
                <w:szCs w:val="22"/>
              </w:rPr>
              <w:t xml:space="preserve"> factors </w:t>
            </w:r>
          </w:p>
        </w:tc>
        <w:tc>
          <w:tcPr>
            <w:tcW w:w="0" w:type="auto"/>
            <w:shd w:val="clear" w:color="auto" w:fill="FBE4D5" w:themeFill="accent2" w:themeFillTint="33"/>
          </w:tcPr>
          <w:p w14:paraId="451A0197">
            <w:pPr>
              <w:jc w:val="both"/>
              <w:rPr>
                <w:rFonts w:ascii="Arial" w:hAnsi="Arial" w:cs="Arial"/>
                <w:sz w:val="22"/>
                <w:szCs w:val="22"/>
              </w:rPr>
            </w:pPr>
            <w:r>
              <w:rPr>
                <w:rFonts w:ascii="Arial" w:hAnsi="Arial" w:cs="Arial"/>
                <w:sz w:val="22"/>
                <w:szCs w:val="22"/>
              </w:rPr>
              <w:t xml:space="preserve">New </w:t>
            </w:r>
            <w:r>
              <w:rPr>
                <w:rFonts w:ascii="Arial" w:hAnsi="Arial" w:cs="Arial"/>
                <w:b/>
                <w:bCs/>
                <w:sz w:val="22"/>
                <w:szCs w:val="22"/>
              </w:rPr>
              <w:t>Digital Markets, Competition and Consumers Act (2024)</w:t>
            </w:r>
            <w:r>
              <w:rPr>
                <w:rFonts w:ascii="Arial" w:hAnsi="Arial" w:cs="Arial"/>
                <w:sz w:val="22"/>
                <w:szCs w:val="22"/>
              </w:rPr>
              <w:t xml:space="preserve"> strengthens regulation on digital platforms as identified in (United Kingdom (2024) </w:t>
            </w:r>
          </w:p>
          <w:p w14:paraId="11BBE0EA">
            <w:pPr>
              <w:spacing w:after="160"/>
              <w:jc w:val="both"/>
              <w:rPr>
                <w:rFonts w:ascii="Arial" w:hAnsi="Arial" w:cs="Arial"/>
                <w:sz w:val="22"/>
                <w:szCs w:val="22"/>
              </w:rPr>
            </w:pPr>
            <w:r>
              <w:rPr>
                <w:rFonts w:ascii="Arial" w:hAnsi="Arial" w:cs="Arial"/>
                <w:sz w:val="22"/>
                <w:szCs w:val="22"/>
              </w:rPr>
              <w:t xml:space="preserve">Also, there is a certain presence of strict consumer-protection and employment laws (United Kingdom, 2024) </w:t>
            </w:r>
          </w:p>
        </w:tc>
        <w:tc>
          <w:tcPr>
            <w:tcW w:w="0" w:type="auto"/>
            <w:shd w:val="clear" w:color="auto" w:fill="FBE4D5" w:themeFill="accent2" w:themeFillTint="33"/>
          </w:tcPr>
          <w:p w14:paraId="6FB0296D">
            <w:pPr>
              <w:jc w:val="both"/>
              <w:rPr>
                <w:rFonts w:ascii="Arial" w:hAnsi="Arial" w:cs="Arial"/>
                <w:sz w:val="22"/>
                <w:szCs w:val="22"/>
              </w:rPr>
            </w:pPr>
            <w:r>
              <w:rPr>
                <w:rFonts w:ascii="Arial" w:hAnsi="Arial" w:cs="Arial"/>
                <w:sz w:val="22"/>
                <w:szCs w:val="22"/>
              </w:rPr>
              <w:t>Marketing campaigns must abide by the new digital regulations</w:t>
            </w:r>
          </w:p>
          <w:p w14:paraId="5432322F">
            <w:pPr>
              <w:spacing w:after="160"/>
              <w:jc w:val="both"/>
              <w:rPr>
                <w:rFonts w:ascii="Arial" w:hAnsi="Arial" w:cs="Arial"/>
                <w:sz w:val="22"/>
                <w:szCs w:val="22"/>
              </w:rPr>
            </w:pPr>
            <w:r>
              <w:rPr>
                <w:rFonts w:ascii="Arial" w:hAnsi="Arial" w:cs="Arial"/>
                <w:sz w:val="22"/>
                <w:szCs w:val="22"/>
              </w:rPr>
              <w:t>Moreover, in recent times,  firms need transparency in digital ads, and may need to adjust pricing or platform strategy to meet legal constraints.</w:t>
            </w:r>
          </w:p>
        </w:tc>
      </w:tr>
      <w:tr w14:paraId="3170E28D">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5CFF7F67">
            <w:pPr>
              <w:spacing w:after="160"/>
              <w:jc w:val="both"/>
              <w:rPr>
                <w:rFonts w:ascii="Arial" w:hAnsi="Arial" w:cs="Arial"/>
                <w:b/>
                <w:bCs/>
                <w:sz w:val="22"/>
                <w:szCs w:val="22"/>
              </w:rPr>
            </w:pPr>
            <w:r>
              <w:rPr>
                <w:rFonts w:ascii="Arial" w:hAnsi="Arial" w:cs="Arial"/>
                <w:b/>
                <w:bCs/>
                <w:sz w:val="22"/>
                <w:szCs w:val="22"/>
              </w:rPr>
              <w:t>Environmental</w:t>
            </w:r>
            <w:r>
              <w:rPr>
                <w:rFonts w:ascii="Arial" w:hAnsi="Arial" w:cs="Arial"/>
                <w:b w:val="0"/>
                <w:bCs w:val="0"/>
                <w:sz w:val="22"/>
                <w:szCs w:val="22"/>
              </w:rPr>
              <w:t xml:space="preserve"> factors </w:t>
            </w:r>
          </w:p>
        </w:tc>
        <w:tc>
          <w:tcPr>
            <w:tcW w:w="0" w:type="auto"/>
          </w:tcPr>
          <w:p w14:paraId="367499E3">
            <w:pPr>
              <w:spacing w:after="160"/>
              <w:jc w:val="both"/>
              <w:rPr>
                <w:rFonts w:ascii="Arial" w:hAnsi="Arial" w:cs="Arial"/>
                <w:sz w:val="22"/>
                <w:szCs w:val="22"/>
              </w:rPr>
            </w:pPr>
            <w:r>
              <w:rPr>
                <w:rFonts w:ascii="Arial" w:hAnsi="Arial" w:cs="Arial"/>
                <w:sz w:val="22"/>
                <w:szCs w:val="22"/>
              </w:rPr>
              <w:t xml:space="preserve">There had been severe pressure by the government as with growing pressure on firms to reach </w:t>
            </w:r>
            <w:r>
              <w:rPr>
                <w:rFonts w:ascii="Arial" w:hAnsi="Arial" w:cs="Arial"/>
                <w:b/>
                <w:bCs/>
                <w:sz w:val="22"/>
                <w:szCs w:val="22"/>
              </w:rPr>
              <w:t>net-zero emissions</w:t>
            </w:r>
            <w:r>
              <w:rPr>
                <w:rFonts w:ascii="Arial" w:hAnsi="Arial" w:cs="Arial"/>
                <w:sz w:val="22"/>
                <w:szCs w:val="22"/>
              </w:rPr>
              <w:t>; only ~ 65% of UK firms have net-zero plans (The Guardian, 2024)</w:t>
            </w:r>
          </w:p>
          <w:p w14:paraId="07EED38A">
            <w:pPr>
              <w:spacing w:after="160"/>
              <w:jc w:val="both"/>
              <w:rPr>
                <w:rFonts w:ascii="Arial" w:hAnsi="Arial" w:cs="Arial"/>
                <w:sz w:val="22"/>
                <w:szCs w:val="22"/>
              </w:rPr>
            </w:pPr>
            <w:r>
              <w:rPr>
                <w:rFonts w:ascii="Arial" w:hAnsi="Arial" w:cs="Arial"/>
                <w:sz w:val="22"/>
                <w:szCs w:val="22"/>
              </w:rPr>
              <w:t>Just 65% of UK businesses have a plan to reduce their emissions to net zero by the 2050 deadline (The Guardian, 2024)</w:t>
            </w:r>
          </w:p>
          <w:p w14:paraId="50C78249">
            <w:pPr>
              <w:spacing w:after="160"/>
              <w:jc w:val="both"/>
              <w:rPr>
                <w:rFonts w:ascii="Arial" w:hAnsi="Arial" w:cs="Arial"/>
                <w:sz w:val="22"/>
                <w:szCs w:val="22"/>
              </w:rPr>
            </w:pPr>
          </w:p>
        </w:tc>
        <w:tc>
          <w:tcPr>
            <w:tcW w:w="0" w:type="auto"/>
          </w:tcPr>
          <w:p w14:paraId="0D4DCCCC">
            <w:pPr>
              <w:spacing w:after="160"/>
              <w:jc w:val="both"/>
              <w:rPr>
                <w:rFonts w:ascii="Arial" w:hAnsi="Arial" w:cs="Arial"/>
                <w:sz w:val="22"/>
                <w:szCs w:val="22"/>
              </w:rPr>
            </w:pPr>
            <w:r>
              <w:rPr>
                <w:rFonts w:ascii="Arial" w:hAnsi="Arial" w:cs="Arial"/>
                <w:sz w:val="22"/>
                <w:szCs w:val="22"/>
              </w:rPr>
              <w:t>Green marketing has become important, where brands can highlight sustainability, eco-friendly packaging, or carbon-offset initiatives to attract environmentally conscious consumers (The Guardian, 2024)</w:t>
            </w:r>
          </w:p>
          <w:p w14:paraId="10DE0BA1">
            <w:pPr>
              <w:spacing w:after="160"/>
              <w:jc w:val="both"/>
              <w:rPr>
                <w:rFonts w:ascii="Arial" w:hAnsi="Arial" w:cs="Arial"/>
                <w:sz w:val="22"/>
                <w:szCs w:val="22"/>
              </w:rPr>
            </w:pPr>
          </w:p>
        </w:tc>
      </w:tr>
    </w:tbl>
    <w:p w14:paraId="116383C5">
      <w:pPr>
        <w:spacing w:line="360" w:lineRule="auto"/>
        <w:jc w:val="both"/>
        <w:rPr>
          <w:rFonts w:ascii="Arial" w:hAnsi="Arial" w:cs="Arial"/>
        </w:rPr>
      </w:pPr>
    </w:p>
    <w:p w14:paraId="3E7C4300">
      <w:pPr>
        <w:spacing w:after="160" w:line="360" w:lineRule="auto"/>
        <w:jc w:val="center"/>
        <w:rPr>
          <w:rFonts w:ascii="Arial" w:hAnsi="Arial" w:cs="Arial"/>
          <w:b/>
          <w:bCs/>
        </w:rPr>
      </w:pPr>
      <w:r>
        <w:rPr>
          <w:rFonts w:ascii="Arial" w:hAnsi="Arial" w:cs="Arial"/>
          <w:b/>
          <w:bCs/>
        </w:rPr>
        <w:t>Tabular presentation 1: PESTLE factors that influence the marketing management department of a company</w:t>
      </w:r>
    </w:p>
    <w:p w14:paraId="4D9558E2">
      <w:pPr>
        <w:spacing w:after="160" w:line="360" w:lineRule="auto"/>
        <w:jc w:val="center"/>
        <w:rPr>
          <w:rFonts w:ascii="Arial" w:hAnsi="Arial" w:cs="Arial"/>
          <w:b/>
          <w:bCs/>
        </w:rPr>
      </w:pPr>
    </w:p>
    <w:p w14:paraId="040C1E2E">
      <w:pPr>
        <w:pStyle w:val="2"/>
      </w:pPr>
      <w:bookmarkStart w:id="7" w:name="_Toc214501999"/>
      <w:r>
        <w:t>2.2 Selection of Two External Macro Marketing Actors</w:t>
      </w:r>
      <w:bookmarkEnd w:id="6"/>
      <w:bookmarkEnd w:id="7"/>
    </w:p>
    <w:p w14:paraId="33D6EDB6">
      <w:pPr>
        <w:pStyle w:val="3"/>
      </w:pPr>
      <w:bookmarkStart w:id="8" w:name="_Toc214502000"/>
      <w:r>
        <w:t>Identifying and justifying the selection of two external actors</w:t>
      </w:r>
      <w:bookmarkEnd w:id="8"/>
      <w:r>
        <w:t> </w:t>
      </w:r>
    </w:p>
    <w:p w14:paraId="222BD443">
      <w:pPr>
        <w:spacing w:line="360" w:lineRule="auto"/>
        <w:jc w:val="both"/>
        <w:rPr>
          <w:rFonts w:ascii="Arial" w:hAnsi="Arial" w:cs="Arial"/>
        </w:rPr>
      </w:pPr>
      <w:r>
        <w:rPr>
          <w:rFonts w:ascii="Arial" w:hAnsi="Arial" w:cs="Arial"/>
        </w:rPr>
        <w:t xml:space="preserve">The factors that had been identified in this regard would be </w:t>
      </w:r>
    </w:p>
    <w:p w14:paraId="5FAF30AA">
      <w:pPr>
        <w:pStyle w:val="32"/>
        <w:numPr>
          <w:ilvl w:val="0"/>
          <w:numId w:val="1"/>
        </w:numPr>
        <w:spacing w:line="360" w:lineRule="auto"/>
        <w:jc w:val="both"/>
        <w:rPr>
          <w:rFonts w:ascii="Arial" w:hAnsi="Arial" w:cs="Arial"/>
        </w:rPr>
      </w:pPr>
      <w:r>
        <w:rPr>
          <w:rFonts w:ascii="Arial" w:hAnsi="Arial" w:cs="Arial"/>
        </w:rPr>
        <w:t>Political attributes from a macro-economic environment</w:t>
      </w:r>
    </w:p>
    <w:p w14:paraId="00A2524D">
      <w:pPr>
        <w:pStyle w:val="32"/>
        <w:numPr>
          <w:ilvl w:val="0"/>
          <w:numId w:val="1"/>
        </w:numPr>
        <w:spacing w:line="360" w:lineRule="auto"/>
        <w:jc w:val="both"/>
        <w:rPr>
          <w:rFonts w:ascii="Arial" w:hAnsi="Arial" w:cs="Arial"/>
        </w:rPr>
      </w:pPr>
      <w:r>
        <w:rPr>
          <w:rFonts w:ascii="Arial" w:hAnsi="Arial" w:cs="Arial"/>
        </w:rPr>
        <w:t>Technological attributes from a macro-economic environment</w:t>
      </w:r>
    </w:p>
    <w:p w14:paraId="182EEC46">
      <w:pPr>
        <w:spacing w:line="360" w:lineRule="auto"/>
        <w:jc w:val="both"/>
        <w:rPr>
          <w:rFonts w:ascii="Arial" w:hAnsi="Arial" w:cs="Arial"/>
        </w:rPr>
      </w:pPr>
    </w:p>
    <w:p w14:paraId="366B1364">
      <w:pPr>
        <w:spacing w:line="360" w:lineRule="auto"/>
        <w:jc w:val="both"/>
        <w:rPr>
          <w:rFonts w:ascii="Arial" w:hAnsi="Arial" w:cs="Arial"/>
        </w:rPr>
      </w:pPr>
      <w:r>
        <w:rPr>
          <w:rFonts w:ascii="Arial" w:hAnsi="Arial" w:cs="Arial"/>
          <w:b/>
          <w:bCs/>
          <w:i/>
          <w:iCs/>
        </w:rPr>
        <w:t>Justification</w:t>
      </w:r>
      <w:r>
        <w:rPr>
          <w:rFonts w:ascii="Arial" w:hAnsi="Arial" w:cs="Arial"/>
        </w:rPr>
        <w:t xml:space="preserve">: Samuel (2025) stated that technological and political factors from a PESTLE framework are considered as attributes that exert the strongest external influence on organisational strategy and performance in highly regulated and innovation-driven industries.  SARKAR (2025) had discerned that political factors may influence reforms, government policies, and drug approval regulation, which holds in this case, as I have considered selecting the Pharmaceutical sector for this essay.  Moreover, compliance expenses and organizational stability are further assessed. Furthermore, technological factors are equally mandated owing to rapid digitalisation, AI-enabled drug discovery. It is further crucial to consider that technology often defines competitiveness and long-term growth. Hence, together these two forces determine the way in which companies in the pharma sector consider adapting, innovating, and complying in environments where technological evolution and regulations are essentially central to the usual sustainability. </w:t>
      </w:r>
    </w:p>
    <w:p w14:paraId="5BFB82A4">
      <w:pPr>
        <w:pStyle w:val="3"/>
      </w:pPr>
      <w:bookmarkStart w:id="9" w:name="_Toc214502001"/>
      <w:r>
        <w:t>The relevance and current influence within the chosen industry, using recent data, reports, or examples</w:t>
      </w:r>
      <w:bookmarkEnd w:id="9"/>
    </w:p>
    <w:p w14:paraId="79EA2D7F">
      <w:pPr>
        <w:spacing w:line="360" w:lineRule="auto"/>
        <w:jc w:val="both"/>
        <w:rPr>
          <w:rFonts w:ascii="Arial" w:hAnsi="Arial" w:cs="Arial"/>
          <w:b/>
          <w:bCs/>
          <w:i/>
          <w:iCs/>
        </w:rPr>
      </w:pPr>
      <w:r>
        <w:rPr>
          <w:rFonts w:ascii="Arial" w:hAnsi="Arial" w:cs="Arial"/>
        </w:rPr>
        <w:t xml:space="preserve">The chosen sector here is the </w:t>
      </w:r>
      <w:r>
        <w:rPr>
          <w:rFonts w:ascii="Arial" w:hAnsi="Arial" w:cs="Arial"/>
          <w:b/>
          <w:bCs/>
          <w:i/>
          <w:iCs/>
        </w:rPr>
        <w:t xml:space="preserve">UK’s pharmaceutical sector. </w:t>
      </w:r>
    </w:p>
    <w:p w14:paraId="26C8444E">
      <w:pPr>
        <w:spacing w:line="360" w:lineRule="auto"/>
        <w:jc w:val="both"/>
        <w:rPr>
          <w:rFonts w:ascii="Arial" w:hAnsi="Arial" w:cs="Arial"/>
        </w:rPr>
      </w:pPr>
      <w:r>
        <w:rPr>
          <w:rFonts w:ascii="Arial" w:hAnsi="Arial" w:cs="Arial"/>
        </w:rPr>
        <w:t xml:space="preserve">Therefore, it is crucial to understand that </w:t>
      </w:r>
      <w:r>
        <w:rPr>
          <w:rFonts w:ascii="Arial" w:hAnsi="Arial" w:cs="Arial"/>
          <w:b/>
          <w:bCs/>
          <w:i/>
          <w:iCs/>
        </w:rPr>
        <w:t>political and technological forces</w:t>
      </w:r>
      <w:r>
        <w:rPr>
          <w:rFonts w:ascii="Arial" w:hAnsi="Arial" w:cs="Arial"/>
        </w:rPr>
        <w:t xml:space="preserve"> are reshaping pharmaceuticals today. Hussien (2021) had identified that regulatory and pricing reforms directly affect market access and reimbursement, and this is essential for the marketing department of a company to discern and identify.   U.S. Food and Drug Administration (2025) stated that during 2024, the FDA approved 50 novel drugs, which exhibited sustained innovation and regulatory throughput.</w:t>
      </w:r>
    </w:p>
    <w:p w14:paraId="7894BB01">
      <w:pPr>
        <w:spacing w:line="360" w:lineRule="auto"/>
        <w:jc w:val="both"/>
        <w:rPr>
          <w:rFonts w:ascii="Arial" w:hAnsi="Arial" w:cs="Arial"/>
        </w:rPr>
      </w:pPr>
      <w:r>
        <w:rPr>
          <w:rFonts w:ascii="Arial" w:hAnsi="Arial" w:cs="Arial"/>
        </w:rPr>
        <w:t xml:space="preserve">Reuters (2025) had identified that rapid adoption is accelerating discovery, and it has been identified in several works that market growth and large partnerships ( for instance, Takeda–Nabla) are shortening timelines and lowering costs.  Meanwhile, Santhireswaran et al. (2025)  had identified that record drug shortages and supply-chain stresses in 2023–24 had highlighted political, trade issues. On top of that, manufacturing vulnerabilities that influence policy responses, pricing, and global access are to be assessed by the marketing management. </w:t>
      </w:r>
    </w:p>
    <w:p w14:paraId="5ACFBF18">
      <w:pPr>
        <w:pStyle w:val="3"/>
      </w:pPr>
      <w:bookmarkStart w:id="10" w:name="_Toc214502002"/>
      <w:bookmarkStart w:id="11" w:name="_Toc211437173"/>
      <w:r>
        <w:t>2.3 Critical Analysis of Each Actor</w:t>
      </w:r>
      <w:bookmarkEnd w:id="10"/>
      <w:bookmarkEnd w:id="11"/>
    </w:p>
    <w:p w14:paraId="2763324F">
      <w:pPr>
        <w:spacing w:after="160" w:line="360" w:lineRule="auto"/>
        <w:jc w:val="both"/>
        <w:rPr>
          <w:rFonts w:ascii="Arial" w:hAnsi="Arial" w:cs="Arial"/>
        </w:rPr>
      </w:pPr>
      <w:bookmarkStart w:id="12" w:name="_Toc211437174"/>
      <w:r>
        <w:rPr>
          <w:rFonts w:ascii="Arial" w:hAnsi="Arial" w:cs="Arial"/>
        </w:rPr>
        <w:t>In the pharmaceutical sector in the UK, the pioneer companies considered would be AstraZeneca and GlaxoSmithKline (GSK).  Hence, technological and political shifts would impact GSK and AstraZeneca differently from follower firms like Cipla. GSK and AstraZeneca, being the pioneers, enjoy strong R&amp;D competencies and regulatory influences, and further benefit from the usual rapid advances in the AI-enabled drug discovery, and they further enjoy political incentives. An instance would be, () had elicited that AstraZeneca’s AI-driven discovery programmes often cut early-stage development timelines by nearly 30%. However, Technology Networks (2025) had enunciated that GSK’s investment in genomic research positions it to capitalise on precision-medicine policies. These changes often pave the way for opportunities for market leadership, premium pricing, and accelerated approvals. GSK has announced a $30 billion investment in the US over the next five years, focused on R&amp;D and supply chain infrastructure. A key part of this is a $1.2 billion program to build new advanced manufacturing facilities and expand the use of artificial intelligence (AI) and digital technologies (Technology Networks, 2025).</w:t>
      </w:r>
    </w:p>
    <w:p w14:paraId="39A89D1A">
      <w:pPr>
        <w:spacing w:after="160" w:line="360" w:lineRule="auto"/>
        <w:jc w:val="both"/>
        <w:rPr>
          <w:rFonts w:ascii="Arial" w:hAnsi="Arial" w:cs="Arial"/>
        </w:rPr>
      </w:pPr>
      <w:r>
        <w:rPr>
          <w:rFonts w:ascii="Arial" w:hAnsi="Arial" w:cs="Arial"/>
        </w:rPr>
        <w:t xml:space="preserve">However, the scenario is different for followers, as they are prone to threats, with surging compliance expenses, stricter regulator scrutiny, and expensive digital-technology adoption. These factors, therefore, widen capability gaps. For instance, the U.S. Food and Drug Administration (2022) had discerned that Cipla must contemplate investing heavily in automation and data systems to meet evolving FDA and EMA standards, limiting competitiveness. Hence, pioneers must consider leveraging the technology to sustain innovation and global expansion. However, followers must consider pursuing partnerships that are cost-effective for digital adoption and seek a niche market to remain visible. </w:t>
      </w:r>
      <w:r>
        <w:rPr>
          <w:rFonts w:ascii="Arial" w:hAnsi="Arial" w:cs="Arial"/>
        </w:rPr>
        <w:br w:type="page"/>
      </w:r>
    </w:p>
    <w:p w14:paraId="30C78764">
      <w:pPr>
        <w:pStyle w:val="2"/>
      </w:pPr>
      <w:bookmarkStart w:id="13" w:name="_Toc214502003"/>
      <w:r>
        <w:t>3. Task 2: Strategic Responses of Pioneering and Follower Organisations</w:t>
      </w:r>
      <w:bookmarkEnd w:id="13"/>
      <w:r>
        <w:t xml:space="preserve"> </w:t>
      </w:r>
      <w:bookmarkEnd w:id="12"/>
    </w:p>
    <w:p w14:paraId="71A1D2B4">
      <w:pPr>
        <w:pStyle w:val="3"/>
      </w:pPr>
      <w:bookmarkStart w:id="14" w:name="_Toc211437175"/>
      <w:bookmarkStart w:id="15" w:name="_Toc214502004"/>
      <w:r>
        <w:t>3.1 Pioneering Organisations’ Strategic Responses</w:t>
      </w:r>
      <w:bookmarkEnd w:id="14"/>
      <w:bookmarkEnd w:id="15"/>
    </w:p>
    <w:p w14:paraId="3B0F3848">
      <w:pPr>
        <w:spacing w:line="360" w:lineRule="auto"/>
        <w:jc w:val="both"/>
        <w:rPr>
          <w:rFonts w:ascii="Arial" w:hAnsi="Arial" w:cs="Arial"/>
        </w:rPr>
      </w:pPr>
    </w:p>
    <w:p w14:paraId="0F31E957">
      <w:pPr>
        <w:pStyle w:val="3"/>
      </w:pPr>
      <w:bookmarkStart w:id="16" w:name="_Toc214502005"/>
      <w:r>
        <w:t>Ansoff’s Growth Matrix applied to present and assess responses of pioneering pharmaceutical firms to external challenges</w:t>
      </w:r>
      <w:bookmarkEnd w:id="16"/>
      <w:r>
        <w:t>.</w:t>
      </w:r>
    </w:p>
    <w:tbl>
      <w:tblPr>
        <w:tblStyle w:val="38"/>
        <w:tblW w:w="0" w:type="auto"/>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2122"/>
        <w:gridCol w:w="3250"/>
        <w:gridCol w:w="3870"/>
      </w:tblGrid>
      <w:tr w14:paraId="2EAAB1B3">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14:paraId="08D16F46">
            <w:pPr>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Ansoff Strategy, which is to be considered for the pioneering firms</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14:paraId="65A67A8A">
            <w:pPr>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Pioneering Firm Response</w:t>
            </w:r>
          </w:p>
        </w:tc>
        <w:tc>
          <w:tcPr>
            <w:tcW w:w="0" w:type="auto"/>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14:paraId="3EB7DD1F">
            <w:pPr>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Industry-relevant Examples with the usual critical evaluation</w:t>
            </w:r>
          </w:p>
        </w:tc>
      </w:tr>
      <w:tr w14:paraId="08A6280E">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656FE5C9">
            <w:pPr>
              <w:rPr>
                <w:rFonts w:ascii="Arial" w:hAnsi="Arial" w:cs="Arial"/>
                <w:b/>
                <w:bCs/>
                <w:sz w:val="22"/>
                <w:szCs w:val="22"/>
              </w:rPr>
            </w:pPr>
            <w:r>
              <w:rPr>
                <w:rFonts w:ascii="Arial" w:hAnsi="Arial" w:cs="Arial"/>
                <w:b/>
                <w:bCs/>
                <w:sz w:val="22"/>
                <w:szCs w:val="22"/>
              </w:rPr>
              <w:t>Market Penetration</w:t>
            </w:r>
          </w:p>
        </w:tc>
        <w:tc>
          <w:tcPr>
            <w:tcW w:w="0" w:type="auto"/>
            <w:shd w:val="clear" w:color="auto" w:fill="FBE4D5" w:themeFill="accent2" w:themeFillTint="33"/>
          </w:tcPr>
          <w:p w14:paraId="10CF2DFC">
            <w:pPr>
              <w:rPr>
                <w:rFonts w:ascii="Arial" w:hAnsi="Arial" w:cs="Arial"/>
                <w:sz w:val="22"/>
                <w:szCs w:val="22"/>
              </w:rPr>
            </w:pPr>
            <w:r>
              <w:rPr>
                <w:rFonts w:ascii="Arial" w:hAnsi="Arial" w:cs="Arial"/>
                <w:sz w:val="22"/>
                <w:szCs w:val="22"/>
              </w:rPr>
              <w:t>Pioneers here must consider intensifying investment in AI-driven marketing, digital engagement with healthcare providers.</w:t>
            </w:r>
          </w:p>
          <w:p w14:paraId="7723C77A">
            <w:pPr>
              <w:rPr>
                <w:rFonts w:ascii="Arial" w:hAnsi="Arial" w:cs="Arial"/>
                <w:sz w:val="22"/>
                <w:szCs w:val="22"/>
              </w:rPr>
            </w:pPr>
            <w:r>
              <w:rPr>
                <w:rFonts w:ascii="Arial" w:hAnsi="Arial" w:cs="Arial"/>
                <w:sz w:val="22"/>
                <w:szCs w:val="22"/>
              </w:rPr>
              <w:t>Peter (2025) stated that pioneers in the pharma industry must consider prioritising supply-chain optimisation to protect existing markets amid political pricing pressures.</w:t>
            </w:r>
          </w:p>
        </w:tc>
        <w:tc>
          <w:tcPr>
            <w:tcW w:w="0" w:type="auto"/>
            <w:shd w:val="clear" w:color="auto" w:fill="FBE4D5" w:themeFill="accent2" w:themeFillTint="33"/>
          </w:tcPr>
          <w:p w14:paraId="32A89699">
            <w:pPr>
              <w:rPr>
                <w:rFonts w:ascii="Arial" w:hAnsi="Arial" w:cs="Arial"/>
                <w:sz w:val="22"/>
                <w:szCs w:val="22"/>
              </w:rPr>
            </w:pPr>
            <w:r>
              <w:rPr>
                <w:rFonts w:ascii="Arial" w:hAnsi="Arial" w:cs="Arial"/>
                <w:sz w:val="22"/>
                <w:szCs w:val="22"/>
                <w:lang w:val="en-IN"/>
              </w:rPr>
              <w:t xml:space="preserve">GSK plc (2025) </w:t>
            </w:r>
            <w:r>
              <w:rPr>
                <w:rFonts w:ascii="Arial" w:hAnsi="Arial" w:cs="Arial"/>
                <w:sz w:val="22"/>
                <w:szCs w:val="22"/>
              </w:rPr>
              <w:t>had cited that GSK expanded its respiratory portfolio promotion using real-time data platforms in 2024. Hence, marketeer must consider their act for improving prescriber reach despite strict UK pricing controls. This reflects a definite defensive yet necessary strategy to maintain market share in tightening regulatory environments.</w:t>
            </w:r>
          </w:p>
        </w:tc>
      </w:tr>
      <w:tr w14:paraId="391716AA">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695B449A">
            <w:pPr>
              <w:rPr>
                <w:rFonts w:ascii="Arial" w:hAnsi="Arial" w:cs="Arial"/>
                <w:b/>
                <w:bCs/>
                <w:sz w:val="22"/>
                <w:szCs w:val="22"/>
              </w:rPr>
            </w:pPr>
            <w:r>
              <w:rPr>
                <w:rFonts w:ascii="Arial" w:hAnsi="Arial" w:cs="Arial"/>
                <w:b/>
                <w:bCs/>
                <w:sz w:val="22"/>
                <w:szCs w:val="22"/>
              </w:rPr>
              <w:t>Market Development</w:t>
            </w:r>
          </w:p>
        </w:tc>
        <w:tc>
          <w:tcPr>
            <w:tcW w:w="0" w:type="auto"/>
          </w:tcPr>
          <w:p w14:paraId="6D63A587">
            <w:pPr>
              <w:rPr>
                <w:rFonts w:ascii="Arial" w:hAnsi="Arial" w:cs="Arial"/>
                <w:sz w:val="22"/>
                <w:szCs w:val="22"/>
              </w:rPr>
            </w:pPr>
            <w:r>
              <w:rPr>
                <w:rFonts w:ascii="Arial" w:hAnsi="Arial" w:cs="Arial"/>
                <w:sz w:val="22"/>
                <w:szCs w:val="22"/>
              </w:rPr>
              <w:t>Pioneers in the pharma sector must consider targeting the emerging markets to offset stagnation in the US/EU.</w:t>
            </w:r>
          </w:p>
          <w:p w14:paraId="22D2273A">
            <w:pPr>
              <w:rPr>
                <w:rFonts w:ascii="Arial" w:hAnsi="Arial" w:cs="Arial"/>
                <w:sz w:val="22"/>
                <w:szCs w:val="22"/>
              </w:rPr>
            </w:pPr>
            <w:r>
              <w:rPr>
                <w:rFonts w:ascii="Arial" w:hAnsi="Arial" w:cs="Arial"/>
                <w:sz w:val="22"/>
                <w:szCs w:val="22"/>
              </w:rPr>
              <w:t>Moreover,  they must consider responding to political incentives and growing healthcare demand.</w:t>
            </w:r>
          </w:p>
        </w:tc>
        <w:tc>
          <w:tcPr>
            <w:tcW w:w="0" w:type="auto"/>
          </w:tcPr>
          <w:p w14:paraId="7337A738">
            <w:pPr>
              <w:rPr>
                <w:rFonts w:ascii="Arial" w:hAnsi="Arial" w:cs="Arial"/>
                <w:sz w:val="22"/>
                <w:szCs w:val="22"/>
              </w:rPr>
            </w:pPr>
            <w:r>
              <w:rPr>
                <w:rFonts w:ascii="Arial" w:hAnsi="Arial" w:cs="Arial"/>
                <w:sz w:val="22"/>
                <w:szCs w:val="22"/>
              </w:rPr>
              <w:t>AstraZeneca, as elicited by AInvest News (2025), had considered aggressively expanding into India and Latin America. This had led to benefits from favourable generic drug policies and government vaccination programmes. However, () argued that currency risks and regulatory inconsistencies present ongoing threats.</w:t>
            </w:r>
          </w:p>
        </w:tc>
      </w:tr>
      <w:tr w14:paraId="5731E087">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45CD5365">
            <w:pPr>
              <w:rPr>
                <w:rFonts w:ascii="Arial" w:hAnsi="Arial" w:cs="Arial"/>
                <w:b/>
                <w:bCs/>
                <w:sz w:val="22"/>
                <w:szCs w:val="22"/>
              </w:rPr>
            </w:pPr>
            <w:r>
              <w:rPr>
                <w:rFonts w:ascii="Arial" w:hAnsi="Arial" w:cs="Arial"/>
                <w:b/>
                <w:bCs/>
                <w:sz w:val="22"/>
                <w:szCs w:val="22"/>
              </w:rPr>
              <w:t>Product Development</w:t>
            </w:r>
          </w:p>
        </w:tc>
        <w:tc>
          <w:tcPr>
            <w:tcW w:w="0" w:type="auto"/>
            <w:shd w:val="clear" w:color="auto" w:fill="FBE4D5" w:themeFill="accent2" w:themeFillTint="33"/>
          </w:tcPr>
          <w:p w14:paraId="71052926">
            <w:pPr>
              <w:rPr>
                <w:rFonts w:ascii="Arial" w:hAnsi="Arial" w:cs="Arial"/>
                <w:sz w:val="22"/>
                <w:szCs w:val="22"/>
              </w:rPr>
            </w:pPr>
            <w:r>
              <w:rPr>
                <w:rFonts w:ascii="Arial" w:hAnsi="Arial" w:cs="Arial"/>
                <w:sz w:val="22"/>
                <w:szCs w:val="22"/>
              </w:rPr>
              <w:t>Nagarajan et al. (2024) had opined that in pharma, pioneers must consider investing in biotechnology, mRNA platforms, and AI. These pursuits may consider accelerating next-generation drug pipelines, turning technological disruption into opportunity.</w:t>
            </w:r>
          </w:p>
        </w:tc>
        <w:tc>
          <w:tcPr>
            <w:tcW w:w="0" w:type="auto"/>
            <w:shd w:val="clear" w:color="auto" w:fill="FBE4D5" w:themeFill="accent2" w:themeFillTint="33"/>
          </w:tcPr>
          <w:p w14:paraId="6E088060">
            <w:pPr>
              <w:rPr>
                <w:rFonts w:ascii="Arial" w:hAnsi="Arial" w:cs="Arial"/>
                <w:sz w:val="22"/>
                <w:szCs w:val="22"/>
              </w:rPr>
            </w:pPr>
            <w:r>
              <w:rPr>
                <w:rFonts w:ascii="Arial" w:hAnsi="Arial" w:cs="Arial"/>
                <w:sz w:val="22"/>
                <w:szCs w:val="22"/>
              </w:rPr>
              <w:t xml:space="preserve">GSK’s as identified in the work of GSK plc (2025), considers cancer immunotherapy pipeline and AstraZeneca’s AI-enabled drug discovery partnerships shorten development cycles, though rising R&amp;D costs and regulatory complexity increase risk exposure AstraZeneca, 2025). Marketeers must consider developing strategies depending on such. </w:t>
            </w:r>
          </w:p>
        </w:tc>
      </w:tr>
      <w:tr w14:paraId="113B32DB">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2F7F8C69">
            <w:pPr>
              <w:rPr>
                <w:rFonts w:ascii="Arial" w:hAnsi="Arial" w:cs="Arial"/>
                <w:b/>
                <w:bCs/>
                <w:sz w:val="22"/>
                <w:szCs w:val="22"/>
              </w:rPr>
            </w:pPr>
            <w:r>
              <w:rPr>
                <w:rFonts w:ascii="Arial" w:hAnsi="Arial" w:cs="Arial"/>
                <w:b/>
                <w:bCs/>
                <w:sz w:val="22"/>
                <w:szCs w:val="22"/>
              </w:rPr>
              <w:t>Diversification</w:t>
            </w:r>
          </w:p>
        </w:tc>
        <w:tc>
          <w:tcPr>
            <w:tcW w:w="0" w:type="auto"/>
          </w:tcPr>
          <w:p w14:paraId="4B3A6B2A">
            <w:pPr>
              <w:rPr>
                <w:rFonts w:ascii="Arial" w:hAnsi="Arial" w:cs="Arial"/>
                <w:sz w:val="22"/>
                <w:szCs w:val="22"/>
              </w:rPr>
            </w:pPr>
            <w:r>
              <w:rPr>
                <w:rFonts w:ascii="Arial" w:hAnsi="Arial" w:cs="Arial"/>
                <w:sz w:val="22"/>
                <w:szCs w:val="22"/>
              </w:rPr>
              <w:t>Pioneers must further consider diversifying into digital therapeutics, diagnostics</w:t>
            </w:r>
          </w:p>
          <w:p w14:paraId="1B2E0DFD">
            <w:pPr>
              <w:rPr>
                <w:rFonts w:ascii="Arial" w:hAnsi="Arial" w:cs="Arial"/>
                <w:sz w:val="22"/>
                <w:szCs w:val="22"/>
              </w:rPr>
            </w:pPr>
            <w:r>
              <w:rPr>
                <w:rFonts w:ascii="Arial" w:hAnsi="Arial" w:cs="Arial"/>
                <w:sz w:val="22"/>
                <w:szCs w:val="22"/>
              </w:rPr>
              <w:t>vaccines to reduce reliance on traditional drug portfolios.</w:t>
            </w:r>
          </w:p>
        </w:tc>
        <w:tc>
          <w:tcPr>
            <w:tcW w:w="0" w:type="auto"/>
          </w:tcPr>
          <w:p w14:paraId="50DB73AF">
            <w:pPr>
              <w:rPr>
                <w:rFonts w:ascii="Arial" w:hAnsi="Arial" w:cs="Arial"/>
                <w:sz w:val="22"/>
                <w:szCs w:val="22"/>
              </w:rPr>
            </w:pPr>
            <w:r>
              <w:rPr>
                <w:rFonts w:ascii="Arial" w:hAnsi="Arial" w:cs="Arial"/>
                <w:sz w:val="22"/>
                <w:szCs w:val="22"/>
              </w:rPr>
              <w:t xml:space="preserve">Another example would be AstraZeneca’s move into digital health solutions AstraZeneca, 2025). </w:t>
            </w:r>
          </w:p>
          <w:p w14:paraId="0DF1D313">
            <w:pPr>
              <w:rPr>
                <w:rFonts w:ascii="Arial" w:hAnsi="Arial" w:cs="Arial"/>
                <w:sz w:val="22"/>
                <w:szCs w:val="22"/>
              </w:rPr>
            </w:pPr>
            <w:r>
              <w:rPr>
                <w:rFonts w:ascii="Arial" w:hAnsi="Arial" w:cs="Arial"/>
                <w:sz w:val="22"/>
                <w:szCs w:val="22"/>
              </w:rPr>
              <w:t xml:space="preserve">GSK’s vaccine expansion demonstrates strategic resilience, though diversification exposes firms to unfamiliar competitive landscapes, and this could be another example of GSK plc (2025). </w:t>
            </w:r>
          </w:p>
        </w:tc>
      </w:tr>
    </w:tbl>
    <w:p w14:paraId="271AC2D1"/>
    <w:p w14:paraId="38F97B7B">
      <w:pPr>
        <w:pStyle w:val="3"/>
      </w:pPr>
      <w:bookmarkStart w:id="17" w:name="_Toc214502006"/>
      <w:r>
        <w:t>Porter’s Generic Strategies</w:t>
      </w:r>
      <w:bookmarkEnd w:id="17"/>
    </w:p>
    <w:p w14:paraId="5C6989C7">
      <w:pPr>
        <w:rPr>
          <w:rFonts w:ascii="Arial" w:hAnsi="Arial" w:cs="Arial"/>
        </w:rPr>
      </w:pPr>
      <w:bookmarkStart w:id="18" w:name="_Toc211437176"/>
      <w:r>
        <w:rPr>
          <w:rFonts w:ascii="Arial" w:hAnsi="Arial" w:cs="Arial"/>
        </w:rPr>
        <w:t>Porter’s Generic Strategies for Pioneering Pharmaceutical Firms and the strategies that are considered by the marketing management department</w:t>
      </w:r>
    </w:p>
    <w:tbl>
      <w:tblPr>
        <w:tblStyle w:val="38"/>
        <w:tblW w:w="0" w:type="auto"/>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1852"/>
        <w:gridCol w:w="3749"/>
        <w:gridCol w:w="3641"/>
      </w:tblGrid>
      <w:tr w14:paraId="171C2F71">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14:paraId="57D77075">
            <w:pPr>
              <w:spacing w:line="360" w:lineRule="auto"/>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Porter’s Strategy</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14:paraId="7F02182F">
            <w:pPr>
              <w:spacing w:line="360" w:lineRule="auto"/>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How Pioneers Apply It  from the perspective of marketing strategy-making</w:t>
            </w:r>
          </w:p>
        </w:tc>
        <w:tc>
          <w:tcPr>
            <w:tcW w:w="0" w:type="auto"/>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14:paraId="0E66C18E">
            <w:pPr>
              <w:spacing w:line="360" w:lineRule="auto"/>
              <w:rPr>
                <w:rFonts w:ascii="Arial" w:hAnsi="Arial" w:cs="Arial"/>
                <w:b/>
                <w:bCs/>
                <w:color w:val="FFFFFF" w:themeColor="background1"/>
                <w:sz w:val="22"/>
                <w:szCs w:val="22"/>
                <w14:textFill>
                  <w14:solidFill>
                    <w14:schemeClr w14:val="bg1"/>
                  </w14:solidFill>
                </w14:textFill>
              </w:rPr>
            </w:pPr>
            <w:r>
              <w:rPr>
                <w:rFonts w:ascii="Arial" w:hAnsi="Arial" w:cs="Arial"/>
                <w:b/>
                <w:bCs/>
                <w:color w:val="FFFFFF" w:themeColor="background1"/>
                <w:sz w:val="22"/>
                <w:szCs w:val="22"/>
                <w14:textFill>
                  <w14:solidFill>
                    <w14:schemeClr w14:val="bg1"/>
                  </w14:solidFill>
                </w14:textFill>
              </w:rPr>
              <w:t>Industry Examples (Pioneers)</w:t>
            </w:r>
          </w:p>
        </w:tc>
      </w:tr>
      <w:tr w14:paraId="7DC5D6B9">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2F54C723">
            <w:pPr>
              <w:spacing w:line="360" w:lineRule="auto"/>
              <w:rPr>
                <w:rFonts w:ascii="Arial" w:hAnsi="Arial" w:cs="Arial"/>
                <w:b/>
                <w:bCs/>
                <w:sz w:val="22"/>
                <w:szCs w:val="22"/>
              </w:rPr>
            </w:pPr>
            <w:r>
              <w:rPr>
                <w:rFonts w:ascii="Arial" w:hAnsi="Arial" w:cs="Arial"/>
                <w:b/>
                <w:bCs/>
                <w:sz w:val="22"/>
                <w:szCs w:val="22"/>
              </w:rPr>
              <w:t>Cost Leadership</w:t>
            </w:r>
          </w:p>
        </w:tc>
        <w:tc>
          <w:tcPr>
            <w:tcW w:w="0" w:type="auto"/>
            <w:shd w:val="clear" w:color="auto" w:fill="FBE4D5" w:themeFill="accent2" w:themeFillTint="33"/>
          </w:tcPr>
          <w:p w14:paraId="62684F52">
            <w:pPr>
              <w:spacing w:line="360" w:lineRule="auto"/>
              <w:rPr>
                <w:rFonts w:ascii="Arial" w:hAnsi="Arial" w:cs="Arial"/>
                <w:sz w:val="22"/>
                <w:szCs w:val="22"/>
              </w:rPr>
            </w:pPr>
            <w:r>
              <w:rPr>
                <w:rFonts w:ascii="Arial" w:hAnsi="Arial" w:cs="Arial"/>
                <w:sz w:val="22"/>
                <w:szCs w:val="22"/>
              </w:rPr>
              <w:t>It is a matter of common fact that pioneers often consider optimising large-scale production, automating manufacturing.</w:t>
            </w:r>
          </w:p>
          <w:p w14:paraId="56B7F32D">
            <w:pPr>
              <w:spacing w:line="360" w:lineRule="auto"/>
              <w:rPr>
                <w:rFonts w:ascii="Arial" w:hAnsi="Arial" w:cs="Arial"/>
                <w:sz w:val="22"/>
                <w:szCs w:val="22"/>
              </w:rPr>
            </w:pPr>
          </w:p>
          <w:p w14:paraId="69F8DEE2">
            <w:pPr>
              <w:spacing w:line="360" w:lineRule="auto"/>
              <w:rPr>
                <w:rFonts w:ascii="Arial" w:hAnsi="Arial" w:cs="Arial"/>
                <w:sz w:val="22"/>
                <w:szCs w:val="22"/>
              </w:rPr>
            </w:pPr>
            <w:r>
              <w:rPr>
                <w:rFonts w:ascii="Arial" w:hAnsi="Arial" w:cs="Arial"/>
                <w:sz w:val="22"/>
                <w:szCs w:val="22"/>
              </w:rPr>
              <w:t>Leveraging AI-driven forecasting to reduce per-unit drug costs. Marketing focuses on demonstrating affordability and supply reliability to healthcare systems facing budget pressures.</w:t>
            </w:r>
          </w:p>
        </w:tc>
        <w:tc>
          <w:tcPr>
            <w:tcW w:w="0" w:type="auto"/>
            <w:shd w:val="clear" w:color="auto" w:fill="FBE4D5" w:themeFill="accent2" w:themeFillTint="33"/>
          </w:tcPr>
          <w:p w14:paraId="0B8B86A1">
            <w:pPr>
              <w:spacing w:line="360" w:lineRule="auto"/>
              <w:rPr>
                <w:rFonts w:ascii="Arial" w:hAnsi="Arial" w:cs="Arial"/>
                <w:sz w:val="22"/>
                <w:szCs w:val="22"/>
              </w:rPr>
            </w:pPr>
            <w:r>
              <w:rPr>
                <w:rFonts w:ascii="Arial" w:hAnsi="Arial" w:cs="Arial"/>
                <w:sz w:val="22"/>
                <w:szCs w:val="22"/>
              </w:rPr>
              <w:t xml:space="preserve">It has already been identified that AstraZeneca uses automated biologics facilities to lower operating costs (AstraZeneca, 2025). </w:t>
            </w:r>
          </w:p>
          <w:p w14:paraId="02B89201">
            <w:pPr>
              <w:spacing w:line="360" w:lineRule="auto"/>
              <w:rPr>
                <w:rFonts w:ascii="Arial" w:hAnsi="Arial" w:cs="Arial"/>
                <w:sz w:val="22"/>
                <w:szCs w:val="22"/>
              </w:rPr>
            </w:pPr>
            <w:r>
              <w:rPr>
                <w:rFonts w:ascii="Arial" w:hAnsi="Arial" w:cs="Arial"/>
                <w:sz w:val="22"/>
                <w:szCs w:val="22"/>
              </w:rPr>
              <w:t xml:space="preserve">Hence,  enabling competitive pricing in oncology and respiratory markets, GSK plc (2025) </w:t>
            </w:r>
          </w:p>
        </w:tc>
      </w:tr>
      <w:tr w14:paraId="0AA038AC">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29CB776A">
            <w:pPr>
              <w:spacing w:line="360" w:lineRule="auto"/>
              <w:rPr>
                <w:rFonts w:ascii="Arial" w:hAnsi="Arial" w:cs="Arial"/>
                <w:b/>
                <w:bCs/>
                <w:sz w:val="22"/>
                <w:szCs w:val="22"/>
              </w:rPr>
            </w:pPr>
            <w:r>
              <w:rPr>
                <w:rFonts w:ascii="Arial" w:hAnsi="Arial" w:cs="Arial"/>
                <w:b/>
                <w:bCs/>
                <w:sz w:val="22"/>
                <w:szCs w:val="22"/>
              </w:rPr>
              <w:t>Differentiation</w:t>
            </w:r>
          </w:p>
        </w:tc>
        <w:tc>
          <w:tcPr>
            <w:tcW w:w="0" w:type="auto"/>
          </w:tcPr>
          <w:p w14:paraId="7DB0DFD1">
            <w:pPr>
              <w:spacing w:line="360" w:lineRule="auto"/>
              <w:rPr>
                <w:rFonts w:ascii="Arial" w:hAnsi="Arial" w:cs="Arial"/>
                <w:sz w:val="22"/>
                <w:szCs w:val="22"/>
              </w:rPr>
            </w:pPr>
            <w:r>
              <w:rPr>
                <w:rFonts w:ascii="Arial" w:hAnsi="Arial" w:cs="Arial"/>
                <w:sz w:val="22"/>
                <w:szCs w:val="22"/>
              </w:rPr>
              <w:t xml:space="preserve">The marketing department of Pioneers must consider heavy investment in R&amp;D and breakthrough technologies. This enables firms to market highly specialised, superior-value drugs. </w:t>
            </w:r>
          </w:p>
          <w:p w14:paraId="05874B9E">
            <w:pPr>
              <w:spacing w:line="360" w:lineRule="auto"/>
              <w:rPr>
                <w:rFonts w:ascii="Arial" w:hAnsi="Arial" w:cs="Arial"/>
                <w:sz w:val="22"/>
                <w:szCs w:val="22"/>
              </w:rPr>
            </w:pPr>
            <w:r>
              <w:rPr>
                <w:rFonts w:ascii="Arial" w:hAnsi="Arial" w:cs="Arial"/>
                <w:sz w:val="22"/>
                <w:szCs w:val="22"/>
              </w:rPr>
              <w:t>Hence, it is to be noted that marketing strategies emphasise clinical superiority, innovation, safety, and patient outcomes.</w:t>
            </w:r>
          </w:p>
        </w:tc>
        <w:tc>
          <w:tcPr>
            <w:tcW w:w="0" w:type="auto"/>
          </w:tcPr>
          <w:p w14:paraId="326C9516">
            <w:pPr>
              <w:spacing w:line="360" w:lineRule="auto"/>
              <w:rPr>
                <w:rFonts w:ascii="Arial" w:hAnsi="Arial" w:cs="Arial"/>
                <w:sz w:val="22"/>
                <w:szCs w:val="22"/>
              </w:rPr>
            </w:pPr>
            <w:r>
              <w:rPr>
                <w:rFonts w:ascii="Arial" w:hAnsi="Arial" w:cs="Arial"/>
                <w:sz w:val="22"/>
                <w:szCs w:val="22"/>
              </w:rPr>
              <w:t xml:space="preserve">GSK, as discerned by </w:t>
            </w:r>
            <w:r>
              <w:rPr>
                <w:rFonts w:ascii="Arial" w:hAnsi="Arial" w:cs="Arial"/>
              </w:rPr>
              <w:t>GSK plc (2025)</w:t>
            </w:r>
            <w:r>
              <w:rPr>
                <w:rFonts w:ascii="Arial" w:hAnsi="Arial" w:cs="Arial"/>
                <w:sz w:val="22"/>
                <w:szCs w:val="22"/>
              </w:rPr>
              <w:t>, essentially differentiates through its strong vaccine portfolio and genomic research-based medicines, promoting unique efficacy and safety profiles.</w:t>
            </w:r>
          </w:p>
        </w:tc>
      </w:tr>
      <w:tr w14:paraId="220ED4DB">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3FAAE37E">
            <w:pPr>
              <w:spacing w:line="360" w:lineRule="auto"/>
              <w:rPr>
                <w:rFonts w:ascii="Arial" w:hAnsi="Arial" w:cs="Arial"/>
                <w:b/>
                <w:bCs/>
                <w:sz w:val="22"/>
                <w:szCs w:val="22"/>
              </w:rPr>
            </w:pPr>
            <w:r>
              <w:rPr>
                <w:rFonts w:ascii="Arial" w:hAnsi="Arial" w:cs="Arial"/>
                <w:b/>
                <w:bCs/>
                <w:sz w:val="22"/>
                <w:szCs w:val="22"/>
              </w:rPr>
              <w:t>Focused Cost Leadership</w:t>
            </w:r>
          </w:p>
        </w:tc>
        <w:tc>
          <w:tcPr>
            <w:tcW w:w="0" w:type="auto"/>
            <w:shd w:val="clear" w:color="auto" w:fill="FBE4D5" w:themeFill="accent2" w:themeFillTint="33"/>
          </w:tcPr>
          <w:p w14:paraId="19E63DC8">
            <w:pPr>
              <w:spacing w:line="360" w:lineRule="auto"/>
              <w:rPr>
                <w:rFonts w:ascii="Arial" w:hAnsi="Arial" w:cs="Arial"/>
                <w:sz w:val="22"/>
                <w:szCs w:val="22"/>
              </w:rPr>
            </w:pPr>
            <w:r>
              <w:rPr>
                <w:rFonts w:ascii="Arial" w:hAnsi="Arial" w:cs="Arial"/>
                <w:sz w:val="22"/>
                <w:szCs w:val="22"/>
              </w:rPr>
              <w:t>Pioneers may further consider adopting targeted pricing strategies for specific markets, instances would be, for in, especially emerging economies, while optimising production for those regions.</w:t>
            </w:r>
          </w:p>
        </w:tc>
        <w:tc>
          <w:tcPr>
            <w:tcW w:w="0" w:type="auto"/>
            <w:shd w:val="clear" w:color="auto" w:fill="FBE4D5" w:themeFill="accent2" w:themeFillTint="33"/>
          </w:tcPr>
          <w:p w14:paraId="30DCCF70">
            <w:pPr>
              <w:spacing w:line="360" w:lineRule="auto"/>
              <w:rPr>
                <w:rFonts w:ascii="Arial" w:hAnsi="Arial" w:cs="Arial"/>
                <w:sz w:val="22"/>
                <w:szCs w:val="22"/>
              </w:rPr>
            </w:pPr>
            <w:r>
              <w:rPr>
                <w:rFonts w:ascii="Arial" w:hAnsi="Arial" w:cs="Arial"/>
                <w:sz w:val="22"/>
                <w:szCs w:val="22"/>
              </w:rPr>
              <w:t>An example would be () identified that AstraZeneca India markets affordable versions of chronic disease drugs while maintaining quality, targeting price-sensitive segments.</w:t>
            </w:r>
          </w:p>
        </w:tc>
      </w:tr>
      <w:tr w14:paraId="1733E226">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2E088EE1">
            <w:pPr>
              <w:spacing w:line="360" w:lineRule="auto"/>
              <w:rPr>
                <w:rFonts w:ascii="Arial" w:hAnsi="Arial" w:cs="Arial"/>
                <w:b/>
                <w:bCs/>
                <w:sz w:val="22"/>
                <w:szCs w:val="22"/>
              </w:rPr>
            </w:pPr>
            <w:r>
              <w:rPr>
                <w:rFonts w:ascii="Arial" w:hAnsi="Arial" w:cs="Arial"/>
                <w:b/>
                <w:bCs/>
                <w:sz w:val="22"/>
                <w:szCs w:val="22"/>
              </w:rPr>
              <w:t>Focused Differentiation</w:t>
            </w:r>
          </w:p>
        </w:tc>
        <w:tc>
          <w:tcPr>
            <w:tcW w:w="0" w:type="auto"/>
          </w:tcPr>
          <w:p w14:paraId="195E25DB">
            <w:pPr>
              <w:spacing w:line="360" w:lineRule="auto"/>
              <w:rPr>
                <w:rFonts w:ascii="Arial" w:hAnsi="Arial" w:cs="Arial"/>
                <w:sz w:val="22"/>
                <w:szCs w:val="22"/>
              </w:rPr>
            </w:pPr>
            <w:r>
              <w:rPr>
                <w:rFonts w:ascii="Arial" w:hAnsi="Arial" w:cs="Arial"/>
                <w:sz w:val="22"/>
                <w:szCs w:val="22"/>
              </w:rPr>
              <w:t>From the marketing management perspective, pioneering firms target niche areas such as rare diseases, personalised medicine, or advanced biologics.</w:t>
            </w:r>
          </w:p>
          <w:p w14:paraId="4BDF0D69">
            <w:pPr>
              <w:spacing w:line="360" w:lineRule="auto"/>
              <w:rPr>
                <w:rFonts w:ascii="Arial" w:hAnsi="Arial" w:cs="Arial"/>
                <w:sz w:val="22"/>
                <w:szCs w:val="22"/>
              </w:rPr>
            </w:pPr>
            <w:r>
              <w:rPr>
                <w:rFonts w:ascii="Arial" w:hAnsi="Arial" w:cs="Arial"/>
                <w:sz w:val="22"/>
                <w:szCs w:val="22"/>
              </w:rPr>
              <w:t>This could be considered by using highly specialised marketing efforts directed at narrow patient and clinician groups.</w:t>
            </w:r>
          </w:p>
        </w:tc>
        <w:tc>
          <w:tcPr>
            <w:tcW w:w="0" w:type="auto"/>
          </w:tcPr>
          <w:p w14:paraId="47126097">
            <w:pPr>
              <w:spacing w:line="360" w:lineRule="auto"/>
              <w:rPr>
                <w:rFonts w:ascii="Arial" w:hAnsi="Arial" w:cs="Arial"/>
                <w:sz w:val="22"/>
                <w:szCs w:val="22"/>
              </w:rPr>
            </w:pPr>
            <w:r>
              <w:rPr>
                <w:rFonts w:ascii="Arial" w:hAnsi="Arial" w:cs="Arial"/>
                <w:sz w:val="22"/>
                <w:szCs w:val="22"/>
              </w:rPr>
              <w:t>GSK’s rare-disease therapies</w:t>
            </w:r>
          </w:p>
          <w:p w14:paraId="27106CD4">
            <w:pPr>
              <w:spacing w:line="360" w:lineRule="auto"/>
              <w:rPr>
                <w:rFonts w:ascii="Arial" w:hAnsi="Arial" w:cs="Arial"/>
                <w:sz w:val="22"/>
                <w:szCs w:val="22"/>
              </w:rPr>
            </w:pPr>
            <w:r>
              <w:rPr>
                <w:rFonts w:ascii="Arial" w:hAnsi="Arial" w:cs="Arial"/>
                <w:sz w:val="22"/>
                <w:szCs w:val="22"/>
              </w:rPr>
              <w:t xml:space="preserve">AstraZeneca’s precision oncology </w:t>
            </w:r>
          </w:p>
          <w:p w14:paraId="3C2BD10A">
            <w:pPr>
              <w:spacing w:line="360" w:lineRule="auto"/>
              <w:rPr>
                <w:rFonts w:ascii="Arial" w:hAnsi="Arial" w:cs="Arial"/>
                <w:sz w:val="22"/>
                <w:szCs w:val="22"/>
              </w:rPr>
            </w:pPr>
          </w:p>
          <w:p w14:paraId="77FF462B">
            <w:pPr>
              <w:spacing w:line="360" w:lineRule="auto"/>
              <w:rPr>
                <w:rFonts w:ascii="Arial" w:hAnsi="Arial" w:cs="Arial"/>
                <w:sz w:val="22"/>
                <w:szCs w:val="22"/>
              </w:rPr>
            </w:pPr>
            <w:r>
              <w:rPr>
                <w:rFonts w:ascii="Arial" w:hAnsi="Arial" w:cs="Arial"/>
                <w:sz w:val="22"/>
                <w:szCs w:val="22"/>
              </w:rPr>
              <w:t>These often rely on targeted campaigns for specialists and genomic-testing networks.</w:t>
            </w:r>
          </w:p>
        </w:tc>
      </w:tr>
    </w:tbl>
    <w:p w14:paraId="3C778F77"/>
    <w:p w14:paraId="0F72CC8D">
      <w:pPr>
        <w:spacing w:line="360" w:lineRule="auto"/>
        <w:jc w:val="both"/>
        <w:rPr>
          <w:rFonts w:ascii="Arial" w:hAnsi="Arial" w:cs="Arial"/>
        </w:rPr>
      </w:pPr>
    </w:p>
    <w:p w14:paraId="46E7EF01">
      <w:pPr>
        <w:pStyle w:val="2"/>
      </w:pPr>
      <w:bookmarkStart w:id="19" w:name="_Toc214502007"/>
      <w:r>
        <w:t>3.3 Follower Organisations’ Strategic Responses</w:t>
      </w:r>
      <w:bookmarkEnd w:id="18"/>
      <w:bookmarkEnd w:id="19"/>
    </w:p>
    <w:p w14:paraId="4AC8CFAE">
      <w:pPr>
        <w:pStyle w:val="3"/>
      </w:pPr>
      <w:bookmarkStart w:id="20" w:name="_Toc214502008"/>
      <w:r>
        <w:t>Critically assess how follower organisations adapt their strategies to sustain competitiveness.</w:t>
      </w:r>
      <w:bookmarkEnd w:id="20"/>
    </w:p>
    <w:p w14:paraId="2A4E53D8">
      <w:pPr>
        <w:pStyle w:val="3"/>
      </w:pPr>
      <w:bookmarkStart w:id="21" w:name="_Toc214502009"/>
      <w:r>
        <w:t>Ansoff’s Growth Matrix</w:t>
      </w:r>
      <w:bookmarkEnd w:id="21"/>
    </w:p>
    <w:p w14:paraId="5E1EBBFA">
      <w:r>
        <w:t xml:space="preserve">Ansoff’s Growth Matrix for the usual strategic adaptation of a follower firm, which is Cipla in this case </w:t>
      </w:r>
    </w:p>
    <w:tbl>
      <w:tblPr>
        <w:tblStyle w:val="38"/>
        <w:tblW w:w="0" w:type="auto"/>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1695"/>
        <w:gridCol w:w="4220"/>
        <w:gridCol w:w="3327"/>
      </w:tblGrid>
      <w:tr w14:paraId="3AFE81FA">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14:paraId="5C1E5756">
            <w:pPr>
              <w:spacing w:line="360" w:lineRule="auto"/>
              <w:rPr>
                <w:b/>
                <w:bCs/>
                <w:color w:val="FFFFFF" w:themeColor="background1"/>
                <w:sz w:val="22"/>
                <w:szCs w:val="22"/>
                <w14:textFill>
                  <w14:solidFill>
                    <w14:schemeClr w14:val="bg1"/>
                  </w14:solidFill>
                </w14:textFill>
              </w:rPr>
            </w:pPr>
            <w:r>
              <w:rPr>
                <w:b/>
                <w:bCs/>
                <w:color w:val="FFFFFF" w:themeColor="background1"/>
                <w:sz w:val="22"/>
                <w:szCs w:val="22"/>
                <w14:textFill>
                  <w14:solidFill>
                    <w14:schemeClr w14:val="bg1"/>
                  </w14:solidFill>
                </w14:textFill>
              </w:rPr>
              <w:t>Ansoff Strategy</w:t>
            </w:r>
          </w:p>
        </w:tc>
        <w:tc>
          <w:tcPr>
            <w:tcW w:w="0" w:type="auto"/>
            <w:tcBorders>
              <w:top w:val="single" w:color="ED7D31" w:themeColor="accent2" w:sz="4" w:space="0"/>
              <w:bottom w:val="single" w:color="ED7D31" w:themeColor="accent2" w:sz="4" w:space="0"/>
              <w:right w:val="nil"/>
              <w:insideH w:val="single" w:sz="4" w:space="0"/>
              <w:insideV w:val="nil"/>
            </w:tcBorders>
            <w:shd w:val="clear" w:color="auto" w:fill="ED7D31" w:themeFill="accent2"/>
          </w:tcPr>
          <w:p w14:paraId="13095F34">
            <w:pPr>
              <w:spacing w:line="360" w:lineRule="auto"/>
              <w:rPr>
                <w:b/>
                <w:bCs/>
                <w:color w:val="FFFFFF" w:themeColor="background1"/>
                <w:sz w:val="22"/>
                <w:szCs w:val="22"/>
                <w14:textFill>
                  <w14:solidFill>
                    <w14:schemeClr w14:val="bg1"/>
                  </w14:solidFill>
                </w14:textFill>
              </w:rPr>
            </w:pPr>
            <w:r>
              <w:rPr>
                <w:b/>
                <w:bCs/>
                <w:color w:val="FFFFFF" w:themeColor="background1"/>
                <w:sz w:val="22"/>
                <w:szCs w:val="22"/>
                <w14:textFill>
                  <w14:solidFill>
                    <w14:schemeClr w14:val="bg1"/>
                  </w14:solidFill>
                </w14:textFill>
              </w:rPr>
              <w:t>How Cipla Adapts (Critical Assessment)</w:t>
            </w:r>
          </w:p>
        </w:tc>
        <w:tc>
          <w:tcPr>
            <w:tcW w:w="0" w:type="auto"/>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14:paraId="69960303">
            <w:pPr>
              <w:spacing w:line="360" w:lineRule="auto"/>
              <w:rPr>
                <w:b/>
                <w:bCs/>
                <w:color w:val="FFFFFF" w:themeColor="background1"/>
                <w:sz w:val="22"/>
                <w:szCs w:val="22"/>
                <w14:textFill>
                  <w14:solidFill>
                    <w14:schemeClr w14:val="bg1"/>
                  </w14:solidFill>
                </w14:textFill>
              </w:rPr>
            </w:pPr>
            <w:r>
              <w:rPr>
                <w:b/>
                <w:bCs/>
                <w:color w:val="FFFFFF" w:themeColor="background1"/>
                <w:sz w:val="22"/>
                <w:szCs w:val="22"/>
                <w14:textFill>
                  <w14:solidFill>
                    <w14:schemeClr w14:val="bg1"/>
                  </w14:solidFill>
                </w14:textFill>
              </w:rPr>
              <w:t>Industry-Relevant Example</w:t>
            </w:r>
          </w:p>
        </w:tc>
      </w:tr>
      <w:tr w14:paraId="7E03286C">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50CD1F46">
            <w:pPr>
              <w:spacing w:line="360" w:lineRule="auto"/>
              <w:rPr>
                <w:b/>
                <w:bCs/>
                <w:sz w:val="22"/>
                <w:szCs w:val="22"/>
              </w:rPr>
            </w:pPr>
            <w:r>
              <w:rPr>
                <w:b/>
                <w:bCs/>
                <w:sz w:val="22"/>
                <w:szCs w:val="22"/>
              </w:rPr>
              <w:t xml:space="preserve">Market Penetration Strategies </w:t>
            </w:r>
          </w:p>
        </w:tc>
        <w:tc>
          <w:tcPr>
            <w:tcW w:w="0" w:type="auto"/>
            <w:shd w:val="clear" w:color="auto" w:fill="FBE4D5" w:themeFill="accent2" w:themeFillTint="33"/>
          </w:tcPr>
          <w:p w14:paraId="683596E5">
            <w:pPr>
              <w:spacing w:line="360" w:lineRule="auto"/>
              <w:rPr>
                <w:sz w:val="22"/>
                <w:szCs w:val="22"/>
              </w:rPr>
            </w:pPr>
            <w:r>
              <w:rPr>
                <w:sz w:val="22"/>
                <w:szCs w:val="22"/>
              </w:rPr>
              <w:t xml:space="preserve">Cipla, being the follower, may consider strengthening price competitiveness and expanding distribution. This could be considered by defending its generic drug position, Cipla Limited (2025). </w:t>
            </w:r>
          </w:p>
          <w:p w14:paraId="6AEAC08E">
            <w:pPr>
              <w:spacing w:line="360" w:lineRule="auto"/>
              <w:rPr>
                <w:sz w:val="22"/>
                <w:szCs w:val="22"/>
              </w:rPr>
            </w:pPr>
            <w:r>
              <w:rPr>
                <w:sz w:val="22"/>
                <w:szCs w:val="22"/>
              </w:rPr>
              <w:t xml:space="preserve">These practices stress volume-based strategies, aggressive tender participation, and doctor-outreach programmes to sustain market share against pioneers. Cipla Limited (2025) </w:t>
            </w:r>
          </w:p>
        </w:tc>
        <w:tc>
          <w:tcPr>
            <w:tcW w:w="0" w:type="auto"/>
            <w:shd w:val="clear" w:color="auto" w:fill="FBE4D5" w:themeFill="accent2" w:themeFillTint="33"/>
          </w:tcPr>
          <w:p w14:paraId="4AEA00F8">
            <w:pPr>
              <w:spacing w:line="360" w:lineRule="auto"/>
              <w:rPr>
                <w:sz w:val="22"/>
                <w:szCs w:val="22"/>
              </w:rPr>
            </w:pPr>
            <w:r>
              <w:rPr>
                <w:sz w:val="22"/>
                <w:szCs w:val="22"/>
              </w:rPr>
              <w:t>Cipla Limited (2025) had opined that Cipla in recent years had  increased domestic generic sales through competitive pricing in respiratory and HIV drugs,</w:t>
            </w:r>
          </w:p>
          <w:p w14:paraId="0E340DD4">
            <w:pPr>
              <w:spacing w:line="360" w:lineRule="auto"/>
              <w:rPr>
                <w:sz w:val="22"/>
                <w:szCs w:val="22"/>
              </w:rPr>
            </w:pPr>
            <w:r>
              <w:rPr>
                <w:sz w:val="22"/>
                <w:szCs w:val="22"/>
              </w:rPr>
              <w:t>It may consider leveraging strong pharmacy networks to counter multinational dominance.</w:t>
            </w:r>
          </w:p>
        </w:tc>
      </w:tr>
      <w:tr w14:paraId="0AA4221B">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5A32B018">
            <w:pPr>
              <w:spacing w:line="360" w:lineRule="auto"/>
              <w:rPr>
                <w:b/>
                <w:bCs/>
                <w:sz w:val="22"/>
                <w:szCs w:val="22"/>
              </w:rPr>
            </w:pPr>
            <w:r>
              <w:rPr>
                <w:b/>
                <w:bCs/>
                <w:sz w:val="22"/>
                <w:szCs w:val="22"/>
              </w:rPr>
              <w:t xml:space="preserve">Market Development Strategies </w:t>
            </w:r>
          </w:p>
        </w:tc>
        <w:tc>
          <w:tcPr>
            <w:tcW w:w="0" w:type="auto"/>
          </w:tcPr>
          <w:p w14:paraId="659A621B">
            <w:pPr>
              <w:spacing w:line="360" w:lineRule="auto"/>
              <w:rPr>
                <w:sz w:val="22"/>
                <w:szCs w:val="22"/>
              </w:rPr>
            </w:pPr>
            <w:r>
              <w:rPr>
                <w:sz w:val="22"/>
                <w:szCs w:val="22"/>
              </w:rPr>
              <w:t xml:space="preserve">Cipla must consider confronting saturation in the Indian market by entering African, Latin American, and Southeast Asian regions, as in places where regulatory barriers are lower. Cipla Limited (2025). </w:t>
            </w:r>
          </w:p>
          <w:p w14:paraId="6EB29A65">
            <w:pPr>
              <w:spacing w:line="360" w:lineRule="auto"/>
              <w:rPr>
                <w:sz w:val="22"/>
                <w:szCs w:val="22"/>
              </w:rPr>
            </w:pPr>
            <w:r>
              <w:rPr>
                <w:sz w:val="22"/>
                <w:szCs w:val="22"/>
              </w:rPr>
              <w:t>This enables the company to emerge and grow without competing directly with the pioneers’ patented portfolios.</w:t>
            </w:r>
          </w:p>
        </w:tc>
        <w:tc>
          <w:tcPr>
            <w:tcW w:w="0" w:type="auto"/>
          </w:tcPr>
          <w:p w14:paraId="54DA06CE">
            <w:pPr>
              <w:spacing w:line="360" w:lineRule="auto"/>
              <w:rPr>
                <w:sz w:val="22"/>
                <w:szCs w:val="22"/>
              </w:rPr>
            </w:pPr>
            <w:r>
              <w:rPr>
                <w:sz w:val="22"/>
                <w:szCs w:val="22"/>
              </w:rPr>
              <w:t>Cipla’s expansion into the South African market</w:t>
            </w:r>
          </w:p>
          <w:p w14:paraId="4B43FF40">
            <w:pPr>
              <w:spacing w:line="360" w:lineRule="auto"/>
              <w:rPr>
                <w:sz w:val="22"/>
                <w:szCs w:val="22"/>
              </w:rPr>
            </w:pPr>
            <w:r>
              <w:rPr>
                <w:sz w:val="22"/>
                <w:szCs w:val="22"/>
              </w:rPr>
              <w:t>As of now,  it has become the company’s prominent international revenue source. This illustrates successful geographic diversification.</w:t>
            </w:r>
          </w:p>
        </w:tc>
      </w:tr>
      <w:tr w14:paraId="175851CE">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shd w:val="clear" w:color="auto" w:fill="FBE4D5" w:themeFill="accent2" w:themeFillTint="33"/>
          </w:tcPr>
          <w:p w14:paraId="55BD0FD8">
            <w:pPr>
              <w:spacing w:line="360" w:lineRule="auto"/>
              <w:rPr>
                <w:b/>
                <w:bCs/>
                <w:sz w:val="22"/>
                <w:szCs w:val="22"/>
              </w:rPr>
            </w:pPr>
            <w:r>
              <w:rPr>
                <w:b/>
                <w:bCs/>
                <w:sz w:val="22"/>
                <w:szCs w:val="22"/>
              </w:rPr>
              <w:t xml:space="preserve">Product Development Strategies </w:t>
            </w:r>
          </w:p>
        </w:tc>
        <w:tc>
          <w:tcPr>
            <w:tcW w:w="0" w:type="auto"/>
            <w:shd w:val="clear" w:color="auto" w:fill="FBE4D5" w:themeFill="accent2" w:themeFillTint="33"/>
          </w:tcPr>
          <w:p w14:paraId="5115A77C">
            <w:pPr>
              <w:spacing w:line="360" w:lineRule="auto"/>
              <w:rPr>
                <w:sz w:val="22"/>
                <w:szCs w:val="22"/>
              </w:rPr>
            </w:pPr>
            <w:r>
              <w:rPr>
                <w:sz w:val="22"/>
                <w:szCs w:val="22"/>
              </w:rPr>
              <w:t>Cipla, with limited R&amp;D budgets as compared to pioneers, prioritises incremental innovation.</w:t>
            </w:r>
          </w:p>
          <w:p w14:paraId="46C72DF7">
            <w:pPr>
              <w:spacing w:line="360" w:lineRule="auto"/>
              <w:rPr>
                <w:sz w:val="22"/>
                <w:szCs w:val="22"/>
              </w:rPr>
            </w:pPr>
            <w:r>
              <w:rPr>
                <w:sz w:val="22"/>
                <w:szCs w:val="22"/>
              </w:rPr>
              <w:t>It may consider improving and enhancing formulations, biosimilars, and fixed-dose combinations rather than breakthrough drugs.</w:t>
            </w:r>
          </w:p>
        </w:tc>
        <w:tc>
          <w:tcPr>
            <w:tcW w:w="0" w:type="auto"/>
            <w:shd w:val="clear" w:color="auto" w:fill="FBE4D5" w:themeFill="accent2" w:themeFillTint="33"/>
          </w:tcPr>
          <w:p w14:paraId="623B487A">
            <w:pPr>
              <w:spacing w:line="360" w:lineRule="auto"/>
              <w:rPr>
                <w:sz w:val="22"/>
                <w:szCs w:val="22"/>
              </w:rPr>
            </w:pPr>
            <w:r>
              <w:rPr>
                <w:sz w:val="22"/>
                <w:szCs w:val="22"/>
              </w:rPr>
              <w:t>Zaman and Khanna (2021) had identified that Cipla’s development of inhalers and improved antiretroviral combinations further reflects cost-effective innovation, which is majorly aligned with follower capabilities.</w:t>
            </w:r>
          </w:p>
        </w:tc>
      </w:tr>
      <w:tr w14:paraId="7A2B616A">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0" w:type="auto"/>
          </w:tcPr>
          <w:p w14:paraId="32470B60">
            <w:pPr>
              <w:spacing w:line="360" w:lineRule="auto"/>
              <w:rPr>
                <w:b/>
                <w:bCs/>
                <w:sz w:val="22"/>
                <w:szCs w:val="22"/>
              </w:rPr>
            </w:pPr>
            <w:r>
              <w:rPr>
                <w:b/>
                <w:bCs/>
                <w:sz w:val="22"/>
                <w:szCs w:val="22"/>
              </w:rPr>
              <w:t>Diversification</w:t>
            </w:r>
          </w:p>
        </w:tc>
        <w:tc>
          <w:tcPr>
            <w:tcW w:w="0" w:type="auto"/>
          </w:tcPr>
          <w:p w14:paraId="6A8C3CE9">
            <w:pPr>
              <w:spacing w:line="360" w:lineRule="auto"/>
              <w:rPr>
                <w:sz w:val="22"/>
                <w:szCs w:val="22"/>
              </w:rPr>
            </w:pPr>
            <w:r>
              <w:rPr>
                <w:sz w:val="22"/>
                <w:szCs w:val="22"/>
              </w:rPr>
              <w:t>Cipla further considers diversifying into wellness products, OTC medicines, and digital-health collaborations. This would be considered and strategy by reducing reliance on competitive generic markets. However, risk remains moderate because diversification avoids high-cost novel drug pipelines.</w:t>
            </w:r>
          </w:p>
        </w:tc>
        <w:tc>
          <w:tcPr>
            <w:tcW w:w="0" w:type="auto"/>
          </w:tcPr>
          <w:p w14:paraId="2109AB16">
            <w:pPr>
              <w:spacing w:line="360" w:lineRule="auto"/>
              <w:rPr>
                <w:sz w:val="22"/>
                <w:szCs w:val="22"/>
              </w:rPr>
            </w:pPr>
            <w:r>
              <w:rPr>
                <w:sz w:val="22"/>
                <w:szCs w:val="22"/>
              </w:rPr>
              <w:t xml:space="preserve">Cipla’s entry into nutraceuticals and digital patient-support platforms strengthens brand visibility. </w:t>
            </w:r>
          </w:p>
          <w:p w14:paraId="0AF528D0">
            <w:pPr>
              <w:spacing w:line="360" w:lineRule="auto"/>
              <w:rPr>
                <w:sz w:val="22"/>
                <w:szCs w:val="22"/>
              </w:rPr>
            </w:pPr>
            <w:r>
              <w:rPr>
                <w:sz w:val="22"/>
                <w:szCs w:val="22"/>
              </w:rPr>
              <w:t>It further reduces vulnerability to generic price erosion.</w:t>
            </w:r>
          </w:p>
        </w:tc>
      </w:tr>
    </w:tbl>
    <w:p w14:paraId="04EA373C">
      <w:pPr>
        <w:spacing w:line="360" w:lineRule="auto"/>
        <w:jc w:val="both"/>
        <w:rPr>
          <w:rFonts w:ascii="Arial" w:hAnsi="Arial" w:cs="Arial"/>
        </w:rPr>
      </w:pPr>
    </w:p>
    <w:p w14:paraId="6B21CDE3">
      <w:pPr>
        <w:pStyle w:val="3"/>
      </w:pPr>
      <w:bookmarkStart w:id="22" w:name="_Toc214502010"/>
      <w:bookmarkStart w:id="23" w:name="_Toc211437177"/>
      <w:r>
        <w:t>Porter’s Generic Strategies for Cipla, which is the follower Firm</w:t>
      </w:r>
      <w:bookmarkEnd w:id="22"/>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75"/>
        <w:gridCol w:w="4296"/>
        <w:gridCol w:w="3071"/>
      </w:tblGrid>
      <w:tr w14:paraId="365A4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AE46159">
            <w:r>
              <w:t>Strategy</w:t>
            </w:r>
          </w:p>
        </w:tc>
        <w:tc>
          <w:tcPr>
            <w:tcW w:w="0" w:type="auto"/>
          </w:tcPr>
          <w:p w14:paraId="76774BC0">
            <w:r>
              <w:t>How Cipla Adapts</w:t>
            </w:r>
          </w:p>
        </w:tc>
        <w:tc>
          <w:tcPr>
            <w:tcW w:w="0" w:type="auto"/>
          </w:tcPr>
          <w:p w14:paraId="59A1FC56">
            <w:r>
              <w:t>Industry Example</w:t>
            </w:r>
          </w:p>
        </w:tc>
      </w:tr>
      <w:tr w14:paraId="491D72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01D0307">
            <w:r>
              <w:t>Cost Leadership</w:t>
            </w:r>
          </w:p>
        </w:tc>
        <w:tc>
          <w:tcPr>
            <w:tcW w:w="0" w:type="auto"/>
          </w:tcPr>
          <w:p w14:paraId="3409ED0C">
            <w:r>
              <w:t>Cipla could compete through low-cost manufacturing, efficient sourcing, and economies of scale to offer affordable generics.</w:t>
            </w:r>
          </w:p>
        </w:tc>
        <w:tc>
          <w:tcPr>
            <w:tcW w:w="0" w:type="auto"/>
          </w:tcPr>
          <w:p w14:paraId="7BD7C677">
            <w:r>
              <w:t xml:space="preserve">Large-scale production of respiratory </w:t>
            </w:r>
          </w:p>
          <w:p w14:paraId="1FE5ACA8">
            <w:r>
              <w:t xml:space="preserve"> HIV drugs enable highly competitive pricing</w:t>
            </w:r>
          </w:p>
        </w:tc>
      </w:tr>
      <w:tr w14:paraId="147A62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9BA1324">
            <w:r>
              <w:t>Differentiation</w:t>
            </w:r>
          </w:p>
        </w:tc>
        <w:tc>
          <w:tcPr>
            <w:tcW w:w="0" w:type="auto"/>
          </w:tcPr>
          <w:p w14:paraId="427CF105">
            <w:r>
              <w:t>It may further consider using incremental innovation and high-quality standards to differentiate within the generic segment.</w:t>
            </w:r>
          </w:p>
        </w:tc>
        <w:tc>
          <w:tcPr>
            <w:tcW w:w="0" w:type="auto"/>
          </w:tcPr>
          <w:p w14:paraId="4E371559">
            <w:r>
              <w:t xml:space="preserve">Cipla’s improved inhaler technology enhances user convenience </w:t>
            </w:r>
          </w:p>
          <w:p w14:paraId="323ACA94">
            <w:r>
              <w:t xml:space="preserve"> clinical outcomes</w:t>
            </w:r>
          </w:p>
        </w:tc>
      </w:tr>
      <w:tr w14:paraId="042CEA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60FDE0B">
            <w:r>
              <w:t>Focused Cost Leadership</w:t>
            </w:r>
          </w:p>
        </w:tc>
        <w:tc>
          <w:tcPr>
            <w:tcW w:w="0" w:type="auto"/>
          </w:tcPr>
          <w:p w14:paraId="19C61F9E">
            <w:r>
              <w:t>Cipla may strategize by targeting price-sensitive emerging markets with low-cost essential medicines.</w:t>
            </w:r>
          </w:p>
        </w:tc>
        <w:tc>
          <w:tcPr>
            <w:tcW w:w="0" w:type="auto"/>
          </w:tcPr>
          <w:p w14:paraId="60B7BF25">
            <w:r>
              <w:t>Strong presence in Africa through affordable antiretrovirals</w:t>
            </w:r>
          </w:p>
        </w:tc>
      </w:tr>
      <w:tr w14:paraId="775E4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A3F27F3">
            <w:r>
              <w:t>Focused Differentiation</w:t>
            </w:r>
          </w:p>
        </w:tc>
        <w:tc>
          <w:tcPr>
            <w:tcW w:w="0" w:type="auto"/>
          </w:tcPr>
          <w:p w14:paraId="73EC78C7">
            <w:r>
              <w:t>Cipla may contemplate offering specialised formulations and niche therapies to stand out among generic competitors.</w:t>
            </w:r>
          </w:p>
        </w:tc>
        <w:tc>
          <w:tcPr>
            <w:tcW w:w="0" w:type="auto"/>
          </w:tcPr>
          <w:p w14:paraId="51E272E3">
            <w:r>
              <w:t>Fixed-dose combinations for chronic diseases enhance treatment adherence.</w:t>
            </w:r>
          </w:p>
        </w:tc>
      </w:tr>
    </w:tbl>
    <w:p w14:paraId="77CC2136"/>
    <w:p w14:paraId="52CBAFBD">
      <w:pPr>
        <w:spacing w:line="360" w:lineRule="auto"/>
        <w:jc w:val="both"/>
        <w:rPr>
          <w:rFonts w:ascii="Arial" w:hAnsi="Arial" w:cs="Arial"/>
        </w:rPr>
      </w:pPr>
    </w:p>
    <w:p w14:paraId="0AF3638C">
      <w:pPr>
        <w:pStyle w:val="2"/>
      </w:pPr>
      <w:bookmarkStart w:id="24" w:name="_Toc214502011"/>
      <w:r>
        <w:t>4. Conclusion</w:t>
      </w:r>
      <w:bookmarkEnd w:id="24"/>
      <w:r>
        <w:t xml:space="preserve"> </w:t>
      </w:r>
      <w:bookmarkEnd w:id="23"/>
    </w:p>
    <w:p w14:paraId="18DA04C8">
      <w:pPr>
        <w:spacing w:line="360" w:lineRule="auto"/>
        <w:jc w:val="both"/>
        <w:rPr>
          <w:rFonts w:ascii="Arial" w:hAnsi="Arial" w:cs="Arial"/>
        </w:rPr>
      </w:pPr>
      <w:r>
        <w:rPr>
          <w:rFonts w:ascii="Arial" w:hAnsi="Arial" w:cs="Arial"/>
        </w:rPr>
        <w:t>The essay here elucidates that pioneering firms like GSK and AstraZeneca often contemplate responding by investing heavily in innovation, expanding globally, and differentiating through advanced biologics and specialised therapies. It is witnessed that the strategies that had been identified through Ansoff and Porter’s generic model focus on product development and diversification to maintain leadership. Moreover, follower firms like Cipla must consider adapting through procedures like cost efficiency, incremental innovation, and expansion into emerging markets where barriers are lower. Follower must consider relying on competitive pricing, strong distribution, and targeted formulations to remain viable. Hence, it is implied from all the discussion that for pioneers. Innovation is crucial to staying ahead, while followers must consider prioritizing efficiency and accessible markets. Hence, this is considered to sustain competitiveness in a rapidly evolving pharmaceutical landscape.</w:t>
      </w:r>
    </w:p>
    <w:p w14:paraId="5877151C">
      <w:pPr>
        <w:spacing w:after="160" w:line="259" w:lineRule="auto"/>
        <w:rPr>
          <w:rFonts w:ascii="Arial" w:hAnsi="Arial" w:cs="Arial"/>
        </w:rPr>
      </w:pPr>
      <w:bookmarkStart w:id="25" w:name="_Toc211437178"/>
      <w:r>
        <w:rPr>
          <w:rFonts w:ascii="Arial" w:hAnsi="Arial" w:cs="Arial"/>
        </w:rPr>
        <w:br w:type="page"/>
      </w:r>
    </w:p>
    <w:p w14:paraId="289147A2">
      <w:pPr>
        <w:pStyle w:val="2"/>
      </w:pPr>
      <w:bookmarkStart w:id="26" w:name="_Toc214502012"/>
      <w:r>
        <w:t>5. References</w:t>
      </w:r>
      <w:bookmarkEnd w:id="26"/>
      <w:r>
        <w:t xml:space="preserve"> </w:t>
      </w:r>
      <w:bookmarkEnd w:id="25"/>
    </w:p>
    <w:p w14:paraId="0DD7EC9E">
      <w:pPr>
        <w:pStyle w:val="32"/>
        <w:numPr>
          <w:ilvl w:val="0"/>
          <w:numId w:val="2"/>
        </w:numPr>
        <w:spacing w:line="360" w:lineRule="auto"/>
        <w:jc w:val="both"/>
        <w:rPr>
          <w:rFonts w:ascii="Arial" w:hAnsi="Arial" w:cs="Arial"/>
        </w:rPr>
      </w:pPr>
      <w:r>
        <w:rPr>
          <w:rFonts w:ascii="Arial" w:hAnsi="Arial" w:cs="Arial"/>
        </w:rPr>
        <w:t>Aghlmand, R., Gheibi, M., Takhtravan, A. and Kian, Z., 2022. Implementation of green marketing frameworks based on a conceptual system designed by the integration of PESTLE, classical Delphi, and MCDM modeling. SN Business &amp; Economics, 2(8), p.108.</w:t>
      </w:r>
    </w:p>
    <w:p w14:paraId="2F9D1B87">
      <w:pPr>
        <w:pStyle w:val="32"/>
        <w:numPr>
          <w:ilvl w:val="0"/>
          <w:numId w:val="2"/>
        </w:numPr>
        <w:spacing w:line="360" w:lineRule="auto"/>
        <w:jc w:val="both"/>
        <w:rPr>
          <w:rFonts w:ascii="Arial" w:hAnsi="Arial" w:cs="Arial"/>
        </w:rPr>
      </w:pPr>
      <w:r>
        <w:rPr>
          <w:rFonts w:ascii="Arial" w:hAnsi="Arial" w:cs="Arial"/>
        </w:rPr>
        <w:t xml:space="preserve">AInvest News (2025) ‘AstraZeneca’s 0.34% Gain Trails Market as India Partnership Drives 348th Volume Rank’, </w:t>
      </w:r>
      <w:r>
        <w:rPr>
          <w:rFonts w:ascii="Arial" w:hAnsi="Arial" w:cs="Arial"/>
          <w:i/>
          <w:iCs/>
        </w:rPr>
        <w:t>AInvest</w:t>
      </w:r>
      <w:r>
        <w:rPr>
          <w:rFonts w:ascii="Arial" w:hAnsi="Arial" w:cs="Arial"/>
        </w:rPr>
        <w:t xml:space="preserve">, 17 November. Available at: </w:t>
      </w:r>
      <w:r>
        <w:fldChar w:fldCharType="begin"/>
      </w:r>
      <w:r>
        <w:instrText xml:space="preserve"> HYPERLINK "https://www.ainvest.com/news/astrazeneca-0-34-gain-trails-market-india-partnership-drives-348th-volume-rank-2511/?utm_source=chatgpt.com" \t "_new" </w:instrText>
      </w:r>
      <w:r>
        <w:fldChar w:fldCharType="separate"/>
      </w:r>
      <w:r>
        <w:rPr>
          <w:rStyle w:val="13"/>
          <w:rFonts w:ascii="Arial" w:hAnsi="Arial" w:cs="Arial"/>
        </w:rPr>
        <w:t>https://www.ainvest.com/news/astrazeneca-0-34-gain-trails-market-india-partnership-drives-348th-volume-rank-2511/</w:t>
      </w:r>
      <w:r>
        <w:rPr>
          <w:rStyle w:val="13"/>
          <w:rFonts w:ascii="Arial" w:hAnsi="Arial" w:cs="Arial"/>
        </w:rPr>
        <w:fldChar w:fldCharType="end"/>
      </w:r>
      <w:r>
        <w:rPr>
          <w:rFonts w:ascii="Arial" w:hAnsi="Arial" w:cs="Arial"/>
        </w:rPr>
        <w:t xml:space="preserve"> (Accessed: 20 November 2025).</w:t>
      </w:r>
    </w:p>
    <w:p w14:paraId="3935D160">
      <w:pPr>
        <w:pStyle w:val="32"/>
        <w:numPr>
          <w:ilvl w:val="0"/>
          <w:numId w:val="2"/>
        </w:numPr>
        <w:spacing w:line="360" w:lineRule="auto"/>
        <w:jc w:val="both"/>
        <w:rPr>
          <w:rFonts w:ascii="Arial" w:hAnsi="Arial" w:cs="Arial"/>
        </w:rPr>
      </w:pPr>
      <w:r>
        <w:rPr>
          <w:rFonts w:ascii="Arial" w:hAnsi="Arial" w:cs="Arial"/>
        </w:rPr>
        <w:t xml:space="preserve">AstraZeneca (2025) </w:t>
      </w:r>
      <w:r>
        <w:rPr>
          <w:rFonts w:ascii="Arial" w:hAnsi="Arial" w:cs="Arial"/>
          <w:i/>
          <w:iCs/>
        </w:rPr>
        <w:t>Data Science &amp; AI: Research &amp; Development</w:t>
      </w:r>
      <w:r>
        <w:rPr>
          <w:rFonts w:ascii="Arial" w:hAnsi="Arial" w:cs="Arial"/>
        </w:rPr>
        <w:t xml:space="preserve">, AstraZeneca. Available at: </w:t>
      </w:r>
      <w:r>
        <w:fldChar w:fldCharType="begin"/>
      </w:r>
      <w:r>
        <w:instrText xml:space="preserve"> HYPERLINK "https://www.astrazeneca.com/r-d/data-science-and-ai.html" \t "_new" </w:instrText>
      </w:r>
      <w:r>
        <w:fldChar w:fldCharType="separate"/>
      </w:r>
      <w:r>
        <w:rPr>
          <w:rStyle w:val="13"/>
          <w:rFonts w:ascii="Arial" w:hAnsi="Arial" w:cs="Arial"/>
        </w:rPr>
        <w:t>https://www.astrazeneca.com/r-d/data-science-and-ai.html</w:t>
      </w:r>
      <w:r>
        <w:rPr>
          <w:rStyle w:val="13"/>
          <w:rFonts w:ascii="Arial" w:hAnsi="Arial" w:cs="Arial"/>
        </w:rPr>
        <w:fldChar w:fldCharType="end"/>
      </w:r>
      <w:r>
        <w:rPr>
          <w:rFonts w:ascii="Arial" w:hAnsi="Arial" w:cs="Arial"/>
        </w:rPr>
        <w:t xml:space="preserve"> (Accessed: 20 November 2025).</w:t>
      </w:r>
    </w:p>
    <w:p w14:paraId="60AE26B7">
      <w:pPr>
        <w:pStyle w:val="32"/>
        <w:numPr>
          <w:ilvl w:val="0"/>
          <w:numId w:val="2"/>
        </w:numPr>
        <w:spacing w:after="160" w:line="360" w:lineRule="auto"/>
        <w:jc w:val="both"/>
        <w:rPr>
          <w:rFonts w:ascii="Arial" w:hAnsi="Arial" w:cs="Arial"/>
        </w:rPr>
      </w:pPr>
      <w:r>
        <w:rPr>
          <w:rFonts w:ascii="Arial" w:hAnsi="Arial" w:cs="Arial"/>
        </w:rPr>
        <w:t xml:space="preserve">Cipla Limited (2025) </w:t>
      </w:r>
      <w:r>
        <w:rPr>
          <w:rFonts w:ascii="Arial" w:hAnsi="Arial" w:cs="Arial"/>
          <w:i/>
          <w:iCs/>
        </w:rPr>
        <w:t>Caring for Life: Integrated Annual Report 2024</w:t>
      </w:r>
      <w:r>
        <w:rPr>
          <w:rFonts w:ascii="Arial" w:hAnsi="Arial" w:cs="Arial"/>
          <w:i/>
          <w:iCs/>
        </w:rPr>
        <w:noBreakHyphen/>
      </w:r>
      <w:r>
        <w:rPr>
          <w:rFonts w:ascii="Arial" w:hAnsi="Arial" w:cs="Arial"/>
          <w:i/>
          <w:iCs/>
        </w:rPr>
        <w:t>25</w:t>
      </w:r>
      <w:r>
        <w:rPr>
          <w:rFonts w:ascii="Arial" w:hAnsi="Arial" w:cs="Arial"/>
        </w:rPr>
        <w:t xml:space="preserve"> [PDF]. Available at: </w:t>
      </w:r>
      <w:r>
        <w:fldChar w:fldCharType="begin"/>
      </w:r>
      <w:r>
        <w:instrText xml:space="preserve"> HYPERLINK "https://www.cipla.com/sites/default/files/Cipla-AR-2024-25.pdf?utm_source=chatgpt.com" \t "_new" </w:instrText>
      </w:r>
      <w:r>
        <w:fldChar w:fldCharType="separate"/>
      </w:r>
      <w:r>
        <w:rPr>
          <w:rStyle w:val="13"/>
          <w:rFonts w:ascii="Arial" w:hAnsi="Arial" w:cs="Arial"/>
        </w:rPr>
        <w:t>https://www.cipla.com/sites/default/files/Cipla-AR-2024-25.pdf</w:t>
      </w:r>
      <w:r>
        <w:rPr>
          <w:rStyle w:val="13"/>
          <w:rFonts w:ascii="Arial" w:hAnsi="Arial" w:cs="Arial"/>
        </w:rPr>
        <w:fldChar w:fldCharType="end"/>
      </w:r>
      <w:r>
        <w:rPr>
          <w:rFonts w:ascii="Arial" w:hAnsi="Arial" w:cs="Arial"/>
        </w:rPr>
        <w:t xml:space="preserve"> (Accessed: 20 November 2025).</w:t>
      </w:r>
    </w:p>
    <w:p w14:paraId="14102854">
      <w:pPr>
        <w:pStyle w:val="32"/>
        <w:numPr>
          <w:ilvl w:val="0"/>
          <w:numId w:val="2"/>
        </w:numPr>
        <w:spacing w:line="360" w:lineRule="auto"/>
        <w:jc w:val="both"/>
        <w:rPr>
          <w:rFonts w:ascii="Arial" w:hAnsi="Arial" w:cs="Arial"/>
        </w:rPr>
      </w:pPr>
      <w:r>
        <w:rPr>
          <w:rFonts w:ascii="Arial" w:hAnsi="Arial" w:cs="Arial"/>
          <w:lang w:val="en-IN"/>
        </w:rPr>
        <w:t xml:space="preserve">GlobalData (2025) ‘The Mean Age in the United Kingdom (2021 – 2029, years)’, </w:t>
      </w:r>
      <w:r>
        <w:rPr>
          <w:rFonts w:ascii="Arial" w:hAnsi="Arial" w:cs="Arial"/>
          <w:i/>
          <w:iCs/>
          <w:lang w:val="en-IN"/>
        </w:rPr>
        <w:t>GlobalData</w:t>
      </w:r>
      <w:r>
        <w:rPr>
          <w:rFonts w:ascii="Arial" w:hAnsi="Arial" w:cs="Arial"/>
          <w:lang w:val="en-IN"/>
        </w:rPr>
        <w:t xml:space="preserve">. Available at: </w:t>
      </w:r>
      <w:r>
        <w:fldChar w:fldCharType="begin"/>
      </w:r>
      <w:r>
        <w:instrText xml:space="preserve"> HYPERLINK "https://www.globaldata.com/data-insights/macroeconomic/the-mean-age-in-united-kingdom-138970/?utm_source=chatgpt.com" \l ":~:text=The%20Mean%20Age%20in%20the,United%20Kingdom%20increased%20by%200.9%25" \t "_new" </w:instrText>
      </w:r>
      <w:r>
        <w:fldChar w:fldCharType="separate"/>
      </w:r>
      <w:r>
        <w:rPr>
          <w:rStyle w:val="13"/>
          <w:rFonts w:ascii="Arial" w:hAnsi="Arial" w:cs="Arial"/>
          <w:lang w:val="en-IN"/>
        </w:rPr>
        <w:t>https://www.globaldata.com/data-insights/macroeconomic/the-mean-age-in-united-kingdom-138970/#:~:text=The%20Mean%20Age%20in%20the,United%20Kingdom%20increased%20by%200.9%25</w:t>
      </w:r>
      <w:r>
        <w:rPr>
          <w:rStyle w:val="13"/>
          <w:rFonts w:ascii="Arial" w:hAnsi="Arial" w:cs="Arial"/>
          <w:lang w:val="en-IN"/>
        </w:rPr>
        <w:fldChar w:fldCharType="end"/>
      </w:r>
      <w:r>
        <w:rPr>
          <w:rFonts w:ascii="Arial" w:hAnsi="Arial" w:cs="Arial"/>
          <w:lang w:val="en-IN"/>
        </w:rPr>
        <w:t xml:space="preserve"> (Accessed: 20 November 2025).</w:t>
      </w:r>
    </w:p>
    <w:p w14:paraId="4AE7DCEE">
      <w:pPr>
        <w:pStyle w:val="32"/>
        <w:numPr>
          <w:ilvl w:val="0"/>
          <w:numId w:val="2"/>
        </w:numPr>
        <w:spacing w:line="360" w:lineRule="auto"/>
        <w:jc w:val="both"/>
        <w:rPr>
          <w:rFonts w:ascii="Arial" w:hAnsi="Arial" w:cs="Arial"/>
        </w:rPr>
      </w:pPr>
      <w:r>
        <w:rPr>
          <w:rFonts w:ascii="Arial" w:hAnsi="Arial" w:cs="Arial"/>
          <w:lang w:val="en-IN"/>
        </w:rPr>
        <w:t xml:space="preserve">GSK plc (2025) ‘GSK continues to advance the future of respiratory medicine and patient care with new data at ATS’, </w:t>
      </w:r>
      <w:r>
        <w:rPr>
          <w:rFonts w:ascii="Arial" w:hAnsi="Arial" w:cs="Arial"/>
          <w:i/>
          <w:iCs/>
          <w:lang w:val="en-IN"/>
        </w:rPr>
        <w:t>GSK</w:t>
      </w:r>
      <w:r>
        <w:rPr>
          <w:rFonts w:ascii="Arial" w:hAnsi="Arial" w:cs="Arial"/>
          <w:lang w:val="en-IN"/>
        </w:rPr>
        <w:t>, 2 May. Available at: https://www.gsk.com/en</w:t>
      </w:r>
      <w:r>
        <w:rPr>
          <w:rFonts w:ascii="Arial" w:hAnsi="Arial" w:cs="Arial"/>
          <w:lang w:val="en-IN"/>
        </w:rPr>
        <w:noBreakHyphen/>
      </w:r>
      <w:r>
        <w:rPr>
          <w:rFonts w:ascii="Arial" w:hAnsi="Arial" w:cs="Arial"/>
          <w:lang w:val="en-IN"/>
        </w:rPr>
        <w:t>gb/media/press</w:t>
      </w:r>
      <w:r>
        <w:rPr>
          <w:rFonts w:ascii="Arial" w:hAnsi="Arial" w:cs="Arial"/>
          <w:lang w:val="en-IN"/>
        </w:rPr>
        <w:noBreakHyphen/>
      </w:r>
      <w:r>
        <w:rPr>
          <w:rFonts w:ascii="Arial" w:hAnsi="Arial" w:cs="Arial"/>
          <w:lang w:val="en-IN"/>
        </w:rPr>
        <w:t>releases/gsk-continues-to-advance-the-future-of-respiratory-medicine/ (Accessed: 20 November 2025).</w:t>
      </w:r>
    </w:p>
    <w:p w14:paraId="3C137C10">
      <w:pPr>
        <w:pStyle w:val="32"/>
        <w:numPr>
          <w:ilvl w:val="0"/>
          <w:numId w:val="2"/>
        </w:numPr>
        <w:spacing w:after="160" w:line="360" w:lineRule="auto"/>
        <w:jc w:val="both"/>
        <w:rPr>
          <w:rFonts w:ascii="Arial" w:hAnsi="Arial" w:cs="Arial"/>
        </w:rPr>
      </w:pPr>
      <w:r>
        <w:rPr>
          <w:rFonts w:ascii="Arial" w:hAnsi="Arial" w:cs="Arial"/>
        </w:rPr>
        <w:t xml:space="preserve">GSK plc (2025) </w:t>
      </w:r>
      <w:r>
        <w:rPr>
          <w:rFonts w:ascii="Arial" w:hAnsi="Arial" w:cs="Arial"/>
          <w:i/>
          <w:iCs/>
        </w:rPr>
        <w:t>GSK pipeline: Research and development overview</w:t>
      </w:r>
      <w:r>
        <w:rPr>
          <w:rFonts w:ascii="Arial" w:hAnsi="Arial" w:cs="Arial"/>
        </w:rPr>
        <w:t xml:space="preserve">, </w:t>
      </w:r>
      <w:r>
        <w:rPr>
          <w:rFonts w:ascii="Arial" w:hAnsi="Arial" w:cs="Arial"/>
          <w:i/>
          <w:iCs/>
        </w:rPr>
        <w:t>GSK</w:t>
      </w:r>
      <w:r>
        <w:rPr>
          <w:rFonts w:ascii="Arial" w:hAnsi="Arial" w:cs="Arial"/>
        </w:rPr>
        <w:t xml:space="preserve">. Available at: </w:t>
      </w:r>
      <w:r>
        <w:fldChar w:fldCharType="begin"/>
      </w:r>
      <w:r>
        <w:instrText xml:space="preserve"> HYPERLINK "https://www.gsk.com/en-gb/innovation/pipeline/" \t "_new" </w:instrText>
      </w:r>
      <w:r>
        <w:fldChar w:fldCharType="separate"/>
      </w:r>
      <w:r>
        <w:rPr>
          <w:rStyle w:val="13"/>
          <w:rFonts w:ascii="Arial" w:hAnsi="Arial" w:cs="Arial"/>
        </w:rPr>
        <w:t>https://www.gsk.com/en-gb/innovation/pipeline/</w:t>
      </w:r>
      <w:r>
        <w:rPr>
          <w:rStyle w:val="13"/>
          <w:rFonts w:ascii="Arial" w:hAnsi="Arial" w:cs="Arial"/>
        </w:rPr>
        <w:fldChar w:fldCharType="end"/>
      </w:r>
      <w:r>
        <w:rPr>
          <w:rFonts w:ascii="Arial" w:hAnsi="Arial" w:cs="Arial"/>
        </w:rPr>
        <w:t xml:space="preserve"> (Accessed: 20 November 2025).</w:t>
      </w:r>
    </w:p>
    <w:p w14:paraId="528B5757">
      <w:pPr>
        <w:pStyle w:val="32"/>
        <w:numPr>
          <w:ilvl w:val="0"/>
          <w:numId w:val="2"/>
        </w:numPr>
        <w:spacing w:line="360" w:lineRule="auto"/>
        <w:jc w:val="both"/>
        <w:rPr>
          <w:rFonts w:ascii="Arial" w:hAnsi="Arial" w:cs="Arial"/>
        </w:rPr>
      </w:pPr>
      <w:r>
        <w:rPr>
          <w:rFonts w:ascii="Arial" w:hAnsi="Arial" w:cs="Arial"/>
        </w:rPr>
        <w:t>Hussien, A., 2021. Systematic literature review on marketing pricing strategies. </w:t>
      </w:r>
      <w:r>
        <w:rPr>
          <w:rFonts w:ascii="Arial" w:hAnsi="Arial" w:cs="Arial"/>
          <w:i/>
          <w:iCs/>
        </w:rPr>
        <w:t>International Journal For Research In Business, Management And Accounting</w:t>
      </w:r>
      <w:r>
        <w:rPr>
          <w:rFonts w:ascii="Arial" w:hAnsi="Arial" w:cs="Arial"/>
        </w:rPr>
        <w:t>, </w:t>
      </w:r>
      <w:r>
        <w:rPr>
          <w:rFonts w:ascii="Arial" w:hAnsi="Arial" w:cs="Arial"/>
          <w:i/>
          <w:iCs/>
        </w:rPr>
        <w:t>7</w:t>
      </w:r>
      <w:r>
        <w:rPr>
          <w:rFonts w:ascii="Arial" w:hAnsi="Arial" w:cs="Arial"/>
        </w:rPr>
        <w:t>(4), pp.1-26.</w:t>
      </w:r>
    </w:p>
    <w:p w14:paraId="46A2832A">
      <w:pPr>
        <w:pStyle w:val="32"/>
        <w:numPr>
          <w:ilvl w:val="0"/>
          <w:numId w:val="2"/>
        </w:numPr>
        <w:spacing w:line="360" w:lineRule="auto"/>
        <w:jc w:val="both"/>
        <w:rPr>
          <w:rFonts w:ascii="Arial" w:hAnsi="Arial" w:cs="Arial"/>
        </w:rPr>
      </w:pPr>
      <w:r>
        <w:rPr>
          <w:rFonts w:ascii="Arial" w:hAnsi="Arial" w:cs="Arial"/>
        </w:rPr>
        <w:t>Makvandi, R., 2024. Analysis of the Impact of Macroeconomic Factors on the Development of Financial Products: Application of the PESTEL Model in Identifying Opportunities and Threats. Transactions on Quantitative Finance and Beyond, 1(2), pp.233-246.</w:t>
      </w:r>
    </w:p>
    <w:p w14:paraId="638EC4F0">
      <w:pPr>
        <w:pStyle w:val="32"/>
        <w:numPr>
          <w:ilvl w:val="0"/>
          <w:numId w:val="2"/>
        </w:numPr>
        <w:spacing w:line="360" w:lineRule="auto"/>
        <w:jc w:val="both"/>
        <w:rPr>
          <w:rFonts w:ascii="Arial" w:hAnsi="Arial" w:cs="Arial"/>
        </w:rPr>
      </w:pPr>
      <w:r>
        <w:rPr>
          <w:rFonts w:ascii="Arial" w:hAnsi="Arial" w:cs="Arial"/>
        </w:rPr>
        <w:t>Nagarajan, K., Sundaram, D.P., and Marimuthu, S.K., 2024. </w:t>
      </w:r>
      <w:r>
        <w:rPr>
          <w:rFonts w:ascii="Arial" w:hAnsi="Arial" w:cs="Arial"/>
          <w:i/>
          <w:iCs/>
        </w:rPr>
        <w:t>Innovations In Pharmaceutical Biotechnology</w:t>
      </w:r>
      <w:r>
        <w:rPr>
          <w:rFonts w:ascii="Arial" w:hAnsi="Arial" w:cs="Arial"/>
        </w:rPr>
        <w:t>. Academic Guru Publishing House.</w:t>
      </w:r>
    </w:p>
    <w:p w14:paraId="77260D7E">
      <w:pPr>
        <w:pStyle w:val="32"/>
        <w:numPr>
          <w:ilvl w:val="0"/>
          <w:numId w:val="2"/>
        </w:numPr>
        <w:spacing w:line="360" w:lineRule="auto"/>
        <w:jc w:val="both"/>
        <w:rPr>
          <w:rFonts w:ascii="Arial" w:hAnsi="Arial" w:cs="Arial"/>
        </w:rPr>
      </w:pPr>
      <w:r>
        <w:rPr>
          <w:rFonts w:ascii="Arial" w:hAnsi="Arial" w:cs="Arial"/>
          <w:lang w:val="en-IN"/>
        </w:rPr>
        <w:t xml:space="preserve">NayaOne (2025). </w:t>
      </w:r>
      <w:r>
        <w:rPr>
          <w:rFonts w:ascii="Arial" w:hAnsi="Arial" w:cs="Arial"/>
          <w:i/>
          <w:iCs/>
          <w:lang w:val="en-IN"/>
        </w:rPr>
        <w:t>Why the UK is the smartest bet for scaling fintech and AI</w:t>
      </w:r>
      <w:r>
        <w:rPr>
          <w:rFonts w:ascii="Arial" w:hAnsi="Arial" w:cs="Arial"/>
          <w:lang w:val="en-IN"/>
        </w:rPr>
        <w:t xml:space="preserve">, NayaOne blog. Available at: </w:t>
      </w:r>
      <w:r>
        <w:fldChar w:fldCharType="begin"/>
      </w:r>
      <w:r>
        <w:instrText xml:space="preserve"> HYPERLINK "https://nayaone.com/blog/why-the-uk-is-the-smartest-bet-for-scaling-fintech-and-ai/?utm_source=chatgpt.com" \t "_new" </w:instrText>
      </w:r>
      <w:r>
        <w:fldChar w:fldCharType="separate"/>
      </w:r>
      <w:r>
        <w:rPr>
          <w:rStyle w:val="13"/>
          <w:rFonts w:ascii="Arial" w:hAnsi="Arial" w:cs="Arial"/>
          <w:lang w:val="en-IN"/>
        </w:rPr>
        <w:t>https://nayaone.com/blog/why-the-uk-is-the-smartest-bet-for-scaling-fintech-and-ai/</w:t>
      </w:r>
      <w:r>
        <w:rPr>
          <w:rStyle w:val="13"/>
          <w:rFonts w:ascii="Arial" w:hAnsi="Arial" w:cs="Arial"/>
          <w:lang w:val="en-IN"/>
        </w:rPr>
        <w:fldChar w:fldCharType="end"/>
      </w:r>
      <w:r>
        <w:rPr>
          <w:rFonts w:ascii="Arial" w:hAnsi="Arial" w:cs="Arial"/>
          <w:lang w:val="en-IN"/>
        </w:rPr>
        <w:t xml:space="preserve"> (Accessed: 20 November 2025).</w:t>
      </w:r>
    </w:p>
    <w:p w14:paraId="09E0809B">
      <w:pPr>
        <w:pStyle w:val="32"/>
        <w:numPr>
          <w:ilvl w:val="0"/>
          <w:numId w:val="2"/>
        </w:numPr>
        <w:spacing w:line="360" w:lineRule="auto"/>
        <w:jc w:val="both"/>
        <w:rPr>
          <w:rFonts w:ascii="Arial" w:hAnsi="Arial" w:cs="Arial"/>
        </w:rPr>
      </w:pPr>
      <w:r>
        <w:rPr>
          <w:rFonts w:ascii="Arial" w:hAnsi="Arial" w:cs="Arial"/>
        </w:rPr>
        <w:t>Peter, I., 2025. RISK MITIGATION STRATEGIES FOR GLOBAL PHARMACEUTICAL SUPPLY CHAINS AMID GEOPOLITICAL TENSIONS.</w:t>
      </w:r>
    </w:p>
    <w:p w14:paraId="04B26818">
      <w:pPr>
        <w:pStyle w:val="32"/>
        <w:numPr>
          <w:ilvl w:val="0"/>
          <w:numId w:val="2"/>
        </w:numPr>
        <w:spacing w:line="360" w:lineRule="auto"/>
        <w:jc w:val="both"/>
        <w:rPr>
          <w:rFonts w:ascii="Arial" w:hAnsi="Arial" w:cs="Arial"/>
        </w:rPr>
      </w:pPr>
      <w:r>
        <w:rPr>
          <w:rFonts w:ascii="Arial" w:hAnsi="Arial" w:cs="Arial"/>
        </w:rPr>
        <w:t xml:space="preserve">Portes, J. (ed.) (2022) </w:t>
      </w:r>
      <w:r>
        <w:rPr>
          <w:rFonts w:ascii="Arial" w:hAnsi="Arial" w:cs="Arial"/>
          <w:i/>
          <w:iCs/>
        </w:rPr>
        <w:t>The Economics of Brexit: What Have We Learned?</w:t>
      </w:r>
      <w:r>
        <w:rPr>
          <w:rFonts w:ascii="Arial" w:hAnsi="Arial" w:cs="Arial"/>
        </w:rPr>
        <w:t xml:space="preserve"> London: Centre for Economic Policy Research Press. Available at: https://cepr.org/system/files/publication-files/168056-the_economics_of_brexit-what-have-we-learned_.pdf (Accessed: 20 November 2025).</w:t>
      </w:r>
    </w:p>
    <w:p w14:paraId="4B501385">
      <w:pPr>
        <w:pStyle w:val="32"/>
        <w:numPr>
          <w:ilvl w:val="0"/>
          <w:numId w:val="2"/>
        </w:numPr>
        <w:spacing w:line="360" w:lineRule="auto"/>
        <w:jc w:val="both"/>
        <w:rPr>
          <w:rFonts w:ascii="Arial" w:hAnsi="Arial" w:cs="Arial"/>
        </w:rPr>
      </w:pPr>
      <w:r>
        <w:rPr>
          <w:rFonts w:ascii="Arial" w:hAnsi="Arial" w:cs="Arial"/>
        </w:rPr>
        <w:t xml:space="preserve">Reuters (2025) ‘US biotech Nabla Bio, Japan’s Takeda expand AI drug design partnership’, </w:t>
      </w:r>
      <w:r>
        <w:rPr>
          <w:rFonts w:ascii="Arial" w:hAnsi="Arial" w:cs="Arial"/>
          <w:i/>
          <w:iCs/>
        </w:rPr>
        <w:t>Reuters</w:t>
      </w:r>
      <w:r>
        <w:rPr>
          <w:rFonts w:ascii="Arial" w:hAnsi="Arial" w:cs="Arial"/>
        </w:rPr>
        <w:t xml:space="preserve">, 14 October. Available at: </w:t>
      </w:r>
      <w:r>
        <w:fldChar w:fldCharType="begin"/>
      </w:r>
      <w:r>
        <w:instrText xml:space="preserve"> HYPERLINK "https://www.reuters.com/business/healthcare-pharmaceuticals/us-biotech-nabla-bio-japans-takeda-expand-ai-drug-design-partnership-2025-10-14/?utm_source=chatgpt.com" \t "_new" </w:instrText>
      </w:r>
      <w:r>
        <w:fldChar w:fldCharType="separate"/>
      </w:r>
      <w:r>
        <w:rPr>
          <w:rStyle w:val="13"/>
          <w:rFonts w:ascii="Arial" w:hAnsi="Arial" w:cs="Arial"/>
        </w:rPr>
        <w:t>https://www.reuters.com/business/healthcare-pharmaceuticals/us-biotech-nabla-bio-japans-takeda-expand-ai-drug-design-partnership-2025-10-14/</w:t>
      </w:r>
      <w:r>
        <w:rPr>
          <w:rStyle w:val="13"/>
          <w:rFonts w:ascii="Arial" w:hAnsi="Arial" w:cs="Arial"/>
        </w:rPr>
        <w:fldChar w:fldCharType="end"/>
      </w:r>
      <w:r>
        <w:rPr>
          <w:rFonts w:ascii="Arial" w:hAnsi="Arial" w:cs="Arial"/>
        </w:rPr>
        <w:t xml:space="preserve"> (Accessed: 20 November 2025).</w:t>
      </w:r>
    </w:p>
    <w:p w14:paraId="5A09B500">
      <w:pPr>
        <w:pStyle w:val="32"/>
        <w:numPr>
          <w:ilvl w:val="0"/>
          <w:numId w:val="2"/>
        </w:numPr>
        <w:spacing w:line="360" w:lineRule="auto"/>
        <w:jc w:val="both"/>
        <w:rPr>
          <w:rFonts w:ascii="Arial" w:hAnsi="Arial" w:cs="Arial"/>
        </w:rPr>
      </w:pPr>
      <w:r>
        <w:rPr>
          <w:rFonts w:ascii="Arial" w:hAnsi="Arial" w:cs="Arial"/>
        </w:rPr>
        <w:t>Samuel, N., 2025. Strategic Management (SM).\</w:t>
      </w:r>
    </w:p>
    <w:p w14:paraId="4171991E">
      <w:pPr>
        <w:pStyle w:val="32"/>
        <w:numPr>
          <w:ilvl w:val="0"/>
          <w:numId w:val="2"/>
        </w:numPr>
        <w:spacing w:line="360" w:lineRule="auto"/>
        <w:jc w:val="both"/>
        <w:rPr>
          <w:rFonts w:ascii="Arial" w:hAnsi="Arial" w:cs="Arial"/>
        </w:rPr>
      </w:pPr>
      <w:r>
        <w:rPr>
          <w:rFonts w:ascii="Arial" w:hAnsi="Arial" w:cs="Arial"/>
        </w:rPr>
        <w:t xml:space="preserve">Santhireswaran, A., Chaudhry, S., Ho, M., Fuller, K., Gaudette, E., Burry, L. &amp; Tadrous, M. (2025) ‘Impact of supply chain disruptions and drug shortages on drug utilisation: a scoping review’, </w:t>
      </w:r>
      <w:r>
        <w:rPr>
          <w:rFonts w:ascii="Arial" w:hAnsi="Arial" w:cs="Arial"/>
          <w:i/>
          <w:iCs/>
        </w:rPr>
        <w:t>Pharmacoepidemiology and Drug Safety</w:t>
      </w:r>
      <w:r>
        <w:rPr>
          <w:rFonts w:ascii="Arial" w:hAnsi="Arial" w:cs="Arial"/>
        </w:rPr>
        <w:t>, 34(7), e70178. Available at: https://www.ncbi.nlm.nih.gov/pmc/articles/PMC12215599/ (Accessed: 20 November 2025).</w:t>
      </w:r>
    </w:p>
    <w:p w14:paraId="3E0BDEC1">
      <w:pPr>
        <w:pStyle w:val="32"/>
        <w:numPr>
          <w:ilvl w:val="0"/>
          <w:numId w:val="2"/>
        </w:numPr>
        <w:spacing w:line="360" w:lineRule="auto"/>
        <w:jc w:val="both"/>
        <w:rPr>
          <w:rFonts w:ascii="Arial" w:hAnsi="Arial" w:cs="Arial"/>
        </w:rPr>
      </w:pPr>
      <w:r>
        <w:rPr>
          <w:rFonts w:ascii="Arial" w:hAnsi="Arial" w:cs="Arial"/>
        </w:rPr>
        <w:t>SARKAR, D.A.K., 2025. Strategic Management: Concepts and Applications.</w:t>
      </w:r>
    </w:p>
    <w:p w14:paraId="686D5732">
      <w:pPr>
        <w:pStyle w:val="32"/>
        <w:numPr>
          <w:ilvl w:val="0"/>
          <w:numId w:val="2"/>
        </w:numPr>
        <w:spacing w:line="360" w:lineRule="auto"/>
        <w:jc w:val="both"/>
        <w:rPr>
          <w:rFonts w:ascii="Arial" w:hAnsi="Arial" w:cs="Arial"/>
        </w:rPr>
      </w:pPr>
      <w:r>
        <w:rPr>
          <w:rFonts w:ascii="Arial" w:hAnsi="Arial" w:cs="Arial"/>
          <w:lang w:val="en-IN"/>
        </w:rPr>
        <w:t xml:space="preserve">Southgate, M. (2016). </w:t>
      </w:r>
      <w:r>
        <w:rPr>
          <w:rFonts w:ascii="Arial" w:hAnsi="Arial" w:cs="Arial"/>
          <w:i/>
          <w:iCs/>
          <w:lang w:val="en-IN"/>
        </w:rPr>
        <w:t>The evolutionary psychology of the country-of-origin effect</w:t>
      </w:r>
      <w:r>
        <w:rPr>
          <w:rFonts w:ascii="Arial" w:hAnsi="Arial" w:cs="Arial"/>
          <w:lang w:val="en-IN"/>
        </w:rPr>
        <w:t xml:space="preserve">. Durham University. Available at: </w:t>
      </w:r>
      <w:r>
        <w:fldChar w:fldCharType="begin"/>
      </w:r>
      <w:r>
        <w:instrText xml:space="preserve"> HYPERLINK "http://etheses.dur.ac.uk/15210/1/The_Evolutionary_Psychology_of_the_Country-of-Origin_Effect.pdf?DMM+" \t "_new" </w:instrText>
      </w:r>
      <w:r>
        <w:fldChar w:fldCharType="separate"/>
      </w:r>
      <w:r>
        <w:rPr>
          <w:rStyle w:val="13"/>
          <w:rFonts w:ascii="Arial" w:hAnsi="Arial" w:cs="Arial"/>
          <w:lang w:val="en-IN"/>
        </w:rPr>
        <w:t>http://etheses.dur.ac.uk/15210/1/The_Evolutionary_Psychology_of_the_Country-of-Origin_Effect.pdf?DMM+</w:t>
      </w:r>
      <w:r>
        <w:rPr>
          <w:rStyle w:val="13"/>
          <w:rFonts w:ascii="Arial" w:hAnsi="Arial" w:cs="Arial"/>
          <w:lang w:val="en-IN"/>
        </w:rPr>
        <w:fldChar w:fldCharType="end"/>
      </w:r>
      <w:r>
        <w:rPr>
          <w:rFonts w:ascii="Arial" w:hAnsi="Arial" w:cs="Arial"/>
          <w:lang w:val="en-IN"/>
        </w:rPr>
        <w:t xml:space="preserve"> (Accessed: 20 November 2025).</w:t>
      </w:r>
    </w:p>
    <w:p w14:paraId="45B70523">
      <w:pPr>
        <w:pStyle w:val="32"/>
        <w:numPr>
          <w:ilvl w:val="0"/>
          <w:numId w:val="2"/>
        </w:numPr>
        <w:spacing w:line="360" w:lineRule="auto"/>
        <w:jc w:val="both"/>
        <w:rPr>
          <w:rFonts w:ascii="Arial" w:hAnsi="Arial" w:cs="Arial"/>
        </w:rPr>
      </w:pPr>
      <w:r>
        <w:rPr>
          <w:rFonts w:ascii="Arial" w:hAnsi="Arial" w:cs="Arial"/>
          <w:lang w:val="en-IN"/>
        </w:rPr>
        <w:t xml:space="preserve">Statista (2025). ‘GDP of the United Kingdom’, </w:t>
      </w:r>
      <w:r>
        <w:rPr>
          <w:rFonts w:ascii="Arial" w:hAnsi="Arial" w:cs="Arial"/>
          <w:i/>
          <w:iCs/>
          <w:lang w:val="en-IN"/>
        </w:rPr>
        <w:t>Statista</w:t>
      </w:r>
      <w:r>
        <w:rPr>
          <w:rFonts w:ascii="Arial" w:hAnsi="Arial" w:cs="Arial"/>
          <w:lang w:val="en-IN"/>
        </w:rPr>
        <w:t xml:space="preserve">. Available at: </w:t>
      </w:r>
      <w:r>
        <w:fldChar w:fldCharType="begin"/>
      </w:r>
      <w:r>
        <w:instrText xml:space="preserve"> HYPERLINK "https://www.statista.com/statistics/281744/gdp-of-the-united-kingdom/?utm_source=chatgpt.com" \l ":~:text=The%20gross%20domestic%20product%20of,to%202.02%20percent%20by%202029" \t "_new" </w:instrText>
      </w:r>
      <w:r>
        <w:fldChar w:fldCharType="separate"/>
      </w:r>
      <w:r>
        <w:rPr>
          <w:rStyle w:val="13"/>
          <w:rFonts w:ascii="Arial" w:hAnsi="Arial" w:cs="Arial"/>
          <w:lang w:val="en-IN"/>
        </w:rPr>
        <w:t>https://www.statista.com/statistics/281744/gdp-of-the-united-kingdom/#:~:text=The%20gross%20domestic%20product%20of,to%202.02%20percent%20by%202029</w:t>
      </w:r>
      <w:r>
        <w:rPr>
          <w:rStyle w:val="13"/>
          <w:rFonts w:ascii="Arial" w:hAnsi="Arial" w:cs="Arial"/>
          <w:lang w:val="en-IN"/>
        </w:rPr>
        <w:fldChar w:fldCharType="end"/>
      </w:r>
      <w:r>
        <w:rPr>
          <w:rFonts w:ascii="Arial" w:hAnsi="Arial" w:cs="Arial"/>
          <w:lang w:val="en-IN"/>
        </w:rPr>
        <w:t xml:space="preserve"> (Accessed: 20 November 2025).</w:t>
      </w:r>
    </w:p>
    <w:p w14:paraId="194CDFBE">
      <w:pPr>
        <w:pStyle w:val="32"/>
        <w:numPr>
          <w:ilvl w:val="0"/>
          <w:numId w:val="2"/>
        </w:numPr>
        <w:spacing w:line="360" w:lineRule="auto"/>
        <w:jc w:val="both"/>
        <w:rPr>
          <w:rFonts w:ascii="Arial" w:hAnsi="Arial" w:cs="Arial"/>
        </w:rPr>
      </w:pPr>
      <w:r>
        <w:rPr>
          <w:rFonts w:ascii="Arial" w:hAnsi="Arial" w:cs="Arial"/>
        </w:rPr>
        <w:t xml:space="preserve">Technology Networks (2025) ‘GSK commits $30 billion to US R&amp;D and Manufacturing’, </w:t>
      </w:r>
      <w:r>
        <w:rPr>
          <w:rFonts w:ascii="Arial" w:hAnsi="Arial" w:cs="Arial"/>
          <w:i/>
          <w:iCs/>
        </w:rPr>
        <w:t>Technology Networks</w:t>
      </w:r>
      <w:r>
        <w:rPr>
          <w:rFonts w:ascii="Arial" w:hAnsi="Arial" w:cs="Arial"/>
        </w:rPr>
        <w:t xml:space="preserve">, 19 September. Available at: </w:t>
      </w:r>
      <w:r>
        <w:fldChar w:fldCharType="begin"/>
      </w:r>
      <w:r>
        <w:instrText xml:space="preserve"> HYPERLINK "https://www.technologynetworks.com/informatics/news/gsk-commits-30-billion-to-us-rd-and-manufacturing-404948?utm_source=chatgpt.com" \t "_new" </w:instrText>
      </w:r>
      <w:r>
        <w:fldChar w:fldCharType="separate"/>
      </w:r>
      <w:r>
        <w:rPr>
          <w:rStyle w:val="13"/>
          <w:rFonts w:ascii="Arial" w:hAnsi="Arial" w:cs="Arial"/>
        </w:rPr>
        <w:t>https://www.technologynetworks.com/informatics/news/gsk-commits-30-billion-to-us-rd-and-manufacturing-404948</w:t>
      </w:r>
      <w:r>
        <w:rPr>
          <w:rStyle w:val="13"/>
          <w:rFonts w:ascii="Arial" w:hAnsi="Arial" w:cs="Arial"/>
        </w:rPr>
        <w:fldChar w:fldCharType="end"/>
      </w:r>
      <w:r>
        <w:rPr>
          <w:rFonts w:ascii="Arial" w:hAnsi="Arial" w:cs="Arial"/>
        </w:rPr>
        <w:t xml:space="preserve"> (Accessed: 20 November 2025).</w:t>
      </w:r>
    </w:p>
    <w:p w14:paraId="35302F33">
      <w:pPr>
        <w:pStyle w:val="32"/>
        <w:numPr>
          <w:ilvl w:val="0"/>
          <w:numId w:val="2"/>
        </w:numPr>
        <w:spacing w:line="360" w:lineRule="auto"/>
        <w:jc w:val="both"/>
        <w:rPr>
          <w:rFonts w:ascii="Arial" w:hAnsi="Arial" w:cs="Arial"/>
        </w:rPr>
      </w:pPr>
      <w:r>
        <w:rPr>
          <w:rFonts w:ascii="Arial" w:hAnsi="Arial" w:cs="Arial"/>
        </w:rPr>
        <w:t xml:space="preserve">The Guardian (2024) ‘Only 65% of UK firms have a plan to cut emissions to net zero, study shows’, </w:t>
      </w:r>
      <w:r>
        <w:rPr>
          <w:rFonts w:ascii="Arial" w:hAnsi="Arial" w:cs="Arial"/>
          <w:i/>
          <w:iCs/>
        </w:rPr>
        <w:t>The Guardian</w:t>
      </w:r>
      <w:r>
        <w:rPr>
          <w:rFonts w:ascii="Arial" w:hAnsi="Arial" w:cs="Arial"/>
        </w:rPr>
        <w:t>, 11 September. Available at:https://www.theguardian.com/business/article/2024/sep/11/only-65-of-uk-firms-have-plan-to-cut-emissions-to-net-zero-study-shows</w:t>
      </w:r>
    </w:p>
    <w:p w14:paraId="148F93B1">
      <w:pPr>
        <w:pStyle w:val="32"/>
        <w:numPr>
          <w:ilvl w:val="0"/>
          <w:numId w:val="2"/>
        </w:numPr>
        <w:spacing w:line="360" w:lineRule="auto"/>
        <w:jc w:val="both"/>
        <w:rPr>
          <w:rFonts w:ascii="Arial" w:hAnsi="Arial" w:cs="Arial"/>
        </w:rPr>
      </w:pPr>
      <w:r>
        <w:rPr>
          <w:rFonts w:ascii="Arial" w:hAnsi="Arial" w:cs="Arial"/>
        </w:rPr>
        <w:t xml:space="preserve">U.S. Food and Drug Administration (2022) </w:t>
      </w:r>
      <w:r>
        <w:rPr>
          <w:rFonts w:ascii="Arial" w:hAnsi="Arial" w:cs="Arial"/>
          <w:i/>
          <w:iCs/>
        </w:rPr>
        <w:t>Modernization in Action 2022</w:t>
      </w:r>
      <w:r>
        <w:rPr>
          <w:rFonts w:ascii="Arial" w:hAnsi="Arial" w:cs="Arial"/>
        </w:rPr>
        <w:t xml:space="preserve"> [PDF]. Available at: </w:t>
      </w:r>
      <w:r>
        <w:fldChar w:fldCharType="begin"/>
      </w:r>
      <w:r>
        <w:instrText xml:space="preserve"> HYPERLINK "https://www.fda.gov/files/about%20fda/published/Modernization_in_Action_2022.pdf?utm_source=chatgpt.com" \t "_new" </w:instrText>
      </w:r>
      <w:r>
        <w:fldChar w:fldCharType="separate"/>
      </w:r>
      <w:r>
        <w:rPr>
          <w:rStyle w:val="13"/>
          <w:rFonts w:ascii="Arial" w:hAnsi="Arial" w:cs="Arial"/>
        </w:rPr>
        <w:t>https://www.fda.gov/files/about%20fda/published/Modernization_in_Action_2022.pdf</w:t>
      </w:r>
      <w:r>
        <w:rPr>
          <w:rStyle w:val="13"/>
          <w:rFonts w:ascii="Arial" w:hAnsi="Arial" w:cs="Arial"/>
        </w:rPr>
        <w:fldChar w:fldCharType="end"/>
      </w:r>
      <w:r>
        <w:rPr>
          <w:rFonts w:ascii="Arial" w:hAnsi="Arial" w:cs="Arial"/>
        </w:rPr>
        <w:t xml:space="preserve"> (Accessed: 20 November 2025).</w:t>
      </w:r>
    </w:p>
    <w:p w14:paraId="6321B0CF">
      <w:pPr>
        <w:pStyle w:val="32"/>
        <w:numPr>
          <w:ilvl w:val="0"/>
          <w:numId w:val="2"/>
        </w:numPr>
        <w:spacing w:line="360" w:lineRule="auto"/>
        <w:jc w:val="both"/>
        <w:rPr>
          <w:rFonts w:ascii="Arial" w:hAnsi="Arial" w:cs="Arial"/>
        </w:rPr>
      </w:pPr>
      <w:r>
        <w:rPr>
          <w:rFonts w:ascii="Arial" w:hAnsi="Arial" w:cs="Arial"/>
        </w:rPr>
        <w:t xml:space="preserve">U.S. Food and Drug Administration (2025). </w:t>
      </w:r>
      <w:r>
        <w:rPr>
          <w:rFonts w:ascii="Arial" w:hAnsi="Arial" w:cs="Arial"/>
          <w:i/>
          <w:iCs/>
        </w:rPr>
        <w:t>Advancing Health Through Innovation: New Drug Therapy Approvals 2024</w:t>
      </w:r>
      <w:r>
        <w:rPr>
          <w:rFonts w:ascii="Arial" w:hAnsi="Arial" w:cs="Arial"/>
        </w:rPr>
        <w:t xml:space="preserve"> [PDF]. Available at: </w:t>
      </w:r>
      <w:r>
        <w:fldChar w:fldCharType="begin"/>
      </w:r>
      <w:r>
        <w:instrText xml:space="preserve"> HYPERLINK "https://www.fda.gov/files/drugs/published/new-drug-therapy-2025-annual-report.pdf?utm_source=chatgpt.com" \t "_new" </w:instrText>
      </w:r>
      <w:r>
        <w:fldChar w:fldCharType="separate"/>
      </w:r>
      <w:r>
        <w:rPr>
          <w:rStyle w:val="13"/>
          <w:rFonts w:ascii="Arial" w:hAnsi="Arial" w:cs="Arial"/>
        </w:rPr>
        <w:t>https://www.fda.gov/files/drugs/published/new-drug-therapy-2025-annual-report.pdf</w:t>
      </w:r>
      <w:r>
        <w:rPr>
          <w:rStyle w:val="13"/>
          <w:rFonts w:ascii="Arial" w:hAnsi="Arial" w:cs="Arial"/>
        </w:rPr>
        <w:fldChar w:fldCharType="end"/>
      </w:r>
      <w:r>
        <w:rPr>
          <w:rFonts w:ascii="Arial" w:hAnsi="Arial" w:cs="Arial"/>
        </w:rPr>
        <w:t xml:space="preserve"> (Accessed: 20 November 2025).</w:t>
      </w:r>
    </w:p>
    <w:p w14:paraId="1E88E84B">
      <w:pPr>
        <w:pStyle w:val="32"/>
        <w:numPr>
          <w:ilvl w:val="0"/>
          <w:numId w:val="2"/>
        </w:numPr>
        <w:spacing w:line="360" w:lineRule="auto"/>
        <w:jc w:val="both"/>
        <w:rPr>
          <w:rFonts w:ascii="Arial" w:hAnsi="Arial" w:cs="Arial"/>
        </w:rPr>
      </w:pPr>
      <w:r>
        <w:rPr>
          <w:rFonts w:ascii="Arial" w:hAnsi="Arial" w:cs="Arial"/>
        </w:rPr>
        <w:t xml:space="preserve">United Kingdom. (2024) </w:t>
      </w:r>
      <w:r>
        <w:rPr>
          <w:rFonts w:ascii="Arial" w:hAnsi="Arial" w:cs="Arial"/>
          <w:i/>
          <w:iCs/>
        </w:rPr>
        <w:t>[Name of Act]</w:t>
      </w:r>
      <w:r>
        <w:rPr>
          <w:rFonts w:ascii="Arial" w:hAnsi="Arial" w:cs="Arial"/>
        </w:rPr>
        <w:t xml:space="preserve">, 2024 c. 13. Available at: </w:t>
      </w:r>
      <w:r>
        <w:fldChar w:fldCharType="begin"/>
      </w:r>
      <w:r>
        <w:instrText xml:space="preserve"> HYPERLINK "https://www.legislation.gov.uk/id/ukpga/2024/13" \t "_new" </w:instrText>
      </w:r>
      <w:r>
        <w:fldChar w:fldCharType="separate"/>
      </w:r>
      <w:r>
        <w:rPr>
          <w:rStyle w:val="13"/>
          <w:rFonts w:ascii="Arial" w:hAnsi="Arial" w:cs="Arial"/>
        </w:rPr>
        <w:t>https://www.legislation.gov.uk/id/ukpga/2024/13</w:t>
      </w:r>
      <w:r>
        <w:rPr>
          <w:rStyle w:val="13"/>
          <w:rFonts w:ascii="Arial" w:hAnsi="Arial" w:cs="Arial"/>
        </w:rPr>
        <w:fldChar w:fldCharType="end"/>
      </w:r>
      <w:r>
        <w:rPr>
          <w:rFonts w:ascii="Arial" w:hAnsi="Arial" w:cs="Arial"/>
        </w:rPr>
        <w:t xml:space="preserve"> (Accessed: 20 November 2025).</w:t>
      </w:r>
    </w:p>
    <w:p w14:paraId="054438BA">
      <w:pPr>
        <w:pStyle w:val="32"/>
        <w:numPr>
          <w:ilvl w:val="0"/>
          <w:numId w:val="2"/>
        </w:numPr>
        <w:spacing w:line="360" w:lineRule="auto"/>
        <w:jc w:val="both"/>
        <w:rPr>
          <w:rFonts w:ascii="Arial" w:hAnsi="Arial" w:cs="Arial"/>
        </w:rPr>
      </w:pPr>
      <w:r>
        <w:rPr>
          <w:rFonts w:ascii="Arial" w:hAnsi="Arial" w:cs="Arial"/>
          <w:lang w:val="en-IN"/>
        </w:rPr>
        <w:t>Zaman, M.H. and Khanna, T., 2021. The cost and evolution of quality at Cipla Ltd., 1935–2016. </w:t>
      </w:r>
      <w:r>
        <w:rPr>
          <w:rFonts w:ascii="Arial" w:hAnsi="Arial" w:cs="Arial"/>
          <w:i/>
          <w:iCs/>
          <w:lang w:val="en-IN"/>
        </w:rPr>
        <w:t>Business History Review</w:t>
      </w:r>
      <w:r>
        <w:rPr>
          <w:rFonts w:ascii="Arial" w:hAnsi="Arial" w:cs="Arial"/>
          <w:lang w:val="en-IN"/>
        </w:rPr>
        <w:t>, </w:t>
      </w:r>
      <w:r>
        <w:rPr>
          <w:rFonts w:ascii="Arial" w:hAnsi="Arial" w:cs="Arial"/>
          <w:i/>
          <w:iCs/>
          <w:lang w:val="en-IN"/>
        </w:rPr>
        <w:t>95</w:t>
      </w:r>
      <w:r>
        <w:rPr>
          <w:rFonts w:ascii="Arial" w:hAnsi="Arial" w:cs="Arial"/>
          <w:lang w:val="en-IN"/>
        </w:rPr>
        <w:t>(2), pp.249-274.</w:t>
      </w:r>
    </w:p>
    <w:p w14:paraId="65E4BD4A">
      <w:pPr>
        <w:spacing w:after="160" w:line="259" w:lineRule="auto"/>
        <w:rPr>
          <w:rFonts w:ascii="Arial" w:hAnsi="Arial" w:cs="Arial"/>
        </w:rPr>
      </w:pPr>
    </w:p>
    <w:p w14:paraId="133EB048">
      <w:pPr>
        <w:rPr>
          <w:rFonts w:ascii="Arial" w:hAnsi="Arial" w:cs="Arial"/>
        </w:rPr>
      </w:pPr>
    </w:p>
    <w:p w14:paraId="66FD6FF4">
      <w:pPr>
        <w:rPr>
          <w:rFonts w:ascii="Arial" w:hAnsi="Arial" w:cs="Arial"/>
        </w:rPr>
      </w:pPr>
    </w:p>
    <w:p w14:paraId="23BCCD84">
      <w:pPr>
        <w:spacing w:after="160" w:line="259" w:lineRule="auto"/>
        <w:rPr>
          <w:rFonts w:ascii="Arial" w:hAnsi="Arial" w:cs="Arial"/>
        </w:rPr>
      </w:pPr>
    </w:p>
    <w:p w14:paraId="1D250DAF">
      <w:pPr>
        <w:rPr>
          <w:rFonts w:ascii="Arial" w:hAnsi="Arial" w:cs="Arial"/>
        </w:rPr>
      </w:pPr>
    </w:p>
    <w:p w14:paraId="080DD867">
      <w:pPr>
        <w:spacing w:line="360" w:lineRule="auto"/>
        <w:jc w:val="both"/>
        <w:rPr>
          <w:rFonts w:ascii="Arial" w:hAnsi="Arial" w:cs="Arial"/>
        </w:rPr>
      </w:pPr>
    </w:p>
    <w:p w14:paraId="2E7547F5">
      <w:pPr>
        <w:spacing w:line="360" w:lineRule="auto"/>
        <w:jc w:val="both"/>
        <w:rPr>
          <w:rFonts w:ascii="Arial" w:hAnsi="Arial" w:cs="Arial"/>
        </w:rPr>
      </w:pPr>
    </w:p>
    <w:p w14:paraId="6683D323">
      <w:pPr>
        <w:spacing w:line="360" w:lineRule="auto"/>
        <w:jc w:val="both"/>
        <w:rPr>
          <w:rFonts w:ascii="Arial" w:hAnsi="Arial" w:cs="Arial"/>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DB2F1B"/>
    <w:multiLevelType w:val="multilevel"/>
    <w:tmpl w:val="18DB2F1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6325FE1"/>
    <w:multiLevelType w:val="multilevel"/>
    <w:tmpl w:val="66325FE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01B"/>
    <w:rsid w:val="0001150E"/>
    <w:rsid w:val="0008298D"/>
    <w:rsid w:val="001442EA"/>
    <w:rsid w:val="00201EA4"/>
    <w:rsid w:val="0020201B"/>
    <w:rsid w:val="00234FF4"/>
    <w:rsid w:val="002904B6"/>
    <w:rsid w:val="002C4FF6"/>
    <w:rsid w:val="002F44FE"/>
    <w:rsid w:val="00356F3B"/>
    <w:rsid w:val="003A755A"/>
    <w:rsid w:val="004C417E"/>
    <w:rsid w:val="005D2818"/>
    <w:rsid w:val="00785235"/>
    <w:rsid w:val="00792EA0"/>
    <w:rsid w:val="00862C10"/>
    <w:rsid w:val="008D6922"/>
    <w:rsid w:val="00937091"/>
    <w:rsid w:val="00954CCB"/>
    <w:rsid w:val="009C46D2"/>
    <w:rsid w:val="00BD1281"/>
    <w:rsid w:val="00C873C8"/>
    <w:rsid w:val="00D13455"/>
    <w:rsid w:val="00D24D85"/>
    <w:rsid w:val="00D46835"/>
    <w:rsid w:val="00D77089"/>
    <w:rsid w:val="00DB76ED"/>
    <w:rsid w:val="00E177F0"/>
    <w:rsid w:val="00E213F6"/>
    <w:rsid w:val="00E41F73"/>
    <w:rsid w:val="00E73D64"/>
    <w:rsid w:val="00E8215A"/>
    <w:rsid w:val="00E84554"/>
    <w:rsid w:val="00EC511E"/>
    <w:rsid w:val="00F35596"/>
    <w:rsid w:val="00F3689B"/>
    <w:rsid w:val="00F857D5"/>
    <w:rsid w:val="5CA5260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9"/>
    <w:qFormat/>
    <w:uiPriority w:val="9"/>
    <w:pPr>
      <w:spacing w:line="360" w:lineRule="auto"/>
      <w:jc w:val="both"/>
      <w:outlineLvl w:val="0"/>
    </w:pPr>
    <w:rPr>
      <w:rFonts w:ascii="Arial" w:hAnsi="Arial" w:cs="Arial"/>
      <w:b/>
      <w:bCs/>
    </w:rPr>
  </w:style>
  <w:style w:type="paragraph" w:styleId="3">
    <w:name w:val="heading 2"/>
    <w:basedOn w:val="1"/>
    <w:next w:val="1"/>
    <w:link w:val="20"/>
    <w:unhideWhenUsed/>
    <w:qFormat/>
    <w:uiPriority w:val="9"/>
    <w:pPr>
      <w:spacing w:line="360" w:lineRule="auto"/>
      <w:jc w:val="both"/>
      <w:outlineLvl w:val="1"/>
    </w:pPr>
    <w:rPr>
      <w:rFonts w:ascii="Arial" w:hAnsi="Arial" w:cs="Arial"/>
      <w:b/>
      <w:bCs/>
      <w:i/>
      <w:iCs/>
      <w:u w:val="single"/>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Hyperlink"/>
    <w:basedOn w:val="11"/>
    <w:unhideWhenUsed/>
    <w:uiPriority w:val="99"/>
    <w:rPr>
      <w:color w:val="0563C1" w:themeColor="hyperlink"/>
      <w:u w:val="single"/>
      <w14:textFill>
        <w14:solidFill>
          <w14:schemeClr w14:val="hlink"/>
        </w14:solidFill>
      </w14:textFill>
    </w:rPr>
  </w:style>
  <w:style w:type="paragraph" w:styleId="14">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5">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paragraph" w:styleId="17">
    <w:name w:val="toc 1"/>
    <w:basedOn w:val="1"/>
    <w:next w:val="1"/>
    <w:autoRedefine/>
    <w:unhideWhenUsed/>
    <w:qFormat/>
    <w:uiPriority w:val="39"/>
    <w:pPr>
      <w:spacing w:after="100"/>
    </w:pPr>
  </w:style>
  <w:style w:type="paragraph" w:styleId="18">
    <w:name w:val="toc 2"/>
    <w:basedOn w:val="1"/>
    <w:next w:val="1"/>
    <w:autoRedefine/>
    <w:unhideWhenUsed/>
    <w:qFormat/>
    <w:uiPriority w:val="39"/>
    <w:pPr>
      <w:spacing w:after="100"/>
      <w:ind w:left="240"/>
    </w:pPr>
  </w:style>
  <w:style w:type="character" w:customStyle="1" w:styleId="19">
    <w:name w:val="Heading 1 Char"/>
    <w:basedOn w:val="11"/>
    <w:link w:val="2"/>
    <w:uiPriority w:val="9"/>
    <w:rPr>
      <w:rFonts w:ascii="Arial" w:hAnsi="Arial" w:cs="Arial"/>
      <w:b/>
      <w:bCs/>
      <w:sz w:val="24"/>
      <w:szCs w:val="24"/>
      <w:lang w:val="en-GB"/>
    </w:rPr>
  </w:style>
  <w:style w:type="character" w:customStyle="1" w:styleId="20">
    <w:name w:val="Heading 2 Char"/>
    <w:basedOn w:val="11"/>
    <w:link w:val="3"/>
    <w:uiPriority w:val="9"/>
    <w:rPr>
      <w:rFonts w:ascii="Arial" w:hAnsi="Arial" w:cs="Arial"/>
      <w:b/>
      <w:bCs/>
      <w:i/>
      <w:iCs/>
      <w:sz w:val="24"/>
      <w:szCs w:val="24"/>
      <w:u w:val="single"/>
      <w:lang w:val="en-GB"/>
    </w:rPr>
  </w:style>
  <w:style w:type="character" w:customStyle="1" w:styleId="21">
    <w:name w:val="Heading 3 Char"/>
    <w:basedOn w:val="11"/>
    <w:link w:val="4"/>
    <w:semiHidden/>
    <w:uiPriority w:val="9"/>
    <w:rPr>
      <w:rFonts w:eastAsiaTheme="majorEastAsia" w:cstheme="majorBidi"/>
      <w:color w:val="2F5597"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2F5597" w:themeColor="accent1" w:themeShade="BF"/>
    </w:rPr>
  </w:style>
  <w:style w:type="character" w:customStyle="1" w:styleId="23">
    <w:name w:val="Heading 5 Char"/>
    <w:basedOn w:val="11"/>
    <w:link w:val="6"/>
    <w:semiHidden/>
    <w:uiPriority w:val="9"/>
    <w:rPr>
      <w:rFonts w:eastAsiaTheme="majorEastAsia" w:cstheme="majorBidi"/>
      <w:color w:val="2F5597"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6"/>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4"/>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2F5597" w:themeColor="accent1" w:themeShade="BF"/>
    </w:rPr>
  </w:style>
  <w:style w:type="paragraph" w:styleId="34">
    <w:name w:val="Intense Quote"/>
    <w:basedOn w:val="1"/>
    <w:next w:val="1"/>
    <w:link w:val="3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5">
    <w:name w:val="Intense Quote Char"/>
    <w:basedOn w:val="11"/>
    <w:link w:val="34"/>
    <w:qFormat/>
    <w:uiPriority w:val="30"/>
    <w:rPr>
      <w:i/>
      <w:iCs/>
      <w:color w:val="2F5597" w:themeColor="accent1" w:themeShade="BF"/>
    </w:rPr>
  </w:style>
  <w:style w:type="character" w:customStyle="1" w:styleId="36">
    <w:name w:val="Intense Reference"/>
    <w:basedOn w:val="11"/>
    <w:qFormat/>
    <w:uiPriority w:val="32"/>
    <w:rPr>
      <w:b/>
      <w:bCs/>
      <w:smallCaps/>
      <w:color w:val="2F5597" w:themeColor="accent1" w:themeShade="BF"/>
      <w:spacing w:val="5"/>
    </w:rPr>
  </w:style>
  <w:style w:type="table" w:customStyle="1" w:styleId="37">
    <w:name w:val="Grid Table 1 Light"/>
    <w:basedOn w:val="12"/>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8">
    <w:name w:val="Grid Table 4 Accent 2"/>
    <w:basedOn w:val="12"/>
    <w:qFormat/>
    <w:uiPriority w:val="49"/>
    <w:pPr>
      <w:spacing w:after="0" w:line="240" w:lineRule="auto"/>
    </w:pPr>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cPr>
        <w:tcBorders>
          <w:top w:val="double" w:color="ED7D31" w:themeColor="accent2"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paragraph" w:customStyle="1" w:styleId="39">
    <w:name w:val="TOC Heading"/>
    <w:basedOn w:val="2"/>
    <w:next w:val="1"/>
    <w:unhideWhenUsed/>
    <w:qFormat/>
    <w:uiPriority w:val="39"/>
    <w:pPr>
      <w:keepNext/>
      <w:keepLines/>
      <w:spacing w:before="24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473A9-5DC0-4597-97EA-C15C8827D7D4}">
  <ds:schemaRefs/>
</ds:datastoreItem>
</file>

<file path=docProps/app.xml><?xml version="1.0" encoding="utf-8"?>
<Properties xmlns="http://schemas.openxmlformats.org/officeDocument/2006/extended-properties" xmlns:vt="http://schemas.openxmlformats.org/officeDocument/2006/docPropsVTypes">
  <Template>Normal</Template>
  <Pages>15</Pages>
  <Words>3756</Words>
  <Characters>25283</Characters>
  <Lines>766</Lines>
  <Paragraphs>226</Paragraphs>
  <TotalTime>7</TotalTime>
  <ScaleCrop>false</ScaleCrop>
  <LinksUpToDate>false</LinksUpToDate>
  <CharactersWithSpaces>28813</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2025-11-18T18:15:00Z</dcterms:created>
  <dc:creator>saptarshi pal</dc:creator>
  <cp:lastModifiedBy>Abhi Patel</cp:lastModifiedBy>
  <dcterms:modified xsi:type="dcterms:W3CDTF">2025-11-20T21:32:11Z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eba1b30b-9ac4-4d86-adf4-b51fe180e2f1</vt:lpwstr>
  </property>
  <property fmtid="{D5CDD505-2E9C-101B-9397-08002B2CF9AE}" pid="3" name="KSOProductBuildVer">
    <vt:lpwstr>1033-12.2.0.23155</vt:lpwstr>
  </property>
  <property fmtid="{D5CDD505-2E9C-101B-9397-08002B2CF9AE}" pid="4" name="ICV">
    <vt:lpwstr>E5F8A538E888485AB993623E8E9AF8FB_12</vt:lpwstr>
  </property>
</Properties>
</file>