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5598D" w14:textId="77777777" w:rsidR="002C6FFA" w:rsidRDefault="000D525A">
      <w:pPr>
        <w:rPr>
          <w:sz w:val="28"/>
          <w:szCs w:val="28"/>
        </w:rPr>
      </w:pPr>
      <w:r>
        <w:rPr>
          <w:sz w:val="28"/>
          <w:szCs w:val="28"/>
        </w:rPr>
        <w:t>Learning Log</w:t>
      </w:r>
    </w:p>
    <w:p w14:paraId="01097B99" w14:textId="77777777" w:rsidR="002C6FFA" w:rsidRPr="002F126E" w:rsidRDefault="000D525A">
      <w:pPr>
        <w:rPr>
          <w:u w:val="single"/>
        </w:rPr>
      </w:pPr>
      <w:r w:rsidRPr="002F126E">
        <w:rPr>
          <w:u w:val="single"/>
        </w:rPr>
        <w:t>Scripture as an Ethical Source:</w:t>
      </w:r>
    </w:p>
    <w:p w14:paraId="63D75C58" w14:textId="700C4161" w:rsidR="002C6FFA" w:rsidRDefault="000D525A">
      <w:r>
        <w:t>Both Christianity and Islam place significance on scripture as an ethical source. Within Christianity the Bible has three basic models that provide the basis for ethics, these are the obedience of God’s will, natural law, and the imitation of God.</w:t>
      </w:r>
      <w:r>
        <w:rPr>
          <w:rStyle w:val="FootnoteReference"/>
        </w:rPr>
        <w:footnoteReference w:id="1"/>
      </w:r>
      <w:r>
        <w:t xml:space="preserve"> Each of the basic models help to shape how someone is able to come to an ethical decision by utilizing the Bible. Like the Bible, the Qur’an can also be considered to have three main basic ideas to help understand the ethics presented within </w:t>
      </w:r>
      <w:r w:rsidR="31F6D506">
        <w:t>it:</w:t>
      </w:r>
      <w:r>
        <w:t xml:space="preserve"> </w:t>
      </w:r>
      <w:proofErr w:type="spellStart"/>
      <w:r w:rsidRPr="7B6D22DF">
        <w:rPr>
          <w:i/>
          <w:iCs/>
        </w:rPr>
        <w:t>iman</w:t>
      </w:r>
      <w:proofErr w:type="spellEnd"/>
      <w:r>
        <w:t xml:space="preserve"> (belief), </w:t>
      </w:r>
      <w:r w:rsidRPr="7B6D22DF">
        <w:rPr>
          <w:i/>
          <w:iCs/>
        </w:rPr>
        <w:t>Islam</w:t>
      </w:r>
      <w:r>
        <w:t xml:space="preserve"> (submission), and </w:t>
      </w:r>
      <w:proofErr w:type="spellStart"/>
      <w:r w:rsidRPr="7B6D22DF">
        <w:rPr>
          <w:i/>
          <w:iCs/>
        </w:rPr>
        <w:t>taqwa</w:t>
      </w:r>
      <w:proofErr w:type="spellEnd"/>
      <w:r w:rsidRPr="7B6D22DF">
        <w:rPr>
          <w:i/>
          <w:iCs/>
        </w:rPr>
        <w:t xml:space="preserve"> </w:t>
      </w:r>
      <w:r>
        <w:t>(piety).</w:t>
      </w:r>
      <w:r>
        <w:rPr>
          <w:rStyle w:val="FootnoteReference"/>
        </w:rPr>
        <w:footnoteReference w:id="2"/>
      </w:r>
      <w:r>
        <w:t xml:space="preserve">  </w:t>
      </w:r>
    </w:p>
    <w:p w14:paraId="57FE8BE9" w14:textId="2D491A03" w:rsidR="002C6FFA" w:rsidRDefault="000D525A">
      <w:r>
        <w:t>Despite the basic similarity between the Qur’an and the Bible, there are however a number of intrinsic differences between the scriptures</w:t>
      </w:r>
      <w:r w:rsidR="710847E6">
        <w:t>,</w:t>
      </w:r>
      <w:r>
        <w:t xml:space="preserve"> that result in Christians and Muslims using different techniques when </w:t>
      </w:r>
      <w:r w:rsidR="7086E192">
        <w:t>consulting</w:t>
      </w:r>
      <w:r>
        <w:t xml:space="preserve"> scripture to come to an ethical decision. The first of these differences is the length of the two scriptures. The Qur’an is significantly shorter than even just the New Testament of the Bible, being approximately the same size as the Gospels. As a consequence of the length of the scripture it results in a difference in the way that Muslims and Christians have to read and apply the teachings of scripture. For example, within the Bible it is likely that a Christian will be able to find and apply a teaching or narrative to their own situation to come to an ethical decision. However, it is unlikely that a Muslim would find it as easy to find a narrative that easily applies to their own situation. </w:t>
      </w:r>
    </w:p>
    <w:p w14:paraId="5B4A5D2F" w14:textId="3B2749B6" w:rsidR="002C6FFA" w:rsidRDefault="000D525A">
      <w:r>
        <w:t>A further difference between the Bible and the Qur’an is the method in which the scripture was collected together. This results in an intrinsic difference between how Christians and Muslims read their scripture. The main difference between how the scriptures were collected was when the scripture was written in connection to when the Prophet was alive. For example, there were efforts to record, both orally through memory, and by writing out parts of the Qur’an as it was revealed to Muhammad. In contrast to this, the Gospel of Mark is dated around 70CE,</w:t>
      </w:r>
      <w:r>
        <w:rPr>
          <w:rStyle w:val="FootnoteReference"/>
        </w:rPr>
        <w:footnoteReference w:id="3"/>
      </w:r>
      <w:r>
        <w:t xml:space="preserve">  with the Old Testament of the Bible being written much earlier than this. The difference in dating between the Old and New Testament has also led to contradictions between the two halves of the Bible, which is significant as it means that more individual interpretation is required within Christianity to decide what teaching </w:t>
      </w:r>
      <w:r w:rsidR="01B9AED9">
        <w:t>Christians</w:t>
      </w:r>
      <w:r>
        <w:t xml:space="preserve"> believe </w:t>
      </w:r>
      <w:r w:rsidR="711CC26A">
        <w:t>is</w:t>
      </w:r>
      <w:r>
        <w:t xml:space="preserve"> the Will of God, for example the teaching of </w:t>
      </w:r>
      <w:r w:rsidRPr="7B6D22DF">
        <w:rPr>
          <w:i/>
          <w:iCs/>
        </w:rPr>
        <w:t>agape</w:t>
      </w:r>
      <w:r>
        <w:t xml:space="preserve"> that is preached by Jesus in the New Testament compared to teaching such as “fracture for a fracture, eye for eye, tooth for tooth. As he has injured the other, so he is to be injured” (Lev. 24:20). Even though contradictions in teachings in scripture is not limited to the Bible, due to the nature of the Qur’an any contradiction does not require as much consideration. This is because the Qur’an is a historical text which reports Muhammad's  journey and as he receives the Revelations, although the Qur’an is not in chronological order. Therefore, unlike in the Bible, as long as someone knows what order the </w:t>
      </w:r>
      <w:r w:rsidRPr="7B6D22DF">
        <w:rPr>
          <w:i/>
          <w:iCs/>
        </w:rPr>
        <w:t>sura</w:t>
      </w:r>
      <w:r>
        <w:t xml:space="preserve">s are revealed then they are able to understand any change in the teaching. </w:t>
      </w:r>
    </w:p>
    <w:p w14:paraId="4EE5B15C" w14:textId="0C9C85BC" w:rsidR="002C6FFA" w:rsidRDefault="000D525A">
      <w:r>
        <w:t>Another difference between the two scriptures, and perhaps the most significan</w:t>
      </w:r>
      <w:r w:rsidR="1130F6FE">
        <w:t>t</w:t>
      </w:r>
      <w:r>
        <w:t xml:space="preserve">, is how the nature of scripture is considered. This is </w:t>
      </w:r>
      <w:r w:rsidR="49F8384C">
        <w:t>because</w:t>
      </w:r>
      <w:r>
        <w:t xml:space="preserve"> the Bible is considered to be the teaching</w:t>
      </w:r>
      <w:r w:rsidR="078FF8DB">
        <w:t>s</w:t>
      </w:r>
      <w:r>
        <w:t xml:space="preserve"> of God that are delivered through different Prophets, primarily the teachings and actions of Jesus that is recalled and written by a number of different authors. In comparison to this</w:t>
      </w:r>
      <w:r w:rsidR="28A5BCE6">
        <w:t>,</w:t>
      </w:r>
      <w:r>
        <w:t xml:space="preserve"> Muslims consider the Qur’an to be the direct and unchanged word of God, with no human involvement. The difference in how scripture is viewed in each religion has a significant impact in how scripture is used as an ethical </w:t>
      </w:r>
      <w:r>
        <w:lastRenderedPageBreak/>
        <w:t>source</w:t>
      </w:r>
      <w:r w:rsidR="28C1B864">
        <w:t>,</w:t>
      </w:r>
      <w:r>
        <w:t xml:space="preserve"> as there is room for more interpretation of teaching in the Bible compared to the Qur’an when considering ethical decisions. </w:t>
      </w:r>
    </w:p>
    <w:p w14:paraId="5CD1F5BB" w14:textId="77777777" w:rsidR="002C6FFA" w:rsidRPr="002F126E" w:rsidRDefault="000D525A">
      <w:pPr>
        <w:rPr>
          <w:u w:val="single"/>
        </w:rPr>
      </w:pPr>
      <w:r w:rsidRPr="002F126E">
        <w:rPr>
          <w:u w:val="single"/>
        </w:rPr>
        <w:t>Tradition as an Ethical Source:</w:t>
      </w:r>
    </w:p>
    <w:p w14:paraId="7DCCE291" w14:textId="77777777" w:rsidR="002C6FFA" w:rsidRDefault="000D525A">
      <w:r>
        <w:t xml:space="preserve">Within Islam, tradition can be seen throughout the </w:t>
      </w:r>
      <w:r w:rsidRPr="7B6D22DF">
        <w:rPr>
          <w:i/>
          <w:iCs/>
        </w:rPr>
        <w:t>Sunnah</w:t>
      </w:r>
      <w:r>
        <w:t xml:space="preserve"> and the </w:t>
      </w:r>
      <w:r w:rsidRPr="7B6D22DF">
        <w:rPr>
          <w:i/>
          <w:iCs/>
        </w:rPr>
        <w:t>Hadith.</w:t>
      </w:r>
      <w:r>
        <w:t xml:space="preserve"> The Sunnah includes the traditions of the Prophet according to scholars of the Hadith, showing the way in which Muhammad used to live. The Hadith includes the sayings, actions, tacit approvals, and </w:t>
      </w:r>
      <w:proofErr w:type="spellStart"/>
      <w:r w:rsidRPr="7B6D22DF">
        <w:rPr>
          <w:i/>
          <w:iCs/>
        </w:rPr>
        <w:t>seerah</w:t>
      </w:r>
      <w:proofErr w:type="spellEnd"/>
      <w:r>
        <w:t xml:space="preserve"> (biography), which allows readers to use tradition, by following in the example of Muhammad, to be able to come to an ethical decision. Tradition therefore has a significant impact within Islam when there is an ethical dilemma as there is a reliable source, with a chain of narrators (</w:t>
      </w:r>
      <w:r w:rsidRPr="7B6D22DF">
        <w:rPr>
          <w:i/>
          <w:iCs/>
        </w:rPr>
        <w:t>isnad</w:t>
      </w:r>
      <w:r>
        <w:t xml:space="preserve">), to what Muhammad would have done or suggested someone to do in a similar situation. </w:t>
      </w:r>
    </w:p>
    <w:p w14:paraId="381CDA80" w14:textId="4FF8910C" w:rsidR="002C6FFA" w:rsidRDefault="000D525A">
      <w:r>
        <w:t xml:space="preserve">This emphasis on historical tradition is different to the role of tradition in Christianity. Within Christianity the importance that is connected to tradition reflects the historical difference between different groups. The appeal towards tradition is more characteristic of Catholicism, with applying to Church Fathers (such as Augustine), encyclicals, and papal </w:t>
      </w:r>
      <w:proofErr w:type="gramStart"/>
      <w:r>
        <w:t>bulls</w:t>
      </w:r>
      <w:proofErr w:type="gramEnd"/>
      <w:r>
        <w:t xml:space="preserve"> issues by Popes. One example of this would be the</w:t>
      </w:r>
      <w:r w:rsidRPr="7B6D22DF">
        <w:rPr>
          <w:i/>
          <w:iCs/>
        </w:rPr>
        <w:t xml:space="preserve"> Documents of </w:t>
      </w:r>
      <w:proofErr w:type="gramStart"/>
      <w:r w:rsidRPr="7B6D22DF">
        <w:rPr>
          <w:i/>
          <w:iCs/>
        </w:rPr>
        <w:t>Nostra</w:t>
      </w:r>
      <w:proofErr w:type="gramEnd"/>
      <w:r w:rsidRPr="7B6D22DF">
        <w:rPr>
          <w:i/>
          <w:iCs/>
        </w:rPr>
        <w:t xml:space="preserve"> Aetate</w:t>
      </w:r>
      <w:r>
        <w:t xml:space="preserve"> (1962-1965).</w:t>
      </w:r>
      <w:r w:rsidR="00604F3F">
        <w:rPr>
          <w:rStyle w:val="FootnoteReference"/>
        </w:rPr>
        <w:footnoteReference w:id="4"/>
      </w:r>
      <w:r>
        <w:t xml:space="preserve"> However, having a living tradition as a method of ethical source does raise questions </w:t>
      </w:r>
      <w:r w:rsidR="2FBB8DD4">
        <w:t>regarding</w:t>
      </w:r>
      <w:r>
        <w:t xml:space="preserve"> what </w:t>
      </w:r>
      <w:r w:rsidR="29D92992">
        <w:t xml:space="preserve">is </w:t>
      </w:r>
      <w:r>
        <w:t>classe</w:t>
      </w:r>
      <w:r w:rsidR="2F3E9ECF">
        <w:t>d</w:t>
      </w:r>
      <w:r>
        <w:t xml:space="preserve"> as tradition and therefore what is the ‘right’ tradition to follow</w:t>
      </w:r>
      <w:r w:rsidR="7D2987DF">
        <w:t>.</w:t>
      </w:r>
    </w:p>
    <w:p w14:paraId="45F723DC" w14:textId="4F0D07EA" w:rsidR="002C6FFA" w:rsidRDefault="000D525A">
      <w:r>
        <w:t>This difference of having a more fixed tradition within Islam, compared to the ‘living’ tradition within Christianity, highlights a further difference in how the two religions use a method of ethical decision in different ways. On the surface, it would appear that the Islamic tradition that relies on the Sunnah and the Hadith provide</w:t>
      </w:r>
      <w:r w:rsidR="474C4F3A">
        <w:t>s</w:t>
      </w:r>
      <w:r>
        <w:t xml:space="preserve"> a simpler </w:t>
      </w:r>
      <w:r w:rsidR="59FBE044">
        <w:t>way</w:t>
      </w:r>
      <w:r>
        <w:t xml:space="preserve"> to use tradition as a method of making an ethical decision as an individual can use a source of writing to refer to, which can provide them with an answer to how they should act in a certain situation. Whereas in Christianity, there are many different, and sometimes contradicting, sources of where an individual can access different traditions to be able to come to an ethical decision. Despite this, there can also be benefits to having a more flexible tradition that can adjust to different, modern ethical issues such as ethical dilemmas that occur in medicine or science. By having space to allow in changes in tradition there is space for growth of ideas within the religious community. </w:t>
      </w:r>
    </w:p>
    <w:p w14:paraId="35279413" w14:textId="019653DA" w:rsidR="002C6FFA" w:rsidRDefault="000D525A">
      <w:r>
        <w:t xml:space="preserve">A further </w:t>
      </w:r>
      <w:r w:rsidR="55A8A1D3">
        <w:t>consideration</w:t>
      </w:r>
      <w:r>
        <w:t xml:space="preserve"> that could be raised when using tradition as a source of moral guidance is the issue of authority. This is especially relevant within Christianity, specifically Catholicism, where there is a single person that has direct influence over the community and what is and is not considered tradition in that community. This can be seen as problematic as the Pope is considered to be infallible when talking in encyclicals or papal bulls, </w:t>
      </w:r>
      <w:r w:rsidR="5EC13257">
        <w:t>which</w:t>
      </w:r>
      <w:r>
        <w:t xml:space="preserve"> means that any ethical decisions the Pope pronounces in such writings is considered to be the will of God and thus the ‘moral’ thing to do. This can therefore be seen as problematic as it means that there is an opportunity for an abuse of power.  </w:t>
      </w:r>
    </w:p>
    <w:p w14:paraId="25DC5A79" w14:textId="2E84895E" w:rsidR="002C6FFA" w:rsidRDefault="000D525A">
      <w:r>
        <w:t xml:space="preserve">The way that tradition is made within Islam is different to that set within Christianity. This is because within Islam there is considered to be a set tradition, as shown within the Hadith. In addition to this any new Hadith needs to be shown to be reliable and approved by a number of different scholars. Additionally, the teachings of the Hadith need to be seen to match with the teachings of the Qur’an. Tradition is therefore important within Islamic ethics as it can provide guidance on certain ethical dilemmas where scripture is not able to do so, with teachings on a number of different issues, such </w:t>
      </w:r>
      <w:r>
        <w:lastRenderedPageBreak/>
        <w:t>as divorce, abortion, or the death penalty, providing situations where such actions are obligatory (</w:t>
      </w:r>
      <w:proofErr w:type="spellStart"/>
      <w:r>
        <w:rPr>
          <w:i/>
          <w:iCs/>
        </w:rPr>
        <w:t>fardh</w:t>
      </w:r>
      <w:proofErr w:type="spellEnd"/>
      <w:r>
        <w:t>), indifferent (</w:t>
      </w:r>
      <w:proofErr w:type="spellStart"/>
      <w:r>
        <w:rPr>
          <w:i/>
          <w:iCs/>
        </w:rPr>
        <w:t>mubah</w:t>
      </w:r>
      <w:proofErr w:type="spellEnd"/>
      <w:r>
        <w:t>), or forbidden (</w:t>
      </w:r>
      <w:r>
        <w:rPr>
          <w:i/>
          <w:iCs/>
        </w:rPr>
        <w:t>haram</w:t>
      </w:r>
      <w:r>
        <w:t xml:space="preserve">). </w:t>
      </w:r>
    </w:p>
    <w:p w14:paraId="11878E08" w14:textId="77777777" w:rsidR="002C6FFA" w:rsidRPr="002F126E" w:rsidRDefault="000D525A">
      <w:pPr>
        <w:rPr>
          <w:u w:val="single"/>
        </w:rPr>
      </w:pPr>
      <w:r w:rsidRPr="002F126E">
        <w:rPr>
          <w:u w:val="single"/>
        </w:rPr>
        <w:t>Reason as an Ethical Source:</w:t>
      </w:r>
    </w:p>
    <w:p w14:paraId="1860739E" w14:textId="7A6E13DA" w:rsidR="002C6FFA" w:rsidRDefault="000D525A">
      <w:r>
        <w:t>Christianity and Islam place different emphasis on the importance of reason as an ethical source. Within Islam, there is more importance on the value of independen</w:t>
      </w:r>
      <w:r w:rsidR="3280242D">
        <w:t>t</w:t>
      </w:r>
      <w:r>
        <w:t xml:space="preserve"> reasoning when coming to an ethical decision with </w:t>
      </w:r>
      <w:r w:rsidRPr="7B6D22DF">
        <w:rPr>
          <w:i/>
          <w:iCs/>
        </w:rPr>
        <w:t xml:space="preserve">ijtihad </w:t>
      </w:r>
      <w:r>
        <w:t xml:space="preserve">(independent reasoning) being one of the sources of ethics, along with </w:t>
      </w:r>
      <w:proofErr w:type="spellStart"/>
      <w:r w:rsidRPr="7B6D22DF">
        <w:rPr>
          <w:i/>
          <w:iCs/>
        </w:rPr>
        <w:t>urf</w:t>
      </w:r>
      <w:proofErr w:type="spellEnd"/>
      <w:r w:rsidRPr="7B6D22DF">
        <w:rPr>
          <w:i/>
          <w:iCs/>
        </w:rPr>
        <w:t xml:space="preserve">’ </w:t>
      </w:r>
      <w:r>
        <w:t xml:space="preserve">(local custom), </w:t>
      </w:r>
      <w:proofErr w:type="spellStart"/>
      <w:r w:rsidRPr="7B6D22DF">
        <w:rPr>
          <w:i/>
          <w:iCs/>
        </w:rPr>
        <w:t>maslaha</w:t>
      </w:r>
      <w:proofErr w:type="spellEnd"/>
      <w:r w:rsidRPr="7B6D22DF">
        <w:rPr>
          <w:i/>
          <w:iCs/>
        </w:rPr>
        <w:t xml:space="preserve"> </w:t>
      </w:r>
      <w:r>
        <w:t xml:space="preserve">(public interest), and </w:t>
      </w:r>
      <w:proofErr w:type="spellStart"/>
      <w:r w:rsidRPr="7B6D22DF">
        <w:rPr>
          <w:i/>
          <w:iCs/>
        </w:rPr>
        <w:t>istihsan</w:t>
      </w:r>
      <w:proofErr w:type="spellEnd"/>
      <w:r w:rsidRPr="7B6D22DF">
        <w:rPr>
          <w:i/>
          <w:iCs/>
        </w:rPr>
        <w:t xml:space="preserve"> </w:t>
      </w:r>
      <w:r>
        <w:t>(avoiding hardship). In contrast to the structured use of reason within Islam there is not the equivalent within Christianity</w:t>
      </w:r>
      <w:r w:rsidR="12415F70">
        <w:t>,</w:t>
      </w:r>
      <w:r>
        <w:t xml:space="preserve"> because within Christianity independent reason does not have set role within making any ethical decisions</w:t>
      </w:r>
      <w:r w:rsidR="11D296C6">
        <w:t>.</w:t>
      </w:r>
      <w:r>
        <w:t xml:space="preserve"> </w:t>
      </w:r>
      <w:r w:rsidR="4326541A">
        <w:t>S</w:t>
      </w:r>
      <w:r>
        <w:t>ome Christian theologians plac</w:t>
      </w:r>
      <w:r w:rsidR="6463AEEC">
        <w:t>e</w:t>
      </w:r>
      <w:r>
        <w:t xml:space="preserve"> significant importance on the use of reason, such as Aquinas with his theory of Natura</w:t>
      </w:r>
      <w:r w:rsidR="50777BF7">
        <w:t>l</w:t>
      </w:r>
      <w:r>
        <w:t xml:space="preserve"> Law as a source of ethics, whereas other theologians criticise the use of reason, such as Karl Barth as he </w:t>
      </w:r>
      <w:r w:rsidR="449D49FB">
        <w:t>questions whe</w:t>
      </w:r>
      <w:r>
        <w:t>t</w:t>
      </w:r>
      <w:r w:rsidR="449D49FB">
        <w:t>her</w:t>
      </w:r>
      <w:r>
        <w:t xml:space="preserve"> humans are able to </w:t>
      </w:r>
      <w:r w:rsidR="40F41992">
        <w:t xml:space="preserve">use </w:t>
      </w:r>
      <w:r>
        <w:t>reason to positively serve as an independent source of Christian ethical truth</w:t>
      </w:r>
      <w:r w:rsidR="2FB4F873">
        <w:t>,</w:t>
      </w:r>
      <w:r>
        <w:t xml:space="preserve"> as a result of the Fall.</w:t>
      </w:r>
      <w:r>
        <w:rPr>
          <w:rStyle w:val="FootnoteReference"/>
        </w:rPr>
        <w:footnoteReference w:id="5"/>
      </w:r>
      <w:r>
        <w:t xml:space="preserve"> The significant di</w:t>
      </w:r>
      <w:r w:rsidR="76AD7CBA">
        <w:t>versity</w:t>
      </w:r>
      <w:r>
        <w:t xml:space="preserve"> between various theological views on the role of reason therefore makes it difficult to identify the exact role that reason plays within Christian ethics. This shows a significant difference in the way that Islam and Christianity use reason as an ethical source, and therefore how each religion comes to an ethical decision</w:t>
      </w:r>
      <w:r w:rsidR="7823351D">
        <w:t>,</w:t>
      </w:r>
      <w:r>
        <w:t xml:space="preserve"> as within Islam, even if reason is not the main method of coming to an ethical decision it is likely that reason will contribute to that decision, whereas in Christianity reason may not contribute at all. </w:t>
      </w:r>
    </w:p>
    <w:p w14:paraId="47403C68" w14:textId="50941CC6" w:rsidR="002C6FFA" w:rsidRDefault="000D525A">
      <w:r>
        <w:t>A further variation in how reason is used as an ethical source is the way that reason is applied. This is because within Christianity, when reason is used it is applied on a very individual level, with one person using their own reason to come to an ethical decision by themselves. This is highlighted within Aquinas’ Natural Law, which suggests that any principles of right and wrong can be seen in the natural world and so by observing and paying attention to the natural world anyone can use their own reason to conclude what is ethically ‘good’ or ‘bad’.</w:t>
      </w:r>
      <w:r w:rsidR="00DD3B76">
        <w:rPr>
          <w:rStyle w:val="FootnoteReference"/>
        </w:rPr>
        <w:footnoteReference w:id="6"/>
      </w:r>
      <w:r>
        <w:t xml:space="preserve"> In contrast to this, within Islam there are </w:t>
      </w:r>
      <w:r w:rsidRPr="7B6D22DF">
        <w:rPr>
          <w:i/>
          <w:iCs/>
        </w:rPr>
        <w:t xml:space="preserve">mujtahids </w:t>
      </w:r>
      <w:r>
        <w:t xml:space="preserve">who will have a high level of knowledge and understanding of the Qur’an and the Sunnah, and that it is this knowledge of the higher categorised ethical sources that will allow an individual to come to the correct ethical decision. However, even though the </w:t>
      </w:r>
      <w:r w:rsidRPr="7B6D22DF">
        <w:rPr>
          <w:i/>
          <w:iCs/>
        </w:rPr>
        <w:t xml:space="preserve">mujtahid </w:t>
      </w:r>
      <w:r>
        <w:t>had a high level of knowledge, this does not mean that they are not going to make an error in their reasoning as they are applying human reasoning to God</w:t>
      </w:r>
      <w:r w:rsidR="5AEF02B2">
        <w:t>’</w:t>
      </w:r>
      <w:r>
        <w:t xml:space="preserve">s commands. This awareness of the possibility of mistakes can also be seen within the </w:t>
      </w:r>
      <w:r w:rsidR="667DF40E">
        <w:t>H</w:t>
      </w:r>
      <w:r>
        <w:t>adith which states: “</w:t>
      </w:r>
      <w:r>
        <w:rPr>
          <w:lang w:val="en-AU"/>
        </w:rPr>
        <w:t>The mujtahid who errs gets one reward; the mujtahid who gets it right gets a double reward.”.</w:t>
      </w:r>
      <w:r>
        <w:rPr>
          <w:rStyle w:val="FootnoteReference"/>
          <w:lang w:val="en-AU"/>
        </w:rPr>
        <w:footnoteReference w:id="7"/>
      </w:r>
      <w:r>
        <w:rPr>
          <w:lang w:val="en-AU"/>
        </w:rPr>
        <w:t xml:space="preserve"> The difference in how reason is used as an ethical source within Islam and Christianity therefore highlights a significant difference in how the religions view human ability to come to ethical conclusions and also the openness to admit error and change an ethical standpoint. </w:t>
      </w:r>
    </w:p>
    <w:p w14:paraId="065A2A9E" w14:textId="10EDDC03" w:rsidR="002C6FFA" w:rsidRDefault="000D525A">
      <w:r>
        <w:t xml:space="preserve">However, one similarity between how Islam and Christianity view reason as an ethical source </w:t>
      </w:r>
      <w:proofErr w:type="gramStart"/>
      <w:r>
        <w:t>is its ability</w:t>
      </w:r>
      <w:proofErr w:type="gramEnd"/>
      <w:r>
        <w:t xml:space="preserve"> to uncover and understand the law that God has set within the world. Within Christianity this can again be seen within Aquinas’ theory of natural law, and that we can use reason to make analogies from what is ‘right’ in nature and apply it to own situations. In a similar way, within Islam reason is applied </w:t>
      </w:r>
      <w:r w:rsidR="116B7C33">
        <w:t>regarding</w:t>
      </w:r>
      <w:r>
        <w:t xml:space="preserve"> ethical choices to try to uncover </w:t>
      </w:r>
      <w:proofErr w:type="spellStart"/>
      <w:r w:rsidRPr="7B6D22DF">
        <w:rPr>
          <w:i/>
          <w:iCs/>
        </w:rPr>
        <w:t>shari’ah</w:t>
      </w:r>
      <w:proofErr w:type="spellEnd"/>
      <w:r w:rsidRPr="7B6D22DF">
        <w:rPr>
          <w:i/>
          <w:iCs/>
        </w:rPr>
        <w:t xml:space="preserve"> </w:t>
      </w:r>
      <w:r>
        <w:t xml:space="preserve">values when it is not answered by either the Qur’an or the Sunnah. As a result, although reason has different value as an ethical </w:t>
      </w:r>
      <w:r>
        <w:lastRenderedPageBreak/>
        <w:t xml:space="preserve">source within Islam and Christianity, the main goal of using reason, to find the meaning of the law, is the same for both religions.  </w:t>
      </w:r>
    </w:p>
    <w:p w14:paraId="4C2191CA" w14:textId="77777777" w:rsidR="002C6FFA" w:rsidRDefault="002C6FFA"/>
    <w:p w14:paraId="3EE2DA89" w14:textId="77777777" w:rsidR="002C6FFA" w:rsidRDefault="002C6FFA"/>
    <w:p w14:paraId="1FE67FAE" w14:textId="61D720E4" w:rsidR="002C6FFA" w:rsidRPr="002F126E" w:rsidRDefault="000D525A">
      <w:pPr>
        <w:rPr>
          <w:u w:val="single"/>
        </w:rPr>
      </w:pPr>
      <w:r w:rsidRPr="002F126E">
        <w:rPr>
          <w:u w:val="single"/>
        </w:rPr>
        <w:t>Bibliography</w:t>
      </w:r>
      <w:r w:rsidR="002F126E">
        <w:rPr>
          <w:u w:val="single"/>
        </w:rPr>
        <w:t>:</w:t>
      </w:r>
    </w:p>
    <w:p w14:paraId="68BCFBBE" w14:textId="77777777" w:rsidR="002C6FFA" w:rsidRDefault="000D525A">
      <w:pPr>
        <w:pStyle w:val="ListParagraph"/>
        <w:numPr>
          <w:ilvl w:val="0"/>
          <w:numId w:val="1"/>
        </w:numPr>
      </w:pPr>
      <w:r>
        <w:rPr>
          <w:rFonts w:cs="Calibri"/>
        </w:rPr>
        <w:t xml:space="preserve">Barton, J. </w:t>
      </w:r>
      <w:r>
        <w:rPr>
          <w:rFonts w:cs="Calibri"/>
          <w:i/>
          <w:iCs/>
        </w:rPr>
        <w:t>Understanding Old Testament Ethics: Approaches and Expectations</w:t>
      </w:r>
      <w:r>
        <w:rPr>
          <w:rFonts w:cs="Calibri"/>
        </w:rPr>
        <w:t>. (Louisville: Westminster John Knox Press. 2003)</w:t>
      </w:r>
    </w:p>
    <w:p w14:paraId="35129771" w14:textId="1872EC5F" w:rsidR="002C6FFA" w:rsidRDefault="000D525A">
      <w:pPr>
        <w:pStyle w:val="ListParagraph"/>
        <w:numPr>
          <w:ilvl w:val="0"/>
          <w:numId w:val="1"/>
        </w:numPr>
      </w:pPr>
      <w:r>
        <w:t xml:space="preserve">Midgley, L. “Karl Barth and Moral Natural Law: The Anatomy of Debate; Note” </w:t>
      </w:r>
      <w:r>
        <w:rPr>
          <w:i/>
          <w:iCs/>
        </w:rPr>
        <w:t xml:space="preserve">Natural Law Forum </w:t>
      </w:r>
      <w:r>
        <w:t>(1968) pp. 108-126.</w:t>
      </w:r>
    </w:p>
    <w:p w14:paraId="0BE2B608" w14:textId="67D9AE63" w:rsidR="00DD3B76" w:rsidRDefault="00DD3B76">
      <w:pPr>
        <w:pStyle w:val="ListParagraph"/>
        <w:numPr>
          <w:ilvl w:val="0"/>
          <w:numId w:val="1"/>
        </w:numPr>
      </w:pPr>
      <w:r>
        <w:t xml:space="preserve">Murphy, </w:t>
      </w:r>
      <w:r>
        <w:t xml:space="preserve">M. </w:t>
      </w:r>
      <w:r>
        <w:t xml:space="preserve">The </w:t>
      </w:r>
      <w:r>
        <w:rPr>
          <w:i/>
          <w:iCs/>
        </w:rPr>
        <w:t xml:space="preserve">Natural Law Tradition in Ethics. </w:t>
      </w:r>
      <w:r>
        <w:t xml:space="preserve">2019, </w:t>
      </w:r>
      <w:hyperlink r:id="rId10" w:history="1">
        <w:r w:rsidRPr="00BE5F99">
          <w:rPr>
            <w:rStyle w:val="Hyperlink"/>
          </w:rPr>
          <w:t>https://plato.stanford.edu/entries/natural-law-ethics/</w:t>
        </w:r>
      </w:hyperlink>
      <w:r>
        <w:t xml:space="preserve"> [Accessed 20</w:t>
      </w:r>
      <w:r w:rsidRPr="00DD3B76">
        <w:rPr>
          <w:vertAlign w:val="superscript"/>
        </w:rPr>
        <w:t>th</w:t>
      </w:r>
      <w:r>
        <w:t xml:space="preserve"> April 2021]</w:t>
      </w:r>
      <w:r>
        <w:t>.</w:t>
      </w:r>
    </w:p>
    <w:p w14:paraId="2548A7B7" w14:textId="77777777" w:rsidR="002C6FFA" w:rsidRDefault="000D525A">
      <w:pPr>
        <w:pStyle w:val="ListParagraph"/>
        <w:numPr>
          <w:ilvl w:val="0"/>
          <w:numId w:val="1"/>
        </w:numPr>
      </w:pPr>
      <w:r>
        <w:rPr>
          <w:rFonts w:cs="Calibri"/>
        </w:rPr>
        <w:t xml:space="preserve">Rahman, F. “Some Key Ethical Concepts of the Qur’an”, </w:t>
      </w:r>
      <w:r>
        <w:rPr>
          <w:rFonts w:cs="Calibri"/>
          <w:i/>
          <w:iCs/>
        </w:rPr>
        <w:t xml:space="preserve">The Journal of Religious Ethics. </w:t>
      </w:r>
      <w:r>
        <w:rPr>
          <w:rFonts w:cs="Calibri"/>
        </w:rPr>
        <w:t xml:space="preserve">11(2) (1983) pp. 170-185. </w:t>
      </w:r>
    </w:p>
    <w:p w14:paraId="6F56CCE7" w14:textId="2A6983BB" w:rsidR="002C6FFA" w:rsidRPr="00604F3F" w:rsidRDefault="000D525A">
      <w:pPr>
        <w:pStyle w:val="ListParagraph"/>
        <w:numPr>
          <w:ilvl w:val="0"/>
          <w:numId w:val="1"/>
        </w:numPr>
      </w:pPr>
      <w:proofErr w:type="spellStart"/>
      <w:r>
        <w:rPr>
          <w:rFonts w:cs="Calibri"/>
        </w:rPr>
        <w:t>Schroter</w:t>
      </w:r>
      <w:proofErr w:type="spellEnd"/>
      <w:r>
        <w:rPr>
          <w:rFonts w:cs="Calibri"/>
        </w:rPr>
        <w:t xml:space="preserve">, J. “The Gospel of Mark” In D. Aune (ed.) </w:t>
      </w:r>
      <w:r>
        <w:rPr>
          <w:rFonts w:cs="Calibri"/>
          <w:i/>
          <w:iCs/>
        </w:rPr>
        <w:t>The Blackwell Companion to the New Testament</w:t>
      </w:r>
      <w:r>
        <w:rPr>
          <w:rFonts w:cs="Calibri"/>
        </w:rPr>
        <w:t>, (Oxford: Blackwell Publishing, 2010) pp. 272- 295</w:t>
      </w:r>
    </w:p>
    <w:p w14:paraId="2CEF6D8F" w14:textId="0186F8EE" w:rsidR="00604F3F" w:rsidRDefault="00604F3F">
      <w:pPr>
        <w:pStyle w:val="ListParagraph"/>
        <w:numPr>
          <w:ilvl w:val="0"/>
          <w:numId w:val="1"/>
        </w:numPr>
      </w:pPr>
      <w:proofErr w:type="spellStart"/>
      <w:r>
        <w:t>Vattican</w:t>
      </w:r>
      <w:proofErr w:type="spellEnd"/>
      <w:r>
        <w:t>, Declaration of the Relation of the Church to Non-Christian Religions NOSTRA AETATE, 1965</w:t>
      </w:r>
      <w:r>
        <w:t xml:space="preserve"> Available at: </w:t>
      </w:r>
      <w:hyperlink r:id="rId11" w:history="1">
        <w:r w:rsidR="00DD3B76" w:rsidRPr="00BE5F99">
          <w:rPr>
            <w:rStyle w:val="Hyperlink"/>
          </w:rPr>
          <w:t>https://www.vatican.va/archive/hist_councils/ii_vatican_council/documents/vat-ii_decl_19651028_nostra-aetate_en.html</w:t>
        </w:r>
      </w:hyperlink>
    </w:p>
    <w:p w14:paraId="6FFFA750" w14:textId="77777777" w:rsidR="002C6FFA" w:rsidRDefault="002C6FFA"/>
    <w:sectPr w:rsidR="002C6FF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284AF" w14:textId="77777777" w:rsidR="00D34353" w:rsidRDefault="00D34353">
      <w:pPr>
        <w:spacing w:after="0" w:line="240" w:lineRule="auto"/>
      </w:pPr>
      <w:r>
        <w:separator/>
      </w:r>
    </w:p>
  </w:endnote>
  <w:endnote w:type="continuationSeparator" w:id="0">
    <w:p w14:paraId="70BA4131" w14:textId="77777777" w:rsidR="00D34353" w:rsidRDefault="00D3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F9EED" w14:textId="77777777" w:rsidR="00D34353" w:rsidRDefault="00D34353">
      <w:pPr>
        <w:spacing w:after="0" w:line="240" w:lineRule="auto"/>
      </w:pPr>
      <w:r>
        <w:rPr>
          <w:color w:val="000000"/>
        </w:rPr>
        <w:separator/>
      </w:r>
    </w:p>
  </w:footnote>
  <w:footnote w:type="continuationSeparator" w:id="0">
    <w:p w14:paraId="055346F6" w14:textId="77777777" w:rsidR="00D34353" w:rsidRDefault="00D34353">
      <w:pPr>
        <w:spacing w:after="0" w:line="240" w:lineRule="auto"/>
      </w:pPr>
      <w:r>
        <w:continuationSeparator/>
      </w:r>
    </w:p>
  </w:footnote>
  <w:footnote w:id="1">
    <w:p w14:paraId="0B74DCEB" w14:textId="77777777" w:rsidR="002C6FFA" w:rsidRDefault="000D525A">
      <w:pPr>
        <w:pStyle w:val="FootnoteText"/>
      </w:pPr>
      <w:r>
        <w:rPr>
          <w:rStyle w:val="FootnoteReference"/>
        </w:rPr>
        <w:footnoteRef/>
      </w:r>
      <w:r>
        <w:rPr>
          <w:rFonts w:cs="Calibri"/>
        </w:rPr>
        <w:t xml:space="preserve"> J. Barton, </w:t>
      </w:r>
      <w:r>
        <w:rPr>
          <w:rFonts w:cs="Calibri"/>
          <w:i/>
          <w:iCs/>
        </w:rPr>
        <w:t>Understanding Old Testament Ethics: Approaches and Expectations</w:t>
      </w:r>
      <w:r>
        <w:rPr>
          <w:rFonts w:cs="Calibri"/>
        </w:rPr>
        <w:t>. (Louisville: Westminster John Knox Press. 2003)</w:t>
      </w:r>
    </w:p>
  </w:footnote>
  <w:footnote w:id="2">
    <w:p w14:paraId="1D4BD2F4" w14:textId="77777777" w:rsidR="002C6FFA" w:rsidRDefault="000D525A">
      <w:pPr>
        <w:pStyle w:val="FootnoteText"/>
      </w:pPr>
      <w:r>
        <w:rPr>
          <w:rStyle w:val="FootnoteReference"/>
        </w:rPr>
        <w:footnoteRef/>
      </w:r>
      <w:r>
        <w:rPr>
          <w:rFonts w:cs="Calibri"/>
        </w:rPr>
        <w:t xml:space="preserve"> F. Rahman, “Some Key Ethical Concepts of the Qur’an”, </w:t>
      </w:r>
      <w:r>
        <w:rPr>
          <w:rFonts w:cs="Calibri"/>
          <w:i/>
          <w:iCs/>
        </w:rPr>
        <w:t xml:space="preserve">The Journal of Religious Ethics. </w:t>
      </w:r>
      <w:r>
        <w:rPr>
          <w:rFonts w:cs="Calibri"/>
        </w:rPr>
        <w:t>11(2) (1983) pp. 170-185. (p.170, p.172, p. 176)</w:t>
      </w:r>
    </w:p>
  </w:footnote>
  <w:footnote w:id="3">
    <w:p w14:paraId="00E89B3C" w14:textId="77777777" w:rsidR="002C6FFA" w:rsidRDefault="000D525A">
      <w:pPr>
        <w:pStyle w:val="FootnoteText"/>
      </w:pPr>
      <w:r>
        <w:rPr>
          <w:rStyle w:val="FootnoteReference"/>
        </w:rPr>
        <w:footnoteRef/>
      </w:r>
      <w:r>
        <w:rPr>
          <w:rFonts w:cs="Calibri"/>
        </w:rPr>
        <w:t xml:space="preserve">J. </w:t>
      </w:r>
      <w:proofErr w:type="spellStart"/>
      <w:r>
        <w:rPr>
          <w:rFonts w:cs="Calibri"/>
        </w:rPr>
        <w:t>Schroter</w:t>
      </w:r>
      <w:proofErr w:type="spellEnd"/>
      <w:r>
        <w:rPr>
          <w:rFonts w:cs="Calibri"/>
        </w:rPr>
        <w:t xml:space="preserve">, “The Gospel of Mark” In D. Aune (ed.) </w:t>
      </w:r>
      <w:r>
        <w:rPr>
          <w:rFonts w:cs="Calibri"/>
          <w:i/>
          <w:iCs/>
        </w:rPr>
        <w:t>The Blackwell Companion to the New Testament.</w:t>
      </w:r>
      <w:r>
        <w:rPr>
          <w:rFonts w:cs="Calibri"/>
        </w:rPr>
        <w:t xml:space="preserve"> (Oxford: Blackwell Publishing, 2010)(pp. 272- 295 ) p.278</w:t>
      </w:r>
    </w:p>
  </w:footnote>
  <w:footnote w:id="4">
    <w:p w14:paraId="0DE160FD" w14:textId="41565FE9" w:rsidR="00604F3F" w:rsidRDefault="00604F3F" w:rsidP="00604F3F">
      <w:pPr>
        <w:pStyle w:val="FootnoteText"/>
      </w:pPr>
      <w:r>
        <w:rPr>
          <w:rStyle w:val="FootnoteReference"/>
        </w:rPr>
        <w:footnoteRef/>
      </w:r>
      <w:r>
        <w:t xml:space="preserve"> </w:t>
      </w:r>
      <w:proofErr w:type="spellStart"/>
      <w:r>
        <w:t>Vattican</w:t>
      </w:r>
      <w:proofErr w:type="spellEnd"/>
      <w:r>
        <w:t xml:space="preserve">, Declaration of the Relation of the Church to Non-Christian Religions </w:t>
      </w:r>
      <w:r>
        <w:t>NOSTRA AETATE</w:t>
      </w:r>
      <w:r>
        <w:t>, 1965 &lt;</w:t>
      </w:r>
      <w:hyperlink r:id="rId1" w:history="1">
        <w:r w:rsidRPr="00BE5F99">
          <w:rPr>
            <w:rStyle w:val="Hyperlink"/>
          </w:rPr>
          <w:t>https://www.vatican.va/archive/hist_councils/ii_vatican_council/documents/vat-ii_decl_19651028_nostra-aetate_en.html</w:t>
        </w:r>
      </w:hyperlink>
      <w:r>
        <w:t>&gt; [Accessed 20th April 2021]</w:t>
      </w:r>
    </w:p>
  </w:footnote>
  <w:footnote w:id="5">
    <w:p w14:paraId="7697EFEF" w14:textId="77777777" w:rsidR="002C6FFA" w:rsidRDefault="000D525A">
      <w:pPr>
        <w:pStyle w:val="FootnoteText"/>
      </w:pPr>
      <w:r>
        <w:rPr>
          <w:rStyle w:val="FootnoteReference"/>
        </w:rPr>
        <w:footnoteRef/>
      </w:r>
      <w:r>
        <w:t xml:space="preserve"> L. Midgley, “Karl Barth and Moral Natural Law: The Anatomy of Debate; Note” </w:t>
      </w:r>
      <w:r>
        <w:rPr>
          <w:i/>
          <w:iCs/>
        </w:rPr>
        <w:t xml:space="preserve">Natural Law Forum </w:t>
      </w:r>
      <w:r>
        <w:t>(1968) pp. 108-126 (p.108)</w:t>
      </w:r>
    </w:p>
  </w:footnote>
  <w:footnote w:id="6">
    <w:p w14:paraId="5D20A8B3" w14:textId="6AF25A71" w:rsidR="00DD3B76" w:rsidRPr="00DD3B76" w:rsidRDefault="00DD3B76">
      <w:pPr>
        <w:pStyle w:val="FootnoteText"/>
      </w:pPr>
      <w:r>
        <w:rPr>
          <w:rStyle w:val="FootnoteReference"/>
        </w:rPr>
        <w:footnoteRef/>
      </w:r>
      <w:r>
        <w:t xml:space="preserve"> M. Murphy, The </w:t>
      </w:r>
      <w:r>
        <w:rPr>
          <w:i/>
          <w:iCs/>
        </w:rPr>
        <w:t xml:space="preserve">Natural Law Tradition in Ethics. </w:t>
      </w:r>
      <w:r>
        <w:t xml:space="preserve">2019, </w:t>
      </w:r>
      <w:hyperlink r:id="rId2" w:history="1">
        <w:r w:rsidRPr="00BE5F99">
          <w:rPr>
            <w:rStyle w:val="Hyperlink"/>
          </w:rPr>
          <w:t>https://plato.stanford.edu/entries/natural-law-ethics/</w:t>
        </w:r>
      </w:hyperlink>
      <w:r>
        <w:t xml:space="preserve"> [Accessed 20</w:t>
      </w:r>
      <w:r w:rsidRPr="00DD3B76">
        <w:rPr>
          <w:vertAlign w:val="superscript"/>
        </w:rPr>
        <w:t>th</w:t>
      </w:r>
      <w:r>
        <w:t xml:space="preserve"> April 2021]</w:t>
      </w:r>
    </w:p>
  </w:footnote>
  <w:footnote w:id="7">
    <w:p w14:paraId="3DDCAB4C" w14:textId="77777777" w:rsidR="002C6FFA" w:rsidRDefault="000D525A">
      <w:pPr>
        <w:pStyle w:val="FootnoteText"/>
      </w:pPr>
      <w:r>
        <w:rPr>
          <w:rStyle w:val="FootnoteReference"/>
        </w:rPr>
        <w:footnoteRef/>
      </w:r>
      <w:r>
        <w:t xml:space="preserve"> </w:t>
      </w:r>
      <w:proofErr w:type="spellStart"/>
      <w:r>
        <w:t>Ṣaḥīh</w:t>
      </w:r>
      <w:proofErr w:type="spellEnd"/>
      <w:r>
        <w:t xml:space="preserve">̣ </w:t>
      </w:r>
      <w:proofErr w:type="spellStart"/>
      <w:r>
        <w:t>al-Bukhāri</w:t>
      </w:r>
      <w:proofErr w:type="spellEnd"/>
      <w:r>
        <w:t xml:space="preserve">̄ 7352, </w:t>
      </w:r>
      <w:proofErr w:type="spellStart"/>
      <w:r>
        <w:t>Ṣaḥīh</w:t>
      </w:r>
      <w:proofErr w:type="spellEnd"/>
      <w:r>
        <w:t>̣ Muslim 1716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A3714"/>
    <w:multiLevelType w:val="multilevel"/>
    <w:tmpl w:val="90E403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6FFA"/>
    <w:rsid w:val="000D525A"/>
    <w:rsid w:val="002C6FFA"/>
    <w:rsid w:val="002F126E"/>
    <w:rsid w:val="005B8C65"/>
    <w:rsid w:val="00604F3F"/>
    <w:rsid w:val="007F5993"/>
    <w:rsid w:val="00D34353"/>
    <w:rsid w:val="00DD3B76"/>
    <w:rsid w:val="01B9AED9"/>
    <w:rsid w:val="04CAB819"/>
    <w:rsid w:val="078FF8DB"/>
    <w:rsid w:val="0F0117E3"/>
    <w:rsid w:val="1130F6FE"/>
    <w:rsid w:val="116B7C33"/>
    <w:rsid w:val="11D296C6"/>
    <w:rsid w:val="12415F70"/>
    <w:rsid w:val="19E6D6E1"/>
    <w:rsid w:val="1D9BE8BC"/>
    <w:rsid w:val="1EBB7A41"/>
    <w:rsid w:val="282EA06F"/>
    <w:rsid w:val="28A5BCE6"/>
    <w:rsid w:val="28C1B864"/>
    <w:rsid w:val="29D92992"/>
    <w:rsid w:val="2F3E9ECF"/>
    <w:rsid w:val="2FB4F873"/>
    <w:rsid w:val="2FBB8DD4"/>
    <w:rsid w:val="31F6D506"/>
    <w:rsid w:val="3280242D"/>
    <w:rsid w:val="3360183F"/>
    <w:rsid w:val="40F41992"/>
    <w:rsid w:val="42CE9342"/>
    <w:rsid w:val="4326541A"/>
    <w:rsid w:val="449D49FB"/>
    <w:rsid w:val="452CA025"/>
    <w:rsid w:val="474C4F3A"/>
    <w:rsid w:val="49F8384C"/>
    <w:rsid w:val="4A180AB5"/>
    <w:rsid w:val="50777BF7"/>
    <w:rsid w:val="55A8A1D3"/>
    <w:rsid w:val="59FBE044"/>
    <w:rsid w:val="5AEF02B2"/>
    <w:rsid w:val="5EC13257"/>
    <w:rsid w:val="5F6DD297"/>
    <w:rsid w:val="6463AEEC"/>
    <w:rsid w:val="667DF40E"/>
    <w:rsid w:val="67E74C1D"/>
    <w:rsid w:val="68FA2BBA"/>
    <w:rsid w:val="698C38F4"/>
    <w:rsid w:val="7086E192"/>
    <w:rsid w:val="710847E6"/>
    <w:rsid w:val="711CC26A"/>
    <w:rsid w:val="7651939F"/>
    <w:rsid w:val="769B6C9E"/>
    <w:rsid w:val="76AD7CBA"/>
    <w:rsid w:val="7823351D"/>
    <w:rsid w:val="78D377F1"/>
    <w:rsid w:val="79893461"/>
    <w:rsid w:val="7B3CFE2F"/>
    <w:rsid w:val="7B6D22DF"/>
    <w:rsid w:val="7B881B41"/>
    <w:rsid w:val="7D23EBA2"/>
    <w:rsid w:val="7D298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CFE92"/>
  <w15:docId w15:val="{9B0C6278-C920-4133-ABE2-61818907B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000FF"/>
      <w:u w:val="single"/>
    </w:rPr>
  </w:style>
  <w:style w:type="paragraph" w:styleId="ListParagraph">
    <w:name w:val="List Paragraph"/>
    <w:basedOn w:val="Normal"/>
    <w:pPr>
      <w:ind w:left="720"/>
    </w:pPr>
  </w:style>
  <w:style w:type="character" w:styleId="UnresolvedMention">
    <w:name w:val="Unresolved Mention"/>
    <w:basedOn w:val="DefaultParagraphFont"/>
    <w:uiPriority w:val="99"/>
    <w:semiHidden/>
    <w:unhideWhenUsed/>
    <w:rsid w:val="00604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atican.va/archive/hist_councils/ii_vatican_council/documents/vat-ii_decl_19651028_nostra-aetate_en.html" TargetMode="External"/><Relationship Id="rId5" Type="http://schemas.openxmlformats.org/officeDocument/2006/relationships/styles" Target="styles.xml"/><Relationship Id="rId10" Type="http://schemas.openxmlformats.org/officeDocument/2006/relationships/hyperlink" Target="https://plato.stanford.edu/entries/natural-law-ethics/" TargetMode="External"/><Relationship Id="rId4" Type="http://schemas.openxmlformats.org/officeDocument/2006/relationships/numbering" Target="numbering.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entries/natural-law-ethics/" TargetMode="External"/><Relationship Id="rId1" Type="http://schemas.openxmlformats.org/officeDocument/2006/relationships/hyperlink" Target="https://www.vatican.va/archive/hist_councils/ii_vatican_council/documents/vat-ii_decl_19651028_nostra-aetate_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ac0534c46bcbdb4c9463cc65eee49e66">
  <xsd:schema xmlns:xsd="http://www.w3.org/2001/XMLSchema" xmlns:xs="http://www.w3.org/2001/XMLSchema" xmlns:p="http://schemas.microsoft.com/office/2006/metadata/properties" xmlns:ns2="92c24619-d6d5-42cf-b618-23d930ad9f20" targetNamespace="http://schemas.microsoft.com/office/2006/metadata/properties" ma:root="true" ma:fieldsID="0b4864dfc94ba0a34359730e2c7943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1AA849-C1F5-4E5F-8F4F-F78E1EE83E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8D312F-1041-4576-B358-A24DC20F1DA6}">
  <ds:schemaRefs>
    <ds:schemaRef ds:uri="http://schemas.microsoft.com/sharepoint/v3/contenttype/forms"/>
  </ds:schemaRefs>
</ds:datastoreItem>
</file>

<file path=customXml/itemProps3.xml><?xml version="1.0" encoding="utf-8"?>
<ds:datastoreItem xmlns:ds="http://schemas.openxmlformats.org/officeDocument/2006/customXml" ds:itemID="{46EC8B7B-8F3B-46AA-A714-2B6973BFF8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1884</Words>
  <Characters>10744</Characters>
  <Application>Microsoft Office Word</Application>
  <DocSecurity>0</DocSecurity>
  <Lines>89</Lines>
  <Paragraphs>25</Paragraphs>
  <ScaleCrop>false</ScaleCrop>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Rhiannon Watts (1901401)</dc:creator>
  <dc:description/>
  <cp:lastModifiedBy>Caitlin Rhiannon Watts (1901401)</cp:lastModifiedBy>
  <cp:revision>6</cp:revision>
  <dcterms:created xsi:type="dcterms:W3CDTF">2021-04-23T09:40:00Z</dcterms:created>
  <dcterms:modified xsi:type="dcterms:W3CDTF">2021-04-23T12:33:00Z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