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79B3E" w14:textId="7A847B1B" w:rsidR="00780F84" w:rsidRPr="00780F84" w:rsidRDefault="00780F84" w:rsidP="06417E2D">
      <w:pPr>
        <w:spacing w:line="480" w:lineRule="auto"/>
        <w:jc w:val="center"/>
        <w:rPr>
          <w:rFonts w:ascii="Arial" w:hAnsi="Arial" w:cs="Arial"/>
          <w:color w:val="000000" w:themeColor="text1"/>
          <w:sz w:val="24"/>
          <w:szCs w:val="24"/>
          <w:u w:val="single"/>
        </w:rPr>
      </w:pPr>
      <w:r w:rsidRPr="06417E2D">
        <w:rPr>
          <w:rFonts w:ascii="Arial" w:hAnsi="Arial" w:cs="Arial"/>
          <w:color w:val="000000" w:themeColor="text1"/>
          <w:sz w:val="24"/>
          <w:szCs w:val="24"/>
          <w:u w:val="single"/>
        </w:rPr>
        <w:t>‘Critically discuss either the role of offender profiling, or the role of juries in the</w:t>
      </w:r>
    </w:p>
    <w:p w14:paraId="59FB6C34" w14:textId="73511E4C" w:rsidR="00341E2C" w:rsidRDefault="00780F84" w:rsidP="06417E2D">
      <w:pPr>
        <w:spacing w:line="480" w:lineRule="auto"/>
        <w:jc w:val="center"/>
        <w:rPr>
          <w:rFonts w:ascii="Arial" w:hAnsi="Arial" w:cs="Arial"/>
          <w:color w:val="000000" w:themeColor="text1"/>
          <w:sz w:val="24"/>
          <w:szCs w:val="24"/>
          <w:u w:val="single"/>
          <w:shd w:val="clear" w:color="auto" w:fill="FFFFFF"/>
        </w:rPr>
      </w:pPr>
      <w:r w:rsidRPr="06417E2D">
        <w:rPr>
          <w:rFonts w:ascii="Arial" w:hAnsi="Arial" w:cs="Arial"/>
          <w:color w:val="000000" w:themeColor="text1"/>
          <w:sz w:val="24"/>
          <w:szCs w:val="24"/>
          <w:u w:val="single"/>
        </w:rPr>
        <w:t>investigative and judicial processes associated with crime`.</w:t>
      </w:r>
    </w:p>
    <w:p w14:paraId="64565A2A" w14:textId="6B4B71E9" w:rsidR="1958689B" w:rsidRDefault="1958689B" w:rsidP="06417E2D">
      <w:pPr>
        <w:spacing w:line="480" w:lineRule="auto"/>
        <w:rPr>
          <w:rFonts w:ascii="Arial" w:eastAsia="Arial" w:hAnsi="Arial" w:cs="Arial"/>
          <w:color w:val="000000" w:themeColor="text1"/>
          <w:sz w:val="24"/>
          <w:szCs w:val="24"/>
        </w:rPr>
      </w:pPr>
      <w:r w:rsidRPr="06417E2D">
        <w:rPr>
          <w:rFonts w:ascii="Arial" w:eastAsia="Arial" w:hAnsi="Arial" w:cs="Arial"/>
          <w:color w:val="000000" w:themeColor="text1"/>
          <w:sz w:val="24"/>
          <w:szCs w:val="24"/>
        </w:rPr>
        <w:t xml:space="preserve">Offender profiling has been referred to as utilising crime scene evidence to assume the personality, demographic and behavioural characteristics of an unidentified offender who has committed a string of crimes (Douglas et al., 1986; Bennell &amp; Blaskovits, 2020). Offender profiling is used to narrow a suspect list within a criminal investigation (Petherick &amp; Brooks, 2021). Offender profiling has been seen as an essential tool within the crime scene investigation field. It has played a crucial role in understanding and addressing criminal behaviour and aiding law enforcement in their investigations (Holmes &amp; Holmes, 2009). Profiling enhances the investigative process by </w:t>
      </w:r>
      <w:proofErr w:type="gramStart"/>
      <w:r w:rsidRPr="06417E2D">
        <w:rPr>
          <w:rFonts w:ascii="Arial" w:eastAsia="Arial" w:hAnsi="Arial" w:cs="Arial"/>
          <w:color w:val="000000" w:themeColor="text1"/>
          <w:sz w:val="24"/>
          <w:szCs w:val="24"/>
        </w:rPr>
        <w:t>providing</w:t>
      </w:r>
      <w:proofErr w:type="gramEnd"/>
      <w:r w:rsidRPr="06417E2D">
        <w:rPr>
          <w:rFonts w:ascii="Arial" w:eastAsia="Arial" w:hAnsi="Arial" w:cs="Arial"/>
          <w:color w:val="000000" w:themeColor="text1"/>
          <w:sz w:val="24"/>
          <w:szCs w:val="24"/>
        </w:rPr>
        <w:t xml:space="preserve"> a psychological and behavioural framework for analysing the evidence of a case and identifying potential suspects. The psychological insight aids law enforcement to </w:t>
      </w:r>
      <w:proofErr w:type="gramStart"/>
      <w:r w:rsidRPr="06417E2D">
        <w:rPr>
          <w:rFonts w:ascii="Arial" w:eastAsia="Arial" w:hAnsi="Arial" w:cs="Arial"/>
          <w:color w:val="000000" w:themeColor="text1"/>
          <w:sz w:val="24"/>
          <w:szCs w:val="24"/>
        </w:rPr>
        <w:t>allocate</w:t>
      </w:r>
      <w:proofErr w:type="gramEnd"/>
      <w:r w:rsidRPr="06417E2D">
        <w:rPr>
          <w:rFonts w:ascii="Arial" w:eastAsia="Arial" w:hAnsi="Arial" w:cs="Arial"/>
          <w:color w:val="000000" w:themeColor="text1"/>
          <w:sz w:val="24"/>
          <w:szCs w:val="24"/>
        </w:rPr>
        <w:t xml:space="preserve"> resources more effectively and make informed decisions during the investigation (Canter, 1994). This essay will </w:t>
      </w:r>
      <w:proofErr w:type="gramStart"/>
      <w:r w:rsidRPr="06417E2D">
        <w:rPr>
          <w:rFonts w:ascii="Arial" w:eastAsia="Arial" w:hAnsi="Arial" w:cs="Arial"/>
          <w:color w:val="000000" w:themeColor="text1"/>
          <w:sz w:val="24"/>
          <w:szCs w:val="24"/>
        </w:rPr>
        <w:t>seek</w:t>
      </w:r>
      <w:proofErr w:type="gramEnd"/>
      <w:r w:rsidRPr="06417E2D">
        <w:rPr>
          <w:rFonts w:ascii="Arial" w:eastAsia="Arial" w:hAnsi="Arial" w:cs="Arial"/>
          <w:color w:val="000000" w:themeColor="text1"/>
          <w:sz w:val="24"/>
          <w:szCs w:val="24"/>
        </w:rPr>
        <w:t xml:space="preserve"> to critically discuss the role of offender profiling associated with a crime by critically comparing both the British and American offender profiling types and determine whether the offender profiling works and what approach is more practical: the British bottoms-up approach or the American tops-down approach. </w:t>
      </w:r>
    </w:p>
    <w:p w14:paraId="4D147472" w14:textId="75F285E9" w:rsidR="1958689B" w:rsidRDefault="1958689B" w:rsidP="06417E2D">
      <w:pPr>
        <w:spacing w:line="480" w:lineRule="auto"/>
        <w:rPr>
          <w:rFonts w:ascii="Arial" w:eastAsia="Arial" w:hAnsi="Arial" w:cs="Arial"/>
          <w:color w:val="000000" w:themeColor="text1"/>
          <w:sz w:val="24"/>
          <w:szCs w:val="24"/>
        </w:rPr>
      </w:pPr>
      <w:r w:rsidRPr="06417E2D">
        <w:rPr>
          <w:rFonts w:ascii="Arial" w:eastAsia="Arial" w:hAnsi="Arial" w:cs="Arial"/>
          <w:color w:val="000000" w:themeColor="text1"/>
          <w:sz w:val="24"/>
          <w:szCs w:val="24"/>
        </w:rPr>
        <w:t xml:space="preserve">Criminal profiling has been used for many years; one of the first documented uses goes back to 38CE. However, this is a cruder use of profiling. This case involved the demonisation of Jews, referred to as the blood libel. They </w:t>
      </w:r>
      <w:proofErr w:type="gramStart"/>
      <w:r w:rsidRPr="06417E2D">
        <w:rPr>
          <w:rFonts w:ascii="Arial" w:eastAsia="Arial" w:hAnsi="Arial" w:cs="Arial"/>
          <w:color w:val="000000" w:themeColor="text1"/>
          <w:sz w:val="24"/>
          <w:szCs w:val="24"/>
        </w:rPr>
        <w:t>utilised</w:t>
      </w:r>
      <w:proofErr w:type="gramEnd"/>
      <w:r w:rsidRPr="06417E2D">
        <w:rPr>
          <w:rFonts w:ascii="Arial" w:eastAsia="Arial" w:hAnsi="Arial" w:cs="Arial"/>
          <w:color w:val="000000" w:themeColor="text1"/>
          <w:sz w:val="24"/>
          <w:szCs w:val="24"/>
        </w:rPr>
        <w:t xml:space="preserve"> criminal profiling; nevertheless, this was an early form of criminal profiling as it involved a predetermined set of crime-related characteristics used to infer and accuse a particular pool of suspects (Turvey, 2012). A bottom-up approach has been adopted </w:t>
      </w:r>
      <w:r w:rsidRPr="06417E2D">
        <w:rPr>
          <w:rFonts w:ascii="Arial" w:eastAsia="Arial" w:hAnsi="Arial" w:cs="Arial"/>
          <w:color w:val="000000" w:themeColor="text1"/>
          <w:sz w:val="24"/>
          <w:szCs w:val="24"/>
        </w:rPr>
        <w:lastRenderedPageBreak/>
        <w:t xml:space="preserve">in criminal profiling based on qualitative information in the U.K. This approach involves meticulous analysis of specific crime scene evidence, focusing on the offender's behaviours, patterns and characteristics </w:t>
      </w:r>
      <w:proofErr w:type="gramStart"/>
      <w:r w:rsidRPr="06417E2D">
        <w:rPr>
          <w:rFonts w:ascii="Arial" w:eastAsia="Arial" w:hAnsi="Arial" w:cs="Arial"/>
          <w:color w:val="000000" w:themeColor="text1"/>
          <w:sz w:val="24"/>
          <w:szCs w:val="24"/>
        </w:rPr>
        <w:t>exhibited</w:t>
      </w:r>
      <w:proofErr w:type="gramEnd"/>
      <w:r w:rsidRPr="06417E2D">
        <w:rPr>
          <w:rFonts w:ascii="Arial" w:eastAsia="Arial" w:hAnsi="Arial" w:cs="Arial"/>
          <w:color w:val="000000" w:themeColor="text1"/>
          <w:sz w:val="24"/>
          <w:szCs w:val="24"/>
        </w:rPr>
        <w:t xml:space="preserve">. The U.K.'s approach emphasises a thorough examination of crime scene details such as modus operandi (characteristic method or pattern of operation that a criminal uses in the commission of a crime, encompassing the specific behaviours and techniques employed to achieve their objectives), signatures (distinctive and often ritualistic behaviours or actions that an offender incorporates into a crime) and victimology (the study of the victim's characteristics and the relationship between the offender and the victim (Canter, 2003). It encompasses factors such as age, gender, occupation, lifestyle, and any specific traits the offender might target), to construct a detailed profile of the perpetrator (Canter, 1989; Canter, 2003; Hope &amp; Young, 2013). The inclusion of geographical profiling aligns with Routine Activity Theory, which posits that crime occurs due to the convergence of motivated offenders, suitable targets, and the absence of capable guardians (Cohen &amp; Felson, 1979). By scrutinising spatial behaviour and environmental psychology within geographical profiling, the U.K.'s bottom-up approach aims to understand the routine activities of offenders, potential targets, and environmental factors that influence criminal behaviour. Canter (1994) provided early contributions to criminal profiling in the U.K. with his work on Circle Theory and spatial aspects of offender behaviour. The Circle Theory focuses on criminals' spatial behaviour, particularly concerning their crimes' geographic locations. This provided insights into Canter's foundational work on the geographical analysis of crime scenes and the psychological underpinnings of criminal behaviour. Another contributor to the U.K.'s bottom-up approach is forensic psychologist Paul Britton in 1997, who has helped shape and emphasise the importance of </w:t>
      </w:r>
      <w:r w:rsidRPr="06417E2D">
        <w:rPr>
          <w:rFonts w:ascii="Arial" w:eastAsia="Arial" w:hAnsi="Arial" w:cs="Arial"/>
          <w:color w:val="000000" w:themeColor="text1"/>
          <w:sz w:val="24"/>
          <w:szCs w:val="24"/>
        </w:rPr>
        <w:lastRenderedPageBreak/>
        <w:t xml:space="preserve">systemically analysing crime scene behaviours to unveil the offender's personality and motivations (Copson et al., 1997). Geographical profiling involves analysing the spatial patterns of crimes to predict the probable location of an offender's base or residence, drawing upon principles of spatial behaviour and environmental psychology. By integrating geographical and investigative profiling techniques, the U.K.'s bottom-up approach strives to comprehensively understand and construct detailed profiles of offenders through the combined analysis of behavioural, spatial, and psychological factors, thereby enhancing the precision and depth of criminal investigations (Curtis-Ham, 2022). </w:t>
      </w:r>
    </w:p>
    <w:p w14:paraId="2158324A" w14:textId="4794BBE3" w:rsidR="1958689B" w:rsidRDefault="1958689B" w:rsidP="06417E2D">
      <w:pPr>
        <w:spacing w:line="480" w:lineRule="auto"/>
        <w:rPr>
          <w:rFonts w:ascii="Arial" w:eastAsia="Arial" w:hAnsi="Arial" w:cs="Arial"/>
          <w:color w:val="000000" w:themeColor="text1"/>
          <w:sz w:val="24"/>
          <w:szCs w:val="24"/>
        </w:rPr>
      </w:pPr>
      <w:r w:rsidRPr="06417E2D">
        <w:rPr>
          <w:rFonts w:ascii="Arial" w:eastAsia="Arial" w:hAnsi="Arial" w:cs="Arial"/>
          <w:color w:val="000000" w:themeColor="text1"/>
          <w:sz w:val="24"/>
          <w:szCs w:val="24"/>
        </w:rPr>
        <w:t>While the British bottom-up approach to criminal profiling, emphasising meticulous crime scene analysis and behavioural patterns has received recognition (Canter, 2003; Britton, 1997), it is not without its criticisms. One prominent critique concerns the limitations of victimology in shaping offender profiles. Despite its focus on victim characteristics and the offender-victim relationship (Copson et al., 1997), critics argue that victimological data may not consistently provide conclusive insights into an offender's motives or personality traits, particularly in crimes involving random victim selection or limited victim-offender interaction (Bull &amp; Davies, 2013; Kocsis et al., 2019). Additionally, while geographical profiling has contributed significantly to understanding spatial behaviour in crimes (</w:t>
      </w:r>
      <w:proofErr w:type="spellStart"/>
      <w:r w:rsidRPr="06417E2D">
        <w:rPr>
          <w:rFonts w:ascii="Arial" w:eastAsia="Arial" w:hAnsi="Arial" w:cs="Arial"/>
          <w:color w:val="000000" w:themeColor="text1"/>
          <w:sz w:val="24"/>
          <w:szCs w:val="24"/>
        </w:rPr>
        <w:t>Rossmo</w:t>
      </w:r>
      <w:proofErr w:type="spellEnd"/>
      <w:r w:rsidRPr="06417E2D">
        <w:rPr>
          <w:rFonts w:ascii="Arial" w:eastAsia="Arial" w:hAnsi="Arial" w:cs="Arial"/>
          <w:color w:val="000000" w:themeColor="text1"/>
          <w:sz w:val="24"/>
          <w:szCs w:val="24"/>
        </w:rPr>
        <w:t xml:space="preserve">, 2000; Canter, 1994), it has faced criticism for potential oversimplification. Critics highlight that criminal spatial behaviour might not always conform to predictable geographic patterns, especially in cases involving transient offenders or crimes committed beyond their usual areas (Snook et al., 2018; Davies &amp; Bull, 2019). These critiques underscore the necessity for a more nuanced integration of victimological, geographical, and psychological </w:t>
      </w:r>
      <w:r w:rsidRPr="06417E2D">
        <w:rPr>
          <w:rFonts w:ascii="Arial" w:eastAsia="Arial" w:hAnsi="Arial" w:cs="Arial"/>
          <w:color w:val="000000" w:themeColor="text1"/>
          <w:sz w:val="24"/>
          <w:szCs w:val="24"/>
        </w:rPr>
        <w:lastRenderedPageBreak/>
        <w:t>factors to enhance the comprehensiveness and accuracy of offender profiling methodologies</w:t>
      </w:r>
      <w:proofErr w:type="gramStart"/>
      <w:r w:rsidRPr="06417E2D">
        <w:rPr>
          <w:rFonts w:ascii="Arial" w:eastAsia="Arial" w:hAnsi="Arial" w:cs="Arial"/>
          <w:color w:val="000000" w:themeColor="text1"/>
          <w:sz w:val="24"/>
          <w:szCs w:val="24"/>
        </w:rPr>
        <w:t xml:space="preserve">.  </w:t>
      </w:r>
      <w:proofErr w:type="gramEnd"/>
    </w:p>
    <w:p w14:paraId="1CE57E8B" w14:textId="6A02CBFC" w:rsidR="1958689B" w:rsidRDefault="1958689B" w:rsidP="06417E2D">
      <w:pPr>
        <w:spacing w:line="480" w:lineRule="auto"/>
        <w:rPr>
          <w:rFonts w:ascii="Arial" w:eastAsia="Arial" w:hAnsi="Arial" w:cs="Arial"/>
          <w:color w:val="000000" w:themeColor="text1"/>
          <w:sz w:val="24"/>
          <w:szCs w:val="24"/>
        </w:rPr>
      </w:pPr>
      <w:r w:rsidRPr="06417E2D">
        <w:rPr>
          <w:rFonts w:ascii="Arial" w:eastAsia="Arial" w:hAnsi="Arial" w:cs="Arial"/>
          <w:color w:val="000000" w:themeColor="text1"/>
          <w:sz w:val="24"/>
          <w:szCs w:val="24"/>
        </w:rPr>
        <w:t xml:space="preserve">Moreover, the U.S. have a top-down approach to criminal profiling, which involves constructing profiles based on broader behavioural categories and general criminal typologies based on qualitative information. Originating back to 1979 from the Federal Bureau of Investigation - FBI. This approach relies on established patterns and classifications from </w:t>
      </w:r>
      <w:proofErr w:type="gramStart"/>
      <w:r w:rsidRPr="06417E2D">
        <w:rPr>
          <w:rFonts w:ascii="Arial" w:eastAsia="Arial" w:hAnsi="Arial" w:cs="Arial"/>
          <w:color w:val="000000" w:themeColor="text1"/>
          <w:sz w:val="24"/>
          <w:szCs w:val="24"/>
        </w:rPr>
        <w:t>previous</w:t>
      </w:r>
      <w:proofErr w:type="gramEnd"/>
      <w:r w:rsidRPr="06417E2D">
        <w:rPr>
          <w:rFonts w:ascii="Arial" w:eastAsia="Arial" w:hAnsi="Arial" w:cs="Arial"/>
          <w:color w:val="000000" w:themeColor="text1"/>
          <w:sz w:val="24"/>
          <w:szCs w:val="24"/>
        </w:rPr>
        <w:t xml:space="preserve"> cases rather than delving deeply into specific crime scene details. The structure of an FBI profile involves four key processes. First, in the data assimilation phase, investigators collect and analyse all available information. Second is the crime scene classification stage, which categorises the nature of the crime based on behavioural evidence, either organised or disorganised. Third, crime reconstruction aims to recreate the sequence of events, </w:t>
      </w:r>
      <w:proofErr w:type="gramStart"/>
      <w:r w:rsidRPr="06417E2D">
        <w:rPr>
          <w:rFonts w:ascii="Arial" w:eastAsia="Arial" w:hAnsi="Arial" w:cs="Arial"/>
          <w:color w:val="000000" w:themeColor="text1"/>
          <w:sz w:val="24"/>
          <w:szCs w:val="24"/>
        </w:rPr>
        <w:t>providing</w:t>
      </w:r>
      <w:proofErr w:type="gramEnd"/>
      <w:r w:rsidRPr="06417E2D">
        <w:rPr>
          <w:rFonts w:ascii="Arial" w:eastAsia="Arial" w:hAnsi="Arial" w:cs="Arial"/>
          <w:color w:val="000000" w:themeColor="text1"/>
          <w:sz w:val="24"/>
          <w:szCs w:val="24"/>
        </w:rPr>
        <w:t xml:space="preserve"> insights into the offender's motivations. Lastly, profile generation, a psychological profile is crafted, offering law enforcement actionable insights into the offender's characteristics and behaviours (Guerrini et al., 2021). In the U.S., the FBI's Behavioural Science Unit – FBU, played a pivotal role in popularising the top-down method, particularly Douglas and Ressler, both special agents and criminal profiler for the FBI (Douglas et al., 1986; Jackson et al., 1997; Ackley, 2017). Douglas is known for his work in developing criminal profiling techniques, mainly within the analysis of serial and violent crimes, extensively interviewing serial killers and offenders to create profiles that could assist in solving ongoing cases (Homant, 1998). Ressler coined the term "serial killer". Also, like Douglas, Ressler conducted groundbreaking interviews with serial killers to help </w:t>
      </w:r>
      <w:proofErr w:type="gramStart"/>
      <w:r w:rsidRPr="06417E2D">
        <w:rPr>
          <w:rFonts w:ascii="Arial" w:eastAsia="Arial" w:hAnsi="Arial" w:cs="Arial"/>
          <w:color w:val="000000" w:themeColor="text1"/>
          <w:sz w:val="24"/>
          <w:szCs w:val="24"/>
        </w:rPr>
        <w:t>establish</w:t>
      </w:r>
      <w:proofErr w:type="gramEnd"/>
      <w:r w:rsidRPr="06417E2D">
        <w:rPr>
          <w:rFonts w:ascii="Arial" w:eastAsia="Arial" w:hAnsi="Arial" w:cs="Arial"/>
          <w:color w:val="000000" w:themeColor="text1"/>
          <w:sz w:val="24"/>
          <w:szCs w:val="24"/>
        </w:rPr>
        <w:t xml:space="preserve"> patterns and classifications of criminal behaviours. Ressler's work laid the foundation for developing criminal profiling as a systematic investigative tool (Fox, 2022). The top-</w:t>
      </w:r>
      <w:r w:rsidRPr="06417E2D">
        <w:rPr>
          <w:rFonts w:ascii="Arial" w:eastAsia="Arial" w:hAnsi="Arial" w:cs="Arial"/>
          <w:color w:val="000000" w:themeColor="text1"/>
          <w:sz w:val="24"/>
          <w:szCs w:val="24"/>
        </w:rPr>
        <w:lastRenderedPageBreak/>
        <w:t xml:space="preserve">down approach includes creating profiles based on organised and disorganised offender classifications - organised perpetrators </w:t>
      </w:r>
      <w:proofErr w:type="gramStart"/>
      <w:r w:rsidRPr="06417E2D">
        <w:rPr>
          <w:rFonts w:ascii="Arial" w:eastAsia="Arial" w:hAnsi="Arial" w:cs="Arial"/>
          <w:color w:val="000000" w:themeColor="text1"/>
          <w:sz w:val="24"/>
          <w:szCs w:val="24"/>
        </w:rPr>
        <w:t>exhibiting</w:t>
      </w:r>
      <w:proofErr w:type="gramEnd"/>
      <w:r w:rsidRPr="06417E2D">
        <w:rPr>
          <w:rFonts w:ascii="Arial" w:eastAsia="Arial" w:hAnsi="Arial" w:cs="Arial"/>
          <w:color w:val="000000" w:themeColor="text1"/>
          <w:sz w:val="24"/>
          <w:szCs w:val="24"/>
        </w:rPr>
        <w:t xml:space="preserve"> meticulous planning and control; in contrast, disorganised offenders display impulsive and chaotic actions during the commission of the crime, drawing on general behavioural traits rather than a detailed examination of each specific crime. Over the last few decades, the top-down approach has evolved to incorporate </w:t>
      </w:r>
      <w:proofErr w:type="gramStart"/>
      <w:r w:rsidRPr="06417E2D">
        <w:rPr>
          <w:rFonts w:ascii="Arial" w:eastAsia="Arial" w:hAnsi="Arial" w:cs="Arial"/>
          <w:color w:val="000000" w:themeColor="text1"/>
          <w:sz w:val="24"/>
          <w:szCs w:val="24"/>
        </w:rPr>
        <w:t>several</w:t>
      </w:r>
      <w:proofErr w:type="gramEnd"/>
      <w:r w:rsidRPr="06417E2D">
        <w:rPr>
          <w:rFonts w:ascii="Arial" w:eastAsia="Arial" w:hAnsi="Arial" w:cs="Arial"/>
          <w:color w:val="000000" w:themeColor="text1"/>
          <w:sz w:val="24"/>
          <w:szCs w:val="24"/>
        </w:rPr>
        <w:t xml:space="preserve"> factors, which include psychological and geographic elements, contributing to a more comprehensive understanding of criminal behaviour (Douglas et al., 2006). </w:t>
      </w:r>
    </w:p>
    <w:p w14:paraId="3A097C11" w14:textId="3179F023" w:rsidR="1958689B" w:rsidRDefault="1958689B" w:rsidP="06417E2D">
      <w:pPr>
        <w:spacing w:line="480" w:lineRule="auto"/>
        <w:rPr>
          <w:rFonts w:ascii="Arial" w:eastAsia="Arial" w:hAnsi="Arial" w:cs="Arial"/>
          <w:color w:val="000000" w:themeColor="text1"/>
          <w:sz w:val="24"/>
          <w:szCs w:val="24"/>
        </w:rPr>
      </w:pPr>
      <w:r w:rsidRPr="06417E2D">
        <w:rPr>
          <w:rFonts w:ascii="Arial" w:eastAsia="Arial" w:hAnsi="Arial" w:cs="Arial"/>
          <w:color w:val="000000" w:themeColor="text1"/>
          <w:sz w:val="24"/>
          <w:szCs w:val="24"/>
        </w:rPr>
        <w:t xml:space="preserve">The top-down approach to offender profiling, epitomised by the FBI's method, confronts </w:t>
      </w:r>
      <w:proofErr w:type="gramStart"/>
      <w:r w:rsidRPr="06417E2D">
        <w:rPr>
          <w:rFonts w:ascii="Arial" w:eastAsia="Arial" w:hAnsi="Arial" w:cs="Arial"/>
          <w:color w:val="000000" w:themeColor="text1"/>
          <w:sz w:val="24"/>
          <w:szCs w:val="24"/>
        </w:rPr>
        <w:t>many</w:t>
      </w:r>
      <w:proofErr w:type="gramEnd"/>
      <w:r w:rsidRPr="06417E2D">
        <w:rPr>
          <w:rFonts w:ascii="Arial" w:eastAsia="Arial" w:hAnsi="Arial" w:cs="Arial"/>
          <w:color w:val="000000" w:themeColor="text1"/>
          <w:sz w:val="24"/>
          <w:szCs w:val="24"/>
        </w:rPr>
        <w:t xml:space="preserve"> criticisms (Canter, 2017; Douglas, 1992; Ressler et al., 2013). Its primary limitation lies in its specificity, proving most effective in cases of murder and rape yet lacking versatility compared to methodologies like geographic profiling (Chifflet, 2015). The binary categorisation of offenders into organised and disorganised types oversimplifies the intricate spectrum of criminal behaviour, potentially compromising predictive accuracy (Ressler et al., 2013). Relying on a small, unrepresentative sample of sexually motivated murderers in the U.S. further challenges the method's generalizability (Douglas, 2013). Additionally, the absence of a robust theoretical foundation and the subjective nature of profilers' </w:t>
      </w:r>
      <w:proofErr w:type="gramStart"/>
      <w:r w:rsidRPr="06417E2D">
        <w:rPr>
          <w:rFonts w:ascii="Arial" w:eastAsia="Arial" w:hAnsi="Arial" w:cs="Arial"/>
          <w:color w:val="000000" w:themeColor="text1"/>
          <w:sz w:val="24"/>
          <w:szCs w:val="24"/>
        </w:rPr>
        <w:t>expertise</w:t>
      </w:r>
      <w:proofErr w:type="gramEnd"/>
      <w:r w:rsidRPr="06417E2D">
        <w:rPr>
          <w:rFonts w:ascii="Arial" w:eastAsia="Arial" w:hAnsi="Arial" w:cs="Arial"/>
          <w:color w:val="000000" w:themeColor="text1"/>
          <w:sz w:val="24"/>
          <w:szCs w:val="24"/>
        </w:rPr>
        <w:t xml:space="preserve"> raise doubts about the approach's scientific credibility (Canter, 2017). Critics advocate for a nuanced bottom-up approach, considering diverse motivations and crime patterns, as a potentially more comprehensive and reliable framework for offender profiling (Kocsis et al., 2019). Cultural bias, </w:t>
      </w:r>
      <w:r w:rsidR="00156E17" w:rsidRPr="06417E2D">
        <w:rPr>
          <w:rFonts w:ascii="Arial" w:eastAsia="Arial" w:hAnsi="Arial" w:cs="Arial"/>
          <w:color w:val="000000" w:themeColor="text1"/>
          <w:sz w:val="24"/>
          <w:szCs w:val="24"/>
        </w:rPr>
        <w:t>clear</w:t>
      </w:r>
      <w:r w:rsidRPr="06417E2D">
        <w:rPr>
          <w:rFonts w:ascii="Arial" w:eastAsia="Arial" w:hAnsi="Arial" w:cs="Arial"/>
          <w:color w:val="000000" w:themeColor="text1"/>
          <w:sz w:val="24"/>
          <w:szCs w:val="24"/>
        </w:rPr>
        <w:t xml:space="preserve"> in its roots in American cases, adds another layer of concern </w:t>
      </w:r>
      <w:proofErr w:type="gramStart"/>
      <w:r w:rsidRPr="06417E2D">
        <w:rPr>
          <w:rFonts w:ascii="Arial" w:eastAsia="Arial" w:hAnsi="Arial" w:cs="Arial"/>
          <w:color w:val="000000" w:themeColor="text1"/>
          <w:sz w:val="24"/>
          <w:szCs w:val="24"/>
        </w:rPr>
        <w:t>regarding</w:t>
      </w:r>
      <w:proofErr w:type="gramEnd"/>
      <w:r w:rsidRPr="06417E2D">
        <w:rPr>
          <w:rFonts w:ascii="Arial" w:eastAsia="Arial" w:hAnsi="Arial" w:cs="Arial"/>
          <w:color w:val="000000" w:themeColor="text1"/>
          <w:sz w:val="24"/>
          <w:szCs w:val="24"/>
        </w:rPr>
        <w:t xml:space="preserve"> generalisability to diverse cultural contexts, potentially overlooking crucial nuances in criminal behaviour (Canter, 2017). The approach's overemphasis on sexually motivated murderers restricts its </w:t>
      </w:r>
      <w:r w:rsidRPr="06417E2D">
        <w:rPr>
          <w:rFonts w:ascii="Arial" w:eastAsia="Arial" w:hAnsi="Arial" w:cs="Arial"/>
          <w:color w:val="000000" w:themeColor="text1"/>
          <w:sz w:val="24"/>
          <w:szCs w:val="24"/>
        </w:rPr>
        <w:lastRenderedPageBreak/>
        <w:t xml:space="preserve">relevance to a broader spectrum of criminal activities beyond homicide. At the same time, the rigid organised-disorganised typology hampers its adaptability to the dynamic nature of criminal behaviour (Godwin, 2012). Prioritising behavioural patterns over a comprehensive integration of psychological factors may neglect essential insights into offender motivations (Turvey, 2017). Moreover, the underestimation of environmental influences and the lack of standardisation introduce variability, challenging the overall reliability of profiling outcomes (Canter, 2017). These intricate criticisms underscore the pressing need for a more adaptive, culturally sensitive, and comprehensive profiling approach that accounts for a broader array of factors in the analysis of criminal behaviour (Snook et al., 2018; Alison et al., 2018). </w:t>
      </w:r>
    </w:p>
    <w:p w14:paraId="59A86649" w14:textId="57E5E54F" w:rsidR="1958689B" w:rsidRDefault="1958689B" w:rsidP="06417E2D">
      <w:pPr>
        <w:spacing w:line="480" w:lineRule="auto"/>
        <w:rPr>
          <w:rFonts w:ascii="Arial" w:eastAsia="Arial" w:hAnsi="Arial" w:cs="Arial"/>
          <w:color w:val="000000" w:themeColor="text1"/>
          <w:sz w:val="24"/>
          <w:szCs w:val="24"/>
        </w:rPr>
      </w:pPr>
      <w:r w:rsidRPr="06417E2D">
        <w:rPr>
          <w:rFonts w:ascii="Arial" w:eastAsia="Arial" w:hAnsi="Arial" w:cs="Arial"/>
          <w:color w:val="000000" w:themeColor="text1"/>
          <w:sz w:val="24"/>
          <w:szCs w:val="24"/>
        </w:rPr>
        <w:t xml:space="preserve">In criminal profiling methodologies, the United States and the United Kingdom exhibit contrasting data collection and analysis approaches. The American strategy heavily relies on sophisticated technologies and expansive databases like </w:t>
      </w:r>
      <w:proofErr w:type="spellStart"/>
      <w:r w:rsidRPr="06417E2D">
        <w:rPr>
          <w:rFonts w:ascii="Arial" w:eastAsia="Arial" w:hAnsi="Arial" w:cs="Arial"/>
          <w:color w:val="000000" w:themeColor="text1"/>
          <w:sz w:val="24"/>
          <w:szCs w:val="24"/>
        </w:rPr>
        <w:t>ViCAP</w:t>
      </w:r>
      <w:proofErr w:type="spellEnd"/>
      <w:r w:rsidRPr="06417E2D">
        <w:rPr>
          <w:rFonts w:ascii="Arial" w:eastAsia="Arial" w:hAnsi="Arial" w:cs="Arial"/>
          <w:color w:val="000000" w:themeColor="text1"/>
          <w:sz w:val="24"/>
          <w:szCs w:val="24"/>
        </w:rPr>
        <w:t xml:space="preserve"> (Violent Criminal Apprehension Program), alongside the utilisation of digital forensic tools, </w:t>
      </w:r>
      <w:proofErr w:type="gramStart"/>
      <w:r w:rsidRPr="06417E2D">
        <w:rPr>
          <w:rFonts w:ascii="Arial" w:eastAsia="Arial" w:hAnsi="Arial" w:cs="Arial"/>
          <w:color w:val="000000" w:themeColor="text1"/>
          <w:sz w:val="24"/>
          <w:szCs w:val="24"/>
        </w:rPr>
        <w:t>facilitating</w:t>
      </w:r>
      <w:proofErr w:type="gramEnd"/>
      <w:r w:rsidRPr="06417E2D">
        <w:rPr>
          <w:rFonts w:ascii="Arial" w:eastAsia="Arial" w:hAnsi="Arial" w:cs="Arial"/>
          <w:color w:val="000000" w:themeColor="text1"/>
          <w:sz w:val="24"/>
          <w:szCs w:val="24"/>
        </w:rPr>
        <w:t xml:space="preserve"> comprehensive data aggregation and analysis (Kayser, 2015; Douglas et al., 1986; Guerrini et al., 2021). In contrast, the British </w:t>
      </w:r>
      <w:proofErr w:type="gramStart"/>
      <w:r w:rsidRPr="06417E2D">
        <w:rPr>
          <w:rFonts w:ascii="Arial" w:eastAsia="Arial" w:hAnsi="Arial" w:cs="Arial"/>
          <w:color w:val="000000" w:themeColor="text1"/>
          <w:sz w:val="24"/>
          <w:szCs w:val="24"/>
        </w:rPr>
        <w:t>methodology</w:t>
      </w:r>
      <w:proofErr w:type="gramEnd"/>
      <w:r w:rsidRPr="06417E2D">
        <w:rPr>
          <w:rFonts w:ascii="Arial" w:eastAsia="Arial" w:hAnsi="Arial" w:cs="Arial"/>
          <w:color w:val="000000" w:themeColor="text1"/>
          <w:sz w:val="24"/>
          <w:szCs w:val="24"/>
        </w:rPr>
        <w:t xml:space="preserve"> Warikoo (2014) and Chifflet (2013) emphasise meticulous manual examination of crime scene evidence. This approach concentrates on behavioural patterns, modus operandi, signatures, and victimology, culminating in constructing detailed offender profiles (Canter, 2004; </w:t>
      </w:r>
      <w:proofErr w:type="spellStart"/>
      <w:r w:rsidRPr="06417E2D">
        <w:rPr>
          <w:rFonts w:ascii="Arial" w:eastAsia="Arial" w:hAnsi="Arial" w:cs="Arial"/>
          <w:color w:val="000000" w:themeColor="text1"/>
          <w:sz w:val="24"/>
          <w:szCs w:val="24"/>
        </w:rPr>
        <w:t>Rossmo</w:t>
      </w:r>
      <w:proofErr w:type="spellEnd"/>
      <w:r w:rsidRPr="06417E2D">
        <w:rPr>
          <w:rFonts w:ascii="Arial" w:eastAsia="Arial" w:hAnsi="Arial" w:cs="Arial"/>
          <w:color w:val="000000" w:themeColor="text1"/>
          <w:sz w:val="24"/>
          <w:szCs w:val="24"/>
        </w:rPr>
        <w:t>, 2012). Moreover, the U.K. incorporates geographical profiling techniques pioneered (</w:t>
      </w:r>
      <w:proofErr w:type="spellStart"/>
      <w:r w:rsidRPr="06417E2D">
        <w:rPr>
          <w:rFonts w:ascii="Arial" w:eastAsia="Arial" w:hAnsi="Arial" w:cs="Arial"/>
          <w:color w:val="000000" w:themeColor="text1"/>
          <w:sz w:val="24"/>
          <w:szCs w:val="24"/>
        </w:rPr>
        <w:t>Rossmo</w:t>
      </w:r>
      <w:proofErr w:type="spellEnd"/>
      <w:r w:rsidRPr="06417E2D">
        <w:rPr>
          <w:rFonts w:ascii="Arial" w:eastAsia="Arial" w:hAnsi="Arial" w:cs="Arial"/>
          <w:color w:val="000000" w:themeColor="text1"/>
          <w:sz w:val="24"/>
          <w:szCs w:val="24"/>
        </w:rPr>
        <w:t xml:space="preserve"> et al., 2016), emphasising spatial behaviour analysis to predict potential offender locations. These divergent methodologies underscore distinct preferences in the utilisation of technological tools and the depth </w:t>
      </w:r>
      <w:r w:rsidRPr="06417E2D">
        <w:rPr>
          <w:rFonts w:ascii="Arial" w:eastAsia="Arial" w:hAnsi="Arial" w:cs="Arial"/>
          <w:color w:val="000000" w:themeColor="text1"/>
          <w:sz w:val="24"/>
          <w:szCs w:val="24"/>
        </w:rPr>
        <w:lastRenderedPageBreak/>
        <w:t xml:space="preserve">of qualitative examination within the criminal profiling techniques employed by the two nations. </w:t>
      </w:r>
    </w:p>
    <w:p w14:paraId="2C4EB15A" w14:textId="7B426091" w:rsidR="1958689B" w:rsidRDefault="1958689B" w:rsidP="06417E2D">
      <w:pPr>
        <w:spacing w:line="480" w:lineRule="auto"/>
        <w:rPr>
          <w:rFonts w:ascii="Arial" w:eastAsia="Arial" w:hAnsi="Arial" w:cs="Arial"/>
          <w:color w:val="000000" w:themeColor="text1"/>
          <w:sz w:val="24"/>
          <w:szCs w:val="24"/>
        </w:rPr>
      </w:pPr>
      <w:r w:rsidRPr="06417E2D">
        <w:rPr>
          <w:rFonts w:ascii="Arial" w:eastAsia="Arial" w:hAnsi="Arial" w:cs="Arial"/>
          <w:color w:val="000000" w:themeColor="text1"/>
          <w:sz w:val="24"/>
          <w:szCs w:val="24"/>
        </w:rPr>
        <w:t xml:space="preserve">Furthermore, there have been notable cases in criminal profiling which have </w:t>
      </w:r>
      <w:proofErr w:type="gramStart"/>
      <w:r w:rsidRPr="06417E2D">
        <w:rPr>
          <w:rFonts w:ascii="Arial" w:eastAsia="Arial" w:hAnsi="Arial" w:cs="Arial"/>
          <w:color w:val="000000" w:themeColor="text1"/>
          <w:sz w:val="24"/>
          <w:szCs w:val="24"/>
        </w:rPr>
        <w:t>showcased</w:t>
      </w:r>
      <w:proofErr w:type="gramEnd"/>
      <w:r w:rsidRPr="06417E2D">
        <w:rPr>
          <w:rFonts w:ascii="Arial" w:eastAsia="Arial" w:hAnsi="Arial" w:cs="Arial"/>
          <w:color w:val="000000" w:themeColor="text1"/>
          <w:sz w:val="24"/>
          <w:szCs w:val="24"/>
        </w:rPr>
        <w:t xml:space="preserve"> the effectiveness of both the U.S. and U.K. approaches. In the U.K., the case of John Duffy, the 'Railway Rapist,' highlighted the successful use of geographical profiling. Duffy's apprehension resulted from the application of Canter's geographic profiling principles, aiding in narrowing down the search area for the offender, eventually leading to his capture (Canter, 2017). Contrastingly, the U.S. </w:t>
      </w:r>
      <w:proofErr w:type="gramStart"/>
      <w:r w:rsidRPr="06417E2D">
        <w:rPr>
          <w:rFonts w:ascii="Arial" w:eastAsia="Arial" w:hAnsi="Arial" w:cs="Arial"/>
          <w:color w:val="000000" w:themeColor="text1"/>
          <w:sz w:val="24"/>
          <w:szCs w:val="24"/>
        </w:rPr>
        <w:t>witnessed</w:t>
      </w:r>
      <w:proofErr w:type="gramEnd"/>
      <w:r w:rsidRPr="06417E2D">
        <w:rPr>
          <w:rFonts w:ascii="Arial" w:eastAsia="Arial" w:hAnsi="Arial" w:cs="Arial"/>
          <w:color w:val="000000" w:themeColor="text1"/>
          <w:sz w:val="24"/>
          <w:szCs w:val="24"/>
        </w:rPr>
        <w:t xml:space="preserve"> the infamous Unabomber case, where linguistic profiling techniques played a pivotal role. The FBI, using linguistic analysis, </w:t>
      </w:r>
      <w:proofErr w:type="gramStart"/>
      <w:r w:rsidRPr="06417E2D">
        <w:rPr>
          <w:rFonts w:ascii="Arial" w:eastAsia="Arial" w:hAnsi="Arial" w:cs="Arial"/>
          <w:color w:val="000000" w:themeColor="text1"/>
          <w:sz w:val="24"/>
          <w:szCs w:val="24"/>
        </w:rPr>
        <w:t>identified</w:t>
      </w:r>
      <w:proofErr w:type="gramEnd"/>
      <w:r w:rsidRPr="06417E2D">
        <w:rPr>
          <w:rFonts w:ascii="Arial" w:eastAsia="Arial" w:hAnsi="Arial" w:cs="Arial"/>
          <w:color w:val="000000" w:themeColor="text1"/>
          <w:sz w:val="24"/>
          <w:szCs w:val="24"/>
        </w:rPr>
        <w:t xml:space="preserve"> Ted Kaczynski as the Unabomber through his distinct writing style in the manifesto, ultimately contributing to his arrest (</w:t>
      </w:r>
      <w:proofErr w:type="spellStart"/>
      <w:r w:rsidRPr="06417E2D">
        <w:rPr>
          <w:rFonts w:ascii="Arial" w:eastAsia="Arial" w:hAnsi="Arial" w:cs="Arial"/>
          <w:color w:val="000000" w:themeColor="text1"/>
          <w:sz w:val="24"/>
          <w:szCs w:val="24"/>
        </w:rPr>
        <w:t>Bjelajac</w:t>
      </w:r>
      <w:proofErr w:type="spellEnd"/>
      <w:r w:rsidRPr="06417E2D">
        <w:rPr>
          <w:rFonts w:ascii="Arial" w:eastAsia="Arial" w:hAnsi="Arial" w:cs="Arial"/>
          <w:color w:val="000000" w:themeColor="text1"/>
          <w:sz w:val="24"/>
          <w:szCs w:val="24"/>
        </w:rPr>
        <w:t xml:space="preserve"> &amp; Filipović, 2022). However, despite these successes, both countries face challenges in criminal profiling. The U.S. confronts issues of overspecialisation and limited data access, restricting the profiling methods' generalizability (Alison et al., 2018). In the U.K., challenges revolve around victimology limitations and the risk of oversimplification in geographical profiling, particularly in cases involving transient offenders (</w:t>
      </w:r>
      <w:proofErr w:type="spellStart"/>
      <w:r w:rsidRPr="06417E2D">
        <w:rPr>
          <w:rFonts w:ascii="Arial" w:eastAsia="Arial" w:hAnsi="Arial" w:cs="Arial"/>
          <w:color w:val="000000" w:themeColor="text1"/>
          <w:sz w:val="24"/>
          <w:szCs w:val="24"/>
        </w:rPr>
        <w:t>Chiflet</w:t>
      </w:r>
      <w:proofErr w:type="spellEnd"/>
      <w:r w:rsidRPr="06417E2D">
        <w:rPr>
          <w:rFonts w:ascii="Arial" w:eastAsia="Arial" w:hAnsi="Arial" w:cs="Arial"/>
          <w:color w:val="000000" w:themeColor="text1"/>
          <w:sz w:val="24"/>
          <w:szCs w:val="24"/>
        </w:rPr>
        <w:t xml:space="preserve">, 2015). </w:t>
      </w:r>
    </w:p>
    <w:p w14:paraId="6088AE1F" w14:textId="75C0091C" w:rsidR="1958689B" w:rsidRDefault="1958689B" w:rsidP="06417E2D">
      <w:pPr>
        <w:spacing w:line="480" w:lineRule="auto"/>
        <w:rPr>
          <w:rFonts w:ascii="Arial" w:eastAsia="Arial" w:hAnsi="Arial" w:cs="Arial"/>
          <w:color w:val="000000" w:themeColor="text1"/>
          <w:sz w:val="24"/>
          <w:szCs w:val="24"/>
        </w:rPr>
      </w:pPr>
      <w:r w:rsidRPr="06417E2D">
        <w:rPr>
          <w:rFonts w:ascii="Arial" w:eastAsia="Arial" w:hAnsi="Arial" w:cs="Arial"/>
          <w:color w:val="000000" w:themeColor="text1"/>
          <w:sz w:val="24"/>
          <w:szCs w:val="24"/>
        </w:rPr>
        <w:t xml:space="preserve">Moreover, the media's portrayal of criminal profiling in both the United States and the United Kingdom has significantly influenced public </w:t>
      </w:r>
      <w:proofErr w:type="gramStart"/>
      <w:r w:rsidRPr="06417E2D">
        <w:rPr>
          <w:rFonts w:ascii="Arial" w:eastAsia="Arial" w:hAnsi="Arial" w:cs="Arial"/>
          <w:color w:val="000000" w:themeColor="text1"/>
          <w:sz w:val="24"/>
          <w:szCs w:val="24"/>
        </w:rPr>
        <w:t>perceptions</w:t>
      </w:r>
      <w:proofErr w:type="gramEnd"/>
      <w:r w:rsidRPr="06417E2D">
        <w:rPr>
          <w:rFonts w:ascii="Arial" w:eastAsia="Arial" w:hAnsi="Arial" w:cs="Arial"/>
          <w:color w:val="000000" w:themeColor="text1"/>
          <w:sz w:val="24"/>
          <w:szCs w:val="24"/>
        </w:rPr>
        <w:t xml:space="preserve"> of this investigative tool. Media coverage tends to highlight high-profile cases where criminal profiling has played a notable role, contributing to its mystique and perceived effectiveness (Holmes &amp; Holmes, 2019). However, this depiction often simplifies the complexities and limitations of profiling methodologies (Beech et al., 2006). Notable cases like targeted school shootings have been subject to media scrutiny, influencing the public's understanding of offender profiling (Chermak &amp; Weiss, 2005). The dramatic </w:t>
      </w:r>
      <w:r w:rsidRPr="06417E2D">
        <w:rPr>
          <w:rFonts w:ascii="Arial" w:eastAsia="Arial" w:hAnsi="Arial" w:cs="Arial"/>
          <w:color w:val="000000" w:themeColor="text1"/>
          <w:sz w:val="24"/>
          <w:szCs w:val="24"/>
        </w:rPr>
        <w:lastRenderedPageBreak/>
        <w:t xml:space="preserve">representation of profiling in popular T.V. shows and movies further shapes public </w:t>
      </w:r>
      <w:proofErr w:type="gramStart"/>
      <w:r w:rsidRPr="06417E2D">
        <w:rPr>
          <w:rFonts w:ascii="Arial" w:eastAsia="Arial" w:hAnsi="Arial" w:cs="Arial"/>
          <w:color w:val="000000" w:themeColor="text1"/>
          <w:sz w:val="24"/>
          <w:szCs w:val="24"/>
        </w:rPr>
        <w:t>perception</w:t>
      </w:r>
      <w:proofErr w:type="gramEnd"/>
      <w:r w:rsidRPr="06417E2D">
        <w:rPr>
          <w:rFonts w:ascii="Arial" w:eastAsia="Arial" w:hAnsi="Arial" w:cs="Arial"/>
          <w:color w:val="000000" w:themeColor="text1"/>
          <w:sz w:val="24"/>
          <w:szCs w:val="24"/>
        </w:rPr>
        <w:t xml:space="preserve">, sometimes presenting an exaggerated or inaccurate portrayal of the process (Ressler &amp; Schachtman, 1992). This glorified depiction occasionally fosters unrealistic expectations among the public </w:t>
      </w:r>
      <w:proofErr w:type="gramStart"/>
      <w:r w:rsidRPr="06417E2D">
        <w:rPr>
          <w:rFonts w:ascii="Arial" w:eastAsia="Arial" w:hAnsi="Arial" w:cs="Arial"/>
          <w:color w:val="000000" w:themeColor="text1"/>
          <w:sz w:val="24"/>
          <w:szCs w:val="24"/>
        </w:rPr>
        <w:t>regarding</w:t>
      </w:r>
      <w:proofErr w:type="gramEnd"/>
      <w:r w:rsidRPr="06417E2D">
        <w:rPr>
          <w:rFonts w:ascii="Arial" w:eastAsia="Arial" w:hAnsi="Arial" w:cs="Arial"/>
          <w:color w:val="000000" w:themeColor="text1"/>
          <w:sz w:val="24"/>
          <w:szCs w:val="24"/>
        </w:rPr>
        <w:t xml:space="preserve"> the capabilities of criminal profiling (Kocsis, 2017). Consequently, the public </w:t>
      </w:r>
      <w:proofErr w:type="gramStart"/>
      <w:r w:rsidRPr="06417E2D">
        <w:rPr>
          <w:rFonts w:ascii="Arial" w:eastAsia="Arial" w:hAnsi="Arial" w:cs="Arial"/>
          <w:color w:val="000000" w:themeColor="text1"/>
          <w:sz w:val="24"/>
          <w:szCs w:val="24"/>
        </w:rPr>
        <w:t>perception</w:t>
      </w:r>
      <w:proofErr w:type="gramEnd"/>
      <w:r w:rsidRPr="06417E2D">
        <w:rPr>
          <w:rFonts w:ascii="Arial" w:eastAsia="Arial" w:hAnsi="Arial" w:cs="Arial"/>
          <w:color w:val="000000" w:themeColor="text1"/>
          <w:sz w:val="24"/>
          <w:szCs w:val="24"/>
        </w:rPr>
        <w:t xml:space="preserve"> of profiling as a definitive solution often overlooks its inherent challenges and limitations, affecting its effectiveness in real-world investigations (Kocsis, 2006) </w:t>
      </w:r>
    </w:p>
    <w:p w14:paraId="0574DE26" w14:textId="66F19478" w:rsidR="1958689B" w:rsidRDefault="1958689B" w:rsidP="06417E2D">
      <w:pPr>
        <w:spacing w:line="480" w:lineRule="auto"/>
        <w:rPr>
          <w:rFonts w:ascii="Arial" w:eastAsia="Arial" w:hAnsi="Arial" w:cs="Arial"/>
          <w:color w:val="000000" w:themeColor="text1"/>
          <w:sz w:val="24"/>
          <w:szCs w:val="24"/>
        </w:rPr>
      </w:pPr>
      <w:r w:rsidRPr="06417E2D">
        <w:rPr>
          <w:rFonts w:ascii="Arial" w:eastAsia="Arial" w:hAnsi="Arial" w:cs="Arial"/>
          <w:color w:val="000000" w:themeColor="text1"/>
          <w:sz w:val="24"/>
          <w:szCs w:val="24"/>
        </w:rPr>
        <w:t xml:space="preserve">In addition, ethical standards within criminal profiling diverge across the United Kingdom and the United States, reflecting variations in legal frameworks and cultural contexts. In the U.K., ethical guidelines emphasise meticulous data handling, avoidance of stereotyping, and continual professional development to ensure accuracy in profiling practices (Grubin, 2008; Woodhams &amp; Labuschagne, 2016). Conversely, ethical guidelines in the U.S., as </w:t>
      </w:r>
      <w:proofErr w:type="gramStart"/>
      <w:r w:rsidRPr="06417E2D">
        <w:rPr>
          <w:rFonts w:ascii="Arial" w:eastAsia="Arial" w:hAnsi="Arial" w:cs="Arial"/>
          <w:color w:val="000000" w:themeColor="text1"/>
          <w:sz w:val="24"/>
          <w:szCs w:val="24"/>
        </w:rPr>
        <w:t>established</w:t>
      </w:r>
      <w:proofErr w:type="gramEnd"/>
      <w:r w:rsidRPr="06417E2D">
        <w:rPr>
          <w:rFonts w:ascii="Arial" w:eastAsia="Arial" w:hAnsi="Arial" w:cs="Arial"/>
          <w:color w:val="000000" w:themeColor="text1"/>
          <w:sz w:val="24"/>
          <w:szCs w:val="24"/>
        </w:rPr>
        <w:t xml:space="preserve"> by agencies like the FBI, are accompanied by ongoing debates concerning potential profiling misuse and the infringement of civil liberties (Kocsis &amp; Irwin, 1997). Persistent controversies in both regions involve accusations of profiling replacing thorough investigation, reinforcing biases, and the risk of diverting investigations based on subjective interpretations (Snook et al., 2018; Kocsis, 2015). Ethical challenges are inherent in profiling, as </w:t>
      </w:r>
      <w:proofErr w:type="gramStart"/>
      <w:r w:rsidRPr="06417E2D">
        <w:rPr>
          <w:rFonts w:ascii="Arial" w:eastAsia="Arial" w:hAnsi="Arial" w:cs="Arial"/>
          <w:color w:val="000000" w:themeColor="text1"/>
          <w:sz w:val="24"/>
          <w:szCs w:val="24"/>
        </w:rPr>
        <w:t>erroneous</w:t>
      </w:r>
      <w:proofErr w:type="gramEnd"/>
      <w:r w:rsidRPr="06417E2D">
        <w:rPr>
          <w:rFonts w:ascii="Arial" w:eastAsia="Arial" w:hAnsi="Arial" w:cs="Arial"/>
          <w:color w:val="000000" w:themeColor="text1"/>
          <w:sz w:val="24"/>
          <w:szCs w:val="24"/>
        </w:rPr>
        <w:t xml:space="preserve"> conclusions or premature suspect identification can severely impact innocent individuals and investigative integrity (Dien, 2008; Jackson &amp; Bekerian, 1997). The perpetual balancing act between effective law enforcement and protecting individual rights necessitates ongoing reassessment and refinement of ethical protocols in British and American profiling methodologies. </w:t>
      </w:r>
    </w:p>
    <w:p w14:paraId="32F496EF" w14:textId="35DA3BBF" w:rsidR="1958689B" w:rsidRDefault="1958689B" w:rsidP="06417E2D">
      <w:pPr>
        <w:spacing w:line="480" w:lineRule="auto"/>
        <w:rPr>
          <w:rFonts w:ascii="Arial" w:eastAsia="Arial" w:hAnsi="Arial" w:cs="Arial"/>
          <w:color w:val="000000" w:themeColor="text1"/>
          <w:sz w:val="24"/>
          <w:szCs w:val="24"/>
        </w:rPr>
      </w:pPr>
      <w:r w:rsidRPr="06417E2D">
        <w:rPr>
          <w:rFonts w:ascii="Arial" w:eastAsia="Arial" w:hAnsi="Arial" w:cs="Arial"/>
          <w:color w:val="000000" w:themeColor="text1"/>
          <w:sz w:val="24"/>
          <w:szCs w:val="24"/>
        </w:rPr>
        <w:t xml:space="preserve">Both the United Kingdom and the United States continue to explore avenues for enhancing their respective criminal profiling methodologies through technological </w:t>
      </w:r>
      <w:r w:rsidRPr="06417E2D">
        <w:rPr>
          <w:rFonts w:ascii="Arial" w:eastAsia="Arial" w:hAnsi="Arial" w:cs="Arial"/>
          <w:color w:val="000000" w:themeColor="text1"/>
          <w:sz w:val="24"/>
          <w:szCs w:val="24"/>
        </w:rPr>
        <w:lastRenderedPageBreak/>
        <w:t xml:space="preserve">advancements and theoretical developments. In the U.K., an emerging focus revolves around integrating advanced data analytics and machine learning into profiling techniques, allowing for a more extensive and nuanced analysis of crime scene evidence (Woodhams &amp; Labuschagne, 2016). Adopting geographic information systems (GIS) and computational tools </w:t>
      </w:r>
      <w:proofErr w:type="gramStart"/>
      <w:r w:rsidRPr="06417E2D">
        <w:rPr>
          <w:rFonts w:ascii="Arial" w:eastAsia="Arial" w:hAnsi="Arial" w:cs="Arial"/>
          <w:color w:val="000000" w:themeColor="text1"/>
          <w:sz w:val="24"/>
          <w:szCs w:val="24"/>
        </w:rPr>
        <w:t>facilitates</w:t>
      </w:r>
      <w:proofErr w:type="gramEnd"/>
      <w:r w:rsidRPr="06417E2D">
        <w:rPr>
          <w:rFonts w:ascii="Arial" w:eastAsia="Arial" w:hAnsi="Arial" w:cs="Arial"/>
          <w:color w:val="000000" w:themeColor="text1"/>
          <w:sz w:val="24"/>
          <w:szCs w:val="24"/>
        </w:rPr>
        <w:t xml:space="preserve"> enhanced geographical profiling, offering insights into spatial behaviour with greater accuracy and speed (</w:t>
      </w:r>
      <w:proofErr w:type="spellStart"/>
      <w:r w:rsidRPr="06417E2D">
        <w:rPr>
          <w:rFonts w:ascii="Arial" w:eastAsia="Arial" w:hAnsi="Arial" w:cs="Arial"/>
          <w:color w:val="000000" w:themeColor="text1"/>
          <w:sz w:val="24"/>
          <w:szCs w:val="24"/>
        </w:rPr>
        <w:t>Rossmo</w:t>
      </w:r>
      <w:proofErr w:type="spellEnd"/>
      <w:r w:rsidRPr="06417E2D">
        <w:rPr>
          <w:rFonts w:ascii="Arial" w:eastAsia="Arial" w:hAnsi="Arial" w:cs="Arial"/>
          <w:color w:val="000000" w:themeColor="text1"/>
          <w:sz w:val="24"/>
          <w:szCs w:val="24"/>
        </w:rPr>
        <w:t xml:space="preserve">, 2000). Similarly, in the U.S., efforts are underway to integrate artificial intelligence (A.I.) and big data analytics into profiling practices, aiming to streamline data collection and analysis (Gurule et al., 2020). Moreover, a shift towards a more collaborative and multidisciplinary approach, integrating insights from psychology, sociology, and computer science, is gaining traction in both countries to fortify the reliability and effectiveness of criminal profiling methodologies (Canter &amp; Hammond, 2016; Douglas et al., 2006). These potential changes and innovations hold promise in refining profiling accuracy, reducing biases, and adapting to evolving criminal behaviours. </w:t>
      </w:r>
    </w:p>
    <w:p w14:paraId="5487809F" w14:textId="20361C05" w:rsidR="1958689B" w:rsidRDefault="1958689B" w:rsidP="06417E2D">
      <w:pPr>
        <w:spacing w:line="480" w:lineRule="auto"/>
        <w:rPr>
          <w:rFonts w:ascii="Arial" w:eastAsia="Arial" w:hAnsi="Arial" w:cs="Arial"/>
          <w:color w:val="000000" w:themeColor="text1"/>
          <w:sz w:val="24"/>
          <w:szCs w:val="24"/>
        </w:rPr>
      </w:pPr>
      <w:r w:rsidRPr="06417E2D">
        <w:rPr>
          <w:rFonts w:ascii="Arial" w:eastAsia="Arial" w:hAnsi="Arial" w:cs="Arial"/>
          <w:color w:val="000000" w:themeColor="text1"/>
          <w:sz w:val="24"/>
          <w:szCs w:val="24"/>
        </w:rPr>
        <w:t xml:space="preserve">In summary, as research in criminal profiling continues, it is evident that the United Kingdom and the United States adopt divergent yet evolving methodologies. The British bottom-up approach, rooted in meticulous crime scene analysis and behavioural patterns, confronts criticisms regarding limitations in victimology and potential oversimplification in geographical profiling. In contrast, the American top-down strategy, reliant on established behavioural classifications, faces challenges of overspecialisation, limited generalizability, and cultural biases. Notable successes in profiling, such as the John Duffy case in the U.K. and the Unabomber case in the U.S., demonstrate the efficacy of distinct profiling techniques in solving complex crimes. However, both nations encounter ethical dilemmas, public misconceptions </w:t>
      </w:r>
      <w:r w:rsidRPr="06417E2D">
        <w:rPr>
          <w:rFonts w:ascii="Arial" w:eastAsia="Arial" w:hAnsi="Arial" w:cs="Arial"/>
          <w:color w:val="000000" w:themeColor="text1"/>
          <w:sz w:val="24"/>
          <w:szCs w:val="24"/>
        </w:rPr>
        <w:lastRenderedPageBreak/>
        <w:t xml:space="preserve">shaped by media portrayal, and ongoing challenges that </w:t>
      </w:r>
      <w:proofErr w:type="gramStart"/>
      <w:r w:rsidRPr="06417E2D">
        <w:rPr>
          <w:rFonts w:ascii="Arial" w:eastAsia="Arial" w:hAnsi="Arial" w:cs="Arial"/>
          <w:color w:val="000000" w:themeColor="text1"/>
          <w:sz w:val="24"/>
          <w:szCs w:val="24"/>
        </w:rPr>
        <w:t>necessitate</w:t>
      </w:r>
      <w:proofErr w:type="gramEnd"/>
      <w:r w:rsidRPr="06417E2D">
        <w:rPr>
          <w:rFonts w:ascii="Arial" w:eastAsia="Arial" w:hAnsi="Arial" w:cs="Arial"/>
          <w:color w:val="000000" w:themeColor="text1"/>
          <w:sz w:val="24"/>
          <w:szCs w:val="24"/>
        </w:rPr>
        <w:t xml:space="preserve"> a continuous re-evaluation of profiling methods. </w:t>
      </w:r>
    </w:p>
    <w:p w14:paraId="4D153A3B" w14:textId="74789220" w:rsidR="1958689B" w:rsidRDefault="1958689B" w:rsidP="06417E2D">
      <w:pPr>
        <w:spacing w:line="480" w:lineRule="auto"/>
        <w:rPr>
          <w:rFonts w:ascii="Arial" w:eastAsia="Arial" w:hAnsi="Arial" w:cs="Arial"/>
          <w:color w:val="000000" w:themeColor="text1"/>
          <w:sz w:val="24"/>
          <w:szCs w:val="24"/>
        </w:rPr>
      </w:pPr>
      <w:r w:rsidRPr="06417E2D">
        <w:rPr>
          <w:rFonts w:ascii="Arial" w:eastAsia="Arial" w:hAnsi="Arial" w:cs="Arial"/>
          <w:color w:val="000000" w:themeColor="text1"/>
          <w:sz w:val="24"/>
          <w:szCs w:val="24"/>
        </w:rPr>
        <w:t xml:space="preserve">The portrayal of criminal profiling in the media significantly influences public </w:t>
      </w:r>
      <w:proofErr w:type="gramStart"/>
      <w:r w:rsidRPr="06417E2D">
        <w:rPr>
          <w:rFonts w:ascii="Arial" w:eastAsia="Arial" w:hAnsi="Arial" w:cs="Arial"/>
          <w:color w:val="000000" w:themeColor="text1"/>
          <w:sz w:val="24"/>
          <w:szCs w:val="24"/>
        </w:rPr>
        <w:t>perception</w:t>
      </w:r>
      <w:proofErr w:type="gramEnd"/>
      <w:r w:rsidRPr="06417E2D">
        <w:rPr>
          <w:rFonts w:ascii="Arial" w:eastAsia="Arial" w:hAnsi="Arial" w:cs="Arial"/>
          <w:color w:val="000000" w:themeColor="text1"/>
          <w:sz w:val="24"/>
          <w:szCs w:val="24"/>
        </w:rPr>
        <w:t xml:space="preserve">. Glorified depictions in T.V. shows and movies often oversimplify the process, creating unrealistic expectations about its capabilities. Ethical considerations diverge between the U.K. and the U.S., reflecting legal frameworks and cultural context variations. While the U.K. emphasises meticulous data handling and avoidance of stereotyping, the U.S. faces debates over profiling misuse and infringement of civil liberties. Both regions grapple with ethical controversies, such as reinforcing biases and the risk of diverting investigations based on subjective interpretations. However, both countries are actively exploring advancements in technology, such as data analytics, machine learning, and interdisciplinary collaboration, aiming to refine profiling accuracy and adapt to evolving criminal behaviours. </w:t>
      </w:r>
    </w:p>
    <w:p w14:paraId="745193FD" w14:textId="5117EB3D" w:rsidR="007E0637" w:rsidRPr="00DD1CAA" w:rsidRDefault="1958689B" w:rsidP="00DD1CAA">
      <w:pPr>
        <w:spacing w:line="480" w:lineRule="auto"/>
        <w:rPr>
          <w:rFonts w:ascii="Arial" w:eastAsia="Arial" w:hAnsi="Arial" w:cs="Arial"/>
          <w:color w:val="000000" w:themeColor="text1"/>
          <w:sz w:val="24"/>
          <w:szCs w:val="24"/>
        </w:rPr>
      </w:pPr>
      <w:r w:rsidRPr="06417E2D">
        <w:rPr>
          <w:rFonts w:ascii="Arial" w:eastAsia="Arial" w:hAnsi="Arial" w:cs="Arial"/>
          <w:color w:val="000000" w:themeColor="text1"/>
          <w:sz w:val="24"/>
          <w:szCs w:val="24"/>
        </w:rPr>
        <w:t xml:space="preserve">Ultimately, the field of criminal profiling stands at a crucial juncture where advancements in technology, ethical considerations, and public perception intersect. The continued evolution and integration of advanced methodologies and ethical frameworks in both countries present an opportunity to enhance the accuracy and reliability of criminal profiling. However, addressing inherent challenges, improving public understanding through accurate portrayal, and navigating ethical concerns </w:t>
      </w:r>
      <w:proofErr w:type="gramStart"/>
      <w:r w:rsidRPr="06417E2D">
        <w:rPr>
          <w:rFonts w:ascii="Arial" w:eastAsia="Arial" w:hAnsi="Arial" w:cs="Arial"/>
          <w:color w:val="000000" w:themeColor="text1"/>
          <w:sz w:val="24"/>
          <w:szCs w:val="24"/>
        </w:rPr>
        <w:t>remain</w:t>
      </w:r>
      <w:proofErr w:type="gramEnd"/>
      <w:r w:rsidRPr="06417E2D">
        <w:rPr>
          <w:rFonts w:ascii="Arial" w:eastAsia="Arial" w:hAnsi="Arial" w:cs="Arial"/>
          <w:color w:val="000000" w:themeColor="text1"/>
          <w:sz w:val="24"/>
          <w:szCs w:val="24"/>
        </w:rPr>
        <w:t xml:space="preserve"> pivotal for ensuring profiling methodologies' effectiveness and ethical integrity in addressing complex criminal investigations. While criminal profiling has </w:t>
      </w:r>
      <w:proofErr w:type="gramStart"/>
      <w:r w:rsidRPr="06417E2D">
        <w:rPr>
          <w:rFonts w:ascii="Arial" w:eastAsia="Arial" w:hAnsi="Arial" w:cs="Arial"/>
          <w:color w:val="000000" w:themeColor="text1"/>
          <w:sz w:val="24"/>
          <w:szCs w:val="24"/>
        </w:rPr>
        <w:t>demonstrated</w:t>
      </w:r>
      <w:proofErr w:type="gramEnd"/>
      <w:r w:rsidRPr="06417E2D">
        <w:rPr>
          <w:rFonts w:ascii="Arial" w:eastAsia="Arial" w:hAnsi="Arial" w:cs="Arial"/>
          <w:color w:val="000000" w:themeColor="text1"/>
          <w:sz w:val="24"/>
          <w:szCs w:val="24"/>
        </w:rPr>
        <w:t xml:space="preserve"> successes in aiding investigations and offering valuable insights, it also exhibits limitations and challenges that restrict its universal effectiveness.</w:t>
      </w:r>
    </w:p>
    <w:p w14:paraId="1B56C00D" w14:textId="398860B0" w:rsidR="007D70D4" w:rsidRPr="000A08D5" w:rsidRDefault="007D70D4" w:rsidP="008A6BA7">
      <w:pPr>
        <w:spacing w:line="360" w:lineRule="auto"/>
        <w:rPr>
          <w:rFonts w:ascii="Arial" w:hAnsi="Arial" w:cs="Arial"/>
          <w:color w:val="000000" w:themeColor="text1"/>
          <w:sz w:val="24"/>
          <w:szCs w:val="24"/>
          <w:u w:val="single"/>
          <w:shd w:val="clear" w:color="auto" w:fill="FFFFFF"/>
        </w:rPr>
      </w:pPr>
      <w:r w:rsidRPr="000A08D5">
        <w:rPr>
          <w:rFonts w:ascii="Arial" w:hAnsi="Arial" w:cs="Arial"/>
          <w:color w:val="000000" w:themeColor="text1"/>
          <w:sz w:val="24"/>
          <w:szCs w:val="24"/>
          <w:u w:val="single"/>
          <w:shd w:val="clear" w:color="auto" w:fill="FFFFFF"/>
        </w:rPr>
        <w:lastRenderedPageBreak/>
        <w:t xml:space="preserve">Reference </w:t>
      </w:r>
    </w:p>
    <w:p w14:paraId="36BEFAAB"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Ackley, C. N. (2017). Criminal Investigative Analysis: A Move Toward a Scientific, Multidisciplinary Model</w:t>
      </w:r>
      <w:r w:rsidRPr="00621BD4">
        <w:rPr>
          <w:rFonts w:ascii="Arial" w:eastAsia="Arial" w:hAnsi="Arial" w:cs="Arial"/>
          <w:i/>
          <w:iCs/>
          <w:sz w:val="24"/>
          <w:szCs w:val="24"/>
        </w:rPr>
        <w:t>. Handbook of Behavioral Criminology</w:t>
      </w:r>
      <w:r w:rsidRPr="00621BD4">
        <w:rPr>
          <w:rFonts w:ascii="Arial" w:eastAsia="Arial" w:hAnsi="Arial" w:cs="Arial"/>
          <w:sz w:val="24"/>
          <w:szCs w:val="24"/>
        </w:rPr>
        <w:t xml:space="preserve">, 215-236. </w:t>
      </w:r>
    </w:p>
    <w:p w14:paraId="57A33628"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Alison, L., Goodwill, A., Almond, L., &amp; van den Heuvel, C. (2018). The efficacy of offender profiling: A meta-analysis. </w:t>
      </w:r>
      <w:r w:rsidRPr="00621BD4">
        <w:rPr>
          <w:rFonts w:ascii="Arial" w:eastAsia="Arial" w:hAnsi="Arial" w:cs="Arial"/>
          <w:i/>
          <w:iCs/>
          <w:sz w:val="24"/>
          <w:szCs w:val="24"/>
        </w:rPr>
        <w:t>International Journal of Offender Therapy and Comparative Criminology, 62</w:t>
      </w:r>
      <w:r w:rsidRPr="00621BD4">
        <w:rPr>
          <w:rFonts w:ascii="Arial" w:eastAsia="Arial" w:hAnsi="Arial" w:cs="Arial"/>
          <w:sz w:val="24"/>
          <w:szCs w:val="24"/>
        </w:rPr>
        <w:t xml:space="preserve">(13), 4225-4243. </w:t>
      </w:r>
    </w:p>
    <w:p w14:paraId="2B6173AD"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Beech, A. R., Carter, A. J., &amp; Mann, R. E. (2006). A general positive research hypothesis in forensic psychology: the bad is stronger than the good. </w:t>
      </w:r>
      <w:r w:rsidRPr="00621BD4">
        <w:rPr>
          <w:rFonts w:ascii="Arial" w:eastAsia="Arial" w:hAnsi="Arial" w:cs="Arial"/>
          <w:i/>
          <w:iCs/>
          <w:sz w:val="24"/>
          <w:szCs w:val="24"/>
        </w:rPr>
        <w:t>Psychology, Crime &amp; Law, 12</w:t>
      </w:r>
      <w:r w:rsidRPr="00621BD4">
        <w:rPr>
          <w:rFonts w:ascii="Arial" w:eastAsia="Arial" w:hAnsi="Arial" w:cs="Arial"/>
          <w:sz w:val="24"/>
          <w:szCs w:val="24"/>
        </w:rPr>
        <w:t xml:space="preserve">(4), 399-404. </w:t>
      </w:r>
    </w:p>
    <w:p w14:paraId="549F70D7"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Bennell, C., Blaskovits, B. (2020). </w:t>
      </w:r>
      <w:r w:rsidRPr="00621BD4">
        <w:rPr>
          <w:rFonts w:ascii="Arial" w:eastAsia="Arial" w:hAnsi="Arial" w:cs="Arial"/>
          <w:i/>
          <w:sz w:val="24"/>
          <w:szCs w:val="24"/>
        </w:rPr>
        <w:t>Offender Profiling.</w:t>
      </w:r>
      <w:r w:rsidRPr="00621BD4">
        <w:rPr>
          <w:rFonts w:ascii="Arial" w:eastAsia="Arial" w:hAnsi="Arial" w:cs="Arial"/>
          <w:sz w:val="24"/>
          <w:szCs w:val="24"/>
        </w:rPr>
        <w:t xml:space="preserve"> In: Zeigler-Hill, V., Shackelford, T.K. (eds) Encyclopedia of Personality and Individual Differences. Springer, Cham. </w:t>
      </w:r>
      <w:hyperlink r:id="rId8">
        <w:r w:rsidRPr="00621BD4">
          <w:rPr>
            <w:rStyle w:val="Hyperlink"/>
            <w:rFonts w:ascii="Arial" w:eastAsia="Arial" w:hAnsi="Arial" w:cs="Arial"/>
            <w:color w:val="0563C1"/>
            <w:sz w:val="24"/>
            <w:szCs w:val="24"/>
          </w:rPr>
          <w:t>https://doi.org/10.1007/978-3-319-24612-3_831</w:t>
        </w:r>
      </w:hyperlink>
      <w:r w:rsidRPr="00621BD4">
        <w:rPr>
          <w:rFonts w:ascii="Arial" w:eastAsia="Arial" w:hAnsi="Arial" w:cs="Arial"/>
          <w:sz w:val="24"/>
          <w:szCs w:val="24"/>
        </w:rPr>
        <w:t xml:space="preserve">  </w:t>
      </w:r>
    </w:p>
    <w:p w14:paraId="03B8BC67" w14:textId="77777777" w:rsidR="00621BD4" w:rsidRPr="00621BD4" w:rsidRDefault="00621BD4" w:rsidP="00621BD4">
      <w:pPr>
        <w:spacing w:line="480" w:lineRule="auto"/>
        <w:ind w:hanging="720"/>
        <w:rPr>
          <w:rFonts w:ascii="Arial" w:hAnsi="Arial" w:cs="Arial"/>
          <w:sz w:val="24"/>
          <w:szCs w:val="24"/>
        </w:rPr>
      </w:pPr>
      <w:proofErr w:type="spellStart"/>
      <w:r w:rsidRPr="00621BD4">
        <w:rPr>
          <w:rFonts w:ascii="Arial" w:eastAsia="Arial" w:hAnsi="Arial" w:cs="Arial"/>
          <w:sz w:val="24"/>
          <w:szCs w:val="24"/>
        </w:rPr>
        <w:t>Bjelajac</w:t>
      </w:r>
      <w:proofErr w:type="spellEnd"/>
      <w:r w:rsidRPr="00621BD4">
        <w:rPr>
          <w:rFonts w:ascii="Arial" w:eastAsia="Arial" w:hAnsi="Arial" w:cs="Arial"/>
          <w:sz w:val="24"/>
          <w:szCs w:val="24"/>
        </w:rPr>
        <w:t xml:space="preserve">, Ž. Đ., &amp; Filipović, A. M. (2022). Profile of contemporary criminal investigator in film and television content. </w:t>
      </w:r>
      <w:proofErr w:type="spellStart"/>
      <w:r w:rsidRPr="00621BD4">
        <w:rPr>
          <w:rFonts w:ascii="Arial" w:eastAsia="Arial" w:hAnsi="Arial" w:cs="Arial"/>
          <w:i/>
          <w:iCs/>
          <w:sz w:val="24"/>
          <w:szCs w:val="24"/>
        </w:rPr>
        <w:t>Kultura</w:t>
      </w:r>
      <w:proofErr w:type="spellEnd"/>
      <w:r w:rsidRPr="00621BD4">
        <w:rPr>
          <w:rFonts w:ascii="Arial" w:eastAsia="Arial" w:hAnsi="Arial" w:cs="Arial"/>
          <w:i/>
          <w:iCs/>
          <w:sz w:val="24"/>
          <w:szCs w:val="24"/>
        </w:rPr>
        <w:t xml:space="preserve"> </w:t>
      </w:r>
      <w:proofErr w:type="spellStart"/>
      <w:r w:rsidRPr="00621BD4">
        <w:rPr>
          <w:rFonts w:ascii="Arial" w:eastAsia="Arial" w:hAnsi="Arial" w:cs="Arial"/>
          <w:i/>
          <w:iCs/>
          <w:sz w:val="24"/>
          <w:szCs w:val="24"/>
        </w:rPr>
        <w:t>polisa</w:t>
      </w:r>
      <w:proofErr w:type="spellEnd"/>
      <w:r w:rsidRPr="00621BD4">
        <w:rPr>
          <w:rFonts w:ascii="Arial" w:eastAsia="Arial" w:hAnsi="Arial" w:cs="Arial"/>
          <w:i/>
          <w:iCs/>
          <w:sz w:val="24"/>
          <w:szCs w:val="24"/>
        </w:rPr>
        <w:t>, 19</w:t>
      </w:r>
      <w:r w:rsidRPr="00621BD4">
        <w:rPr>
          <w:rFonts w:ascii="Arial" w:eastAsia="Arial" w:hAnsi="Arial" w:cs="Arial"/>
          <w:sz w:val="24"/>
          <w:szCs w:val="24"/>
        </w:rPr>
        <w:t xml:space="preserve">(1), 1-24. </w:t>
      </w:r>
    </w:p>
    <w:p w14:paraId="61207C28"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Bull, R., &amp; Davies, G. M. (2013). </w:t>
      </w:r>
      <w:r w:rsidRPr="00621BD4">
        <w:rPr>
          <w:rFonts w:ascii="Arial" w:eastAsia="Arial" w:hAnsi="Arial" w:cs="Arial"/>
          <w:i/>
          <w:iCs/>
          <w:sz w:val="24"/>
          <w:szCs w:val="24"/>
        </w:rPr>
        <w:t>Criminal profiling: Developing an effective science and practice</w:t>
      </w:r>
      <w:r w:rsidRPr="00621BD4">
        <w:rPr>
          <w:rFonts w:ascii="Arial" w:eastAsia="Arial" w:hAnsi="Arial" w:cs="Arial"/>
          <w:sz w:val="24"/>
          <w:szCs w:val="24"/>
        </w:rPr>
        <w:t xml:space="preserve">. Oxford University Press. </w:t>
      </w:r>
    </w:p>
    <w:p w14:paraId="3647E1F9"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Canter, D. (1989). Offender profiles. </w:t>
      </w:r>
      <w:r w:rsidRPr="00621BD4">
        <w:rPr>
          <w:rFonts w:ascii="Arial" w:eastAsia="Arial" w:hAnsi="Arial" w:cs="Arial"/>
          <w:i/>
          <w:iCs/>
          <w:sz w:val="24"/>
          <w:szCs w:val="24"/>
        </w:rPr>
        <w:t xml:space="preserve">Psychologist, 2, </w:t>
      </w:r>
      <w:r w:rsidRPr="00621BD4">
        <w:rPr>
          <w:rFonts w:ascii="Arial" w:eastAsia="Arial" w:hAnsi="Arial" w:cs="Arial"/>
          <w:sz w:val="24"/>
          <w:szCs w:val="24"/>
        </w:rPr>
        <w:t xml:space="preserve">12-16. </w:t>
      </w:r>
    </w:p>
    <w:p w14:paraId="7EB4E652"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Canter, D. (1989). Offender profiling and criminal differentiation. </w:t>
      </w:r>
      <w:r w:rsidRPr="00621BD4">
        <w:rPr>
          <w:rFonts w:ascii="Arial" w:eastAsia="Arial" w:hAnsi="Arial" w:cs="Arial"/>
          <w:i/>
          <w:iCs/>
          <w:sz w:val="24"/>
          <w:szCs w:val="24"/>
        </w:rPr>
        <w:t>Legal and Criminological Psychology, 5</w:t>
      </w:r>
      <w:r w:rsidRPr="00621BD4">
        <w:rPr>
          <w:rFonts w:ascii="Arial" w:eastAsia="Arial" w:hAnsi="Arial" w:cs="Arial"/>
          <w:sz w:val="24"/>
          <w:szCs w:val="24"/>
        </w:rPr>
        <w:t xml:space="preserve">(1), 23-46. </w:t>
      </w:r>
    </w:p>
    <w:p w14:paraId="7CF4C1F6"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Canter, D. (2003). </w:t>
      </w:r>
      <w:r w:rsidRPr="00621BD4">
        <w:rPr>
          <w:rFonts w:ascii="Arial" w:eastAsia="Arial" w:hAnsi="Arial" w:cs="Arial"/>
          <w:i/>
          <w:iCs/>
          <w:sz w:val="24"/>
          <w:szCs w:val="24"/>
        </w:rPr>
        <w:t>Criminal Shadows: Inside the Mind of the Serial Killer</w:t>
      </w:r>
      <w:r w:rsidRPr="00621BD4">
        <w:rPr>
          <w:rFonts w:ascii="Arial" w:eastAsia="Arial" w:hAnsi="Arial" w:cs="Arial"/>
          <w:sz w:val="24"/>
          <w:szCs w:val="24"/>
        </w:rPr>
        <w:t xml:space="preserve">. London: HarperCollins. </w:t>
      </w:r>
    </w:p>
    <w:p w14:paraId="54C1E30B"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Canter, D. (2003). Offender profiling and investigative psychology. </w:t>
      </w:r>
      <w:r w:rsidRPr="00621BD4">
        <w:rPr>
          <w:rFonts w:ascii="Arial" w:eastAsia="Arial" w:hAnsi="Arial" w:cs="Arial"/>
          <w:i/>
          <w:iCs/>
          <w:sz w:val="24"/>
          <w:szCs w:val="24"/>
        </w:rPr>
        <w:t>Journal of Investigative Psychology and Offender Profiling, 1</w:t>
      </w:r>
      <w:r w:rsidRPr="00621BD4">
        <w:rPr>
          <w:rFonts w:ascii="Arial" w:eastAsia="Arial" w:hAnsi="Arial" w:cs="Arial"/>
          <w:sz w:val="24"/>
          <w:szCs w:val="24"/>
        </w:rPr>
        <w:t xml:space="preserve">(1), 1-15. </w:t>
      </w:r>
    </w:p>
    <w:p w14:paraId="2D2FED65"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lastRenderedPageBreak/>
        <w:t xml:space="preserve">Canter, D. (2004). Offender profiling and investigative psychology. </w:t>
      </w:r>
      <w:r w:rsidRPr="00621BD4">
        <w:rPr>
          <w:rFonts w:ascii="Arial" w:eastAsia="Arial" w:hAnsi="Arial" w:cs="Arial"/>
          <w:i/>
          <w:iCs/>
          <w:sz w:val="24"/>
          <w:szCs w:val="24"/>
        </w:rPr>
        <w:t>Journal of investigative psychology and offender profiling, 1</w:t>
      </w:r>
      <w:r w:rsidRPr="00621BD4">
        <w:rPr>
          <w:rFonts w:ascii="Arial" w:eastAsia="Arial" w:hAnsi="Arial" w:cs="Arial"/>
          <w:sz w:val="24"/>
          <w:szCs w:val="24"/>
        </w:rPr>
        <w:t xml:space="preserve">(1), 1-15. </w:t>
      </w:r>
    </w:p>
    <w:p w14:paraId="22B311B6"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Canter, D. (2017). Criminal Shadows: Inner Narratives of Evil. Routledge. </w:t>
      </w:r>
    </w:p>
    <w:p w14:paraId="4ABB3AAC"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Canter, D. (2017). Geographical profiling of criminals. </w:t>
      </w:r>
      <w:r w:rsidRPr="00621BD4">
        <w:rPr>
          <w:rFonts w:ascii="Arial" w:eastAsia="Arial" w:hAnsi="Arial" w:cs="Arial"/>
          <w:i/>
          <w:iCs/>
          <w:sz w:val="24"/>
          <w:szCs w:val="24"/>
        </w:rPr>
        <w:t>In Principles of geographical offender profiling</w:t>
      </w:r>
      <w:r w:rsidRPr="00621BD4">
        <w:rPr>
          <w:rFonts w:ascii="Arial" w:eastAsia="Arial" w:hAnsi="Arial" w:cs="Arial"/>
          <w:sz w:val="24"/>
          <w:szCs w:val="24"/>
        </w:rPr>
        <w:t xml:space="preserve"> (pp. 213-236). Routledge. </w:t>
      </w:r>
    </w:p>
    <w:p w14:paraId="0BC6C43C"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Canter, D. V. (1994) Criminal Shadows: Inner Narratives of Evil. </w:t>
      </w:r>
      <w:r w:rsidRPr="00621BD4">
        <w:rPr>
          <w:rFonts w:ascii="Arial" w:eastAsia="Arial" w:hAnsi="Arial" w:cs="Arial"/>
          <w:i/>
          <w:sz w:val="24"/>
          <w:szCs w:val="24"/>
        </w:rPr>
        <w:t>International of Journal of Legal Medicine, 107</w:t>
      </w:r>
      <w:r w:rsidRPr="00621BD4">
        <w:rPr>
          <w:rFonts w:ascii="Arial" w:eastAsia="Arial" w:hAnsi="Arial" w:cs="Arial"/>
          <w:sz w:val="24"/>
          <w:szCs w:val="24"/>
        </w:rPr>
        <w:t xml:space="preserve">(5), 227-235. </w:t>
      </w:r>
    </w:p>
    <w:p w14:paraId="6362ECEA"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Canter, D., &amp; Hammond, L. (2016). Integrating multidisciplinary approaches in criminal profiling. </w:t>
      </w:r>
      <w:r w:rsidRPr="00621BD4">
        <w:rPr>
          <w:rFonts w:ascii="Arial" w:eastAsia="Arial" w:hAnsi="Arial" w:cs="Arial"/>
          <w:i/>
          <w:iCs/>
          <w:sz w:val="24"/>
          <w:szCs w:val="24"/>
        </w:rPr>
        <w:t>Psychology, Crime &amp; Law, 22</w:t>
      </w:r>
      <w:r w:rsidRPr="00621BD4">
        <w:rPr>
          <w:rFonts w:ascii="Arial" w:eastAsia="Arial" w:hAnsi="Arial" w:cs="Arial"/>
          <w:sz w:val="24"/>
          <w:szCs w:val="24"/>
        </w:rPr>
        <w:t xml:space="preserve">(3), 236-254. </w:t>
      </w:r>
    </w:p>
    <w:p w14:paraId="6527B2E9"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Chermak, S. M., &amp; Weiss, J. (2005). Profiling school rampage perpetrators: An exploratory study of victim selection and rampage violence among targeted school shootings. </w:t>
      </w:r>
      <w:r w:rsidRPr="00621BD4">
        <w:rPr>
          <w:rFonts w:ascii="Arial" w:eastAsia="Arial" w:hAnsi="Arial" w:cs="Arial"/>
          <w:i/>
          <w:iCs/>
          <w:sz w:val="24"/>
          <w:szCs w:val="24"/>
        </w:rPr>
        <w:t>Journal of Police and Criminal Psychology, 20</w:t>
      </w:r>
      <w:r w:rsidRPr="00621BD4">
        <w:rPr>
          <w:rFonts w:ascii="Arial" w:eastAsia="Arial" w:hAnsi="Arial" w:cs="Arial"/>
          <w:sz w:val="24"/>
          <w:szCs w:val="24"/>
        </w:rPr>
        <w:t xml:space="preserve">(1), 15-26. </w:t>
      </w:r>
    </w:p>
    <w:p w14:paraId="3F076FAF"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Chifflet, G. L. (2015). </w:t>
      </w:r>
      <w:r w:rsidRPr="00621BD4">
        <w:rPr>
          <w:rFonts w:ascii="Arial" w:eastAsia="Arial" w:hAnsi="Arial" w:cs="Arial"/>
          <w:i/>
          <w:iCs/>
          <w:sz w:val="24"/>
          <w:szCs w:val="24"/>
        </w:rPr>
        <w:t>Criminal Profiling: From Crime Scene Analysis to Predictive Policing</w:t>
      </w:r>
      <w:r w:rsidRPr="00621BD4">
        <w:rPr>
          <w:rFonts w:ascii="Arial" w:eastAsia="Arial" w:hAnsi="Arial" w:cs="Arial"/>
          <w:sz w:val="24"/>
          <w:szCs w:val="24"/>
        </w:rPr>
        <w:t xml:space="preserve">. CRC Press. </w:t>
      </w:r>
    </w:p>
    <w:p w14:paraId="0E26767D"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Chifflet, P. (2015). Questioning the validity of criminal profiling: an evidence-based approach. </w:t>
      </w:r>
      <w:r w:rsidRPr="00621BD4">
        <w:rPr>
          <w:rFonts w:ascii="Arial" w:eastAsia="Arial" w:hAnsi="Arial" w:cs="Arial"/>
          <w:i/>
          <w:iCs/>
          <w:sz w:val="24"/>
          <w:szCs w:val="24"/>
        </w:rPr>
        <w:t>Australian &amp; New Zealand Journal of Criminology, 48</w:t>
      </w:r>
      <w:r w:rsidRPr="00621BD4">
        <w:rPr>
          <w:rFonts w:ascii="Arial" w:eastAsia="Arial" w:hAnsi="Arial" w:cs="Arial"/>
          <w:sz w:val="24"/>
          <w:szCs w:val="24"/>
        </w:rPr>
        <w:t xml:space="preserve">(2), 238-255. </w:t>
      </w:r>
      <w:hyperlink r:id="rId9">
        <w:r w:rsidRPr="00621BD4">
          <w:rPr>
            <w:rStyle w:val="Hyperlink"/>
            <w:rFonts w:ascii="Arial" w:eastAsia="Arial" w:hAnsi="Arial" w:cs="Arial"/>
            <w:color w:val="0563C1"/>
            <w:sz w:val="24"/>
            <w:szCs w:val="24"/>
          </w:rPr>
          <w:t>https://doi.org/10.1177/0004865814530732</w:t>
        </w:r>
      </w:hyperlink>
      <w:r w:rsidRPr="00621BD4">
        <w:rPr>
          <w:rFonts w:ascii="Arial" w:eastAsia="Arial" w:hAnsi="Arial" w:cs="Arial"/>
          <w:sz w:val="24"/>
          <w:szCs w:val="24"/>
        </w:rPr>
        <w:t xml:space="preserve">  </w:t>
      </w:r>
    </w:p>
    <w:p w14:paraId="749C4743"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Cohen, L. E., &amp; Felson, M. (1979). Social change and crime rate trends: A routine activity approach. </w:t>
      </w:r>
      <w:r w:rsidRPr="00621BD4">
        <w:rPr>
          <w:rFonts w:ascii="Arial" w:eastAsia="Arial" w:hAnsi="Arial" w:cs="Arial"/>
          <w:i/>
          <w:iCs/>
          <w:sz w:val="24"/>
          <w:szCs w:val="24"/>
        </w:rPr>
        <w:t>American Sociological Review, 44</w:t>
      </w:r>
      <w:r w:rsidRPr="00621BD4">
        <w:rPr>
          <w:rFonts w:ascii="Arial" w:eastAsia="Arial" w:hAnsi="Arial" w:cs="Arial"/>
          <w:sz w:val="24"/>
          <w:szCs w:val="24"/>
        </w:rPr>
        <w:t xml:space="preserve">(4), 588–608. </w:t>
      </w:r>
    </w:p>
    <w:p w14:paraId="2A66DBD6"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Copson, G., Badcock, R., Boon, J., &amp; Britton, P. (1997). Articulating a systematic approach to clinical crime profiling. </w:t>
      </w:r>
      <w:r w:rsidRPr="00621BD4">
        <w:rPr>
          <w:rFonts w:ascii="Arial" w:eastAsia="Arial" w:hAnsi="Arial" w:cs="Arial"/>
          <w:i/>
          <w:iCs/>
          <w:sz w:val="24"/>
          <w:szCs w:val="24"/>
        </w:rPr>
        <w:t>Crim. Behav. &amp; Mental Health, 7</w:t>
      </w:r>
      <w:r w:rsidRPr="00621BD4">
        <w:rPr>
          <w:rFonts w:ascii="Arial" w:eastAsia="Arial" w:hAnsi="Arial" w:cs="Arial"/>
          <w:sz w:val="24"/>
          <w:szCs w:val="24"/>
        </w:rPr>
        <w:t xml:space="preserve">(13). </w:t>
      </w:r>
    </w:p>
    <w:p w14:paraId="470C7C61"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lastRenderedPageBreak/>
        <w:t xml:space="preserve">Copson, G., Maguire, M., &amp; Wilson, J. (Eds.). (1997). </w:t>
      </w:r>
      <w:r w:rsidRPr="00621BD4">
        <w:rPr>
          <w:rFonts w:ascii="Arial" w:eastAsia="Arial" w:hAnsi="Arial" w:cs="Arial"/>
          <w:i/>
          <w:iCs/>
          <w:sz w:val="24"/>
          <w:szCs w:val="24"/>
        </w:rPr>
        <w:t>Exploring Criminal and Illegal Enterprise: New Perspectives on Research, Policy, and Practice</w:t>
      </w:r>
      <w:r w:rsidRPr="00621BD4">
        <w:rPr>
          <w:rFonts w:ascii="Arial" w:eastAsia="Arial" w:hAnsi="Arial" w:cs="Arial"/>
          <w:sz w:val="24"/>
          <w:szCs w:val="24"/>
        </w:rPr>
        <w:t xml:space="preserve">. Ashgate Publishing. </w:t>
      </w:r>
    </w:p>
    <w:p w14:paraId="450C74B2"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Curtis-Ham, S., </w:t>
      </w:r>
      <w:proofErr w:type="spellStart"/>
      <w:r w:rsidRPr="00621BD4">
        <w:rPr>
          <w:rFonts w:ascii="Arial" w:eastAsia="Arial" w:hAnsi="Arial" w:cs="Arial"/>
          <w:sz w:val="24"/>
          <w:szCs w:val="24"/>
        </w:rPr>
        <w:t>Bernasco</w:t>
      </w:r>
      <w:proofErr w:type="spellEnd"/>
      <w:r w:rsidRPr="00621BD4">
        <w:rPr>
          <w:rFonts w:ascii="Arial" w:eastAsia="Arial" w:hAnsi="Arial" w:cs="Arial"/>
          <w:sz w:val="24"/>
          <w:szCs w:val="24"/>
        </w:rPr>
        <w:t xml:space="preserve">, W., Medvedev, O.N,. &amp; </w:t>
      </w:r>
      <w:proofErr w:type="spellStart"/>
      <w:r w:rsidRPr="00621BD4">
        <w:rPr>
          <w:rFonts w:ascii="Arial" w:eastAsia="Arial" w:hAnsi="Arial" w:cs="Arial"/>
          <w:sz w:val="24"/>
          <w:szCs w:val="24"/>
        </w:rPr>
        <w:t>Polaschek</w:t>
      </w:r>
      <w:proofErr w:type="spellEnd"/>
      <w:r w:rsidRPr="00621BD4">
        <w:rPr>
          <w:rFonts w:ascii="Arial" w:eastAsia="Arial" w:hAnsi="Arial" w:cs="Arial"/>
          <w:sz w:val="24"/>
          <w:szCs w:val="24"/>
        </w:rPr>
        <w:t>, D, L. L. (2022). Relationships Between Offenders’ Crime Locations and Different Prior Activity Locations as Recorded in Police Data.</w:t>
      </w:r>
      <w:r w:rsidRPr="00621BD4">
        <w:rPr>
          <w:rFonts w:ascii="Arial" w:eastAsia="Arial" w:hAnsi="Arial" w:cs="Arial"/>
          <w:i/>
          <w:iCs/>
          <w:sz w:val="24"/>
          <w:szCs w:val="24"/>
        </w:rPr>
        <w:t xml:space="preserve"> J Police Crim Psych 38</w:t>
      </w:r>
      <w:r w:rsidRPr="00621BD4">
        <w:rPr>
          <w:rFonts w:ascii="Arial" w:eastAsia="Arial" w:hAnsi="Arial" w:cs="Arial"/>
          <w:sz w:val="24"/>
          <w:szCs w:val="24"/>
        </w:rPr>
        <w:t xml:space="preserve">, 172–185. </w:t>
      </w:r>
      <w:hyperlink r:id="rId10">
        <w:r w:rsidRPr="00621BD4">
          <w:rPr>
            <w:rStyle w:val="Hyperlink"/>
            <w:rFonts w:ascii="Arial" w:eastAsia="Arial" w:hAnsi="Arial" w:cs="Arial"/>
            <w:color w:val="0563C1"/>
            <w:sz w:val="24"/>
            <w:szCs w:val="24"/>
          </w:rPr>
          <w:t>https://doi.org/10.1007/s11896-022-09540-8</w:t>
        </w:r>
      </w:hyperlink>
      <w:r w:rsidRPr="00621BD4">
        <w:rPr>
          <w:rFonts w:ascii="Arial" w:eastAsia="Arial" w:hAnsi="Arial" w:cs="Arial"/>
          <w:sz w:val="24"/>
          <w:szCs w:val="24"/>
        </w:rPr>
        <w:t xml:space="preserve">  </w:t>
      </w:r>
    </w:p>
    <w:p w14:paraId="09E5BA3E"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Davies, G. M., &amp; Bull, R. (2019).</w:t>
      </w:r>
      <w:r w:rsidRPr="00621BD4">
        <w:rPr>
          <w:rFonts w:ascii="Arial" w:eastAsia="Arial" w:hAnsi="Arial" w:cs="Arial"/>
          <w:i/>
          <w:iCs/>
          <w:sz w:val="24"/>
          <w:szCs w:val="24"/>
        </w:rPr>
        <w:t xml:space="preserve"> Criminal Profiling: An Introduction to Behavioral Evidence Analysis</w:t>
      </w:r>
      <w:r w:rsidRPr="00621BD4">
        <w:rPr>
          <w:rFonts w:ascii="Arial" w:eastAsia="Arial" w:hAnsi="Arial" w:cs="Arial"/>
          <w:sz w:val="24"/>
          <w:szCs w:val="24"/>
        </w:rPr>
        <w:t xml:space="preserve"> (5th ed.). Wiley. </w:t>
      </w:r>
    </w:p>
    <w:p w14:paraId="4D268D60"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Dien, G. P. (2008). Profiling and policy: The effects of using profiles in law enforcement agencies. </w:t>
      </w:r>
      <w:r w:rsidRPr="00621BD4">
        <w:rPr>
          <w:rFonts w:ascii="Arial" w:eastAsia="Arial" w:hAnsi="Arial" w:cs="Arial"/>
          <w:i/>
          <w:iCs/>
          <w:sz w:val="24"/>
          <w:szCs w:val="24"/>
        </w:rPr>
        <w:t xml:space="preserve">In J. L. Jackson &amp; D. A. Bekerian (Eds.), Offender profiling: Theory, research, and practice </w:t>
      </w:r>
      <w:r w:rsidRPr="00621BD4">
        <w:rPr>
          <w:rFonts w:ascii="Arial" w:eastAsia="Arial" w:hAnsi="Arial" w:cs="Arial"/>
          <w:sz w:val="24"/>
          <w:szCs w:val="24"/>
        </w:rPr>
        <w:t xml:space="preserve">(pp. 113-127). Wiley-Blackwell. </w:t>
      </w:r>
    </w:p>
    <w:p w14:paraId="5B0A8632"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Douglas, J. E. (1992). Journey into darkness. Bantam. </w:t>
      </w:r>
    </w:p>
    <w:p w14:paraId="3DCB22B3"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Douglas, J. E. (2013). Law and Disorder: The Legendary FBI Profiler’s Relentless Pursuit of Justice. HarperCollins. </w:t>
      </w:r>
    </w:p>
    <w:p w14:paraId="34FF1481"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Douglas, J. E., Ressler, R. K., Burgess, A. W., &amp; Hartman, C. R. (1986). Criminal profiling from crime scene analysis. </w:t>
      </w:r>
      <w:r w:rsidRPr="00621BD4">
        <w:rPr>
          <w:rFonts w:ascii="Arial" w:eastAsia="Arial" w:hAnsi="Arial" w:cs="Arial"/>
          <w:i/>
          <w:iCs/>
          <w:sz w:val="24"/>
          <w:szCs w:val="24"/>
        </w:rPr>
        <w:t>Behavioral Sciences &amp; the Law., 4</w:t>
      </w:r>
      <w:r w:rsidRPr="00621BD4">
        <w:rPr>
          <w:rFonts w:ascii="Arial" w:eastAsia="Arial" w:hAnsi="Arial" w:cs="Arial"/>
          <w:sz w:val="24"/>
          <w:szCs w:val="24"/>
        </w:rPr>
        <w:t xml:space="preserve">(4), 401–421. </w:t>
      </w:r>
      <w:hyperlink r:id="rId11">
        <w:r w:rsidRPr="00621BD4">
          <w:rPr>
            <w:rStyle w:val="Hyperlink"/>
            <w:rFonts w:ascii="Arial" w:eastAsia="Arial" w:hAnsi="Arial" w:cs="Arial"/>
            <w:color w:val="0563C1"/>
            <w:sz w:val="24"/>
            <w:szCs w:val="24"/>
          </w:rPr>
          <w:t>https://doi.org/10.1002/bsl.2370040405</w:t>
        </w:r>
      </w:hyperlink>
      <w:r w:rsidRPr="00621BD4">
        <w:rPr>
          <w:rFonts w:ascii="Arial" w:eastAsia="Arial" w:hAnsi="Arial" w:cs="Arial"/>
          <w:sz w:val="24"/>
          <w:szCs w:val="24"/>
        </w:rPr>
        <w:t xml:space="preserve">  </w:t>
      </w:r>
    </w:p>
    <w:p w14:paraId="15D41F48" w14:textId="6E69A1D5"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Douglas, J. (2006). Collaborative approaches in criminal profiling. </w:t>
      </w:r>
      <w:r w:rsidRPr="00621BD4">
        <w:rPr>
          <w:rFonts w:ascii="Arial" w:eastAsia="Arial" w:hAnsi="Arial" w:cs="Arial"/>
          <w:i/>
          <w:iCs/>
          <w:sz w:val="24"/>
          <w:szCs w:val="24"/>
        </w:rPr>
        <w:t>Criminal Behaviour and Mental Health, 16</w:t>
      </w:r>
      <w:r w:rsidRPr="00621BD4">
        <w:rPr>
          <w:rFonts w:ascii="Arial" w:eastAsia="Arial" w:hAnsi="Arial" w:cs="Arial"/>
          <w:sz w:val="24"/>
          <w:szCs w:val="24"/>
        </w:rPr>
        <w:t xml:space="preserve">(4), 239-247. </w:t>
      </w:r>
    </w:p>
    <w:p w14:paraId="05C0D2D8"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Fox, B. (2022). Offender profiling: A review of the research and state of the field. </w:t>
      </w:r>
      <w:r w:rsidRPr="00621BD4">
        <w:rPr>
          <w:rFonts w:ascii="Arial" w:eastAsia="Arial" w:hAnsi="Arial" w:cs="Arial"/>
          <w:i/>
          <w:iCs/>
          <w:sz w:val="24"/>
          <w:szCs w:val="24"/>
        </w:rPr>
        <w:t>Police Psychology,</w:t>
      </w:r>
      <w:r w:rsidRPr="00621BD4">
        <w:rPr>
          <w:rFonts w:ascii="Arial" w:eastAsia="Arial" w:hAnsi="Arial" w:cs="Arial"/>
          <w:sz w:val="24"/>
          <w:szCs w:val="24"/>
        </w:rPr>
        <w:t xml:space="preserve"> 381-394. </w:t>
      </w:r>
    </w:p>
    <w:p w14:paraId="51655919"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lastRenderedPageBreak/>
        <w:t xml:space="preserve">Godwin, M. (2002). Reliability, validity, and utility of criminal profiling typologies. </w:t>
      </w:r>
      <w:r w:rsidRPr="00621BD4">
        <w:rPr>
          <w:rFonts w:ascii="Arial" w:eastAsia="Arial" w:hAnsi="Arial" w:cs="Arial"/>
          <w:i/>
          <w:iCs/>
          <w:sz w:val="24"/>
          <w:szCs w:val="24"/>
        </w:rPr>
        <w:t>Journal of Police and Criminal Psychology, 17</w:t>
      </w:r>
      <w:r w:rsidRPr="00621BD4">
        <w:rPr>
          <w:rFonts w:ascii="Arial" w:eastAsia="Arial" w:hAnsi="Arial" w:cs="Arial"/>
          <w:sz w:val="24"/>
          <w:szCs w:val="24"/>
        </w:rPr>
        <w:t xml:space="preserve">(1), 1-18. </w:t>
      </w:r>
    </w:p>
    <w:p w14:paraId="3817E980"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Grubin, D. (2008). The ethics of offender profiling. </w:t>
      </w:r>
      <w:r w:rsidRPr="00621BD4">
        <w:rPr>
          <w:rFonts w:ascii="Arial" w:eastAsia="Arial" w:hAnsi="Arial" w:cs="Arial"/>
          <w:i/>
          <w:iCs/>
          <w:sz w:val="24"/>
          <w:szCs w:val="24"/>
        </w:rPr>
        <w:t>Psychiatry, Psychology and Law, 15</w:t>
      </w:r>
      <w:r w:rsidRPr="00621BD4">
        <w:rPr>
          <w:rFonts w:ascii="Arial" w:eastAsia="Arial" w:hAnsi="Arial" w:cs="Arial"/>
          <w:sz w:val="24"/>
          <w:szCs w:val="24"/>
        </w:rPr>
        <w:t xml:space="preserve">(2), 315-324. </w:t>
      </w:r>
    </w:p>
    <w:p w14:paraId="0865B00A"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Guerrini, C, J., Wickenheiser, R, A., Bettinger, B., McGuire, A, L., &amp; Fullerton, S, M. (2021). Four misconceptions about investigative genetic genealogy. </w:t>
      </w:r>
      <w:r w:rsidRPr="00621BD4">
        <w:rPr>
          <w:rFonts w:ascii="Arial" w:eastAsia="Arial" w:hAnsi="Arial" w:cs="Arial"/>
          <w:i/>
          <w:iCs/>
          <w:sz w:val="24"/>
          <w:szCs w:val="24"/>
        </w:rPr>
        <w:t>Journal of Law and the Biosciences, 8</w:t>
      </w:r>
      <w:r w:rsidRPr="00621BD4">
        <w:rPr>
          <w:rFonts w:ascii="Arial" w:eastAsia="Arial" w:hAnsi="Arial" w:cs="Arial"/>
          <w:sz w:val="24"/>
          <w:szCs w:val="24"/>
        </w:rPr>
        <w:t xml:space="preserve">(1). </w:t>
      </w:r>
      <w:hyperlink r:id="rId12">
        <w:r w:rsidRPr="00621BD4">
          <w:rPr>
            <w:rStyle w:val="Hyperlink"/>
            <w:rFonts w:ascii="Arial" w:eastAsia="Arial" w:hAnsi="Arial" w:cs="Arial"/>
            <w:color w:val="0563C1"/>
            <w:sz w:val="24"/>
            <w:szCs w:val="24"/>
          </w:rPr>
          <w:t>https://doi.org/10.1093/jlb/lsab001</w:t>
        </w:r>
      </w:hyperlink>
      <w:r w:rsidRPr="00621BD4">
        <w:rPr>
          <w:rFonts w:ascii="Arial" w:eastAsia="Arial" w:hAnsi="Arial" w:cs="Arial"/>
          <w:sz w:val="24"/>
          <w:szCs w:val="24"/>
        </w:rPr>
        <w:t xml:space="preserve">  </w:t>
      </w:r>
    </w:p>
    <w:p w14:paraId="0772C540" w14:textId="017FE5BA"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Gurule, A. (2020). Artificial intelligence in criminal profiling. </w:t>
      </w:r>
      <w:r w:rsidRPr="00621BD4">
        <w:rPr>
          <w:rFonts w:ascii="Arial" w:eastAsia="Arial" w:hAnsi="Arial" w:cs="Arial"/>
          <w:i/>
          <w:iCs/>
          <w:sz w:val="24"/>
          <w:szCs w:val="24"/>
        </w:rPr>
        <w:t>Journal of Criminal Justice, 48</w:t>
      </w:r>
      <w:r w:rsidRPr="00621BD4">
        <w:rPr>
          <w:rFonts w:ascii="Arial" w:eastAsia="Arial" w:hAnsi="Arial" w:cs="Arial"/>
          <w:sz w:val="24"/>
          <w:szCs w:val="24"/>
        </w:rPr>
        <w:t xml:space="preserve">, 101701. </w:t>
      </w:r>
    </w:p>
    <w:p w14:paraId="5905DD99"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Hollin, C. R., &amp; Bull, R. (1986). Criminal profiling: A review and critique. </w:t>
      </w:r>
      <w:r w:rsidRPr="00621BD4">
        <w:rPr>
          <w:rFonts w:ascii="Arial" w:eastAsia="Arial" w:hAnsi="Arial" w:cs="Arial"/>
          <w:i/>
          <w:iCs/>
          <w:sz w:val="24"/>
          <w:szCs w:val="24"/>
        </w:rPr>
        <w:t>British Journal of Criminology, 26</w:t>
      </w:r>
      <w:r w:rsidRPr="00621BD4">
        <w:rPr>
          <w:rFonts w:ascii="Arial" w:eastAsia="Arial" w:hAnsi="Arial" w:cs="Arial"/>
          <w:sz w:val="24"/>
          <w:szCs w:val="24"/>
        </w:rPr>
        <w:t xml:space="preserve">(3), 243-255. </w:t>
      </w:r>
    </w:p>
    <w:p w14:paraId="51131D02"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Holmes, R. M., &amp; Holmes, S. T. (2009). Profiling Violent Crimes: An Investigative Tool (4</w:t>
      </w:r>
      <w:r w:rsidRPr="00621BD4">
        <w:rPr>
          <w:rFonts w:ascii="Arial" w:eastAsia="Arial" w:hAnsi="Arial" w:cs="Arial"/>
          <w:sz w:val="24"/>
          <w:szCs w:val="24"/>
          <w:vertAlign w:val="superscript"/>
        </w:rPr>
        <w:t>th</w:t>
      </w:r>
      <w:r w:rsidRPr="00621BD4">
        <w:rPr>
          <w:rFonts w:ascii="Arial" w:eastAsia="Arial" w:hAnsi="Arial" w:cs="Arial"/>
          <w:sz w:val="24"/>
          <w:szCs w:val="24"/>
        </w:rPr>
        <w:t xml:space="preserve"> ed.). Sage Publications. </w:t>
      </w:r>
    </w:p>
    <w:p w14:paraId="654CBB2D"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Homant, R. J., &amp; Kennedy, D. B. (1998). Psychological aspects of crime scene profiling: Validity research. </w:t>
      </w:r>
      <w:r w:rsidRPr="00621BD4">
        <w:rPr>
          <w:rFonts w:ascii="Arial" w:eastAsia="Arial" w:hAnsi="Arial" w:cs="Arial"/>
          <w:i/>
          <w:iCs/>
          <w:sz w:val="24"/>
          <w:szCs w:val="24"/>
        </w:rPr>
        <w:t>Criminal justice and behavior, 25</w:t>
      </w:r>
      <w:r w:rsidRPr="00621BD4">
        <w:rPr>
          <w:rFonts w:ascii="Arial" w:eastAsia="Arial" w:hAnsi="Arial" w:cs="Arial"/>
          <w:sz w:val="24"/>
          <w:szCs w:val="24"/>
        </w:rPr>
        <w:t xml:space="preserve">(3), 319-343. </w:t>
      </w:r>
    </w:p>
    <w:p w14:paraId="4BB5AB4D"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Hope, L., &amp; Youngs, D. (2013). Atypical offender behavior: A statistical analysis of the language used by Christopher Miles, a multiple murderer. </w:t>
      </w:r>
      <w:r w:rsidRPr="00621BD4">
        <w:rPr>
          <w:rFonts w:ascii="Arial" w:eastAsia="Arial" w:hAnsi="Arial" w:cs="Arial"/>
          <w:i/>
          <w:iCs/>
          <w:sz w:val="24"/>
          <w:szCs w:val="24"/>
        </w:rPr>
        <w:t>Journal of Investigative Psychology and Offender Profiling, 10</w:t>
      </w:r>
      <w:r w:rsidRPr="00621BD4">
        <w:rPr>
          <w:rFonts w:ascii="Arial" w:eastAsia="Arial" w:hAnsi="Arial" w:cs="Arial"/>
          <w:sz w:val="24"/>
          <w:szCs w:val="24"/>
        </w:rPr>
        <w:t xml:space="preserve">(2), 194-207. </w:t>
      </w:r>
    </w:p>
    <w:p w14:paraId="13798FC7"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Jackson, J. L., &amp; Bekerian, D. A. (1997). </w:t>
      </w:r>
      <w:r w:rsidRPr="00621BD4">
        <w:rPr>
          <w:rFonts w:ascii="Arial" w:eastAsia="Arial" w:hAnsi="Arial" w:cs="Arial"/>
          <w:i/>
          <w:iCs/>
          <w:sz w:val="24"/>
          <w:szCs w:val="24"/>
        </w:rPr>
        <w:t xml:space="preserve">Offender profiling: Theory, research, and practice. </w:t>
      </w:r>
      <w:r w:rsidRPr="00621BD4">
        <w:rPr>
          <w:rFonts w:ascii="Arial" w:eastAsia="Arial" w:hAnsi="Arial" w:cs="Arial"/>
          <w:sz w:val="24"/>
          <w:szCs w:val="24"/>
        </w:rPr>
        <w:t xml:space="preserve">Wiley-Blackwell. </w:t>
      </w:r>
    </w:p>
    <w:p w14:paraId="398D80DD"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Jackson, J. L., Herbrink, J. C. M., &amp; Van Koppen, P. J. (1997). An empirical approach to offender profiling</w:t>
      </w:r>
      <w:r w:rsidRPr="00621BD4">
        <w:rPr>
          <w:rFonts w:ascii="Arial" w:eastAsia="Arial" w:hAnsi="Arial" w:cs="Arial"/>
          <w:i/>
          <w:iCs/>
          <w:sz w:val="24"/>
          <w:szCs w:val="24"/>
        </w:rPr>
        <w:t xml:space="preserve">. Advances in psychology and law: International contributions, </w:t>
      </w:r>
      <w:r w:rsidRPr="00621BD4">
        <w:rPr>
          <w:rFonts w:ascii="Arial" w:eastAsia="Arial" w:hAnsi="Arial" w:cs="Arial"/>
          <w:sz w:val="24"/>
          <w:szCs w:val="24"/>
        </w:rPr>
        <w:t xml:space="preserve">333-345. </w:t>
      </w:r>
    </w:p>
    <w:p w14:paraId="04956146"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lastRenderedPageBreak/>
        <w:t xml:space="preserve">Kayser, M. (2015). Forensic DNA phenotyping: predicting human appearance from crime scene material for investigative purposes. </w:t>
      </w:r>
      <w:r w:rsidRPr="00621BD4">
        <w:rPr>
          <w:rFonts w:ascii="Arial" w:eastAsia="Arial" w:hAnsi="Arial" w:cs="Arial"/>
          <w:i/>
          <w:iCs/>
          <w:sz w:val="24"/>
          <w:szCs w:val="24"/>
        </w:rPr>
        <w:t>Forensic Science International: Genetics, 18</w:t>
      </w:r>
      <w:r w:rsidRPr="00621BD4">
        <w:rPr>
          <w:rFonts w:ascii="Arial" w:eastAsia="Arial" w:hAnsi="Arial" w:cs="Arial"/>
          <w:sz w:val="24"/>
          <w:szCs w:val="24"/>
        </w:rPr>
        <w:t xml:space="preserve">, 33-48. </w:t>
      </w:r>
    </w:p>
    <w:p w14:paraId="71C17CBD"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Kocsis, R. N. (2006). Criminal profiling.</w:t>
      </w:r>
      <w:r w:rsidRPr="00621BD4">
        <w:rPr>
          <w:rFonts w:ascii="Arial" w:eastAsia="Arial" w:hAnsi="Arial" w:cs="Arial"/>
          <w:i/>
          <w:iCs/>
          <w:sz w:val="24"/>
          <w:szCs w:val="24"/>
        </w:rPr>
        <w:t xml:space="preserve"> In T. P. Gullotta &amp; G. R. Adams (Eds.), Handbook of Forensic Psychology: Resource for Mental Health and Legal Professionals</w:t>
      </w:r>
      <w:r w:rsidRPr="00621BD4">
        <w:rPr>
          <w:rFonts w:ascii="Arial" w:eastAsia="Arial" w:hAnsi="Arial" w:cs="Arial"/>
          <w:sz w:val="24"/>
          <w:szCs w:val="24"/>
        </w:rPr>
        <w:t xml:space="preserve"> (pp. 110-140). John Wiley &amp; Sons. </w:t>
      </w:r>
    </w:p>
    <w:p w14:paraId="26DB5559"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Kocsis, R. N. (2015). Criminal profiling and the discourse of scientific certainty. </w:t>
      </w:r>
      <w:r w:rsidRPr="00621BD4">
        <w:rPr>
          <w:rFonts w:ascii="Arial" w:eastAsia="Arial" w:hAnsi="Arial" w:cs="Arial"/>
          <w:i/>
          <w:iCs/>
          <w:sz w:val="24"/>
          <w:szCs w:val="24"/>
        </w:rPr>
        <w:t>Psychology, Crime &amp; Law, 21</w:t>
      </w:r>
      <w:r w:rsidRPr="00621BD4">
        <w:rPr>
          <w:rFonts w:ascii="Arial" w:eastAsia="Arial" w:hAnsi="Arial" w:cs="Arial"/>
          <w:sz w:val="24"/>
          <w:szCs w:val="24"/>
        </w:rPr>
        <w:t xml:space="preserve">(5), 493-506. </w:t>
      </w:r>
    </w:p>
    <w:p w14:paraId="47660662"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Kocsis, R. N. (2017). </w:t>
      </w:r>
      <w:r w:rsidRPr="00621BD4">
        <w:rPr>
          <w:rFonts w:ascii="Arial" w:eastAsia="Arial" w:hAnsi="Arial" w:cs="Arial"/>
          <w:i/>
          <w:iCs/>
          <w:sz w:val="24"/>
          <w:szCs w:val="24"/>
        </w:rPr>
        <w:t>Criminal psychology: A beginner’s guide</w:t>
      </w:r>
      <w:r w:rsidRPr="00621BD4">
        <w:rPr>
          <w:rFonts w:ascii="Arial" w:eastAsia="Arial" w:hAnsi="Arial" w:cs="Arial"/>
          <w:sz w:val="24"/>
          <w:szCs w:val="24"/>
        </w:rPr>
        <w:t xml:space="preserve">. </w:t>
      </w:r>
      <w:proofErr w:type="spellStart"/>
      <w:r w:rsidRPr="00621BD4">
        <w:rPr>
          <w:rFonts w:ascii="Arial" w:eastAsia="Arial" w:hAnsi="Arial" w:cs="Arial"/>
          <w:sz w:val="24"/>
          <w:szCs w:val="24"/>
        </w:rPr>
        <w:t>Oneworld</w:t>
      </w:r>
      <w:proofErr w:type="spellEnd"/>
      <w:r w:rsidRPr="00621BD4">
        <w:rPr>
          <w:rFonts w:ascii="Arial" w:eastAsia="Arial" w:hAnsi="Arial" w:cs="Arial"/>
          <w:sz w:val="24"/>
          <w:szCs w:val="24"/>
        </w:rPr>
        <w:t xml:space="preserve"> Publications. </w:t>
      </w:r>
    </w:p>
    <w:p w14:paraId="300FA948"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Kocsis, R. N., &amp; Irwin, H. J. (1997). The criminal profiling illusion: What's behind the smoke and mirrors? </w:t>
      </w:r>
      <w:r w:rsidRPr="00621BD4">
        <w:rPr>
          <w:rFonts w:ascii="Arial" w:eastAsia="Arial" w:hAnsi="Arial" w:cs="Arial"/>
          <w:i/>
          <w:iCs/>
          <w:sz w:val="24"/>
          <w:szCs w:val="24"/>
        </w:rPr>
        <w:t>Criminal Justice and Behavior, 24</w:t>
      </w:r>
      <w:r w:rsidRPr="00621BD4">
        <w:rPr>
          <w:rFonts w:ascii="Arial" w:eastAsia="Arial" w:hAnsi="Arial" w:cs="Arial"/>
          <w:sz w:val="24"/>
          <w:szCs w:val="24"/>
        </w:rPr>
        <w:t xml:space="preserve">(4), 455-479. </w:t>
      </w:r>
    </w:p>
    <w:p w14:paraId="63DDF42A"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Kocsis, R. N., Cooksey, R. W., &amp; Irwin, H. J. (2019). Criminal Profiling: Principles and Practice. Academic Press. </w:t>
      </w:r>
    </w:p>
    <w:p w14:paraId="54ECD443"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Petherick, W., &amp; Brooks, N. (2021). Reframing criminal profiling: a guide for integrated practice. </w:t>
      </w:r>
      <w:r w:rsidRPr="00621BD4">
        <w:rPr>
          <w:rFonts w:ascii="Arial" w:eastAsia="Arial" w:hAnsi="Arial" w:cs="Arial"/>
          <w:i/>
          <w:iCs/>
          <w:sz w:val="24"/>
          <w:szCs w:val="24"/>
        </w:rPr>
        <w:t>Psychiatry, Psychology and Law, 28</w:t>
      </w:r>
      <w:r w:rsidRPr="00621BD4">
        <w:rPr>
          <w:rFonts w:ascii="Arial" w:eastAsia="Arial" w:hAnsi="Arial" w:cs="Arial"/>
          <w:sz w:val="24"/>
          <w:szCs w:val="24"/>
        </w:rPr>
        <w:t xml:space="preserve">(5), 694-710. </w:t>
      </w:r>
    </w:p>
    <w:p w14:paraId="1C97E27D"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Ressler, R. K., &amp; Schachtman, T. R. (1992). </w:t>
      </w:r>
      <w:r w:rsidRPr="00621BD4">
        <w:rPr>
          <w:rFonts w:ascii="Arial" w:eastAsia="Arial" w:hAnsi="Arial" w:cs="Arial"/>
          <w:i/>
          <w:iCs/>
          <w:sz w:val="24"/>
          <w:szCs w:val="24"/>
        </w:rPr>
        <w:t>Whoever fights monsters: My twenty years tracking serial killers for the FBI</w:t>
      </w:r>
      <w:r w:rsidRPr="00621BD4">
        <w:rPr>
          <w:rFonts w:ascii="Arial" w:eastAsia="Arial" w:hAnsi="Arial" w:cs="Arial"/>
          <w:sz w:val="24"/>
          <w:szCs w:val="24"/>
        </w:rPr>
        <w:t xml:space="preserve">. St. Martin's Press. </w:t>
      </w:r>
    </w:p>
    <w:p w14:paraId="09D88837"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Ressler, R. K., Burgess, A. W., Douglas, J. E., &amp; Hartman, C. R. (2013). </w:t>
      </w:r>
      <w:r w:rsidRPr="00621BD4">
        <w:rPr>
          <w:rFonts w:ascii="Arial" w:eastAsia="Arial" w:hAnsi="Arial" w:cs="Arial"/>
          <w:i/>
          <w:iCs/>
          <w:sz w:val="24"/>
          <w:szCs w:val="24"/>
        </w:rPr>
        <w:t xml:space="preserve">Criminal Profiling: Principles and Practice. </w:t>
      </w:r>
      <w:r w:rsidRPr="00621BD4">
        <w:rPr>
          <w:rFonts w:ascii="Arial" w:eastAsia="Arial" w:hAnsi="Arial" w:cs="Arial"/>
          <w:sz w:val="24"/>
          <w:szCs w:val="24"/>
        </w:rPr>
        <w:t xml:space="preserve">Guilford Press. </w:t>
      </w:r>
    </w:p>
    <w:p w14:paraId="52EE5F4D" w14:textId="77777777" w:rsidR="00621BD4" w:rsidRPr="00621BD4" w:rsidRDefault="00621BD4" w:rsidP="00621BD4">
      <w:pPr>
        <w:spacing w:line="480" w:lineRule="auto"/>
        <w:ind w:hanging="720"/>
        <w:rPr>
          <w:rFonts w:ascii="Arial" w:hAnsi="Arial" w:cs="Arial"/>
          <w:sz w:val="24"/>
          <w:szCs w:val="24"/>
        </w:rPr>
      </w:pPr>
      <w:proofErr w:type="spellStart"/>
      <w:r w:rsidRPr="00621BD4">
        <w:rPr>
          <w:rFonts w:ascii="Arial" w:eastAsia="Arial" w:hAnsi="Arial" w:cs="Arial"/>
          <w:sz w:val="24"/>
          <w:szCs w:val="24"/>
        </w:rPr>
        <w:t>Rossmo</w:t>
      </w:r>
      <w:proofErr w:type="spellEnd"/>
      <w:r w:rsidRPr="00621BD4">
        <w:rPr>
          <w:rFonts w:ascii="Arial" w:eastAsia="Arial" w:hAnsi="Arial" w:cs="Arial"/>
          <w:sz w:val="24"/>
          <w:szCs w:val="24"/>
        </w:rPr>
        <w:t xml:space="preserve">, D. K. (2000). </w:t>
      </w:r>
      <w:r w:rsidRPr="00621BD4">
        <w:rPr>
          <w:rFonts w:ascii="Arial" w:eastAsia="Arial" w:hAnsi="Arial" w:cs="Arial"/>
          <w:i/>
          <w:iCs/>
          <w:sz w:val="24"/>
          <w:szCs w:val="24"/>
        </w:rPr>
        <w:t>Geographic Profiling</w:t>
      </w:r>
      <w:r w:rsidRPr="00621BD4">
        <w:rPr>
          <w:rFonts w:ascii="Arial" w:eastAsia="Arial" w:hAnsi="Arial" w:cs="Arial"/>
          <w:sz w:val="24"/>
          <w:szCs w:val="24"/>
        </w:rPr>
        <w:t xml:space="preserve">. CRC Press. </w:t>
      </w:r>
    </w:p>
    <w:p w14:paraId="1DCAE517" w14:textId="77777777" w:rsidR="00621BD4" w:rsidRPr="00621BD4" w:rsidRDefault="00621BD4" w:rsidP="00621BD4">
      <w:pPr>
        <w:spacing w:line="480" w:lineRule="auto"/>
        <w:ind w:hanging="720"/>
        <w:rPr>
          <w:rFonts w:ascii="Arial" w:hAnsi="Arial" w:cs="Arial"/>
          <w:sz w:val="24"/>
          <w:szCs w:val="24"/>
        </w:rPr>
      </w:pPr>
      <w:proofErr w:type="spellStart"/>
      <w:r w:rsidRPr="00621BD4">
        <w:rPr>
          <w:rFonts w:ascii="Arial" w:eastAsia="Arial" w:hAnsi="Arial" w:cs="Arial"/>
          <w:sz w:val="24"/>
          <w:szCs w:val="24"/>
        </w:rPr>
        <w:t>Rossmo</w:t>
      </w:r>
      <w:proofErr w:type="spellEnd"/>
      <w:r w:rsidRPr="00621BD4">
        <w:rPr>
          <w:rFonts w:ascii="Arial" w:eastAsia="Arial" w:hAnsi="Arial" w:cs="Arial"/>
          <w:sz w:val="24"/>
          <w:szCs w:val="24"/>
        </w:rPr>
        <w:t xml:space="preserve">, D. K. (2012). Recent developments in geographic profiling. </w:t>
      </w:r>
      <w:r w:rsidRPr="00621BD4">
        <w:rPr>
          <w:rFonts w:ascii="Arial" w:eastAsia="Arial" w:hAnsi="Arial" w:cs="Arial"/>
          <w:i/>
          <w:iCs/>
          <w:sz w:val="24"/>
          <w:szCs w:val="24"/>
        </w:rPr>
        <w:t>Policing: A Journal of Policy and Practice, 6</w:t>
      </w:r>
      <w:r w:rsidRPr="00621BD4">
        <w:rPr>
          <w:rFonts w:ascii="Arial" w:eastAsia="Arial" w:hAnsi="Arial" w:cs="Arial"/>
          <w:sz w:val="24"/>
          <w:szCs w:val="24"/>
        </w:rPr>
        <w:t xml:space="preserve">(2), 144-150. </w:t>
      </w:r>
    </w:p>
    <w:p w14:paraId="0BC36E36" w14:textId="77777777" w:rsidR="00621BD4" w:rsidRPr="00621BD4" w:rsidRDefault="00621BD4" w:rsidP="00621BD4">
      <w:pPr>
        <w:spacing w:line="480" w:lineRule="auto"/>
        <w:ind w:hanging="720"/>
        <w:rPr>
          <w:rFonts w:ascii="Arial" w:hAnsi="Arial" w:cs="Arial"/>
          <w:sz w:val="24"/>
          <w:szCs w:val="24"/>
        </w:rPr>
      </w:pPr>
      <w:proofErr w:type="spellStart"/>
      <w:r w:rsidRPr="00621BD4">
        <w:rPr>
          <w:rFonts w:ascii="Arial" w:eastAsia="Arial" w:hAnsi="Arial" w:cs="Arial"/>
          <w:sz w:val="24"/>
          <w:szCs w:val="24"/>
        </w:rPr>
        <w:lastRenderedPageBreak/>
        <w:t>Rossmo</w:t>
      </w:r>
      <w:proofErr w:type="spellEnd"/>
      <w:r w:rsidRPr="00621BD4">
        <w:rPr>
          <w:rFonts w:ascii="Arial" w:eastAsia="Arial" w:hAnsi="Arial" w:cs="Arial"/>
          <w:sz w:val="24"/>
          <w:szCs w:val="24"/>
        </w:rPr>
        <w:t xml:space="preserve">, D. K., &amp; </w:t>
      </w:r>
      <w:proofErr w:type="spellStart"/>
      <w:r w:rsidRPr="00621BD4">
        <w:rPr>
          <w:rFonts w:ascii="Arial" w:eastAsia="Arial" w:hAnsi="Arial" w:cs="Arial"/>
          <w:sz w:val="24"/>
          <w:szCs w:val="24"/>
        </w:rPr>
        <w:t>Rombouts</w:t>
      </w:r>
      <w:proofErr w:type="spellEnd"/>
      <w:r w:rsidRPr="00621BD4">
        <w:rPr>
          <w:rFonts w:ascii="Arial" w:eastAsia="Arial" w:hAnsi="Arial" w:cs="Arial"/>
          <w:sz w:val="24"/>
          <w:szCs w:val="24"/>
        </w:rPr>
        <w:t xml:space="preserve">, S. (2016). Geographic profiling. </w:t>
      </w:r>
      <w:r w:rsidRPr="00621BD4">
        <w:rPr>
          <w:rFonts w:ascii="Arial" w:eastAsia="Arial" w:hAnsi="Arial" w:cs="Arial"/>
          <w:i/>
          <w:iCs/>
          <w:sz w:val="24"/>
          <w:szCs w:val="24"/>
        </w:rPr>
        <w:t>In Environmental criminology and crime analysis</w:t>
      </w:r>
      <w:r w:rsidRPr="00621BD4">
        <w:rPr>
          <w:rFonts w:ascii="Arial" w:eastAsia="Arial" w:hAnsi="Arial" w:cs="Arial"/>
          <w:sz w:val="24"/>
          <w:szCs w:val="24"/>
        </w:rPr>
        <w:t xml:space="preserve"> (pp. 181-198). Routledge. </w:t>
      </w:r>
    </w:p>
    <w:p w14:paraId="6367D2B3" w14:textId="77777777" w:rsidR="00621BD4" w:rsidRPr="00621BD4" w:rsidRDefault="00621BD4" w:rsidP="00621BD4">
      <w:pPr>
        <w:spacing w:line="480" w:lineRule="auto"/>
        <w:ind w:hanging="720"/>
        <w:rPr>
          <w:rFonts w:ascii="Arial" w:hAnsi="Arial" w:cs="Arial"/>
          <w:sz w:val="24"/>
          <w:szCs w:val="24"/>
        </w:rPr>
      </w:pPr>
      <w:proofErr w:type="spellStart"/>
      <w:r w:rsidRPr="00621BD4">
        <w:rPr>
          <w:rFonts w:ascii="Arial" w:eastAsia="Arial" w:hAnsi="Arial" w:cs="Arial"/>
          <w:sz w:val="24"/>
          <w:szCs w:val="24"/>
        </w:rPr>
        <w:t>Rossmo</w:t>
      </w:r>
      <w:proofErr w:type="spellEnd"/>
      <w:r w:rsidRPr="00621BD4">
        <w:rPr>
          <w:rFonts w:ascii="Arial" w:eastAsia="Arial" w:hAnsi="Arial" w:cs="Arial"/>
          <w:sz w:val="24"/>
          <w:szCs w:val="24"/>
        </w:rPr>
        <w:t xml:space="preserve">, K. (2000). Geographic profiling. </w:t>
      </w:r>
      <w:r w:rsidRPr="00621BD4">
        <w:rPr>
          <w:rFonts w:ascii="Arial" w:eastAsia="Arial" w:hAnsi="Arial" w:cs="Arial"/>
          <w:i/>
          <w:iCs/>
          <w:sz w:val="24"/>
          <w:szCs w:val="24"/>
        </w:rPr>
        <w:t>Bulletin of Mathematical Biology, 62</w:t>
      </w:r>
      <w:r w:rsidRPr="00621BD4">
        <w:rPr>
          <w:rFonts w:ascii="Arial" w:eastAsia="Arial" w:hAnsi="Arial" w:cs="Arial"/>
          <w:sz w:val="24"/>
          <w:szCs w:val="24"/>
        </w:rPr>
        <w:t xml:space="preserve">(3), 657-682. </w:t>
      </w:r>
    </w:p>
    <w:p w14:paraId="210B0900"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Snook, B., Cullen, R. M., Bennell, C., Taylor, P. J., &amp; Gendreau, P. (2018). The criminal profiling illusion: What’s behind the smoke and mirrors? </w:t>
      </w:r>
      <w:r w:rsidRPr="00621BD4">
        <w:rPr>
          <w:rFonts w:ascii="Arial" w:eastAsia="Arial" w:hAnsi="Arial" w:cs="Arial"/>
          <w:i/>
          <w:iCs/>
          <w:sz w:val="24"/>
          <w:szCs w:val="24"/>
        </w:rPr>
        <w:t>Criminal Justice and Behavior, 45</w:t>
      </w:r>
      <w:r w:rsidRPr="00621BD4">
        <w:rPr>
          <w:rFonts w:ascii="Arial" w:eastAsia="Arial" w:hAnsi="Arial" w:cs="Arial"/>
          <w:sz w:val="24"/>
          <w:szCs w:val="24"/>
        </w:rPr>
        <w:t xml:space="preserve">(9), 1249–1267. </w:t>
      </w:r>
    </w:p>
    <w:p w14:paraId="3F651506"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Snook, B., Eastwood, J., Gendreau, P., Goggin, C., &amp; Cullen, R. M. (2018). Taking stock of criminal profiling: A narrative review and meta-analysis. </w:t>
      </w:r>
      <w:r w:rsidRPr="00621BD4">
        <w:rPr>
          <w:rFonts w:ascii="Arial" w:eastAsia="Arial" w:hAnsi="Arial" w:cs="Arial"/>
          <w:i/>
          <w:iCs/>
          <w:sz w:val="24"/>
          <w:szCs w:val="24"/>
        </w:rPr>
        <w:t>Criminal Justice and Behavior, 45</w:t>
      </w:r>
      <w:r w:rsidRPr="00621BD4">
        <w:rPr>
          <w:rFonts w:ascii="Arial" w:eastAsia="Arial" w:hAnsi="Arial" w:cs="Arial"/>
          <w:sz w:val="24"/>
          <w:szCs w:val="24"/>
        </w:rPr>
        <w:t xml:space="preserve">(11), 1523-1543. </w:t>
      </w:r>
    </w:p>
    <w:p w14:paraId="23E460B9"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Turvey, B. E. (2012). A history of criminal profiling. </w:t>
      </w:r>
      <w:r w:rsidRPr="00621BD4">
        <w:rPr>
          <w:rFonts w:ascii="Arial" w:eastAsia="Arial" w:hAnsi="Arial" w:cs="Arial"/>
          <w:i/>
          <w:iCs/>
          <w:sz w:val="24"/>
          <w:szCs w:val="24"/>
        </w:rPr>
        <w:t>Criminal profiling: An introduction to behavioral evidence analysis, 1</w:t>
      </w:r>
      <w:r w:rsidRPr="00621BD4">
        <w:rPr>
          <w:rFonts w:ascii="Arial" w:eastAsia="Arial" w:hAnsi="Arial" w:cs="Arial"/>
          <w:sz w:val="24"/>
          <w:szCs w:val="24"/>
        </w:rPr>
        <w:t xml:space="preserve">(42). </w:t>
      </w:r>
    </w:p>
    <w:p w14:paraId="0B5F4F02"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Turvey, B. E. (2017). Criminal Profiling: An Introduction to Behavioral Evidence Analysis (4th ed.). Academic Press. </w:t>
      </w:r>
    </w:p>
    <w:p w14:paraId="6266C33C"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Warikoo, A. (2014). Proposed </w:t>
      </w:r>
      <w:proofErr w:type="gramStart"/>
      <w:r w:rsidRPr="00621BD4">
        <w:rPr>
          <w:rFonts w:ascii="Arial" w:eastAsia="Arial" w:hAnsi="Arial" w:cs="Arial"/>
          <w:sz w:val="24"/>
          <w:szCs w:val="24"/>
        </w:rPr>
        <w:t>methodology</w:t>
      </w:r>
      <w:proofErr w:type="gramEnd"/>
      <w:r w:rsidRPr="00621BD4">
        <w:rPr>
          <w:rFonts w:ascii="Arial" w:eastAsia="Arial" w:hAnsi="Arial" w:cs="Arial"/>
          <w:sz w:val="24"/>
          <w:szCs w:val="24"/>
        </w:rPr>
        <w:t xml:space="preserve"> for cybercriminal profiling. In</w:t>
      </w:r>
      <w:r w:rsidRPr="00621BD4">
        <w:rPr>
          <w:rFonts w:ascii="Arial" w:eastAsia="Arial" w:hAnsi="Arial" w:cs="Arial"/>
          <w:i/>
          <w:iCs/>
          <w:sz w:val="24"/>
          <w:szCs w:val="24"/>
        </w:rPr>
        <w:t>formation Security Journal: A Global Perspective, 23(</w:t>
      </w:r>
      <w:r w:rsidRPr="00621BD4">
        <w:rPr>
          <w:rFonts w:ascii="Arial" w:eastAsia="Arial" w:hAnsi="Arial" w:cs="Arial"/>
          <w:sz w:val="24"/>
          <w:szCs w:val="24"/>
        </w:rPr>
        <w:t xml:space="preserve">4-6), 172-178. </w:t>
      </w:r>
    </w:p>
    <w:p w14:paraId="1B5CC7E4"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Woodhams, J., &amp; Labuschagne, G. (2016). Data mining in criminology and criminal profiling. </w:t>
      </w:r>
      <w:r w:rsidRPr="00621BD4">
        <w:rPr>
          <w:rFonts w:ascii="Arial" w:eastAsia="Arial" w:hAnsi="Arial" w:cs="Arial"/>
          <w:i/>
          <w:iCs/>
          <w:sz w:val="24"/>
          <w:szCs w:val="24"/>
        </w:rPr>
        <w:t>European Journal of Criminology, 13</w:t>
      </w:r>
      <w:r w:rsidRPr="00621BD4">
        <w:rPr>
          <w:rFonts w:ascii="Arial" w:eastAsia="Arial" w:hAnsi="Arial" w:cs="Arial"/>
          <w:sz w:val="24"/>
          <w:szCs w:val="24"/>
        </w:rPr>
        <w:t xml:space="preserve">(6), 695-713. </w:t>
      </w:r>
    </w:p>
    <w:p w14:paraId="516D294E" w14:textId="77777777" w:rsidR="00621BD4" w:rsidRPr="00621BD4" w:rsidRDefault="00621BD4" w:rsidP="00621BD4">
      <w:pPr>
        <w:spacing w:line="480" w:lineRule="auto"/>
        <w:ind w:hanging="720"/>
        <w:rPr>
          <w:rFonts w:ascii="Arial" w:hAnsi="Arial" w:cs="Arial"/>
          <w:sz w:val="24"/>
          <w:szCs w:val="24"/>
        </w:rPr>
      </w:pPr>
      <w:r w:rsidRPr="00621BD4">
        <w:rPr>
          <w:rFonts w:ascii="Arial" w:eastAsia="Arial" w:hAnsi="Arial" w:cs="Arial"/>
          <w:sz w:val="24"/>
          <w:szCs w:val="24"/>
        </w:rPr>
        <w:t xml:space="preserve">Woodhams, J., &amp; Labuschagne, G. (2016). Ethics in geographic profiling. </w:t>
      </w:r>
      <w:r w:rsidRPr="00621BD4">
        <w:rPr>
          <w:rFonts w:ascii="Arial" w:eastAsia="Arial" w:hAnsi="Arial" w:cs="Arial"/>
          <w:i/>
          <w:iCs/>
          <w:sz w:val="24"/>
          <w:szCs w:val="24"/>
        </w:rPr>
        <w:t>In D. Canter &amp; D. Youngs (Eds.), Principles of Geographical Offender Profiling</w:t>
      </w:r>
      <w:r w:rsidRPr="00621BD4">
        <w:rPr>
          <w:rFonts w:ascii="Arial" w:eastAsia="Arial" w:hAnsi="Arial" w:cs="Arial"/>
          <w:sz w:val="24"/>
          <w:szCs w:val="24"/>
        </w:rPr>
        <w:t xml:space="preserve"> (pp. 269-284). Ashgate Publishing. </w:t>
      </w:r>
    </w:p>
    <w:sectPr w:rsidR="00621BD4" w:rsidRPr="00621B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Z7S/LhkrQAqetb" int2:id="xISSilUS">
      <int2:state int2:value="Rejected" int2:type="AugLoop_Text_Critique"/>
    </int2:textHash>
    <int2:textHash int2:hashCode="FtJNy2oUcDXEqX" int2:id="Hxq6n7YW">
      <int2:state int2:value="Rejected" int2:type="AugLoop_Text_Critique"/>
    </int2:textHash>
    <int2:textHash int2:hashCode="nXw2i2YLNFeRf1" int2:id="LQ5Dk9a2">
      <int2:state int2:value="Rejected" int2:type="AugLoop_Text_Critique"/>
    </int2:textHash>
    <int2:textHash int2:hashCode="oMWATAQQewpCvY" int2:id="i2oGvmpM">
      <int2:state int2:value="Rejected" int2:type="AugLoop_Text_Critique"/>
    </int2:textHash>
    <int2:textHash int2:hashCode="lAPaIRtgZIZA/X" int2:id="pDV6Wx5M">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F84"/>
    <w:rsid w:val="0001014C"/>
    <w:rsid w:val="00015FB3"/>
    <w:rsid w:val="00016350"/>
    <w:rsid w:val="0002050B"/>
    <w:rsid w:val="0002426D"/>
    <w:rsid w:val="00031827"/>
    <w:rsid w:val="000472CA"/>
    <w:rsid w:val="0006136D"/>
    <w:rsid w:val="000719FD"/>
    <w:rsid w:val="00071ACC"/>
    <w:rsid w:val="000A08D5"/>
    <w:rsid w:val="000A2A45"/>
    <w:rsid w:val="000F4281"/>
    <w:rsid w:val="000F69A0"/>
    <w:rsid w:val="000F79AA"/>
    <w:rsid w:val="0010407B"/>
    <w:rsid w:val="00104787"/>
    <w:rsid w:val="001071E8"/>
    <w:rsid w:val="001103EC"/>
    <w:rsid w:val="001217BB"/>
    <w:rsid w:val="001232D9"/>
    <w:rsid w:val="00131941"/>
    <w:rsid w:val="00134637"/>
    <w:rsid w:val="001532BE"/>
    <w:rsid w:val="00156E17"/>
    <w:rsid w:val="001622B7"/>
    <w:rsid w:val="00181B3D"/>
    <w:rsid w:val="00187193"/>
    <w:rsid w:val="001871E9"/>
    <w:rsid w:val="00196029"/>
    <w:rsid w:val="001971A6"/>
    <w:rsid w:val="00197AEA"/>
    <w:rsid w:val="001A4F3E"/>
    <w:rsid w:val="001A5110"/>
    <w:rsid w:val="001B3B82"/>
    <w:rsid w:val="001B4865"/>
    <w:rsid w:val="001D0081"/>
    <w:rsid w:val="001D7818"/>
    <w:rsid w:val="00242C96"/>
    <w:rsid w:val="002462B7"/>
    <w:rsid w:val="00282249"/>
    <w:rsid w:val="0028481F"/>
    <w:rsid w:val="00290F51"/>
    <w:rsid w:val="002A7D98"/>
    <w:rsid w:val="002B5FC2"/>
    <w:rsid w:val="002D2C20"/>
    <w:rsid w:val="002E03DF"/>
    <w:rsid w:val="002E26E8"/>
    <w:rsid w:val="002F763E"/>
    <w:rsid w:val="00304414"/>
    <w:rsid w:val="0031750C"/>
    <w:rsid w:val="00320AC4"/>
    <w:rsid w:val="00330AC0"/>
    <w:rsid w:val="0033653D"/>
    <w:rsid w:val="00341E2C"/>
    <w:rsid w:val="00342FDD"/>
    <w:rsid w:val="00362EB7"/>
    <w:rsid w:val="003758CD"/>
    <w:rsid w:val="00375B58"/>
    <w:rsid w:val="003767DC"/>
    <w:rsid w:val="00376FF1"/>
    <w:rsid w:val="003854DA"/>
    <w:rsid w:val="003A23B9"/>
    <w:rsid w:val="003C6D67"/>
    <w:rsid w:val="003D0E92"/>
    <w:rsid w:val="003E0458"/>
    <w:rsid w:val="004176AA"/>
    <w:rsid w:val="00421179"/>
    <w:rsid w:val="00433228"/>
    <w:rsid w:val="00443C50"/>
    <w:rsid w:val="0045284B"/>
    <w:rsid w:val="00491186"/>
    <w:rsid w:val="004C08E8"/>
    <w:rsid w:val="004D477B"/>
    <w:rsid w:val="004D5AEE"/>
    <w:rsid w:val="004F74CD"/>
    <w:rsid w:val="00515B88"/>
    <w:rsid w:val="0052496F"/>
    <w:rsid w:val="005251A4"/>
    <w:rsid w:val="005370C1"/>
    <w:rsid w:val="0054153B"/>
    <w:rsid w:val="00545C4E"/>
    <w:rsid w:val="00564F3F"/>
    <w:rsid w:val="005721D0"/>
    <w:rsid w:val="00585936"/>
    <w:rsid w:val="005C1C56"/>
    <w:rsid w:val="00621BD4"/>
    <w:rsid w:val="0064441C"/>
    <w:rsid w:val="0065178E"/>
    <w:rsid w:val="00652012"/>
    <w:rsid w:val="00652C3C"/>
    <w:rsid w:val="0069664E"/>
    <w:rsid w:val="006A6A41"/>
    <w:rsid w:val="006B3D16"/>
    <w:rsid w:val="006B52D1"/>
    <w:rsid w:val="006C0DFF"/>
    <w:rsid w:val="006C3C2C"/>
    <w:rsid w:val="006D5803"/>
    <w:rsid w:val="006E3C75"/>
    <w:rsid w:val="006E6403"/>
    <w:rsid w:val="006F79C1"/>
    <w:rsid w:val="00710171"/>
    <w:rsid w:val="00725BFB"/>
    <w:rsid w:val="00747B17"/>
    <w:rsid w:val="00764E48"/>
    <w:rsid w:val="00780F84"/>
    <w:rsid w:val="00786730"/>
    <w:rsid w:val="00790463"/>
    <w:rsid w:val="007B14D2"/>
    <w:rsid w:val="007B700A"/>
    <w:rsid w:val="007D36D4"/>
    <w:rsid w:val="007D4FA9"/>
    <w:rsid w:val="007D70D4"/>
    <w:rsid w:val="007D7DD2"/>
    <w:rsid w:val="007E0637"/>
    <w:rsid w:val="007F0516"/>
    <w:rsid w:val="008020A4"/>
    <w:rsid w:val="008033B9"/>
    <w:rsid w:val="008065C9"/>
    <w:rsid w:val="00816C0C"/>
    <w:rsid w:val="00835954"/>
    <w:rsid w:val="00845F8C"/>
    <w:rsid w:val="00850E30"/>
    <w:rsid w:val="00862763"/>
    <w:rsid w:val="0086537F"/>
    <w:rsid w:val="00866237"/>
    <w:rsid w:val="00870834"/>
    <w:rsid w:val="00876855"/>
    <w:rsid w:val="00895146"/>
    <w:rsid w:val="008A6BA7"/>
    <w:rsid w:val="008B025C"/>
    <w:rsid w:val="008B541D"/>
    <w:rsid w:val="008B599A"/>
    <w:rsid w:val="008B6D24"/>
    <w:rsid w:val="008C2A7B"/>
    <w:rsid w:val="008D6BA8"/>
    <w:rsid w:val="008E21A3"/>
    <w:rsid w:val="009029C8"/>
    <w:rsid w:val="00917FAB"/>
    <w:rsid w:val="00936E08"/>
    <w:rsid w:val="00945277"/>
    <w:rsid w:val="00960B4D"/>
    <w:rsid w:val="009615E0"/>
    <w:rsid w:val="009735A6"/>
    <w:rsid w:val="00980FEE"/>
    <w:rsid w:val="009A2C46"/>
    <w:rsid w:val="009A4F13"/>
    <w:rsid w:val="009B6579"/>
    <w:rsid w:val="009E271F"/>
    <w:rsid w:val="009E6227"/>
    <w:rsid w:val="009E74B3"/>
    <w:rsid w:val="009F3F76"/>
    <w:rsid w:val="00A037CD"/>
    <w:rsid w:val="00A041F9"/>
    <w:rsid w:val="00A13099"/>
    <w:rsid w:val="00A50887"/>
    <w:rsid w:val="00A5358D"/>
    <w:rsid w:val="00A6373D"/>
    <w:rsid w:val="00A82595"/>
    <w:rsid w:val="00A9241E"/>
    <w:rsid w:val="00AB6F80"/>
    <w:rsid w:val="00AC4BF6"/>
    <w:rsid w:val="00AC7D80"/>
    <w:rsid w:val="00AD7E10"/>
    <w:rsid w:val="00AE012A"/>
    <w:rsid w:val="00AF095B"/>
    <w:rsid w:val="00AF43B6"/>
    <w:rsid w:val="00B045FF"/>
    <w:rsid w:val="00B0531E"/>
    <w:rsid w:val="00B171DC"/>
    <w:rsid w:val="00B42AFE"/>
    <w:rsid w:val="00B46803"/>
    <w:rsid w:val="00B64B1C"/>
    <w:rsid w:val="00B64D56"/>
    <w:rsid w:val="00B74112"/>
    <w:rsid w:val="00B75072"/>
    <w:rsid w:val="00B805BD"/>
    <w:rsid w:val="00B805E0"/>
    <w:rsid w:val="00B822E2"/>
    <w:rsid w:val="00B847FF"/>
    <w:rsid w:val="00B869BF"/>
    <w:rsid w:val="00BB2193"/>
    <w:rsid w:val="00BE31A1"/>
    <w:rsid w:val="00C0171F"/>
    <w:rsid w:val="00C07D0F"/>
    <w:rsid w:val="00C10955"/>
    <w:rsid w:val="00C345D6"/>
    <w:rsid w:val="00C424B8"/>
    <w:rsid w:val="00C52CC5"/>
    <w:rsid w:val="00C532E3"/>
    <w:rsid w:val="00C60D2B"/>
    <w:rsid w:val="00C65A96"/>
    <w:rsid w:val="00C7233A"/>
    <w:rsid w:val="00C72830"/>
    <w:rsid w:val="00C75A6A"/>
    <w:rsid w:val="00C86182"/>
    <w:rsid w:val="00C871E3"/>
    <w:rsid w:val="00CC21F4"/>
    <w:rsid w:val="00CC3372"/>
    <w:rsid w:val="00CF57FC"/>
    <w:rsid w:val="00D04FC4"/>
    <w:rsid w:val="00D1626B"/>
    <w:rsid w:val="00D223AC"/>
    <w:rsid w:val="00D75CF7"/>
    <w:rsid w:val="00DA026F"/>
    <w:rsid w:val="00DA0C4D"/>
    <w:rsid w:val="00DA2657"/>
    <w:rsid w:val="00DA31ED"/>
    <w:rsid w:val="00DA3216"/>
    <w:rsid w:val="00DA3B6D"/>
    <w:rsid w:val="00DA68E3"/>
    <w:rsid w:val="00DA6A85"/>
    <w:rsid w:val="00DB6DFC"/>
    <w:rsid w:val="00DC4E89"/>
    <w:rsid w:val="00DD1CAA"/>
    <w:rsid w:val="00DF1DD8"/>
    <w:rsid w:val="00E15D99"/>
    <w:rsid w:val="00E17DB1"/>
    <w:rsid w:val="00E36F02"/>
    <w:rsid w:val="00E44F05"/>
    <w:rsid w:val="00E452BA"/>
    <w:rsid w:val="00E707AF"/>
    <w:rsid w:val="00E83C6D"/>
    <w:rsid w:val="00E9183D"/>
    <w:rsid w:val="00E9219F"/>
    <w:rsid w:val="00E950FC"/>
    <w:rsid w:val="00EA2227"/>
    <w:rsid w:val="00EC1BF9"/>
    <w:rsid w:val="00EC2A94"/>
    <w:rsid w:val="00EC48E3"/>
    <w:rsid w:val="00ED02B4"/>
    <w:rsid w:val="00EE27F3"/>
    <w:rsid w:val="00EE67B5"/>
    <w:rsid w:val="00F10167"/>
    <w:rsid w:val="00F216F0"/>
    <w:rsid w:val="00F26411"/>
    <w:rsid w:val="00F27E35"/>
    <w:rsid w:val="00F50FB3"/>
    <w:rsid w:val="00F6475B"/>
    <w:rsid w:val="00F66FC5"/>
    <w:rsid w:val="00F9602E"/>
    <w:rsid w:val="00FA35B0"/>
    <w:rsid w:val="00FB4BDE"/>
    <w:rsid w:val="00FE02B8"/>
    <w:rsid w:val="00FE1B0D"/>
    <w:rsid w:val="06417E2D"/>
    <w:rsid w:val="09C2065A"/>
    <w:rsid w:val="0A3FCE35"/>
    <w:rsid w:val="0AB28BF4"/>
    <w:rsid w:val="0CF9A71C"/>
    <w:rsid w:val="0E7001DF"/>
    <w:rsid w:val="0E95777D"/>
    <w:rsid w:val="14F2DC1A"/>
    <w:rsid w:val="1958689B"/>
    <w:rsid w:val="1A20A250"/>
    <w:rsid w:val="24D76EDB"/>
    <w:rsid w:val="28788AA3"/>
    <w:rsid w:val="29AADFFE"/>
    <w:rsid w:val="2CE280C0"/>
    <w:rsid w:val="2D927BB4"/>
    <w:rsid w:val="2E7E5121"/>
    <w:rsid w:val="301A2182"/>
    <w:rsid w:val="30E9758E"/>
    <w:rsid w:val="310EF6BF"/>
    <w:rsid w:val="31B7C2E3"/>
    <w:rsid w:val="328545EF"/>
    <w:rsid w:val="34469781"/>
    <w:rsid w:val="37040E4B"/>
    <w:rsid w:val="3820280C"/>
    <w:rsid w:val="38E619BB"/>
    <w:rsid w:val="394B2973"/>
    <w:rsid w:val="3DF924F8"/>
    <w:rsid w:val="3F94F559"/>
    <w:rsid w:val="3FA75F20"/>
    <w:rsid w:val="41432F81"/>
    <w:rsid w:val="41BADAD6"/>
    <w:rsid w:val="43731A8A"/>
    <w:rsid w:val="46F49FD1"/>
    <w:rsid w:val="477BF266"/>
    <w:rsid w:val="480F9337"/>
    <w:rsid w:val="4AD01489"/>
    <w:rsid w:val="4BA69765"/>
    <w:rsid w:val="4C3BCBCD"/>
    <w:rsid w:val="4C6BE4EA"/>
    <w:rsid w:val="4E07B54B"/>
    <w:rsid w:val="53DF00DB"/>
    <w:rsid w:val="54B27834"/>
    <w:rsid w:val="54CA0CFA"/>
    <w:rsid w:val="564E4895"/>
    <w:rsid w:val="599D7E1D"/>
    <w:rsid w:val="59A85F05"/>
    <w:rsid w:val="5B394E7E"/>
    <w:rsid w:val="5B442F66"/>
    <w:rsid w:val="5E09453A"/>
    <w:rsid w:val="6121A214"/>
    <w:rsid w:val="620E6908"/>
    <w:rsid w:val="693FE70E"/>
    <w:rsid w:val="6EC555FB"/>
    <w:rsid w:val="707DE526"/>
    <w:rsid w:val="73462228"/>
    <w:rsid w:val="73B7A65F"/>
    <w:rsid w:val="755376C0"/>
    <w:rsid w:val="765E4199"/>
    <w:rsid w:val="76EF4721"/>
    <w:rsid w:val="7A21BCE4"/>
    <w:rsid w:val="7C27084B"/>
    <w:rsid w:val="7D595DA6"/>
    <w:rsid w:val="7E658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A2AC2"/>
  <w15:chartTrackingRefBased/>
  <w15:docId w15:val="{3B990860-F81A-4D1C-AFB2-EDFFB3473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35B0"/>
    <w:rPr>
      <w:color w:val="0563C1" w:themeColor="hyperlink"/>
      <w:u w:val="single"/>
    </w:rPr>
  </w:style>
  <w:style w:type="character" w:styleId="UnresolvedMention">
    <w:name w:val="Unresolved Mention"/>
    <w:basedOn w:val="DefaultParagraphFont"/>
    <w:uiPriority w:val="99"/>
    <w:semiHidden/>
    <w:unhideWhenUsed/>
    <w:rsid w:val="00FA35B0"/>
    <w:rPr>
      <w:color w:val="605E5C"/>
      <w:shd w:val="clear" w:color="auto" w:fill="E1DFDD"/>
    </w:rPr>
  </w:style>
  <w:style w:type="paragraph" w:styleId="NormalWeb">
    <w:name w:val="Normal (Web)"/>
    <w:basedOn w:val="Normal"/>
    <w:uiPriority w:val="99"/>
    <w:semiHidden/>
    <w:unhideWhenUsed/>
    <w:rsid w:val="00C52CC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249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30850">
      <w:bodyDiv w:val="1"/>
      <w:marLeft w:val="0"/>
      <w:marRight w:val="0"/>
      <w:marTop w:val="0"/>
      <w:marBottom w:val="0"/>
      <w:divBdr>
        <w:top w:val="none" w:sz="0" w:space="0" w:color="auto"/>
        <w:left w:val="none" w:sz="0" w:space="0" w:color="auto"/>
        <w:bottom w:val="none" w:sz="0" w:space="0" w:color="auto"/>
        <w:right w:val="none" w:sz="0" w:space="0" w:color="auto"/>
      </w:divBdr>
    </w:div>
    <w:div w:id="479462719">
      <w:bodyDiv w:val="1"/>
      <w:marLeft w:val="0"/>
      <w:marRight w:val="0"/>
      <w:marTop w:val="0"/>
      <w:marBottom w:val="0"/>
      <w:divBdr>
        <w:top w:val="none" w:sz="0" w:space="0" w:color="auto"/>
        <w:left w:val="none" w:sz="0" w:space="0" w:color="auto"/>
        <w:bottom w:val="none" w:sz="0" w:space="0" w:color="auto"/>
        <w:right w:val="none" w:sz="0" w:space="0" w:color="auto"/>
      </w:divBdr>
    </w:div>
    <w:div w:id="1442191701">
      <w:bodyDiv w:val="1"/>
      <w:marLeft w:val="0"/>
      <w:marRight w:val="0"/>
      <w:marTop w:val="0"/>
      <w:marBottom w:val="0"/>
      <w:divBdr>
        <w:top w:val="none" w:sz="0" w:space="0" w:color="auto"/>
        <w:left w:val="none" w:sz="0" w:space="0" w:color="auto"/>
        <w:bottom w:val="none" w:sz="0" w:space="0" w:color="auto"/>
        <w:right w:val="none" w:sz="0" w:space="0" w:color="auto"/>
      </w:divBdr>
    </w:div>
    <w:div w:id="1519200119">
      <w:bodyDiv w:val="1"/>
      <w:marLeft w:val="0"/>
      <w:marRight w:val="0"/>
      <w:marTop w:val="0"/>
      <w:marBottom w:val="0"/>
      <w:divBdr>
        <w:top w:val="none" w:sz="0" w:space="0" w:color="auto"/>
        <w:left w:val="none" w:sz="0" w:space="0" w:color="auto"/>
        <w:bottom w:val="none" w:sz="0" w:space="0" w:color="auto"/>
        <w:right w:val="none" w:sz="0" w:space="0" w:color="auto"/>
      </w:divBdr>
    </w:div>
    <w:div w:id="1547987206">
      <w:bodyDiv w:val="1"/>
      <w:marLeft w:val="0"/>
      <w:marRight w:val="0"/>
      <w:marTop w:val="0"/>
      <w:marBottom w:val="0"/>
      <w:divBdr>
        <w:top w:val="none" w:sz="0" w:space="0" w:color="auto"/>
        <w:left w:val="none" w:sz="0" w:space="0" w:color="auto"/>
        <w:bottom w:val="none" w:sz="0" w:space="0" w:color="auto"/>
        <w:right w:val="none" w:sz="0" w:space="0" w:color="auto"/>
      </w:divBdr>
      <w:divsChild>
        <w:div w:id="623464005">
          <w:marLeft w:val="0"/>
          <w:marRight w:val="0"/>
          <w:marTop w:val="0"/>
          <w:marBottom w:val="0"/>
          <w:divBdr>
            <w:top w:val="none" w:sz="0" w:space="0" w:color="auto"/>
            <w:left w:val="none" w:sz="0" w:space="0" w:color="auto"/>
            <w:bottom w:val="none" w:sz="0" w:space="0" w:color="auto"/>
            <w:right w:val="none" w:sz="0" w:space="0" w:color="auto"/>
          </w:divBdr>
          <w:divsChild>
            <w:div w:id="200994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702063">
      <w:bodyDiv w:val="1"/>
      <w:marLeft w:val="0"/>
      <w:marRight w:val="0"/>
      <w:marTop w:val="0"/>
      <w:marBottom w:val="0"/>
      <w:divBdr>
        <w:top w:val="none" w:sz="0" w:space="0" w:color="auto"/>
        <w:left w:val="none" w:sz="0" w:space="0" w:color="auto"/>
        <w:bottom w:val="none" w:sz="0" w:space="0" w:color="auto"/>
        <w:right w:val="none" w:sz="0" w:space="0" w:color="auto"/>
      </w:divBdr>
      <w:divsChild>
        <w:div w:id="1198087246">
          <w:marLeft w:val="0"/>
          <w:marRight w:val="0"/>
          <w:marTop w:val="0"/>
          <w:marBottom w:val="0"/>
          <w:divBdr>
            <w:top w:val="none" w:sz="0" w:space="0" w:color="auto"/>
            <w:left w:val="none" w:sz="0" w:space="0" w:color="auto"/>
            <w:bottom w:val="none" w:sz="0" w:space="0" w:color="auto"/>
            <w:right w:val="none" w:sz="0" w:space="0" w:color="auto"/>
          </w:divBdr>
          <w:divsChild>
            <w:div w:id="41174263">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2050447937">
      <w:bodyDiv w:val="1"/>
      <w:marLeft w:val="0"/>
      <w:marRight w:val="0"/>
      <w:marTop w:val="0"/>
      <w:marBottom w:val="0"/>
      <w:divBdr>
        <w:top w:val="none" w:sz="0" w:space="0" w:color="auto"/>
        <w:left w:val="none" w:sz="0" w:space="0" w:color="auto"/>
        <w:bottom w:val="none" w:sz="0" w:space="0" w:color="auto"/>
        <w:right w:val="none" w:sz="0" w:space="0" w:color="auto"/>
      </w:divBdr>
      <w:divsChild>
        <w:div w:id="692807400">
          <w:marLeft w:val="0"/>
          <w:marRight w:val="0"/>
          <w:marTop w:val="0"/>
          <w:marBottom w:val="0"/>
          <w:divBdr>
            <w:top w:val="single" w:sz="2" w:space="0" w:color="auto"/>
            <w:left w:val="single" w:sz="2" w:space="0" w:color="auto"/>
            <w:bottom w:val="single" w:sz="6" w:space="0" w:color="auto"/>
            <w:right w:val="single" w:sz="2" w:space="0" w:color="auto"/>
          </w:divBdr>
          <w:divsChild>
            <w:div w:id="770588787">
              <w:marLeft w:val="0"/>
              <w:marRight w:val="0"/>
              <w:marTop w:val="100"/>
              <w:marBottom w:val="100"/>
              <w:divBdr>
                <w:top w:val="single" w:sz="2" w:space="0" w:color="D9D9E3"/>
                <w:left w:val="single" w:sz="2" w:space="0" w:color="D9D9E3"/>
                <w:bottom w:val="single" w:sz="2" w:space="0" w:color="D9D9E3"/>
                <w:right w:val="single" w:sz="2" w:space="0" w:color="D9D9E3"/>
              </w:divBdr>
              <w:divsChild>
                <w:div w:id="1320502488">
                  <w:marLeft w:val="0"/>
                  <w:marRight w:val="0"/>
                  <w:marTop w:val="0"/>
                  <w:marBottom w:val="0"/>
                  <w:divBdr>
                    <w:top w:val="single" w:sz="2" w:space="0" w:color="D9D9E3"/>
                    <w:left w:val="single" w:sz="2" w:space="0" w:color="D9D9E3"/>
                    <w:bottom w:val="single" w:sz="2" w:space="0" w:color="D9D9E3"/>
                    <w:right w:val="single" w:sz="2" w:space="0" w:color="D9D9E3"/>
                  </w:divBdr>
                  <w:divsChild>
                    <w:div w:id="1295258831">
                      <w:marLeft w:val="0"/>
                      <w:marRight w:val="0"/>
                      <w:marTop w:val="0"/>
                      <w:marBottom w:val="0"/>
                      <w:divBdr>
                        <w:top w:val="single" w:sz="2" w:space="0" w:color="D9D9E3"/>
                        <w:left w:val="single" w:sz="2" w:space="0" w:color="D9D9E3"/>
                        <w:bottom w:val="single" w:sz="2" w:space="0" w:color="D9D9E3"/>
                        <w:right w:val="single" w:sz="2" w:space="0" w:color="D9D9E3"/>
                      </w:divBdr>
                      <w:divsChild>
                        <w:div w:id="766776400">
                          <w:marLeft w:val="0"/>
                          <w:marRight w:val="0"/>
                          <w:marTop w:val="0"/>
                          <w:marBottom w:val="0"/>
                          <w:divBdr>
                            <w:top w:val="single" w:sz="2" w:space="0" w:color="D9D9E3"/>
                            <w:left w:val="single" w:sz="2" w:space="0" w:color="D9D9E3"/>
                            <w:bottom w:val="single" w:sz="2" w:space="0" w:color="D9D9E3"/>
                            <w:right w:val="single" w:sz="2" w:space="0" w:color="D9D9E3"/>
                          </w:divBdr>
                          <w:divsChild>
                            <w:div w:id="1570336590">
                              <w:marLeft w:val="0"/>
                              <w:marRight w:val="0"/>
                              <w:marTop w:val="0"/>
                              <w:marBottom w:val="0"/>
                              <w:divBdr>
                                <w:top w:val="single" w:sz="2" w:space="0" w:color="D9D9E3"/>
                                <w:left w:val="single" w:sz="2" w:space="0" w:color="D9D9E3"/>
                                <w:bottom w:val="single" w:sz="2" w:space="0" w:color="D9D9E3"/>
                                <w:right w:val="single" w:sz="2" w:space="0" w:color="D9D9E3"/>
                              </w:divBdr>
                              <w:divsChild>
                                <w:div w:id="1417481466">
                                  <w:marLeft w:val="0"/>
                                  <w:marRight w:val="0"/>
                                  <w:marTop w:val="0"/>
                                  <w:marBottom w:val="0"/>
                                  <w:divBdr>
                                    <w:top w:val="single" w:sz="2" w:space="0" w:color="D9D9E3"/>
                                    <w:left w:val="single" w:sz="2" w:space="0" w:color="D9D9E3"/>
                                    <w:bottom w:val="single" w:sz="2" w:space="0" w:color="D9D9E3"/>
                                    <w:right w:val="single" w:sz="2" w:space="0" w:color="D9D9E3"/>
                                  </w:divBdr>
                                  <w:divsChild>
                                    <w:div w:id="4901736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319-24612-3_831"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93/jlb/lsab00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2/bsl.2370040405" TargetMode="External"/><Relationship Id="rId5" Type="http://schemas.openxmlformats.org/officeDocument/2006/relationships/styles" Target="styles.xml"/><Relationship Id="rId15" Type="http://schemas.microsoft.com/office/2020/10/relationships/intelligence" Target="intelligence2.xml"/><Relationship Id="rId10" Type="http://schemas.openxmlformats.org/officeDocument/2006/relationships/hyperlink" Target="https://doi.org/10.1007/s11896-022-09540-8" TargetMode="External"/><Relationship Id="rId4" Type="http://schemas.openxmlformats.org/officeDocument/2006/relationships/numbering" Target="numbering.xml"/><Relationship Id="rId9" Type="http://schemas.openxmlformats.org/officeDocument/2006/relationships/hyperlink" Target="https://doi.org/10.1177/000486581453073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e0ea6924180cf088d4f51dedc1f96aa3">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4d711fa1e340a8bce1606c88f504fc3"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2850A1CD-5C64-48F5-930D-65A4E4B890D6}">
  <ds:schemaRefs>
    <ds:schemaRef ds:uri="http://schemas.microsoft.com/sharepoint/v3/contenttype/forms"/>
  </ds:schemaRefs>
</ds:datastoreItem>
</file>

<file path=customXml/itemProps2.xml><?xml version="1.0" encoding="utf-8"?>
<ds:datastoreItem xmlns:ds="http://schemas.openxmlformats.org/officeDocument/2006/customXml" ds:itemID="{ACAA5B20-FE92-49BC-BBC9-5721E2CF28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CEFFB7-B67F-4E02-820C-06A62A34664F}">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8898</TotalTime>
  <Pages>16</Pages>
  <Words>4277</Words>
  <Characters>24380</Characters>
  <Application>Microsoft Office Word</Application>
  <DocSecurity>0</DocSecurity>
  <Lines>203</Lines>
  <Paragraphs>57</Paragraphs>
  <ScaleCrop>false</ScaleCrop>
  <Company/>
  <LinksUpToDate>false</LinksUpToDate>
  <CharactersWithSpaces>28600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Varallo (2100048)</dc:creator>
  <cp:keywords/>
  <dc:description/>
  <cp:lastModifiedBy>Claudia Varallo (2100048)</cp:lastModifiedBy>
  <cp:revision>242</cp:revision>
  <dcterms:created xsi:type="dcterms:W3CDTF">2023-11-08T12:33:00Z</dcterms:created>
  <dcterms:modified xsi:type="dcterms:W3CDTF">2023-11-15T12:34:00Z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