
<file path=[Content_Types].xml><?xml version="1.0" encoding="utf-8"?>
<Types xmlns="http://schemas.openxmlformats.org/package/2006/content-types">
  <Default Extension="eps" ContentType="image/x-ep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E85F8F7" w14:textId="77777777" w:rsidR="004811C8" w:rsidRPr="001A076D" w:rsidRDefault="004811C8" w:rsidP="00E03F70">
      <w:pPr>
        <w:jc w:val="both"/>
      </w:pPr>
    </w:p>
    <w:p w14:paraId="218A7A99" w14:textId="77777777" w:rsidR="00EB764C" w:rsidRPr="001A076D" w:rsidRDefault="00EB764C" w:rsidP="00EB764C">
      <w:pPr>
        <w:pStyle w:val="Title"/>
        <w:jc w:val="center"/>
        <w:rPr>
          <w:rFonts w:ascii="Times New Roman" w:hAnsi="Times New Roman" w:cs="Times New Roman"/>
          <w:b/>
          <w:bCs/>
        </w:rPr>
      </w:pPr>
      <w:r w:rsidRPr="001A076D">
        <w:rPr>
          <w:rFonts w:ascii="Times New Roman" w:hAnsi="Times New Roman" w:cs="Times New Roman"/>
          <w:b/>
          <w:bCs/>
        </w:rPr>
        <w:t>Integrating Predictive Analytics into Strategic Decision-Making:</w:t>
      </w:r>
    </w:p>
    <w:p w14:paraId="588E002B" w14:textId="77777777" w:rsidR="00EB764C" w:rsidRPr="001A076D" w:rsidRDefault="00EB764C" w:rsidP="00EB764C">
      <w:pPr>
        <w:pStyle w:val="Title"/>
        <w:jc w:val="center"/>
        <w:rPr>
          <w:rFonts w:ascii="Times New Roman" w:hAnsi="Times New Roman" w:cs="Times New Roman"/>
          <w:sz w:val="40"/>
          <w:szCs w:val="40"/>
        </w:rPr>
      </w:pPr>
      <w:r w:rsidRPr="001A076D">
        <w:rPr>
          <w:rFonts w:ascii="Times New Roman" w:hAnsi="Times New Roman" w:cs="Times New Roman"/>
          <w:sz w:val="40"/>
          <w:szCs w:val="40"/>
        </w:rPr>
        <w:t>A Mixed-Methods Study of Governance Maturity and Organisational Readiness at SSE PLC</w:t>
      </w:r>
    </w:p>
    <w:p w14:paraId="4B285993" w14:textId="77777777" w:rsidR="00AD3AC7" w:rsidRPr="001A076D" w:rsidRDefault="00AD3AC7" w:rsidP="00AD3AC7"/>
    <w:p w14:paraId="263267A9" w14:textId="77777777" w:rsidR="002F3CBE" w:rsidRPr="001A076D" w:rsidRDefault="002F3CBE" w:rsidP="00E03F70">
      <w:pPr>
        <w:rPr>
          <w:sz w:val="30"/>
          <w:szCs w:val="30"/>
        </w:rPr>
      </w:pPr>
    </w:p>
    <w:p w14:paraId="2DD5D7C4" w14:textId="77777777" w:rsidR="002F3CBE" w:rsidRPr="001A076D" w:rsidRDefault="002F3CBE" w:rsidP="00EB764C">
      <w:pPr>
        <w:jc w:val="center"/>
        <w:rPr>
          <w:sz w:val="30"/>
          <w:szCs w:val="30"/>
        </w:rPr>
      </w:pPr>
    </w:p>
    <w:p w14:paraId="00BE9B3A" w14:textId="77777777" w:rsidR="002F3CBE" w:rsidRPr="001A076D" w:rsidRDefault="002F3CBE" w:rsidP="00EB764C">
      <w:pPr>
        <w:jc w:val="center"/>
        <w:rPr>
          <w:sz w:val="30"/>
          <w:szCs w:val="30"/>
        </w:rPr>
      </w:pPr>
    </w:p>
    <w:p w14:paraId="12FB0658" w14:textId="77777777" w:rsidR="002F3CBE" w:rsidRPr="001A076D" w:rsidRDefault="002F3CBE" w:rsidP="00EB764C">
      <w:pPr>
        <w:jc w:val="center"/>
        <w:rPr>
          <w:sz w:val="30"/>
          <w:szCs w:val="30"/>
        </w:rPr>
      </w:pPr>
    </w:p>
    <w:p w14:paraId="55EEC9FA" w14:textId="77777777" w:rsidR="002F2724" w:rsidRPr="001A076D" w:rsidRDefault="002F2724" w:rsidP="00EB764C">
      <w:pPr>
        <w:jc w:val="center"/>
        <w:rPr>
          <w:sz w:val="30"/>
          <w:szCs w:val="30"/>
        </w:rPr>
      </w:pPr>
    </w:p>
    <w:p w14:paraId="3158A199" w14:textId="77777777" w:rsidR="002F2724" w:rsidRPr="001A076D" w:rsidRDefault="002F2724" w:rsidP="00EB764C">
      <w:pPr>
        <w:jc w:val="center"/>
        <w:rPr>
          <w:sz w:val="30"/>
          <w:szCs w:val="30"/>
        </w:rPr>
      </w:pPr>
    </w:p>
    <w:p w14:paraId="11594916" w14:textId="77777777" w:rsidR="002F2724" w:rsidRPr="001A076D" w:rsidRDefault="002F2724" w:rsidP="002F2724">
      <w:pPr>
        <w:jc w:val="center"/>
        <w:rPr>
          <w:sz w:val="30"/>
          <w:lang w:val="nl-NL"/>
        </w:rPr>
      </w:pPr>
      <w:r w:rsidRPr="001A076D">
        <w:rPr>
          <w:sz w:val="30"/>
          <w:lang w:val="nl-NL"/>
        </w:rPr>
        <w:t xml:space="preserve">Joshua </w:t>
      </w:r>
      <w:proofErr w:type="spellStart"/>
      <w:r w:rsidRPr="001A076D">
        <w:rPr>
          <w:sz w:val="30"/>
          <w:lang w:val="nl-NL"/>
        </w:rPr>
        <w:t>Adeniyi</w:t>
      </w:r>
      <w:proofErr w:type="spellEnd"/>
      <w:r w:rsidRPr="001A076D">
        <w:rPr>
          <w:sz w:val="30"/>
          <w:lang w:val="nl-NL"/>
        </w:rPr>
        <w:t xml:space="preserve"> Depiver</w:t>
      </w:r>
    </w:p>
    <w:p w14:paraId="29557ABB" w14:textId="06DA805F" w:rsidR="002F2724" w:rsidRPr="001A076D" w:rsidRDefault="00E03F70" w:rsidP="002F2724">
      <w:pPr>
        <w:jc w:val="center"/>
        <w:rPr>
          <w:sz w:val="30"/>
          <w:lang w:val="nl-NL"/>
        </w:rPr>
      </w:pPr>
      <w:r w:rsidRPr="001A076D">
        <w:rPr>
          <w:b/>
          <w:sz w:val="28"/>
          <w:szCs w:val="28"/>
          <w:lang w:val="nl-NL"/>
        </w:rPr>
        <w:t>Student ID</w:t>
      </w:r>
      <w:r w:rsidRPr="001A076D">
        <w:rPr>
          <w:sz w:val="30"/>
          <w:lang w:val="nl-NL"/>
        </w:rPr>
        <w:t xml:space="preserve">: </w:t>
      </w:r>
      <w:r w:rsidR="002F2724" w:rsidRPr="001A076D">
        <w:rPr>
          <w:sz w:val="30"/>
          <w:lang w:val="nl-NL"/>
        </w:rPr>
        <w:t>2307234</w:t>
      </w:r>
    </w:p>
    <w:p w14:paraId="4AF517EA" w14:textId="77777777" w:rsidR="00AD3AC7" w:rsidRPr="001A076D" w:rsidRDefault="00AD3AC7" w:rsidP="002F2724">
      <w:pPr>
        <w:jc w:val="center"/>
        <w:rPr>
          <w:sz w:val="30"/>
          <w:lang w:val="nl-NL"/>
        </w:rPr>
      </w:pPr>
    </w:p>
    <w:p w14:paraId="0F1A17BB" w14:textId="77777777" w:rsidR="00AD3AC7" w:rsidRPr="001A076D" w:rsidRDefault="00AD3AC7" w:rsidP="002F2724">
      <w:pPr>
        <w:jc w:val="center"/>
        <w:rPr>
          <w:sz w:val="30"/>
          <w:lang w:val="nl-NL"/>
        </w:rPr>
      </w:pPr>
    </w:p>
    <w:p w14:paraId="4F549AB2" w14:textId="77777777" w:rsidR="00AD3AC7" w:rsidRPr="001A076D" w:rsidRDefault="00AD3AC7" w:rsidP="002F2724">
      <w:pPr>
        <w:jc w:val="center"/>
        <w:rPr>
          <w:sz w:val="30"/>
          <w:lang w:val="nl-NL"/>
        </w:rPr>
      </w:pPr>
    </w:p>
    <w:p w14:paraId="167DD796" w14:textId="77777777" w:rsidR="002F2724" w:rsidRPr="001A076D" w:rsidRDefault="002F2724" w:rsidP="00EB764C">
      <w:pPr>
        <w:jc w:val="center"/>
        <w:rPr>
          <w:lang w:val="nl-NL"/>
        </w:rPr>
      </w:pPr>
    </w:p>
    <w:p w14:paraId="021FC5BB" w14:textId="77777777" w:rsidR="00E03F70" w:rsidRPr="001A076D" w:rsidRDefault="00E03F70" w:rsidP="00EB764C">
      <w:pPr>
        <w:jc w:val="center"/>
        <w:rPr>
          <w:lang w:val="nl-NL"/>
        </w:rPr>
      </w:pPr>
    </w:p>
    <w:p w14:paraId="214A1298" w14:textId="77777777" w:rsidR="00E03F70" w:rsidRPr="001A076D" w:rsidRDefault="00E03F70" w:rsidP="00EB764C">
      <w:pPr>
        <w:jc w:val="center"/>
        <w:rPr>
          <w:lang w:val="nl-NL"/>
        </w:rPr>
      </w:pPr>
    </w:p>
    <w:p w14:paraId="060F6C75" w14:textId="415A31F3" w:rsidR="00E03F70" w:rsidRPr="001A076D" w:rsidRDefault="00E03F70" w:rsidP="00AD3AC7">
      <w:pPr>
        <w:autoSpaceDE w:val="0"/>
        <w:autoSpaceDN w:val="0"/>
        <w:adjustRightInd w:val="0"/>
        <w:jc w:val="center"/>
        <w:rPr>
          <w:rFonts w:eastAsiaTheme="minorHAnsi"/>
          <w:kern w:val="2"/>
          <w:sz w:val="28"/>
          <w:szCs w:val="28"/>
          <w:lang w:eastAsia="en-US"/>
          <w14:ligatures w14:val="standardContextual"/>
        </w:rPr>
      </w:pPr>
      <w:r w:rsidRPr="001A076D">
        <w:rPr>
          <w:b/>
          <w:bCs/>
          <w:sz w:val="28"/>
          <w:szCs w:val="28"/>
        </w:rPr>
        <w:t xml:space="preserve">Thesis submitted in </w:t>
      </w:r>
      <w:r w:rsidR="00F877D5" w:rsidRPr="001A076D">
        <w:rPr>
          <w:b/>
          <w:bCs/>
          <w:sz w:val="28"/>
          <w:szCs w:val="28"/>
        </w:rPr>
        <w:t>partial</w:t>
      </w:r>
      <w:r w:rsidRPr="001A076D">
        <w:rPr>
          <w:b/>
          <w:bCs/>
          <w:sz w:val="28"/>
          <w:szCs w:val="28"/>
        </w:rPr>
        <w:t xml:space="preserve"> fulfilment</w:t>
      </w:r>
      <w:r w:rsidRPr="001A076D">
        <w:rPr>
          <w:sz w:val="28"/>
          <w:szCs w:val="28"/>
        </w:rPr>
        <w:t xml:space="preserve"> </w:t>
      </w:r>
      <w:r w:rsidRPr="001A076D">
        <w:rPr>
          <w:b/>
          <w:bCs/>
          <w:sz w:val="28"/>
          <w:szCs w:val="28"/>
        </w:rPr>
        <w:t>of the</w:t>
      </w:r>
      <w:r w:rsidR="00AD3AC7" w:rsidRPr="001A076D">
        <w:rPr>
          <w:b/>
          <w:bCs/>
          <w:sz w:val="28"/>
          <w:szCs w:val="28"/>
        </w:rPr>
        <w:t xml:space="preserve"> </w:t>
      </w:r>
      <w:r w:rsidRPr="001A076D">
        <w:rPr>
          <w:b/>
          <w:sz w:val="28"/>
          <w:szCs w:val="28"/>
        </w:rPr>
        <w:t>Master of Business Administration (MBA)</w:t>
      </w:r>
    </w:p>
    <w:p w14:paraId="12857110" w14:textId="77777777" w:rsidR="00F13A78" w:rsidRPr="001A076D" w:rsidRDefault="0095494D" w:rsidP="00EB764C">
      <w:pPr>
        <w:jc w:val="center"/>
        <w:rPr>
          <w:b/>
          <w:sz w:val="28"/>
          <w:szCs w:val="28"/>
        </w:rPr>
      </w:pPr>
      <w:r w:rsidRPr="001A076D">
        <w:rPr>
          <w:b/>
          <w:sz w:val="28"/>
          <w:szCs w:val="28"/>
        </w:rPr>
        <w:t>September</w:t>
      </w:r>
      <w:r w:rsidR="00E03F70" w:rsidRPr="001A076D">
        <w:rPr>
          <w:b/>
          <w:sz w:val="28"/>
          <w:szCs w:val="28"/>
        </w:rPr>
        <w:t xml:space="preserve"> 2026</w:t>
      </w:r>
    </w:p>
    <w:p w14:paraId="4E51DE34" w14:textId="77777777" w:rsidR="00F13A78" w:rsidRPr="001A076D" w:rsidRDefault="00F13A78" w:rsidP="00EB764C">
      <w:pPr>
        <w:jc w:val="center"/>
        <w:rPr>
          <w:b/>
          <w:sz w:val="28"/>
          <w:szCs w:val="28"/>
        </w:rPr>
      </w:pPr>
    </w:p>
    <w:p w14:paraId="75CBA974" w14:textId="77777777" w:rsidR="00F13A78" w:rsidRPr="001A076D" w:rsidRDefault="00F13A78" w:rsidP="00EB764C">
      <w:pPr>
        <w:jc w:val="center"/>
        <w:rPr>
          <w:b/>
          <w:sz w:val="28"/>
          <w:szCs w:val="28"/>
        </w:rPr>
      </w:pPr>
    </w:p>
    <w:p w14:paraId="666AD794" w14:textId="77777777" w:rsidR="00F13A78" w:rsidRPr="001A076D" w:rsidRDefault="00F13A78" w:rsidP="00EB764C">
      <w:pPr>
        <w:jc w:val="center"/>
        <w:rPr>
          <w:b/>
          <w:sz w:val="28"/>
          <w:szCs w:val="28"/>
        </w:rPr>
      </w:pPr>
    </w:p>
    <w:p w14:paraId="5EA1F92D" w14:textId="77777777" w:rsidR="00F13A78" w:rsidRPr="001A076D" w:rsidRDefault="00F13A78" w:rsidP="00EB764C">
      <w:pPr>
        <w:jc w:val="center"/>
        <w:rPr>
          <w:b/>
          <w:sz w:val="28"/>
          <w:szCs w:val="28"/>
        </w:rPr>
      </w:pPr>
    </w:p>
    <w:p w14:paraId="0E1D584C" w14:textId="77777777" w:rsidR="00F13A78" w:rsidRPr="001A076D" w:rsidRDefault="00F13A78" w:rsidP="00EB764C">
      <w:pPr>
        <w:jc w:val="center"/>
        <w:rPr>
          <w:b/>
          <w:sz w:val="28"/>
          <w:szCs w:val="28"/>
        </w:rPr>
      </w:pPr>
    </w:p>
    <w:p w14:paraId="6C621A7E" w14:textId="77777777" w:rsidR="00F13A78" w:rsidRPr="001A076D" w:rsidRDefault="00F13A78" w:rsidP="00EB764C">
      <w:pPr>
        <w:jc w:val="center"/>
        <w:rPr>
          <w:b/>
          <w:sz w:val="28"/>
          <w:szCs w:val="28"/>
        </w:rPr>
      </w:pPr>
    </w:p>
    <w:p w14:paraId="795E5216" w14:textId="77777777" w:rsidR="00F13A78" w:rsidRPr="001A076D" w:rsidRDefault="00F13A78" w:rsidP="00EB764C">
      <w:pPr>
        <w:jc w:val="center"/>
        <w:rPr>
          <w:b/>
          <w:sz w:val="28"/>
          <w:szCs w:val="28"/>
        </w:rPr>
      </w:pPr>
    </w:p>
    <w:p w14:paraId="196E063F" w14:textId="32801DC3" w:rsidR="004811C8" w:rsidRPr="001A076D" w:rsidRDefault="00F13A78" w:rsidP="00EB764C">
      <w:pPr>
        <w:jc w:val="center"/>
      </w:pPr>
      <w:r w:rsidRPr="001A076D">
        <w:rPr>
          <w:b/>
          <w:noProof/>
          <w:sz w:val="28"/>
          <w:szCs w:val="28"/>
          <w14:ligatures w14:val="standardContextual"/>
        </w:rPr>
        <w:drawing>
          <wp:inline distT="0" distB="0" distL="0" distR="0" wp14:anchorId="7802A0C5" wp14:editId="17DEAB17">
            <wp:extent cx="3505200" cy="1371600"/>
            <wp:effectExtent l="0" t="0" r="0" b="0"/>
            <wp:docPr id="1925517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517072" name="Picture 1925517072"/>
                    <pic:cNvPicPr/>
                  </pic:nvPicPr>
                  <pic:blipFill>
                    <a:blip r:embed="rId8">
                      <a:extLst>
                        <a:ext uri="{28A0092B-C50C-407E-A947-70E740481C1C}">
                          <a14:useLocalDpi xmlns:a14="http://schemas.microsoft.com/office/drawing/2010/main" val="0"/>
                        </a:ext>
                      </a:extLst>
                    </a:blip>
                    <a:stretch>
                      <a:fillRect/>
                    </a:stretch>
                  </pic:blipFill>
                  <pic:spPr>
                    <a:xfrm>
                      <a:off x="0" y="0"/>
                      <a:ext cx="3505200" cy="1371600"/>
                    </a:xfrm>
                    <a:prstGeom prst="rect">
                      <a:avLst/>
                    </a:prstGeom>
                  </pic:spPr>
                </pic:pic>
              </a:graphicData>
            </a:graphic>
          </wp:inline>
        </w:drawing>
      </w:r>
      <w:r w:rsidR="004811C8" w:rsidRPr="001A076D">
        <w:br w:type="page"/>
      </w:r>
    </w:p>
    <w:p w14:paraId="5F6A39B5" w14:textId="32B38B3C" w:rsidR="00E03F70" w:rsidRPr="001A076D" w:rsidRDefault="00E03F70" w:rsidP="00AD3AC7">
      <w:pPr>
        <w:pStyle w:val="Heading1"/>
        <w:rPr>
          <w:rFonts w:ascii="Times New Roman" w:hAnsi="Times New Roman" w:cs="Times New Roman"/>
          <w:b/>
          <w:bCs/>
          <w:color w:val="auto"/>
        </w:rPr>
      </w:pPr>
      <w:bookmarkStart w:id="0" w:name="_Toc449683553"/>
      <w:bookmarkStart w:id="1" w:name="_Toc236033316"/>
      <w:bookmarkStart w:id="2" w:name="_Toc449683554"/>
      <w:r w:rsidRPr="001A076D">
        <w:rPr>
          <w:rFonts w:ascii="Times New Roman" w:hAnsi="Times New Roman" w:cs="Times New Roman"/>
          <w:b/>
          <w:bCs/>
          <w:color w:val="auto"/>
        </w:rPr>
        <w:lastRenderedPageBreak/>
        <w:t>Declaration</w:t>
      </w:r>
      <w:bookmarkEnd w:id="0"/>
      <w:bookmarkEnd w:id="1"/>
    </w:p>
    <w:p w14:paraId="48AA05E5" w14:textId="386D0BD4" w:rsidR="00E03F70" w:rsidRPr="001A076D" w:rsidRDefault="00E03F70" w:rsidP="00E03F70">
      <w:pPr>
        <w:ind w:left="720" w:hanging="630"/>
        <w:rPr>
          <w:spacing w:val="-2"/>
        </w:rPr>
      </w:pPr>
      <w:r w:rsidRPr="001A076D">
        <w:rPr>
          <w:spacing w:val="-2"/>
        </w:rPr>
        <w:tab/>
      </w:r>
    </w:p>
    <w:p w14:paraId="3DB0F98F" w14:textId="4AA1726D" w:rsidR="00E03F70" w:rsidRPr="001A076D" w:rsidRDefault="00E03F70" w:rsidP="001C4C07">
      <w:pPr>
        <w:spacing w:line="360" w:lineRule="auto"/>
        <w:jc w:val="both"/>
        <w:rPr>
          <w:spacing w:val="-2"/>
        </w:rPr>
      </w:pPr>
      <w:r w:rsidRPr="001A076D">
        <w:rPr>
          <w:spacing w:val="-2"/>
        </w:rPr>
        <w:t>This work has not previously been accepted in substance for any degree and is not being concurrently submitted in candidature for any degree.</w:t>
      </w:r>
      <w:r w:rsidRPr="001A076D">
        <w:rPr>
          <w:spacing w:val="-2"/>
        </w:rPr>
        <w:tab/>
      </w:r>
    </w:p>
    <w:p w14:paraId="4962B4D8" w14:textId="4E6284DD" w:rsidR="00E03F70" w:rsidRPr="001A076D" w:rsidRDefault="0019234B" w:rsidP="00AD3AC7">
      <w:pPr>
        <w:spacing w:line="360" w:lineRule="auto"/>
        <w:rPr>
          <w:spacing w:val="-2"/>
        </w:rPr>
      </w:pPr>
      <w:r w:rsidRPr="001A076D">
        <w:rPr>
          <w:noProof/>
          <w:spacing w:val="-2"/>
          <w14:ligatures w14:val="standardContextual"/>
        </w:rPr>
        <w:drawing>
          <wp:anchor distT="0" distB="0" distL="114300" distR="114300" simplePos="0" relativeHeight="251658240" behindDoc="0" locked="0" layoutInCell="1" allowOverlap="1" wp14:anchorId="5FA0A2B2" wp14:editId="69A865B9">
            <wp:simplePos x="0" y="0"/>
            <wp:positionH relativeFrom="margin">
              <wp:posOffset>607744</wp:posOffset>
            </wp:positionH>
            <wp:positionV relativeFrom="margin">
              <wp:posOffset>1242451</wp:posOffset>
            </wp:positionV>
            <wp:extent cx="794679" cy="389312"/>
            <wp:effectExtent l="0" t="0" r="5715" b="4445"/>
            <wp:wrapSquare wrapText="bothSides"/>
            <wp:docPr id="1379400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00843" name="Picture 1379400843"/>
                    <pic:cNvPicPr/>
                  </pic:nvPicPr>
                  <pic:blipFill>
                    <a:blip r:embed="rId9" cstate="print">
                      <a:extLst>
                        <a:ext uri="{BEBA8EAE-BF5A-486C-A8C5-ECC9F3942E4B}">
                          <a14:imgProps xmlns:a14="http://schemas.microsoft.com/office/drawing/2010/main">
                            <a14:imgLayer r:embed="rId10">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794679" cy="389312"/>
                    </a:xfrm>
                    <a:prstGeom prst="rect">
                      <a:avLst/>
                    </a:prstGeom>
                  </pic:spPr>
                </pic:pic>
              </a:graphicData>
            </a:graphic>
          </wp:anchor>
        </w:drawing>
      </w:r>
    </w:p>
    <w:p w14:paraId="6AC0B0C3" w14:textId="09889A35" w:rsidR="00E03F70" w:rsidRPr="001A076D" w:rsidRDefault="00E03F70" w:rsidP="00AD3AC7">
      <w:pPr>
        <w:spacing w:line="360" w:lineRule="auto"/>
        <w:rPr>
          <w:spacing w:val="-2"/>
        </w:rPr>
      </w:pPr>
      <w:r w:rsidRPr="001A076D">
        <w:rPr>
          <w:spacing w:val="-2"/>
        </w:rPr>
        <w:t xml:space="preserve">Signed . </w:t>
      </w:r>
      <w:r w:rsidR="00622BB3" w:rsidRPr="001A076D">
        <w:rPr>
          <w:spacing w:val="-2"/>
        </w:rPr>
        <w:t>(candidate).</w:t>
      </w:r>
      <w:r w:rsidRPr="001A076D">
        <w:rPr>
          <w:spacing w:val="-2"/>
        </w:rPr>
        <w:tab/>
      </w:r>
    </w:p>
    <w:p w14:paraId="7D4A1110" w14:textId="77777777" w:rsidR="00E03F70" w:rsidRPr="001A076D" w:rsidRDefault="00E03F70" w:rsidP="00AD3AC7">
      <w:pPr>
        <w:spacing w:line="360" w:lineRule="auto"/>
        <w:ind w:left="720"/>
        <w:rPr>
          <w:spacing w:val="-2"/>
        </w:rPr>
      </w:pPr>
    </w:p>
    <w:p w14:paraId="1D7D860E" w14:textId="6F7DF19B" w:rsidR="00E03F70" w:rsidRPr="001A076D" w:rsidRDefault="00E03F70" w:rsidP="00AD3AC7">
      <w:pPr>
        <w:spacing w:line="360" w:lineRule="auto"/>
        <w:rPr>
          <w:spacing w:val="-2"/>
        </w:rPr>
      </w:pPr>
      <w:r w:rsidRPr="001A076D">
        <w:rPr>
          <w:spacing w:val="-2"/>
        </w:rPr>
        <w:t>Date ........................................................................</w:t>
      </w:r>
      <w:r w:rsidRPr="001A076D">
        <w:rPr>
          <w:spacing w:val="-2"/>
        </w:rPr>
        <w:tab/>
      </w:r>
    </w:p>
    <w:p w14:paraId="738C887F" w14:textId="7A8CA034" w:rsidR="00E03F70" w:rsidRPr="001A076D" w:rsidRDefault="00E03F70" w:rsidP="00AD3AC7">
      <w:pPr>
        <w:spacing w:line="360" w:lineRule="auto"/>
        <w:rPr>
          <w:spacing w:val="-2"/>
        </w:rPr>
      </w:pPr>
    </w:p>
    <w:p w14:paraId="73FEB5CE" w14:textId="1AA5C431" w:rsidR="00AD3AC7" w:rsidRPr="001A076D" w:rsidRDefault="00AD3AC7" w:rsidP="00AD3AC7">
      <w:pPr>
        <w:spacing w:line="360" w:lineRule="auto"/>
        <w:rPr>
          <w:spacing w:val="-2"/>
        </w:rPr>
      </w:pPr>
    </w:p>
    <w:p w14:paraId="715D5FED" w14:textId="77777777" w:rsidR="00E03F70" w:rsidRPr="001A076D" w:rsidRDefault="00E03F70" w:rsidP="00AD3AC7">
      <w:pPr>
        <w:spacing w:line="360" w:lineRule="auto"/>
        <w:rPr>
          <w:b/>
          <w:bCs/>
          <w:spacing w:val="-2"/>
        </w:rPr>
      </w:pPr>
      <w:r w:rsidRPr="001A076D">
        <w:rPr>
          <w:b/>
          <w:bCs/>
          <w:spacing w:val="-2"/>
        </w:rPr>
        <w:t>STATEMENT 1</w:t>
      </w:r>
      <w:r w:rsidRPr="001A076D">
        <w:rPr>
          <w:b/>
          <w:bCs/>
          <w:spacing w:val="-2"/>
        </w:rPr>
        <w:tab/>
      </w:r>
    </w:p>
    <w:p w14:paraId="2636079A" w14:textId="14C56C93" w:rsidR="00E03F70" w:rsidRPr="001A076D" w:rsidRDefault="00E03F70" w:rsidP="00AD3AC7">
      <w:pPr>
        <w:spacing w:line="360" w:lineRule="auto"/>
        <w:ind w:left="720"/>
        <w:rPr>
          <w:spacing w:val="-2"/>
        </w:rPr>
      </w:pPr>
    </w:p>
    <w:p w14:paraId="01CE6635" w14:textId="57AF4CB7" w:rsidR="00E03F70" w:rsidRPr="001A076D" w:rsidRDefault="00E03F70" w:rsidP="001C4C07">
      <w:pPr>
        <w:spacing w:line="360" w:lineRule="auto"/>
        <w:jc w:val="both"/>
        <w:rPr>
          <w:spacing w:val="-2"/>
        </w:rPr>
      </w:pPr>
      <w:r w:rsidRPr="001A076D">
        <w:rPr>
          <w:spacing w:val="-2"/>
        </w:rPr>
        <w:t xml:space="preserve">This work is the result of my own investigations, except where otherwise stated. </w:t>
      </w:r>
      <w:r w:rsidRPr="001A076D">
        <w:t xml:space="preserve">Where correction services have been used, the extent and nature of the correction </w:t>
      </w:r>
      <w:r w:rsidR="00211527" w:rsidRPr="001A076D">
        <w:t>are</w:t>
      </w:r>
      <w:r w:rsidRPr="001A076D">
        <w:t xml:space="preserve"> clearly marked in a footnote(s).</w:t>
      </w:r>
    </w:p>
    <w:p w14:paraId="6633A8C3" w14:textId="77777777" w:rsidR="00E03F70" w:rsidRPr="001A076D" w:rsidRDefault="00E03F70" w:rsidP="001C4C07">
      <w:pPr>
        <w:spacing w:line="360" w:lineRule="auto"/>
        <w:ind w:left="720"/>
        <w:jc w:val="both"/>
        <w:rPr>
          <w:spacing w:val="-2"/>
        </w:rPr>
      </w:pPr>
    </w:p>
    <w:p w14:paraId="66DE32CE" w14:textId="18000CCA" w:rsidR="00E03F70" w:rsidRPr="001A076D" w:rsidRDefault="00E03F70" w:rsidP="001C4C07">
      <w:pPr>
        <w:spacing w:line="360" w:lineRule="auto"/>
        <w:jc w:val="both"/>
        <w:rPr>
          <w:spacing w:val="-2"/>
        </w:rPr>
      </w:pPr>
      <w:r w:rsidRPr="001A076D">
        <w:rPr>
          <w:spacing w:val="-2"/>
        </w:rPr>
        <w:t>Other sources are acknowledged by footnotes giving explicit references.  A bibliography is appended.</w:t>
      </w:r>
    </w:p>
    <w:p w14:paraId="7550043D" w14:textId="2497A8F7" w:rsidR="00E03F70" w:rsidRPr="001A076D" w:rsidRDefault="0019234B" w:rsidP="00AD3AC7">
      <w:pPr>
        <w:spacing w:line="360" w:lineRule="auto"/>
        <w:rPr>
          <w:spacing w:val="-2"/>
        </w:rPr>
      </w:pPr>
      <w:r w:rsidRPr="001A076D">
        <w:rPr>
          <w:noProof/>
          <w:spacing w:val="-2"/>
          <w14:ligatures w14:val="standardContextual"/>
        </w:rPr>
        <w:drawing>
          <wp:anchor distT="0" distB="0" distL="114300" distR="114300" simplePos="0" relativeHeight="251660288" behindDoc="0" locked="0" layoutInCell="1" allowOverlap="1" wp14:anchorId="5C6D184F" wp14:editId="13EC41E3">
            <wp:simplePos x="0" y="0"/>
            <wp:positionH relativeFrom="margin">
              <wp:posOffset>608037</wp:posOffset>
            </wp:positionH>
            <wp:positionV relativeFrom="margin">
              <wp:posOffset>4915877</wp:posOffset>
            </wp:positionV>
            <wp:extent cx="794679" cy="389312"/>
            <wp:effectExtent l="0" t="0" r="5715" b="4445"/>
            <wp:wrapSquare wrapText="bothSides"/>
            <wp:docPr id="1524948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00843" name="Picture 1379400843"/>
                    <pic:cNvPicPr/>
                  </pic:nvPicPr>
                  <pic:blipFill>
                    <a:blip r:embed="rId9" cstate="print">
                      <a:extLst>
                        <a:ext uri="{BEBA8EAE-BF5A-486C-A8C5-ECC9F3942E4B}">
                          <a14:imgProps xmlns:a14="http://schemas.microsoft.com/office/drawing/2010/main">
                            <a14:imgLayer r:embed="rId11">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794679" cy="389312"/>
                    </a:xfrm>
                    <a:prstGeom prst="rect">
                      <a:avLst/>
                    </a:prstGeom>
                  </pic:spPr>
                </pic:pic>
              </a:graphicData>
            </a:graphic>
          </wp:anchor>
        </w:drawing>
      </w:r>
    </w:p>
    <w:p w14:paraId="19BF9E96" w14:textId="07F5AD6F" w:rsidR="00E03F70" w:rsidRPr="001A076D" w:rsidRDefault="00E03F70" w:rsidP="00AD3AC7">
      <w:pPr>
        <w:spacing w:line="360" w:lineRule="auto"/>
        <w:rPr>
          <w:spacing w:val="-2"/>
        </w:rPr>
      </w:pPr>
      <w:r w:rsidRPr="001A076D">
        <w:rPr>
          <w:spacing w:val="-2"/>
        </w:rPr>
        <w:t xml:space="preserve">Signed </w:t>
      </w:r>
      <w:r w:rsidR="00FE7ECE" w:rsidRPr="001A076D">
        <w:rPr>
          <w:spacing w:val="-2"/>
        </w:rPr>
        <w:t>(candidate).</w:t>
      </w:r>
      <w:r w:rsidRPr="001A076D">
        <w:rPr>
          <w:spacing w:val="-2"/>
        </w:rPr>
        <w:tab/>
      </w:r>
    </w:p>
    <w:p w14:paraId="67338EB9" w14:textId="77777777" w:rsidR="00E03F70" w:rsidRPr="001A076D" w:rsidRDefault="00E03F70" w:rsidP="00AD3AC7">
      <w:pPr>
        <w:spacing w:line="360" w:lineRule="auto"/>
        <w:ind w:left="720"/>
        <w:rPr>
          <w:spacing w:val="-2"/>
        </w:rPr>
      </w:pPr>
    </w:p>
    <w:p w14:paraId="3FF72BD2" w14:textId="08B9C837" w:rsidR="00E03F70" w:rsidRPr="001A076D" w:rsidRDefault="00E03F70" w:rsidP="00AD3AC7">
      <w:pPr>
        <w:spacing w:line="360" w:lineRule="auto"/>
        <w:rPr>
          <w:spacing w:val="-2"/>
        </w:rPr>
      </w:pPr>
      <w:r w:rsidRPr="001A076D">
        <w:rPr>
          <w:spacing w:val="-2"/>
        </w:rPr>
        <w:t>Date ........................................................................</w:t>
      </w:r>
      <w:r w:rsidRPr="001A076D">
        <w:rPr>
          <w:spacing w:val="-2"/>
        </w:rPr>
        <w:tab/>
      </w:r>
    </w:p>
    <w:p w14:paraId="25CF7BBA" w14:textId="77777777" w:rsidR="00AD3AC7" w:rsidRPr="001A076D" w:rsidRDefault="00AD3AC7" w:rsidP="00AD3AC7">
      <w:pPr>
        <w:spacing w:line="360" w:lineRule="auto"/>
        <w:rPr>
          <w:spacing w:val="-2"/>
        </w:rPr>
      </w:pPr>
    </w:p>
    <w:p w14:paraId="25B88577" w14:textId="381AABDE" w:rsidR="00AD3AC7" w:rsidRPr="001A076D" w:rsidRDefault="00AD3AC7" w:rsidP="00AD3AC7">
      <w:pPr>
        <w:spacing w:line="360" w:lineRule="auto"/>
        <w:rPr>
          <w:spacing w:val="-2"/>
        </w:rPr>
      </w:pPr>
    </w:p>
    <w:p w14:paraId="5452F140" w14:textId="33F99C68" w:rsidR="00E03F70" w:rsidRPr="001A076D" w:rsidRDefault="00E03F70" w:rsidP="00AD3AC7">
      <w:pPr>
        <w:spacing w:line="360" w:lineRule="auto"/>
        <w:rPr>
          <w:b/>
          <w:bCs/>
          <w:spacing w:val="-2"/>
        </w:rPr>
      </w:pPr>
      <w:r w:rsidRPr="001A076D">
        <w:rPr>
          <w:b/>
          <w:bCs/>
          <w:spacing w:val="-2"/>
        </w:rPr>
        <w:t>STATEMENT 2</w:t>
      </w:r>
      <w:r w:rsidRPr="001A076D">
        <w:rPr>
          <w:b/>
          <w:bCs/>
          <w:spacing w:val="-2"/>
        </w:rPr>
        <w:tab/>
      </w:r>
    </w:p>
    <w:p w14:paraId="0CFE0057" w14:textId="403B711C" w:rsidR="00E03F70" w:rsidRPr="001A076D" w:rsidRDefault="00E03F70" w:rsidP="00AD3AC7">
      <w:pPr>
        <w:spacing w:line="360" w:lineRule="auto"/>
        <w:ind w:left="720"/>
        <w:rPr>
          <w:spacing w:val="-2"/>
        </w:rPr>
      </w:pPr>
    </w:p>
    <w:p w14:paraId="075FC627" w14:textId="1B560720" w:rsidR="00E03F70" w:rsidRPr="001A076D" w:rsidRDefault="00E03F70" w:rsidP="001C4C07">
      <w:pPr>
        <w:spacing w:line="360" w:lineRule="auto"/>
        <w:jc w:val="both"/>
        <w:rPr>
          <w:spacing w:val="-2"/>
        </w:rPr>
      </w:pPr>
      <w:r w:rsidRPr="001A076D">
        <w:rPr>
          <w:spacing w:val="-2"/>
        </w:rPr>
        <w:t xml:space="preserve">I hereby give consent for my work, if accepted, to be available for photocopying and inter-library </w:t>
      </w:r>
      <w:r w:rsidR="00622BB3" w:rsidRPr="001A076D">
        <w:rPr>
          <w:spacing w:val="-2"/>
        </w:rPr>
        <w:t>loan and</w:t>
      </w:r>
      <w:r w:rsidRPr="001A076D">
        <w:rPr>
          <w:spacing w:val="-2"/>
        </w:rPr>
        <w:t xml:space="preserve"> for the title and summary to be made available to outside organisations.</w:t>
      </w:r>
      <w:r w:rsidRPr="001A076D">
        <w:rPr>
          <w:spacing w:val="-2"/>
        </w:rPr>
        <w:tab/>
      </w:r>
    </w:p>
    <w:p w14:paraId="004170A8" w14:textId="47A2DB55" w:rsidR="00E03F70" w:rsidRPr="001A076D" w:rsidRDefault="00E03F70" w:rsidP="00AD3AC7">
      <w:pPr>
        <w:spacing w:line="360" w:lineRule="auto"/>
        <w:ind w:left="720"/>
        <w:rPr>
          <w:spacing w:val="-2"/>
        </w:rPr>
      </w:pPr>
    </w:p>
    <w:p w14:paraId="698B9021" w14:textId="65FA56EE" w:rsidR="00E03F70" w:rsidRPr="001A076D" w:rsidRDefault="0019234B" w:rsidP="00AD3AC7">
      <w:pPr>
        <w:spacing w:line="360" w:lineRule="auto"/>
        <w:ind w:left="720"/>
        <w:rPr>
          <w:spacing w:val="-2"/>
        </w:rPr>
      </w:pPr>
      <w:r w:rsidRPr="001A076D">
        <w:rPr>
          <w:noProof/>
          <w:spacing w:val="-2"/>
          <w14:ligatures w14:val="standardContextual"/>
        </w:rPr>
        <w:drawing>
          <wp:anchor distT="0" distB="0" distL="114300" distR="114300" simplePos="0" relativeHeight="251662336" behindDoc="0" locked="0" layoutInCell="1" allowOverlap="1" wp14:anchorId="7FF543DC" wp14:editId="4AD97863">
            <wp:simplePos x="0" y="0"/>
            <wp:positionH relativeFrom="margin">
              <wp:posOffset>609197</wp:posOffset>
            </wp:positionH>
            <wp:positionV relativeFrom="margin">
              <wp:posOffset>7813141</wp:posOffset>
            </wp:positionV>
            <wp:extent cx="794679" cy="389312"/>
            <wp:effectExtent l="0" t="0" r="5715" b="4445"/>
            <wp:wrapSquare wrapText="bothSides"/>
            <wp:docPr id="237105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00843" name="Picture 1379400843"/>
                    <pic:cNvPicPr/>
                  </pic:nvPicPr>
                  <pic:blipFill>
                    <a:blip r:embed="rId9" cstate="print">
                      <a:extLst>
                        <a:ext uri="{BEBA8EAE-BF5A-486C-A8C5-ECC9F3942E4B}">
                          <a14:imgProps xmlns:a14="http://schemas.microsoft.com/office/drawing/2010/main">
                            <a14:imgLayer r:embed="rId12">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794679" cy="389312"/>
                    </a:xfrm>
                    <a:prstGeom prst="rect">
                      <a:avLst/>
                    </a:prstGeom>
                  </pic:spPr>
                </pic:pic>
              </a:graphicData>
            </a:graphic>
          </wp:anchor>
        </w:drawing>
      </w:r>
    </w:p>
    <w:p w14:paraId="2A253D8C" w14:textId="4FE5E451" w:rsidR="00E03F70" w:rsidRPr="001A076D" w:rsidRDefault="00E03F70" w:rsidP="00AD3AC7">
      <w:pPr>
        <w:spacing w:line="360" w:lineRule="auto"/>
        <w:rPr>
          <w:spacing w:val="-2"/>
        </w:rPr>
      </w:pPr>
      <w:r w:rsidRPr="001A076D">
        <w:rPr>
          <w:spacing w:val="-2"/>
        </w:rPr>
        <w:t xml:space="preserve">Signed </w:t>
      </w:r>
      <w:r w:rsidR="00FE7ECE" w:rsidRPr="001A076D">
        <w:rPr>
          <w:spacing w:val="-2"/>
        </w:rPr>
        <w:t>(candidate).</w:t>
      </w:r>
      <w:r w:rsidRPr="001A076D">
        <w:rPr>
          <w:spacing w:val="-2"/>
        </w:rPr>
        <w:tab/>
      </w:r>
    </w:p>
    <w:p w14:paraId="71B6F9E0" w14:textId="77777777" w:rsidR="00E03F70" w:rsidRPr="001A076D" w:rsidRDefault="00E03F70" w:rsidP="00AD3AC7">
      <w:pPr>
        <w:spacing w:line="360" w:lineRule="auto"/>
        <w:ind w:left="720"/>
        <w:rPr>
          <w:spacing w:val="-2"/>
        </w:rPr>
      </w:pPr>
    </w:p>
    <w:p w14:paraId="49085323" w14:textId="24DE7D9D" w:rsidR="00E03F70" w:rsidRPr="001A076D" w:rsidRDefault="00E03F70" w:rsidP="00AD3AC7">
      <w:pPr>
        <w:spacing w:line="360" w:lineRule="auto"/>
        <w:rPr>
          <w:rFonts w:eastAsiaTheme="minorHAnsi"/>
          <w:spacing w:val="-2"/>
        </w:rPr>
      </w:pPr>
      <w:r w:rsidRPr="001A076D">
        <w:rPr>
          <w:spacing w:val="-2"/>
        </w:rPr>
        <w:t>Date ........................................................................</w:t>
      </w:r>
      <w:r w:rsidRPr="001A076D">
        <w:br w:type="page"/>
      </w:r>
    </w:p>
    <w:p w14:paraId="5599F1DA" w14:textId="013467BF" w:rsidR="00E40A5D" w:rsidRPr="001A076D" w:rsidRDefault="00E03F70" w:rsidP="00E40A5D">
      <w:pPr>
        <w:pStyle w:val="Heading1"/>
        <w:spacing w:line="360" w:lineRule="auto"/>
        <w:rPr>
          <w:rFonts w:ascii="Times New Roman" w:hAnsi="Times New Roman" w:cs="Times New Roman"/>
          <w:b/>
          <w:bCs/>
          <w:color w:val="auto"/>
          <w:szCs w:val="24"/>
          <w:u w:val="single"/>
        </w:rPr>
      </w:pPr>
      <w:bookmarkStart w:id="3" w:name="_Toc236033317"/>
      <w:r w:rsidRPr="001A076D">
        <w:rPr>
          <w:rFonts w:ascii="Times New Roman" w:hAnsi="Times New Roman" w:cs="Times New Roman"/>
          <w:b/>
          <w:bCs/>
          <w:color w:val="auto"/>
        </w:rPr>
        <w:lastRenderedPageBreak/>
        <w:t>Acknowledgements</w:t>
      </w:r>
      <w:bookmarkEnd w:id="2"/>
      <w:bookmarkEnd w:id="3"/>
      <w:r w:rsidRPr="001A076D">
        <w:rPr>
          <w:rFonts w:ascii="Times New Roman" w:hAnsi="Times New Roman" w:cs="Times New Roman"/>
          <w:b/>
          <w:bCs/>
          <w:color w:val="auto"/>
          <w:szCs w:val="24"/>
          <w:u w:val="single"/>
        </w:rPr>
        <w:t xml:space="preserve"> </w:t>
      </w:r>
    </w:p>
    <w:p w14:paraId="0C24DC0F" w14:textId="5C3E3EE4" w:rsidR="00E40A5D" w:rsidRPr="001A076D" w:rsidRDefault="00E40A5D" w:rsidP="00ED487C">
      <w:pPr>
        <w:spacing w:line="360" w:lineRule="auto"/>
        <w:jc w:val="both"/>
      </w:pPr>
      <w:r w:rsidRPr="001A076D">
        <w:t>I would like to thank everyone who supported the completion of this dissertation.</w:t>
      </w:r>
    </w:p>
    <w:p w14:paraId="08C4D458" w14:textId="5AFF9023" w:rsidR="00E40A5D" w:rsidRPr="001A076D" w:rsidRDefault="00E40A5D" w:rsidP="00ED487C">
      <w:pPr>
        <w:spacing w:line="360" w:lineRule="auto"/>
        <w:jc w:val="both"/>
      </w:pPr>
      <w:r w:rsidRPr="001A076D">
        <w:t>I am particularly grateful to my supervisor, Ms Helen Evans, for her guidance, thoughtful feedback, and encouragement throughout the research. Her advice, especially during the more challenging stages, helped shape both the direction and quality of the study.</w:t>
      </w:r>
    </w:p>
    <w:p w14:paraId="2C9037B4" w14:textId="3BF3D451" w:rsidR="00E40A5D" w:rsidRPr="001A076D" w:rsidRDefault="00E40A5D" w:rsidP="00ED487C">
      <w:pPr>
        <w:spacing w:line="360" w:lineRule="auto"/>
        <w:jc w:val="both"/>
      </w:pPr>
      <w:r w:rsidRPr="001A076D">
        <w:t xml:space="preserve">I also appreciate the lecturers </w:t>
      </w:r>
      <w:r w:rsidR="00622BB3" w:rsidRPr="001A076D">
        <w:t xml:space="preserve">in the MBA </w:t>
      </w:r>
      <w:r w:rsidR="00C36973" w:rsidRPr="001A076D">
        <w:t>programme</w:t>
      </w:r>
      <w:r w:rsidR="00622BB3" w:rsidRPr="001A076D">
        <w:t xml:space="preserve"> at the University of Wales,</w:t>
      </w:r>
      <w:r w:rsidRPr="001A076D">
        <w:t xml:space="preserve"> Trinity Saint David. Their teaching and insights played an important role in developing the ideas that informed this research.</w:t>
      </w:r>
    </w:p>
    <w:p w14:paraId="6122D131" w14:textId="3081DE28" w:rsidR="00E40A5D" w:rsidRPr="001A076D" w:rsidRDefault="00E40A5D" w:rsidP="00ED487C">
      <w:pPr>
        <w:spacing w:line="360" w:lineRule="auto"/>
        <w:jc w:val="both"/>
      </w:pPr>
      <w:r w:rsidRPr="001A076D">
        <w:t>On a personal level, I am thankful to my family for their patience and support. My son, Samuel Depiver, has been a constant source of motivation. I am also grateful to my sister, Lydia Kabiawu, and Oluwatoyin Akeju for their encouragement throughout this journey.</w:t>
      </w:r>
    </w:p>
    <w:p w14:paraId="240E8869" w14:textId="0FC03858" w:rsidR="00E40A5D" w:rsidRPr="001A076D" w:rsidRDefault="00E40A5D" w:rsidP="00ED487C">
      <w:pPr>
        <w:spacing w:line="360" w:lineRule="auto"/>
        <w:jc w:val="both"/>
      </w:pPr>
      <w:r w:rsidRPr="001A076D">
        <w:t>Finally, I would like to thank all research participants who generously shared their time and perspectives. Their contributions made this study possible.</w:t>
      </w:r>
    </w:p>
    <w:p w14:paraId="729D0E2B" w14:textId="129700EF" w:rsidR="00E03F70" w:rsidRPr="001A076D" w:rsidRDefault="00E03F70" w:rsidP="00165B25">
      <w:pPr>
        <w:spacing w:line="360" w:lineRule="auto"/>
        <w:jc w:val="both"/>
        <w:rPr>
          <w:rStyle w:val="Strong"/>
          <w:rFonts w:eastAsiaTheme="majorEastAsia"/>
          <w:b w:val="0"/>
          <w:bCs w:val="0"/>
          <w:sz w:val="40"/>
          <w:szCs w:val="40"/>
        </w:rPr>
      </w:pPr>
      <w:r w:rsidRPr="001A076D">
        <w:rPr>
          <w:rStyle w:val="Strong"/>
          <w:b w:val="0"/>
          <w:bCs w:val="0"/>
        </w:rPr>
        <w:br w:type="page"/>
      </w:r>
    </w:p>
    <w:p w14:paraId="15020653" w14:textId="2B1F4FF6" w:rsidR="00DC699F" w:rsidRPr="001A076D" w:rsidRDefault="00AB20D0" w:rsidP="00DC699F">
      <w:pPr>
        <w:pStyle w:val="Heading1"/>
        <w:rPr>
          <w:rFonts w:ascii="Times New Roman" w:hAnsi="Times New Roman" w:cs="Times New Roman"/>
          <w:color w:val="auto"/>
        </w:rPr>
      </w:pPr>
      <w:bookmarkStart w:id="4" w:name="_Toc236033318"/>
      <w:r w:rsidRPr="001A076D">
        <w:rPr>
          <w:rStyle w:val="Strong"/>
          <w:rFonts w:ascii="Times New Roman" w:hAnsi="Times New Roman" w:cs="Times New Roman"/>
          <w:color w:val="auto"/>
        </w:rPr>
        <w:lastRenderedPageBreak/>
        <w:t>Abstract</w:t>
      </w:r>
      <w:bookmarkEnd w:id="4"/>
    </w:p>
    <w:p w14:paraId="51329FD6" w14:textId="77777777" w:rsidR="00AE31F2" w:rsidRPr="001A076D" w:rsidRDefault="00AE31F2" w:rsidP="00AE31F2">
      <w:pPr>
        <w:pStyle w:val="NormalWeb"/>
        <w:spacing w:line="360" w:lineRule="auto"/>
        <w:jc w:val="both"/>
      </w:pPr>
      <w:r w:rsidRPr="001A076D">
        <w:t>Predictive analytics is increasingly recognised as a strategic capability for improving organisational decision-making. However, many organisations continue to struggle to translate analytical capability into sustained strategic value, particularly in regulated environments where decisions must be transparent, accountable and trustworthy. This study examines how governance maturity, trust and explainability, and organisational readiness influence the strategic embedding of predictive analytics within SSE plc.</w:t>
      </w:r>
    </w:p>
    <w:p w14:paraId="1E2ABA92" w14:textId="77777777" w:rsidR="00AE31F2" w:rsidRPr="001A076D" w:rsidRDefault="00AE31F2" w:rsidP="00AE31F2">
      <w:pPr>
        <w:pStyle w:val="NormalWeb"/>
        <w:spacing w:line="360" w:lineRule="auto"/>
        <w:jc w:val="both"/>
      </w:pPr>
      <w:r w:rsidRPr="001A076D">
        <w:t>An explanatory sequential mixed-methods case study was adopted. Quantitative data from 66 survey respondents were analysed using IBM SPSS Statistics to examine the relationships between Predictive Analytics Capability, Governance Maturity, Trust and Explainability, and Strategic Embedding. These findings were subsequently explored through thematic analysis of eight semi-structured interviews using NVivo to provide a deeper understanding of the quantitative results.</w:t>
      </w:r>
    </w:p>
    <w:p w14:paraId="6844471B" w14:textId="77777777" w:rsidR="00AE31F2" w:rsidRPr="001A076D" w:rsidRDefault="00AE31F2" w:rsidP="00AE31F2">
      <w:pPr>
        <w:pStyle w:val="NormalWeb"/>
        <w:spacing w:line="360" w:lineRule="auto"/>
        <w:jc w:val="both"/>
      </w:pPr>
      <w:r w:rsidRPr="001A076D">
        <w:t>The quantitative findings showed that the regression model explained a substantial proportion of the variance in Strategic Embedding (R² = 0.474). Trust and Explainability emerged as the strongest predictor (β = 0.311, p &lt; 0.05), followed by Governance Maturity (β = 0.283, p &lt; 0.05). Predictive Analytics Capability did not demonstrate a statistically significant independent effect once governance and trust were considered, indicating that technical capability alone is insufficient to achieve strategic embedding.</w:t>
      </w:r>
    </w:p>
    <w:p w14:paraId="1E68CF5F" w14:textId="77777777" w:rsidR="00AE31F2" w:rsidRPr="001A076D" w:rsidRDefault="00AE31F2" w:rsidP="00AE31F2">
      <w:pPr>
        <w:pStyle w:val="NormalWeb"/>
        <w:spacing w:line="360" w:lineRule="auto"/>
        <w:jc w:val="both"/>
      </w:pPr>
      <w:r w:rsidRPr="001A076D">
        <w:t>The qualitative findings demonstrated that mature governance, executive confidence, accountability, transparency, leadership alignment, data literacy and organisational culture collectively influence whether predictive analytics becomes embedded in strategic decision-making.</w:t>
      </w:r>
    </w:p>
    <w:p w14:paraId="35E82CF4" w14:textId="77777777" w:rsidR="00AE31F2" w:rsidRPr="001A076D" w:rsidRDefault="00AE31F2" w:rsidP="00AE31F2">
      <w:pPr>
        <w:pStyle w:val="NormalWeb"/>
        <w:spacing w:line="360" w:lineRule="auto"/>
        <w:jc w:val="both"/>
      </w:pPr>
      <w:r w:rsidRPr="001A076D">
        <w:t>The study concludes that the successful adoption of predictive analytics is as much an organisational and governance challenge as it is a technological one. By integrating the quantitative and qualitative findings with the DELTA framework and the Data Management Capability Assessment Model (DCAM), the research proposes the Governance-Mediated Explainable Analytics Framework (GMEAF), providing both a theoretical contribution and a practical framework for embedding predictive analytics into strategic decision-making.</w:t>
      </w:r>
    </w:p>
    <w:p w14:paraId="38E411ED" w14:textId="19454E2D" w:rsidR="00AE31F2" w:rsidRPr="001A076D" w:rsidRDefault="00AE31F2" w:rsidP="006B60E8">
      <w:pPr>
        <w:pStyle w:val="NormalWeb"/>
        <w:spacing w:line="360" w:lineRule="auto"/>
        <w:jc w:val="both"/>
      </w:pPr>
      <w:r w:rsidRPr="001A076D">
        <w:rPr>
          <w:b/>
          <w:bCs/>
        </w:rPr>
        <w:t>Keywords</w:t>
      </w:r>
      <w:r w:rsidRPr="001A076D">
        <w:t>: Predictive Analytics; Data Governance; Governance Maturity; Trust and Explainability; Organisational Readiness; Strategic Decision-Making; Mixed Methods.</w:t>
      </w:r>
    </w:p>
    <w:sdt>
      <w:sdtPr>
        <w:rPr>
          <w:rFonts w:ascii="Times New Roman" w:eastAsia="Times New Roman" w:hAnsi="Times New Roman" w:cs="Times New Roman"/>
          <w:b w:val="0"/>
          <w:bCs w:val="0"/>
          <w:color w:val="auto"/>
          <w:sz w:val="24"/>
          <w:szCs w:val="24"/>
          <w:lang w:val="en-GB"/>
        </w:rPr>
        <w:id w:val="-586236240"/>
        <w:docPartObj>
          <w:docPartGallery w:val="Table of Contents"/>
          <w:docPartUnique/>
        </w:docPartObj>
      </w:sdtPr>
      <w:sdtEndPr>
        <w:rPr>
          <w:noProof/>
        </w:rPr>
      </w:sdtEndPr>
      <w:sdtContent>
        <w:p w14:paraId="0F94D127" w14:textId="2451BB34" w:rsidR="002F3CBE" w:rsidRPr="001A076D" w:rsidRDefault="002F3CBE" w:rsidP="002A4631">
          <w:pPr>
            <w:pStyle w:val="TOCHeading"/>
            <w:spacing w:line="360" w:lineRule="auto"/>
            <w:rPr>
              <w:rFonts w:ascii="Times New Roman" w:hAnsi="Times New Roman" w:cs="Times New Roman"/>
              <w:color w:val="auto"/>
              <w:sz w:val="40"/>
              <w:szCs w:val="40"/>
              <w:lang w:val="en-GB"/>
            </w:rPr>
          </w:pPr>
          <w:r w:rsidRPr="001A076D">
            <w:rPr>
              <w:rFonts w:ascii="Times New Roman" w:hAnsi="Times New Roman" w:cs="Times New Roman"/>
              <w:color w:val="auto"/>
              <w:sz w:val="40"/>
              <w:szCs w:val="40"/>
              <w:lang w:val="en-GB"/>
            </w:rPr>
            <w:t>Table of Contents</w:t>
          </w:r>
        </w:p>
        <w:p w14:paraId="267E799B" w14:textId="7C4957A1" w:rsidR="002A4631" w:rsidRPr="001A076D" w:rsidRDefault="002F3CBE" w:rsidP="002A4631">
          <w:pPr>
            <w:pStyle w:val="TOC1"/>
            <w:tabs>
              <w:tab w:val="right" w:leader="dot" w:pos="9442"/>
            </w:tabs>
            <w:spacing w:line="360" w:lineRule="auto"/>
            <w:rPr>
              <w:rFonts w:eastAsiaTheme="minorEastAsia"/>
              <w:b w:val="0"/>
              <w:bCs w:val="0"/>
              <w:i w:val="0"/>
              <w:iCs w:val="0"/>
              <w:noProof/>
              <w:kern w:val="2"/>
              <w14:ligatures w14:val="standardContextual"/>
            </w:rPr>
          </w:pPr>
          <w:r w:rsidRPr="001A076D">
            <w:rPr>
              <w:b w:val="0"/>
              <w:bCs w:val="0"/>
            </w:rPr>
            <w:fldChar w:fldCharType="begin"/>
          </w:r>
          <w:r w:rsidRPr="001A076D">
            <w:instrText xml:space="preserve"> TOC \o "1-3" \h \z \u </w:instrText>
          </w:r>
          <w:r w:rsidRPr="001A076D">
            <w:rPr>
              <w:b w:val="0"/>
              <w:bCs w:val="0"/>
            </w:rPr>
            <w:fldChar w:fldCharType="separate"/>
          </w:r>
          <w:hyperlink w:anchor="_Toc236033316" w:history="1">
            <w:r w:rsidR="002A4631" w:rsidRPr="001A076D">
              <w:rPr>
                <w:rStyle w:val="Hyperlink"/>
                <w:noProof/>
                <w:color w:val="auto"/>
              </w:rPr>
              <w:t>Declaration</w:t>
            </w:r>
            <w:r w:rsidR="002A4631" w:rsidRPr="001A076D">
              <w:rPr>
                <w:noProof/>
                <w:webHidden/>
              </w:rPr>
              <w:tab/>
            </w:r>
            <w:r w:rsidR="002A4631" w:rsidRPr="001A076D">
              <w:rPr>
                <w:noProof/>
                <w:webHidden/>
              </w:rPr>
              <w:fldChar w:fldCharType="begin"/>
            </w:r>
            <w:r w:rsidR="002A4631" w:rsidRPr="001A076D">
              <w:rPr>
                <w:noProof/>
                <w:webHidden/>
              </w:rPr>
              <w:instrText xml:space="preserve"> PAGEREF _Toc236033316 \h </w:instrText>
            </w:r>
            <w:r w:rsidR="002A4631" w:rsidRPr="001A076D">
              <w:rPr>
                <w:noProof/>
                <w:webHidden/>
              </w:rPr>
            </w:r>
            <w:r w:rsidR="002A4631" w:rsidRPr="001A076D">
              <w:rPr>
                <w:noProof/>
                <w:webHidden/>
              </w:rPr>
              <w:fldChar w:fldCharType="separate"/>
            </w:r>
            <w:r w:rsidR="002A4631" w:rsidRPr="001A076D">
              <w:rPr>
                <w:noProof/>
                <w:webHidden/>
              </w:rPr>
              <w:t>1</w:t>
            </w:r>
            <w:r w:rsidR="002A4631" w:rsidRPr="001A076D">
              <w:rPr>
                <w:noProof/>
                <w:webHidden/>
              </w:rPr>
              <w:fldChar w:fldCharType="end"/>
            </w:r>
          </w:hyperlink>
        </w:p>
        <w:p w14:paraId="5D0BFDC2" w14:textId="1CDB5692"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17" w:history="1">
            <w:r w:rsidRPr="001A076D">
              <w:rPr>
                <w:rStyle w:val="Hyperlink"/>
                <w:noProof/>
                <w:color w:val="auto"/>
              </w:rPr>
              <w:t>Acknowledgements</w:t>
            </w:r>
            <w:r w:rsidRPr="001A076D">
              <w:rPr>
                <w:noProof/>
                <w:webHidden/>
              </w:rPr>
              <w:tab/>
            </w:r>
            <w:r w:rsidRPr="001A076D">
              <w:rPr>
                <w:noProof/>
                <w:webHidden/>
              </w:rPr>
              <w:fldChar w:fldCharType="begin"/>
            </w:r>
            <w:r w:rsidRPr="001A076D">
              <w:rPr>
                <w:noProof/>
                <w:webHidden/>
              </w:rPr>
              <w:instrText xml:space="preserve"> PAGEREF _Toc236033317 \h </w:instrText>
            </w:r>
            <w:r w:rsidRPr="001A076D">
              <w:rPr>
                <w:noProof/>
                <w:webHidden/>
              </w:rPr>
            </w:r>
            <w:r w:rsidRPr="001A076D">
              <w:rPr>
                <w:noProof/>
                <w:webHidden/>
              </w:rPr>
              <w:fldChar w:fldCharType="separate"/>
            </w:r>
            <w:r w:rsidRPr="001A076D">
              <w:rPr>
                <w:noProof/>
                <w:webHidden/>
              </w:rPr>
              <w:t>2</w:t>
            </w:r>
            <w:r w:rsidRPr="001A076D">
              <w:rPr>
                <w:noProof/>
                <w:webHidden/>
              </w:rPr>
              <w:fldChar w:fldCharType="end"/>
            </w:r>
          </w:hyperlink>
        </w:p>
        <w:p w14:paraId="3012DC23" w14:textId="59B5FF9D"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18" w:history="1">
            <w:r w:rsidRPr="001A076D">
              <w:rPr>
                <w:rStyle w:val="Hyperlink"/>
                <w:noProof/>
                <w:color w:val="auto"/>
              </w:rPr>
              <w:t>Abstract</w:t>
            </w:r>
            <w:r w:rsidRPr="001A076D">
              <w:rPr>
                <w:noProof/>
                <w:webHidden/>
              </w:rPr>
              <w:tab/>
            </w:r>
            <w:r w:rsidRPr="001A076D">
              <w:rPr>
                <w:noProof/>
                <w:webHidden/>
              </w:rPr>
              <w:fldChar w:fldCharType="begin"/>
            </w:r>
            <w:r w:rsidRPr="001A076D">
              <w:rPr>
                <w:noProof/>
                <w:webHidden/>
              </w:rPr>
              <w:instrText xml:space="preserve"> PAGEREF _Toc236033318 \h </w:instrText>
            </w:r>
            <w:r w:rsidRPr="001A076D">
              <w:rPr>
                <w:noProof/>
                <w:webHidden/>
              </w:rPr>
            </w:r>
            <w:r w:rsidRPr="001A076D">
              <w:rPr>
                <w:noProof/>
                <w:webHidden/>
              </w:rPr>
              <w:fldChar w:fldCharType="separate"/>
            </w:r>
            <w:r w:rsidRPr="001A076D">
              <w:rPr>
                <w:noProof/>
                <w:webHidden/>
              </w:rPr>
              <w:t>3</w:t>
            </w:r>
            <w:r w:rsidRPr="001A076D">
              <w:rPr>
                <w:noProof/>
                <w:webHidden/>
              </w:rPr>
              <w:fldChar w:fldCharType="end"/>
            </w:r>
          </w:hyperlink>
        </w:p>
        <w:p w14:paraId="5E93EA54" w14:textId="6F962E76"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19" w:history="1">
            <w:r w:rsidRPr="001A076D">
              <w:rPr>
                <w:rStyle w:val="Hyperlink"/>
                <w:noProof/>
                <w:color w:val="auto"/>
              </w:rPr>
              <w:t>List of Tables</w:t>
            </w:r>
            <w:r w:rsidRPr="001A076D">
              <w:rPr>
                <w:noProof/>
                <w:webHidden/>
              </w:rPr>
              <w:tab/>
            </w:r>
            <w:r w:rsidRPr="001A076D">
              <w:rPr>
                <w:noProof/>
                <w:webHidden/>
              </w:rPr>
              <w:fldChar w:fldCharType="begin"/>
            </w:r>
            <w:r w:rsidRPr="001A076D">
              <w:rPr>
                <w:noProof/>
                <w:webHidden/>
              </w:rPr>
              <w:instrText xml:space="preserve"> PAGEREF _Toc236033319 \h </w:instrText>
            </w:r>
            <w:r w:rsidRPr="001A076D">
              <w:rPr>
                <w:noProof/>
                <w:webHidden/>
              </w:rPr>
            </w:r>
            <w:r w:rsidRPr="001A076D">
              <w:rPr>
                <w:noProof/>
                <w:webHidden/>
              </w:rPr>
              <w:fldChar w:fldCharType="separate"/>
            </w:r>
            <w:r w:rsidRPr="001A076D">
              <w:rPr>
                <w:noProof/>
                <w:webHidden/>
              </w:rPr>
              <w:t>6</w:t>
            </w:r>
            <w:r w:rsidRPr="001A076D">
              <w:rPr>
                <w:noProof/>
                <w:webHidden/>
              </w:rPr>
              <w:fldChar w:fldCharType="end"/>
            </w:r>
          </w:hyperlink>
        </w:p>
        <w:p w14:paraId="6B917A85" w14:textId="50D5E34F"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20" w:history="1">
            <w:r w:rsidRPr="001A076D">
              <w:rPr>
                <w:rStyle w:val="Hyperlink"/>
                <w:noProof/>
                <w:color w:val="auto"/>
              </w:rPr>
              <w:t>List of Figures</w:t>
            </w:r>
            <w:r w:rsidRPr="001A076D">
              <w:rPr>
                <w:noProof/>
                <w:webHidden/>
              </w:rPr>
              <w:tab/>
            </w:r>
            <w:r w:rsidRPr="001A076D">
              <w:rPr>
                <w:noProof/>
                <w:webHidden/>
              </w:rPr>
              <w:fldChar w:fldCharType="begin"/>
            </w:r>
            <w:r w:rsidRPr="001A076D">
              <w:rPr>
                <w:noProof/>
                <w:webHidden/>
              </w:rPr>
              <w:instrText xml:space="preserve"> PAGEREF _Toc236033320 \h </w:instrText>
            </w:r>
            <w:r w:rsidRPr="001A076D">
              <w:rPr>
                <w:noProof/>
                <w:webHidden/>
              </w:rPr>
            </w:r>
            <w:r w:rsidRPr="001A076D">
              <w:rPr>
                <w:noProof/>
                <w:webHidden/>
              </w:rPr>
              <w:fldChar w:fldCharType="separate"/>
            </w:r>
            <w:r w:rsidRPr="001A076D">
              <w:rPr>
                <w:noProof/>
                <w:webHidden/>
              </w:rPr>
              <w:t>6</w:t>
            </w:r>
            <w:r w:rsidRPr="001A076D">
              <w:rPr>
                <w:noProof/>
                <w:webHidden/>
              </w:rPr>
              <w:fldChar w:fldCharType="end"/>
            </w:r>
          </w:hyperlink>
        </w:p>
        <w:p w14:paraId="471630A2" w14:textId="5904FEB8"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21" w:history="1">
            <w:r w:rsidRPr="001A076D">
              <w:rPr>
                <w:rStyle w:val="Hyperlink"/>
                <w:noProof/>
                <w:color w:val="auto"/>
              </w:rPr>
              <w:t>List of Abbreviations</w:t>
            </w:r>
            <w:r w:rsidRPr="001A076D">
              <w:rPr>
                <w:noProof/>
                <w:webHidden/>
              </w:rPr>
              <w:tab/>
            </w:r>
            <w:r w:rsidRPr="001A076D">
              <w:rPr>
                <w:noProof/>
                <w:webHidden/>
              </w:rPr>
              <w:fldChar w:fldCharType="begin"/>
            </w:r>
            <w:r w:rsidRPr="001A076D">
              <w:rPr>
                <w:noProof/>
                <w:webHidden/>
              </w:rPr>
              <w:instrText xml:space="preserve"> PAGEREF _Toc236033321 \h </w:instrText>
            </w:r>
            <w:r w:rsidRPr="001A076D">
              <w:rPr>
                <w:noProof/>
                <w:webHidden/>
              </w:rPr>
            </w:r>
            <w:r w:rsidRPr="001A076D">
              <w:rPr>
                <w:noProof/>
                <w:webHidden/>
              </w:rPr>
              <w:fldChar w:fldCharType="separate"/>
            </w:r>
            <w:r w:rsidRPr="001A076D">
              <w:rPr>
                <w:noProof/>
                <w:webHidden/>
              </w:rPr>
              <w:t>7</w:t>
            </w:r>
            <w:r w:rsidRPr="001A076D">
              <w:rPr>
                <w:noProof/>
                <w:webHidden/>
              </w:rPr>
              <w:fldChar w:fldCharType="end"/>
            </w:r>
          </w:hyperlink>
        </w:p>
        <w:p w14:paraId="39549B7B" w14:textId="125D9213"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22" w:history="1">
            <w:r w:rsidRPr="001A076D">
              <w:rPr>
                <w:rStyle w:val="Hyperlink"/>
                <w:noProof/>
                <w:color w:val="auto"/>
              </w:rPr>
              <w:t>Chapter 1: Introduction</w:t>
            </w:r>
            <w:r w:rsidRPr="001A076D">
              <w:rPr>
                <w:noProof/>
                <w:webHidden/>
              </w:rPr>
              <w:tab/>
            </w:r>
            <w:r w:rsidRPr="001A076D">
              <w:rPr>
                <w:noProof/>
                <w:webHidden/>
              </w:rPr>
              <w:fldChar w:fldCharType="begin"/>
            </w:r>
            <w:r w:rsidRPr="001A076D">
              <w:rPr>
                <w:noProof/>
                <w:webHidden/>
              </w:rPr>
              <w:instrText xml:space="preserve"> PAGEREF _Toc236033322 \h </w:instrText>
            </w:r>
            <w:r w:rsidRPr="001A076D">
              <w:rPr>
                <w:noProof/>
                <w:webHidden/>
              </w:rPr>
            </w:r>
            <w:r w:rsidRPr="001A076D">
              <w:rPr>
                <w:noProof/>
                <w:webHidden/>
              </w:rPr>
              <w:fldChar w:fldCharType="separate"/>
            </w:r>
            <w:r w:rsidRPr="001A076D">
              <w:rPr>
                <w:noProof/>
                <w:webHidden/>
              </w:rPr>
              <w:t>9</w:t>
            </w:r>
            <w:r w:rsidRPr="001A076D">
              <w:rPr>
                <w:noProof/>
                <w:webHidden/>
              </w:rPr>
              <w:fldChar w:fldCharType="end"/>
            </w:r>
          </w:hyperlink>
        </w:p>
        <w:p w14:paraId="7DDD9559" w14:textId="2B77A82C"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23" w:history="1">
            <w:r w:rsidRPr="001A076D">
              <w:rPr>
                <w:rStyle w:val="Hyperlink"/>
                <w:noProof/>
                <w:color w:val="auto"/>
              </w:rPr>
              <w:t>1.1 Introduction</w:t>
            </w:r>
            <w:r w:rsidRPr="001A076D">
              <w:rPr>
                <w:noProof/>
                <w:webHidden/>
              </w:rPr>
              <w:tab/>
            </w:r>
            <w:r w:rsidRPr="001A076D">
              <w:rPr>
                <w:noProof/>
                <w:webHidden/>
              </w:rPr>
              <w:fldChar w:fldCharType="begin"/>
            </w:r>
            <w:r w:rsidRPr="001A076D">
              <w:rPr>
                <w:noProof/>
                <w:webHidden/>
              </w:rPr>
              <w:instrText xml:space="preserve"> PAGEREF _Toc236033323 \h </w:instrText>
            </w:r>
            <w:r w:rsidRPr="001A076D">
              <w:rPr>
                <w:noProof/>
                <w:webHidden/>
              </w:rPr>
            </w:r>
            <w:r w:rsidRPr="001A076D">
              <w:rPr>
                <w:noProof/>
                <w:webHidden/>
              </w:rPr>
              <w:fldChar w:fldCharType="separate"/>
            </w:r>
            <w:r w:rsidRPr="001A076D">
              <w:rPr>
                <w:noProof/>
                <w:webHidden/>
              </w:rPr>
              <w:t>9</w:t>
            </w:r>
            <w:r w:rsidRPr="001A076D">
              <w:rPr>
                <w:noProof/>
                <w:webHidden/>
              </w:rPr>
              <w:fldChar w:fldCharType="end"/>
            </w:r>
          </w:hyperlink>
        </w:p>
        <w:p w14:paraId="38B7651A" w14:textId="220EFB92"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24" w:history="1">
            <w:r w:rsidRPr="001A076D">
              <w:rPr>
                <w:rStyle w:val="Hyperlink"/>
                <w:noProof/>
                <w:color w:val="auto"/>
              </w:rPr>
              <w:t>1.2 Background to the Study</w:t>
            </w:r>
            <w:r w:rsidRPr="001A076D">
              <w:rPr>
                <w:noProof/>
                <w:webHidden/>
              </w:rPr>
              <w:tab/>
            </w:r>
            <w:r w:rsidRPr="001A076D">
              <w:rPr>
                <w:noProof/>
                <w:webHidden/>
              </w:rPr>
              <w:fldChar w:fldCharType="begin"/>
            </w:r>
            <w:r w:rsidRPr="001A076D">
              <w:rPr>
                <w:noProof/>
                <w:webHidden/>
              </w:rPr>
              <w:instrText xml:space="preserve"> PAGEREF _Toc236033324 \h </w:instrText>
            </w:r>
            <w:r w:rsidRPr="001A076D">
              <w:rPr>
                <w:noProof/>
                <w:webHidden/>
              </w:rPr>
            </w:r>
            <w:r w:rsidRPr="001A076D">
              <w:rPr>
                <w:noProof/>
                <w:webHidden/>
              </w:rPr>
              <w:fldChar w:fldCharType="separate"/>
            </w:r>
            <w:r w:rsidRPr="001A076D">
              <w:rPr>
                <w:noProof/>
                <w:webHidden/>
              </w:rPr>
              <w:t>10</w:t>
            </w:r>
            <w:r w:rsidRPr="001A076D">
              <w:rPr>
                <w:noProof/>
                <w:webHidden/>
              </w:rPr>
              <w:fldChar w:fldCharType="end"/>
            </w:r>
          </w:hyperlink>
        </w:p>
        <w:p w14:paraId="6EAE7454" w14:textId="2D6691D9"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25" w:history="1">
            <w:r w:rsidRPr="001A076D">
              <w:rPr>
                <w:rStyle w:val="Hyperlink"/>
                <w:noProof/>
                <w:color w:val="auto"/>
              </w:rPr>
              <w:t>1.3 Rationale for the Study</w:t>
            </w:r>
            <w:r w:rsidRPr="001A076D">
              <w:rPr>
                <w:noProof/>
                <w:webHidden/>
              </w:rPr>
              <w:tab/>
            </w:r>
            <w:r w:rsidRPr="001A076D">
              <w:rPr>
                <w:noProof/>
                <w:webHidden/>
              </w:rPr>
              <w:fldChar w:fldCharType="begin"/>
            </w:r>
            <w:r w:rsidRPr="001A076D">
              <w:rPr>
                <w:noProof/>
                <w:webHidden/>
              </w:rPr>
              <w:instrText xml:space="preserve"> PAGEREF _Toc236033325 \h </w:instrText>
            </w:r>
            <w:r w:rsidRPr="001A076D">
              <w:rPr>
                <w:noProof/>
                <w:webHidden/>
              </w:rPr>
            </w:r>
            <w:r w:rsidRPr="001A076D">
              <w:rPr>
                <w:noProof/>
                <w:webHidden/>
              </w:rPr>
              <w:fldChar w:fldCharType="separate"/>
            </w:r>
            <w:r w:rsidRPr="001A076D">
              <w:rPr>
                <w:noProof/>
                <w:webHidden/>
              </w:rPr>
              <w:t>11</w:t>
            </w:r>
            <w:r w:rsidRPr="001A076D">
              <w:rPr>
                <w:noProof/>
                <w:webHidden/>
              </w:rPr>
              <w:fldChar w:fldCharType="end"/>
            </w:r>
          </w:hyperlink>
        </w:p>
        <w:p w14:paraId="35B1AB35" w14:textId="40D7BD70"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26" w:history="1">
            <w:r w:rsidRPr="001A076D">
              <w:rPr>
                <w:rStyle w:val="Hyperlink"/>
                <w:b/>
                <w:bCs/>
                <w:noProof/>
                <w:color w:val="auto"/>
              </w:rPr>
              <w:t>1.3.1 Organisational Rationale</w:t>
            </w:r>
            <w:r w:rsidRPr="001A076D">
              <w:rPr>
                <w:noProof/>
                <w:webHidden/>
              </w:rPr>
              <w:tab/>
            </w:r>
            <w:r w:rsidRPr="001A076D">
              <w:rPr>
                <w:noProof/>
                <w:webHidden/>
              </w:rPr>
              <w:fldChar w:fldCharType="begin"/>
            </w:r>
            <w:r w:rsidRPr="001A076D">
              <w:rPr>
                <w:noProof/>
                <w:webHidden/>
              </w:rPr>
              <w:instrText xml:space="preserve"> PAGEREF _Toc236033326 \h </w:instrText>
            </w:r>
            <w:r w:rsidRPr="001A076D">
              <w:rPr>
                <w:noProof/>
                <w:webHidden/>
              </w:rPr>
            </w:r>
            <w:r w:rsidRPr="001A076D">
              <w:rPr>
                <w:noProof/>
                <w:webHidden/>
              </w:rPr>
              <w:fldChar w:fldCharType="separate"/>
            </w:r>
            <w:r w:rsidRPr="001A076D">
              <w:rPr>
                <w:noProof/>
                <w:webHidden/>
              </w:rPr>
              <w:t>11</w:t>
            </w:r>
            <w:r w:rsidRPr="001A076D">
              <w:rPr>
                <w:noProof/>
                <w:webHidden/>
              </w:rPr>
              <w:fldChar w:fldCharType="end"/>
            </w:r>
          </w:hyperlink>
        </w:p>
        <w:p w14:paraId="7C01F148" w14:textId="0CA119F2"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27" w:history="1">
            <w:r w:rsidRPr="001A076D">
              <w:rPr>
                <w:rStyle w:val="Hyperlink"/>
                <w:b/>
                <w:bCs/>
                <w:noProof/>
                <w:color w:val="auto"/>
              </w:rPr>
              <w:t>1.3.2 Academic Rationale</w:t>
            </w:r>
            <w:r w:rsidRPr="001A076D">
              <w:rPr>
                <w:noProof/>
                <w:webHidden/>
              </w:rPr>
              <w:tab/>
            </w:r>
            <w:r w:rsidRPr="001A076D">
              <w:rPr>
                <w:noProof/>
                <w:webHidden/>
              </w:rPr>
              <w:fldChar w:fldCharType="begin"/>
            </w:r>
            <w:r w:rsidRPr="001A076D">
              <w:rPr>
                <w:noProof/>
                <w:webHidden/>
              </w:rPr>
              <w:instrText xml:space="preserve"> PAGEREF _Toc236033327 \h </w:instrText>
            </w:r>
            <w:r w:rsidRPr="001A076D">
              <w:rPr>
                <w:noProof/>
                <w:webHidden/>
              </w:rPr>
            </w:r>
            <w:r w:rsidRPr="001A076D">
              <w:rPr>
                <w:noProof/>
                <w:webHidden/>
              </w:rPr>
              <w:fldChar w:fldCharType="separate"/>
            </w:r>
            <w:r w:rsidRPr="001A076D">
              <w:rPr>
                <w:noProof/>
                <w:webHidden/>
              </w:rPr>
              <w:t>11</w:t>
            </w:r>
            <w:r w:rsidRPr="001A076D">
              <w:rPr>
                <w:noProof/>
                <w:webHidden/>
              </w:rPr>
              <w:fldChar w:fldCharType="end"/>
            </w:r>
          </w:hyperlink>
        </w:p>
        <w:p w14:paraId="71925FF9" w14:textId="4061B6EF"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28" w:history="1">
            <w:r w:rsidRPr="001A076D">
              <w:rPr>
                <w:rStyle w:val="Hyperlink"/>
                <w:noProof/>
                <w:color w:val="auto"/>
              </w:rPr>
              <w:t>1.4 Research Problem</w:t>
            </w:r>
            <w:r w:rsidRPr="001A076D">
              <w:rPr>
                <w:noProof/>
                <w:webHidden/>
              </w:rPr>
              <w:tab/>
            </w:r>
            <w:r w:rsidRPr="001A076D">
              <w:rPr>
                <w:noProof/>
                <w:webHidden/>
              </w:rPr>
              <w:fldChar w:fldCharType="begin"/>
            </w:r>
            <w:r w:rsidRPr="001A076D">
              <w:rPr>
                <w:noProof/>
                <w:webHidden/>
              </w:rPr>
              <w:instrText xml:space="preserve"> PAGEREF _Toc236033328 \h </w:instrText>
            </w:r>
            <w:r w:rsidRPr="001A076D">
              <w:rPr>
                <w:noProof/>
                <w:webHidden/>
              </w:rPr>
            </w:r>
            <w:r w:rsidRPr="001A076D">
              <w:rPr>
                <w:noProof/>
                <w:webHidden/>
              </w:rPr>
              <w:fldChar w:fldCharType="separate"/>
            </w:r>
            <w:r w:rsidRPr="001A076D">
              <w:rPr>
                <w:noProof/>
                <w:webHidden/>
              </w:rPr>
              <w:t>12</w:t>
            </w:r>
            <w:r w:rsidRPr="001A076D">
              <w:rPr>
                <w:noProof/>
                <w:webHidden/>
              </w:rPr>
              <w:fldChar w:fldCharType="end"/>
            </w:r>
          </w:hyperlink>
        </w:p>
        <w:p w14:paraId="1778C739" w14:textId="2D994547"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29" w:history="1">
            <w:r w:rsidRPr="001A076D">
              <w:rPr>
                <w:rStyle w:val="Hyperlink"/>
                <w:noProof/>
                <w:color w:val="auto"/>
              </w:rPr>
              <w:t>1.5 Research Aim, Objectives and Questions</w:t>
            </w:r>
            <w:r w:rsidRPr="001A076D">
              <w:rPr>
                <w:noProof/>
                <w:webHidden/>
              </w:rPr>
              <w:tab/>
            </w:r>
            <w:r w:rsidRPr="001A076D">
              <w:rPr>
                <w:noProof/>
                <w:webHidden/>
              </w:rPr>
              <w:fldChar w:fldCharType="begin"/>
            </w:r>
            <w:r w:rsidRPr="001A076D">
              <w:rPr>
                <w:noProof/>
                <w:webHidden/>
              </w:rPr>
              <w:instrText xml:space="preserve"> PAGEREF _Toc236033329 \h </w:instrText>
            </w:r>
            <w:r w:rsidRPr="001A076D">
              <w:rPr>
                <w:noProof/>
                <w:webHidden/>
              </w:rPr>
            </w:r>
            <w:r w:rsidRPr="001A076D">
              <w:rPr>
                <w:noProof/>
                <w:webHidden/>
              </w:rPr>
              <w:fldChar w:fldCharType="separate"/>
            </w:r>
            <w:r w:rsidRPr="001A076D">
              <w:rPr>
                <w:noProof/>
                <w:webHidden/>
              </w:rPr>
              <w:t>12</w:t>
            </w:r>
            <w:r w:rsidRPr="001A076D">
              <w:rPr>
                <w:noProof/>
                <w:webHidden/>
              </w:rPr>
              <w:fldChar w:fldCharType="end"/>
            </w:r>
          </w:hyperlink>
        </w:p>
        <w:p w14:paraId="0F7FA19D" w14:textId="5E6FBAF0"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30" w:history="1">
            <w:r w:rsidRPr="001A076D">
              <w:rPr>
                <w:rStyle w:val="Hyperlink"/>
                <w:b/>
                <w:bCs/>
                <w:noProof/>
                <w:color w:val="auto"/>
              </w:rPr>
              <w:t>1.5.1 Research Aim</w:t>
            </w:r>
            <w:r w:rsidRPr="001A076D">
              <w:rPr>
                <w:noProof/>
                <w:webHidden/>
              </w:rPr>
              <w:tab/>
            </w:r>
            <w:r w:rsidRPr="001A076D">
              <w:rPr>
                <w:noProof/>
                <w:webHidden/>
              </w:rPr>
              <w:fldChar w:fldCharType="begin"/>
            </w:r>
            <w:r w:rsidRPr="001A076D">
              <w:rPr>
                <w:noProof/>
                <w:webHidden/>
              </w:rPr>
              <w:instrText xml:space="preserve"> PAGEREF _Toc236033330 \h </w:instrText>
            </w:r>
            <w:r w:rsidRPr="001A076D">
              <w:rPr>
                <w:noProof/>
                <w:webHidden/>
              </w:rPr>
            </w:r>
            <w:r w:rsidRPr="001A076D">
              <w:rPr>
                <w:noProof/>
                <w:webHidden/>
              </w:rPr>
              <w:fldChar w:fldCharType="separate"/>
            </w:r>
            <w:r w:rsidRPr="001A076D">
              <w:rPr>
                <w:noProof/>
                <w:webHidden/>
              </w:rPr>
              <w:t>12</w:t>
            </w:r>
            <w:r w:rsidRPr="001A076D">
              <w:rPr>
                <w:noProof/>
                <w:webHidden/>
              </w:rPr>
              <w:fldChar w:fldCharType="end"/>
            </w:r>
          </w:hyperlink>
        </w:p>
        <w:p w14:paraId="2E67B796" w14:textId="2495814D"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31" w:history="1">
            <w:r w:rsidRPr="001A076D">
              <w:rPr>
                <w:rStyle w:val="Hyperlink"/>
                <w:b/>
                <w:bCs/>
                <w:noProof/>
                <w:color w:val="auto"/>
              </w:rPr>
              <w:t>1.5.2 Research Objectives</w:t>
            </w:r>
            <w:r w:rsidRPr="001A076D">
              <w:rPr>
                <w:noProof/>
                <w:webHidden/>
              </w:rPr>
              <w:tab/>
            </w:r>
            <w:r w:rsidRPr="001A076D">
              <w:rPr>
                <w:noProof/>
                <w:webHidden/>
              </w:rPr>
              <w:fldChar w:fldCharType="begin"/>
            </w:r>
            <w:r w:rsidRPr="001A076D">
              <w:rPr>
                <w:noProof/>
                <w:webHidden/>
              </w:rPr>
              <w:instrText xml:space="preserve"> PAGEREF _Toc236033331 \h </w:instrText>
            </w:r>
            <w:r w:rsidRPr="001A076D">
              <w:rPr>
                <w:noProof/>
                <w:webHidden/>
              </w:rPr>
            </w:r>
            <w:r w:rsidRPr="001A076D">
              <w:rPr>
                <w:noProof/>
                <w:webHidden/>
              </w:rPr>
              <w:fldChar w:fldCharType="separate"/>
            </w:r>
            <w:r w:rsidRPr="001A076D">
              <w:rPr>
                <w:noProof/>
                <w:webHidden/>
              </w:rPr>
              <w:t>12</w:t>
            </w:r>
            <w:r w:rsidRPr="001A076D">
              <w:rPr>
                <w:noProof/>
                <w:webHidden/>
              </w:rPr>
              <w:fldChar w:fldCharType="end"/>
            </w:r>
          </w:hyperlink>
        </w:p>
        <w:p w14:paraId="5BFACE22" w14:textId="6728E1F6"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32" w:history="1">
            <w:r w:rsidRPr="001A076D">
              <w:rPr>
                <w:rStyle w:val="Hyperlink"/>
                <w:b/>
                <w:bCs/>
                <w:noProof/>
                <w:color w:val="auto"/>
              </w:rPr>
              <w:t>1.5.3 Research Questions</w:t>
            </w:r>
            <w:r w:rsidRPr="001A076D">
              <w:rPr>
                <w:noProof/>
                <w:webHidden/>
              </w:rPr>
              <w:tab/>
            </w:r>
            <w:r w:rsidRPr="001A076D">
              <w:rPr>
                <w:noProof/>
                <w:webHidden/>
              </w:rPr>
              <w:fldChar w:fldCharType="begin"/>
            </w:r>
            <w:r w:rsidRPr="001A076D">
              <w:rPr>
                <w:noProof/>
                <w:webHidden/>
              </w:rPr>
              <w:instrText xml:space="preserve"> PAGEREF _Toc236033332 \h </w:instrText>
            </w:r>
            <w:r w:rsidRPr="001A076D">
              <w:rPr>
                <w:noProof/>
                <w:webHidden/>
              </w:rPr>
            </w:r>
            <w:r w:rsidRPr="001A076D">
              <w:rPr>
                <w:noProof/>
                <w:webHidden/>
              </w:rPr>
              <w:fldChar w:fldCharType="separate"/>
            </w:r>
            <w:r w:rsidRPr="001A076D">
              <w:rPr>
                <w:noProof/>
                <w:webHidden/>
              </w:rPr>
              <w:t>13</w:t>
            </w:r>
            <w:r w:rsidRPr="001A076D">
              <w:rPr>
                <w:noProof/>
                <w:webHidden/>
              </w:rPr>
              <w:fldChar w:fldCharType="end"/>
            </w:r>
          </w:hyperlink>
        </w:p>
        <w:p w14:paraId="3FC2C39F" w14:textId="6C5E0613"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33" w:history="1">
            <w:r w:rsidRPr="001A076D">
              <w:rPr>
                <w:rStyle w:val="Hyperlink"/>
                <w:b/>
                <w:bCs/>
                <w:noProof/>
                <w:color w:val="auto"/>
              </w:rPr>
              <w:t>1.5.4 Hypotheses</w:t>
            </w:r>
            <w:r w:rsidRPr="001A076D">
              <w:rPr>
                <w:noProof/>
                <w:webHidden/>
              </w:rPr>
              <w:tab/>
            </w:r>
            <w:r w:rsidRPr="001A076D">
              <w:rPr>
                <w:noProof/>
                <w:webHidden/>
              </w:rPr>
              <w:fldChar w:fldCharType="begin"/>
            </w:r>
            <w:r w:rsidRPr="001A076D">
              <w:rPr>
                <w:noProof/>
                <w:webHidden/>
              </w:rPr>
              <w:instrText xml:space="preserve"> PAGEREF _Toc236033333 \h </w:instrText>
            </w:r>
            <w:r w:rsidRPr="001A076D">
              <w:rPr>
                <w:noProof/>
                <w:webHidden/>
              </w:rPr>
            </w:r>
            <w:r w:rsidRPr="001A076D">
              <w:rPr>
                <w:noProof/>
                <w:webHidden/>
              </w:rPr>
              <w:fldChar w:fldCharType="separate"/>
            </w:r>
            <w:r w:rsidRPr="001A076D">
              <w:rPr>
                <w:noProof/>
                <w:webHidden/>
              </w:rPr>
              <w:t>13</w:t>
            </w:r>
            <w:r w:rsidRPr="001A076D">
              <w:rPr>
                <w:noProof/>
                <w:webHidden/>
              </w:rPr>
              <w:fldChar w:fldCharType="end"/>
            </w:r>
          </w:hyperlink>
        </w:p>
        <w:p w14:paraId="2DD7795D" w14:textId="42947C37"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34" w:history="1">
            <w:r w:rsidRPr="001A076D">
              <w:rPr>
                <w:rStyle w:val="Hyperlink"/>
                <w:noProof/>
                <w:color w:val="auto"/>
              </w:rPr>
              <w:t>1.6 Significance of the Study</w:t>
            </w:r>
            <w:r w:rsidRPr="001A076D">
              <w:rPr>
                <w:noProof/>
                <w:webHidden/>
              </w:rPr>
              <w:tab/>
            </w:r>
            <w:r w:rsidRPr="001A076D">
              <w:rPr>
                <w:noProof/>
                <w:webHidden/>
              </w:rPr>
              <w:fldChar w:fldCharType="begin"/>
            </w:r>
            <w:r w:rsidRPr="001A076D">
              <w:rPr>
                <w:noProof/>
                <w:webHidden/>
              </w:rPr>
              <w:instrText xml:space="preserve"> PAGEREF _Toc236033334 \h </w:instrText>
            </w:r>
            <w:r w:rsidRPr="001A076D">
              <w:rPr>
                <w:noProof/>
                <w:webHidden/>
              </w:rPr>
            </w:r>
            <w:r w:rsidRPr="001A076D">
              <w:rPr>
                <w:noProof/>
                <w:webHidden/>
              </w:rPr>
              <w:fldChar w:fldCharType="separate"/>
            </w:r>
            <w:r w:rsidRPr="001A076D">
              <w:rPr>
                <w:noProof/>
                <w:webHidden/>
              </w:rPr>
              <w:t>14</w:t>
            </w:r>
            <w:r w:rsidRPr="001A076D">
              <w:rPr>
                <w:noProof/>
                <w:webHidden/>
              </w:rPr>
              <w:fldChar w:fldCharType="end"/>
            </w:r>
          </w:hyperlink>
        </w:p>
        <w:p w14:paraId="3E57AD04" w14:textId="7A812211"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35" w:history="1">
            <w:r w:rsidRPr="001A076D">
              <w:rPr>
                <w:rStyle w:val="Hyperlink"/>
                <w:noProof/>
                <w:color w:val="auto"/>
              </w:rPr>
              <w:t>1.7 Limitations of the Study</w:t>
            </w:r>
            <w:r w:rsidRPr="001A076D">
              <w:rPr>
                <w:noProof/>
                <w:webHidden/>
              </w:rPr>
              <w:tab/>
            </w:r>
            <w:r w:rsidRPr="001A076D">
              <w:rPr>
                <w:noProof/>
                <w:webHidden/>
              </w:rPr>
              <w:fldChar w:fldCharType="begin"/>
            </w:r>
            <w:r w:rsidRPr="001A076D">
              <w:rPr>
                <w:noProof/>
                <w:webHidden/>
              </w:rPr>
              <w:instrText xml:space="preserve"> PAGEREF _Toc236033335 \h </w:instrText>
            </w:r>
            <w:r w:rsidRPr="001A076D">
              <w:rPr>
                <w:noProof/>
                <w:webHidden/>
              </w:rPr>
            </w:r>
            <w:r w:rsidRPr="001A076D">
              <w:rPr>
                <w:noProof/>
                <w:webHidden/>
              </w:rPr>
              <w:fldChar w:fldCharType="separate"/>
            </w:r>
            <w:r w:rsidRPr="001A076D">
              <w:rPr>
                <w:noProof/>
                <w:webHidden/>
              </w:rPr>
              <w:t>14</w:t>
            </w:r>
            <w:r w:rsidRPr="001A076D">
              <w:rPr>
                <w:noProof/>
                <w:webHidden/>
              </w:rPr>
              <w:fldChar w:fldCharType="end"/>
            </w:r>
          </w:hyperlink>
        </w:p>
        <w:p w14:paraId="44955030" w14:textId="1F15CADF"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36" w:history="1">
            <w:r w:rsidRPr="001A076D">
              <w:rPr>
                <w:rStyle w:val="Hyperlink"/>
                <w:noProof/>
                <w:color w:val="auto"/>
              </w:rPr>
              <w:t>1.8 Conceptual Positioning: DELTA–DCAM Framework</w:t>
            </w:r>
            <w:r w:rsidRPr="001A076D">
              <w:rPr>
                <w:noProof/>
                <w:webHidden/>
              </w:rPr>
              <w:tab/>
            </w:r>
            <w:r w:rsidRPr="001A076D">
              <w:rPr>
                <w:noProof/>
                <w:webHidden/>
              </w:rPr>
              <w:fldChar w:fldCharType="begin"/>
            </w:r>
            <w:r w:rsidRPr="001A076D">
              <w:rPr>
                <w:noProof/>
                <w:webHidden/>
              </w:rPr>
              <w:instrText xml:space="preserve"> PAGEREF _Toc236033336 \h </w:instrText>
            </w:r>
            <w:r w:rsidRPr="001A076D">
              <w:rPr>
                <w:noProof/>
                <w:webHidden/>
              </w:rPr>
            </w:r>
            <w:r w:rsidRPr="001A076D">
              <w:rPr>
                <w:noProof/>
                <w:webHidden/>
              </w:rPr>
              <w:fldChar w:fldCharType="separate"/>
            </w:r>
            <w:r w:rsidRPr="001A076D">
              <w:rPr>
                <w:noProof/>
                <w:webHidden/>
              </w:rPr>
              <w:t>15</w:t>
            </w:r>
            <w:r w:rsidRPr="001A076D">
              <w:rPr>
                <w:noProof/>
                <w:webHidden/>
              </w:rPr>
              <w:fldChar w:fldCharType="end"/>
            </w:r>
          </w:hyperlink>
        </w:p>
        <w:p w14:paraId="2F322432" w14:textId="0960D844"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37" w:history="1">
            <w:r w:rsidRPr="001A076D">
              <w:rPr>
                <w:rStyle w:val="Hyperlink"/>
                <w:noProof/>
                <w:color w:val="auto"/>
              </w:rPr>
              <w:t>1.9 Structure of the Dissertation</w:t>
            </w:r>
            <w:r w:rsidRPr="001A076D">
              <w:rPr>
                <w:noProof/>
                <w:webHidden/>
              </w:rPr>
              <w:tab/>
            </w:r>
            <w:r w:rsidRPr="001A076D">
              <w:rPr>
                <w:noProof/>
                <w:webHidden/>
              </w:rPr>
              <w:fldChar w:fldCharType="begin"/>
            </w:r>
            <w:r w:rsidRPr="001A076D">
              <w:rPr>
                <w:noProof/>
                <w:webHidden/>
              </w:rPr>
              <w:instrText xml:space="preserve"> PAGEREF _Toc236033337 \h </w:instrText>
            </w:r>
            <w:r w:rsidRPr="001A076D">
              <w:rPr>
                <w:noProof/>
                <w:webHidden/>
              </w:rPr>
            </w:r>
            <w:r w:rsidRPr="001A076D">
              <w:rPr>
                <w:noProof/>
                <w:webHidden/>
              </w:rPr>
              <w:fldChar w:fldCharType="separate"/>
            </w:r>
            <w:r w:rsidRPr="001A076D">
              <w:rPr>
                <w:noProof/>
                <w:webHidden/>
              </w:rPr>
              <w:t>15</w:t>
            </w:r>
            <w:r w:rsidRPr="001A076D">
              <w:rPr>
                <w:noProof/>
                <w:webHidden/>
              </w:rPr>
              <w:fldChar w:fldCharType="end"/>
            </w:r>
          </w:hyperlink>
        </w:p>
        <w:p w14:paraId="31A35514" w14:textId="5AFAD6B0"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38" w:history="1">
            <w:r w:rsidRPr="001A076D">
              <w:rPr>
                <w:rStyle w:val="Hyperlink"/>
                <w:noProof/>
                <w:color w:val="auto"/>
              </w:rPr>
              <w:t>Chapter 2: Literature Review</w:t>
            </w:r>
            <w:r w:rsidRPr="001A076D">
              <w:rPr>
                <w:noProof/>
                <w:webHidden/>
              </w:rPr>
              <w:tab/>
            </w:r>
            <w:r w:rsidRPr="001A076D">
              <w:rPr>
                <w:noProof/>
                <w:webHidden/>
              </w:rPr>
              <w:fldChar w:fldCharType="begin"/>
            </w:r>
            <w:r w:rsidRPr="001A076D">
              <w:rPr>
                <w:noProof/>
                <w:webHidden/>
              </w:rPr>
              <w:instrText xml:space="preserve"> PAGEREF _Toc236033338 \h </w:instrText>
            </w:r>
            <w:r w:rsidRPr="001A076D">
              <w:rPr>
                <w:noProof/>
                <w:webHidden/>
              </w:rPr>
            </w:r>
            <w:r w:rsidRPr="001A076D">
              <w:rPr>
                <w:noProof/>
                <w:webHidden/>
              </w:rPr>
              <w:fldChar w:fldCharType="separate"/>
            </w:r>
            <w:r w:rsidRPr="001A076D">
              <w:rPr>
                <w:noProof/>
                <w:webHidden/>
              </w:rPr>
              <w:t>17</w:t>
            </w:r>
            <w:r w:rsidRPr="001A076D">
              <w:rPr>
                <w:noProof/>
                <w:webHidden/>
              </w:rPr>
              <w:fldChar w:fldCharType="end"/>
            </w:r>
          </w:hyperlink>
        </w:p>
        <w:p w14:paraId="62039B9B" w14:textId="12F8C8AB"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39" w:history="1">
            <w:r w:rsidRPr="001A076D">
              <w:rPr>
                <w:rStyle w:val="Hyperlink"/>
                <w:noProof/>
                <w:color w:val="auto"/>
              </w:rPr>
              <w:t>2.1 Predictive Analytics and Strategic Decision-Making: Conceptual Foundations</w:t>
            </w:r>
            <w:r w:rsidRPr="001A076D">
              <w:rPr>
                <w:noProof/>
                <w:webHidden/>
              </w:rPr>
              <w:tab/>
            </w:r>
            <w:r w:rsidRPr="001A076D">
              <w:rPr>
                <w:noProof/>
                <w:webHidden/>
              </w:rPr>
              <w:fldChar w:fldCharType="begin"/>
            </w:r>
            <w:r w:rsidRPr="001A076D">
              <w:rPr>
                <w:noProof/>
                <w:webHidden/>
              </w:rPr>
              <w:instrText xml:space="preserve"> PAGEREF _Toc236033339 \h </w:instrText>
            </w:r>
            <w:r w:rsidRPr="001A076D">
              <w:rPr>
                <w:noProof/>
                <w:webHidden/>
              </w:rPr>
            </w:r>
            <w:r w:rsidRPr="001A076D">
              <w:rPr>
                <w:noProof/>
                <w:webHidden/>
              </w:rPr>
              <w:fldChar w:fldCharType="separate"/>
            </w:r>
            <w:r w:rsidRPr="001A076D">
              <w:rPr>
                <w:noProof/>
                <w:webHidden/>
              </w:rPr>
              <w:t>17</w:t>
            </w:r>
            <w:r w:rsidRPr="001A076D">
              <w:rPr>
                <w:noProof/>
                <w:webHidden/>
              </w:rPr>
              <w:fldChar w:fldCharType="end"/>
            </w:r>
          </w:hyperlink>
        </w:p>
        <w:p w14:paraId="3F75841E" w14:textId="71A10B47"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0" w:history="1">
            <w:r w:rsidRPr="001A076D">
              <w:rPr>
                <w:rStyle w:val="Hyperlink"/>
                <w:noProof/>
                <w:color w:val="auto"/>
              </w:rPr>
              <w:t>2.2 Predictive Analytics as an Organisational Capability</w:t>
            </w:r>
            <w:r w:rsidRPr="001A076D">
              <w:rPr>
                <w:noProof/>
                <w:webHidden/>
              </w:rPr>
              <w:tab/>
            </w:r>
            <w:r w:rsidRPr="001A076D">
              <w:rPr>
                <w:noProof/>
                <w:webHidden/>
              </w:rPr>
              <w:fldChar w:fldCharType="begin"/>
            </w:r>
            <w:r w:rsidRPr="001A076D">
              <w:rPr>
                <w:noProof/>
                <w:webHidden/>
              </w:rPr>
              <w:instrText xml:space="preserve"> PAGEREF _Toc236033340 \h </w:instrText>
            </w:r>
            <w:r w:rsidRPr="001A076D">
              <w:rPr>
                <w:noProof/>
                <w:webHidden/>
              </w:rPr>
            </w:r>
            <w:r w:rsidRPr="001A076D">
              <w:rPr>
                <w:noProof/>
                <w:webHidden/>
              </w:rPr>
              <w:fldChar w:fldCharType="separate"/>
            </w:r>
            <w:r w:rsidRPr="001A076D">
              <w:rPr>
                <w:noProof/>
                <w:webHidden/>
              </w:rPr>
              <w:t>18</w:t>
            </w:r>
            <w:r w:rsidRPr="001A076D">
              <w:rPr>
                <w:noProof/>
                <w:webHidden/>
              </w:rPr>
              <w:fldChar w:fldCharType="end"/>
            </w:r>
          </w:hyperlink>
        </w:p>
        <w:p w14:paraId="1A5A4193" w14:textId="43C8C233"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1" w:history="1">
            <w:r w:rsidRPr="001A076D">
              <w:rPr>
                <w:rStyle w:val="Hyperlink"/>
                <w:noProof/>
                <w:color w:val="auto"/>
              </w:rPr>
              <w:t>2.3 The DELTA Model and Organisational Readiness</w:t>
            </w:r>
            <w:r w:rsidRPr="001A076D">
              <w:rPr>
                <w:noProof/>
                <w:webHidden/>
              </w:rPr>
              <w:tab/>
            </w:r>
            <w:r w:rsidRPr="001A076D">
              <w:rPr>
                <w:noProof/>
                <w:webHidden/>
              </w:rPr>
              <w:fldChar w:fldCharType="begin"/>
            </w:r>
            <w:r w:rsidRPr="001A076D">
              <w:rPr>
                <w:noProof/>
                <w:webHidden/>
              </w:rPr>
              <w:instrText xml:space="preserve"> PAGEREF _Toc236033341 \h </w:instrText>
            </w:r>
            <w:r w:rsidRPr="001A076D">
              <w:rPr>
                <w:noProof/>
                <w:webHidden/>
              </w:rPr>
            </w:r>
            <w:r w:rsidRPr="001A076D">
              <w:rPr>
                <w:noProof/>
                <w:webHidden/>
              </w:rPr>
              <w:fldChar w:fldCharType="separate"/>
            </w:r>
            <w:r w:rsidRPr="001A076D">
              <w:rPr>
                <w:noProof/>
                <w:webHidden/>
              </w:rPr>
              <w:t>20</w:t>
            </w:r>
            <w:r w:rsidRPr="001A076D">
              <w:rPr>
                <w:noProof/>
                <w:webHidden/>
              </w:rPr>
              <w:fldChar w:fldCharType="end"/>
            </w:r>
          </w:hyperlink>
        </w:p>
        <w:p w14:paraId="1392739B" w14:textId="27C7FA98"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2" w:history="1">
            <w:r w:rsidRPr="001A076D">
              <w:rPr>
                <w:rStyle w:val="Hyperlink"/>
                <w:noProof/>
                <w:color w:val="auto"/>
              </w:rPr>
              <w:t>2.4 Data Governance, DCAM, and the Role of Control</w:t>
            </w:r>
            <w:r w:rsidRPr="001A076D">
              <w:rPr>
                <w:noProof/>
                <w:webHidden/>
              </w:rPr>
              <w:tab/>
            </w:r>
            <w:r w:rsidRPr="001A076D">
              <w:rPr>
                <w:noProof/>
                <w:webHidden/>
              </w:rPr>
              <w:fldChar w:fldCharType="begin"/>
            </w:r>
            <w:r w:rsidRPr="001A076D">
              <w:rPr>
                <w:noProof/>
                <w:webHidden/>
              </w:rPr>
              <w:instrText xml:space="preserve"> PAGEREF _Toc236033342 \h </w:instrText>
            </w:r>
            <w:r w:rsidRPr="001A076D">
              <w:rPr>
                <w:noProof/>
                <w:webHidden/>
              </w:rPr>
            </w:r>
            <w:r w:rsidRPr="001A076D">
              <w:rPr>
                <w:noProof/>
                <w:webHidden/>
              </w:rPr>
              <w:fldChar w:fldCharType="separate"/>
            </w:r>
            <w:r w:rsidRPr="001A076D">
              <w:rPr>
                <w:noProof/>
                <w:webHidden/>
              </w:rPr>
              <w:t>21</w:t>
            </w:r>
            <w:r w:rsidRPr="001A076D">
              <w:rPr>
                <w:noProof/>
                <w:webHidden/>
              </w:rPr>
              <w:fldChar w:fldCharType="end"/>
            </w:r>
          </w:hyperlink>
        </w:p>
        <w:p w14:paraId="7469B48F" w14:textId="2206AB77"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3" w:history="1">
            <w:r w:rsidRPr="001A076D">
              <w:rPr>
                <w:rStyle w:val="Hyperlink"/>
                <w:noProof/>
                <w:color w:val="auto"/>
              </w:rPr>
              <w:t>2.5 Tensions Between Strategy and Governance in the Literature</w:t>
            </w:r>
            <w:r w:rsidRPr="001A076D">
              <w:rPr>
                <w:noProof/>
                <w:webHidden/>
              </w:rPr>
              <w:tab/>
            </w:r>
            <w:r w:rsidRPr="001A076D">
              <w:rPr>
                <w:noProof/>
                <w:webHidden/>
              </w:rPr>
              <w:fldChar w:fldCharType="begin"/>
            </w:r>
            <w:r w:rsidRPr="001A076D">
              <w:rPr>
                <w:noProof/>
                <w:webHidden/>
              </w:rPr>
              <w:instrText xml:space="preserve"> PAGEREF _Toc236033343 \h </w:instrText>
            </w:r>
            <w:r w:rsidRPr="001A076D">
              <w:rPr>
                <w:noProof/>
                <w:webHidden/>
              </w:rPr>
            </w:r>
            <w:r w:rsidRPr="001A076D">
              <w:rPr>
                <w:noProof/>
                <w:webHidden/>
              </w:rPr>
              <w:fldChar w:fldCharType="separate"/>
            </w:r>
            <w:r w:rsidRPr="001A076D">
              <w:rPr>
                <w:noProof/>
                <w:webHidden/>
              </w:rPr>
              <w:t>23</w:t>
            </w:r>
            <w:r w:rsidRPr="001A076D">
              <w:rPr>
                <w:noProof/>
                <w:webHidden/>
              </w:rPr>
              <w:fldChar w:fldCharType="end"/>
            </w:r>
          </w:hyperlink>
        </w:p>
        <w:p w14:paraId="1640B515" w14:textId="3990D265"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4" w:history="1">
            <w:r w:rsidRPr="001A076D">
              <w:rPr>
                <w:rStyle w:val="Hyperlink"/>
                <w:noProof/>
                <w:color w:val="auto"/>
              </w:rPr>
              <w:t>2.6 Regulatory Context and the UK Energy Sector</w:t>
            </w:r>
            <w:r w:rsidRPr="001A076D">
              <w:rPr>
                <w:noProof/>
                <w:webHidden/>
              </w:rPr>
              <w:tab/>
            </w:r>
            <w:r w:rsidRPr="001A076D">
              <w:rPr>
                <w:noProof/>
                <w:webHidden/>
              </w:rPr>
              <w:fldChar w:fldCharType="begin"/>
            </w:r>
            <w:r w:rsidRPr="001A076D">
              <w:rPr>
                <w:noProof/>
                <w:webHidden/>
              </w:rPr>
              <w:instrText xml:space="preserve"> PAGEREF _Toc236033344 \h </w:instrText>
            </w:r>
            <w:r w:rsidRPr="001A076D">
              <w:rPr>
                <w:noProof/>
                <w:webHidden/>
              </w:rPr>
            </w:r>
            <w:r w:rsidRPr="001A076D">
              <w:rPr>
                <w:noProof/>
                <w:webHidden/>
              </w:rPr>
              <w:fldChar w:fldCharType="separate"/>
            </w:r>
            <w:r w:rsidRPr="001A076D">
              <w:rPr>
                <w:noProof/>
                <w:webHidden/>
              </w:rPr>
              <w:t>24</w:t>
            </w:r>
            <w:r w:rsidRPr="001A076D">
              <w:rPr>
                <w:noProof/>
                <w:webHidden/>
              </w:rPr>
              <w:fldChar w:fldCharType="end"/>
            </w:r>
          </w:hyperlink>
        </w:p>
        <w:p w14:paraId="4B6FA618" w14:textId="67E59BE7"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5" w:history="1">
            <w:r w:rsidRPr="001A076D">
              <w:rPr>
                <w:rStyle w:val="Hyperlink"/>
                <w:noProof/>
                <w:color w:val="auto"/>
              </w:rPr>
              <w:t>2.7 Organisational Culture, Ethics, and Trust</w:t>
            </w:r>
            <w:r w:rsidRPr="001A076D">
              <w:rPr>
                <w:noProof/>
                <w:webHidden/>
              </w:rPr>
              <w:tab/>
            </w:r>
            <w:r w:rsidRPr="001A076D">
              <w:rPr>
                <w:noProof/>
                <w:webHidden/>
              </w:rPr>
              <w:fldChar w:fldCharType="begin"/>
            </w:r>
            <w:r w:rsidRPr="001A076D">
              <w:rPr>
                <w:noProof/>
                <w:webHidden/>
              </w:rPr>
              <w:instrText xml:space="preserve"> PAGEREF _Toc236033345 \h </w:instrText>
            </w:r>
            <w:r w:rsidRPr="001A076D">
              <w:rPr>
                <w:noProof/>
                <w:webHidden/>
              </w:rPr>
            </w:r>
            <w:r w:rsidRPr="001A076D">
              <w:rPr>
                <w:noProof/>
                <w:webHidden/>
              </w:rPr>
              <w:fldChar w:fldCharType="separate"/>
            </w:r>
            <w:r w:rsidRPr="001A076D">
              <w:rPr>
                <w:noProof/>
                <w:webHidden/>
              </w:rPr>
              <w:t>27</w:t>
            </w:r>
            <w:r w:rsidRPr="001A076D">
              <w:rPr>
                <w:noProof/>
                <w:webHidden/>
              </w:rPr>
              <w:fldChar w:fldCharType="end"/>
            </w:r>
          </w:hyperlink>
        </w:p>
        <w:p w14:paraId="1543BACB" w14:textId="46C1645E"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6" w:history="1">
            <w:r w:rsidRPr="001A076D">
              <w:rPr>
                <w:rStyle w:val="Hyperlink"/>
                <w:noProof/>
                <w:color w:val="auto"/>
              </w:rPr>
              <w:t>2.8 Towards an Integrated View: Gaps in Predictive Analytics Readiness Literature</w:t>
            </w:r>
            <w:r w:rsidRPr="001A076D">
              <w:rPr>
                <w:noProof/>
                <w:webHidden/>
              </w:rPr>
              <w:tab/>
            </w:r>
            <w:r w:rsidRPr="001A076D">
              <w:rPr>
                <w:noProof/>
                <w:webHidden/>
              </w:rPr>
              <w:fldChar w:fldCharType="begin"/>
            </w:r>
            <w:r w:rsidRPr="001A076D">
              <w:rPr>
                <w:noProof/>
                <w:webHidden/>
              </w:rPr>
              <w:instrText xml:space="preserve"> PAGEREF _Toc236033346 \h </w:instrText>
            </w:r>
            <w:r w:rsidRPr="001A076D">
              <w:rPr>
                <w:noProof/>
                <w:webHidden/>
              </w:rPr>
            </w:r>
            <w:r w:rsidRPr="001A076D">
              <w:rPr>
                <w:noProof/>
                <w:webHidden/>
              </w:rPr>
              <w:fldChar w:fldCharType="separate"/>
            </w:r>
            <w:r w:rsidRPr="001A076D">
              <w:rPr>
                <w:noProof/>
                <w:webHidden/>
              </w:rPr>
              <w:t>28</w:t>
            </w:r>
            <w:r w:rsidRPr="001A076D">
              <w:rPr>
                <w:noProof/>
                <w:webHidden/>
              </w:rPr>
              <w:fldChar w:fldCharType="end"/>
            </w:r>
          </w:hyperlink>
        </w:p>
        <w:p w14:paraId="6261A994" w14:textId="63E7952B"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7" w:history="1">
            <w:r w:rsidRPr="001A076D">
              <w:rPr>
                <w:rStyle w:val="Hyperlink"/>
                <w:noProof/>
                <w:color w:val="auto"/>
              </w:rPr>
              <w:t>2.9 Positioning of This Study and Link to Methodology</w:t>
            </w:r>
            <w:r w:rsidRPr="001A076D">
              <w:rPr>
                <w:noProof/>
                <w:webHidden/>
              </w:rPr>
              <w:tab/>
            </w:r>
            <w:r w:rsidRPr="001A076D">
              <w:rPr>
                <w:noProof/>
                <w:webHidden/>
              </w:rPr>
              <w:fldChar w:fldCharType="begin"/>
            </w:r>
            <w:r w:rsidRPr="001A076D">
              <w:rPr>
                <w:noProof/>
                <w:webHidden/>
              </w:rPr>
              <w:instrText xml:space="preserve"> PAGEREF _Toc236033347 \h </w:instrText>
            </w:r>
            <w:r w:rsidRPr="001A076D">
              <w:rPr>
                <w:noProof/>
                <w:webHidden/>
              </w:rPr>
            </w:r>
            <w:r w:rsidRPr="001A076D">
              <w:rPr>
                <w:noProof/>
                <w:webHidden/>
              </w:rPr>
              <w:fldChar w:fldCharType="separate"/>
            </w:r>
            <w:r w:rsidRPr="001A076D">
              <w:rPr>
                <w:noProof/>
                <w:webHidden/>
              </w:rPr>
              <w:t>30</w:t>
            </w:r>
            <w:r w:rsidRPr="001A076D">
              <w:rPr>
                <w:noProof/>
                <w:webHidden/>
              </w:rPr>
              <w:fldChar w:fldCharType="end"/>
            </w:r>
          </w:hyperlink>
        </w:p>
        <w:p w14:paraId="57B37692" w14:textId="63E0F37C"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8" w:history="1">
            <w:r w:rsidRPr="001A076D">
              <w:rPr>
                <w:rStyle w:val="Hyperlink"/>
                <w:noProof/>
                <w:color w:val="auto"/>
              </w:rPr>
              <w:t>2.10 Critical Comparison of Analytics Capability and Governance Frameworks</w:t>
            </w:r>
            <w:r w:rsidRPr="001A076D">
              <w:rPr>
                <w:noProof/>
                <w:webHidden/>
              </w:rPr>
              <w:tab/>
            </w:r>
            <w:r w:rsidRPr="001A076D">
              <w:rPr>
                <w:noProof/>
                <w:webHidden/>
              </w:rPr>
              <w:fldChar w:fldCharType="begin"/>
            </w:r>
            <w:r w:rsidRPr="001A076D">
              <w:rPr>
                <w:noProof/>
                <w:webHidden/>
              </w:rPr>
              <w:instrText xml:space="preserve"> PAGEREF _Toc236033348 \h </w:instrText>
            </w:r>
            <w:r w:rsidRPr="001A076D">
              <w:rPr>
                <w:noProof/>
                <w:webHidden/>
              </w:rPr>
            </w:r>
            <w:r w:rsidRPr="001A076D">
              <w:rPr>
                <w:noProof/>
                <w:webHidden/>
              </w:rPr>
              <w:fldChar w:fldCharType="separate"/>
            </w:r>
            <w:r w:rsidRPr="001A076D">
              <w:rPr>
                <w:noProof/>
                <w:webHidden/>
              </w:rPr>
              <w:t>31</w:t>
            </w:r>
            <w:r w:rsidRPr="001A076D">
              <w:rPr>
                <w:noProof/>
                <w:webHidden/>
              </w:rPr>
              <w:fldChar w:fldCharType="end"/>
            </w:r>
          </w:hyperlink>
        </w:p>
        <w:p w14:paraId="1AD896C8" w14:textId="6EA57819"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49" w:history="1">
            <w:r w:rsidRPr="001A076D">
              <w:rPr>
                <w:rStyle w:val="Hyperlink"/>
                <w:noProof/>
                <w:color w:val="auto"/>
              </w:rPr>
              <w:t>2.11 Chapter Summary and Link to Research Methodology</w:t>
            </w:r>
            <w:r w:rsidRPr="001A076D">
              <w:rPr>
                <w:noProof/>
                <w:webHidden/>
              </w:rPr>
              <w:tab/>
            </w:r>
            <w:r w:rsidRPr="001A076D">
              <w:rPr>
                <w:noProof/>
                <w:webHidden/>
              </w:rPr>
              <w:fldChar w:fldCharType="begin"/>
            </w:r>
            <w:r w:rsidRPr="001A076D">
              <w:rPr>
                <w:noProof/>
                <w:webHidden/>
              </w:rPr>
              <w:instrText xml:space="preserve"> PAGEREF _Toc236033349 \h </w:instrText>
            </w:r>
            <w:r w:rsidRPr="001A076D">
              <w:rPr>
                <w:noProof/>
                <w:webHidden/>
              </w:rPr>
            </w:r>
            <w:r w:rsidRPr="001A076D">
              <w:rPr>
                <w:noProof/>
                <w:webHidden/>
              </w:rPr>
              <w:fldChar w:fldCharType="separate"/>
            </w:r>
            <w:r w:rsidRPr="001A076D">
              <w:rPr>
                <w:noProof/>
                <w:webHidden/>
              </w:rPr>
              <w:t>32</w:t>
            </w:r>
            <w:r w:rsidRPr="001A076D">
              <w:rPr>
                <w:noProof/>
                <w:webHidden/>
              </w:rPr>
              <w:fldChar w:fldCharType="end"/>
            </w:r>
          </w:hyperlink>
        </w:p>
        <w:p w14:paraId="021D4509" w14:textId="797B51C5"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50" w:history="1">
            <w:r w:rsidRPr="001A076D">
              <w:rPr>
                <w:rStyle w:val="Hyperlink"/>
                <w:noProof/>
                <w:color w:val="auto"/>
              </w:rPr>
              <w:t>Chapter 3: Research Methodology</w:t>
            </w:r>
            <w:r w:rsidRPr="001A076D">
              <w:rPr>
                <w:noProof/>
                <w:webHidden/>
              </w:rPr>
              <w:tab/>
            </w:r>
            <w:r w:rsidRPr="001A076D">
              <w:rPr>
                <w:noProof/>
                <w:webHidden/>
              </w:rPr>
              <w:fldChar w:fldCharType="begin"/>
            </w:r>
            <w:r w:rsidRPr="001A076D">
              <w:rPr>
                <w:noProof/>
                <w:webHidden/>
              </w:rPr>
              <w:instrText xml:space="preserve"> PAGEREF _Toc236033350 \h </w:instrText>
            </w:r>
            <w:r w:rsidRPr="001A076D">
              <w:rPr>
                <w:noProof/>
                <w:webHidden/>
              </w:rPr>
            </w:r>
            <w:r w:rsidRPr="001A076D">
              <w:rPr>
                <w:noProof/>
                <w:webHidden/>
              </w:rPr>
              <w:fldChar w:fldCharType="separate"/>
            </w:r>
            <w:r w:rsidRPr="001A076D">
              <w:rPr>
                <w:noProof/>
                <w:webHidden/>
              </w:rPr>
              <w:t>34</w:t>
            </w:r>
            <w:r w:rsidRPr="001A076D">
              <w:rPr>
                <w:noProof/>
                <w:webHidden/>
              </w:rPr>
              <w:fldChar w:fldCharType="end"/>
            </w:r>
          </w:hyperlink>
        </w:p>
        <w:p w14:paraId="37EE1D99" w14:textId="23BB2F98"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51" w:history="1">
            <w:r w:rsidRPr="001A076D">
              <w:rPr>
                <w:rStyle w:val="Hyperlink"/>
                <w:noProof/>
                <w:color w:val="auto"/>
              </w:rPr>
              <w:t>3.1 Introduction</w:t>
            </w:r>
            <w:r w:rsidRPr="001A076D">
              <w:rPr>
                <w:noProof/>
                <w:webHidden/>
              </w:rPr>
              <w:tab/>
            </w:r>
            <w:r w:rsidRPr="001A076D">
              <w:rPr>
                <w:noProof/>
                <w:webHidden/>
              </w:rPr>
              <w:fldChar w:fldCharType="begin"/>
            </w:r>
            <w:r w:rsidRPr="001A076D">
              <w:rPr>
                <w:noProof/>
                <w:webHidden/>
              </w:rPr>
              <w:instrText xml:space="preserve"> PAGEREF _Toc236033351 \h </w:instrText>
            </w:r>
            <w:r w:rsidRPr="001A076D">
              <w:rPr>
                <w:noProof/>
                <w:webHidden/>
              </w:rPr>
            </w:r>
            <w:r w:rsidRPr="001A076D">
              <w:rPr>
                <w:noProof/>
                <w:webHidden/>
              </w:rPr>
              <w:fldChar w:fldCharType="separate"/>
            </w:r>
            <w:r w:rsidRPr="001A076D">
              <w:rPr>
                <w:noProof/>
                <w:webHidden/>
              </w:rPr>
              <w:t>34</w:t>
            </w:r>
            <w:r w:rsidRPr="001A076D">
              <w:rPr>
                <w:noProof/>
                <w:webHidden/>
              </w:rPr>
              <w:fldChar w:fldCharType="end"/>
            </w:r>
          </w:hyperlink>
        </w:p>
        <w:p w14:paraId="44F23A52" w14:textId="11101AF2"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52" w:history="1">
            <w:r w:rsidRPr="001A076D">
              <w:rPr>
                <w:rStyle w:val="Hyperlink"/>
                <w:noProof/>
                <w:color w:val="auto"/>
              </w:rPr>
              <w:t>3.2 Research Philosophy and Epistemological Positioning</w:t>
            </w:r>
            <w:r w:rsidRPr="001A076D">
              <w:rPr>
                <w:noProof/>
                <w:webHidden/>
              </w:rPr>
              <w:tab/>
            </w:r>
            <w:r w:rsidRPr="001A076D">
              <w:rPr>
                <w:noProof/>
                <w:webHidden/>
              </w:rPr>
              <w:fldChar w:fldCharType="begin"/>
            </w:r>
            <w:r w:rsidRPr="001A076D">
              <w:rPr>
                <w:noProof/>
                <w:webHidden/>
              </w:rPr>
              <w:instrText xml:space="preserve"> PAGEREF _Toc236033352 \h </w:instrText>
            </w:r>
            <w:r w:rsidRPr="001A076D">
              <w:rPr>
                <w:noProof/>
                <w:webHidden/>
              </w:rPr>
            </w:r>
            <w:r w:rsidRPr="001A076D">
              <w:rPr>
                <w:noProof/>
                <w:webHidden/>
              </w:rPr>
              <w:fldChar w:fldCharType="separate"/>
            </w:r>
            <w:r w:rsidRPr="001A076D">
              <w:rPr>
                <w:noProof/>
                <w:webHidden/>
              </w:rPr>
              <w:t>35</w:t>
            </w:r>
            <w:r w:rsidRPr="001A076D">
              <w:rPr>
                <w:noProof/>
                <w:webHidden/>
              </w:rPr>
              <w:fldChar w:fldCharType="end"/>
            </w:r>
          </w:hyperlink>
        </w:p>
        <w:p w14:paraId="1BB42E10" w14:textId="6E605EC4"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53" w:history="1">
            <w:r w:rsidRPr="001A076D">
              <w:rPr>
                <w:rStyle w:val="Hyperlink"/>
                <w:noProof/>
                <w:color w:val="auto"/>
              </w:rPr>
              <w:t>3.3 Research Approach and Design</w:t>
            </w:r>
            <w:r w:rsidRPr="001A076D">
              <w:rPr>
                <w:noProof/>
                <w:webHidden/>
              </w:rPr>
              <w:tab/>
            </w:r>
            <w:r w:rsidRPr="001A076D">
              <w:rPr>
                <w:noProof/>
                <w:webHidden/>
              </w:rPr>
              <w:fldChar w:fldCharType="begin"/>
            </w:r>
            <w:r w:rsidRPr="001A076D">
              <w:rPr>
                <w:noProof/>
                <w:webHidden/>
              </w:rPr>
              <w:instrText xml:space="preserve"> PAGEREF _Toc236033353 \h </w:instrText>
            </w:r>
            <w:r w:rsidRPr="001A076D">
              <w:rPr>
                <w:noProof/>
                <w:webHidden/>
              </w:rPr>
            </w:r>
            <w:r w:rsidRPr="001A076D">
              <w:rPr>
                <w:noProof/>
                <w:webHidden/>
              </w:rPr>
              <w:fldChar w:fldCharType="separate"/>
            </w:r>
            <w:r w:rsidRPr="001A076D">
              <w:rPr>
                <w:noProof/>
                <w:webHidden/>
              </w:rPr>
              <w:t>36</w:t>
            </w:r>
            <w:r w:rsidRPr="001A076D">
              <w:rPr>
                <w:noProof/>
                <w:webHidden/>
              </w:rPr>
              <w:fldChar w:fldCharType="end"/>
            </w:r>
          </w:hyperlink>
        </w:p>
        <w:p w14:paraId="6A57E038" w14:textId="334EE81A"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54" w:history="1">
            <w:r w:rsidRPr="001A076D">
              <w:rPr>
                <w:rStyle w:val="Hyperlink"/>
                <w:b/>
                <w:bCs/>
                <w:noProof/>
                <w:color w:val="auto"/>
              </w:rPr>
              <w:t>3.3.1 Combined Deductive and Inductive Reasoning</w:t>
            </w:r>
            <w:r w:rsidRPr="001A076D">
              <w:rPr>
                <w:noProof/>
                <w:webHidden/>
              </w:rPr>
              <w:tab/>
            </w:r>
            <w:r w:rsidRPr="001A076D">
              <w:rPr>
                <w:noProof/>
                <w:webHidden/>
              </w:rPr>
              <w:fldChar w:fldCharType="begin"/>
            </w:r>
            <w:r w:rsidRPr="001A076D">
              <w:rPr>
                <w:noProof/>
                <w:webHidden/>
              </w:rPr>
              <w:instrText xml:space="preserve"> PAGEREF _Toc236033354 \h </w:instrText>
            </w:r>
            <w:r w:rsidRPr="001A076D">
              <w:rPr>
                <w:noProof/>
                <w:webHidden/>
              </w:rPr>
            </w:r>
            <w:r w:rsidRPr="001A076D">
              <w:rPr>
                <w:noProof/>
                <w:webHidden/>
              </w:rPr>
              <w:fldChar w:fldCharType="separate"/>
            </w:r>
            <w:r w:rsidRPr="001A076D">
              <w:rPr>
                <w:noProof/>
                <w:webHidden/>
              </w:rPr>
              <w:t>36</w:t>
            </w:r>
            <w:r w:rsidRPr="001A076D">
              <w:rPr>
                <w:noProof/>
                <w:webHidden/>
              </w:rPr>
              <w:fldChar w:fldCharType="end"/>
            </w:r>
          </w:hyperlink>
        </w:p>
        <w:p w14:paraId="4841BE54" w14:textId="0EAF451A"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55" w:history="1">
            <w:r w:rsidRPr="001A076D">
              <w:rPr>
                <w:rStyle w:val="Hyperlink"/>
                <w:b/>
                <w:bCs/>
                <w:noProof/>
                <w:color w:val="auto"/>
              </w:rPr>
              <w:t>3.3.2 Case Study Strategy</w:t>
            </w:r>
            <w:r w:rsidRPr="001A076D">
              <w:rPr>
                <w:noProof/>
                <w:webHidden/>
              </w:rPr>
              <w:tab/>
            </w:r>
            <w:r w:rsidRPr="001A076D">
              <w:rPr>
                <w:noProof/>
                <w:webHidden/>
              </w:rPr>
              <w:fldChar w:fldCharType="begin"/>
            </w:r>
            <w:r w:rsidRPr="001A076D">
              <w:rPr>
                <w:noProof/>
                <w:webHidden/>
              </w:rPr>
              <w:instrText xml:space="preserve"> PAGEREF _Toc236033355 \h </w:instrText>
            </w:r>
            <w:r w:rsidRPr="001A076D">
              <w:rPr>
                <w:noProof/>
                <w:webHidden/>
              </w:rPr>
            </w:r>
            <w:r w:rsidRPr="001A076D">
              <w:rPr>
                <w:noProof/>
                <w:webHidden/>
              </w:rPr>
              <w:fldChar w:fldCharType="separate"/>
            </w:r>
            <w:r w:rsidRPr="001A076D">
              <w:rPr>
                <w:noProof/>
                <w:webHidden/>
              </w:rPr>
              <w:t>37</w:t>
            </w:r>
            <w:r w:rsidRPr="001A076D">
              <w:rPr>
                <w:noProof/>
                <w:webHidden/>
              </w:rPr>
              <w:fldChar w:fldCharType="end"/>
            </w:r>
          </w:hyperlink>
        </w:p>
        <w:p w14:paraId="1D2F6B45" w14:textId="523B330A"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56" w:history="1">
            <w:r w:rsidRPr="001A076D">
              <w:rPr>
                <w:rStyle w:val="Hyperlink"/>
                <w:noProof/>
                <w:color w:val="auto"/>
              </w:rPr>
              <w:t>3.4 Methodological Choice: Mixed-Methods Design</w:t>
            </w:r>
            <w:r w:rsidRPr="001A076D">
              <w:rPr>
                <w:noProof/>
                <w:webHidden/>
              </w:rPr>
              <w:tab/>
            </w:r>
            <w:r w:rsidRPr="001A076D">
              <w:rPr>
                <w:noProof/>
                <w:webHidden/>
              </w:rPr>
              <w:fldChar w:fldCharType="begin"/>
            </w:r>
            <w:r w:rsidRPr="001A076D">
              <w:rPr>
                <w:noProof/>
                <w:webHidden/>
              </w:rPr>
              <w:instrText xml:space="preserve"> PAGEREF _Toc236033356 \h </w:instrText>
            </w:r>
            <w:r w:rsidRPr="001A076D">
              <w:rPr>
                <w:noProof/>
                <w:webHidden/>
              </w:rPr>
            </w:r>
            <w:r w:rsidRPr="001A076D">
              <w:rPr>
                <w:noProof/>
                <w:webHidden/>
              </w:rPr>
              <w:fldChar w:fldCharType="separate"/>
            </w:r>
            <w:r w:rsidRPr="001A076D">
              <w:rPr>
                <w:noProof/>
                <w:webHidden/>
              </w:rPr>
              <w:t>38</w:t>
            </w:r>
            <w:r w:rsidRPr="001A076D">
              <w:rPr>
                <w:noProof/>
                <w:webHidden/>
              </w:rPr>
              <w:fldChar w:fldCharType="end"/>
            </w:r>
          </w:hyperlink>
        </w:p>
        <w:p w14:paraId="3F32E5DF" w14:textId="643FC185"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57" w:history="1">
            <w:r w:rsidRPr="001A076D">
              <w:rPr>
                <w:rStyle w:val="Hyperlink"/>
                <w:b/>
                <w:bCs/>
                <w:noProof/>
                <w:color w:val="auto"/>
              </w:rPr>
              <w:t>3.4.1 Rationale for Mixed Methods</w:t>
            </w:r>
            <w:r w:rsidRPr="001A076D">
              <w:rPr>
                <w:noProof/>
                <w:webHidden/>
              </w:rPr>
              <w:tab/>
            </w:r>
            <w:r w:rsidRPr="001A076D">
              <w:rPr>
                <w:noProof/>
                <w:webHidden/>
              </w:rPr>
              <w:fldChar w:fldCharType="begin"/>
            </w:r>
            <w:r w:rsidRPr="001A076D">
              <w:rPr>
                <w:noProof/>
                <w:webHidden/>
              </w:rPr>
              <w:instrText xml:space="preserve"> PAGEREF _Toc236033357 \h </w:instrText>
            </w:r>
            <w:r w:rsidRPr="001A076D">
              <w:rPr>
                <w:noProof/>
                <w:webHidden/>
              </w:rPr>
            </w:r>
            <w:r w:rsidRPr="001A076D">
              <w:rPr>
                <w:noProof/>
                <w:webHidden/>
              </w:rPr>
              <w:fldChar w:fldCharType="separate"/>
            </w:r>
            <w:r w:rsidRPr="001A076D">
              <w:rPr>
                <w:noProof/>
                <w:webHidden/>
              </w:rPr>
              <w:t>38</w:t>
            </w:r>
            <w:r w:rsidRPr="001A076D">
              <w:rPr>
                <w:noProof/>
                <w:webHidden/>
              </w:rPr>
              <w:fldChar w:fldCharType="end"/>
            </w:r>
          </w:hyperlink>
        </w:p>
        <w:p w14:paraId="1EA97182" w14:textId="1FAC025A"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58" w:history="1">
            <w:r w:rsidRPr="001A076D">
              <w:rPr>
                <w:rStyle w:val="Hyperlink"/>
                <w:b/>
                <w:bCs/>
                <w:noProof/>
                <w:color w:val="auto"/>
              </w:rPr>
              <w:t>3.4.2 Sequential Explanatory Design</w:t>
            </w:r>
            <w:r w:rsidRPr="001A076D">
              <w:rPr>
                <w:noProof/>
                <w:webHidden/>
              </w:rPr>
              <w:tab/>
            </w:r>
            <w:r w:rsidRPr="001A076D">
              <w:rPr>
                <w:noProof/>
                <w:webHidden/>
              </w:rPr>
              <w:fldChar w:fldCharType="begin"/>
            </w:r>
            <w:r w:rsidRPr="001A076D">
              <w:rPr>
                <w:noProof/>
                <w:webHidden/>
              </w:rPr>
              <w:instrText xml:space="preserve"> PAGEREF _Toc236033358 \h </w:instrText>
            </w:r>
            <w:r w:rsidRPr="001A076D">
              <w:rPr>
                <w:noProof/>
                <w:webHidden/>
              </w:rPr>
            </w:r>
            <w:r w:rsidRPr="001A076D">
              <w:rPr>
                <w:noProof/>
                <w:webHidden/>
              </w:rPr>
              <w:fldChar w:fldCharType="separate"/>
            </w:r>
            <w:r w:rsidRPr="001A076D">
              <w:rPr>
                <w:noProof/>
                <w:webHidden/>
              </w:rPr>
              <w:t>39</w:t>
            </w:r>
            <w:r w:rsidRPr="001A076D">
              <w:rPr>
                <w:noProof/>
                <w:webHidden/>
              </w:rPr>
              <w:fldChar w:fldCharType="end"/>
            </w:r>
          </w:hyperlink>
        </w:p>
        <w:p w14:paraId="6574455E" w14:textId="34BC37ED"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59" w:history="1">
            <w:r w:rsidRPr="001A076D">
              <w:rPr>
                <w:rStyle w:val="Hyperlink"/>
                <w:noProof/>
                <w:color w:val="auto"/>
              </w:rPr>
              <w:t>3.5 Instrument Design and Theoretical Alignment</w:t>
            </w:r>
            <w:r w:rsidRPr="001A076D">
              <w:rPr>
                <w:noProof/>
                <w:webHidden/>
              </w:rPr>
              <w:tab/>
            </w:r>
            <w:r w:rsidRPr="001A076D">
              <w:rPr>
                <w:noProof/>
                <w:webHidden/>
              </w:rPr>
              <w:fldChar w:fldCharType="begin"/>
            </w:r>
            <w:r w:rsidRPr="001A076D">
              <w:rPr>
                <w:noProof/>
                <w:webHidden/>
              </w:rPr>
              <w:instrText xml:space="preserve"> PAGEREF _Toc236033359 \h </w:instrText>
            </w:r>
            <w:r w:rsidRPr="001A076D">
              <w:rPr>
                <w:noProof/>
                <w:webHidden/>
              </w:rPr>
            </w:r>
            <w:r w:rsidRPr="001A076D">
              <w:rPr>
                <w:noProof/>
                <w:webHidden/>
              </w:rPr>
              <w:fldChar w:fldCharType="separate"/>
            </w:r>
            <w:r w:rsidRPr="001A076D">
              <w:rPr>
                <w:noProof/>
                <w:webHidden/>
              </w:rPr>
              <w:t>41</w:t>
            </w:r>
            <w:r w:rsidRPr="001A076D">
              <w:rPr>
                <w:noProof/>
                <w:webHidden/>
              </w:rPr>
              <w:fldChar w:fldCharType="end"/>
            </w:r>
          </w:hyperlink>
        </w:p>
        <w:p w14:paraId="38960961" w14:textId="0F0F7F92"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60" w:history="1">
            <w:r w:rsidRPr="001A076D">
              <w:rPr>
                <w:rStyle w:val="Hyperlink"/>
                <w:noProof/>
                <w:color w:val="auto"/>
              </w:rPr>
              <w:t>3.6 Sampling Strategy and Justification</w:t>
            </w:r>
            <w:r w:rsidRPr="001A076D">
              <w:rPr>
                <w:noProof/>
                <w:webHidden/>
              </w:rPr>
              <w:tab/>
            </w:r>
            <w:r w:rsidRPr="001A076D">
              <w:rPr>
                <w:noProof/>
                <w:webHidden/>
              </w:rPr>
              <w:fldChar w:fldCharType="begin"/>
            </w:r>
            <w:r w:rsidRPr="001A076D">
              <w:rPr>
                <w:noProof/>
                <w:webHidden/>
              </w:rPr>
              <w:instrText xml:space="preserve"> PAGEREF _Toc236033360 \h </w:instrText>
            </w:r>
            <w:r w:rsidRPr="001A076D">
              <w:rPr>
                <w:noProof/>
                <w:webHidden/>
              </w:rPr>
            </w:r>
            <w:r w:rsidRPr="001A076D">
              <w:rPr>
                <w:noProof/>
                <w:webHidden/>
              </w:rPr>
              <w:fldChar w:fldCharType="separate"/>
            </w:r>
            <w:r w:rsidRPr="001A076D">
              <w:rPr>
                <w:noProof/>
                <w:webHidden/>
              </w:rPr>
              <w:t>41</w:t>
            </w:r>
            <w:r w:rsidRPr="001A076D">
              <w:rPr>
                <w:noProof/>
                <w:webHidden/>
              </w:rPr>
              <w:fldChar w:fldCharType="end"/>
            </w:r>
          </w:hyperlink>
        </w:p>
        <w:p w14:paraId="6EF2AD18" w14:textId="1D179A51"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61" w:history="1">
            <w:r w:rsidRPr="001A076D">
              <w:rPr>
                <w:rStyle w:val="Hyperlink"/>
                <w:noProof/>
                <w:color w:val="auto"/>
              </w:rPr>
              <w:t>3.7 Data Collection Procedures</w:t>
            </w:r>
            <w:r w:rsidRPr="001A076D">
              <w:rPr>
                <w:noProof/>
                <w:webHidden/>
              </w:rPr>
              <w:tab/>
            </w:r>
            <w:r w:rsidRPr="001A076D">
              <w:rPr>
                <w:noProof/>
                <w:webHidden/>
              </w:rPr>
              <w:fldChar w:fldCharType="begin"/>
            </w:r>
            <w:r w:rsidRPr="001A076D">
              <w:rPr>
                <w:noProof/>
                <w:webHidden/>
              </w:rPr>
              <w:instrText xml:space="preserve"> PAGEREF _Toc236033361 \h </w:instrText>
            </w:r>
            <w:r w:rsidRPr="001A076D">
              <w:rPr>
                <w:noProof/>
                <w:webHidden/>
              </w:rPr>
            </w:r>
            <w:r w:rsidRPr="001A076D">
              <w:rPr>
                <w:noProof/>
                <w:webHidden/>
              </w:rPr>
              <w:fldChar w:fldCharType="separate"/>
            </w:r>
            <w:r w:rsidRPr="001A076D">
              <w:rPr>
                <w:noProof/>
                <w:webHidden/>
              </w:rPr>
              <w:t>42</w:t>
            </w:r>
            <w:r w:rsidRPr="001A076D">
              <w:rPr>
                <w:noProof/>
                <w:webHidden/>
              </w:rPr>
              <w:fldChar w:fldCharType="end"/>
            </w:r>
          </w:hyperlink>
        </w:p>
        <w:p w14:paraId="6EE77045" w14:textId="514F2841"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62" w:history="1">
            <w:r w:rsidRPr="001A076D">
              <w:rPr>
                <w:rStyle w:val="Hyperlink"/>
                <w:noProof/>
                <w:color w:val="auto"/>
              </w:rPr>
              <w:t>3.8 Data Analysis Techniques</w:t>
            </w:r>
            <w:r w:rsidRPr="001A076D">
              <w:rPr>
                <w:noProof/>
                <w:webHidden/>
              </w:rPr>
              <w:tab/>
            </w:r>
            <w:r w:rsidRPr="001A076D">
              <w:rPr>
                <w:noProof/>
                <w:webHidden/>
              </w:rPr>
              <w:fldChar w:fldCharType="begin"/>
            </w:r>
            <w:r w:rsidRPr="001A076D">
              <w:rPr>
                <w:noProof/>
                <w:webHidden/>
              </w:rPr>
              <w:instrText xml:space="preserve"> PAGEREF _Toc236033362 \h </w:instrText>
            </w:r>
            <w:r w:rsidRPr="001A076D">
              <w:rPr>
                <w:noProof/>
                <w:webHidden/>
              </w:rPr>
            </w:r>
            <w:r w:rsidRPr="001A076D">
              <w:rPr>
                <w:noProof/>
                <w:webHidden/>
              </w:rPr>
              <w:fldChar w:fldCharType="separate"/>
            </w:r>
            <w:r w:rsidRPr="001A076D">
              <w:rPr>
                <w:noProof/>
                <w:webHidden/>
              </w:rPr>
              <w:t>43</w:t>
            </w:r>
            <w:r w:rsidRPr="001A076D">
              <w:rPr>
                <w:noProof/>
                <w:webHidden/>
              </w:rPr>
              <w:fldChar w:fldCharType="end"/>
            </w:r>
          </w:hyperlink>
        </w:p>
        <w:p w14:paraId="3FCAFF54" w14:textId="70484A52"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63" w:history="1">
            <w:r w:rsidRPr="001A076D">
              <w:rPr>
                <w:rStyle w:val="Hyperlink"/>
                <w:noProof/>
                <w:color w:val="auto"/>
              </w:rPr>
              <w:t>3.9 Positionality and Reflexivity</w:t>
            </w:r>
            <w:r w:rsidRPr="001A076D">
              <w:rPr>
                <w:noProof/>
                <w:webHidden/>
              </w:rPr>
              <w:tab/>
            </w:r>
            <w:r w:rsidRPr="001A076D">
              <w:rPr>
                <w:noProof/>
                <w:webHidden/>
              </w:rPr>
              <w:fldChar w:fldCharType="begin"/>
            </w:r>
            <w:r w:rsidRPr="001A076D">
              <w:rPr>
                <w:noProof/>
                <w:webHidden/>
              </w:rPr>
              <w:instrText xml:space="preserve"> PAGEREF _Toc236033363 \h </w:instrText>
            </w:r>
            <w:r w:rsidRPr="001A076D">
              <w:rPr>
                <w:noProof/>
                <w:webHidden/>
              </w:rPr>
            </w:r>
            <w:r w:rsidRPr="001A076D">
              <w:rPr>
                <w:noProof/>
                <w:webHidden/>
              </w:rPr>
              <w:fldChar w:fldCharType="separate"/>
            </w:r>
            <w:r w:rsidRPr="001A076D">
              <w:rPr>
                <w:noProof/>
                <w:webHidden/>
              </w:rPr>
              <w:t>43</w:t>
            </w:r>
            <w:r w:rsidRPr="001A076D">
              <w:rPr>
                <w:noProof/>
                <w:webHidden/>
              </w:rPr>
              <w:fldChar w:fldCharType="end"/>
            </w:r>
          </w:hyperlink>
        </w:p>
        <w:p w14:paraId="69B20185" w14:textId="71D03EB1"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64" w:history="1">
            <w:r w:rsidRPr="001A076D">
              <w:rPr>
                <w:rStyle w:val="Hyperlink"/>
                <w:noProof/>
                <w:color w:val="auto"/>
              </w:rPr>
              <w:t>3.10 Validity, Reliability and Trustworthiness</w:t>
            </w:r>
            <w:r w:rsidRPr="001A076D">
              <w:rPr>
                <w:noProof/>
                <w:webHidden/>
              </w:rPr>
              <w:tab/>
            </w:r>
            <w:r w:rsidRPr="001A076D">
              <w:rPr>
                <w:noProof/>
                <w:webHidden/>
              </w:rPr>
              <w:fldChar w:fldCharType="begin"/>
            </w:r>
            <w:r w:rsidRPr="001A076D">
              <w:rPr>
                <w:noProof/>
                <w:webHidden/>
              </w:rPr>
              <w:instrText xml:space="preserve"> PAGEREF _Toc236033364 \h </w:instrText>
            </w:r>
            <w:r w:rsidRPr="001A076D">
              <w:rPr>
                <w:noProof/>
                <w:webHidden/>
              </w:rPr>
            </w:r>
            <w:r w:rsidRPr="001A076D">
              <w:rPr>
                <w:noProof/>
                <w:webHidden/>
              </w:rPr>
              <w:fldChar w:fldCharType="separate"/>
            </w:r>
            <w:r w:rsidRPr="001A076D">
              <w:rPr>
                <w:noProof/>
                <w:webHidden/>
              </w:rPr>
              <w:t>44</w:t>
            </w:r>
            <w:r w:rsidRPr="001A076D">
              <w:rPr>
                <w:noProof/>
                <w:webHidden/>
              </w:rPr>
              <w:fldChar w:fldCharType="end"/>
            </w:r>
          </w:hyperlink>
        </w:p>
        <w:p w14:paraId="6CF13A82" w14:textId="2E42951A"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65" w:history="1">
            <w:r w:rsidRPr="001A076D">
              <w:rPr>
                <w:rStyle w:val="Hyperlink"/>
                <w:noProof/>
                <w:color w:val="auto"/>
              </w:rPr>
              <w:t>3.11 Ethical Considerations</w:t>
            </w:r>
            <w:r w:rsidRPr="001A076D">
              <w:rPr>
                <w:noProof/>
                <w:webHidden/>
              </w:rPr>
              <w:tab/>
            </w:r>
            <w:r w:rsidRPr="001A076D">
              <w:rPr>
                <w:noProof/>
                <w:webHidden/>
              </w:rPr>
              <w:fldChar w:fldCharType="begin"/>
            </w:r>
            <w:r w:rsidRPr="001A076D">
              <w:rPr>
                <w:noProof/>
                <w:webHidden/>
              </w:rPr>
              <w:instrText xml:space="preserve"> PAGEREF _Toc236033365 \h </w:instrText>
            </w:r>
            <w:r w:rsidRPr="001A076D">
              <w:rPr>
                <w:noProof/>
                <w:webHidden/>
              </w:rPr>
            </w:r>
            <w:r w:rsidRPr="001A076D">
              <w:rPr>
                <w:noProof/>
                <w:webHidden/>
              </w:rPr>
              <w:fldChar w:fldCharType="separate"/>
            </w:r>
            <w:r w:rsidRPr="001A076D">
              <w:rPr>
                <w:noProof/>
                <w:webHidden/>
              </w:rPr>
              <w:t>45</w:t>
            </w:r>
            <w:r w:rsidRPr="001A076D">
              <w:rPr>
                <w:noProof/>
                <w:webHidden/>
              </w:rPr>
              <w:fldChar w:fldCharType="end"/>
            </w:r>
          </w:hyperlink>
        </w:p>
        <w:p w14:paraId="7D5E7C58" w14:textId="11C0C2D7"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66" w:history="1">
            <w:r w:rsidRPr="001A076D">
              <w:rPr>
                <w:rStyle w:val="Hyperlink"/>
                <w:noProof/>
                <w:color w:val="auto"/>
              </w:rPr>
              <w:t>3.12 Methodological Limitations</w:t>
            </w:r>
            <w:r w:rsidRPr="001A076D">
              <w:rPr>
                <w:noProof/>
                <w:webHidden/>
              </w:rPr>
              <w:tab/>
            </w:r>
            <w:r w:rsidRPr="001A076D">
              <w:rPr>
                <w:noProof/>
                <w:webHidden/>
              </w:rPr>
              <w:fldChar w:fldCharType="begin"/>
            </w:r>
            <w:r w:rsidRPr="001A076D">
              <w:rPr>
                <w:noProof/>
                <w:webHidden/>
              </w:rPr>
              <w:instrText xml:space="preserve"> PAGEREF _Toc236033366 \h </w:instrText>
            </w:r>
            <w:r w:rsidRPr="001A076D">
              <w:rPr>
                <w:noProof/>
                <w:webHidden/>
              </w:rPr>
            </w:r>
            <w:r w:rsidRPr="001A076D">
              <w:rPr>
                <w:noProof/>
                <w:webHidden/>
              </w:rPr>
              <w:fldChar w:fldCharType="separate"/>
            </w:r>
            <w:r w:rsidRPr="001A076D">
              <w:rPr>
                <w:noProof/>
                <w:webHidden/>
              </w:rPr>
              <w:t>46</w:t>
            </w:r>
            <w:r w:rsidRPr="001A076D">
              <w:rPr>
                <w:noProof/>
                <w:webHidden/>
              </w:rPr>
              <w:fldChar w:fldCharType="end"/>
            </w:r>
          </w:hyperlink>
        </w:p>
        <w:p w14:paraId="2CD52432" w14:textId="25EE1404"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67" w:history="1">
            <w:r w:rsidRPr="001A076D">
              <w:rPr>
                <w:rStyle w:val="Hyperlink"/>
                <w:noProof/>
                <w:color w:val="auto"/>
              </w:rPr>
              <w:t>3.13 Limited Use of AI</w:t>
            </w:r>
            <w:r w:rsidRPr="001A076D">
              <w:rPr>
                <w:noProof/>
                <w:webHidden/>
              </w:rPr>
              <w:tab/>
            </w:r>
            <w:r w:rsidRPr="001A076D">
              <w:rPr>
                <w:noProof/>
                <w:webHidden/>
              </w:rPr>
              <w:fldChar w:fldCharType="begin"/>
            </w:r>
            <w:r w:rsidRPr="001A076D">
              <w:rPr>
                <w:noProof/>
                <w:webHidden/>
              </w:rPr>
              <w:instrText xml:space="preserve"> PAGEREF _Toc236033367 \h </w:instrText>
            </w:r>
            <w:r w:rsidRPr="001A076D">
              <w:rPr>
                <w:noProof/>
                <w:webHidden/>
              </w:rPr>
            </w:r>
            <w:r w:rsidRPr="001A076D">
              <w:rPr>
                <w:noProof/>
                <w:webHidden/>
              </w:rPr>
              <w:fldChar w:fldCharType="separate"/>
            </w:r>
            <w:r w:rsidRPr="001A076D">
              <w:rPr>
                <w:noProof/>
                <w:webHidden/>
              </w:rPr>
              <w:t>46</w:t>
            </w:r>
            <w:r w:rsidRPr="001A076D">
              <w:rPr>
                <w:noProof/>
                <w:webHidden/>
              </w:rPr>
              <w:fldChar w:fldCharType="end"/>
            </w:r>
          </w:hyperlink>
        </w:p>
        <w:p w14:paraId="07DA5F1F" w14:textId="6185E60E"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68" w:history="1">
            <w:r w:rsidRPr="001A076D">
              <w:rPr>
                <w:rStyle w:val="Hyperlink"/>
                <w:noProof/>
                <w:color w:val="auto"/>
              </w:rPr>
              <w:t>3.14 Chapter Summary</w:t>
            </w:r>
            <w:r w:rsidRPr="001A076D">
              <w:rPr>
                <w:noProof/>
                <w:webHidden/>
              </w:rPr>
              <w:tab/>
            </w:r>
            <w:r w:rsidRPr="001A076D">
              <w:rPr>
                <w:noProof/>
                <w:webHidden/>
              </w:rPr>
              <w:fldChar w:fldCharType="begin"/>
            </w:r>
            <w:r w:rsidRPr="001A076D">
              <w:rPr>
                <w:noProof/>
                <w:webHidden/>
              </w:rPr>
              <w:instrText xml:space="preserve"> PAGEREF _Toc236033368 \h </w:instrText>
            </w:r>
            <w:r w:rsidRPr="001A076D">
              <w:rPr>
                <w:noProof/>
                <w:webHidden/>
              </w:rPr>
            </w:r>
            <w:r w:rsidRPr="001A076D">
              <w:rPr>
                <w:noProof/>
                <w:webHidden/>
              </w:rPr>
              <w:fldChar w:fldCharType="separate"/>
            </w:r>
            <w:r w:rsidRPr="001A076D">
              <w:rPr>
                <w:noProof/>
                <w:webHidden/>
              </w:rPr>
              <w:t>47</w:t>
            </w:r>
            <w:r w:rsidRPr="001A076D">
              <w:rPr>
                <w:noProof/>
                <w:webHidden/>
              </w:rPr>
              <w:fldChar w:fldCharType="end"/>
            </w:r>
          </w:hyperlink>
        </w:p>
        <w:p w14:paraId="5F7FCA47" w14:textId="2E20B9C8"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69" w:history="1">
            <w:r w:rsidRPr="001A076D">
              <w:rPr>
                <w:rStyle w:val="Hyperlink"/>
                <w:noProof/>
                <w:color w:val="auto"/>
              </w:rPr>
              <w:t>Chapter 4: Data Analysis and Research Findings</w:t>
            </w:r>
            <w:r w:rsidRPr="001A076D">
              <w:rPr>
                <w:noProof/>
                <w:webHidden/>
              </w:rPr>
              <w:tab/>
            </w:r>
            <w:r w:rsidRPr="001A076D">
              <w:rPr>
                <w:noProof/>
                <w:webHidden/>
              </w:rPr>
              <w:fldChar w:fldCharType="begin"/>
            </w:r>
            <w:r w:rsidRPr="001A076D">
              <w:rPr>
                <w:noProof/>
                <w:webHidden/>
              </w:rPr>
              <w:instrText xml:space="preserve"> PAGEREF _Toc236033369 \h </w:instrText>
            </w:r>
            <w:r w:rsidRPr="001A076D">
              <w:rPr>
                <w:noProof/>
                <w:webHidden/>
              </w:rPr>
            </w:r>
            <w:r w:rsidRPr="001A076D">
              <w:rPr>
                <w:noProof/>
                <w:webHidden/>
              </w:rPr>
              <w:fldChar w:fldCharType="separate"/>
            </w:r>
            <w:r w:rsidRPr="001A076D">
              <w:rPr>
                <w:noProof/>
                <w:webHidden/>
              </w:rPr>
              <w:t>48</w:t>
            </w:r>
            <w:r w:rsidRPr="001A076D">
              <w:rPr>
                <w:noProof/>
                <w:webHidden/>
              </w:rPr>
              <w:fldChar w:fldCharType="end"/>
            </w:r>
          </w:hyperlink>
        </w:p>
        <w:p w14:paraId="447FF177" w14:textId="383531F2"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70" w:history="1">
            <w:r w:rsidRPr="001A076D">
              <w:rPr>
                <w:rStyle w:val="Hyperlink"/>
                <w:noProof/>
                <w:color w:val="auto"/>
              </w:rPr>
              <w:t>4.1 Introduction</w:t>
            </w:r>
            <w:r w:rsidRPr="001A076D">
              <w:rPr>
                <w:noProof/>
                <w:webHidden/>
              </w:rPr>
              <w:tab/>
            </w:r>
            <w:r w:rsidRPr="001A076D">
              <w:rPr>
                <w:noProof/>
                <w:webHidden/>
              </w:rPr>
              <w:fldChar w:fldCharType="begin"/>
            </w:r>
            <w:r w:rsidRPr="001A076D">
              <w:rPr>
                <w:noProof/>
                <w:webHidden/>
              </w:rPr>
              <w:instrText xml:space="preserve"> PAGEREF _Toc236033370 \h </w:instrText>
            </w:r>
            <w:r w:rsidRPr="001A076D">
              <w:rPr>
                <w:noProof/>
                <w:webHidden/>
              </w:rPr>
            </w:r>
            <w:r w:rsidRPr="001A076D">
              <w:rPr>
                <w:noProof/>
                <w:webHidden/>
              </w:rPr>
              <w:fldChar w:fldCharType="separate"/>
            </w:r>
            <w:r w:rsidRPr="001A076D">
              <w:rPr>
                <w:noProof/>
                <w:webHidden/>
              </w:rPr>
              <w:t>48</w:t>
            </w:r>
            <w:r w:rsidRPr="001A076D">
              <w:rPr>
                <w:noProof/>
                <w:webHidden/>
              </w:rPr>
              <w:fldChar w:fldCharType="end"/>
            </w:r>
          </w:hyperlink>
        </w:p>
        <w:p w14:paraId="7B5F3CBE" w14:textId="39404251"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71" w:history="1">
            <w:r w:rsidRPr="001A076D">
              <w:rPr>
                <w:rStyle w:val="Hyperlink"/>
                <w:noProof/>
                <w:color w:val="auto"/>
              </w:rPr>
              <w:t>4.2 Research Objective 1: Predictive Analytics Capability and its Influence on Strategic Embedding (H1)</w:t>
            </w:r>
            <w:r w:rsidRPr="001A076D">
              <w:rPr>
                <w:noProof/>
                <w:webHidden/>
              </w:rPr>
              <w:tab/>
            </w:r>
            <w:r w:rsidRPr="001A076D">
              <w:rPr>
                <w:noProof/>
                <w:webHidden/>
              </w:rPr>
              <w:fldChar w:fldCharType="begin"/>
            </w:r>
            <w:r w:rsidRPr="001A076D">
              <w:rPr>
                <w:noProof/>
                <w:webHidden/>
              </w:rPr>
              <w:instrText xml:space="preserve"> PAGEREF _Toc236033371 \h </w:instrText>
            </w:r>
            <w:r w:rsidRPr="001A076D">
              <w:rPr>
                <w:noProof/>
                <w:webHidden/>
              </w:rPr>
            </w:r>
            <w:r w:rsidRPr="001A076D">
              <w:rPr>
                <w:noProof/>
                <w:webHidden/>
              </w:rPr>
              <w:fldChar w:fldCharType="separate"/>
            </w:r>
            <w:r w:rsidRPr="001A076D">
              <w:rPr>
                <w:noProof/>
                <w:webHidden/>
              </w:rPr>
              <w:t>48</w:t>
            </w:r>
            <w:r w:rsidRPr="001A076D">
              <w:rPr>
                <w:noProof/>
                <w:webHidden/>
              </w:rPr>
              <w:fldChar w:fldCharType="end"/>
            </w:r>
          </w:hyperlink>
        </w:p>
        <w:p w14:paraId="0FAA2F0D" w14:textId="4903D31A"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72" w:history="1">
            <w:r w:rsidRPr="001A076D">
              <w:rPr>
                <w:rStyle w:val="Hyperlink"/>
                <w:b/>
                <w:bCs/>
                <w:noProof/>
                <w:color w:val="auto"/>
              </w:rPr>
              <w:t>4.2.1 Quantitative Findings</w:t>
            </w:r>
            <w:r w:rsidRPr="001A076D">
              <w:rPr>
                <w:noProof/>
                <w:webHidden/>
              </w:rPr>
              <w:tab/>
            </w:r>
            <w:r w:rsidRPr="001A076D">
              <w:rPr>
                <w:noProof/>
                <w:webHidden/>
              </w:rPr>
              <w:fldChar w:fldCharType="begin"/>
            </w:r>
            <w:r w:rsidRPr="001A076D">
              <w:rPr>
                <w:noProof/>
                <w:webHidden/>
              </w:rPr>
              <w:instrText xml:space="preserve"> PAGEREF _Toc236033372 \h </w:instrText>
            </w:r>
            <w:r w:rsidRPr="001A076D">
              <w:rPr>
                <w:noProof/>
                <w:webHidden/>
              </w:rPr>
            </w:r>
            <w:r w:rsidRPr="001A076D">
              <w:rPr>
                <w:noProof/>
                <w:webHidden/>
              </w:rPr>
              <w:fldChar w:fldCharType="separate"/>
            </w:r>
            <w:r w:rsidRPr="001A076D">
              <w:rPr>
                <w:noProof/>
                <w:webHidden/>
              </w:rPr>
              <w:t>48</w:t>
            </w:r>
            <w:r w:rsidRPr="001A076D">
              <w:rPr>
                <w:noProof/>
                <w:webHidden/>
              </w:rPr>
              <w:fldChar w:fldCharType="end"/>
            </w:r>
          </w:hyperlink>
        </w:p>
        <w:p w14:paraId="0EDBBA1A" w14:textId="00828DDE"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73" w:history="1">
            <w:r w:rsidRPr="001A076D">
              <w:rPr>
                <w:rStyle w:val="Hyperlink"/>
                <w:b/>
                <w:bCs/>
                <w:noProof/>
                <w:color w:val="auto"/>
              </w:rPr>
              <w:t>4.2.2 Qualitative Explanation</w:t>
            </w:r>
            <w:r w:rsidRPr="001A076D">
              <w:rPr>
                <w:noProof/>
                <w:webHidden/>
              </w:rPr>
              <w:tab/>
            </w:r>
            <w:r w:rsidRPr="001A076D">
              <w:rPr>
                <w:noProof/>
                <w:webHidden/>
              </w:rPr>
              <w:fldChar w:fldCharType="begin"/>
            </w:r>
            <w:r w:rsidRPr="001A076D">
              <w:rPr>
                <w:noProof/>
                <w:webHidden/>
              </w:rPr>
              <w:instrText xml:space="preserve"> PAGEREF _Toc236033373 \h </w:instrText>
            </w:r>
            <w:r w:rsidRPr="001A076D">
              <w:rPr>
                <w:noProof/>
                <w:webHidden/>
              </w:rPr>
            </w:r>
            <w:r w:rsidRPr="001A076D">
              <w:rPr>
                <w:noProof/>
                <w:webHidden/>
              </w:rPr>
              <w:fldChar w:fldCharType="separate"/>
            </w:r>
            <w:r w:rsidRPr="001A076D">
              <w:rPr>
                <w:noProof/>
                <w:webHidden/>
              </w:rPr>
              <w:t>52</w:t>
            </w:r>
            <w:r w:rsidRPr="001A076D">
              <w:rPr>
                <w:noProof/>
                <w:webHidden/>
              </w:rPr>
              <w:fldChar w:fldCharType="end"/>
            </w:r>
          </w:hyperlink>
        </w:p>
        <w:p w14:paraId="1E7F29A6" w14:textId="497EE6AD"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74" w:history="1">
            <w:r w:rsidRPr="001A076D">
              <w:rPr>
                <w:rStyle w:val="Hyperlink"/>
                <w:b/>
                <w:bCs/>
                <w:noProof/>
                <w:color w:val="auto"/>
              </w:rPr>
              <w:t>4.2.3 Mixed-Method Interpretation</w:t>
            </w:r>
            <w:r w:rsidRPr="001A076D">
              <w:rPr>
                <w:noProof/>
                <w:webHidden/>
              </w:rPr>
              <w:tab/>
            </w:r>
            <w:r w:rsidRPr="001A076D">
              <w:rPr>
                <w:noProof/>
                <w:webHidden/>
              </w:rPr>
              <w:fldChar w:fldCharType="begin"/>
            </w:r>
            <w:r w:rsidRPr="001A076D">
              <w:rPr>
                <w:noProof/>
                <w:webHidden/>
              </w:rPr>
              <w:instrText xml:space="preserve"> PAGEREF _Toc236033374 \h </w:instrText>
            </w:r>
            <w:r w:rsidRPr="001A076D">
              <w:rPr>
                <w:noProof/>
                <w:webHidden/>
              </w:rPr>
            </w:r>
            <w:r w:rsidRPr="001A076D">
              <w:rPr>
                <w:noProof/>
                <w:webHidden/>
              </w:rPr>
              <w:fldChar w:fldCharType="separate"/>
            </w:r>
            <w:r w:rsidRPr="001A076D">
              <w:rPr>
                <w:noProof/>
                <w:webHidden/>
              </w:rPr>
              <w:t>55</w:t>
            </w:r>
            <w:r w:rsidRPr="001A076D">
              <w:rPr>
                <w:noProof/>
                <w:webHidden/>
              </w:rPr>
              <w:fldChar w:fldCharType="end"/>
            </w:r>
          </w:hyperlink>
        </w:p>
        <w:p w14:paraId="0F6D939C" w14:textId="39AE3317"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75" w:history="1">
            <w:r w:rsidRPr="001A076D">
              <w:rPr>
                <w:rStyle w:val="Hyperlink"/>
                <w:noProof/>
                <w:color w:val="auto"/>
              </w:rPr>
              <w:t>4.3 Research Objective 2: Governance Maturity and Organisational Trust in Predictive Analytics (H2)</w:t>
            </w:r>
            <w:r w:rsidRPr="001A076D">
              <w:rPr>
                <w:noProof/>
                <w:webHidden/>
              </w:rPr>
              <w:tab/>
            </w:r>
            <w:r w:rsidRPr="001A076D">
              <w:rPr>
                <w:noProof/>
                <w:webHidden/>
              </w:rPr>
              <w:fldChar w:fldCharType="begin"/>
            </w:r>
            <w:r w:rsidRPr="001A076D">
              <w:rPr>
                <w:noProof/>
                <w:webHidden/>
              </w:rPr>
              <w:instrText xml:space="preserve"> PAGEREF _Toc236033375 \h </w:instrText>
            </w:r>
            <w:r w:rsidRPr="001A076D">
              <w:rPr>
                <w:noProof/>
                <w:webHidden/>
              </w:rPr>
            </w:r>
            <w:r w:rsidRPr="001A076D">
              <w:rPr>
                <w:noProof/>
                <w:webHidden/>
              </w:rPr>
              <w:fldChar w:fldCharType="separate"/>
            </w:r>
            <w:r w:rsidRPr="001A076D">
              <w:rPr>
                <w:noProof/>
                <w:webHidden/>
              </w:rPr>
              <w:t>55</w:t>
            </w:r>
            <w:r w:rsidRPr="001A076D">
              <w:rPr>
                <w:noProof/>
                <w:webHidden/>
              </w:rPr>
              <w:fldChar w:fldCharType="end"/>
            </w:r>
          </w:hyperlink>
        </w:p>
        <w:p w14:paraId="79C47407" w14:textId="4BC68D14"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76" w:history="1">
            <w:r w:rsidRPr="001A076D">
              <w:rPr>
                <w:rStyle w:val="Hyperlink"/>
                <w:b/>
                <w:bCs/>
                <w:noProof/>
                <w:color w:val="auto"/>
              </w:rPr>
              <w:t>4.3.1 Quantitative Findings</w:t>
            </w:r>
            <w:r w:rsidRPr="001A076D">
              <w:rPr>
                <w:noProof/>
                <w:webHidden/>
              </w:rPr>
              <w:tab/>
            </w:r>
            <w:r w:rsidRPr="001A076D">
              <w:rPr>
                <w:noProof/>
                <w:webHidden/>
              </w:rPr>
              <w:fldChar w:fldCharType="begin"/>
            </w:r>
            <w:r w:rsidRPr="001A076D">
              <w:rPr>
                <w:noProof/>
                <w:webHidden/>
              </w:rPr>
              <w:instrText xml:space="preserve"> PAGEREF _Toc236033376 \h </w:instrText>
            </w:r>
            <w:r w:rsidRPr="001A076D">
              <w:rPr>
                <w:noProof/>
                <w:webHidden/>
              </w:rPr>
            </w:r>
            <w:r w:rsidRPr="001A076D">
              <w:rPr>
                <w:noProof/>
                <w:webHidden/>
              </w:rPr>
              <w:fldChar w:fldCharType="separate"/>
            </w:r>
            <w:r w:rsidRPr="001A076D">
              <w:rPr>
                <w:noProof/>
                <w:webHidden/>
              </w:rPr>
              <w:t>56</w:t>
            </w:r>
            <w:r w:rsidRPr="001A076D">
              <w:rPr>
                <w:noProof/>
                <w:webHidden/>
              </w:rPr>
              <w:fldChar w:fldCharType="end"/>
            </w:r>
          </w:hyperlink>
        </w:p>
        <w:p w14:paraId="00A41EC4" w14:textId="14B288B4"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77" w:history="1">
            <w:r w:rsidRPr="001A076D">
              <w:rPr>
                <w:rStyle w:val="Hyperlink"/>
                <w:b/>
                <w:bCs/>
                <w:noProof/>
                <w:color w:val="auto"/>
              </w:rPr>
              <w:t>4.3.2 Qualitative Explanation</w:t>
            </w:r>
            <w:r w:rsidRPr="001A076D">
              <w:rPr>
                <w:noProof/>
                <w:webHidden/>
              </w:rPr>
              <w:tab/>
            </w:r>
            <w:r w:rsidRPr="001A076D">
              <w:rPr>
                <w:noProof/>
                <w:webHidden/>
              </w:rPr>
              <w:fldChar w:fldCharType="begin"/>
            </w:r>
            <w:r w:rsidRPr="001A076D">
              <w:rPr>
                <w:noProof/>
                <w:webHidden/>
              </w:rPr>
              <w:instrText xml:space="preserve"> PAGEREF _Toc236033377 \h </w:instrText>
            </w:r>
            <w:r w:rsidRPr="001A076D">
              <w:rPr>
                <w:noProof/>
                <w:webHidden/>
              </w:rPr>
            </w:r>
            <w:r w:rsidRPr="001A076D">
              <w:rPr>
                <w:noProof/>
                <w:webHidden/>
              </w:rPr>
              <w:fldChar w:fldCharType="separate"/>
            </w:r>
            <w:r w:rsidRPr="001A076D">
              <w:rPr>
                <w:noProof/>
                <w:webHidden/>
              </w:rPr>
              <w:t>56</w:t>
            </w:r>
            <w:r w:rsidRPr="001A076D">
              <w:rPr>
                <w:noProof/>
                <w:webHidden/>
              </w:rPr>
              <w:fldChar w:fldCharType="end"/>
            </w:r>
          </w:hyperlink>
        </w:p>
        <w:p w14:paraId="333D002C" w14:textId="65213E62"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78" w:history="1">
            <w:r w:rsidRPr="001A076D">
              <w:rPr>
                <w:rStyle w:val="Hyperlink"/>
                <w:b/>
                <w:bCs/>
                <w:noProof/>
                <w:color w:val="auto"/>
              </w:rPr>
              <w:t>4.3.3 Mixed-Method Interpretation</w:t>
            </w:r>
            <w:r w:rsidRPr="001A076D">
              <w:rPr>
                <w:noProof/>
                <w:webHidden/>
              </w:rPr>
              <w:tab/>
            </w:r>
            <w:r w:rsidRPr="001A076D">
              <w:rPr>
                <w:noProof/>
                <w:webHidden/>
              </w:rPr>
              <w:fldChar w:fldCharType="begin"/>
            </w:r>
            <w:r w:rsidRPr="001A076D">
              <w:rPr>
                <w:noProof/>
                <w:webHidden/>
              </w:rPr>
              <w:instrText xml:space="preserve"> PAGEREF _Toc236033378 \h </w:instrText>
            </w:r>
            <w:r w:rsidRPr="001A076D">
              <w:rPr>
                <w:noProof/>
                <w:webHidden/>
              </w:rPr>
            </w:r>
            <w:r w:rsidRPr="001A076D">
              <w:rPr>
                <w:noProof/>
                <w:webHidden/>
              </w:rPr>
              <w:fldChar w:fldCharType="separate"/>
            </w:r>
            <w:r w:rsidRPr="001A076D">
              <w:rPr>
                <w:noProof/>
                <w:webHidden/>
              </w:rPr>
              <w:t>57</w:t>
            </w:r>
            <w:r w:rsidRPr="001A076D">
              <w:rPr>
                <w:noProof/>
                <w:webHidden/>
              </w:rPr>
              <w:fldChar w:fldCharType="end"/>
            </w:r>
          </w:hyperlink>
        </w:p>
        <w:p w14:paraId="463C6FF4" w14:textId="42D7BFBC"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79" w:history="1">
            <w:r w:rsidRPr="001A076D">
              <w:rPr>
                <w:rStyle w:val="Hyperlink"/>
                <w:noProof/>
                <w:color w:val="auto"/>
              </w:rPr>
              <w:t>4.4 Research Objective 3: Trust &amp; Explainability as Predictors of Strategic Embedding (H3)</w:t>
            </w:r>
            <w:r w:rsidRPr="001A076D">
              <w:rPr>
                <w:noProof/>
                <w:webHidden/>
              </w:rPr>
              <w:tab/>
            </w:r>
            <w:r w:rsidRPr="001A076D">
              <w:rPr>
                <w:noProof/>
                <w:webHidden/>
              </w:rPr>
              <w:fldChar w:fldCharType="begin"/>
            </w:r>
            <w:r w:rsidRPr="001A076D">
              <w:rPr>
                <w:noProof/>
                <w:webHidden/>
              </w:rPr>
              <w:instrText xml:space="preserve"> PAGEREF _Toc236033379 \h </w:instrText>
            </w:r>
            <w:r w:rsidRPr="001A076D">
              <w:rPr>
                <w:noProof/>
                <w:webHidden/>
              </w:rPr>
            </w:r>
            <w:r w:rsidRPr="001A076D">
              <w:rPr>
                <w:noProof/>
                <w:webHidden/>
              </w:rPr>
              <w:fldChar w:fldCharType="separate"/>
            </w:r>
            <w:r w:rsidRPr="001A076D">
              <w:rPr>
                <w:noProof/>
                <w:webHidden/>
              </w:rPr>
              <w:t>58</w:t>
            </w:r>
            <w:r w:rsidRPr="001A076D">
              <w:rPr>
                <w:noProof/>
                <w:webHidden/>
              </w:rPr>
              <w:fldChar w:fldCharType="end"/>
            </w:r>
          </w:hyperlink>
        </w:p>
        <w:p w14:paraId="179FAC10" w14:textId="5325C252"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80" w:history="1">
            <w:r w:rsidRPr="001A076D">
              <w:rPr>
                <w:rStyle w:val="Hyperlink"/>
                <w:b/>
                <w:bCs/>
                <w:noProof/>
                <w:color w:val="auto"/>
              </w:rPr>
              <w:t>4.4.1 Quantitative Findings</w:t>
            </w:r>
            <w:r w:rsidRPr="001A076D">
              <w:rPr>
                <w:noProof/>
                <w:webHidden/>
              </w:rPr>
              <w:tab/>
            </w:r>
            <w:r w:rsidRPr="001A076D">
              <w:rPr>
                <w:noProof/>
                <w:webHidden/>
              </w:rPr>
              <w:fldChar w:fldCharType="begin"/>
            </w:r>
            <w:r w:rsidRPr="001A076D">
              <w:rPr>
                <w:noProof/>
                <w:webHidden/>
              </w:rPr>
              <w:instrText xml:space="preserve"> PAGEREF _Toc236033380 \h </w:instrText>
            </w:r>
            <w:r w:rsidRPr="001A076D">
              <w:rPr>
                <w:noProof/>
                <w:webHidden/>
              </w:rPr>
            </w:r>
            <w:r w:rsidRPr="001A076D">
              <w:rPr>
                <w:noProof/>
                <w:webHidden/>
              </w:rPr>
              <w:fldChar w:fldCharType="separate"/>
            </w:r>
            <w:r w:rsidRPr="001A076D">
              <w:rPr>
                <w:noProof/>
                <w:webHidden/>
              </w:rPr>
              <w:t>58</w:t>
            </w:r>
            <w:r w:rsidRPr="001A076D">
              <w:rPr>
                <w:noProof/>
                <w:webHidden/>
              </w:rPr>
              <w:fldChar w:fldCharType="end"/>
            </w:r>
          </w:hyperlink>
        </w:p>
        <w:p w14:paraId="63989776" w14:textId="13CB4D03"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81" w:history="1">
            <w:r w:rsidRPr="001A076D">
              <w:rPr>
                <w:rStyle w:val="Hyperlink"/>
                <w:b/>
                <w:bCs/>
                <w:noProof/>
                <w:color w:val="auto"/>
              </w:rPr>
              <w:t>4.4.2 Qualitative Explanation</w:t>
            </w:r>
            <w:r w:rsidRPr="001A076D">
              <w:rPr>
                <w:noProof/>
                <w:webHidden/>
              </w:rPr>
              <w:tab/>
            </w:r>
            <w:r w:rsidRPr="001A076D">
              <w:rPr>
                <w:noProof/>
                <w:webHidden/>
              </w:rPr>
              <w:fldChar w:fldCharType="begin"/>
            </w:r>
            <w:r w:rsidRPr="001A076D">
              <w:rPr>
                <w:noProof/>
                <w:webHidden/>
              </w:rPr>
              <w:instrText xml:space="preserve"> PAGEREF _Toc236033381 \h </w:instrText>
            </w:r>
            <w:r w:rsidRPr="001A076D">
              <w:rPr>
                <w:noProof/>
                <w:webHidden/>
              </w:rPr>
            </w:r>
            <w:r w:rsidRPr="001A076D">
              <w:rPr>
                <w:noProof/>
                <w:webHidden/>
              </w:rPr>
              <w:fldChar w:fldCharType="separate"/>
            </w:r>
            <w:r w:rsidRPr="001A076D">
              <w:rPr>
                <w:noProof/>
                <w:webHidden/>
              </w:rPr>
              <w:t>58</w:t>
            </w:r>
            <w:r w:rsidRPr="001A076D">
              <w:rPr>
                <w:noProof/>
                <w:webHidden/>
              </w:rPr>
              <w:fldChar w:fldCharType="end"/>
            </w:r>
          </w:hyperlink>
        </w:p>
        <w:p w14:paraId="6FF765CD" w14:textId="76F1DBC3"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82" w:history="1">
            <w:r w:rsidRPr="001A076D">
              <w:rPr>
                <w:rStyle w:val="Hyperlink"/>
                <w:b/>
                <w:bCs/>
                <w:noProof/>
                <w:color w:val="auto"/>
              </w:rPr>
              <w:t>4.4.3 Mixed-Method Interpretation</w:t>
            </w:r>
            <w:r w:rsidRPr="001A076D">
              <w:rPr>
                <w:noProof/>
                <w:webHidden/>
              </w:rPr>
              <w:tab/>
            </w:r>
            <w:r w:rsidRPr="001A076D">
              <w:rPr>
                <w:noProof/>
                <w:webHidden/>
              </w:rPr>
              <w:fldChar w:fldCharType="begin"/>
            </w:r>
            <w:r w:rsidRPr="001A076D">
              <w:rPr>
                <w:noProof/>
                <w:webHidden/>
              </w:rPr>
              <w:instrText xml:space="preserve"> PAGEREF _Toc236033382 \h </w:instrText>
            </w:r>
            <w:r w:rsidRPr="001A076D">
              <w:rPr>
                <w:noProof/>
                <w:webHidden/>
              </w:rPr>
            </w:r>
            <w:r w:rsidRPr="001A076D">
              <w:rPr>
                <w:noProof/>
                <w:webHidden/>
              </w:rPr>
              <w:fldChar w:fldCharType="separate"/>
            </w:r>
            <w:r w:rsidRPr="001A076D">
              <w:rPr>
                <w:noProof/>
                <w:webHidden/>
              </w:rPr>
              <w:t>59</w:t>
            </w:r>
            <w:r w:rsidRPr="001A076D">
              <w:rPr>
                <w:noProof/>
                <w:webHidden/>
              </w:rPr>
              <w:fldChar w:fldCharType="end"/>
            </w:r>
          </w:hyperlink>
        </w:p>
        <w:p w14:paraId="010964CF" w14:textId="116A0E0B"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83" w:history="1">
            <w:r w:rsidRPr="001A076D">
              <w:rPr>
                <w:rStyle w:val="Hyperlink"/>
                <w:noProof/>
                <w:color w:val="auto"/>
              </w:rPr>
              <w:t>4.5 Research Objective 4: Organisational Readiness and the Strategic Embedding of Predictive Analytics (H4)</w:t>
            </w:r>
            <w:r w:rsidRPr="001A076D">
              <w:rPr>
                <w:noProof/>
                <w:webHidden/>
              </w:rPr>
              <w:tab/>
            </w:r>
            <w:r w:rsidRPr="001A076D">
              <w:rPr>
                <w:noProof/>
                <w:webHidden/>
              </w:rPr>
              <w:fldChar w:fldCharType="begin"/>
            </w:r>
            <w:r w:rsidRPr="001A076D">
              <w:rPr>
                <w:noProof/>
                <w:webHidden/>
              </w:rPr>
              <w:instrText xml:space="preserve"> PAGEREF _Toc236033383 \h </w:instrText>
            </w:r>
            <w:r w:rsidRPr="001A076D">
              <w:rPr>
                <w:noProof/>
                <w:webHidden/>
              </w:rPr>
            </w:r>
            <w:r w:rsidRPr="001A076D">
              <w:rPr>
                <w:noProof/>
                <w:webHidden/>
              </w:rPr>
              <w:fldChar w:fldCharType="separate"/>
            </w:r>
            <w:r w:rsidRPr="001A076D">
              <w:rPr>
                <w:noProof/>
                <w:webHidden/>
              </w:rPr>
              <w:t>60</w:t>
            </w:r>
            <w:r w:rsidRPr="001A076D">
              <w:rPr>
                <w:noProof/>
                <w:webHidden/>
              </w:rPr>
              <w:fldChar w:fldCharType="end"/>
            </w:r>
          </w:hyperlink>
        </w:p>
        <w:p w14:paraId="606D0BED" w14:textId="7EC0FD1D"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84" w:history="1">
            <w:r w:rsidRPr="001A076D">
              <w:rPr>
                <w:rStyle w:val="Hyperlink"/>
                <w:b/>
                <w:bCs/>
                <w:noProof/>
                <w:color w:val="auto"/>
              </w:rPr>
              <w:t>4.5.1 Quantitative Findings</w:t>
            </w:r>
            <w:r w:rsidRPr="001A076D">
              <w:rPr>
                <w:noProof/>
                <w:webHidden/>
              </w:rPr>
              <w:tab/>
            </w:r>
            <w:r w:rsidRPr="001A076D">
              <w:rPr>
                <w:noProof/>
                <w:webHidden/>
              </w:rPr>
              <w:fldChar w:fldCharType="begin"/>
            </w:r>
            <w:r w:rsidRPr="001A076D">
              <w:rPr>
                <w:noProof/>
                <w:webHidden/>
              </w:rPr>
              <w:instrText xml:space="preserve"> PAGEREF _Toc236033384 \h </w:instrText>
            </w:r>
            <w:r w:rsidRPr="001A076D">
              <w:rPr>
                <w:noProof/>
                <w:webHidden/>
              </w:rPr>
            </w:r>
            <w:r w:rsidRPr="001A076D">
              <w:rPr>
                <w:noProof/>
                <w:webHidden/>
              </w:rPr>
              <w:fldChar w:fldCharType="separate"/>
            </w:r>
            <w:r w:rsidRPr="001A076D">
              <w:rPr>
                <w:noProof/>
                <w:webHidden/>
              </w:rPr>
              <w:t>60</w:t>
            </w:r>
            <w:r w:rsidRPr="001A076D">
              <w:rPr>
                <w:noProof/>
                <w:webHidden/>
              </w:rPr>
              <w:fldChar w:fldCharType="end"/>
            </w:r>
          </w:hyperlink>
        </w:p>
        <w:p w14:paraId="526F5BD0" w14:textId="43FE820D"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85" w:history="1">
            <w:r w:rsidRPr="001A076D">
              <w:rPr>
                <w:rStyle w:val="Hyperlink"/>
                <w:b/>
                <w:bCs/>
                <w:noProof/>
                <w:color w:val="auto"/>
              </w:rPr>
              <w:t>4.5.2 Qualitative Explanation</w:t>
            </w:r>
            <w:r w:rsidRPr="001A076D">
              <w:rPr>
                <w:noProof/>
                <w:webHidden/>
              </w:rPr>
              <w:tab/>
            </w:r>
            <w:r w:rsidRPr="001A076D">
              <w:rPr>
                <w:noProof/>
                <w:webHidden/>
              </w:rPr>
              <w:fldChar w:fldCharType="begin"/>
            </w:r>
            <w:r w:rsidRPr="001A076D">
              <w:rPr>
                <w:noProof/>
                <w:webHidden/>
              </w:rPr>
              <w:instrText xml:space="preserve"> PAGEREF _Toc236033385 \h </w:instrText>
            </w:r>
            <w:r w:rsidRPr="001A076D">
              <w:rPr>
                <w:noProof/>
                <w:webHidden/>
              </w:rPr>
            </w:r>
            <w:r w:rsidRPr="001A076D">
              <w:rPr>
                <w:noProof/>
                <w:webHidden/>
              </w:rPr>
              <w:fldChar w:fldCharType="separate"/>
            </w:r>
            <w:r w:rsidRPr="001A076D">
              <w:rPr>
                <w:noProof/>
                <w:webHidden/>
              </w:rPr>
              <w:t>61</w:t>
            </w:r>
            <w:r w:rsidRPr="001A076D">
              <w:rPr>
                <w:noProof/>
                <w:webHidden/>
              </w:rPr>
              <w:fldChar w:fldCharType="end"/>
            </w:r>
          </w:hyperlink>
        </w:p>
        <w:p w14:paraId="15222244" w14:textId="698CE8FD"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86" w:history="1">
            <w:r w:rsidRPr="001A076D">
              <w:rPr>
                <w:rStyle w:val="Hyperlink"/>
                <w:b/>
                <w:bCs/>
                <w:noProof/>
                <w:color w:val="auto"/>
              </w:rPr>
              <w:t>4.5.3 Mixed-Method Interpretation</w:t>
            </w:r>
            <w:r w:rsidRPr="001A076D">
              <w:rPr>
                <w:noProof/>
                <w:webHidden/>
              </w:rPr>
              <w:tab/>
            </w:r>
            <w:r w:rsidRPr="001A076D">
              <w:rPr>
                <w:noProof/>
                <w:webHidden/>
              </w:rPr>
              <w:fldChar w:fldCharType="begin"/>
            </w:r>
            <w:r w:rsidRPr="001A076D">
              <w:rPr>
                <w:noProof/>
                <w:webHidden/>
              </w:rPr>
              <w:instrText xml:space="preserve"> PAGEREF _Toc236033386 \h </w:instrText>
            </w:r>
            <w:r w:rsidRPr="001A076D">
              <w:rPr>
                <w:noProof/>
                <w:webHidden/>
              </w:rPr>
            </w:r>
            <w:r w:rsidRPr="001A076D">
              <w:rPr>
                <w:noProof/>
                <w:webHidden/>
              </w:rPr>
              <w:fldChar w:fldCharType="separate"/>
            </w:r>
            <w:r w:rsidRPr="001A076D">
              <w:rPr>
                <w:noProof/>
                <w:webHidden/>
              </w:rPr>
              <w:t>62</w:t>
            </w:r>
            <w:r w:rsidRPr="001A076D">
              <w:rPr>
                <w:noProof/>
                <w:webHidden/>
              </w:rPr>
              <w:fldChar w:fldCharType="end"/>
            </w:r>
          </w:hyperlink>
        </w:p>
        <w:p w14:paraId="59894D2A" w14:textId="09647DA7"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87" w:history="1">
            <w:r w:rsidRPr="001A076D">
              <w:rPr>
                <w:rStyle w:val="Hyperlink"/>
                <w:noProof/>
                <w:color w:val="auto"/>
              </w:rPr>
              <w:t>4.6 Emerging Organisational Insights</w:t>
            </w:r>
            <w:r w:rsidRPr="001A076D">
              <w:rPr>
                <w:noProof/>
                <w:webHidden/>
              </w:rPr>
              <w:tab/>
            </w:r>
            <w:r w:rsidRPr="001A076D">
              <w:rPr>
                <w:noProof/>
                <w:webHidden/>
              </w:rPr>
              <w:fldChar w:fldCharType="begin"/>
            </w:r>
            <w:r w:rsidRPr="001A076D">
              <w:rPr>
                <w:noProof/>
                <w:webHidden/>
              </w:rPr>
              <w:instrText xml:space="preserve"> PAGEREF _Toc236033387 \h </w:instrText>
            </w:r>
            <w:r w:rsidRPr="001A076D">
              <w:rPr>
                <w:noProof/>
                <w:webHidden/>
              </w:rPr>
            </w:r>
            <w:r w:rsidRPr="001A076D">
              <w:rPr>
                <w:noProof/>
                <w:webHidden/>
              </w:rPr>
              <w:fldChar w:fldCharType="separate"/>
            </w:r>
            <w:r w:rsidRPr="001A076D">
              <w:rPr>
                <w:noProof/>
                <w:webHidden/>
              </w:rPr>
              <w:t>62</w:t>
            </w:r>
            <w:r w:rsidRPr="001A076D">
              <w:rPr>
                <w:noProof/>
                <w:webHidden/>
              </w:rPr>
              <w:fldChar w:fldCharType="end"/>
            </w:r>
          </w:hyperlink>
        </w:p>
        <w:p w14:paraId="03622286" w14:textId="6397FF5D"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88" w:history="1">
            <w:r w:rsidRPr="001A076D">
              <w:rPr>
                <w:rStyle w:val="Hyperlink"/>
                <w:noProof/>
                <w:color w:val="auto"/>
              </w:rPr>
              <w:t>4.7 Chapter Summary</w:t>
            </w:r>
            <w:r w:rsidRPr="001A076D">
              <w:rPr>
                <w:noProof/>
                <w:webHidden/>
              </w:rPr>
              <w:tab/>
            </w:r>
            <w:r w:rsidRPr="001A076D">
              <w:rPr>
                <w:noProof/>
                <w:webHidden/>
              </w:rPr>
              <w:fldChar w:fldCharType="begin"/>
            </w:r>
            <w:r w:rsidRPr="001A076D">
              <w:rPr>
                <w:noProof/>
                <w:webHidden/>
              </w:rPr>
              <w:instrText xml:space="preserve"> PAGEREF _Toc236033388 \h </w:instrText>
            </w:r>
            <w:r w:rsidRPr="001A076D">
              <w:rPr>
                <w:noProof/>
                <w:webHidden/>
              </w:rPr>
            </w:r>
            <w:r w:rsidRPr="001A076D">
              <w:rPr>
                <w:noProof/>
                <w:webHidden/>
              </w:rPr>
              <w:fldChar w:fldCharType="separate"/>
            </w:r>
            <w:r w:rsidRPr="001A076D">
              <w:rPr>
                <w:noProof/>
                <w:webHidden/>
              </w:rPr>
              <w:t>63</w:t>
            </w:r>
            <w:r w:rsidRPr="001A076D">
              <w:rPr>
                <w:noProof/>
                <w:webHidden/>
              </w:rPr>
              <w:fldChar w:fldCharType="end"/>
            </w:r>
          </w:hyperlink>
        </w:p>
        <w:p w14:paraId="66D30F1F" w14:textId="1A3E718E"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389" w:history="1">
            <w:r w:rsidRPr="001A076D">
              <w:rPr>
                <w:rStyle w:val="Hyperlink"/>
                <w:noProof/>
                <w:color w:val="auto"/>
              </w:rPr>
              <w:t>Chapter 5: Discussion, Conclusions and Recommendations</w:t>
            </w:r>
            <w:r w:rsidRPr="001A076D">
              <w:rPr>
                <w:noProof/>
                <w:webHidden/>
              </w:rPr>
              <w:tab/>
            </w:r>
            <w:r w:rsidRPr="001A076D">
              <w:rPr>
                <w:noProof/>
                <w:webHidden/>
              </w:rPr>
              <w:fldChar w:fldCharType="begin"/>
            </w:r>
            <w:r w:rsidRPr="001A076D">
              <w:rPr>
                <w:noProof/>
                <w:webHidden/>
              </w:rPr>
              <w:instrText xml:space="preserve"> PAGEREF _Toc236033389 \h </w:instrText>
            </w:r>
            <w:r w:rsidRPr="001A076D">
              <w:rPr>
                <w:noProof/>
                <w:webHidden/>
              </w:rPr>
            </w:r>
            <w:r w:rsidRPr="001A076D">
              <w:rPr>
                <w:noProof/>
                <w:webHidden/>
              </w:rPr>
              <w:fldChar w:fldCharType="separate"/>
            </w:r>
            <w:r w:rsidRPr="001A076D">
              <w:rPr>
                <w:noProof/>
                <w:webHidden/>
              </w:rPr>
              <w:t>64</w:t>
            </w:r>
            <w:r w:rsidRPr="001A076D">
              <w:rPr>
                <w:noProof/>
                <w:webHidden/>
              </w:rPr>
              <w:fldChar w:fldCharType="end"/>
            </w:r>
          </w:hyperlink>
        </w:p>
        <w:p w14:paraId="49F80B0D" w14:textId="080E3D9B"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90" w:history="1">
            <w:r w:rsidRPr="001A076D">
              <w:rPr>
                <w:rStyle w:val="Hyperlink"/>
                <w:noProof/>
                <w:color w:val="auto"/>
              </w:rPr>
              <w:t>5.1 Introduction</w:t>
            </w:r>
            <w:r w:rsidRPr="001A076D">
              <w:rPr>
                <w:noProof/>
                <w:webHidden/>
              </w:rPr>
              <w:tab/>
            </w:r>
            <w:r w:rsidRPr="001A076D">
              <w:rPr>
                <w:noProof/>
                <w:webHidden/>
              </w:rPr>
              <w:fldChar w:fldCharType="begin"/>
            </w:r>
            <w:r w:rsidRPr="001A076D">
              <w:rPr>
                <w:noProof/>
                <w:webHidden/>
              </w:rPr>
              <w:instrText xml:space="preserve"> PAGEREF _Toc236033390 \h </w:instrText>
            </w:r>
            <w:r w:rsidRPr="001A076D">
              <w:rPr>
                <w:noProof/>
                <w:webHidden/>
              </w:rPr>
            </w:r>
            <w:r w:rsidRPr="001A076D">
              <w:rPr>
                <w:noProof/>
                <w:webHidden/>
              </w:rPr>
              <w:fldChar w:fldCharType="separate"/>
            </w:r>
            <w:r w:rsidRPr="001A076D">
              <w:rPr>
                <w:noProof/>
                <w:webHidden/>
              </w:rPr>
              <w:t>64</w:t>
            </w:r>
            <w:r w:rsidRPr="001A076D">
              <w:rPr>
                <w:noProof/>
                <w:webHidden/>
              </w:rPr>
              <w:fldChar w:fldCharType="end"/>
            </w:r>
          </w:hyperlink>
        </w:p>
        <w:p w14:paraId="4BCCD60D" w14:textId="24B6F90A"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91" w:history="1">
            <w:r w:rsidRPr="001A076D">
              <w:rPr>
                <w:rStyle w:val="Hyperlink"/>
                <w:noProof/>
                <w:color w:val="auto"/>
              </w:rPr>
              <w:t>5.2 Discussion of the Integrated Findings</w:t>
            </w:r>
            <w:r w:rsidRPr="001A076D">
              <w:rPr>
                <w:noProof/>
                <w:webHidden/>
              </w:rPr>
              <w:tab/>
            </w:r>
            <w:r w:rsidRPr="001A076D">
              <w:rPr>
                <w:noProof/>
                <w:webHidden/>
              </w:rPr>
              <w:fldChar w:fldCharType="begin"/>
            </w:r>
            <w:r w:rsidRPr="001A076D">
              <w:rPr>
                <w:noProof/>
                <w:webHidden/>
              </w:rPr>
              <w:instrText xml:space="preserve"> PAGEREF _Toc236033391 \h </w:instrText>
            </w:r>
            <w:r w:rsidRPr="001A076D">
              <w:rPr>
                <w:noProof/>
                <w:webHidden/>
              </w:rPr>
            </w:r>
            <w:r w:rsidRPr="001A076D">
              <w:rPr>
                <w:noProof/>
                <w:webHidden/>
              </w:rPr>
              <w:fldChar w:fldCharType="separate"/>
            </w:r>
            <w:r w:rsidRPr="001A076D">
              <w:rPr>
                <w:noProof/>
                <w:webHidden/>
              </w:rPr>
              <w:t>64</w:t>
            </w:r>
            <w:r w:rsidRPr="001A076D">
              <w:rPr>
                <w:noProof/>
                <w:webHidden/>
              </w:rPr>
              <w:fldChar w:fldCharType="end"/>
            </w:r>
          </w:hyperlink>
        </w:p>
        <w:p w14:paraId="0C3C92E2" w14:textId="3EA2A54E"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92" w:history="1">
            <w:r w:rsidRPr="001A076D">
              <w:rPr>
                <w:rStyle w:val="Hyperlink"/>
                <w:b/>
                <w:bCs/>
                <w:noProof/>
                <w:color w:val="auto"/>
              </w:rPr>
              <w:t>5.2.1 Predictive Analytics Capability and Strategic Decision-Making</w:t>
            </w:r>
            <w:r w:rsidRPr="001A076D">
              <w:rPr>
                <w:noProof/>
                <w:webHidden/>
              </w:rPr>
              <w:tab/>
            </w:r>
            <w:r w:rsidRPr="001A076D">
              <w:rPr>
                <w:noProof/>
                <w:webHidden/>
              </w:rPr>
              <w:fldChar w:fldCharType="begin"/>
            </w:r>
            <w:r w:rsidRPr="001A076D">
              <w:rPr>
                <w:noProof/>
                <w:webHidden/>
              </w:rPr>
              <w:instrText xml:space="preserve"> PAGEREF _Toc236033392 \h </w:instrText>
            </w:r>
            <w:r w:rsidRPr="001A076D">
              <w:rPr>
                <w:noProof/>
                <w:webHidden/>
              </w:rPr>
            </w:r>
            <w:r w:rsidRPr="001A076D">
              <w:rPr>
                <w:noProof/>
                <w:webHidden/>
              </w:rPr>
              <w:fldChar w:fldCharType="separate"/>
            </w:r>
            <w:r w:rsidRPr="001A076D">
              <w:rPr>
                <w:noProof/>
                <w:webHidden/>
              </w:rPr>
              <w:t>64</w:t>
            </w:r>
            <w:r w:rsidRPr="001A076D">
              <w:rPr>
                <w:noProof/>
                <w:webHidden/>
              </w:rPr>
              <w:fldChar w:fldCharType="end"/>
            </w:r>
          </w:hyperlink>
        </w:p>
        <w:p w14:paraId="0ADB99A2" w14:textId="73DBC092"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93" w:history="1">
            <w:r w:rsidRPr="001A076D">
              <w:rPr>
                <w:rStyle w:val="Hyperlink"/>
                <w:b/>
                <w:bCs/>
                <w:noProof/>
                <w:color w:val="auto"/>
              </w:rPr>
              <w:t>5.2.2 Governance Maturity and Strategic Embedding</w:t>
            </w:r>
            <w:r w:rsidRPr="001A076D">
              <w:rPr>
                <w:noProof/>
                <w:webHidden/>
              </w:rPr>
              <w:tab/>
            </w:r>
            <w:r w:rsidRPr="001A076D">
              <w:rPr>
                <w:noProof/>
                <w:webHidden/>
              </w:rPr>
              <w:fldChar w:fldCharType="begin"/>
            </w:r>
            <w:r w:rsidRPr="001A076D">
              <w:rPr>
                <w:noProof/>
                <w:webHidden/>
              </w:rPr>
              <w:instrText xml:space="preserve"> PAGEREF _Toc236033393 \h </w:instrText>
            </w:r>
            <w:r w:rsidRPr="001A076D">
              <w:rPr>
                <w:noProof/>
                <w:webHidden/>
              </w:rPr>
            </w:r>
            <w:r w:rsidRPr="001A076D">
              <w:rPr>
                <w:noProof/>
                <w:webHidden/>
              </w:rPr>
              <w:fldChar w:fldCharType="separate"/>
            </w:r>
            <w:r w:rsidRPr="001A076D">
              <w:rPr>
                <w:noProof/>
                <w:webHidden/>
              </w:rPr>
              <w:t>65</w:t>
            </w:r>
            <w:r w:rsidRPr="001A076D">
              <w:rPr>
                <w:noProof/>
                <w:webHidden/>
              </w:rPr>
              <w:fldChar w:fldCharType="end"/>
            </w:r>
          </w:hyperlink>
        </w:p>
        <w:p w14:paraId="25A191CD" w14:textId="144A1483"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94" w:history="1">
            <w:r w:rsidRPr="001A076D">
              <w:rPr>
                <w:rStyle w:val="Hyperlink"/>
                <w:b/>
                <w:bCs/>
                <w:noProof/>
                <w:color w:val="auto"/>
              </w:rPr>
              <w:t>5.2.3 Trust and Explainability in Strategic Decision-Making</w:t>
            </w:r>
            <w:r w:rsidRPr="001A076D">
              <w:rPr>
                <w:noProof/>
                <w:webHidden/>
              </w:rPr>
              <w:tab/>
            </w:r>
            <w:r w:rsidRPr="001A076D">
              <w:rPr>
                <w:noProof/>
                <w:webHidden/>
              </w:rPr>
              <w:fldChar w:fldCharType="begin"/>
            </w:r>
            <w:r w:rsidRPr="001A076D">
              <w:rPr>
                <w:noProof/>
                <w:webHidden/>
              </w:rPr>
              <w:instrText xml:space="preserve"> PAGEREF _Toc236033394 \h </w:instrText>
            </w:r>
            <w:r w:rsidRPr="001A076D">
              <w:rPr>
                <w:noProof/>
                <w:webHidden/>
              </w:rPr>
            </w:r>
            <w:r w:rsidRPr="001A076D">
              <w:rPr>
                <w:noProof/>
                <w:webHidden/>
              </w:rPr>
              <w:fldChar w:fldCharType="separate"/>
            </w:r>
            <w:r w:rsidRPr="001A076D">
              <w:rPr>
                <w:noProof/>
                <w:webHidden/>
              </w:rPr>
              <w:t>66</w:t>
            </w:r>
            <w:r w:rsidRPr="001A076D">
              <w:rPr>
                <w:noProof/>
                <w:webHidden/>
              </w:rPr>
              <w:fldChar w:fldCharType="end"/>
            </w:r>
          </w:hyperlink>
        </w:p>
        <w:p w14:paraId="426336EB" w14:textId="505F300F" w:rsidR="002A4631" w:rsidRPr="001A076D" w:rsidRDefault="002A4631" w:rsidP="002A4631">
          <w:pPr>
            <w:pStyle w:val="TOC3"/>
            <w:tabs>
              <w:tab w:val="right" w:leader="dot" w:pos="9442"/>
            </w:tabs>
            <w:spacing w:line="360" w:lineRule="auto"/>
            <w:rPr>
              <w:rFonts w:eastAsiaTheme="minorEastAsia"/>
              <w:noProof/>
              <w:kern w:val="2"/>
              <w:sz w:val="24"/>
              <w:szCs w:val="24"/>
              <w14:ligatures w14:val="standardContextual"/>
            </w:rPr>
          </w:pPr>
          <w:hyperlink w:anchor="_Toc236033395" w:history="1">
            <w:r w:rsidRPr="001A076D">
              <w:rPr>
                <w:rStyle w:val="Hyperlink"/>
                <w:b/>
                <w:bCs/>
                <w:noProof/>
                <w:color w:val="auto"/>
              </w:rPr>
              <w:t>5.2.4 Organisational Readiness and Sustainable Adoption</w:t>
            </w:r>
            <w:r w:rsidRPr="001A076D">
              <w:rPr>
                <w:noProof/>
                <w:webHidden/>
              </w:rPr>
              <w:tab/>
            </w:r>
            <w:r w:rsidRPr="001A076D">
              <w:rPr>
                <w:noProof/>
                <w:webHidden/>
              </w:rPr>
              <w:fldChar w:fldCharType="begin"/>
            </w:r>
            <w:r w:rsidRPr="001A076D">
              <w:rPr>
                <w:noProof/>
                <w:webHidden/>
              </w:rPr>
              <w:instrText xml:space="preserve"> PAGEREF _Toc236033395 \h </w:instrText>
            </w:r>
            <w:r w:rsidRPr="001A076D">
              <w:rPr>
                <w:noProof/>
                <w:webHidden/>
              </w:rPr>
            </w:r>
            <w:r w:rsidRPr="001A076D">
              <w:rPr>
                <w:noProof/>
                <w:webHidden/>
              </w:rPr>
              <w:fldChar w:fldCharType="separate"/>
            </w:r>
            <w:r w:rsidRPr="001A076D">
              <w:rPr>
                <w:noProof/>
                <w:webHidden/>
              </w:rPr>
              <w:t>66</w:t>
            </w:r>
            <w:r w:rsidRPr="001A076D">
              <w:rPr>
                <w:noProof/>
                <w:webHidden/>
              </w:rPr>
              <w:fldChar w:fldCharType="end"/>
            </w:r>
          </w:hyperlink>
        </w:p>
        <w:p w14:paraId="733EC037" w14:textId="5F00A758"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96" w:history="1">
            <w:r w:rsidRPr="001A076D">
              <w:rPr>
                <w:rStyle w:val="Hyperlink"/>
                <w:noProof/>
                <w:color w:val="auto"/>
              </w:rPr>
              <w:t>5.3 Contribution to Knowledge</w:t>
            </w:r>
            <w:r w:rsidRPr="001A076D">
              <w:rPr>
                <w:noProof/>
                <w:webHidden/>
              </w:rPr>
              <w:tab/>
            </w:r>
            <w:r w:rsidRPr="001A076D">
              <w:rPr>
                <w:noProof/>
                <w:webHidden/>
              </w:rPr>
              <w:fldChar w:fldCharType="begin"/>
            </w:r>
            <w:r w:rsidRPr="001A076D">
              <w:rPr>
                <w:noProof/>
                <w:webHidden/>
              </w:rPr>
              <w:instrText xml:space="preserve"> PAGEREF _Toc236033396 \h </w:instrText>
            </w:r>
            <w:r w:rsidRPr="001A076D">
              <w:rPr>
                <w:noProof/>
                <w:webHidden/>
              </w:rPr>
            </w:r>
            <w:r w:rsidRPr="001A076D">
              <w:rPr>
                <w:noProof/>
                <w:webHidden/>
              </w:rPr>
              <w:fldChar w:fldCharType="separate"/>
            </w:r>
            <w:r w:rsidRPr="001A076D">
              <w:rPr>
                <w:noProof/>
                <w:webHidden/>
              </w:rPr>
              <w:t>68</w:t>
            </w:r>
            <w:r w:rsidRPr="001A076D">
              <w:rPr>
                <w:noProof/>
                <w:webHidden/>
              </w:rPr>
              <w:fldChar w:fldCharType="end"/>
            </w:r>
          </w:hyperlink>
        </w:p>
        <w:p w14:paraId="4960FEEF" w14:textId="018DC3C8"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97" w:history="1">
            <w:r w:rsidRPr="001A076D">
              <w:rPr>
                <w:rStyle w:val="Hyperlink"/>
                <w:noProof/>
                <w:color w:val="auto"/>
              </w:rPr>
              <w:t>5.4 Governance-Mediated Explainable Analytics Framework (GMEAF)</w:t>
            </w:r>
            <w:r w:rsidRPr="001A076D">
              <w:rPr>
                <w:noProof/>
                <w:webHidden/>
              </w:rPr>
              <w:tab/>
            </w:r>
            <w:r w:rsidRPr="001A076D">
              <w:rPr>
                <w:noProof/>
                <w:webHidden/>
              </w:rPr>
              <w:fldChar w:fldCharType="begin"/>
            </w:r>
            <w:r w:rsidRPr="001A076D">
              <w:rPr>
                <w:noProof/>
                <w:webHidden/>
              </w:rPr>
              <w:instrText xml:space="preserve"> PAGEREF _Toc236033397 \h </w:instrText>
            </w:r>
            <w:r w:rsidRPr="001A076D">
              <w:rPr>
                <w:noProof/>
                <w:webHidden/>
              </w:rPr>
            </w:r>
            <w:r w:rsidRPr="001A076D">
              <w:rPr>
                <w:noProof/>
                <w:webHidden/>
              </w:rPr>
              <w:fldChar w:fldCharType="separate"/>
            </w:r>
            <w:r w:rsidRPr="001A076D">
              <w:rPr>
                <w:noProof/>
                <w:webHidden/>
              </w:rPr>
              <w:t>69</w:t>
            </w:r>
            <w:r w:rsidRPr="001A076D">
              <w:rPr>
                <w:noProof/>
                <w:webHidden/>
              </w:rPr>
              <w:fldChar w:fldCharType="end"/>
            </w:r>
          </w:hyperlink>
        </w:p>
        <w:p w14:paraId="2920E188" w14:textId="2EACF206"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98" w:history="1">
            <w:r w:rsidRPr="001A076D">
              <w:rPr>
                <w:rStyle w:val="Hyperlink"/>
                <w:noProof/>
                <w:color w:val="auto"/>
              </w:rPr>
              <w:t>5.5 Practical Implications</w:t>
            </w:r>
            <w:r w:rsidRPr="001A076D">
              <w:rPr>
                <w:noProof/>
                <w:webHidden/>
              </w:rPr>
              <w:tab/>
            </w:r>
            <w:r w:rsidRPr="001A076D">
              <w:rPr>
                <w:noProof/>
                <w:webHidden/>
              </w:rPr>
              <w:fldChar w:fldCharType="begin"/>
            </w:r>
            <w:r w:rsidRPr="001A076D">
              <w:rPr>
                <w:noProof/>
                <w:webHidden/>
              </w:rPr>
              <w:instrText xml:space="preserve"> PAGEREF _Toc236033398 \h </w:instrText>
            </w:r>
            <w:r w:rsidRPr="001A076D">
              <w:rPr>
                <w:noProof/>
                <w:webHidden/>
              </w:rPr>
            </w:r>
            <w:r w:rsidRPr="001A076D">
              <w:rPr>
                <w:noProof/>
                <w:webHidden/>
              </w:rPr>
              <w:fldChar w:fldCharType="separate"/>
            </w:r>
            <w:r w:rsidRPr="001A076D">
              <w:rPr>
                <w:noProof/>
                <w:webHidden/>
              </w:rPr>
              <w:t>71</w:t>
            </w:r>
            <w:r w:rsidRPr="001A076D">
              <w:rPr>
                <w:noProof/>
                <w:webHidden/>
              </w:rPr>
              <w:fldChar w:fldCharType="end"/>
            </w:r>
          </w:hyperlink>
        </w:p>
        <w:p w14:paraId="6D78D58D" w14:textId="5B007EFF"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399" w:history="1">
            <w:r w:rsidRPr="001A076D">
              <w:rPr>
                <w:rStyle w:val="Hyperlink"/>
                <w:noProof/>
                <w:color w:val="auto"/>
              </w:rPr>
              <w:t>5.6 Limitations and Future Research</w:t>
            </w:r>
            <w:r w:rsidRPr="001A076D">
              <w:rPr>
                <w:noProof/>
                <w:webHidden/>
              </w:rPr>
              <w:tab/>
            </w:r>
            <w:r w:rsidRPr="001A076D">
              <w:rPr>
                <w:noProof/>
                <w:webHidden/>
              </w:rPr>
              <w:fldChar w:fldCharType="begin"/>
            </w:r>
            <w:r w:rsidRPr="001A076D">
              <w:rPr>
                <w:noProof/>
                <w:webHidden/>
              </w:rPr>
              <w:instrText xml:space="preserve"> PAGEREF _Toc236033399 \h </w:instrText>
            </w:r>
            <w:r w:rsidRPr="001A076D">
              <w:rPr>
                <w:noProof/>
                <w:webHidden/>
              </w:rPr>
            </w:r>
            <w:r w:rsidRPr="001A076D">
              <w:rPr>
                <w:noProof/>
                <w:webHidden/>
              </w:rPr>
              <w:fldChar w:fldCharType="separate"/>
            </w:r>
            <w:r w:rsidRPr="001A076D">
              <w:rPr>
                <w:noProof/>
                <w:webHidden/>
              </w:rPr>
              <w:t>72</w:t>
            </w:r>
            <w:r w:rsidRPr="001A076D">
              <w:rPr>
                <w:noProof/>
                <w:webHidden/>
              </w:rPr>
              <w:fldChar w:fldCharType="end"/>
            </w:r>
          </w:hyperlink>
        </w:p>
        <w:p w14:paraId="4FA57670" w14:textId="669C93A6"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400" w:history="1">
            <w:r w:rsidRPr="001A076D">
              <w:rPr>
                <w:rStyle w:val="Hyperlink"/>
                <w:noProof/>
                <w:color w:val="auto"/>
              </w:rPr>
              <w:t>5.7 Conclusion</w:t>
            </w:r>
            <w:r w:rsidRPr="001A076D">
              <w:rPr>
                <w:noProof/>
                <w:webHidden/>
              </w:rPr>
              <w:tab/>
            </w:r>
            <w:r w:rsidRPr="001A076D">
              <w:rPr>
                <w:noProof/>
                <w:webHidden/>
              </w:rPr>
              <w:fldChar w:fldCharType="begin"/>
            </w:r>
            <w:r w:rsidRPr="001A076D">
              <w:rPr>
                <w:noProof/>
                <w:webHidden/>
              </w:rPr>
              <w:instrText xml:space="preserve"> PAGEREF _Toc236033400 \h </w:instrText>
            </w:r>
            <w:r w:rsidRPr="001A076D">
              <w:rPr>
                <w:noProof/>
                <w:webHidden/>
              </w:rPr>
            </w:r>
            <w:r w:rsidRPr="001A076D">
              <w:rPr>
                <w:noProof/>
                <w:webHidden/>
              </w:rPr>
              <w:fldChar w:fldCharType="separate"/>
            </w:r>
            <w:r w:rsidRPr="001A076D">
              <w:rPr>
                <w:noProof/>
                <w:webHidden/>
              </w:rPr>
              <w:t>73</w:t>
            </w:r>
            <w:r w:rsidRPr="001A076D">
              <w:rPr>
                <w:noProof/>
                <w:webHidden/>
              </w:rPr>
              <w:fldChar w:fldCharType="end"/>
            </w:r>
          </w:hyperlink>
        </w:p>
        <w:p w14:paraId="19BD760A" w14:textId="6C76C4F5"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401" w:history="1">
            <w:r w:rsidRPr="001A076D">
              <w:rPr>
                <w:rStyle w:val="Hyperlink"/>
                <w:noProof/>
                <w:color w:val="auto"/>
              </w:rPr>
              <w:t>References</w:t>
            </w:r>
            <w:r w:rsidRPr="001A076D">
              <w:rPr>
                <w:noProof/>
                <w:webHidden/>
              </w:rPr>
              <w:tab/>
            </w:r>
            <w:r w:rsidRPr="001A076D">
              <w:rPr>
                <w:noProof/>
                <w:webHidden/>
              </w:rPr>
              <w:fldChar w:fldCharType="begin"/>
            </w:r>
            <w:r w:rsidRPr="001A076D">
              <w:rPr>
                <w:noProof/>
                <w:webHidden/>
              </w:rPr>
              <w:instrText xml:space="preserve"> PAGEREF _Toc236033401 \h </w:instrText>
            </w:r>
            <w:r w:rsidRPr="001A076D">
              <w:rPr>
                <w:noProof/>
                <w:webHidden/>
              </w:rPr>
            </w:r>
            <w:r w:rsidRPr="001A076D">
              <w:rPr>
                <w:noProof/>
                <w:webHidden/>
              </w:rPr>
              <w:fldChar w:fldCharType="separate"/>
            </w:r>
            <w:r w:rsidRPr="001A076D">
              <w:rPr>
                <w:noProof/>
                <w:webHidden/>
              </w:rPr>
              <w:t>74</w:t>
            </w:r>
            <w:r w:rsidRPr="001A076D">
              <w:rPr>
                <w:noProof/>
                <w:webHidden/>
              </w:rPr>
              <w:fldChar w:fldCharType="end"/>
            </w:r>
          </w:hyperlink>
        </w:p>
        <w:p w14:paraId="14661ED3" w14:textId="70538CA8" w:rsidR="002A4631" w:rsidRPr="001A076D" w:rsidRDefault="002A4631" w:rsidP="002A4631">
          <w:pPr>
            <w:pStyle w:val="TOC1"/>
            <w:tabs>
              <w:tab w:val="right" w:leader="dot" w:pos="9442"/>
            </w:tabs>
            <w:spacing w:line="360" w:lineRule="auto"/>
            <w:rPr>
              <w:rFonts w:eastAsiaTheme="minorEastAsia"/>
              <w:b w:val="0"/>
              <w:bCs w:val="0"/>
              <w:i w:val="0"/>
              <w:iCs w:val="0"/>
              <w:noProof/>
              <w:kern w:val="2"/>
              <w14:ligatures w14:val="standardContextual"/>
            </w:rPr>
          </w:pPr>
          <w:hyperlink w:anchor="_Toc236033402" w:history="1">
            <w:r w:rsidRPr="001A076D">
              <w:rPr>
                <w:rStyle w:val="Hyperlink"/>
                <w:noProof/>
                <w:color w:val="auto"/>
              </w:rPr>
              <w:t>Appendices</w:t>
            </w:r>
            <w:r w:rsidRPr="001A076D">
              <w:rPr>
                <w:noProof/>
                <w:webHidden/>
              </w:rPr>
              <w:tab/>
            </w:r>
            <w:r w:rsidRPr="001A076D">
              <w:rPr>
                <w:noProof/>
                <w:webHidden/>
              </w:rPr>
              <w:fldChar w:fldCharType="begin"/>
            </w:r>
            <w:r w:rsidRPr="001A076D">
              <w:rPr>
                <w:noProof/>
                <w:webHidden/>
              </w:rPr>
              <w:instrText xml:space="preserve"> PAGEREF _Toc236033402 \h </w:instrText>
            </w:r>
            <w:r w:rsidRPr="001A076D">
              <w:rPr>
                <w:noProof/>
                <w:webHidden/>
              </w:rPr>
            </w:r>
            <w:r w:rsidRPr="001A076D">
              <w:rPr>
                <w:noProof/>
                <w:webHidden/>
              </w:rPr>
              <w:fldChar w:fldCharType="separate"/>
            </w:r>
            <w:r w:rsidRPr="001A076D">
              <w:rPr>
                <w:noProof/>
                <w:webHidden/>
              </w:rPr>
              <w:t>81</w:t>
            </w:r>
            <w:r w:rsidRPr="001A076D">
              <w:rPr>
                <w:noProof/>
                <w:webHidden/>
              </w:rPr>
              <w:fldChar w:fldCharType="end"/>
            </w:r>
          </w:hyperlink>
        </w:p>
        <w:p w14:paraId="2CB9392E" w14:textId="760A3ACD"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403" w:history="1">
            <w:r w:rsidRPr="001A076D">
              <w:rPr>
                <w:rStyle w:val="Hyperlink"/>
                <w:noProof/>
                <w:color w:val="auto"/>
              </w:rPr>
              <w:t>Appendix 1. Ethical Approval Documentation</w:t>
            </w:r>
            <w:r w:rsidRPr="001A076D">
              <w:rPr>
                <w:noProof/>
                <w:webHidden/>
              </w:rPr>
              <w:tab/>
            </w:r>
            <w:r w:rsidRPr="001A076D">
              <w:rPr>
                <w:noProof/>
                <w:webHidden/>
              </w:rPr>
              <w:fldChar w:fldCharType="begin"/>
            </w:r>
            <w:r w:rsidRPr="001A076D">
              <w:rPr>
                <w:noProof/>
                <w:webHidden/>
              </w:rPr>
              <w:instrText xml:space="preserve"> PAGEREF _Toc236033403 \h </w:instrText>
            </w:r>
            <w:r w:rsidRPr="001A076D">
              <w:rPr>
                <w:noProof/>
                <w:webHidden/>
              </w:rPr>
            </w:r>
            <w:r w:rsidRPr="001A076D">
              <w:rPr>
                <w:noProof/>
                <w:webHidden/>
              </w:rPr>
              <w:fldChar w:fldCharType="separate"/>
            </w:r>
            <w:r w:rsidRPr="001A076D">
              <w:rPr>
                <w:noProof/>
                <w:webHidden/>
              </w:rPr>
              <w:t>81</w:t>
            </w:r>
            <w:r w:rsidRPr="001A076D">
              <w:rPr>
                <w:noProof/>
                <w:webHidden/>
              </w:rPr>
              <w:fldChar w:fldCharType="end"/>
            </w:r>
          </w:hyperlink>
        </w:p>
        <w:p w14:paraId="58D359D9" w14:textId="79A4EFD5"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404" w:history="1">
            <w:r w:rsidRPr="001A076D">
              <w:rPr>
                <w:rStyle w:val="Hyperlink"/>
                <w:noProof/>
                <w:color w:val="auto"/>
              </w:rPr>
              <w:t>Appendix 2: Participant Information and Consent Form</w:t>
            </w:r>
            <w:r w:rsidRPr="001A076D">
              <w:rPr>
                <w:noProof/>
                <w:webHidden/>
              </w:rPr>
              <w:tab/>
            </w:r>
            <w:r w:rsidRPr="001A076D">
              <w:rPr>
                <w:noProof/>
                <w:webHidden/>
              </w:rPr>
              <w:fldChar w:fldCharType="begin"/>
            </w:r>
            <w:r w:rsidRPr="001A076D">
              <w:rPr>
                <w:noProof/>
                <w:webHidden/>
              </w:rPr>
              <w:instrText xml:space="preserve"> PAGEREF _Toc236033404 \h </w:instrText>
            </w:r>
            <w:r w:rsidRPr="001A076D">
              <w:rPr>
                <w:noProof/>
                <w:webHidden/>
              </w:rPr>
            </w:r>
            <w:r w:rsidRPr="001A076D">
              <w:rPr>
                <w:noProof/>
                <w:webHidden/>
              </w:rPr>
              <w:fldChar w:fldCharType="separate"/>
            </w:r>
            <w:r w:rsidRPr="001A076D">
              <w:rPr>
                <w:noProof/>
                <w:webHidden/>
              </w:rPr>
              <w:t>94</w:t>
            </w:r>
            <w:r w:rsidRPr="001A076D">
              <w:rPr>
                <w:noProof/>
                <w:webHidden/>
              </w:rPr>
              <w:fldChar w:fldCharType="end"/>
            </w:r>
          </w:hyperlink>
        </w:p>
        <w:p w14:paraId="3F2AC641" w14:textId="3E09CEAD"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405" w:history="1">
            <w:r w:rsidRPr="001A076D">
              <w:rPr>
                <w:rStyle w:val="Hyperlink"/>
                <w:noProof/>
                <w:color w:val="auto"/>
              </w:rPr>
              <w:t>Appendix 3. Quantitative Survey Instrument and Summary Results</w:t>
            </w:r>
            <w:r w:rsidRPr="001A076D">
              <w:rPr>
                <w:noProof/>
                <w:webHidden/>
              </w:rPr>
              <w:tab/>
            </w:r>
            <w:r w:rsidRPr="001A076D">
              <w:rPr>
                <w:noProof/>
                <w:webHidden/>
              </w:rPr>
              <w:fldChar w:fldCharType="begin"/>
            </w:r>
            <w:r w:rsidRPr="001A076D">
              <w:rPr>
                <w:noProof/>
                <w:webHidden/>
              </w:rPr>
              <w:instrText xml:space="preserve"> PAGEREF _Toc236033405 \h </w:instrText>
            </w:r>
            <w:r w:rsidRPr="001A076D">
              <w:rPr>
                <w:noProof/>
                <w:webHidden/>
              </w:rPr>
            </w:r>
            <w:r w:rsidRPr="001A076D">
              <w:rPr>
                <w:noProof/>
                <w:webHidden/>
              </w:rPr>
              <w:fldChar w:fldCharType="separate"/>
            </w:r>
            <w:r w:rsidRPr="001A076D">
              <w:rPr>
                <w:noProof/>
                <w:webHidden/>
              </w:rPr>
              <w:t>96</w:t>
            </w:r>
            <w:r w:rsidRPr="001A076D">
              <w:rPr>
                <w:noProof/>
                <w:webHidden/>
              </w:rPr>
              <w:fldChar w:fldCharType="end"/>
            </w:r>
          </w:hyperlink>
        </w:p>
        <w:p w14:paraId="67047F15" w14:textId="5D0E0D42"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406" w:history="1">
            <w:r w:rsidRPr="001A076D">
              <w:rPr>
                <w:rStyle w:val="Hyperlink"/>
                <w:noProof/>
                <w:color w:val="auto"/>
              </w:rPr>
              <w:t>Appendix 4. Qualitative Interview Materials and Transcript Extracts</w:t>
            </w:r>
            <w:r w:rsidRPr="001A076D">
              <w:rPr>
                <w:noProof/>
                <w:webHidden/>
              </w:rPr>
              <w:tab/>
            </w:r>
            <w:r w:rsidRPr="001A076D">
              <w:rPr>
                <w:noProof/>
                <w:webHidden/>
              </w:rPr>
              <w:fldChar w:fldCharType="begin"/>
            </w:r>
            <w:r w:rsidRPr="001A076D">
              <w:rPr>
                <w:noProof/>
                <w:webHidden/>
              </w:rPr>
              <w:instrText xml:space="preserve"> PAGEREF _Toc236033406 \h </w:instrText>
            </w:r>
            <w:r w:rsidRPr="001A076D">
              <w:rPr>
                <w:noProof/>
                <w:webHidden/>
              </w:rPr>
            </w:r>
            <w:r w:rsidRPr="001A076D">
              <w:rPr>
                <w:noProof/>
                <w:webHidden/>
              </w:rPr>
              <w:fldChar w:fldCharType="separate"/>
            </w:r>
            <w:r w:rsidRPr="001A076D">
              <w:rPr>
                <w:noProof/>
                <w:webHidden/>
              </w:rPr>
              <w:t>98</w:t>
            </w:r>
            <w:r w:rsidRPr="001A076D">
              <w:rPr>
                <w:noProof/>
                <w:webHidden/>
              </w:rPr>
              <w:fldChar w:fldCharType="end"/>
            </w:r>
          </w:hyperlink>
        </w:p>
        <w:p w14:paraId="328C2FCE" w14:textId="7509E280"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407" w:history="1">
            <w:r w:rsidRPr="001A076D">
              <w:rPr>
                <w:rStyle w:val="Hyperlink"/>
                <w:noProof/>
                <w:color w:val="auto"/>
              </w:rPr>
              <w:t>Appendix 5: SPSS Quantitative Statistical Analysis Outputs</w:t>
            </w:r>
            <w:r w:rsidRPr="001A076D">
              <w:rPr>
                <w:noProof/>
                <w:webHidden/>
              </w:rPr>
              <w:tab/>
            </w:r>
            <w:r w:rsidRPr="001A076D">
              <w:rPr>
                <w:noProof/>
                <w:webHidden/>
              </w:rPr>
              <w:fldChar w:fldCharType="begin"/>
            </w:r>
            <w:r w:rsidRPr="001A076D">
              <w:rPr>
                <w:noProof/>
                <w:webHidden/>
              </w:rPr>
              <w:instrText xml:space="preserve"> PAGEREF _Toc236033407 \h </w:instrText>
            </w:r>
            <w:r w:rsidRPr="001A076D">
              <w:rPr>
                <w:noProof/>
                <w:webHidden/>
              </w:rPr>
            </w:r>
            <w:r w:rsidRPr="001A076D">
              <w:rPr>
                <w:noProof/>
                <w:webHidden/>
              </w:rPr>
              <w:fldChar w:fldCharType="separate"/>
            </w:r>
            <w:r w:rsidRPr="001A076D">
              <w:rPr>
                <w:noProof/>
                <w:webHidden/>
              </w:rPr>
              <w:t>126</w:t>
            </w:r>
            <w:r w:rsidRPr="001A076D">
              <w:rPr>
                <w:noProof/>
                <w:webHidden/>
              </w:rPr>
              <w:fldChar w:fldCharType="end"/>
            </w:r>
          </w:hyperlink>
        </w:p>
        <w:p w14:paraId="4712D03F" w14:textId="09CD8436" w:rsidR="002A4631" w:rsidRPr="001A076D" w:rsidRDefault="002A4631" w:rsidP="002A4631">
          <w:pPr>
            <w:pStyle w:val="TOC2"/>
            <w:tabs>
              <w:tab w:val="right" w:leader="dot" w:pos="9442"/>
            </w:tabs>
            <w:spacing w:line="360" w:lineRule="auto"/>
            <w:rPr>
              <w:rFonts w:eastAsiaTheme="minorEastAsia"/>
              <w:b w:val="0"/>
              <w:bCs w:val="0"/>
              <w:noProof/>
              <w:kern w:val="2"/>
              <w:sz w:val="24"/>
              <w:szCs w:val="24"/>
              <w14:ligatures w14:val="standardContextual"/>
            </w:rPr>
          </w:pPr>
          <w:hyperlink w:anchor="_Toc236033408" w:history="1">
            <w:r w:rsidRPr="001A076D">
              <w:rPr>
                <w:rStyle w:val="Hyperlink"/>
                <w:noProof/>
                <w:color w:val="auto"/>
              </w:rPr>
              <w:t>Appendix 6: NVivo Qualitative Coding Framework and Outputs</w:t>
            </w:r>
            <w:r w:rsidRPr="001A076D">
              <w:rPr>
                <w:noProof/>
                <w:webHidden/>
              </w:rPr>
              <w:tab/>
            </w:r>
            <w:r w:rsidRPr="001A076D">
              <w:rPr>
                <w:noProof/>
                <w:webHidden/>
              </w:rPr>
              <w:fldChar w:fldCharType="begin"/>
            </w:r>
            <w:r w:rsidRPr="001A076D">
              <w:rPr>
                <w:noProof/>
                <w:webHidden/>
              </w:rPr>
              <w:instrText xml:space="preserve"> PAGEREF _Toc236033408 \h </w:instrText>
            </w:r>
            <w:r w:rsidRPr="001A076D">
              <w:rPr>
                <w:noProof/>
                <w:webHidden/>
              </w:rPr>
            </w:r>
            <w:r w:rsidRPr="001A076D">
              <w:rPr>
                <w:noProof/>
                <w:webHidden/>
              </w:rPr>
              <w:fldChar w:fldCharType="separate"/>
            </w:r>
            <w:r w:rsidRPr="001A076D">
              <w:rPr>
                <w:noProof/>
                <w:webHidden/>
              </w:rPr>
              <w:t>136</w:t>
            </w:r>
            <w:r w:rsidRPr="001A076D">
              <w:rPr>
                <w:noProof/>
                <w:webHidden/>
              </w:rPr>
              <w:fldChar w:fldCharType="end"/>
            </w:r>
          </w:hyperlink>
        </w:p>
        <w:p w14:paraId="5B289065" w14:textId="37CBD5A2" w:rsidR="002F3CBE" w:rsidRPr="001A076D" w:rsidRDefault="002F3CBE" w:rsidP="002A4631">
          <w:pPr>
            <w:spacing w:line="360" w:lineRule="auto"/>
          </w:pPr>
          <w:r w:rsidRPr="001A076D">
            <w:rPr>
              <w:b/>
              <w:bCs/>
              <w:noProof/>
            </w:rPr>
            <w:fldChar w:fldCharType="end"/>
          </w:r>
        </w:p>
      </w:sdtContent>
    </w:sd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71"/>
        <w:gridCol w:w="81"/>
      </w:tblGrid>
      <w:tr w:rsidR="00E857DE" w:rsidRPr="001A076D" w14:paraId="544E9F57" w14:textId="77777777">
        <w:trPr>
          <w:tblCellSpacing w:w="15" w:type="dxa"/>
        </w:trPr>
        <w:tc>
          <w:tcPr>
            <w:tcW w:w="0" w:type="auto"/>
            <w:vAlign w:val="center"/>
          </w:tcPr>
          <w:p w14:paraId="2A242BC7" w14:textId="77777777" w:rsidR="00E857DE" w:rsidRPr="001A076D" w:rsidRDefault="00E857DE" w:rsidP="00E857DE">
            <w:pPr>
              <w:spacing w:line="360" w:lineRule="auto"/>
              <w:rPr>
                <w:rStyle w:val="Strong"/>
              </w:rPr>
            </w:pPr>
          </w:p>
          <w:p w14:paraId="3B03A256" w14:textId="77777777" w:rsidR="00E857DE" w:rsidRPr="001A076D" w:rsidRDefault="00E857DE" w:rsidP="00E857DE">
            <w:pPr>
              <w:pStyle w:val="Heading1"/>
              <w:spacing w:line="360" w:lineRule="auto"/>
              <w:rPr>
                <w:rFonts w:ascii="Times New Roman" w:hAnsi="Times New Roman" w:cs="Times New Roman"/>
                <w:b/>
                <w:bCs/>
                <w:color w:val="auto"/>
              </w:rPr>
            </w:pPr>
            <w:bookmarkStart w:id="5" w:name="_Toc236033319"/>
            <w:r w:rsidRPr="001A076D">
              <w:rPr>
                <w:rFonts w:ascii="Times New Roman" w:hAnsi="Times New Roman" w:cs="Times New Roman"/>
                <w:b/>
                <w:bCs/>
                <w:color w:val="auto"/>
              </w:rPr>
              <w:t>List of Tables</w:t>
            </w:r>
            <w:bookmarkEnd w:id="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81"/>
              <w:gridCol w:w="315"/>
            </w:tblGrid>
            <w:tr w:rsidR="00E857DE" w:rsidRPr="001A076D" w14:paraId="4681CE09" w14:textId="77777777" w:rsidTr="00D34A57">
              <w:trPr>
                <w:tblCellSpacing w:w="15" w:type="dxa"/>
              </w:trPr>
              <w:tc>
                <w:tcPr>
                  <w:tcW w:w="0" w:type="auto"/>
                  <w:vAlign w:val="center"/>
                  <w:hideMark/>
                </w:tcPr>
                <w:p w14:paraId="79C9438F" w14:textId="77777777" w:rsidR="00E857DE" w:rsidRPr="001A076D" w:rsidRDefault="00E857DE" w:rsidP="00E857DE">
                  <w:pPr>
                    <w:spacing w:line="360" w:lineRule="auto"/>
                  </w:pPr>
                  <w:r w:rsidRPr="001A076D">
                    <w:rPr>
                      <w:rStyle w:val="Strong"/>
                    </w:rPr>
                    <w:t>Table 2.1:</w:t>
                  </w:r>
                  <w:r w:rsidRPr="001A076D">
                    <w:t xml:space="preserve"> Mapping Key Literature to Organisational Readiness Dimensions for Predictive Analytics</w:t>
                  </w:r>
                </w:p>
              </w:tc>
              <w:tc>
                <w:tcPr>
                  <w:tcW w:w="0" w:type="auto"/>
                  <w:vAlign w:val="center"/>
                  <w:hideMark/>
                </w:tcPr>
                <w:p w14:paraId="3931CC92" w14:textId="77777777" w:rsidR="00E857DE" w:rsidRPr="001A076D" w:rsidRDefault="00E857DE" w:rsidP="00E857DE">
                  <w:pPr>
                    <w:spacing w:line="360" w:lineRule="auto"/>
                  </w:pPr>
                  <w:r w:rsidRPr="001A076D">
                    <w:t>18</w:t>
                  </w:r>
                </w:p>
              </w:tc>
            </w:tr>
            <w:tr w:rsidR="00E857DE" w:rsidRPr="001A076D" w14:paraId="48DC3E25" w14:textId="77777777" w:rsidTr="00D34A57">
              <w:trPr>
                <w:tblCellSpacing w:w="15" w:type="dxa"/>
              </w:trPr>
              <w:tc>
                <w:tcPr>
                  <w:tcW w:w="0" w:type="auto"/>
                  <w:vAlign w:val="center"/>
                  <w:hideMark/>
                </w:tcPr>
                <w:p w14:paraId="7CCA16AB" w14:textId="77777777" w:rsidR="00E857DE" w:rsidRPr="001A076D" w:rsidRDefault="00E857DE" w:rsidP="00E857DE">
                  <w:pPr>
                    <w:spacing w:line="360" w:lineRule="auto"/>
                  </w:pPr>
                  <w:r w:rsidRPr="001A076D">
                    <w:rPr>
                      <w:rStyle w:val="Strong"/>
                    </w:rPr>
                    <w:t>Table 4.1:</w:t>
                  </w:r>
                  <w:r w:rsidRPr="001A076D">
                    <w:t xml:space="preserve"> Internal Consistency Reliability of Study Constructs</w:t>
                  </w:r>
                </w:p>
              </w:tc>
              <w:tc>
                <w:tcPr>
                  <w:tcW w:w="0" w:type="auto"/>
                  <w:vAlign w:val="center"/>
                  <w:hideMark/>
                </w:tcPr>
                <w:p w14:paraId="6FD4916F" w14:textId="77777777" w:rsidR="00E857DE" w:rsidRPr="001A076D" w:rsidRDefault="00E857DE" w:rsidP="00E857DE">
                  <w:pPr>
                    <w:spacing w:line="360" w:lineRule="auto"/>
                  </w:pPr>
                  <w:r w:rsidRPr="001A076D">
                    <w:t>48</w:t>
                  </w:r>
                </w:p>
              </w:tc>
            </w:tr>
            <w:tr w:rsidR="00E857DE" w:rsidRPr="001A076D" w14:paraId="31FEFC16" w14:textId="77777777" w:rsidTr="00D34A57">
              <w:trPr>
                <w:tblCellSpacing w:w="15" w:type="dxa"/>
              </w:trPr>
              <w:tc>
                <w:tcPr>
                  <w:tcW w:w="0" w:type="auto"/>
                  <w:vAlign w:val="center"/>
                  <w:hideMark/>
                </w:tcPr>
                <w:p w14:paraId="4448DDCB" w14:textId="77777777" w:rsidR="00E857DE" w:rsidRPr="001A076D" w:rsidRDefault="00E857DE" w:rsidP="00E857DE">
                  <w:pPr>
                    <w:spacing w:line="360" w:lineRule="auto"/>
                  </w:pPr>
                  <w:r w:rsidRPr="001A076D">
                    <w:rPr>
                      <w:rStyle w:val="Strong"/>
                    </w:rPr>
                    <w:t>Table 4.2:</w:t>
                  </w:r>
                  <w:r w:rsidRPr="001A076D">
                    <w:t xml:space="preserve"> Descriptive Statistics for the Principal Study Constructs</w:t>
                  </w:r>
                </w:p>
              </w:tc>
              <w:tc>
                <w:tcPr>
                  <w:tcW w:w="0" w:type="auto"/>
                  <w:vAlign w:val="center"/>
                  <w:hideMark/>
                </w:tcPr>
                <w:p w14:paraId="3A71921B" w14:textId="77777777" w:rsidR="00E857DE" w:rsidRPr="001A076D" w:rsidRDefault="00E857DE" w:rsidP="00E857DE">
                  <w:pPr>
                    <w:spacing w:line="360" w:lineRule="auto"/>
                  </w:pPr>
                  <w:r w:rsidRPr="001A076D">
                    <w:t>49</w:t>
                  </w:r>
                </w:p>
              </w:tc>
            </w:tr>
            <w:tr w:rsidR="00E857DE" w:rsidRPr="001A076D" w14:paraId="6CAF9B80" w14:textId="77777777" w:rsidTr="00D34A57">
              <w:trPr>
                <w:tblCellSpacing w:w="15" w:type="dxa"/>
              </w:trPr>
              <w:tc>
                <w:tcPr>
                  <w:tcW w:w="0" w:type="auto"/>
                  <w:vAlign w:val="center"/>
                  <w:hideMark/>
                </w:tcPr>
                <w:p w14:paraId="1E19AF83" w14:textId="77777777" w:rsidR="00E857DE" w:rsidRPr="001A076D" w:rsidRDefault="00E857DE" w:rsidP="00E857DE">
                  <w:pPr>
                    <w:spacing w:line="360" w:lineRule="auto"/>
                  </w:pPr>
                  <w:r w:rsidRPr="001A076D">
                    <w:rPr>
                      <w:rStyle w:val="Strong"/>
                    </w:rPr>
                    <w:t>Table 4.3:</w:t>
                  </w:r>
                  <w:r w:rsidRPr="001A076D">
                    <w:t xml:space="preserve"> Pearson Correlation Matrix for Predictive Analytics Constructs</w:t>
                  </w:r>
                </w:p>
              </w:tc>
              <w:tc>
                <w:tcPr>
                  <w:tcW w:w="0" w:type="auto"/>
                  <w:vAlign w:val="center"/>
                  <w:hideMark/>
                </w:tcPr>
                <w:p w14:paraId="5A6EEE0F" w14:textId="77777777" w:rsidR="00E857DE" w:rsidRPr="001A076D" w:rsidRDefault="00E857DE" w:rsidP="00E857DE">
                  <w:pPr>
                    <w:spacing w:line="360" w:lineRule="auto"/>
                  </w:pPr>
                  <w:r w:rsidRPr="001A076D">
                    <w:t>49</w:t>
                  </w:r>
                </w:p>
              </w:tc>
            </w:tr>
            <w:tr w:rsidR="00E857DE" w:rsidRPr="001A076D" w14:paraId="4924C8F8" w14:textId="77777777" w:rsidTr="00D34A57">
              <w:trPr>
                <w:tblCellSpacing w:w="15" w:type="dxa"/>
              </w:trPr>
              <w:tc>
                <w:tcPr>
                  <w:tcW w:w="0" w:type="auto"/>
                  <w:vAlign w:val="center"/>
                  <w:hideMark/>
                </w:tcPr>
                <w:p w14:paraId="27ED667A" w14:textId="77777777" w:rsidR="00E857DE" w:rsidRPr="001A076D" w:rsidRDefault="00E857DE" w:rsidP="00E857DE">
                  <w:pPr>
                    <w:spacing w:line="360" w:lineRule="auto"/>
                  </w:pPr>
                  <w:r w:rsidRPr="001A076D">
                    <w:rPr>
                      <w:rStyle w:val="Strong"/>
                    </w:rPr>
                    <w:t>Table 4.4:</w:t>
                  </w:r>
                  <w:r w:rsidRPr="001A076D">
                    <w:t xml:space="preserve"> Multiple Regression Coefficients Predicting Strategic Embedding</w:t>
                  </w:r>
                </w:p>
              </w:tc>
              <w:tc>
                <w:tcPr>
                  <w:tcW w:w="0" w:type="auto"/>
                  <w:vAlign w:val="center"/>
                  <w:hideMark/>
                </w:tcPr>
                <w:p w14:paraId="59811C3A" w14:textId="77777777" w:rsidR="00E857DE" w:rsidRPr="001A076D" w:rsidRDefault="00E857DE" w:rsidP="00E857DE">
                  <w:pPr>
                    <w:spacing w:line="360" w:lineRule="auto"/>
                  </w:pPr>
                  <w:r w:rsidRPr="001A076D">
                    <w:t>50</w:t>
                  </w:r>
                </w:p>
              </w:tc>
            </w:tr>
            <w:tr w:rsidR="00E857DE" w:rsidRPr="001A076D" w14:paraId="3BAD5705" w14:textId="77777777" w:rsidTr="00D34A57">
              <w:trPr>
                <w:tblCellSpacing w:w="15" w:type="dxa"/>
              </w:trPr>
              <w:tc>
                <w:tcPr>
                  <w:tcW w:w="0" w:type="auto"/>
                  <w:vAlign w:val="center"/>
                  <w:hideMark/>
                </w:tcPr>
                <w:p w14:paraId="233E9B27" w14:textId="77777777" w:rsidR="00E857DE" w:rsidRPr="001A076D" w:rsidRDefault="00E857DE" w:rsidP="00E857DE">
                  <w:pPr>
                    <w:spacing w:line="360" w:lineRule="auto"/>
                  </w:pPr>
                  <w:r w:rsidRPr="001A076D">
                    <w:rPr>
                      <w:rStyle w:val="Strong"/>
                    </w:rPr>
                    <w:t>Table 5.1:</w:t>
                  </w:r>
                  <w:r w:rsidRPr="001A076D">
                    <w:t xml:space="preserve"> Summary of Hypothesis Testing Results</w:t>
                  </w:r>
                </w:p>
              </w:tc>
              <w:tc>
                <w:tcPr>
                  <w:tcW w:w="0" w:type="auto"/>
                  <w:vAlign w:val="center"/>
                  <w:hideMark/>
                </w:tcPr>
                <w:p w14:paraId="33D2DE77" w14:textId="77777777" w:rsidR="00E857DE" w:rsidRPr="001A076D" w:rsidRDefault="00E857DE" w:rsidP="00E857DE">
                  <w:pPr>
                    <w:spacing w:line="360" w:lineRule="auto"/>
                  </w:pPr>
                  <w:r w:rsidRPr="001A076D">
                    <w:t>64</w:t>
                  </w:r>
                </w:p>
              </w:tc>
            </w:tr>
            <w:tr w:rsidR="00E857DE" w:rsidRPr="001A076D" w14:paraId="369C1A39" w14:textId="77777777" w:rsidTr="00D34A57">
              <w:trPr>
                <w:tblCellSpacing w:w="15" w:type="dxa"/>
              </w:trPr>
              <w:tc>
                <w:tcPr>
                  <w:tcW w:w="0" w:type="auto"/>
                  <w:vAlign w:val="center"/>
                  <w:hideMark/>
                </w:tcPr>
                <w:p w14:paraId="03F021DA" w14:textId="77777777" w:rsidR="00E857DE" w:rsidRPr="001A076D" w:rsidRDefault="00E857DE" w:rsidP="00E857DE">
                  <w:pPr>
                    <w:spacing w:line="360" w:lineRule="auto"/>
                  </w:pPr>
                  <w:r w:rsidRPr="001A076D">
                    <w:rPr>
                      <w:rStyle w:val="Strong"/>
                    </w:rPr>
                    <w:t>Table 5.2:</w:t>
                  </w:r>
                  <w:r w:rsidRPr="001A076D">
                    <w:t xml:space="preserve"> Summary of the Integrated Findings and Research Contributions</w:t>
                  </w:r>
                </w:p>
              </w:tc>
              <w:tc>
                <w:tcPr>
                  <w:tcW w:w="0" w:type="auto"/>
                  <w:vAlign w:val="center"/>
                  <w:hideMark/>
                </w:tcPr>
                <w:p w14:paraId="2E4F632A" w14:textId="77777777" w:rsidR="00E857DE" w:rsidRPr="001A076D" w:rsidRDefault="00E857DE" w:rsidP="00E857DE">
                  <w:pPr>
                    <w:spacing w:line="360" w:lineRule="auto"/>
                  </w:pPr>
                  <w:r w:rsidRPr="001A076D">
                    <w:t>67</w:t>
                  </w:r>
                </w:p>
              </w:tc>
            </w:tr>
            <w:tr w:rsidR="00E857DE" w:rsidRPr="001A076D" w14:paraId="5F547B05" w14:textId="77777777" w:rsidTr="00D34A57">
              <w:trPr>
                <w:tblCellSpacing w:w="15" w:type="dxa"/>
              </w:trPr>
              <w:tc>
                <w:tcPr>
                  <w:tcW w:w="0" w:type="auto"/>
                  <w:vAlign w:val="center"/>
                  <w:hideMark/>
                </w:tcPr>
                <w:p w14:paraId="1DA6DFFD" w14:textId="77777777" w:rsidR="00E857DE" w:rsidRPr="001A076D" w:rsidRDefault="00E857DE" w:rsidP="00E857DE">
                  <w:pPr>
                    <w:spacing w:line="360" w:lineRule="auto"/>
                  </w:pPr>
                  <w:r w:rsidRPr="001A076D">
                    <w:rPr>
                      <w:rStyle w:val="Strong"/>
                    </w:rPr>
                    <w:t>Table 5.3:</w:t>
                  </w:r>
                  <w:r w:rsidRPr="001A076D">
                    <w:t xml:space="preserve"> Practical Recommendations for Strengthening Predictive Analytics Adoption</w:t>
                  </w:r>
                </w:p>
              </w:tc>
              <w:tc>
                <w:tcPr>
                  <w:tcW w:w="0" w:type="auto"/>
                  <w:vAlign w:val="center"/>
                  <w:hideMark/>
                </w:tcPr>
                <w:p w14:paraId="25EBBA3D" w14:textId="77777777" w:rsidR="00E857DE" w:rsidRPr="001A076D" w:rsidRDefault="00E857DE" w:rsidP="00E857DE">
                  <w:pPr>
                    <w:spacing w:line="360" w:lineRule="auto"/>
                  </w:pPr>
                  <w:r w:rsidRPr="001A076D">
                    <w:t>72</w:t>
                  </w:r>
                </w:p>
              </w:tc>
            </w:tr>
          </w:tbl>
          <w:p w14:paraId="470045E2" w14:textId="77777777" w:rsidR="00E857DE" w:rsidRPr="001A076D" w:rsidRDefault="00E857DE" w:rsidP="00E857DE">
            <w:pPr>
              <w:spacing w:line="360" w:lineRule="auto"/>
            </w:pPr>
          </w:p>
          <w:p w14:paraId="7085CB7C" w14:textId="77777777" w:rsidR="00E857DE" w:rsidRPr="001A076D" w:rsidRDefault="00E857DE" w:rsidP="00E857DE">
            <w:pPr>
              <w:pStyle w:val="Heading1"/>
              <w:spacing w:line="360" w:lineRule="auto"/>
              <w:rPr>
                <w:rFonts w:ascii="Times New Roman" w:hAnsi="Times New Roman" w:cs="Times New Roman"/>
                <w:b/>
                <w:bCs/>
                <w:color w:val="auto"/>
              </w:rPr>
            </w:pPr>
            <w:bookmarkStart w:id="6" w:name="_Toc236033320"/>
            <w:r w:rsidRPr="001A076D">
              <w:rPr>
                <w:rFonts w:ascii="Times New Roman" w:hAnsi="Times New Roman" w:cs="Times New Roman"/>
                <w:b/>
                <w:bCs/>
                <w:color w:val="auto"/>
              </w:rPr>
              <w:t>List of Figures</w:t>
            </w:r>
            <w:bookmarkEnd w:id="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81"/>
              <w:gridCol w:w="315"/>
            </w:tblGrid>
            <w:tr w:rsidR="00E857DE" w:rsidRPr="001A076D" w14:paraId="261DFD09" w14:textId="77777777" w:rsidTr="00D34A57">
              <w:trPr>
                <w:tblCellSpacing w:w="15" w:type="dxa"/>
              </w:trPr>
              <w:tc>
                <w:tcPr>
                  <w:tcW w:w="0" w:type="auto"/>
                  <w:vAlign w:val="center"/>
                  <w:hideMark/>
                </w:tcPr>
                <w:p w14:paraId="6162ECFF" w14:textId="77777777" w:rsidR="00E857DE" w:rsidRPr="001A076D" w:rsidRDefault="00E857DE" w:rsidP="00E857DE">
                  <w:pPr>
                    <w:spacing w:line="360" w:lineRule="auto"/>
                  </w:pPr>
                  <w:r w:rsidRPr="001A076D">
                    <w:rPr>
                      <w:rStyle w:val="Strong"/>
                    </w:rPr>
                    <w:t>Figure 2.1:</w:t>
                  </w:r>
                  <w:r w:rsidRPr="001A076D">
                    <w:t xml:space="preserve"> The DELTA Model Illustrating Key Organisational Enablers of Predictive Analytics Readiness</w:t>
                  </w:r>
                </w:p>
              </w:tc>
              <w:tc>
                <w:tcPr>
                  <w:tcW w:w="0" w:type="auto"/>
                  <w:vAlign w:val="center"/>
                  <w:hideMark/>
                </w:tcPr>
                <w:p w14:paraId="2B2ADAF0" w14:textId="77777777" w:rsidR="00E857DE" w:rsidRPr="001A076D" w:rsidRDefault="00E857DE" w:rsidP="00E857DE">
                  <w:pPr>
                    <w:spacing w:line="360" w:lineRule="auto"/>
                  </w:pPr>
                  <w:r w:rsidRPr="001A076D">
                    <w:t>21</w:t>
                  </w:r>
                </w:p>
              </w:tc>
            </w:tr>
            <w:tr w:rsidR="00E857DE" w:rsidRPr="001A076D" w14:paraId="520CB284" w14:textId="77777777" w:rsidTr="00D34A57">
              <w:trPr>
                <w:tblCellSpacing w:w="15" w:type="dxa"/>
              </w:trPr>
              <w:tc>
                <w:tcPr>
                  <w:tcW w:w="0" w:type="auto"/>
                  <w:vAlign w:val="center"/>
                  <w:hideMark/>
                </w:tcPr>
                <w:p w14:paraId="6780FF8F" w14:textId="77777777" w:rsidR="00E857DE" w:rsidRPr="001A076D" w:rsidRDefault="00E857DE" w:rsidP="00E857DE">
                  <w:pPr>
                    <w:spacing w:line="360" w:lineRule="auto"/>
                  </w:pPr>
                  <w:r w:rsidRPr="001A076D">
                    <w:rPr>
                      <w:rStyle w:val="Strong"/>
                    </w:rPr>
                    <w:t>Figure 2.2:</w:t>
                  </w:r>
                  <w:r w:rsidRPr="001A076D">
                    <w:t xml:space="preserve"> Core Governance Pillars Underpinning Predictive Analytics Readiness in Regulated Organisations</w:t>
                  </w:r>
                </w:p>
              </w:tc>
              <w:tc>
                <w:tcPr>
                  <w:tcW w:w="0" w:type="auto"/>
                  <w:vAlign w:val="center"/>
                  <w:hideMark/>
                </w:tcPr>
                <w:p w14:paraId="5AD9011E" w14:textId="77777777" w:rsidR="00E857DE" w:rsidRPr="001A076D" w:rsidRDefault="00E857DE" w:rsidP="00E857DE">
                  <w:pPr>
                    <w:spacing w:line="360" w:lineRule="auto"/>
                  </w:pPr>
                  <w:r w:rsidRPr="001A076D">
                    <w:t>22</w:t>
                  </w:r>
                </w:p>
              </w:tc>
            </w:tr>
            <w:tr w:rsidR="00E857DE" w:rsidRPr="001A076D" w14:paraId="775DF792" w14:textId="77777777" w:rsidTr="00D34A57">
              <w:trPr>
                <w:tblCellSpacing w:w="15" w:type="dxa"/>
              </w:trPr>
              <w:tc>
                <w:tcPr>
                  <w:tcW w:w="0" w:type="auto"/>
                  <w:vAlign w:val="center"/>
                  <w:hideMark/>
                </w:tcPr>
                <w:p w14:paraId="4C294AE5" w14:textId="77777777" w:rsidR="00E857DE" w:rsidRPr="001A076D" w:rsidRDefault="00E857DE" w:rsidP="00E857DE">
                  <w:pPr>
                    <w:spacing w:line="360" w:lineRule="auto"/>
                  </w:pPr>
                  <w:r w:rsidRPr="001A076D">
                    <w:rPr>
                      <w:rStyle w:val="Strong"/>
                    </w:rPr>
                    <w:t>Figure 2.3:</w:t>
                  </w:r>
                  <w:r w:rsidRPr="001A076D">
                    <w:t xml:space="preserve"> Predictive Analytics Readiness as a Mediating Construct Between Organisational Strategy and Governance Capability</w:t>
                  </w:r>
                </w:p>
              </w:tc>
              <w:tc>
                <w:tcPr>
                  <w:tcW w:w="0" w:type="auto"/>
                  <w:vAlign w:val="center"/>
                  <w:hideMark/>
                </w:tcPr>
                <w:p w14:paraId="672AFDF8" w14:textId="77777777" w:rsidR="00E857DE" w:rsidRPr="001A076D" w:rsidRDefault="00E857DE" w:rsidP="00E857DE">
                  <w:pPr>
                    <w:spacing w:line="360" w:lineRule="auto"/>
                  </w:pPr>
                  <w:r w:rsidRPr="001A076D">
                    <w:t>23</w:t>
                  </w:r>
                </w:p>
              </w:tc>
            </w:tr>
            <w:tr w:rsidR="00E857DE" w:rsidRPr="001A076D" w14:paraId="5D6F1122" w14:textId="77777777" w:rsidTr="00D34A57">
              <w:trPr>
                <w:tblCellSpacing w:w="15" w:type="dxa"/>
              </w:trPr>
              <w:tc>
                <w:tcPr>
                  <w:tcW w:w="0" w:type="auto"/>
                  <w:vAlign w:val="center"/>
                  <w:hideMark/>
                </w:tcPr>
                <w:p w14:paraId="6AEF8C21" w14:textId="77777777" w:rsidR="00E857DE" w:rsidRPr="001A076D" w:rsidRDefault="00E857DE" w:rsidP="00E857DE">
                  <w:pPr>
                    <w:spacing w:line="360" w:lineRule="auto"/>
                  </w:pPr>
                  <w:r w:rsidRPr="001A076D">
                    <w:rPr>
                      <w:rStyle w:val="Strong"/>
                    </w:rPr>
                    <w:t>Figure 2.4:</w:t>
                  </w:r>
                  <w:r w:rsidRPr="001A076D">
                    <w:t xml:space="preserve"> Regulatory Drivers of Governance Requirements for Predictive Analytics in the UK Energy Sector</w:t>
                  </w:r>
                </w:p>
              </w:tc>
              <w:tc>
                <w:tcPr>
                  <w:tcW w:w="0" w:type="auto"/>
                  <w:vAlign w:val="center"/>
                  <w:hideMark/>
                </w:tcPr>
                <w:p w14:paraId="02DFC401" w14:textId="77777777" w:rsidR="00E857DE" w:rsidRPr="001A076D" w:rsidRDefault="00E857DE" w:rsidP="00E857DE">
                  <w:pPr>
                    <w:spacing w:line="360" w:lineRule="auto"/>
                  </w:pPr>
                  <w:r w:rsidRPr="001A076D">
                    <w:t>26</w:t>
                  </w:r>
                </w:p>
              </w:tc>
            </w:tr>
            <w:tr w:rsidR="00E857DE" w:rsidRPr="001A076D" w14:paraId="7CEDBA04" w14:textId="77777777" w:rsidTr="00D34A57">
              <w:trPr>
                <w:tblCellSpacing w:w="15" w:type="dxa"/>
              </w:trPr>
              <w:tc>
                <w:tcPr>
                  <w:tcW w:w="0" w:type="auto"/>
                  <w:vAlign w:val="center"/>
                  <w:hideMark/>
                </w:tcPr>
                <w:p w14:paraId="08F13D18" w14:textId="77777777" w:rsidR="00E857DE" w:rsidRPr="001A076D" w:rsidRDefault="00E857DE" w:rsidP="00E857DE">
                  <w:pPr>
                    <w:spacing w:line="360" w:lineRule="auto"/>
                  </w:pPr>
                  <w:r w:rsidRPr="001A076D">
                    <w:rPr>
                      <w:rStyle w:val="Strong"/>
                    </w:rPr>
                    <w:t>Figure 2.5:</w:t>
                  </w:r>
                  <w:r w:rsidRPr="001A076D">
                    <w:t xml:space="preserve"> Key Themes Emerging from the Literature on Predictive Analytics Adoption</w:t>
                  </w:r>
                </w:p>
              </w:tc>
              <w:tc>
                <w:tcPr>
                  <w:tcW w:w="0" w:type="auto"/>
                  <w:vAlign w:val="center"/>
                  <w:hideMark/>
                </w:tcPr>
                <w:p w14:paraId="29C16FE0" w14:textId="77777777" w:rsidR="00E857DE" w:rsidRPr="001A076D" w:rsidRDefault="00E857DE" w:rsidP="00E857DE">
                  <w:pPr>
                    <w:spacing w:line="360" w:lineRule="auto"/>
                  </w:pPr>
                  <w:r w:rsidRPr="001A076D">
                    <w:t>26</w:t>
                  </w:r>
                </w:p>
              </w:tc>
            </w:tr>
            <w:tr w:rsidR="00E857DE" w:rsidRPr="001A076D" w14:paraId="26105F52" w14:textId="77777777" w:rsidTr="00D34A57">
              <w:trPr>
                <w:tblCellSpacing w:w="15" w:type="dxa"/>
              </w:trPr>
              <w:tc>
                <w:tcPr>
                  <w:tcW w:w="0" w:type="auto"/>
                  <w:vAlign w:val="center"/>
                  <w:hideMark/>
                </w:tcPr>
                <w:p w14:paraId="47061CE5" w14:textId="77777777" w:rsidR="00E857DE" w:rsidRPr="001A076D" w:rsidRDefault="00E857DE" w:rsidP="00E857DE">
                  <w:pPr>
                    <w:spacing w:line="360" w:lineRule="auto"/>
                  </w:pPr>
                  <w:r w:rsidRPr="001A076D">
                    <w:rPr>
                      <w:rStyle w:val="Strong"/>
                    </w:rPr>
                    <w:lastRenderedPageBreak/>
                    <w:t>Figure 3.1:</w:t>
                  </w:r>
                  <w:r w:rsidRPr="001A076D">
                    <w:t xml:space="preserve"> Research Onion Applied to the Study</w:t>
                  </w:r>
                </w:p>
              </w:tc>
              <w:tc>
                <w:tcPr>
                  <w:tcW w:w="0" w:type="auto"/>
                  <w:vAlign w:val="center"/>
                  <w:hideMark/>
                </w:tcPr>
                <w:p w14:paraId="508F572E" w14:textId="77777777" w:rsidR="00E857DE" w:rsidRPr="001A076D" w:rsidRDefault="00E857DE" w:rsidP="00E857DE">
                  <w:pPr>
                    <w:spacing w:line="360" w:lineRule="auto"/>
                  </w:pPr>
                  <w:r w:rsidRPr="001A076D">
                    <w:t>36</w:t>
                  </w:r>
                </w:p>
              </w:tc>
            </w:tr>
            <w:tr w:rsidR="00E857DE" w:rsidRPr="001A076D" w14:paraId="43A042F8" w14:textId="77777777" w:rsidTr="00D34A57">
              <w:trPr>
                <w:tblCellSpacing w:w="15" w:type="dxa"/>
              </w:trPr>
              <w:tc>
                <w:tcPr>
                  <w:tcW w:w="0" w:type="auto"/>
                  <w:vAlign w:val="center"/>
                  <w:hideMark/>
                </w:tcPr>
                <w:p w14:paraId="5D259DEF" w14:textId="77777777" w:rsidR="00E857DE" w:rsidRPr="001A076D" w:rsidRDefault="00E857DE" w:rsidP="00E857DE">
                  <w:pPr>
                    <w:spacing w:line="360" w:lineRule="auto"/>
                  </w:pPr>
                  <w:r w:rsidRPr="001A076D">
                    <w:rPr>
                      <w:rStyle w:val="Strong"/>
                    </w:rPr>
                    <w:t>Figure 3.2:</w:t>
                  </w:r>
                  <w:r w:rsidRPr="001A076D">
                    <w:t xml:space="preserve"> Sequential Explanatory Mixed-Methods Design and Data Flow</w:t>
                  </w:r>
                </w:p>
              </w:tc>
              <w:tc>
                <w:tcPr>
                  <w:tcW w:w="0" w:type="auto"/>
                  <w:vAlign w:val="center"/>
                  <w:hideMark/>
                </w:tcPr>
                <w:p w14:paraId="0728CF2A" w14:textId="77777777" w:rsidR="00E857DE" w:rsidRPr="001A076D" w:rsidRDefault="00E857DE" w:rsidP="00E857DE">
                  <w:pPr>
                    <w:spacing w:line="360" w:lineRule="auto"/>
                  </w:pPr>
                  <w:r w:rsidRPr="001A076D">
                    <w:t>40</w:t>
                  </w:r>
                </w:p>
              </w:tc>
            </w:tr>
            <w:tr w:rsidR="00E857DE" w:rsidRPr="001A076D" w14:paraId="13AD22FC" w14:textId="77777777" w:rsidTr="00D34A57">
              <w:trPr>
                <w:tblCellSpacing w:w="15" w:type="dxa"/>
              </w:trPr>
              <w:tc>
                <w:tcPr>
                  <w:tcW w:w="0" w:type="auto"/>
                  <w:vAlign w:val="center"/>
                  <w:hideMark/>
                </w:tcPr>
                <w:p w14:paraId="7635ED39" w14:textId="77777777" w:rsidR="00E857DE" w:rsidRPr="001A076D" w:rsidRDefault="00E857DE" w:rsidP="00E857DE">
                  <w:pPr>
                    <w:spacing w:line="360" w:lineRule="auto"/>
                  </w:pPr>
                  <w:r w:rsidRPr="001A076D">
                    <w:rPr>
                      <w:rStyle w:val="Strong"/>
                    </w:rPr>
                    <w:t>Figure 4.1:</w:t>
                  </w:r>
                  <w:r w:rsidRPr="001A076D">
                    <w:t xml:space="preserve"> Pearson Correlation Matrix for the Principal Study Variables</w:t>
                  </w:r>
                </w:p>
              </w:tc>
              <w:tc>
                <w:tcPr>
                  <w:tcW w:w="0" w:type="auto"/>
                  <w:vAlign w:val="center"/>
                  <w:hideMark/>
                </w:tcPr>
                <w:p w14:paraId="0DDA8857" w14:textId="77777777" w:rsidR="00E857DE" w:rsidRPr="001A076D" w:rsidRDefault="00E857DE" w:rsidP="00E857DE">
                  <w:pPr>
                    <w:spacing w:line="360" w:lineRule="auto"/>
                  </w:pPr>
                  <w:r w:rsidRPr="001A076D">
                    <w:t>50</w:t>
                  </w:r>
                </w:p>
              </w:tc>
            </w:tr>
            <w:tr w:rsidR="00E857DE" w:rsidRPr="001A076D" w14:paraId="2D7D9769" w14:textId="77777777" w:rsidTr="00D34A57">
              <w:trPr>
                <w:tblCellSpacing w:w="15" w:type="dxa"/>
              </w:trPr>
              <w:tc>
                <w:tcPr>
                  <w:tcW w:w="0" w:type="auto"/>
                  <w:vAlign w:val="center"/>
                  <w:hideMark/>
                </w:tcPr>
                <w:p w14:paraId="7423EBEB" w14:textId="77777777" w:rsidR="00E857DE" w:rsidRPr="001A076D" w:rsidRDefault="00E857DE" w:rsidP="00E857DE">
                  <w:pPr>
                    <w:spacing w:line="360" w:lineRule="auto"/>
                  </w:pPr>
                  <w:r w:rsidRPr="001A076D">
                    <w:rPr>
                      <w:rStyle w:val="Strong"/>
                    </w:rPr>
                    <w:t>Figure 4.2:</w:t>
                  </w:r>
                  <w:r w:rsidRPr="001A076D">
                    <w:t xml:space="preserve"> Mean Scores Across Predictive Analytics Constructs at SSE plc</w:t>
                  </w:r>
                </w:p>
              </w:tc>
              <w:tc>
                <w:tcPr>
                  <w:tcW w:w="0" w:type="auto"/>
                  <w:vAlign w:val="center"/>
                  <w:hideMark/>
                </w:tcPr>
                <w:p w14:paraId="211E966D" w14:textId="77777777" w:rsidR="00E857DE" w:rsidRPr="001A076D" w:rsidRDefault="00E857DE" w:rsidP="00E857DE">
                  <w:pPr>
                    <w:spacing w:line="360" w:lineRule="auto"/>
                  </w:pPr>
                  <w:r w:rsidRPr="001A076D">
                    <w:t>51</w:t>
                  </w:r>
                </w:p>
              </w:tc>
            </w:tr>
            <w:tr w:rsidR="00E857DE" w:rsidRPr="001A076D" w14:paraId="52CD032C" w14:textId="77777777" w:rsidTr="00D34A57">
              <w:trPr>
                <w:tblCellSpacing w:w="15" w:type="dxa"/>
              </w:trPr>
              <w:tc>
                <w:tcPr>
                  <w:tcW w:w="0" w:type="auto"/>
                  <w:vAlign w:val="center"/>
                  <w:hideMark/>
                </w:tcPr>
                <w:p w14:paraId="46265962" w14:textId="77777777" w:rsidR="00E857DE" w:rsidRPr="001A076D" w:rsidRDefault="00E857DE" w:rsidP="00E857DE">
                  <w:pPr>
                    <w:spacing w:line="360" w:lineRule="auto"/>
                  </w:pPr>
                  <w:r w:rsidRPr="001A076D">
                    <w:rPr>
                      <w:rStyle w:val="Strong"/>
                    </w:rPr>
                    <w:t>Figure 4.3:</w:t>
                  </w:r>
                  <w:r w:rsidRPr="001A076D">
                    <w:t xml:space="preserve"> Structural Path Model of Predictive Analytics Constructs Influencing Strategic Embedding at SSE plc</w:t>
                  </w:r>
                </w:p>
              </w:tc>
              <w:tc>
                <w:tcPr>
                  <w:tcW w:w="0" w:type="auto"/>
                  <w:vAlign w:val="center"/>
                  <w:hideMark/>
                </w:tcPr>
                <w:p w14:paraId="483FCDF5" w14:textId="77777777" w:rsidR="00E857DE" w:rsidRPr="001A076D" w:rsidRDefault="00E857DE" w:rsidP="00E857DE">
                  <w:pPr>
                    <w:spacing w:line="360" w:lineRule="auto"/>
                  </w:pPr>
                  <w:r w:rsidRPr="001A076D">
                    <w:t>51</w:t>
                  </w:r>
                </w:p>
              </w:tc>
            </w:tr>
            <w:tr w:rsidR="00E857DE" w:rsidRPr="001A076D" w14:paraId="3B5F4AC6" w14:textId="77777777" w:rsidTr="00D34A57">
              <w:trPr>
                <w:tblCellSpacing w:w="15" w:type="dxa"/>
              </w:trPr>
              <w:tc>
                <w:tcPr>
                  <w:tcW w:w="0" w:type="auto"/>
                  <w:vAlign w:val="center"/>
                  <w:hideMark/>
                </w:tcPr>
                <w:p w14:paraId="1DFFA0A7" w14:textId="77777777" w:rsidR="00E857DE" w:rsidRPr="001A076D" w:rsidRDefault="00E857DE" w:rsidP="00E857DE">
                  <w:pPr>
                    <w:spacing w:line="360" w:lineRule="auto"/>
                  </w:pPr>
                  <w:r w:rsidRPr="001A076D">
                    <w:rPr>
                      <w:rStyle w:val="Strong"/>
                    </w:rPr>
                    <w:t>Figure 4.4:</w:t>
                  </w:r>
                  <w:r w:rsidRPr="001A076D">
                    <w:t xml:space="preserve"> </w:t>
                  </w:r>
                  <w:proofErr w:type="spellStart"/>
                  <w:r w:rsidRPr="001A076D">
                    <w:t>Treemap</w:t>
                  </w:r>
                  <w:proofErr w:type="spellEnd"/>
                  <w:r w:rsidRPr="001A076D">
                    <w:t xml:space="preserve"> of Qualitative Themes Generated through NVivo Analysis</w:t>
                  </w:r>
                </w:p>
              </w:tc>
              <w:tc>
                <w:tcPr>
                  <w:tcW w:w="0" w:type="auto"/>
                  <w:vAlign w:val="center"/>
                  <w:hideMark/>
                </w:tcPr>
                <w:p w14:paraId="72C2EF32" w14:textId="77777777" w:rsidR="00E857DE" w:rsidRPr="001A076D" w:rsidRDefault="00E857DE" w:rsidP="00E857DE">
                  <w:pPr>
                    <w:spacing w:line="360" w:lineRule="auto"/>
                  </w:pPr>
                  <w:r w:rsidRPr="001A076D">
                    <w:t>53</w:t>
                  </w:r>
                </w:p>
              </w:tc>
            </w:tr>
            <w:tr w:rsidR="00E857DE" w:rsidRPr="001A076D" w14:paraId="3B201A7C" w14:textId="77777777" w:rsidTr="00D34A57">
              <w:trPr>
                <w:tblCellSpacing w:w="15" w:type="dxa"/>
              </w:trPr>
              <w:tc>
                <w:tcPr>
                  <w:tcW w:w="0" w:type="auto"/>
                  <w:vAlign w:val="center"/>
                  <w:hideMark/>
                </w:tcPr>
                <w:p w14:paraId="51C46046" w14:textId="77777777" w:rsidR="00E857DE" w:rsidRPr="001A076D" w:rsidRDefault="00E857DE" w:rsidP="00E857DE">
                  <w:pPr>
                    <w:spacing w:line="360" w:lineRule="auto"/>
                  </w:pPr>
                  <w:r w:rsidRPr="001A076D">
                    <w:rPr>
                      <w:rStyle w:val="Strong"/>
                    </w:rPr>
                    <w:t>Figure 4.5:</w:t>
                  </w:r>
                  <w:r w:rsidRPr="001A076D">
                    <w:t xml:space="preserve"> Hierarchical Sunburst of Qualitative Themes and Subthemes</w:t>
                  </w:r>
                </w:p>
              </w:tc>
              <w:tc>
                <w:tcPr>
                  <w:tcW w:w="0" w:type="auto"/>
                  <w:vAlign w:val="center"/>
                  <w:hideMark/>
                </w:tcPr>
                <w:p w14:paraId="75AE4F2B" w14:textId="77777777" w:rsidR="00E857DE" w:rsidRPr="001A076D" w:rsidRDefault="00E857DE" w:rsidP="00E857DE">
                  <w:pPr>
                    <w:spacing w:line="360" w:lineRule="auto"/>
                  </w:pPr>
                  <w:r w:rsidRPr="001A076D">
                    <w:t>53</w:t>
                  </w:r>
                </w:p>
              </w:tc>
            </w:tr>
            <w:tr w:rsidR="00E857DE" w:rsidRPr="001A076D" w14:paraId="7F9EF9A0" w14:textId="77777777" w:rsidTr="00D34A57">
              <w:trPr>
                <w:tblCellSpacing w:w="15" w:type="dxa"/>
              </w:trPr>
              <w:tc>
                <w:tcPr>
                  <w:tcW w:w="0" w:type="auto"/>
                  <w:vAlign w:val="center"/>
                  <w:hideMark/>
                </w:tcPr>
                <w:p w14:paraId="59A4D63F" w14:textId="77777777" w:rsidR="00E857DE" w:rsidRPr="001A076D" w:rsidRDefault="00E857DE" w:rsidP="00E857DE">
                  <w:pPr>
                    <w:spacing w:line="360" w:lineRule="auto"/>
                  </w:pPr>
                  <w:r w:rsidRPr="001A076D">
                    <w:rPr>
                      <w:rStyle w:val="Strong"/>
                    </w:rPr>
                    <w:t>Figure 4.6:</w:t>
                  </w:r>
                  <w:r w:rsidRPr="001A076D">
                    <w:t xml:space="preserve"> Coding Density Comparison Across Executive and Technical Participants</w:t>
                  </w:r>
                </w:p>
              </w:tc>
              <w:tc>
                <w:tcPr>
                  <w:tcW w:w="0" w:type="auto"/>
                  <w:vAlign w:val="center"/>
                  <w:hideMark/>
                </w:tcPr>
                <w:p w14:paraId="23BC0881" w14:textId="77777777" w:rsidR="00E857DE" w:rsidRPr="001A076D" w:rsidRDefault="00E857DE" w:rsidP="00E857DE">
                  <w:pPr>
                    <w:spacing w:line="360" w:lineRule="auto"/>
                  </w:pPr>
                  <w:r w:rsidRPr="001A076D">
                    <w:t>54</w:t>
                  </w:r>
                </w:p>
              </w:tc>
            </w:tr>
            <w:tr w:rsidR="00E857DE" w:rsidRPr="001A076D" w14:paraId="44B7BE71" w14:textId="77777777" w:rsidTr="00D34A57">
              <w:trPr>
                <w:tblCellSpacing w:w="15" w:type="dxa"/>
              </w:trPr>
              <w:tc>
                <w:tcPr>
                  <w:tcW w:w="0" w:type="auto"/>
                  <w:vAlign w:val="center"/>
                  <w:hideMark/>
                </w:tcPr>
                <w:p w14:paraId="10DB7B3E" w14:textId="77777777" w:rsidR="00E857DE" w:rsidRPr="001A076D" w:rsidRDefault="00E857DE" w:rsidP="00E857DE">
                  <w:pPr>
                    <w:spacing w:line="360" w:lineRule="auto"/>
                  </w:pPr>
                  <w:r w:rsidRPr="001A076D">
                    <w:rPr>
                      <w:rStyle w:val="Strong"/>
                    </w:rPr>
                    <w:t>Figure 4.7:</w:t>
                  </w:r>
                  <w:r w:rsidRPr="001A076D">
                    <w:t xml:space="preserve"> Integrated Empirical Model of Strategic Predictive Analytics Embedding</w:t>
                  </w:r>
                </w:p>
              </w:tc>
              <w:tc>
                <w:tcPr>
                  <w:tcW w:w="0" w:type="auto"/>
                  <w:vAlign w:val="center"/>
                  <w:hideMark/>
                </w:tcPr>
                <w:p w14:paraId="4F13C6A0" w14:textId="77777777" w:rsidR="00E857DE" w:rsidRPr="001A076D" w:rsidRDefault="00E857DE" w:rsidP="00E857DE">
                  <w:pPr>
                    <w:spacing w:line="360" w:lineRule="auto"/>
                  </w:pPr>
                  <w:r w:rsidRPr="001A076D">
                    <w:t>63</w:t>
                  </w:r>
                </w:p>
              </w:tc>
            </w:tr>
            <w:tr w:rsidR="00E857DE" w:rsidRPr="001A076D" w14:paraId="14DF43E6" w14:textId="77777777" w:rsidTr="00D34A57">
              <w:trPr>
                <w:tblCellSpacing w:w="15" w:type="dxa"/>
              </w:trPr>
              <w:tc>
                <w:tcPr>
                  <w:tcW w:w="0" w:type="auto"/>
                  <w:vAlign w:val="center"/>
                  <w:hideMark/>
                </w:tcPr>
                <w:p w14:paraId="5811D87B" w14:textId="77777777" w:rsidR="00E857DE" w:rsidRPr="001A076D" w:rsidRDefault="00E857DE" w:rsidP="00E857DE">
                  <w:pPr>
                    <w:spacing w:line="360" w:lineRule="auto"/>
                  </w:pPr>
                  <w:r w:rsidRPr="001A076D">
                    <w:rPr>
                      <w:rStyle w:val="Strong"/>
                    </w:rPr>
                    <w:t>Figure 5.3:</w:t>
                  </w:r>
                  <w:r w:rsidRPr="001A076D">
                    <w:t xml:space="preserve"> Governance-Mediated Explainable Analytics Framework (GMEAF)</w:t>
                  </w:r>
                </w:p>
              </w:tc>
              <w:tc>
                <w:tcPr>
                  <w:tcW w:w="0" w:type="auto"/>
                  <w:vAlign w:val="center"/>
                  <w:hideMark/>
                </w:tcPr>
                <w:p w14:paraId="3FAAC1F2" w14:textId="77777777" w:rsidR="00E857DE" w:rsidRPr="001A076D" w:rsidRDefault="00E857DE" w:rsidP="00E857DE">
                  <w:pPr>
                    <w:spacing w:line="360" w:lineRule="auto"/>
                  </w:pPr>
                  <w:r w:rsidRPr="001A076D">
                    <w:t>70</w:t>
                  </w:r>
                </w:p>
              </w:tc>
            </w:tr>
          </w:tbl>
          <w:p w14:paraId="5214DE16" w14:textId="77777777" w:rsidR="00E857DE" w:rsidRPr="001A076D" w:rsidRDefault="00E857DE" w:rsidP="00E857DE">
            <w:pPr>
              <w:spacing w:line="360" w:lineRule="auto"/>
              <w:rPr>
                <w:rStyle w:val="Strong"/>
              </w:rPr>
            </w:pPr>
          </w:p>
        </w:tc>
        <w:tc>
          <w:tcPr>
            <w:tcW w:w="0" w:type="auto"/>
            <w:vAlign w:val="center"/>
          </w:tcPr>
          <w:p w14:paraId="0598DC78" w14:textId="77777777" w:rsidR="00E857DE" w:rsidRPr="001A076D" w:rsidRDefault="00E857DE" w:rsidP="00BD773F">
            <w:pPr>
              <w:spacing w:line="360" w:lineRule="auto"/>
            </w:pPr>
          </w:p>
        </w:tc>
      </w:tr>
    </w:tbl>
    <w:p w14:paraId="59B4C0FA" w14:textId="66959ABB" w:rsidR="00065CDF" w:rsidRPr="001A076D" w:rsidRDefault="00065CDF" w:rsidP="00BE51AC">
      <w:pPr>
        <w:pStyle w:val="Heading1"/>
        <w:spacing w:line="276" w:lineRule="auto"/>
        <w:rPr>
          <w:rFonts w:ascii="Times New Roman" w:hAnsi="Times New Roman" w:cs="Times New Roman"/>
          <w:b/>
          <w:bCs/>
          <w:color w:val="auto"/>
        </w:rPr>
      </w:pPr>
      <w:bookmarkStart w:id="7" w:name="_Toc236033321"/>
      <w:r w:rsidRPr="001A076D">
        <w:rPr>
          <w:rFonts w:ascii="Times New Roman" w:hAnsi="Times New Roman" w:cs="Times New Roman"/>
          <w:b/>
          <w:bCs/>
          <w:color w:val="auto"/>
        </w:rPr>
        <w:t>List of Abbreviations</w:t>
      </w:r>
      <w:bookmarkEnd w:id="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2"/>
        <w:gridCol w:w="5573"/>
      </w:tblGrid>
      <w:tr w:rsidR="00064340" w:rsidRPr="001A076D" w14:paraId="29E41C26" w14:textId="77777777" w:rsidTr="00064340">
        <w:trPr>
          <w:tblHeader/>
          <w:tblCellSpacing w:w="15" w:type="dxa"/>
        </w:trPr>
        <w:tc>
          <w:tcPr>
            <w:tcW w:w="0" w:type="auto"/>
            <w:vAlign w:val="center"/>
            <w:hideMark/>
          </w:tcPr>
          <w:p w14:paraId="38D34A86" w14:textId="77777777" w:rsidR="00064340" w:rsidRPr="001A076D" w:rsidRDefault="00064340" w:rsidP="00064340">
            <w:pPr>
              <w:spacing w:line="360" w:lineRule="auto"/>
              <w:rPr>
                <w:b/>
                <w:bCs/>
              </w:rPr>
            </w:pPr>
            <w:r w:rsidRPr="001A076D">
              <w:rPr>
                <w:b/>
                <w:bCs/>
              </w:rPr>
              <w:t>Abbreviation</w:t>
            </w:r>
          </w:p>
        </w:tc>
        <w:tc>
          <w:tcPr>
            <w:tcW w:w="0" w:type="auto"/>
            <w:vAlign w:val="center"/>
            <w:hideMark/>
          </w:tcPr>
          <w:p w14:paraId="1CDEC97A" w14:textId="77777777" w:rsidR="00064340" w:rsidRPr="001A076D" w:rsidRDefault="00064340" w:rsidP="00064340">
            <w:pPr>
              <w:spacing w:line="360" w:lineRule="auto"/>
              <w:rPr>
                <w:b/>
                <w:bCs/>
              </w:rPr>
            </w:pPr>
            <w:r w:rsidRPr="001A076D">
              <w:rPr>
                <w:b/>
                <w:bCs/>
              </w:rPr>
              <w:t>Definition</w:t>
            </w:r>
          </w:p>
        </w:tc>
      </w:tr>
      <w:tr w:rsidR="00064340" w:rsidRPr="001A076D" w14:paraId="3432F998" w14:textId="77777777" w:rsidTr="00064340">
        <w:trPr>
          <w:tblCellSpacing w:w="15" w:type="dxa"/>
        </w:trPr>
        <w:tc>
          <w:tcPr>
            <w:tcW w:w="0" w:type="auto"/>
            <w:vAlign w:val="center"/>
            <w:hideMark/>
          </w:tcPr>
          <w:p w14:paraId="2F189494" w14:textId="77777777" w:rsidR="00064340" w:rsidRPr="001A076D" w:rsidRDefault="00064340" w:rsidP="00064340">
            <w:pPr>
              <w:spacing w:line="360" w:lineRule="auto"/>
            </w:pPr>
            <w:r w:rsidRPr="001A076D">
              <w:t>AI</w:t>
            </w:r>
          </w:p>
        </w:tc>
        <w:tc>
          <w:tcPr>
            <w:tcW w:w="0" w:type="auto"/>
            <w:vAlign w:val="center"/>
            <w:hideMark/>
          </w:tcPr>
          <w:p w14:paraId="5D08C323" w14:textId="77777777" w:rsidR="00064340" w:rsidRPr="001A076D" w:rsidRDefault="00064340" w:rsidP="00064340">
            <w:pPr>
              <w:spacing w:line="360" w:lineRule="auto"/>
            </w:pPr>
            <w:r w:rsidRPr="001A076D">
              <w:t>Artificial Intelligence</w:t>
            </w:r>
          </w:p>
        </w:tc>
      </w:tr>
      <w:tr w:rsidR="00064340" w:rsidRPr="001A076D" w14:paraId="7A4ED48B" w14:textId="77777777" w:rsidTr="00064340">
        <w:trPr>
          <w:tblCellSpacing w:w="15" w:type="dxa"/>
        </w:trPr>
        <w:tc>
          <w:tcPr>
            <w:tcW w:w="0" w:type="auto"/>
            <w:vAlign w:val="center"/>
            <w:hideMark/>
          </w:tcPr>
          <w:p w14:paraId="229E1AEE" w14:textId="77777777" w:rsidR="00064340" w:rsidRPr="001A076D" w:rsidRDefault="00064340" w:rsidP="00064340">
            <w:pPr>
              <w:spacing w:line="360" w:lineRule="auto"/>
            </w:pPr>
            <w:r w:rsidRPr="001A076D">
              <w:t>DAMA-DMBOK</w:t>
            </w:r>
          </w:p>
        </w:tc>
        <w:tc>
          <w:tcPr>
            <w:tcW w:w="0" w:type="auto"/>
            <w:vAlign w:val="center"/>
            <w:hideMark/>
          </w:tcPr>
          <w:p w14:paraId="267BE6B7" w14:textId="77777777" w:rsidR="00064340" w:rsidRPr="001A076D" w:rsidRDefault="00064340" w:rsidP="00064340">
            <w:pPr>
              <w:spacing w:line="360" w:lineRule="auto"/>
            </w:pPr>
            <w:r w:rsidRPr="001A076D">
              <w:t>Data Management Body of Knowledge</w:t>
            </w:r>
          </w:p>
        </w:tc>
      </w:tr>
      <w:tr w:rsidR="00064340" w:rsidRPr="001A076D" w14:paraId="311541AF" w14:textId="77777777" w:rsidTr="00064340">
        <w:trPr>
          <w:tblCellSpacing w:w="15" w:type="dxa"/>
        </w:trPr>
        <w:tc>
          <w:tcPr>
            <w:tcW w:w="0" w:type="auto"/>
            <w:vAlign w:val="center"/>
            <w:hideMark/>
          </w:tcPr>
          <w:p w14:paraId="3D3CBF13" w14:textId="77777777" w:rsidR="00064340" w:rsidRPr="001A076D" w:rsidRDefault="00064340" w:rsidP="00064340">
            <w:pPr>
              <w:spacing w:line="360" w:lineRule="auto"/>
            </w:pPr>
            <w:r w:rsidRPr="001A076D">
              <w:t>DCAM</w:t>
            </w:r>
          </w:p>
        </w:tc>
        <w:tc>
          <w:tcPr>
            <w:tcW w:w="0" w:type="auto"/>
            <w:vAlign w:val="center"/>
            <w:hideMark/>
          </w:tcPr>
          <w:p w14:paraId="5E7B0901" w14:textId="77777777" w:rsidR="00064340" w:rsidRPr="001A076D" w:rsidRDefault="00064340" w:rsidP="00064340">
            <w:pPr>
              <w:spacing w:line="360" w:lineRule="auto"/>
            </w:pPr>
            <w:r w:rsidRPr="001A076D">
              <w:t>Data Management Capability Assessment Model</w:t>
            </w:r>
          </w:p>
        </w:tc>
      </w:tr>
      <w:tr w:rsidR="00064340" w:rsidRPr="001A076D" w14:paraId="48817C16" w14:textId="77777777" w:rsidTr="00064340">
        <w:trPr>
          <w:tblCellSpacing w:w="15" w:type="dxa"/>
        </w:trPr>
        <w:tc>
          <w:tcPr>
            <w:tcW w:w="0" w:type="auto"/>
            <w:vAlign w:val="center"/>
            <w:hideMark/>
          </w:tcPr>
          <w:p w14:paraId="178593A5" w14:textId="77777777" w:rsidR="00064340" w:rsidRPr="001A076D" w:rsidRDefault="00064340" w:rsidP="00064340">
            <w:pPr>
              <w:spacing w:line="360" w:lineRule="auto"/>
            </w:pPr>
            <w:r w:rsidRPr="001A076D">
              <w:t>DELTA</w:t>
            </w:r>
          </w:p>
        </w:tc>
        <w:tc>
          <w:tcPr>
            <w:tcW w:w="0" w:type="auto"/>
            <w:vAlign w:val="center"/>
            <w:hideMark/>
          </w:tcPr>
          <w:p w14:paraId="7A7DD5D6" w14:textId="77777777" w:rsidR="00064340" w:rsidRPr="001A076D" w:rsidRDefault="00064340" w:rsidP="00064340">
            <w:pPr>
              <w:spacing w:line="360" w:lineRule="auto"/>
            </w:pPr>
            <w:r w:rsidRPr="001A076D">
              <w:t>Data, Enterprise, Leadership, Targets and Analysts</w:t>
            </w:r>
          </w:p>
        </w:tc>
      </w:tr>
      <w:tr w:rsidR="00064340" w:rsidRPr="001A076D" w14:paraId="789C2CF4" w14:textId="77777777" w:rsidTr="00064340">
        <w:trPr>
          <w:tblCellSpacing w:w="15" w:type="dxa"/>
        </w:trPr>
        <w:tc>
          <w:tcPr>
            <w:tcW w:w="0" w:type="auto"/>
            <w:vAlign w:val="center"/>
            <w:hideMark/>
          </w:tcPr>
          <w:p w14:paraId="2A822FE2" w14:textId="77777777" w:rsidR="00064340" w:rsidRPr="001A076D" w:rsidRDefault="00064340" w:rsidP="00064340">
            <w:pPr>
              <w:spacing w:line="360" w:lineRule="auto"/>
            </w:pPr>
            <w:r w:rsidRPr="001A076D">
              <w:t>DQ</w:t>
            </w:r>
          </w:p>
        </w:tc>
        <w:tc>
          <w:tcPr>
            <w:tcW w:w="0" w:type="auto"/>
            <w:vAlign w:val="center"/>
            <w:hideMark/>
          </w:tcPr>
          <w:p w14:paraId="5F73CD69" w14:textId="77777777" w:rsidR="00064340" w:rsidRPr="001A076D" w:rsidRDefault="00064340" w:rsidP="00064340">
            <w:pPr>
              <w:spacing w:line="360" w:lineRule="auto"/>
            </w:pPr>
            <w:r w:rsidRPr="001A076D">
              <w:t>Data Quality</w:t>
            </w:r>
          </w:p>
        </w:tc>
      </w:tr>
      <w:tr w:rsidR="00064340" w:rsidRPr="001A076D" w14:paraId="6DDFB7A0" w14:textId="77777777" w:rsidTr="00064340">
        <w:trPr>
          <w:tblCellSpacing w:w="15" w:type="dxa"/>
        </w:trPr>
        <w:tc>
          <w:tcPr>
            <w:tcW w:w="0" w:type="auto"/>
            <w:vAlign w:val="center"/>
            <w:hideMark/>
          </w:tcPr>
          <w:p w14:paraId="1A75777E" w14:textId="77777777" w:rsidR="00064340" w:rsidRPr="001A076D" w:rsidRDefault="00064340" w:rsidP="00064340">
            <w:pPr>
              <w:spacing w:line="360" w:lineRule="auto"/>
            </w:pPr>
            <w:r w:rsidRPr="001A076D">
              <w:t>EDM</w:t>
            </w:r>
          </w:p>
        </w:tc>
        <w:tc>
          <w:tcPr>
            <w:tcW w:w="0" w:type="auto"/>
            <w:vAlign w:val="center"/>
            <w:hideMark/>
          </w:tcPr>
          <w:p w14:paraId="2775D100" w14:textId="77777777" w:rsidR="00064340" w:rsidRPr="001A076D" w:rsidRDefault="00064340" w:rsidP="00064340">
            <w:pPr>
              <w:spacing w:line="360" w:lineRule="auto"/>
            </w:pPr>
            <w:r w:rsidRPr="001A076D">
              <w:t>Enterprise Data Management</w:t>
            </w:r>
          </w:p>
        </w:tc>
      </w:tr>
      <w:tr w:rsidR="00064340" w:rsidRPr="001A076D" w14:paraId="28985C83" w14:textId="77777777" w:rsidTr="00064340">
        <w:trPr>
          <w:tblCellSpacing w:w="15" w:type="dxa"/>
        </w:trPr>
        <w:tc>
          <w:tcPr>
            <w:tcW w:w="0" w:type="auto"/>
            <w:vAlign w:val="center"/>
            <w:hideMark/>
          </w:tcPr>
          <w:p w14:paraId="3A947208" w14:textId="77777777" w:rsidR="00064340" w:rsidRPr="001A076D" w:rsidRDefault="00064340" w:rsidP="00064340">
            <w:pPr>
              <w:spacing w:line="360" w:lineRule="auto"/>
            </w:pPr>
            <w:r w:rsidRPr="001A076D">
              <w:t>ESG</w:t>
            </w:r>
          </w:p>
        </w:tc>
        <w:tc>
          <w:tcPr>
            <w:tcW w:w="0" w:type="auto"/>
            <w:vAlign w:val="center"/>
            <w:hideMark/>
          </w:tcPr>
          <w:p w14:paraId="6BE76EF3" w14:textId="77777777" w:rsidR="00064340" w:rsidRPr="001A076D" w:rsidRDefault="00064340" w:rsidP="00064340">
            <w:pPr>
              <w:spacing w:line="360" w:lineRule="auto"/>
            </w:pPr>
            <w:r w:rsidRPr="001A076D">
              <w:t>Environmental, Social and Governance</w:t>
            </w:r>
          </w:p>
        </w:tc>
      </w:tr>
      <w:tr w:rsidR="00064340" w:rsidRPr="001A076D" w14:paraId="471B9B41" w14:textId="77777777" w:rsidTr="00064340">
        <w:trPr>
          <w:tblCellSpacing w:w="15" w:type="dxa"/>
        </w:trPr>
        <w:tc>
          <w:tcPr>
            <w:tcW w:w="0" w:type="auto"/>
            <w:vAlign w:val="center"/>
            <w:hideMark/>
          </w:tcPr>
          <w:p w14:paraId="7821C735" w14:textId="77777777" w:rsidR="00064340" w:rsidRPr="001A076D" w:rsidRDefault="00064340" w:rsidP="00064340">
            <w:pPr>
              <w:spacing w:line="360" w:lineRule="auto"/>
            </w:pPr>
            <w:r w:rsidRPr="001A076D">
              <w:t>GDPR</w:t>
            </w:r>
          </w:p>
        </w:tc>
        <w:tc>
          <w:tcPr>
            <w:tcW w:w="0" w:type="auto"/>
            <w:vAlign w:val="center"/>
            <w:hideMark/>
          </w:tcPr>
          <w:p w14:paraId="42E4303E" w14:textId="77777777" w:rsidR="00064340" w:rsidRPr="001A076D" w:rsidRDefault="00064340" w:rsidP="00064340">
            <w:pPr>
              <w:spacing w:line="360" w:lineRule="auto"/>
            </w:pPr>
            <w:r w:rsidRPr="001A076D">
              <w:t>General Data Protection Regulation</w:t>
            </w:r>
          </w:p>
        </w:tc>
      </w:tr>
      <w:tr w:rsidR="00064340" w:rsidRPr="001A076D" w14:paraId="19B39C13" w14:textId="77777777" w:rsidTr="00064340">
        <w:trPr>
          <w:tblCellSpacing w:w="15" w:type="dxa"/>
        </w:trPr>
        <w:tc>
          <w:tcPr>
            <w:tcW w:w="0" w:type="auto"/>
            <w:vAlign w:val="center"/>
            <w:hideMark/>
          </w:tcPr>
          <w:p w14:paraId="091FF990" w14:textId="77777777" w:rsidR="00064340" w:rsidRPr="001A076D" w:rsidRDefault="00064340" w:rsidP="00064340">
            <w:pPr>
              <w:spacing w:line="360" w:lineRule="auto"/>
            </w:pPr>
            <w:r w:rsidRPr="001A076D">
              <w:t>GM</w:t>
            </w:r>
          </w:p>
        </w:tc>
        <w:tc>
          <w:tcPr>
            <w:tcW w:w="0" w:type="auto"/>
            <w:vAlign w:val="center"/>
            <w:hideMark/>
          </w:tcPr>
          <w:p w14:paraId="2AB5C0D6" w14:textId="77777777" w:rsidR="00064340" w:rsidRPr="001A076D" w:rsidRDefault="00064340" w:rsidP="00064340">
            <w:pPr>
              <w:spacing w:line="360" w:lineRule="auto"/>
            </w:pPr>
            <w:r w:rsidRPr="001A076D">
              <w:t>Governance Maturity</w:t>
            </w:r>
          </w:p>
        </w:tc>
      </w:tr>
      <w:tr w:rsidR="00064340" w:rsidRPr="001A076D" w14:paraId="71D62389" w14:textId="77777777" w:rsidTr="00064340">
        <w:trPr>
          <w:tblCellSpacing w:w="15" w:type="dxa"/>
        </w:trPr>
        <w:tc>
          <w:tcPr>
            <w:tcW w:w="0" w:type="auto"/>
            <w:vAlign w:val="center"/>
            <w:hideMark/>
          </w:tcPr>
          <w:p w14:paraId="1A773F93" w14:textId="77777777" w:rsidR="00064340" w:rsidRPr="001A076D" w:rsidRDefault="00064340" w:rsidP="00064340">
            <w:pPr>
              <w:spacing w:line="360" w:lineRule="auto"/>
            </w:pPr>
            <w:r w:rsidRPr="001A076D">
              <w:t>GMEAF</w:t>
            </w:r>
          </w:p>
        </w:tc>
        <w:tc>
          <w:tcPr>
            <w:tcW w:w="0" w:type="auto"/>
            <w:vAlign w:val="center"/>
            <w:hideMark/>
          </w:tcPr>
          <w:p w14:paraId="6BCEA67E" w14:textId="77777777" w:rsidR="00064340" w:rsidRPr="001A076D" w:rsidRDefault="00064340" w:rsidP="00064340">
            <w:pPr>
              <w:spacing w:line="360" w:lineRule="auto"/>
            </w:pPr>
            <w:r w:rsidRPr="001A076D">
              <w:t>Governance-Mediated Explainable Analytics Framework</w:t>
            </w:r>
          </w:p>
        </w:tc>
      </w:tr>
      <w:tr w:rsidR="00064340" w:rsidRPr="001A076D" w14:paraId="72B2C395" w14:textId="77777777" w:rsidTr="00064340">
        <w:trPr>
          <w:tblCellSpacing w:w="15" w:type="dxa"/>
        </w:trPr>
        <w:tc>
          <w:tcPr>
            <w:tcW w:w="0" w:type="auto"/>
            <w:vAlign w:val="center"/>
            <w:hideMark/>
          </w:tcPr>
          <w:p w14:paraId="3F1E3109" w14:textId="77777777" w:rsidR="00064340" w:rsidRPr="001A076D" w:rsidRDefault="00064340" w:rsidP="00064340">
            <w:pPr>
              <w:spacing w:line="360" w:lineRule="auto"/>
            </w:pPr>
            <w:r w:rsidRPr="001A076D">
              <w:t>ICO</w:t>
            </w:r>
          </w:p>
        </w:tc>
        <w:tc>
          <w:tcPr>
            <w:tcW w:w="0" w:type="auto"/>
            <w:vAlign w:val="center"/>
            <w:hideMark/>
          </w:tcPr>
          <w:p w14:paraId="044C0043" w14:textId="77777777" w:rsidR="00064340" w:rsidRPr="001A076D" w:rsidRDefault="00064340" w:rsidP="00064340">
            <w:pPr>
              <w:spacing w:line="360" w:lineRule="auto"/>
            </w:pPr>
            <w:r w:rsidRPr="001A076D">
              <w:t>Information Commissioner's Office</w:t>
            </w:r>
          </w:p>
        </w:tc>
      </w:tr>
      <w:tr w:rsidR="00064340" w:rsidRPr="001A076D" w14:paraId="7530382A" w14:textId="77777777" w:rsidTr="00064340">
        <w:trPr>
          <w:tblCellSpacing w:w="15" w:type="dxa"/>
        </w:trPr>
        <w:tc>
          <w:tcPr>
            <w:tcW w:w="0" w:type="auto"/>
            <w:vAlign w:val="center"/>
            <w:hideMark/>
          </w:tcPr>
          <w:p w14:paraId="4F0622A4" w14:textId="77777777" w:rsidR="00064340" w:rsidRPr="001A076D" w:rsidRDefault="00064340" w:rsidP="00064340">
            <w:pPr>
              <w:spacing w:line="360" w:lineRule="auto"/>
            </w:pPr>
            <w:r w:rsidRPr="001A076D">
              <w:t>IT</w:t>
            </w:r>
          </w:p>
        </w:tc>
        <w:tc>
          <w:tcPr>
            <w:tcW w:w="0" w:type="auto"/>
            <w:vAlign w:val="center"/>
            <w:hideMark/>
          </w:tcPr>
          <w:p w14:paraId="396BBCA1" w14:textId="77777777" w:rsidR="00064340" w:rsidRPr="001A076D" w:rsidRDefault="00064340" w:rsidP="00064340">
            <w:pPr>
              <w:spacing w:line="360" w:lineRule="auto"/>
            </w:pPr>
            <w:r w:rsidRPr="001A076D">
              <w:t>Information Technology</w:t>
            </w:r>
          </w:p>
        </w:tc>
      </w:tr>
      <w:tr w:rsidR="00064340" w:rsidRPr="001A076D" w14:paraId="4EF7E4CA" w14:textId="77777777" w:rsidTr="00064340">
        <w:trPr>
          <w:tblCellSpacing w:w="15" w:type="dxa"/>
        </w:trPr>
        <w:tc>
          <w:tcPr>
            <w:tcW w:w="0" w:type="auto"/>
            <w:vAlign w:val="center"/>
            <w:hideMark/>
          </w:tcPr>
          <w:p w14:paraId="55E78EA1" w14:textId="77777777" w:rsidR="00064340" w:rsidRPr="001A076D" w:rsidRDefault="00064340" w:rsidP="00064340">
            <w:pPr>
              <w:spacing w:line="360" w:lineRule="auto"/>
            </w:pPr>
            <w:r w:rsidRPr="001A076D">
              <w:t>ML</w:t>
            </w:r>
          </w:p>
        </w:tc>
        <w:tc>
          <w:tcPr>
            <w:tcW w:w="0" w:type="auto"/>
            <w:vAlign w:val="center"/>
            <w:hideMark/>
          </w:tcPr>
          <w:p w14:paraId="2F579B91" w14:textId="77777777" w:rsidR="00064340" w:rsidRPr="001A076D" w:rsidRDefault="00064340" w:rsidP="00064340">
            <w:pPr>
              <w:spacing w:line="360" w:lineRule="auto"/>
            </w:pPr>
            <w:r w:rsidRPr="001A076D">
              <w:t>Machine Learning</w:t>
            </w:r>
          </w:p>
        </w:tc>
      </w:tr>
      <w:tr w:rsidR="00064340" w:rsidRPr="001A076D" w14:paraId="78A1209F" w14:textId="77777777" w:rsidTr="00064340">
        <w:trPr>
          <w:tblCellSpacing w:w="15" w:type="dxa"/>
        </w:trPr>
        <w:tc>
          <w:tcPr>
            <w:tcW w:w="0" w:type="auto"/>
            <w:vAlign w:val="center"/>
            <w:hideMark/>
          </w:tcPr>
          <w:p w14:paraId="1710EE6E" w14:textId="77777777" w:rsidR="00064340" w:rsidRPr="001A076D" w:rsidRDefault="00064340" w:rsidP="00064340">
            <w:pPr>
              <w:spacing w:line="360" w:lineRule="auto"/>
            </w:pPr>
            <w:r w:rsidRPr="001A076D">
              <w:t>NVivo</w:t>
            </w:r>
          </w:p>
        </w:tc>
        <w:tc>
          <w:tcPr>
            <w:tcW w:w="0" w:type="auto"/>
            <w:vAlign w:val="center"/>
            <w:hideMark/>
          </w:tcPr>
          <w:p w14:paraId="7F97ABA7" w14:textId="77777777" w:rsidR="00064340" w:rsidRPr="001A076D" w:rsidRDefault="00064340" w:rsidP="00064340">
            <w:pPr>
              <w:spacing w:line="360" w:lineRule="auto"/>
            </w:pPr>
            <w:r w:rsidRPr="001A076D">
              <w:t>Qualitative Data Analysis Software</w:t>
            </w:r>
          </w:p>
        </w:tc>
      </w:tr>
      <w:tr w:rsidR="00064340" w:rsidRPr="001A076D" w14:paraId="49218C86" w14:textId="77777777" w:rsidTr="00064340">
        <w:trPr>
          <w:tblCellSpacing w:w="15" w:type="dxa"/>
        </w:trPr>
        <w:tc>
          <w:tcPr>
            <w:tcW w:w="0" w:type="auto"/>
            <w:vAlign w:val="center"/>
            <w:hideMark/>
          </w:tcPr>
          <w:p w14:paraId="586D76CF" w14:textId="77777777" w:rsidR="00064340" w:rsidRPr="001A076D" w:rsidRDefault="00064340" w:rsidP="00064340">
            <w:pPr>
              <w:spacing w:line="360" w:lineRule="auto"/>
            </w:pPr>
            <w:r w:rsidRPr="001A076D">
              <w:t>Ofgem</w:t>
            </w:r>
          </w:p>
        </w:tc>
        <w:tc>
          <w:tcPr>
            <w:tcW w:w="0" w:type="auto"/>
            <w:vAlign w:val="center"/>
            <w:hideMark/>
          </w:tcPr>
          <w:p w14:paraId="7A73D78F" w14:textId="77777777" w:rsidR="00064340" w:rsidRPr="001A076D" w:rsidRDefault="00064340" w:rsidP="00064340">
            <w:pPr>
              <w:spacing w:line="360" w:lineRule="auto"/>
            </w:pPr>
            <w:r w:rsidRPr="001A076D">
              <w:t>Office of Gas and Electricity Markets</w:t>
            </w:r>
          </w:p>
        </w:tc>
      </w:tr>
      <w:tr w:rsidR="00064340" w:rsidRPr="001A076D" w14:paraId="6A8A7A7C" w14:textId="77777777" w:rsidTr="00064340">
        <w:trPr>
          <w:tblCellSpacing w:w="15" w:type="dxa"/>
        </w:trPr>
        <w:tc>
          <w:tcPr>
            <w:tcW w:w="0" w:type="auto"/>
            <w:vAlign w:val="center"/>
            <w:hideMark/>
          </w:tcPr>
          <w:p w14:paraId="2718C906" w14:textId="77777777" w:rsidR="00064340" w:rsidRPr="001A076D" w:rsidRDefault="00064340" w:rsidP="00064340">
            <w:pPr>
              <w:spacing w:line="360" w:lineRule="auto"/>
            </w:pPr>
            <w:r w:rsidRPr="001A076D">
              <w:lastRenderedPageBreak/>
              <w:t>OR</w:t>
            </w:r>
          </w:p>
        </w:tc>
        <w:tc>
          <w:tcPr>
            <w:tcW w:w="0" w:type="auto"/>
            <w:vAlign w:val="center"/>
            <w:hideMark/>
          </w:tcPr>
          <w:p w14:paraId="7CE4A492" w14:textId="77777777" w:rsidR="00064340" w:rsidRPr="001A076D" w:rsidRDefault="00064340" w:rsidP="00064340">
            <w:pPr>
              <w:spacing w:line="360" w:lineRule="auto"/>
            </w:pPr>
            <w:r w:rsidRPr="001A076D">
              <w:t>Organisational Readiness</w:t>
            </w:r>
          </w:p>
        </w:tc>
      </w:tr>
      <w:tr w:rsidR="00064340" w:rsidRPr="001A076D" w14:paraId="75B84DE4" w14:textId="77777777" w:rsidTr="00064340">
        <w:trPr>
          <w:tblCellSpacing w:w="15" w:type="dxa"/>
        </w:trPr>
        <w:tc>
          <w:tcPr>
            <w:tcW w:w="0" w:type="auto"/>
            <w:vAlign w:val="center"/>
            <w:hideMark/>
          </w:tcPr>
          <w:p w14:paraId="5D89D437" w14:textId="77777777" w:rsidR="00064340" w:rsidRPr="001A076D" w:rsidRDefault="00064340" w:rsidP="00064340">
            <w:pPr>
              <w:spacing w:line="360" w:lineRule="auto"/>
            </w:pPr>
            <w:r w:rsidRPr="001A076D">
              <w:t>PAC</w:t>
            </w:r>
          </w:p>
        </w:tc>
        <w:tc>
          <w:tcPr>
            <w:tcW w:w="0" w:type="auto"/>
            <w:vAlign w:val="center"/>
            <w:hideMark/>
          </w:tcPr>
          <w:p w14:paraId="0B9F34C6" w14:textId="77777777" w:rsidR="00064340" w:rsidRPr="001A076D" w:rsidRDefault="00064340" w:rsidP="00064340">
            <w:pPr>
              <w:spacing w:line="360" w:lineRule="auto"/>
            </w:pPr>
            <w:r w:rsidRPr="001A076D">
              <w:t>Predictive Analytics Capability</w:t>
            </w:r>
          </w:p>
        </w:tc>
      </w:tr>
      <w:tr w:rsidR="00064340" w:rsidRPr="001A076D" w14:paraId="53E3A905" w14:textId="77777777" w:rsidTr="00064340">
        <w:trPr>
          <w:tblCellSpacing w:w="15" w:type="dxa"/>
        </w:trPr>
        <w:tc>
          <w:tcPr>
            <w:tcW w:w="0" w:type="auto"/>
            <w:vAlign w:val="center"/>
            <w:hideMark/>
          </w:tcPr>
          <w:p w14:paraId="3A912C59" w14:textId="77777777" w:rsidR="00064340" w:rsidRPr="001A076D" w:rsidRDefault="00064340" w:rsidP="00064340">
            <w:pPr>
              <w:spacing w:line="360" w:lineRule="auto"/>
            </w:pPr>
            <w:r w:rsidRPr="001A076D">
              <w:t>RQ</w:t>
            </w:r>
          </w:p>
        </w:tc>
        <w:tc>
          <w:tcPr>
            <w:tcW w:w="0" w:type="auto"/>
            <w:vAlign w:val="center"/>
            <w:hideMark/>
          </w:tcPr>
          <w:p w14:paraId="6E5F2A38" w14:textId="77777777" w:rsidR="00064340" w:rsidRPr="001A076D" w:rsidRDefault="00064340" w:rsidP="00064340">
            <w:pPr>
              <w:spacing w:line="360" w:lineRule="auto"/>
            </w:pPr>
            <w:r w:rsidRPr="001A076D">
              <w:t>Research Question</w:t>
            </w:r>
          </w:p>
        </w:tc>
      </w:tr>
      <w:tr w:rsidR="00064340" w:rsidRPr="001A076D" w14:paraId="15F73307" w14:textId="77777777" w:rsidTr="00064340">
        <w:trPr>
          <w:tblCellSpacing w:w="15" w:type="dxa"/>
        </w:trPr>
        <w:tc>
          <w:tcPr>
            <w:tcW w:w="0" w:type="auto"/>
            <w:vAlign w:val="center"/>
            <w:hideMark/>
          </w:tcPr>
          <w:p w14:paraId="5FD7F643" w14:textId="77777777" w:rsidR="00064340" w:rsidRPr="001A076D" w:rsidRDefault="00064340" w:rsidP="00064340">
            <w:pPr>
              <w:spacing w:line="360" w:lineRule="auto"/>
            </w:pPr>
            <w:r w:rsidRPr="001A076D">
              <w:t>SE</w:t>
            </w:r>
          </w:p>
        </w:tc>
        <w:tc>
          <w:tcPr>
            <w:tcW w:w="0" w:type="auto"/>
            <w:vAlign w:val="center"/>
            <w:hideMark/>
          </w:tcPr>
          <w:p w14:paraId="7B0F532F" w14:textId="77777777" w:rsidR="00064340" w:rsidRPr="001A076D" w:rsidRDefault="00064340" w:rsidP="00064340">
            <w:pPr>
              <w:spacing w:line="360" w:lineRule="auto"/>
            </w:pPr>
            <w:r w:rsidRPr="001A076D">
              <w:t>Strategic Embedding</w:t>
            </w:r>
          </w:p>
        </w:tc>
      </w:tr>
      <w:tr w:rsidR="00064340" w:rsidRPr="001A076D" w14:paraId="370F3AE8" w14:textId="77777777" w:rsidTr="00064340">
        <w:trPr>
          <w:tblCellSpacing w:w="15" w:type="dxa"/>
        </w:trPr>
        <w:tc>
          <w:tcPr>
            <w:tcW w:w="0" w:type="auto"/>
            <w:vAlign w:val="center"/>
            <w:hideMark/>
          </w:tcPr>
          <w:p w14:paraId="476D5E3F" w14:textId="77777777" w:rsidR="00064340" w:rsidRPr="001A076D" w:rsidRDefault="00064340" w:rsidP="00064340">
            <w:pPr>
              <w:spacing w:line="360" w:lineRule="auto"/>
            </w:pPr>
            <w:r w:rsidRPr="001A076D">
              <w:t>SEM</w:t>
            </w:r>
          </w:p>
        </w:tc>
        <w:tc>
          <w:tcPr>
            <w:tcW w:w="0" w:type="auto"/>
            <w:vAlign w:val="center"/>
            <w:hideMark/>
          </w:tcPr>
          <w:p w14:paraId="49C57466" w14:textId="77777777" w:rsidR="00064340" w:rsidRPr="001A076D" w:rsidRDefault="00064340" w:rsidP="00064340">
            <w:pPr>
              <w:spacing w:line="360" w:lineRule="auto"/>
            </w:pPr>
            <w:r w:rsidRPr="001A076D">
              <w:t>Structural Equation Modelling</w:t>
            </w:r>
          </w:p>
        </w:tc>
      </w:tr>
      <w:tr w:rsidR="00064340" w:rsidRPr="001A076D" w14:paraId="73E965A1" w14:textId="77777777" w:rsidTr="00064340">
        <w:trPr>
          <w:tblCellSpacing w:w="15" w:type="dxa"/>
        </w:trPr>
        <w:tc>
          <w:tcPr>
            <w:tcW w:w="0" w:type="auto"/>
            <w:vAlign w:val="center"/>
            <w:hideMark/>
          </w:tcPr>
          <w:p w14:paraId="5E53A58E" w14:textId="77777777" w:rsidR="00064340" w:rsidRPr="001A076D" w:rsidRDefault="00064340" w:rsidP="00064340">
            <w:pPr>
              <w:spacing w:line="360" w:lineRule="auto"/>
            </w:pPr>
            <w:r w:rsidRPr="001A076D">
              <w:t>SPSS</w:t>
            </w:r>
          </w:p>
        </w:tc>
        <w:tc>
          <w:tcPr>
            <w:tcW w:w="0" w:type="auto"/>
            <w:vAlign w:val="center"/>
            <w:hideMark/>
          </w:tcPr>
          <w:p w14:paraId="4A03192B" w14:textId="77777777" w:rsidR="00064340" w:rsidRPr="001A076D" w:rsidRDefault="00064340" w:rsidP="00064340">
            <w:pPr>
              <w:spacing w:line="360" w:lineRule="auto"/>
            </w:pPr>
            <w:r w:rsidRPr="001A076D">
              <w:t>Statistical Package for the Social Sciences</w:t>
            </w:r>
          </w:p>
        </w:tc>
      </w:tr>
      <w:tr w:rsidR="00064340" w:rsidRPr="001A076D" w14:paraId="59EECBC4" w14:textId="77777777" w:rsidTr="00064340">
        <w:trPr>
          <w:tblCellSpacing w:w="15" w:type="dxa"/>
        </w:trPr>
        <w:tc>
          <w:tcPr>
            <w:tcW w:w="0" w:type="auto"/>
            <w:vAlign w:val="center"/>
            <w:hideMark/>
          </w:tcPr>
          <w:p w14:paraId="5BECB79D" w14:textId="77777777" w:rsidR="00064340" w:rsidRPr="001A076D" w:rsidRDefault="00064340" w:rsidP="00064340">
            <w:pPr>
              <w:spacing w:line="360" w:lineRule="auto"/>
            </w:pPr>
            <w:r w:rsidRPr="001A076D">
              <w:t>SSE plc</w:t>
            </w:r>
          </w:p>
        </w:tc>
        <w:tc>
          <w:tcPr>
            <w:tcW w:w="0" w:type="auto"/>
            <w:vAlign w:val="center"/>
            <w:hideMark/>
          </w:tcPr>
          <w:p w14:paraId="234CF20E" w14:textId="77777777" w:rsidR="00064340" w:rsidRPr="001A076D" w:rsidRDefault="00064340" w:rsidP="00064340">
            <w:pPr>
              <w:spacing w:line="360" w:lineRule="auto"/>
            </w:pPr>
            <w:r w:rsidRPr="001A076D">
              <w:t>Scottish and Southern Energy plc</w:t>
            </w:r>
          </w:p>
        </w:tc>
      </w:tr>
      <w:tr w:rsidR="00064340" w:rsidRPr="001A076D" w14:paraId="7483F5CB" w14:textId="77777777" w:rsidTr="00064340">
        <w:trPr>
          <w:tblCellSpacing w:w="15" w:type="dxa"/>
        </w:trPr>
        <w:tc>
          <w:tcPr>
            <w:tcW w:w="0" w:type="auto"/>
            <w:vAlign w:val="center"/>
            <w:hideMark/>
          </w:tcPr>
          <w:p w14:paraId="390BFF63" w14:textId="77777777" w:rsidR="00064340" w:rsidRPr="001A076D" w:rsidRDefault="00064340" w:rsidP="00064340">
            <w:pPr>
              <w:spacing w:line="360" w:lineRule="auto"/>
            </w:pPr>
            <w:r w:rsidRPr="001A076D">
              <w:t>TE</w:t>
            </w:r>
          </w:p>
        </w:tc>
        <w:tc>
          <w:tcPr>
            <w:tcW w:w="0" w:type="auto"/>
            <w:vAlign w:val="center"/>
            <w:hideMark/>
          </w:tcPr>
          <w:p w14:paraId="1C5142FF" w14:textId="77777777" w:rsidR="00064340" w:rsidRPr="001A076D" w:rsidRDefault="00064340" w:rsidP="00064340">
            <w:pPr>
              <w:spacing w:line="360" w:lineRule="auto"/>
            </w:pPr>
            <w:r w:rsidRPr="001A076D">
              <w:t>Trust and Explainability</w:t>
            </w:r>
          </w:p>
        </w:tc>
      </w:tr>
      <w:tr w:rsidR="00064340" w:rsidRPr="001A076D" w14:paraId="11384806" w14:textId="77777777" w:rsidTr="00064340">
        <w:trPr>
          <w:tblCellSpacing w:w="15" w:type="dxa"/>
        </w:trPr>
        <w:tc>
          <w:tcPr>
            <w:tcW w:w="0" w:type="auto"/>
            <w:vAlign w:val="center"/>
            <w:hideMark/>
          </w:tcPr>
          <w:p w14:paraId="05795FB1" w14:textId="77777777" w:rsidR="00064340" w:rsidRPr="001A076D" w:rsidRDefault="00064340" w:rsidP="00064340">
            <w:pPr>
              <w:spacing w:line="360" w:lineRule="auto"/>
            </w:pPr>
            <w:r w:rsidRPr="001A076D">
              <w:t>TOE</w:t>
            </w:r>
          </w:p>
        </w:tc>
        <w:tc>
          <w:tcPr>
            <w:tcW w:w="0" w:type="auto"/>
            <w:vAlign w:val="center"/>
            <w:hideMark/>
          </w:tcPr>
          <w:p w14:paraId="1C58AED8" w14:textId="77777777" w:rsidR="00064340" w:rsidRPr="001A076D" w:rsidRDefault="00064340" w:rsidP="00064340">
            <w:pPr>
              <w:spacing w:line="360" w:lineRule="auto"/>
            </w:pPr>
            <w:r w:rsidRPr="001A076D">
              <w:t>Technology–Organisation–Environment</w:t>
            </w:r>
          </w:p>
        </w:tc>
      </w:tr>
      <w:tr w:rsidR="00064340" w:rsidRPr="001A076D" w14:paraId="4C3E0387" w14:textId="77777777" w:rsidTr="00064340">
        <w:trPr>
          <w:tblCellSpacing w:w="15" w:type="dxa"/>
        </w:trPr>
        <w:tc>
          <w:tcPr>
            <w:tcW w:w="0" w:type="auto"/>
            <w:vAlign w:val="center"/>
            <w:hideMark/>
          </w:tcPr>
          <w:p w14:paraId="372FC075" w14:textId="77777777" w:rsidR="00064340" w:rsidRPr="001A076D" w:rsidRDefault="00064340" w:rsidP="00064340">
            <w:pPr>
              <w:spacing w:line="360" w:lineRule="auto"/>
            </w:pPr>
            <w:r w:rsidRPr="001A076D">
              <w:t>UK GDPR</w:t>
            </w:r>
          </w:p>
        </w:tc>
        <w:tc>
          <w:tcPr>
            <w:tcW w:w="0" w:type="auto"/>
            <w:vAlign w:val="center"/>
            <w:hideMark/>
          </w:tcPr>
          <w:p w14:paraId="3DF71DC6" w14:textId="77777777" w:rsidR="00064340" w:rsidRPr="001A076D" w:rsidRDefault="00064340" w:rsidP="00064340">
            <w:pPr>
              <w:spacing w:line="360" w:lineRule="auto"/>
            </w:pPr>
            <w:r w:rsidRPr="001A076D">
              <w:t>United Kingdom General Data Protection Regulation</w:t>
            </w:r>
          </w:p>
        </w:tc>
      </w:tr>
      <w:tr w:rsidR="00064340" w:rsidRPr="001A076D" w14:paraId="48956F09" w14:textId="77777777" w:rsidTr="00064340">
        <w:trPr>
          <w:tblCellSpacing w:w="15" w:type="dxa"/>
        </w:trPr>
        <w:tc>
          <w:tcPr>
            <w:tcW w:w="0" w:type="auto"/>
            <w:vAlign w:val="center"/>
            <w:hideMark/>
          </w:tcPr>
          <w:p w14:paraId="021A40A4" w14:textId="77777777" w:rsidR="00064340" w:rsidRPr="001A076D" w:rsidRDefault="00064340" w:rsidP="00064340">
            <w:pPr>
              <w:spacing w:line="360" w:lineRule="auto"/>
            </w:pPr>
            <w:r w:rsidRPr="001A076D">
              <w:t>UWTSD</w:t>
            </w:r>
          </w:p>
        </w:tc>
        <w:tc>
          <w:tcPr>
            <w:tcW w:w="0" w:type="auto"/>
            <w:vAlign w:val="center"/>
            <w:hideMark/>
          </w:tcPr>
          <w:p w14:paraId="442E8AF3" w14:textId="77777777" w:rsidR="00064340" w:rsidRPr="001A076D" w:rsidRDefault="00064340" w:rsidP="00064340">
            <w:pPr>
              <w:spacing w:line="360" w:lineRule="auto"/>
            </w:pPr>
            <w:r w:rsidRPr="001A076D">
              <w:t>University of Wales Trinity Saint David</w:t>
            </w:r>
          </w:p>
        </w:tc>
      </w:tr>
      <w:tr w:rsidR="00064340" w:rsidRPr="001A076D" w14:paraId="5283EEC0" w14:textId="77777777" w:rsidTr="00064340">
        <w:trPr>
          <w:tblCellSpacing w:w="15" w:type="dxa"/>
        </w:trPr>
        <w:tc>
          <w:tcPr>
            <w:tcW w:w="0" w:type="auto"/>
            <w:vAlign w:val="center"/>
            <w:hideMark/>
          </w:tcPr>
          <w:p w14:paraId="27D1862F" w14:textId="77777777" w:rsidR="00064340" w:rsidRPr="001A076D" w:rsidRDefault="00064340" w:rsidP="00064340">
            <w:pPr>
              <w:spacing w:line="360" w:lineRule="auto"/>
            </w:pPr>
            <w:r w:rsidRPr="001A076D">
              <w:t>VIF</w:t>
            </w:r>
          </w:p>
        </w:tc>
        <w:tc>
          <w:tcPr>
            <w:tcW w:w="0" w:type="auto"/>
            <w:vAlign w:val="center"/>
            <w:hideMark/>
          </w:tcPr>
          <w:p w14:paraId="2C1591B7" w14:textId="77777777" w:rsidR="00064340" w:rsidRPr="001A076D" w:rsidRDefault="00064340" w:rsidP="00064340">
            <w:pPr>
              <w:spacing w:line="360" w:lineRule="auto"/>
            </w:pPr>
            <w:r w:rsidRPr="001A076D">
              <w:t>Variance Inflation Factor</w:t>
            </w:r>
          </w:p>
        </w:tc>
      </w:tr>
    </w:tbl>
    <w:p w14:paraId="1058B827" w14:textId="031B93BA" w:rsidR="004811C8" w:rsidRPr="001A076D" w:rsidRDefault="004811C8" w:rsidP="001B3F95">
      <w:pPr>
        <w:spacing w:line="360" w:lineRule="auto"/>
      </w:pPr>
      <w:r w:rsidRPr="001A076D">
        <w:br w:type="page"/>
      </w:r>
    </w:p>
    <w:p w14:paraId="4FFBA943" w14:textId="77777777" w:rsidR="00D652A6" w:rsidRPr="001A076D" w:rsidRDefault="00D652A6" w:rsidP="00E857DE">
      <w:pPr>
        <w:pStyle w:val="Heading1"/>
        <w:jc w:val="center"/>
        <w:rPr>
          <w:rFonts w:ascii="Times New Roman" w:hAnsi="Times New Roman" w:cs="Times New Roman"/>
          <w:b/>
          <w:bCs/>
          <w:color w:val="auto"/>
        </w:rPr>
      </w:pPr>
      <w:bookmarkStart w:id="8" w:name="_Toc236033322"/>
      <w:r w:rsidRPr="001A076D">
        <w:rPr>
          <w:rFonts w:ascii="Times New Roman" w:hAnsi="Times New Roman" w:cs="Times New Roman"/>
          <w:b/>
          <w:bCs/>
          <w:color w:val="auto"/>
        </w:rPr>
        <w:lastRenderedPageBreak/>
        <w:t>Chapter 1: Introduction</w:t>
      </w:r>
      <w:bookmarkEnd w:id="8"/>
    </w:p>
    <w:p w14:paraId="497238B8" w14:textId="77777777" w:rsidR="00C928E5" w:rsidRPr="001A076D" w:rsidRDefault="00C928E5" w:rsidP="00C928E5">
      <w:pPr>
        <w:pStyle w:val="Heading2"/>
        <w:rPr>
          <w:rFonts w:ascii="Times New Roman" w:hAnsi="Times New Roman" w:cs="Times New Roman"/>
          <w:b/>
          <w:bCs/>
          <w:color w:val="auto"/>
        </w:rPr>
      </w:pPr>
      <w:bookmarkStart w:id="9" w:name="_Toc236033323"/>
      <w:r w:rsidRPr="001A076D">
        <w:rPr>
          <w:rFonts w:ascii="Times New Roman" w:hAnsi="Times New Roman" w:cs="Times New Roman"/>
          <w:b/>
          <w:bCs/>
          <w:color w:val="auto"/>
        </w:rPr>
        <w:t>1.1 Introduction</w:t>
      </w:r>
      <w:bookmarkEnd w:id="9"/>
    </w:p>
    <w:p w14:paraId="3DF6C38F" w14:textId="5EE47136" w:rsidR="00C928E5" w:rsidRPr="001A076D" w:rsidRDefault="00C928E5" w:rsidP="00C928E5">
      <w:pPr>
        <w:spacing w:before="100" w:beforeAutospacing="1" w:after="100" w:afterAutospacing="1" w:line="360" w:lineRule="auto"/>
        <w:jc w:val="both"/>
      </w:pPr>
      <w:r w:rsidRPr="001A076D">
        <w:t xml:space="preserve">Organisations no longer merely record and store data; it has become central to their decision-making </w:t>
      </w:r>
      <w:r w:rsidR="00EE6C3C" w:rsidRPr="001A076D">
        <w:t>processes.</w:t>
      </w:r>
      <w:r w:rsidRPr="001A076D">
        <w:t xml:space="preserve"> Increasingly, organisations are using predictive analytics not only to understand past performances but also to anticipate future outcomes, manage uncertainty, and guide investment decisions. As Davenport and Harris (2007) argue, this shift has made analytics a key driver of competitiveness, enabling leaders to rely more on evidence than instinct.</w:t>
      </w:r>
    </w:p>
    <w:p w14:paraId="3EB92130" w14:textId="48AD4618" w:rsidR="00C928E5" w:rsidRPr="001A076D" w:rsidRDefault="00C928E5" w:rsidP="00C928E5">
      <w:pPr>
        <w:spacing w:before="100" w:beforeAutospacing="1" w:after="100" w:afterAutospacing="1" w:line="360" w:lineRule="auto"/>
        <w:jc w:val="both"/>
      </w:pPr>
      <w:r w:rsidRPr="001A076D">
        <w:t xml:space="preserve">Regulated sectors like energy prominently exhibit this shift, closely linking long-term planning, infrastructure investment, and public </w:t>
      </w:r>
      <w:r w:rsidR="00622BB3" w:rsidRPr="001A076D">
        <w:t>accountability, as they must adapt to the demands of sustainability and stakeholder expectations in the face of climate change and resource scarcity.</w:t>
      </w:r>
      <w:r w:rsidRPr="001A076D">
        <w:t xml:space="preserve"> Organisations are expected to make decisions that are both commercially sound and socially responsible due to the transition to net-zero systems, ongoing market volatility, and increasing regulatory scrutiny. </w:t>
      </w:r>
      <w:r w:rsidR="00622BB3" w:rsidRPr="001A076D">
        <w:t>Predictive analytics, which uses statistics and algorithms to examine current and past data, can be very helpful here by aiding in planning for different scenarios, assessing risks, and creating future strategies.</w:t>
      </w:r>
    </w:p>
    <w:p w14:paraId="5F3AF8EA" w14:textId="396B62B5" w:rsidR="00C928E5" w:rsidRPr="001A076D" w:rsidRDefault="00C928E5" w:rsidP="00C928E5">
      <w:pPr>
        <w:spacing w:before="100" w:beforeAutospacing="1" w:after="100" w:afterAutospacing="1" w:line="360" w:lineRule="auto"/>
        <w:jc w:val="both"/>
      </w:pPr>
      <w:r w:rsidRPr="001A076D">
        <w:t xml:space="preserve">However, having analytical capability in place does not automatically lead to better decisions. This gap is widely recognised in </w:t>
      </w:r>
      <w:r w:rsidR="00EE6C3C" w:rsidRPr="001A076D">
        <w:t>both research and practice.</w:t>
      </w:r>
      <w:r w:rsidRPr="001A076D">
        <w:t xml:space="preserve"> Shmueli and Koppius (2011) highlight that the value of predictive models depends less on their technical accuracy and more on whether decision-makers trust and use them. </w:t>
      </w:r>
      <w:r w:rsidR="00C36973" w:rsidRPr="001A076D">
        <w:t xml:space="preserve">In many organisations, analytics remains technically strong but is inconsistently applied, often because it is only partially embedded in decision-making processes or poorly understood by </w:t>
      </w:r>
      <w:r w:rsidR="00EE6C3C" w:rsidRPr="001A076D">
        <w:t>those who are expected</w:t>
      </w:r>
      <w:r w:rsidR="00C36973" w:rsidRPr="001A076D">
        <w:t xml:space="preserve"> to use it.</w:t>
      </w:r>
    </w:p>
    <w:p w14:paraId="746C17F9" w14:textId="275657C1" w:rsidR="00C928E5" w:rsidRPr="001A076D" w:rsidRDefault="00C928E5" w:rsidP="00C928E5">
      <w:pPr>
        <w:spacing w:before="100" w:beforeAutospacing="1" w:after="100" w:afterAutospacing="1" w:line="360" w:lineRule="auto"/>
        <w:jc w:val="both"/>
      </w:pPr>
      <w:r w:rsidRPr="001A076D">
        <w:t xml:space="preserve">This challenge is evident in SSE </w:t>
      </w:r>
      <w:r w:rsidR="00277819" w:rsidRPr="001A076D">
        <w:t>plc</w:t>
      </w:r>
      <w:r w:rsidRPr="001A076D">
        <w:t xml:space="preserve">. Operating in a highly regulated </w:t>
      </w:r>
      <w:r w:rsidR="00E23533" w:rsidRPr="001A076D">
        <w:t>environment;</w:t>
      </w:r>
      <w:r w:rsidRPr="001A076D">
        <w:t xml:space="preserve"> SSE must balance innovation with accountability. Regulatory expectations, including Ofgem’s digitalisation agenda and UK GDPR, require analytics to be transparent, understandable, and defensible. In this context, predictive analytics cannot function as a “black box"; it must be credible enough to support scrutiny as well as decision-making.</w:t>
      </w:r>
    </w:p>
    <w:p w14:paraId="71E0AC08" w14:textId="6043972B" w:rsidR="00C928E5" w:rsidRPr="001A076D" w:rsidRDefault="00C928E5" w:rsidP="00C928E5">
      <w:pPr>
        <w:spacing w:before="100" w:beforeAutospacing="1" w:after="100" w:afterAutospacing="1" w:line="360" w:lineRule="auto"/>
        <w:jc w:val="both"/>
      </w:pPr>
      <w:r w:rsidRPr="001A076D">
        <w:t xml:space="preserve">In practice, the use of analytics depends more on organisational conditions than </w:t>
      </w:r>
      <w:r w:rsidR="00EE6C3C" w:rsidRPr="001A076D">
        <w:t>on capability alone.</w:t>
      </w:r>
      <w:r w:rsidRPr="001A076D">
        <w:t xml:space="preserve"> </w:t>
      </w:r>
      <w:r w:rsidR="001A101C" w:rsidRPr="001A076D">
        <w:t xml:space="preserve">Predictive insights often depend on leadership confidence, governance maturity, and </w:t>
      </w:r>
      <w:r w:rsidR="00D7398D" w:rsidRPr="001A076D">
        <w:t>organisational readiness (Utomo, Wahidah, &amp;</w:t>
      </w:r>
      <w:r w:rsidR="001A101C" w:rsidRPr="001A076D">
        <w:t xml:space="preserve"> </w:t>
      </w:r>
      <w:proofErr w:type="spellStart"/>
      <w:r w:rsidR="001A101C" w:rsidRPr="001A076D">
        <w:t>Wisudawati</w:t>
      </w:r>
      <w:proofErr w:type="spellEnd"/>
      <w:r w:rsidR="001A101C" w:rsidRPr="001A076D">
        <w:t xml:space="preserve">, 2025; Singh, 2026). </w:t>
      </w:r>
      <w:r w:rsidRPr="001A076D">
        <w:t xml:space="preserve">Brynjolfsson, Rock, and Syverson (2021) note that the value of digital technologies depends on complementary changes in </w:t>
      </w:r>
      <w:r w:rsidRPr="001A076D">
        <w:lastRenderedPageBreak/>
        <w:t>management and organisational structures, whereas Redman (2018) shows that many data initiatives fail due to weak governance rather than poor technology.</w:t>
      </w:r>
    </w:p>
    <w:p w14:paraId="5334A36B" w14:textId="74AC7911" w:rsidR="00C928E5" w:rsidRPr="001A076D" w:rsidRDefault="001A101C" w:rsidP="00C928E5">
      <w:pPr>
        <w:spacing w:before="100" w:beforeAutospacing="1" w:after="100" w:afterAutospacing="1" w:line="360" w:lineRule="auto"/>
        <w:jc w:val="both"/>
      </w:pPr>
      <w:r w:rsidRPr="001A076D">
        <w:t xml:space="preserve">This study examines how predictive analytics moves from technical capability to practical use in strategic decision-making, reflecting recent research </w:t>
      </w:r>
      <w:r w:rsidR="005F4BB6" w:rsidRPr="001A076D">
        <w:t>that emphasises governance maturity and organisational readiness as critical factors in adoption</w:t>
      </w:r>
      <w:r w:rsidR="00D7398D" w:rsidRPr="001A076D">
        <w:t xml:space="preserve"> (Ansari, Bhujel, and Khawaja, 2026; Roy, Mondal,</w:t>
      </w:r>
      <w:r w:rsidRPr="001A076D">
        <w:t xml:space="preserve"> and Saha, 2025)</w:t>
      </w:r>
      <w:r w:rsidR="00C928E5" w:rsidRPr="001A076D">
        <w:t xml:space="preserve">. The study adopts a mixed-methods approach, enabling the triangulation of findings across quantitative and qualitative evidence to develop a coherent explanation. Using SSE </w:t>
      </w:r>
      <w:r w:rsidR="00277819" w:rsidRPr="001A076D">
        <w:t>plc</w:t>
      </w:r>
      <w:r w:rsidR="00C928E5" w:rsidRPr="001A076D">
        <w:t xml:space="preserve"> as a case study, the </w:t>
      </w:r>
      <w:r w:rsidR="00C1459A" w:rsidRPr="001A076D">
        <w:t>researcher examines how governance maturity, executive trust, and organisational</w:t>
      </w:r>
      <w:r w:rsidR="005F4BB6" w:rsidRPr="001A076D">
        <w:t xml:space="preserve"> readiness influence whether predictive insights are embedded in decision-</w:t>
      </w:r>
      <w:r w:rsidR="00EE6C3C" w:rsidRPr="001A076D">
        <w:t>making</w:t>
      </w:r>
      <w:r w:rsidR="00C928E5" w:rsidRPr="001A076D">
        <w:t>.</w:t>
      </w:r>
    </w:p>
    <w:p w14:paraId="256E2B18" w14:textId="77777777" w:rsidR="00C928E5" w:rsidRPr="001A076D" w:rsidRDefault="00C928E5" w:rsidP="00C928E5">
      <w:pPr>
        <w:pStyle w:val="Heading2"/>
        <w:rPr>
          <w:rFonts w:ascii="Times New Roman" w:hAnsi="Times New Roman" w:cs="Times New Roman"/>
          <w:b/>
          <w:bCs/>
          <w:color w:val="auto"/>
        </w:rPr>
      </w:pPr>
      <w:bookmarkStart w:id="10" w:name="_Toc236033324"/>
      <w:r w:rsidRPr="001A076D">
        <w:rPr>
          <w:rFonts w:ascii="Times New Roman" w:hAnsi="Times New Roman" w:cs="Times New Roman"/>
          <w:b/>
          <w:bCs/>
          <w:color w:val="auto"/>
        </w:rPr>
        <w:t>1.2 Background to the Study</w:t>
      </w:r>
      <w:bookmarkEnd w:id="10"/>
    </w:p>
    <w:p w14:paraId="0E780ECA" w14:textId="7F4F5136" w:rsidR="00C928E5" w:rsidRPr="001A076D" w:rsidRDefault="00C928E5" w:rsidP="00C928E5">
      <w:pPr>
        <w:spacing w:before="100" w:beforeAutospacing="1" w:after="100" w:afterAutospacing="1" w:line="360" w:lineRule="auto"/>
        <w:jc w:val="both"/>
      </w:pPr>
      <w:r w:rsidRPr="001A076D">
        <w:t xml:space="preserve">SSE </w:t>
      </w:r>
      <w:r w:rsidR="00277819" w:rsidRPr="001A076D">
        <w:t>plc</w:t>
      </w:r>
      <w:r w:rsidRPr="001A076D">
        <w:t xml:space="preserve"> operates across electricity generation, transmission, distribution, and renewable energy. As a major contributor to the UK’s transition to a low-carbon energy system, the organisation makes decisions that involve long time horizons, significant capital investment, and close regulatory oversight. These decisions increasingly rely on forecasting models, scenario analysis, and predictive insights to manage uncertainty.</w:t>
      </w:r>
    </w:p>
    <w:p w14:paraId="2EDC1168" w14:textId="748406D2" w:rsidR="00C928E5" w:rsidRPr="001A076D" w:rsidRDefault="00C928E5" w:rsidP="00C928E5">
      <w:pPr>
        <w:spacing w:before="100" w:beforeAutospacing="1" w:after="100" w:afterAutospacing="1" w:line="360" w:lineRule="auto"/>
        <w:jc w:val="both"/>
      </w:pPr>
      <w:r w:rsidRPr="001A076D">
        <w:t xml:space="preserve">At the same time, SSE operates within a complex regulatory environment shaped by Ofgem and UK GDPR (ICO, 2021), alongside wider expectations around transparency and accountability. Strategic decisions must therefore be not only effective but also explainable and defensible. This places governance at the centre of analytics </w:t>
      </w:r>
      <w:r w:rsidR="00416FEC" w:rsidRPr="001A076D">
        <w:t>usage.</w:t>
      </w:r>
      <w:r w:rsidRPr="001A076D">
        <w:t xml:space="preserve"> </w:t>
      </w:r>
      <w:r w:rsidR="00B720AB" w:rsidRPr="001A076D">
        <w:t>Models must not only be technically sound but also</w:t>
      </w:r>
      <w:r w:rsidRPr="001A076D">
        <w:t xml:space="preserve"> trusted and supported by robust data practices.</w:t>
      </w:r>
    </w:p>
    <w:p w14:paraId="4B949B32" w14:textId="2AA53619" w:rsidR="00C928E5" w:rsidRPr="001A076D" w:rsidRDefault="00C928E5" w:rsidP="00C928E5">
      <w:pPr>
        <w:spacing w:before="100" w:beforeAutospacing="1" w:after="100" w:afterAutospacing="1" w:line="360" w:lineRule="auto"/>
        <w:jc w:val="both"/>
      </w:pPr>
      <w:r w:rsidRPr="001A076D">
        <w:t>The literature highlights a divide between research on analytical capability and governance. The DELTA framework (Davenport, Harris, and Morison, 2010) focuses on capability, leadership, and enterprise alignment, while governance frameworks such as DCAM (EDM Council, 202</w:t>
      </w:r>
      <w:r w:rsidR="00E23533" w:rsidRPr="001A076D">
        <w:t>0</w:t>
      </w:r>
      <w:r w:rsidRPr="001A076D">
        <w:t>) emphasise data ownership, quality, and control as conditions for trust.</w:t>
      </w:r>
    </w:p>
    <w:p w14:paraId="1F12B3E5" w14:textId="77777777" w:rsidR="00C928E5" w:rsidRPr="001A076D" w:rsidRDefault="00C928E5" w:rsidP="00C928E5">
      <w:pPr>
        <w:spacing w:before="100" w:beforeAutospacing="1" w:after="100" w:afterAutospacing="1" w:line="360" w:lineRule="auto"/>
        <w:jc w:val="both"/>
      </w:pPr>
      <w:r w:rsidRPr="001A076D">
        <w:t>These perspectives are often examined separately. Analytics research tends to focus on value creation and capability (LaValle et al., 2011), while governance research emphasises accountability and policy structures (Khatri and Brown, 2010; Alhassan et al., 2016). In regulated sectors, such as energy, organisations must balance them both simultaneously.</w:t>
      </w:r>
    </w:p>
    <w:p w14:paraId="2B8C0CCB" w14:textId="337F0C10" w:rsidR="00C928E5" w:rsidRPr="001A076D" w:rsidRDefault="00C928E5" w:rsidP="00C928E5">
      <w:pPr>
        <w:spacing w:before="100" w:beforeAutospacing="1" w:after="100" w:afterAutospacing="1" w:line="360" w:lineRule="auto"/>
        <w:jc w:val="both"/>
      </w:pPr>
      <w:r w:rsidRPr="001A076D">
        <w:t xml:space="preserve">Within SSE </w:t>
      </w:r>
      <w:r w:rsidR="00277819" w:rsidRPr="001A076D">
        <w:t>plc</w:t>
      </w:r>
      <w:r w:rsidRPr="001A076D">
        <w:t xml:space="preserve">, predictive analytics sits at this intersection. While the organisation has invested in data and digital </w:t>
      </w:r>
      <w:r w:rsidR="003677AD" w:rsidRPr="001A076D">
        <w:t xml:space="preserve">capabilities, consistently embedding analytics </w:t>
      </w:r>
      <w:r w:rsidRPr="001A076D">
        <w:t xml:space="preserve">into strategic decision-making </w:t>
      </w:r>
      <w:r w:rsidRPr="001A076D">
        <w:lastRenderedPageBreak/>
        <w:t>remains a challenge. The issue is not simply whether models work, but whether governance maturity, leadership alignment, and executive trust are strong enough to support their use.</w:t>
      </w:r>
    </w:p>
    <w:p w14:paraId="36D38EDB" w14:textId="77777777" w:rsidR="00C928E5" w:rsidRPr="001A076D" w:rsidRDefault="00C928E5" w:rsidP="00C928E5">
      <w:pPr>
        <w:pStyle w:val="Heading2"/>
        <w:rPr>
          <w:rFonts w:ascii="Times New Roman" w:hAnsi="Times New Roman" w:cs="Times New Roman"/>
          <w:b/>
          <w:bCs/>
          <w:color w:val="auto"/>
        </w:rPr>
      </w:pPr>
      <w:bookmarkStart w:id="11" w:name="_Toc236033325"/>
      <w:r w:rsidRPr="001A076D">
        <w:rPr>
          <w:rFonts w:ascii="Times New Roman" w:hAnsi="Times New Roman" w:cs="Times New Roman"/>
          <w:b/>
          <w:bCs/>
          <w:color w:val="auto"/>
        </w:rPr>
        <w:t>1.3 Rationale for the Study</w:t>
      </w:r>
      <w:bookmarkEnd w:id="11"/>
    </w:p>
    <w:p w14:paraId="6D1C297E" w14:textId="77777777" w:rsidR="00C928E5" w:rsidRPr="001A076D" w:rsidRDefault="00C928E5" w:rsidP="00C928E5">
      <w:pPr>
        <w:pStyle w:val="Heading3"/>
        <w:rPr>
          <w:rFonts w:cs="Times New Roman"/>
          <w:b/>
          <w:bCs/>
          <w:color w:val="auto"/>
        </w:rPr>
      </w:pPr>
      <w:bookmarkStart w:id="12" w:name="_Toc236033326"/>
      <w:r w:rsidRPr="001A076D">
        <w:rPr>
          <w:rFonts w:cs="Times New Roman"/>
          <w:b/>
          <w:bCs/>
          <w:color w:val="auto"/>
        </w:rPr>
        <w:t>1.3.1 Organisational Rationale</w:t>
      </w:r>
      <w:bookmarkEnd w:id="12"/>
    </w:p>
    <w:p w14:paraId="6C70C0FB" w14:textId="3E816AA4" w:rsidR="00C928E5" w:rsidRPr="001A076D" w:rsidRDefault="00C928E5" w:rsidP="00C928E5">
      <w:pPr>
        <w:spacing w:before="100" w:beforeAutospacing="1" w:after="100" w:afterAutospacing="1" w:line="360" w:lineRule="auto"/>
        <w:jc w:val="both"/>
      </w:pPr>
      <w:r w:rsidRPr="001A076D">
        <w:t xml:space="preserve">Many organisations have invested heavily in predictive analytics, but the value they derive from it varies. In practice, specialist teams often concentrate </w:t>
      </w:r>
      <w:r w:rsidR="00A444A7" w:rsidRPr="001A076D">
        <w:t xml:space="preserve">on </w:t>
      </w:r>
      <w:r w:rsidRPr="001A076D">
        <w:t xml:space="preserve">analytics, limiting </w:t>
      </w:r>
      <w:r w:rsidR="003677AD" w:rsidRPr="001A076D">
        <w:t>their</w:t>
      </w:r>
      <w:r w:rsidRPr="001A076D">
        <w:t xml:space="preserve"> influence on senior decision-making (LaValle et al., 2011). This creates a gap between capability and impact.</w:t>
      </w:r>
    </w:p>
    <w:p w14:paraId="3CA840EA" w14:textId="77777777" w:rsidR="00C928E5" w:rsidRPr="001A076D" w:rsidRDefault="00C928E5" w:rsidP="00C928E5">
      <w:pPr>
        <w:spacing w:before="100" w:beforeAutospacing="1" w:after="100" w:afterAutospacing="1" w:line="360" w:lineRule="auto"/>
        <w:jc w:val="both"/>
      </w:pPr>
      <w:r w:rsidRPr="001A076D">
        <w:t>In regulated sectors such as energy, that gap becomes more critical. Strategic decisions involve long-term commitments, regulatory scrutiny, and public accountability. Predictive insights must therefore be not only technically robust but also trusted and aligned with governance expectations. Without such support, analytics tends to remain advisory rather than shaping strategy.</w:t>
      </w:r>
    </w:p>
    <w:p w14:paraId="1DCF21DC" w14:textId="0BF5488F" w:rsidR="00C928E5" w:rsidRPr="001A076D" w:rsidRDefault="00C1459A" w:rsidP="00C928E5">
      <w:pPr>
        <w:spacing w:before="100" w:beforeAutospacing="1" w:after="100" w:afterAutospacing="1" w:line="360" w:lineRule="auto"/>
        <w:jc w:val="both"/>
      </w:pPr>
      <w:r w:rsidRPr="001A076D">
        <w:t>Despite their joint examination, existing research often treats analytics capability and governance maturity separately.</w:t>
      </w:r>
      <w:r w:rsidR="00C928E5" w:rsidRPr="001A076D">
        <w:t xml:space="preserve"> There has been little empirical work exploring how they interact in regulated organisational settings. In particular, the role of governance in shaping executive trust and enabling strategic use remains underdeveloped.</w:t>
      </w:r>
    </w:p>
    <w:p w14:paraId="2E52A806" w14:textId="29ADD57D" w:rsidR="00C928E5" w:rsidRPr="001A076D" w:rsidRDefault="00C928E5" w:rsidP="00C928E5">
      <w:pPr>
        <w:spacing w:before="100" w:beforeAutospacing="1" w:after="100" w:afterAutospacing="1" w:line="360" w:lineRule="auto"/>
        <w:jc w:val="both"/>
      </w:pPr>
      <w:r w:rsidRPr="001A076D">
        <w:t xml:space="preserve">This study addresses that gap by examining how these factors come together within SSE </w:t>
      </w:r>
      <w:r w:rsidR="00277819" w:rsidRPr="001A076D">
        <w:t>plc</w:t>
      </w:r>
      <w:r w:rsidRPr="001A076D">
        <w:t>.</w:t>
      </w:r>
    </w:p>
    <w:p w14:paraId="3404C360" w14:textId="77777777" w:rsidR="00C928E5" w:rsidRPr="001A076D" w:rsidRDefault="00C928E5" w:rsidP="00C928E5">
      <w:pPr>
        <w:pStyle w:val="Heading3"/>
        <w:rPr>
          <w:rFonts w:cs="Times New Roman"/>
          <w:b/>
          <w:bCs/>
          <w:color w:val="auto"/>
        </w:rPr>
      </w:pPr>
      <w:bookmarkStart w:id="13" w:name="_Toc236033327"/>
      <w:r w:rsidRPr="001A076D">
        <w:rPr>
          <w:rFonts w:cs="Times New Roman"/>
          <w:b/>
          <w:bCs/>
          <w:color w:val="auto"/>
        </w:rPr>
        <w:t>1.3.2 Academic Rationale</w:t>
      </w:r>
      <w:bookmarkEnd w:id="13"/>
    </w:p>
    <w:p w14:paraId="35C80182" w14:textId="772F2DA3" w:rsidR="00C928E5" w:rsidRPr="001A076D" w:rsidRDefault="00C928E5" w:rsidP="00C928E5">
      <w:pPr>
        <w:spacing w:before="100" w:beforeAutospacing="1" w:after="100" w:afterAutospacing="1" w:line="360" w:lineRule="auto"/>
        <w:jc w:val="both"/>
      </w:pPr>
      <w:r w:rsidRPr="001A076D">
        <w:t xml:space="preserve">From an academic perspective, predictive analytics and data governance have largely developed as separate research streams. Governance research focuses on accountability and control (Khatri and Brown, 2010), while analytics research emphasises </w:t>
      </w:r>
      <w:r w:rsidR="00EE6C3C" w:rsidRPr="001A076D">
        <w:t>capabilities</w:t>
      </w:r>
      <w:r w:rsidRPr="001A076D">
        <w:t xml:space="preserve"> and performance (Davenport et al., 2010).</w:t>
      </w:r>
    </w:p>
    <w:p w14:paraId="54EEA494" w14:textId="77777777" w:rsidR="00C928E5" w:rsidRPr="001A076D" w:rsidRDefault="00C928E5" w:rsidP="00C928E5">
      <w:pPr>
        <w:spacing w:before="100" w:beforeAutospacing="1" w:after="100" w:afterAutospacing="1" w:line="360" w:lineRule="auto"/>
        <w:jc w:val="both"/>
      </w:pPr>
      <w:r w:rsidRPr="001A076D">
        <w:t>Recent studies have called for more integrated approaches (Rodriguez, Sharma and Hall, 2024), but empirical evidence remains limited, particularly in regulated sectors. This matters because regulatory environments place additional demands on explainability and accountability, which may shape analytics adoption differently.</w:t>
      </w:r>
    </w:p>
    <w:p w14:paraId="622C9F20" w14:textId="36DF945F" w:rsidR="00C928E5" w:rsidRPr="001A076D" w:rsidRDefault="00C928E5" w:rsidP="00C928E5">
      <w:pPr>
        <w:spacing w:before="100" w:beforeAutospacing="1" w:after="100" w:afterAutospacing="1" w:line="360" w:lineRule="auto"/>
        <w:jc w:val="both"/>
      </w:pPr>
      <w:r w:rsidRPr="001A076D">
        <w:t xml:space="preserve">This study </w:t>
      </w:r>
      <w:r w:rsidR="00001C97" w:rsidRPr="001A076D">
        <w:t xml:space="preserve">addresses this gap by examining predictive analytics through an integrated governance–capability lens, focusing on how governance maturity shapes trust and influences its </w:t>
      </w:r>
      <w:r w:rsidRPr="001A076D">
        <w:t>strategic use.</w:t>
      </w:r>
    </w:p>
    <w:p w14:paraId="64E174E6" w14:textId="69CA55E3" w:rsidR="00C928E5" w:rsidRPr="001A076D" w:rsidRDefault="00BB0C5F" w:rsidP="00C928E5">
      <w:pPr>
        <w:spacing w:before="100" w:beforeAutospacing="1" w:after="100" w:afterAutospacing="1" w:line="360" w:lineRule="auto"/>
        <w:jc w:val="both"/>
      </w:pPr>
      <w:r w:rsidRPr="001A076D">
        <w:lastRenderedPageBreak/>
        <w:t>This study considers organisational culture as a component of organisational readiness</w:t>
      </w:r>
      <w:r w:rsidR="008E5B58" w:rsidRPr="001A076D">
        <w:t xml:space="preserve">, </w:t>
      </w:r>
      <w:r w:rsidR="0042004D" w:rsidRPr="001A076D">
        <w:t>specifically how leadership behaviour and data literacy influence the</w:t>
      </w:r>
      <w:r w:rsidRPr="001A076D">
        <w:t xml:space="preserve"> willingness to rely on analytics.</w:t>
      </w:r>
    </w:p>
    <w:p w14:paraId="384E996F" w14:textId="77777777" w:rsidR="00C928E5" w:rsidRPr="001A076D" w:rsidRDefault="00C928E5" w:rsidP="00C928E5">
      <w:pPr>
        <w:pStyle w:val="Heading2"/>
        <w:rPr>
          <w:rFonts w:ascii="Times New Roman" w:hAnsi="Times New Roman" w:cs="Times New Roman"/>
          <w:b/>
          <w:bCs/>
          <w:color w:val="auto"/>
        </w:rPr>
      </w:pPr>
      <w:bookmarkStart w:id="14" w:name="_Toc236033328"/>
      <w:r w:rsidRPr="001A076D">
        <w:rPr>
          <w:rFonts w:ascii="Times New Roman" w:hAnsi="Times New Roman" w:cs="Times New Roman"/>
          <w:b/>
          <w:bCs/>
          <w:color w:val="auto"/>
        </w:rPr>
        <w:t>1.4 Research Problem</w:t>
      </w:r>
      <w:bookmarkEnd w:id="14"/>
    </w:p>
    <w:p w14:paraId="7BA13664" w14:textId="77777777" w:rsidR="003D0933" w:rsidRPr="001A076D" w:rsidRDefault="003D0933" w:rsidP="00DF26CF">
      <w:pPr>
        <w:pStyle w:val="pdq2pgselectionanchorcontainer"/>
        <w:spacing w:line="360" w:lineRule="auto"/>
        <w:jc w:val="both"/>
      </w:pPr>
      <w:r w:rsidRPr="001A076D">
        <w:t>Although organisations are increasingly investing in predictive analytics to improve forecasting and strategic decision-making, many struggle to embed these capabilities into routine business decisions (Davenport &amp; Harris, 2007; Wamba et al., 2020). Research suggests that this gap is often linked to fragmented governance, unclear data ownership, limited model explainability, and insufficient leadership support, all of which reduce confidence in data-driven decision-making (Abraham et al., 2019; Otto, 2011; Rudin, 2019).</w:t>
      </w:r>
    </w:p>
    <w:p w14:paraId="72B0943C" w14:textId="63C84A83" w:rsidR="003D0933" w:rsidRPr="001A076D" w:rsidRDefault="003D0933" w:rsidP="00DF26CF">
      <w:pPr>
        <w:pStyle w:val="NormalWeb"/>
        <w:spacing w:line="360" w:lineRule="auto"/>
        <w:jc w:val="both"/>
      </w:pPr>
      <w:r w:rsidRPr="001A076D">
        <w:t xml:space="preserve">These challenges are particularly significant in regulated organisations, where strategic decisions must be transparent, accountable and </w:t>
      </w:r>
      <w:proofErr w:type="gramStart"/>
      <w:r w:rsidR="0042004D" w:rsidRPr="001A076D">
        <w:t>evidence-based</w:t>
      </w:r>
      <w:proofErr w:type="gramEnd"/>
      <w:r w:rsidR="0042004D" w:rsidRPr="001A076D">
        <w:t>.</w:t>
      </w:r>
      <w:r w:rsidRPr="001A076D">
        <w:t xml:space="preserve"> While previous studies have examined predictive analytics capability, governance maturity and organisational readiness independently, limited research has explored how these factors work together to support the strategic integration of predictive analytics.</w:t>
      </w:r>
    </w:p>
    <w:p w14:paraId="1DAB22E5" w14:textId="62AA13B1" w:rsidR="003D0933" w:rsidRPr="001A076D" w:rsidRDefault="003D0933" w:rsidP="00DF26CF">
      <w:pPr>
        <w:pStyle w:val="NormalWeb"/>
        <w:spacing w:line="360" w:lineRule="auto"/>
        <w:jc w:val="both"/>
      </w:pPr>
      <w:r w:rsidRPr="001A076D">
        <w:t xml:space="preserve">Accordingly, the research problem addressed in this study is the limited understanding of how governance maturity, organisational readiness, and trust in explainable predictive analytics influence the successful integration of predictive analytics into strategic decision-making within a </w:t>
      </w:r>
      <w:r w:rsidR="00DF26CF" w:rsidRPr="001A076D">
        <w:t>large, regulated</w:t>
      </w:r>
      <w:r w:rsidRPr="001A076D">
        <w:t xml:space="preserve"> organisation.</w:t>
      </w:r>
    </w:p>
    <w:p w14:paraId="03536397" w14:textId="77777777" w:rsidR="00C928E5" w:rsidRPr="001A076D" w:rsidRDefault="00C928E5" w:rsidP="00C928E5">
      <w:pPr>
        <w:pStyle w:val="Heading2"/>
        <w:rPr>
          <w:rFonts w:ascii="Times New Roman" w:hAnsi="Times New Roman" w:cs="Times New Roman"/>
          <w:b/>
          <w:bCs/>
          <w:color w:val="auto"/>
        </w:rPr>
      </w:pPr>
      <w:bookmarkStart w:id="15" w:name="_Toc236033329"/>
      <w:r w:rsidRPr="001A076D">
        <w:rPr>
          <w:rFonts w:ascii="Times New Roman" w:hAnsi="Times New Roman" w:cs="Times New Roman"/>
          <w:b/>
          <w:bCs/>
          <w:color w:val="auto"/>
        </w:rPr>
        <w:t>1.5 Research Aim, Objectives and Questions</w:t>
      </w:r>
      <w:bookmarkEnd w:id="15"/>
    </w:p>
    <w:p w14:paraId="31204676" w14:textId="77777777" w:rsidR="00C928E5" w:rsidRPr="001A076D" w:rsidRDefault="00C928E5" w:rsidP="00C928E5">
      <w:pPr>
        <w:pStyle w:val="Heading3"/>
        <w:rPr>
          <w:rFonts w:cs="Times New Roman"/>
          <w:b/>
          <w:bCs/>
          <w:color w:val="auto"/>
        </w:rPr>
      </w:pPr>
      <w:bookmarkStart w:id="16" w:name="_Toc236033330"/>
      <w:r w:rsidRPr="001A076D">
        <w:rPr>
          <w:rFonts w:cs="Times New Roman"/>
          <w:b/>
          <w:bCs/>
          <w:color w:val="auto"/>
        </w:rPr>
        <w:t>1.5.1 Research Aim</w:t>
      </w:r>
      <w:bookmarkEnd w:id="16"/>
    </w:p>
    <w:p w14:paraId="3E3BF5F6" w14:textId="759B174B" w:rsidR="00C928E5" w:rsidRPr="001A076D" w:rsidRDefault="00C928E5" w:rsidP="00C928E5">
      <w:pPr>
        <w:spacing w:before="100" w:beforeAutospacing="1" w:after="100" w:afterAutospacing="1" w:line="360" w:lineRule="auto"/>
        <w:jc w:val="both"/>
      </w:pPr>
      <w:r w:rsidRPr="001A076D">
        <w:t xml:space="preserve">The aim of this study is to examine how predictive analytics is integrated into strategic decision-making at SSE </w:t>
      </w:r>
      <w:r w:rsidR="00277819" w:rsidRPr="001A076D">
        <w:t>plc</w:t>
      </w:r>
      <w:r w:rsidRPr="001A076D">
        <w:t xml:space="preserve"> and to explain why it is not always consistently embedded despite existing technical capability.</w:t>
      </w:r>
    </w:p>
    <w:p w14:paraId="1D57A7B9" w14:textId="77777777" w:rsidR="00C928E5" w:rsidRPr="001A076D" w:rsidRDefault="00C928E5" w:rsidP="00C928E5">
      <w:pPr>
        <w:pStyle w:val="Heading3"/>
        <w:rPr>
          <w:rFonts w:cs="Times New Roman"/>
          <w:b/>
          <w:bCs/>
          <w:color w:val="auto"/>
        </w:rPr>
      </w:pPr>
      <w:bookmarkStart w:id="17" w:name="_Toc236033331"/>
      <w:r w:rsidRPr="001A076D">
        <w:rPr>
          <w:rFonts w:cs="Times New Roman"/>
          <w:b/>
          <w:bCs/>
          <w:color w:val="auto"/>
        </w:rPr>
        <w:t>1.5.2 Research Objectives</w:t>
      </w:r>
      <w:bookmarkEnd w:id="17"/>
    </w:p>
    <w:p w14:paraId="46CA3761" w14:textId="77777777" w:rsidR="00C928E5" w:rsidRPr="001A076D" w:rsidRDefault="00C928E5" w:rsidP="00C928E5">
      <w:pPr>
        <w:spacing w:before="100" w:beforeAutospacing="1" w:after="100" w:afterAutospacing="1" w:line="360" w:lineRule="auto"/>
        <w:jc w:val="both"/>
      </w:pPr>
      <w:r w:rsidRPr="001A076D">
        <w:t>To maintain focus and analytical depth, the study is guided by four objectives:</w:t>
      </w:r>
    </w:p>
    <w:p w14:paraId="56BB4F8A" w14:textId="6EF77E2D" w:rsidR="00C928E5" w:rsidRPr="001A076D" w:rsidRDefault="00C928E5">
      <w:pPr>
        <w:numPr>
          <w:ilvl w:val="0"/>
          <w:numId w:val="32"/>
        </w:numPr>
        <w:spacing w:before="100" w:beforeAutospacing="1" w:after="100" w:afterAutospacing="1" w:line="360" w:lineRule="auto"/>
        <w:jc w:val="both"/>
      </w:pPr>
      <w:r w:rsidRPr="001A076D">
        <w:t xml:space="preserve">To examine how predictive analytics is currently used in strategic decision-making at SSE </w:t>
      </w:r>
      <w:r w:rsidR="00277819" w:rsidRPr="001A076D">
        <w:t>plc</w:t>
      </w:r>
      <w:r w:rsidRPr="001A076D">
        <w:t xml:space="preserve"> </w:t>
      </w:r>
    </w:p>
    <w:p w14:paraId="6AE75006" w14:textId="77777777" w:rsidR="00C928E5" w:rsidRPr="001A076D" w:rsidRDefault="00C928E5">
      <w:pPr>
        <w:numPr>
          <w:ilvl w:val="0"/>
          <w:numId w:val="32"/>
        </w:numPr>
        <w:spacing w:before="100" w:beforeAutospacing="1" w:after="100" w:afterAutospacing="1" w:line="360" w:lineRule="auto"/>
        <w:jc w:val="both"/>
      </w:pPr>
      <w:r w:rsidRPr="001A076D">
        <w:t xml:space="preserve">To analyse how governance maturity influences executive trust in predictive analytics </w:t>
      </w:r>
    </w:p>
    <w:p w14:paraId="46F5EFCA" w14:textId="77777777" w:rsidR="00C928E5" w:rsidRPr="001A076D" w:rsidRDefault="00C928E5">
      <w:pPr>
        <w:numPr>
          <w:ilvl w:val="0"/>
          <w:numId w:val="32"/>
        </w:numPr>
        <w:spacing w:before="100" w:beforeAutospacing="1" w:after="100" w:afterAutospacing="1" w:line="360" w:lineRule="auto"/>
        <w:jc w:val="both"/>
      </w:pPr>
      <w:r w:rsidRPr="001A076D">
        <w:lastRenderedPageBreak/>
        <w:t xml:space="preserve">To evaluate how executive trust affects the strategic embedding of predictive analytics </w:t>
      </w:r>
    </w:p>
    <w:p w14:paraId="63FCEABA" w14:textId="77777777" w:rsidR="00C928E5" w:rsidRPr="001A076D" w:rsidRDefault="00C928E5">
      <w:pPr>
        <w:numPr>
          <w:ilvl w:val="0"/>
          <w:numId w:val="32"/>
        </w:numPr>
        <w:spacing w:before="100" w:beforeAutospacing="1" w:after="100" w:afterAutospacing="1" w:line="360" w:lineRule="auto"/>
        <w:jc w:val="both"/>
      </w:pPr>
      <w:r w:rsidRPr="001A076D">
        <w:t xml:space="preserve">To assess how organisational readiness, particularly leadership alignment and data literacy, shapes the adoption and scaling of predictive analytics </w:t>
      </w:r>
    </w:p>
    <w:p w14:paraId="78C5D34F" w14:textId="77777777" w:rsidR="00C928E5" w:rsidRPr="001A076D" w:rsidRDefault="00C928E5" w:rsidP="00C928E5">
      <w:pPr>
        <w:pStyle w:val="Heading3"/>
        <w:rPr>
          <w:rFonts w:cs="Times New Roman"/>
          <w:b/>
          <w:bCs/>
          <w:color w:val="auto"/>
        </w:rPr>
      </w:pPr>
      <w:bookmarkStart w:id="18" w:name="_Toc236033332"/>
      <w:r w:rsidRPr="001A076D">
        <w:rPr>
          <w:rFonts w:cs="Times New Roman"/>
          <w:b/>
          <w:bCs/>
          <w:color w:val="auto"/>
        </w:rPr>
        <w:t>1.5.3 Research Questions</w:t>
      </w:r>
      <w:bookmarkEnd w:id="18"/>
    </w:p>
    <w:p w14:paraId="5848738F" w14:textId="3329C429" w:rsidR="00C928E5" w:rsidRPr="001A076D" w:rsidRDefault="00C928E5" w:rsidP="00C928E5">
      <w:pPr>
        <w:pStyle w:val="NormalWeb"/>
        <w:spacing w:line="360" w:lineRule="auto"/>
      </w:pPr>
      <w:r w:rsidRPr="001A076D">
        <w:t xml:space="preserve">RQ1: How is predictive analytics currently used in strategic decision-making at SSE </w:t>
      </w:r>
      <w:r w:rsidR="00277819" w:rsidRPr="001A076D">
        <w:t>plc</w:t>
      </w:r>
      <w:r w:rsidRPr="001A076D">
        <w:t>?</w:t>
      </w:r>
    </w:p>
    <w:p w14:paraId="6E862A82" w14:textId="77777777" w:rsidR="00C928E5" w:rsidRPr="001A076D" w:rsidRDefault="00C928E5" w:rsidP="00C928E5">
      <w:pPr>
        <w:pStyle w:val="NormalWeb"/>
        <w:spacing w:line="360" w:lineRule="auto"/>
      </w:pPr>
      <w:r w:rsidRPr="001A076D">
        <w:t>RQ2: How does governance maturity shape executive trust in predictive analytics?</w:t>
      </w:r>
    </w:p>
    <w:p w14:paraId="2C19BD35" w14:textId="77777777" w:rsidR="00C928E5" w:rsidRPr="001A076D" w:rsidRDefault="00C928E5" w:rsidP="00C928E5">
      <w:pPr>
        <w:pStyle w:val="NormalWeb"/>
        <w:spacing w:line="360" w:lineRule="auto"/>
      </w:pPr>
      <w:r w:rsidRPr="001A076D">
        <w:t>RQ3: How does executive trust influence the extent to which predictive analytics is embedded in strategic decision-making?</w:t>
      </w:r>
    </w:p>
    <w:p w14:paraId="727C5705" w14:textId="7EB7049A" w:rsidR="00C928E5" w:rsidRPr="001A076D" w:rsidRDefault="00C928E5" w:rsidP="00C928E5">
      <w:pPr>
        <w:pStyle w:val="NormalWeb"/>
        <w:spacing w:line="360" w:lineRule="auto"/>
      </w:pPr>
      <w:r w:rsidRPr="001A076D">
        <w:t xml:space="preserve">RQ4: How does organisational readiness influence the adoption and scaling of predictive analytics </w:t>
      </w:r>
      <w:r w:rsidR="00EE6C3C" w:rsidRPr="001A076D">
        <w:t>at</w:t>
      </w:r>
      <w:r w:rsidRPr="001A076D">
        <w:t xml:space="preserve"> SSE </w:t>
      </w:r>
      <w:r w:rsidR="00277819" w:rsidRPr="001A076D">
        <w:t>plc</w:t>
      </w:r>
      <w:r w:rsidRPr="001A076D">
        <w:t>?</w:t>
      </w:r>
    </w:p>
    <w:p w14:paraId="27234092" w14:textId="77777777" w:rsidR="00C928E5" w:rsidRPr="001A076D" w:rsidRDefault="00C928E5" w:rsidP="00C928E5">
      <w:pPr>
        <w:pStyle w:val="Heading3"/>
        <w:rPr>
          <w:rFonts w:cs="Times New Roman"/>
          <w:b/>
          <w:bCs/>
          <w:color w:val="auto"/>
        </w:rPr>
      </w:pPr>
      <w:bookmarkStart w:id="19" w:name="_Toc236033333"/>
      <w:r w:rsidRPr="001A076D">
        <w:rPr>
          <w:rFonts w:cs="Times New Roman"/>
          <w:b/>
          <w:bCs/>
          <w:color w:val="auto"/>
        </w:rPr>
        <w:t>1.5.4 Hypotheses</w:t>
      </w:r>
      <w:bookmarkEnd w:id="19"/>
    </w:p>
    <w:p w14:paraId="0E70EE25" w14:textId="77777777" w:rsidR="00C928E5" w:rsidRPr="001A076D" w:rsidRDefault="00C928E5" w:rsidP="00C928E5">
      <w:pPr>
        <w:spacing w:before="100" w:beforeAutospacing="1" w:after="100" w:afterAutospacing="1" w:line="360" w:lineRule="auto"/>
        <w:jc w:val="both"/>
      </w:pPr>
      <w:r w:rsidRPr="001A076D">
        <w:t>The hypotheses support the quantitative element of the study and are used to test the relationships between the key constructs identified in the research model. They are not intended to stand alone but to complement the qualitative insights and overall interpretation.</w:t>
      </w:r>
    </w:p>
    <w:p w14:paraId="1D6CB166" w14:textId="55EC2466" w:rsidR="00C928E5" w:rsidRPr="001A076D" w:rsidRDefault="00C928E5" w:rsidP="00C928E5">
      <w:pPr>
        <w:spacing w:before="100" w:beforeAutospacing="1" w:after="100" w:afterAutospacing="1" w:line="360" w:lineRule="auto"/>
      </w:pPr>
      <w:r w:rsidRPr="001A076D">
        <w:t>H1: Predictive analytics capability is positively associated with strategic use.</w:t>
      </w:r>
      <w:r w:rsidRPr="001A076D">
        <w:br/>
      </w:r>
      <w:r w:rsidR="007B4367" w:rsidRPr="001A076D">
        <w:t xml:space="preserve">This hypothesis examines whether strong analytical tools, infrastructure, and </w:t>
      </w:r>
      <w:r w:rsidR="00A43CA8" w:rsidRPr="001A076D">
        <w:t>modelling capabilities translate into actual strategic uses</w:t>
      </w:r>
      <w:r w:rsidR="006B2551" w:rsidRPr="001A076D">
        <w:t xml:space="preserve"> rather than remaining isolated</w:t>
      </w:r>
      <w:r w:rsidR="008E15C2" w:rsidRPr="001A076D">
        <w:t xml:space="preserve"> technical capabilities</w:t>
      </w:r>
      <w:r w:rsidR="007B4367" w:rsidRPr="001A076D">
        <w:t>.</w:t>
      </w:r>
    </w:p>
    <w:p w14:paraId="6DDE531E" w14:textId="77777777" w:rsidR="00C928E5" w:rsidRPr="001A076D" w:rsidRDefault="00C928E5" w:rsidP="00C928E5">
      <w:pPr>
        <w:spacing w:before="100" w:beforeAutospacing="1" w:after="100" w:afterAutospacing="1" w:line="360" w:lineRule="auto"/>
      </w:pPr>
      <w:r w:rsidRPr="001A076D">
        <w:t>H2: Governance maturity positively influences executive trust.</w:t>
      </w:r>
      <w:r w:rsidRPr="001A076D">
        <w:br/>
        <w:t>This reflects the expectation that clear ownership, controls, and data practices increase confidence in analytics outputs.</w:t>
      </w:r>
    </w:p>
    <w:p w14:paraId="0527A787" w14:textId="77777777" w:rsidR="00C928E5" w:rsidRPr="001A076D" w:rsidRDefault="00C928E5" w:rsidP="00C928E5">
      <w:pPr>
        <w:spacing w:before="100" w:beforeAutospacing="1" w:after="100" w:afterAutospacing="1" w:line="360" w:lineRule="auto"/>
      </w:pPr>
      <w:r w:rsidRPr="001A076D">
        <w:t>H3: Executive trust positively influences strategic embedding.</w:t>
      </w:r>
      <w:r w:rsidRPr="001A076D">
        <w:br/>
        <w:t>This examines whether decision-makers are more likely to rely on analytics when they see it as credible, understandable, and defensible.</w:t>
      </w:r>
    </w:p>
    <w:p w14:paraId="5D52A2A9" w14:textId="1BC8DBC8" w:rsidR="00C928E5" w:rsidRPr="001A076D" w:rsidRDefault="00C928E5" w:rsidP="00C928E5">
      <w:pPr>
        <w:spacing w:before="100" w:beforeAutospacing="1" w:after="100" w:afterAutospacing="1" w:line="360" w:lineRule="auto"/>
      </w:pPr>
      <w:r w:rsidRPr="001A076D">
        <w:t>H4: Organisational readiness positively influences adoption and scaling.</w:t>
      </w:r>
      <w:r w:rsidRPr="001A076D">
        <w:br/>
      </w:r>
      <w:r w:rsidR="00C66193" w:rsidRPr="001A076D">
        <w:t>This hypothesis examines how leadership behaviour, data literacy, and organisational culture influence the broader adoption and scaling of predictive analytics.</w:t>
      </w:r>
    </w:p>
    <w:p w14:paraId="46370536" w14:textId="3691454E" w:rsidR="00C928E5" w:rsidRPr="001A076D" w:rsidRDefault="008D3636" w:rsidP="00C928E5">
      <w:pPr>
        <w:spacing w:before="100" w:beforeAutospacing="1" w:after="100" w:afterAutospacing="1" w:line="360" w:lineRule="auto"/>
      </w:pPr>
      <w:r w:rsidRPr="001A076D">
        <w:lastRenderedPageBreak/>
        <w:t xml:space="preserve">Together, these hypotheses </w:t>
      </w:r>
      <w:r w:rsidR="00A43CA8" w:rsidRPr="001A076D">
        <w:t>place predictive analytics within a broader organisational structure, where governance maturity, executive trust, and organisational</w:t>
      </w:r>
      <w:r w:rsidRPr="001A076D">
        <w:t xml:space="preserve"> readiness determine whether technical </w:t>
      </w:r>
      <w:r w:rsidR="0042004D" w:rsidRPr="001A076D">
        <w:t>capabilities translate</w:t>
      </w:r>
      <w:r w:rsidRPr="001A076D">
        <w:t xml:space="preserve"> into meaningful strategic influence.</w:t>
      </w:r>
    </w:p>
    <w:p w14:paraId="47CFBDF6" w14:textId="77777777" w:rsidR="00C928E5" w:rsidRPr="001A076D" w:rsidRDefault="00C928E5" w:rsidP="00C928E5">
      <w:pPr>
        <w:pStyle w:val="Heading2"/>
        <w:rPr>
          <w:rFonts w:ascii="Times New Roman" w:hAnsi="Times New Roman" w:cs="Times New Roman"/>
          <w:b/>
          <w:bCs/>
          <w:color w:val="auto"/>
        </w:rPr>
      </w:pPr>
      <w:bookmarkStart w:id="20" w:name="_Toc236033334"/>
      <w:r w:rsidRPr="001A076D">
        <w:rPr>
          <w:rFonts w:ascii="Times New Roman" w:hAnsi="Times New Roman" w:cs="Times New Roman"/>
          <w:b/>
          <w:bCs/>
          <w:color w:val="auto"/>
        </w:rPr>
        <w:t>1.6 Significance of the Study</w:t>
      </w:r>
      <w:bookmarkEnd w:id="20"/>
    </w:p>
    <w:p w14:paraId="07B75BF0" w14:textId="2823F9EC" w:rsidR="00C928E5" w:rsidRPr="001A076D" w:rsidRDefault="00C928E5" w:rsidP="00C928E5">
      <w:pPr>
        <w:spacing w:before="100" w:beforeAutospacing="1" w:after="100" w:afterAutospacing="1" w:line="360" w:lineRule="auto"/>
        <w:jc w:val="both"/>
      </w:pPr>
      <w:r w:rsidRPr="001A076D">
        <w:t xml:space="preserve">This study is significant because it moves beyond the assumption that better analytics automatically </w:t>
      </w:r>
      <w:r w:rsidR="0059283F" w:rsidRPr="001A076D">
        <w:t>lead</w:t>
      </w:r>
      <w:r w:rsidRPr="001A076D">
        <w:t xml:space="preserve"> to better decisions. </w:t>
      </w:r>
      <w:r w:rsidR="00B720AB" w:rsidRPr="001A076D">
        <w:t xml:space="preserve">Instead, it </w:t>
      </w:r>
      <w:r w:rsidR="008E15C2" w:rsidRPr="001A076D">
        <w:t>shows how governance, trust, and organisational</w:t>
      </w:r>
      <w:r w:rsidR="005749F0" w:rsidRPr="001A076D">
        <w:t xml:space="preserve"> readiness influence the practical </w:t>
      </w:r>
      <w:r w:rsidR="0042004D" w:rsidRPr="001A076D">
        <w:t>application</w:t>
      </w:r>
      <w:r w:rsidR="00B720AB" w:rsidRPr="001A076D">
        <w:t xml:space="preserve"> of predictive analytics.</w:t>
      </w:r>
    </w:p>
    <w:p w14:paraId="204ECA4D" w14:textId="7A0D414D" w:rsidR="00C928E5" w:rsidRPr="001A076D" w:rsidRDefault="00C928E5" w:rsidP="00C928E5">
      <w:pPr>
        <w:spacing w:before="100" w:beforeAutospacing="1" w:after="100" w:afterAutospacing="1" w:line="360" w:lineRule="auto"/>
        <w:jc w:val="both"/>
      </w:pPr>
      <w:r w:rsidRPr="001A076D">
        <w:t xml:space="preserve">The study unites two often separate areas: analytics capability and data governance, from a theoretical perspective. </w:t>
      </w:r>
      <w:r w:rsidR="00C36973" w:rsidRPr="001A076D">
        <w:t xml:space="preserve">By linking it to the concept of trust, it offers a more realistic explanation </w:t>
      </w:r>
      <w:r w:rsidR="0042004D" w:rsidRPr="001A076D">
        <w:t>of</w:t>
      </w:r>
      <w:r w:rsidR="00BB0C5F" w:rsidRPr="001A076D">
        <w:t xml:space="preserve"> how analytics is embedded in organisations</w:t>
      </w:r>
      <w:r w:rsidR="00C36973" w:rsidRPr="001A076D">
        <w:t>.</w:t>
      </w:r>
    </w:p>
    <w:p w14:paraId="09B3A3B9" w14:textId="49D5305A" w:rsidR="00C928E5" w:rsidRPr="001A076D" w:rsidRDefault="00C928E5" w:rsidP="00C928E5">
      <w:pPr>
        <w:spacing w:before="100" w:beforeAutospacing="1" w:after="100" w:afterAutospacing="1" w:line="360" w:lineRule="auto"/>
        <w:jc w:val="both"/>
      </w:pPr>
      <w:r w:rsidRPr="001A076D">
        <w:t xml:space="preserve">From a practical perspective, the findings are directly relevant to SSE </w:t>
      </w:r>
      <w:r w:rsidR="00277819" w:rsidRPr="001A076D">
        <w:t>plc</w:t>
      </w:r>
      <w:r w:rsidRPr="001A076D">
        <w:t xml:space="preserve">. They highlight where </w:t>
      </w:r>
      <w:r w:rsidR="0059283F" w:rsidRPr="001A076D">
        <w:t>capabilities already exist</w:t>
      </w:r>
      <w:r w:rsidR="006E24BD" w:rsidRPr="001A076D">
        <w:t xml:space="preserve"> and</w:t>
      </w:r>
      <w:r w:rsidR="0059283F" w:rsidRPr="001A076D">
        <w:t xml:space="preserve"> where gaps in governance, trust, or leadership alignment may limit their</w:t>
      </w:r>
      <w:r w:rsidRPr="001A076D">
        <w:t xml:space="preserve"> impact. In particular, the study points out the importance of clear data ownership, understandable outputs, and stronger engagement from senior decision-makers.</w:t>
      </w:r>
    </w:p>
    <w:p w14:paraId="4B9CA914" w14:textId="6AD30727" w:rsidR="00C928E5" w:rsidRPr="001A076D" w:rsidRDefault="00C928E5" w:rsidP="00C928E5">
      <w:pPr>
        <w:spacing w:before="100" w:beforeAutospacing="1" w:after="100" w:afterAutospacing="1" w:line="360" w:lineRule="auto"/>
        <w:jc w:val="both"/>
      </w:pPr>
      <w:r w:rsidRPr="001A076D">
        <w:t>This matters because</w:t>
      </w:r>
      <w:r w:rsidR="00695237" w:rsidRPr="001A076D">
        <w:t xml:space="preserve"> in a regulated environment, analytics is not just about insight; it must also</w:t>
      </w:r>
      <w:r w:rsidRPr="001A076D">
        <w:t xml:space="preserve"> be defensible. SSE could strengthen strategic decision-making in areas such as investment planning, risk management, and regulatory reporting by improving the trust and use of analytics.</w:t>
      </w:r>
    </w:p>
    <w:p w14:paraId="540F38EF" w14:textId="0B519009" w:rsidR="00C928E5" w:rsidRPr="001A076D" w:rsidRDefault="00C928E5" w:rsidP="00C928E5">
      <w:pPr>
        <w:spacing w:before="100" w:beforeAutospacing="1" w:after="100" w:afterAutospacing="1" w:line="360" w:lineRule="auto"/>
        <w:jc w:val="both"/>
      </w:pPr>
      <w:r w:rsidRPr="001A076D">
        <w:t xml:space="preserve">More broadly, the study offers insights for other organisations operating in similar environments. It indicates that the real challenge is not building predictive </w:t>
      </w:r>
      <w:r w:rsidR="00277819" w:rsidRPr="001A076D">
        <w:t>models but</w:t>
      </w:r>
      <w:r w:rsidRPr="001A076D">
        <w:t xml:space="preserve"> creating the conditions that allow those models to influence decisions.</w:t>
      </w:r>
    </w:p>
    <w:p w14:paraId="67080C67" w14:textId="77777777" w:rsidR="00C928E5" w:rsidRPr="001A076D" w:rsidRDefault="00C928E5" w:rsidP="00C928E5">
      <w:pPr>
        <w:pStyle w:val="Heading2"/>
        <w:rPr>
          <w:rFonts w:ascii="Times New Roman" w:hAnsi="Times New Roman" w:cs="Times New Roman"/>
          <w:b/>
          <w:bCs/>
          <w:color w:val="auto"/>
        </w:rPr>
      </w:pPr>
      <w:bookmarkStart w:id="21" w:name="_Toc236033335"/>
      <w:r w:rsidRPr="001A076D">
        <w:rPr>
          <w:rFonts w:ascii="Times New Roman" w:hAnsi="Times New Roman" w:cs="Times New Roman"/>
          <w:b/>
          <w:bCs/>
          <w:color w:val="auto"/>
        </w:rPr>
        <w:t>1.7 Limitations of the Study</w:t>
      </w:r>
      <w:bookmarkEnd w:id="21"/>
    </w:p>
    <w:p w14:paraId="3AD0B49E" w14:textId="274D38E7" w:rsidR="00C928E5" w:rsidRPr="001A076D" w:rsidRDefault="00C928E5" w:rsidP="00C928E5">
      <w:pPr>
        <w:spacing w:before="100" w:beforeAutospacing="1" w:after="100" w:afterAutospacing="1" w:line="360" w:lineRule="auto"/>
        <w:jc w:val="both"/>
      </w:pPr>
      <w:r w:rsidRPr="001A076D">
        <w:t xml:space="preserve">This research focuses on a single organisation, which limits generalisability. However, it provides an in-depth look at </w:t>
      </w:r>
      <w:r w:rsidR="0066121C" w:rsidRPr="001A076D">
        <w:t>the use of analytics in</w:t>
      </w:r>
      <w:r w:rsidRPr="001A076D">
        <w:t xml:space="preserve"> a regulated context.</w:t>
      </w:r>
    </w:p>
    <w:p w14:paraId="73ADEC22" w14:textId="324C4D34" w:rsidR="00C928E5" w:rsidRPr="001A076D" w:rsidRDefault="00C928E5" w:rsidP="00C928E5">
      <w:pPr>
        <w:spacing w:before="100" w:beforeAutospacing="1" w:after="100" w:afterAutospacing="1" w:line="360" w:lineRule="auto"/>
        <w:jc w:val="both"/>
      </w:pPr>
      <w:r w:rsidRPr="001A076D">
        <w:t xml:space="preserve">There are also potential limitations related to </w:t>
      </w:r>
      <w:r w:rsidR="00622BB3" w:rsidRPr="001A076D">
        <w:t xml:space="preserve">accessibility, </w:t>
      </w:r>
      <w:r w:rsidR="00BB0C5F" w:rsidRPr="001A076D">
        <w:t xml:space="preserve">organisational dynamics, and </w:t>
      </w:r>
      <w:r w:rsidR="0042004D" w:rsidRPr="001A076D">
        <w:t>respondents' biases.</w:t>
      </w:r>
      <w:r w:rsidRPr="001A076D">
        <w:t xml:space="preserve"> These are addressed through triangulation of qualitative and quantitative data.</w:t>
      </w:r>
    </w:p>
    <w:p w14:paraId="7248D347" w14:textId="6B83B7B0" w:rsidR="00C928E5" w:rsidRPr="001A076D" w:rsidRDefault="00C928E5" w:rsidP="00C928E5">
      <w:pPr>
        <w:spacing w:before="100" w:beforeAutospacing="1" w:after="100" w:afterAutospacing="1" w:line="360" w:lineRule="auto"/>
        <w:jc w:val="both"/>
      </w:pPr>
      <w:r w:rsidRPr="001A076D">
        <w:t xml:space="preserve">Finally, the findings reflect a specific time </w:t>
      </w:r>
      <w:r w:rsidR="00622BB3" w:rsidRPr="001A076D">
        <w:t xml:space="preserve">period and should be understood </w:t>
      </w:r>
      <w:r w:rsidR="0042004D" w:rsidRPr="001A076D">
        <w:t>in</w:t>
      </w:r>
      <w:r w:rsidR="00622BB3" w:rsidRPr="001A076D">
        <w:t xml:space="preserve"> the context of ongoing organisational</w:t>
      </w:r>
      <w:r w:rsidRPr="001A076D">
        <w:t xml:space="preserve"> </w:t>
      </w:r>
      <w:r w:rsidR="00EE6C3C" w:rsidRPr="001A076D">
        <w:t>changes</w:t>
      </w:r>
      <w:r w:rsidRPr="001A076D">
        <w:t>.</w:t>
      </w:r>
    </w:p>
    <w:p w14:paraId="6EDE3F74" w14:textId="77777777" w:rsidR="00C928E5" w:rsidRPr="001A076D" w:rsidRDefault="00C928E5" w:rsidP="00C928E5">
      <w:pPr>
        <w:pStyle w:val="Heading2"/>
        <w:rPr>
          <w:rFonts w:ascii="Times New Roman" w:hAnsi="Times New Roman" w:cs="Times New Roman"/>
          <w:b/>
          <w:bCs/>
          <w:color w:val="auto"/>
        </w:rPr>
      </w:pPr>
      <w:bookmarkStart w:id="22" w:name="_Toc236033336"/>
      <w:r w:rsidRPr="001A076D">
        <w:rPr>
          <w:rFonts w:ascii="Times New Roman" w:hAnsi="Times New Roman" w:cs="Times New Roman"/>
          <w:b/>
          <w:bCs/>
          <w:color w:val="auto"/>
        </w:rPr>
        <w:lastRenderedPageBreak/>
        <w:t>1.8 Conceptual Positioning: DELTA–DCAM Framework</w:t>
      </w:r>
      <w:bookmarkEnd w:id="22"/>
    </w:p>
    <w:p w14:paraId="5F353E4C" w14:textId="24C75422" w:rsidR="00C928E5" w:rsidRPr="001A076D" w:rsidRDefault="00C928E5" w:rsidP="00C928E5">
      <w:pPr>
        <w:spacing w:before="100" w:beforeAutospacing="1" w:after="100" w:afterAutospacing="1" w:line="360" w:lineRule="auto"/>
        <w:jc w:val="both"/>
      </w:pPr>
      <w:r w:rsidRPr="001A076D">
        <w:t>This study adopts an integrated perspective that brings together the DELTA framework (Davenport et al., 2010) and the Data Management Capability Assessment Model (DCAM) (EDM Council, 202</w:t>
      </w:r>
      <w:r w:rsidR="00E23533" w:rsidRPr="001A076D">
        <w:t>0</w:t>
      </w:r>
      <w:r w:rsidRPr="001A076D">
        <w:t>).</w:t>
      </w:r>
    </w:p>
    <w:p w14:paraId="18A3DEE0" w14:textId="77777777" w:rsidR="00C928E5" w:rsidRPr="001A076D" w:rsidRDefault="00C928E5" w:rsidP="00C928E5">
      <w:pPr>
        <w:spacing w:before="100" w:beforeAutospacing="1" w:after="100" w:afterAutospacing="1" w:line="360" w:lineRule="auto"/>
        <w:jc w:val="both"/>
      </w:pPr>
      <w:r w:rsidRPr="001A076D">
        <w:t>DELTA focuses on analytical capabilities, leadership, and how organisations generate value from data. DCAM, by contrast, looks at governance, data quality, ownership, and control. On their own, each explains part of the picture, but neither fully captures how analytics actually becomes embedded in decision-making.</w:t>
      </w:r>
    </w:p>
    <w:p w14:paraId="61A9F51D" w14:textId="7AF60C43" w:rsidR="00C928E5" w:rsidRPr="001A076D" w:rsidRDefault="00C928E5" w:rsidP="00C928E5">
      <w:pPr>
        <w:spacing w:before="100" w:beforeAutospacing="1" w:after="100" w:afterAutospacing="1" w:line="360" w:lineRule="auto"/>
        <w:jc w:val="both"/>
      </w:pPr>
      <w:r w:rsidRPr="001A076D">
        <w:t xml:space="preserve">Bringing the two together allows the study to </w:t>
      </w:r>
      <w:r w:rsidR="0066121C" w:rsidRPr="001A076D">
        <w:t>examine both sides simultaneously</w:t>
      </w:r>
      <w:r w:rsidRPr="001A076D">
        <w:t xml:space="preserve">. DELTA helps explain how </w:t>
      </w:r>
      <w:r w:rsidR="00622BB3" w:rsidRPr="001A076D">
        <w:t>organisations build and use analytical capabilities, while DCAM explains how those capabilities become trustworthy</w:t>
      </w:r>
      <w:r w:rsidRPr="001A076D">
        <w:t xml:space="preserve">, controlled, and accountable. In a regulated environment like SSE </w:t>
      </w:r>
      <w:r w:rsidR="00277819" w:rsidRPr="001A076D">
        <w:t>plc</w:t>
      </w:r>
      <w:r w:rsidRPr="001A076D">
        <w:t>, both are necessary.</w:t>
      </w:r>
    </w:p>
    <w:p w14:paraId="502D4D26" w14:textId="77777777" w:rsidR="00C928E5" w:rsidRPr="001A076D" w:rsidRDefault="00C928E5" w:rsidP="00C928E5">
      <w:pPr>
        <w:spacing w:before="100" w:beforeAutospacing="1" w:after="100" w:afterAutospacing="1" w:line="360" w:lineRule="auto"/>
        <w:jc w:val="both"/>
      </w:pPr>
      <w:r w:rsidRPr="001A076D">
        <w:t>This combined perspective is important because it reflects how analytics works in practice. Technical capability creates the potential for insight, but governance and trust determine whether that insight is actually used. By integrating the two frameworks, the study can examine predictive analytics as both a technical capability and an organisational process.</w:t>
      </w:r>
    </w:p>
    <w:p w14:paraId="74F58F0E" w14:textId="77777777" w:rsidR="00C928E5" w:rsidRPr="001A076D" w:rsidRDefault="00C928E5" w:rsidP="00C928E5">
      <w:pPr>
        <w:pStyle w:val="Heading2"/>
        <w:rPr>
          <w:rFonts w:ascii="Times New Roman" w:hAnsi="Times New Roman" w:cs="Times New Roman"/>
          <w:b/>
          <w:bCs/>
          <w:color w:val="auto"/>
        </w:rPr>
      </w:pPr>
      <w:bookmarkStart w:id="23" w:name="_Toc236033337"/>
      <w:r w:rsidRPr="001A076D">
        <w:rPr>
          <w:rFonts w:ascii="Times New Roman" w:hAnsi="Times New Roman" w:cs="Times New Roman"/>
          <w:b/>
          <w:bCs/>
          <w:color w:val="auto"/>
        </w:rPr>
        <w:t>1.9 Structure of the Dissertation</w:t>
      </w:r>
      <w:bookmarkEnd w:id="23"/>
    </w:p>
    <w:p w14:paraId="0B7E0DA4" w14:textId="60B4DE45" w:rsidR="00C928E5" w:rsidRPr="001A076D" w:rsidRDefault="00C928E5" w:rsidP="00C928E5">
      <w:pPr>
        <w:spacing w:before="100" w:beforeAutospacing="1" w:after="100" w:afterAutospacing="1" w:line="360" w:lineRule="auto"/>
        <w:jc w:val="both"/>
      </w:pPr>
      <w:r w:rsidRPr="001A076D">
        <w:t xml:space="preserve">The dissertation is organised into five chapters, each building on the last to address the research problem in a structured and coherent </w:t>
      </w:r>
      <w:r w:rsidR="00815233" w:rsidRPr="001A076D">
        <w:t>manner</w:t>
      </w:r>
      <w:r w:rsidRPr="001A076D">
        <w:t>.</w:t>
      </w:r>
    </w:p>
    <w:p w14:paraId="7DDE024C" w14:textId="3D812C17" w:rsidR="00C928E5" w:rsidRPr="001A076D" w:rsidRDefault="00C928E5" w:rsidP="00C928E5">
      <w:pPr>
        <w:spacing w:before="100" w:beforeAutospacing="1" w:after="100" w:afterAutospacing="1" w:line="360" w:lineRule="auto"/>
        <w:jc w:val="both"/>
      </w:pPr>
      <w:r w:rsidRPr="001A076D">
        <w:t xml:space="preserve">Chapter 1 introduces the study, setting out the research context, problem, aim, objectives, and overall direction. It also outlines the conceptual framework </w:t>
      </w:r>
      <w:r w:rsidR="006E24BD" w:rsidRPr="001A076D">
        <w:t>for examining</w:t>
      </w:r>
      <w:r w:rsidRPr="001A076D">
        <w:t xml:space="preserve"> predictive analytics within a governance and organisational context.</w:t>
      </w:r>
    </w:p>
    <w:p w14:paraId="490B26E1" w14:textId="77777777" w:rsidR="00C928E5" w:rsidRPr="001A076D" w:rsidRDefault="00C928E5" w:rsidP="00C928E5">
      <w:pPr>
        <w:spacing w:before="100" w:beforeAutospacing="1" w:after="100" w:afterAutospacing="1" w:line="360" w:lineRule="auto"/>
        <w:jc w:val="both"/>
      </w:pPr>
      <w:r w:rsidRPr="001A076D">
        <w:t>Chapter 2 reviews the relevant literature, focusing on predictive analytics, data governance, executive trust, and organisational readiness. It brings these strands together to develop the theoretical foundation for the study and justify the integrated DELTA–DCAM perspective.</w:t>
      </w:r>
    </w:p>
    <w:p w14:paraId="4BDF5696" w14:textId="77777777" w:rsidR="00C928E5" w:rsidRPr="001A076D" w:rsidRDefault="00C928E5" w:rsidP="00C928E5">
      <w:pPr>
        <w:spacing w:before="100" w:beforeAutospacing="1" w:after="100" w:afterAutospacing="1" w:line="360" w:lineRule="auto"/>
        <w:jc w:val="both"/>
      </w:pPr>
      <w:r w:rsidRPr="001A076D">
        <w:t>Chapter 3 explains the research design and methodology. It outlines the mixed-methods approach, including data collection, sampling, and analysis techniques, and explains how the study ensures reliability, validity, and triangulation.</w:t>
      </w:r>
    </w:p>
    <w:p w14:paraId="520991F5" w14:textId="77777777" w:rsidR="00C928E5" w:rsidRPr="001A076D" w:rsidRDefault="00C928E5" w:rsidP="00C928E5">
      <w:pPr>
        <w:spacing w:before="100" w:beforeAutospacing="1" w:after="100" w:afterAutospacing="1" w:line="360" w:lineRule="auto"/>
        <w:jc w:val="both"/>
      </w:pPr>
      <w:r w:rsidRPr="001A076D">
        <w:lastRenderedPageBreak/>
        <w:t>Chapter 4 presents and analyses the findings. It brings together quantitative results and qualitative insights, not as separate outputs, but as part of a combined explanation of how predictive analytics is (or is not) embedded in practice.</w:t>
      </w:r>
    </w:p>
    <w:p w14:paraId="54313932" w14:textId="77777777" w:rsidR="00C928E5" w:rsidRPr="001A076D" w:rsidRDefault="00C928E5" w:rsidP="00C928E5">
      <w:pPr>
        <w:spacing w:before="100" w:beforeAutospacing="1" w:after="100" w:afterAutospacing="1" w:line="360" w:lineRule="auto"/>
        <w:jc w:val="both"/>
      </w:pPr>
      <w:r w:rsidRPr="001A076D">
        <w:t>Chapter 5 discusses these findings in relation to the research questions and existing literature before drawing conclusions and setting out recommendations. The emphasis is on interpreting what the results mean, rather than simply repeating them, and on showing how the study addresses the original research problem.</w:t>
      </w:r>
    </w:p>
    <w:p w14:paraId="7F6C2128" w14:textId="77777777" w:rsidR="00C928E5" w:rsidRPr="001A076D" w:rsidRDefault="00C928E5" w:rsidP="00C928E5">
      <w:pPr>
        <w:spacing w:before="100" w:beforeAutospacing="1" w:after="100" w:afterAutospacing="1" w:line="360" w:lineRule="auto"/>
        <w:jc w:val="both"/>
      </w:pPr>
      <w:r w:rsidRPr="001A076D">
        <w:t>Taken together, the chapters follow a clear progression from context and theory through to evidence, interpretation, and practical insight, ensuring that the study develops as a single, coherent argument rather than a set of separate sections.</w:t>
      </w:r>
    </w:p>
    <w:p w14:paraId="2A138215" w14:textId="77777777" w:rsidR="00C928E5" w:rsidRPr="001A076D" w:rsidRDefault="00C928E5" w:rsidP="00FA369A">
      <w:pPr>
        <w:spacing w:before="100" w:beforeAutospacing="1" w:after="100" w:afterAutospacing="1" w:line="360" w:lineRule="auto"/>
        <w:jc w:val="both"/>
      </w:pPr>
    </w:p>
    <w:p w14:paraId="0004B26B" w14:textId="77777777" w:rsidR="00AB20D0" w:rsidRPr="001A076D" w:rsidRDefault="00AB20D0"/>
    <w:p w14:paraId="02ABA914" w14:textId="77777777" w:rsidR="00AB20D0" w:rsidRPr="001A076D" w:rsidRDefault="00AB20D0">
      <w:r w:rsidRPr="001A076D">
        <w:br w:type="page"/>
      </w:r>
    </w:p>
    <w:p w14:paraId="5A736CA5" w14:textId="77777777" w:rsidR="00B022C6" w:rsidRPr="001A076D" w:rsidRDefault="00B022C6" w:rsidP="00E857DE">
      <w:pPr>
        <w:pStyle w:val="Heading1"/>
        <w:spacing w:line="360" w:lineRule="auto"/>
        <w:jc w:val="center"/>
        <w:rPr>
          <w:rFonts w:ascii="Times New Roman" w:eastAsia="Times New Roman" w:hAnsi="Times New Roman" w:cs="Times New Roman"/>
          <w:b/>
          <w:bCs/>
          <w:color w:val="auto"/>
        </w:rPr>
      </w:pPr>
      <w:bookmarkStart w:id="24" w:name="_Toc236033338"/>
      <w:r w:rsidRPr="001A076D">
        <w:rPr>
          <w:rFonts w:ascii="Times New Roman" w:eastAsia="Times New Roman" w:hAnsi="Times New Roman" w:cs="Times New Roman"/>
          <w:b/>
          <w:bCs/>
          <w:color w:val="auto"/>
        </w:rPr>
        <w:lastRenderedPageBreak/>
        <w:t>Chapter 2: Literature Review</w:t>
      </w:r>
      <w:bookmarkEnd w:id="24"/>
    </w:p>
    <w:p w14:paraId="4981E5DE" w14:textId="43AD1F30" w:rsidR="00BB23FB" w:rsidRPr="001A076D" w:rsidRDefault="00B022C6" w:rsidP="00E857DE">
      <w:pPr>
        <w:pStyle w:val="Heading2"/>
        <w:spacing w:line="360" w:lineRule="auto"/>
        <w:rPr>
          <w:rFonts w:ascii="Times New Roman" w:eastAsia="Times New Roman" w:hAnsi="Times New Roman" w:cs="Times New Roman"/>
          <w:b/>
          <w:bCs/>
          <w:color w:val="auto"/>
        </w:rPr>
      </w:pPr>
      <w:bookmarkStart w:id="25" w:name="_Toc236033339"/>
      <w:r w:rsidRPr="001A076D">
        <w:rPr>
          <w:rFonts w:ascii="Times New Roman" w:eastAsia="Times New Roman" w:hAnsi="Times New Roman" w:cs="Times New Roman"/>
          <w:b/>
          <w:bCs/>
          <w:color w:val="auto"/>
        </w:rPr>
        <w:t>2.1 Predictive Analytics and Strategic Decision-Making: Conceptual Foundations</w:t>
      </w:r>
      <w:bookmarkEnd w:id="25"/>
    </w:p>
    <w:p w14:paraId="3B90F544" w14:textId="46A7E31E" w:rsidR="001A101C" w:rsidRPr="001A076D" w:rsidRDefault="00BB23FB" w:rsidP="00BB23FB">
      <w:pPr>
        <w:pStyle w:val="NormalWeb"/>
        <w:spacing w:line="360" w:lineRule="auto"/>
        <w:jc w:val="both"/>
      </w:pPr>
      <w:r w:rsidRPr="001A076D">
        <w:t xml:space="preserve">Predictive analytics has become an important part of strategic decision-making, particularly in data-intensive and regulated sectors. It involves using historical and real-time data, </w:t>
      </w:r>
      <w:r w:rsidR="00622BB3" w:rsidRPr="001A076D">
        <w:t>along with statistical modelling</w:t>
      </w:r>
      <w:r w:rsidRPr="001A076D">
        <w:t xml:space="preserve"> and machine learning, to anticipate future outcomes and support forward-looking decisions (Shmueli and Koppius, 2011; Provost and Fawcett, 2013). Earlier work treated predictive analytics largely as an extension of business intelligence, </w:t>
      </w:r>
      <w:r w:rsidR="006E24BD" w:rsidRPr="001A076D">
        <w:t>with a focus</w:t>
      </w:r>
      <w:r w:rsidRPr="001A076D">
        <w:t xml:space="preserve"> on forecasting and operational efficiency. </w:t>
      </w:r>
      <w:r w:rsidR="001A101C" w:rsidRPr="001A076D">
        <w:t>More recent studies, however, position it as a strategic capability that shapes how organisations respond to uncertainty and allocate resources (Roy, Mondal and Saha, 2025; Rahman, 2025).</w:t>
      </w:r>
    </w:p>
    <w:p w14:paraId="4682ECA9" w14:textId="409FE4DF" w:rsidR="00BB23FB" w:rsidRPr="001A076D" w:rsidRDefault="00BB23FB" w:rsidP="00BB23FB">
      <w:pPr>
        <w:pStyle w:val="NormalWeb"/>
        <w:spacing w:line="360" w:lineRule="auto"/>
        <w:jc w:val="both"/>
      </w:pPr>
      <w:r w:rsidRPr="001A076D">
        <w:t xml:space="preserve">Davenport and Harris (2007) helped shift this thinking by arguing that competitive advantage depends not simply on better </w:t>
      </w:r>
      <w:r w:rsidR="00622BB3" w:rsidRPr="001A076D">
        <w:t>algorithms but</w:t>
      </w:r>
      <w:r w:rsidRPr="001A076D">
        <w:t xml:space="preserve"> on whether analytical insights are embedded in decision-making. This was reinforced by Davenport, </w:t>
      </w:r>
      <w:r w:rsidR="00622BB3" w:rsidRPr="001A076D">
        <w:t xml:space="preserve">Harris, and Morison (2010), who linked analytical maturity </w:t>
      </w:r>
      <w:r w:rsidR="0042004D" w:rsidRPr="001A076D">
        <w:t>to</w:t>
      </w:r>
      <w:r w:rsidR="00F85EBD" w:rsidRPr="001A076D">
        <w:t xml:space="preserve"> organisational</w:t>
      </w:r>
      <w:r w:rsidRPr="001A076D">
        <w:t xml:space="preserve"> alignment, executive sponsorship, and the ability to turn </w:t>
      </w:r>
      <w:r w:rsidR="00EE6C3C" w:rsidRPr="001A076D">
        <w:t>insights</w:t>
      </w:r>
      <w:r w:rsidRPr="001A076D">
        <w:t xml:space="preserve"> into action.</w:t>
      </w:r>
    </w:p>
    <w:p w14:paraId="27BDF60C" w14:textId="1D6016B6" w:rsidR="00BB23FB" w:rsidRPr="001A076D" w:rsidRDefault="00BB23FB" w:rsidP="00BB23FB">
      <w:pPr>
        <w:pStyle w:val="NormalWeb"/>
        <w:spacing w:line="360" w:lineRule="auto"/>
        <w:jc w:val="both"/>
      </w:pPr>
      <w:r w:rsidRPr="001A076D">
        <w:t xml:space="preserve">Even so, stronger predictive capability does not automatically lead to better decisions. Shmueli and Koppius (2011) and Provost and Fawcett (2013) </w:t>
      </w:r>
      <w:r w:rsidR="00FB59A1" w:rsidRPr="001A076D">
        <w:t>demonstrate that value only arises when individuals comprehend, trust, and act on insights</w:t>
      </w:r>
      <w:r w:rsidRPr="001A076D">
        <w:t xml:space="preserve">. This matters even more in regulated settings, where decisions must be transparent and explainable (ICO, 2021; Ofgem, </w:t>
      </w:r>
      <w:r w:rsidR="00891BA5" w:rsidRPr="001A076D">
        <w:t xml:space="preserve">2022; </w:t>
      </w:r>
      <w:r w:rsidR="00622BB3" w:rsidRPr="001A076D">
        <w:t>2023), as a lack of understanding or trust in the insights can lead to non-compliance and undermine the effectiveness of regulatory frameworks.</w:t>
      </w:r>
    </w:p>
    <w:p w14:paraId="47547AEE" w14:textId="1D092A1C" w:rsidR="001A101C" w:rsidRPr="001A076D" w:rsidRDefault="00BB23FB" w:rsidP="00E976DA">
      <w:pPr>
        <w:pStyle w:val="NormalWeb"/>
        <w:spacing w:line="360" w:lineRule="auto"/>
        <w:jc w:val="both"/>
      </w:pPr>
      <w:r w:rsidRPr="001A076D">
        <w:t xml:space="preserve">The energy sector illustrates this clearly. </w:t>
      </w:r>
      <w:r w:rsidR="00622BB3" w:rsidRPr="001A076D">
        <w:t xml:space="preserve">Organisations are making increasing use of predictive analytics for forecasting, optimisation, and resilience planning (International Energy Agency, 2022; National Grid, </w:t>
      </w:r>
      <w:r w:rsidR="0003636D" w:rsidRPr="001A076D">
        <w:t xml:space="preserve">2023; </w:t>
      </w:r>
      <w:r w:rsidR="00622BB3" w:rsidRPr="001A076D">
        <w:t>2024), yet empirical studies still point to barriers such as legacy systems, fragmented ownership, and risk-averse cultures (Verma et al., 2021; Mashayekhy Rad &amp; Liu, 2023).</w:t>
      </w:r>
      <w:r w:rsidRPr="001A076D">
        <w:t xml:space="preserve"> </w:t>
      </w:r>
      <w:r w:rsidR="001A101C" w:rsidRPr="001A076D">
        <w:t xml:space="preserve">Recent empirical evidence further demonstrates that governance maturity and </w:t>
      </w:r>
      <w:r w:rsidR="008E15C2" w:rsidRPr="001A076D">
        <w:t>organisational readiness significantly influence the strategic effectiveness of predictive analytics initiatives (Ansari, Bhujel, and Khawaja, 2026; Utomo, Wahidah,</w:t>
      </w:r>
      <w:r w:rsidR="001A101C" w:rsidRPr="001A076D">
        <w:t xml:space="preserve"> and </w:t>
      </w:r>
      <w:proofErr w:type="spellStart"/>
      <w:r w:rsidR="001A101C" w:rsidRPr="001A076D">
        <w:t>Wisudawati</w:t>
      </w:r>
      <w:proofErr w:type="spellEnd"/>
      <w:r w:rsidR="001A101C" w:rsidRPr="001A076D">
        <w:t xml:space="preserve">, </w:t>
      </w:r>
      <w:r w:rsidR="001B0EB1" w:rsidRPr="001A076D">
        <w:t>2025).</w:t>
      </w:r>
    </w:p>
    <w:p w14:paraId="679A5D64" w14:textId="00967601" w:rsidR="00BB23FB" w:rsidRPr="001A076D" w:rsidRDefault="00B022C6" w:rsidP="00BB23FB">
      <w:pPr>
        <w:pStyle w:val="Heading2"/>
        <w:rPr>
          <w:rFonts w:ascii="Times New Roman" w:eastAsia="Times New Roman" w:hAnsi="Times New Roman" w:cs="Times New Roman"/>
          <w:b/>
          <w:bCs/>
          <w:color w:val="auto"/>
        </w:rPr>
      </w:pPr>
      <w:bookmarkStart w:id="26" w:name="_Toc236033340"/>
      <w:r w:rsidRPr="001A076D">
        <w:rPr>
          <w:rFonts w:ascii="Times New Roman" w:eastAsia="Times New Roman" w:hAnsi="Times New Roman" w:cs="Times New Roman"/>
          <w:b/>
          <w:bCs/>
          <w:color w:val="auto"/>
        </w:rPr>
        <w:lastRenderedPageBreak/>
        <w:t>2.2 Predictive Analytics as an Organisational Capability</w:t>
      </w:r>
      <w:bookmarkEnd w:id="26"/>
    </w:p>
    <w:p w14:paraId="6799FC60" w14:textId="4059275A" w:rsidR="00BB23FB" w:rsidRPr="001A076D" w:rsidRDefault="00BB23FB" w:rsidP="00BB23FB">
      <w:pPr>
        <w:pStyle w:val="NormalWeb"/>
        <w:spacing w:line="360" w:lineRule="auto"/>
        <w:jc w:val="both"/>
      </w:pPr>
      <w:r w:rsidRPr="001A076D">
        <w:t xml:space="preserve">Predictive analytics is increasingly </w:t>
      </w:r>
      <w:r w:rsidR="0042004D" w:rsidRPr="001A076D">
        <w:t>understood not as a standalone tool but as an organisational capability.</w:t>
      </w:r>
      <w:r w:rsidRPr="001A076D">
        <w:t xml:space="preserve"> LaValle et al. (2011) show that value comes not from better tools alone, but from how effectively insights are embedded </w:t>
      </w:r>
      <w:r w:rsidR="00622BB3" w:rsidRPr="001A076D">
        <w:t>in</w:t>
      </w:r>
      <w:r w:rsidRPr="001A076D">
        <w:t xml:space="preserve"> decision-making and managerial routines. Similarly, Sharma, Mithas</w:t>
      </w:r>
      <w:r w:rsidR="000868A4" w:rsidRPr="001A076D">
        <w:t xml:space="preserve">, and Kankanhalli (2014; 2020) argue that analytics reshapes decision-making only </w:t>
      </w:r>
      <w:r w:rsidRPr="001A076D">
        <w:t>when it influences authority structures, organisational processes, and accountability.</w:t>
      </w:r>
    </w:p>
    <w:p w14:paraId="1973DC7F" w14:textId="7D0E2348" w:rsidR="00BB23FB" w:rsidRPr="001A076D" w:rsidRDefault="00BB23FB" w:rsidP="00BB23FB">
      <w:pPr>
        <w:pStyle w:val="NormalWeb"/>
        <w:spacing w:line="360" w:lineRule="auto"/>
        <w:jc w:val="both"/>
      </w:pPr>
      <w:r w:rsidRPr="001A076D">
        <w:t xml:space="preserve">There is, however, less agreement on what this capability looks like in practice. </w:t>
      </w:r>
      <w:r w:rsidR="00622BB3" w:rsidRPr="001A076D">
        <w:t>Some studies emphasise data quality and infrastructure, showing that unreliable data can undermine even advanced models (Gandomi &amp; Haider, 2015; Hazen et al., 2014; Kwon, Lee, &amp; Shin, 2014).</w:t>
      </w:r>
      <w:r w:rsidRPr="001A076D">
        <w:t xml:space="preserve"> </w:t>
      </w:r>
      <w:r w:rsidR="00622BB3" w:rsidRPr="001A076D">
        <w:t xml:space="preserve">Others have a more dynamic </w:t>
      </w:r>
      <w:r w:rsidR="00F85EBD" w:rsidRPr="001A076D">
        <w:t>organisational outlook</w:t>
      </w:r>
      <w:r w:rsidR="00622BB3" w:rsidRPr="001A076D">
        <w:t>.</w:t>
      </w:r>
      <w:r w:rsidRPr="001A076D">
        <w:t xml:space="preserve"> Brynjolfsson, Rock</w:t>
      </w:r>
      <w:r w:rsidR="0066121C" w:rsidRPr="001A076D">
        <w:t>, and Syverson (2021), for example, argue that analytics adoption may initially reduce performance due to</w:t>
      </w:r>
      <w:r w:rsidRPr="001A076D">
        <w:t xml:space="preserve"> misalignment, skills gaps, and cultural resistance.</w:t>
      </w:r>
    </w:p>
    <w:p w14:paraId="0CDEC404" w14:textId="3918CC8D" w:rsidR="00BB23FB" w:rsidRPr="001A076D" w:rsidRDefault="00B720AB" w:rsidP="00BB23FB">
      <w:pPr>
        <w:pStyle w:val="NormalWeb"/>
        <w:spacing w:line="360" w:lineRule="auto"/>
        <w:jc w:val="both"/>
      </w:pPr>
      <w:r w:rsidRPr="001A076D">
        <w:t xml:space="preserve">Together, these perspectives reveal tensions in the literature, particularly regarding how organisations balance technical </w:t>
      </w:r>
      <w:r w:rsidR="008D3278" w:rsidRPr="001A076D">
        <w:t>capabilities</w:t>
      </w:r>
      <w:r w:rsidRPr="001A076D">
        <w:t xml:space="preserve"> with governance maturity and strategic readiness (Wang, 2025; Nechita, </w:t>
      </w:r>
      <w:proofErr w:type="spellStart"/>
      <w:r w:rsidRPr="001A076D">
        <w:t>Stochioiu</w:t>
      </w:r>
      <w:proofErr w:type="spellEnd"/>
      <w:r w:rsidRPr="001A076D">
        <w:t>, and Grecu, 2025).</w:t>
      </w:r>
      <w:r w:rsidR="00BB23FB" w:rsidRPr="001A076D">
        <w:t xml:space="preserve"> Technical studies treat predictive analytics largely as </w:t>
      </w:r>
      <w:r w:rsidR="00622BB3" w:rsidRPr="001A076D">
        <w:t xml:space="preserve">data and infrastructure challenges, </w:t>
      </w:r>
      <w:r w:rsidR="00F85EBD" w:rsidRPr="001A076D">
        <w:t>whereas organisational research emphasises</w:t>
      </w:r>
      <w:r w:rsidR="00BB23FB" w:rsidRPr="001A076D">
        <w:t xml:space="preserve"> leadership, governance, and culture. </w:t>
      </w:r>
      <w:r w:rsidR="00622BB3" w:rsidRPr="001A076D">
        <w:t xml:space="preserve">This fragmentation limits our understanding of how predictive analytics </w:t>
      </w:r>
      <w:r w:rsidR="00F85EBD" w:rsidRPr="001A076D">
        <w:t xml:space="preserve">is embedded in practice, particularly in </w:t>
      </w:r>
      <w:r w:rsidR="00BB0C5F" w:rsidRPr="001A076D">
        <w:t xml:space="preserve">regulatory </w:t>
      </w:r>
      <w:r w:rsidR="008E5B58" w:rsidRPr="001A076D">
        <w:t xml:space="preserve">settings, where </w:t>
      </w:r>
      <w:r w:rsidR="00791786" w:rsidRPr="001A076D">
        <w:t xml:space="preserve">both technical </w:t>
      </w:r>
      <w:r w:rsidR="00EE6C3C" w:rsidRPr="001A076D">
        <w:t>capabilities</w:t>
      </w:r>
      <w:r w:rsidR="00791786" w:rsidRPr="001A076D">
        <w:t xml:space="preserve"> and organisational legitimacy are</w:t>
      </w:r>
      <w:r w:rsidR="00622BB3" w:rsidRPr="001A076D">
        <w:t xml:space="preserve"> required.</w:t>
      </w:r>
    </w:p>
    <w:p w14:paraId="591272B1" w14:textId="2F6ED28B" w:rsidR="00BB23FB" w:rsidRPr="001A076D" w:rsidRDefault="00BB23FB" w:rsidP="00BB23FB">
      <w:pPr>
        <w:pStyle w:val="NormalWeb"/>
        <w:spacing w:line="360" w:lineRule="auto"/>
        <w:jc w:val="both"/>
      </w:pPr>
      <w:r w:rsidRPr="001A076D">
        <w:t xml:space="preserve">Recent work by Roy et al. (2025) reinforces this maturity-based view, showing how </w:t>
      </w:r>
      <w:r w:rsidR="00622BB3" w:rsidRPr="001A076D">
        <w:t>organisations move from ad hoc data practices to more structured, data-driven decision-making when governance, learning, and strategic intent evolve</w:t>
      </w:r>
      <w:r w:rsidRPr="001A076D">
        <w:t xml:space="preserve"> together.</w:t>
      </w:r>
    </w:p>
    <w:p w14:paraId="4911F7CF" w14:textId="29B69534" w:rsidR="00BB23FB" w:rsidRPr="001A076D" w:rsidRDefault="00622BB3" w:rsidP="00B8558E">
      <w:pPr>
        <w:pStyle w:val="NormalWeb"/>
        <w:spacing w:line="360" w:lineRule="auto"/>
        <w:jc w:val="both"/>
      </w:pPr>
      <w:r w:rsidRPr="001A076D">
        <w:t>To synthesise these perspectives, Table 2.1 maps key contributors against the main dimensions of organisational readiness.</w:t>
      </w:r>
      <w:r w:rsidR="00BB23FB" w:rsidRPr="001A076D">
        <w:t xml:space="preserve"> While many studies </w:t>
      </w:r>
      <w:r w:rsidR="00BB0C5F" w:rsidRPr="001A076D">
        <w:t>recognise that analytical capabilities extend beyond technology, they often emphasise</w:t>
      </w:r>
      <w:r w:rsidR="00BB23FB" w:rsidRPr="001A076D">
        <w:t xml:space="preserve"> one dimension at a time. </w:t>
      </w:r>
      <w:r w:rsidR="00E10811" w:rsidRPr="001A076D">
        <w:t xml:space="preserve">These </w:t>
      </w:r>
      <w:r w:rsidR="00F85EBD" w:rsidRPr="001A076D">
        <w:t>limits hinder our understanding</w:t>
      </w:r>
      <w:r w:rsidR="00BB23FB" w:rsidRPr="001A076D">
        <w:t xml:space="preserve"> of how these elements interact in regulated environments.</w:t>
      </w:r>
    </w:p>
    <w:p w14:paraId="4594D841" w14:textId="7CD975E3" w:rsidR="00731D82" w:rsidRPr="001A076D" w:rsidRDefault="00F53030" w:rsidP="00F53030">
      <w:bookmarkStart w:id="27" w:name="_Toc230555046"/>
      <w:bookmarkStart w:id="28" w:name="OLE_LINK1"/>
      <w:r w:rsidRPr="001A076D">
        <w:t>Table 2.</w:t>
      </w:r>
      <w:r w:rsidR="0016133E" w:rsidRPr="001A076D">
        <w:t>1</w:t>
      </w:r>
      <w:r w:rsidR="00731D82" w:rsidRPr="001A076D">
        <w:t>: Mapping Key Literature to Organisational Readiness Dimensions for Predictive Analytics</w:t>
      </w:r>
      <w:bookmarkEnd w:id="27"/>
    </w:p>
    <w:p w14:paraId="5F1C7ED0" w14:textId="6339D6DD" w:rsidR="00F53030" w:rsidRPr="001A076D" w:rsidRDefault="00F53030" w:rsidP="00F53030">
      <w:r w:rsidRPr="001A076D">
        <w:t>(</w:t>
      </w:r>
      <w:r w:rsidRPr="001A076D">
        <w:rPr>
          <w:i/>
          <w:iCs/>
        </w:rPr>
        <w:t>Source: Author’s own work</w:t>
      </w:r>
      <w:r w:rsidRPr="001A076D">
        <w:t>)</w:t>
      </w:r>
    </w:p>
    <w:p w14:paraId="1C106721" w14:textId="77777777" w:rsidR="00731D82" w:rsidRPr="001A076D" w:rsidRDefault="00731D82" w:rsidP="00731D82"/>
    <w:tbl>
      <w:tblPr>
        <w:tblStyle w:val="GridTable1Light"/>
        <w:tblW w:w="0" w:type="auto"/>
        <w:tblLook w:val="04A0" w:firstRow="1" w:lastRow="0" w:firstColumn="1" w:lastColumn="0" w:noHBand="0" w:noVBand="1"/>
      </w:tblPr>
      <w:tblGrid>
        <w:gridCol w:w="1873"/>
        <w:gridCol w:w="1693"/>
        <w:gridCol w:w="1809"/>
        <w:gridCol w:w="2044"/>
        <w:gridCol w:w="2023"/>
      </w:tblGrid>
      <w:tr w:rsidR="00057F93" w:rsidRPr="001A076D" w14:paraId="36AB9D51" w14:textId="77777777" w:rsidTr="00F82B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D80A2A" w14:textId="77777777" w:rsidR="00B022C6" w:rsidRPr="001A076D" w:rsidRDefault="00B022C6" w:rsidP="00F82BDF">
            <w:pPr>
              <w:spacing w:line="276" w:lineRule="auto"/>
              <w:jc w:val="center"/>
              <w:rPr>
                <w:sz w:val="22"/>
                <w:szCs w:val="22"/>
              </w:rPr>
            </w:pPr>
            <w:r w:rsidRPr="001A076D">
              <w:rPr>
                <w:sz w:val="22"/>
                <w:szCs w:val="22"/>
              </w:rPr>
              <w:lastRenderedPageBreak/>
              <w:t>Author(s)</w:t>
            </w:r>
          </w:p>
        </w:tc>
        <w:tc>
          <w:tcPr>
            <w:tcW w:w="1693" w:type="dxa"/>
            <w:vAlign w:val="center"/>
            <w:hideMark/>
          </w:tcPr>
          <w:p w14:paraId="670AE225" w14:textId="77777777" w:rsidR="00B022C6" w:rsidRPr="001A076D" w:rsidRDefault="00B022C6" w:rsidP="00F82BDF">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A076D">
              <w:rPr>
                <w:sz w:val="22"/>
                <w:szCs w:val="22"/>
              </w:rPr>
              <w:t>Primary Lens</w:t>
            </w:r>
          </w:p>
        </w:tc>
        <w:tc>
          <w:tcPr>
            <w:tcW w:w="1809" w:type="dxa"/>
            <w:vAlign w:val="center"/>
            <w:hideMark/>
          </w:tcPr>
          <w:p w14:paraId="27928D12" w14:textId="77777777" w:rsidR="00B022C6" w:rsidRPr="001A076D" w:rsidRDefault="00B022C6" w:rsidP="00F82BDF">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A076D">
              <w:rPr>
                <w:sz w:val="22"/>
                <w:szCs w:val="22"/>
              </w:rPr>
              <w:t>Readiness Dimension Emphasised</w:t>
            </w:r>
          </w:p>
        </w:tc>
        <w:tc>
          <w:tcPr>
            <w:tcW w:w="0" w:type="auto"/>
            <w:vAlign w:val="center"/>
            <w:hideMark/>
          </w:tcPr>
          <w:p w14:paraId="3C3AA708" w14:textId="77777777" w:rsidR="00B022C6" w:rsidRPr="001A076D" w:rsidRDefault="00B022C6" w:rsidP="00F82BDF">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A076D">
              <w:rPr>
                <w:sz w:val="22"/>
                <w:szCs w:val="22"/>
              </w:rPr>
              <w:t>Core Insight</w:t>
            </w:r>
          </w:p>
        </w:tc>
        <w:tc>
          <w:tcPr>
            <w:tcW w:w="0" w:type="auto"/>
            <w:vAlign w:val="center"/>
            <w:hideMark/>
          </w:tcPr>
          <w:p w14:paraId="3126C04A" w14:textId="77777777" w:rsidR="00B022C6" w:rsidRPr="001A076D" w:rsidRDefault="00B022C6" w:rsidP="00F82BDF">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A076D">
              <w:rPr>
                <w:sz w:val="22"/>
                <w:szCs w:val="22"/>
              </w:rPr>
              <w:t>Key Limitation / Tension</w:t>
            </w:r>
          </w:p>
        </w:tc>
      </w:tr>
      <w:tr w:rsidR="00057F93" w:rsidRPr="001A076D" w14:paraId="384C3262"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BEFC5F" w14:textId="77777777" w:rsidR="00B022C6" w:rsidRPr="001A076D" w:rsidRDefault="00B022C6" w:rsidP="00F82BDF">
            <w:pPr>
              <w:spacing w:line="360" w:lineRule="auto"/>
              <w:rPr>
                <w:b w:val="0"/>
                <w:bCs w:val="0"/>
                <w:sz w:val="22"/>
                <w:szCs w:val="22"/>
              </w:rPr>
            </w:pPr>
            <w:r w:rsidRPr="001A076D">
              <w:rPr>
                <w:sz w:val="22"/>
                <w:szCs w:val="22"/>
              </w:rPr>
              <w:t>Davenport and Harris (2007)</w:t>
            </w:r>
          </w:p>
        </w:tc>
        <w:tc>
          <w:tcPr>
            <w:tcW w:w="1693" w:type="dxa"/>
            <w:vAlign w:val="center"/>
            <w:hideMark/>
          </w:tcPr>
          <w:p w14:paraId="69E4C172"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Strategy</w:t>
            </w:r>
          </w:p>
        </w:tc>
        <w:tc>
          <w:tcPr>
            <w:tcW w:w="1809" w:type="dxa"/>
            <w:vAlign w:val="center"/>
            <w:hideMark/>
          </w:tcPr>
          <w:p w14:paraId="07DE12B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Leadership and strategic alignment</w:t>
            </w:r>
          </w:p>
        </w:tc>
        <w:tc>
          <w:tcPr>
            <w:tcW w:w="0" w:type="auto"/>
            <w:vAlign w:val="center"/>
            <w:hideMark/>
          </w:tcPr>
          <w:p w14:paraId="6D802029"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Analytics creates value when embedded in organisational strategy</w:t>
            </w:r>
          </w:p>
        </w:tc>
        <w:tc>
          <w:tcPr>
            <w:tcW w:w="0" w:type="auto"/>
            <w:vAlign w:val="center"/>
            <w:hideMark/>
          </w:tcPr>
          <w:p w14:paraId="675EBB81"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Limited consideration of governance and regulation</w:t>
            </w:r>
          </w:p>
        </w:tc>
      </w:tr>
      <w:tr w:rsidR="00057F93" w:rsidRPr="001A076D" w14:paraId="14475975"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E35B05E" w14:textId="77777777" w:rsidR="00B022C6" w:rsidRPr="001A076D" w:rsidRDefault="00B022C6" w:rsidP="00F82BDF">
            <w:pPr>
              <w:spacing w:line="360" w:lineRule="auto"/>
              <w:rPr>
                <w:sz w:val="22"/>
                <w:szCs w:val="22"/>
              </w:rPr>
            </w:pPr>
            <w:r w:rsidRPr="001A076D">
              <w:rPr>
                <w:sz w:val="22"/>
                <w:szCs w:val="22"/>
              </w:rPr>
              <w:t>LaValle et al. (2011)</w:t>
            </w:r>
          </w:p>
        </w:tc>
        <w:tc>
          <w:tcPr>
            <w:tcW w:w="1693" w:type="dxa"/>
            <w:vAlign w:val="center"/>
            <w:hideMark/>
          </w:tcPr>
          <w:p w14:paraId="4CBBED06"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Decision processes</w:t>
            </w:r>
          </w:p>
        </w:tc>
        <w:tc>
          <w:tcPr>
            <w:tcW w:w="1809" w:type="dxa"/>
            <w:vAlign w:val="center"/>
            <w:hideMark/>
          </w:tcPr>
          <w:p w14:paraId="6080E814"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Organisational integration</w:t>
            </w:r>
          </w:p>
        </w:tc>
        <w:tc>
          <w:tcPr>
            <w:tcW w:w="0" w:type="auto"/>
            <w:vAlign w:val="center"/>
            <w:hideMark/>
          </w:tcPr>
          <w:p w14:paraId="4C542C7E"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Value arises from embedding analytics into managerial routines</w:t>
            </w:r>
          </w:p>
        </w:tc>
        <w:tc>
          <w:tcPr>
            <w:tcW w:w="0" w:type="auto"/>
            <w:vAlign w:val="center"/>
            <w:hideMark/>
          </w:tcPr>
          <w:p w14:paraId="543BC6D2"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Does not address regulated contexts</w:t>
            </w:r>
          </w:p>
        </w:tc>
      </w:tr>
      <w:tr w:rsidR="00057F93" w:rsidRPr="001A076D" w14:paraId="296DCFAD"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3F97F4" w14:textId="77777777" w:rsidR="00B022C6" w:rsidRPr="001A076D" w:rsidRDefault="00B022C6" w:rsidP="00F82BDF">
            <w:pPr>
              <w:spacing w:line="360" w:lineRule="auto"/>
              <w:rPr>
                <w:sz w:val="22"/>
                <w:szCs w:val="22"/>
              </w:rPr>
            </w:pPr>
            <w:r w:rsidRPr="001A076D">
              <w:rPr>
                <w:sz w:val="22"/>
                <w:szCs w:val="22"/>
              </w:rPr>
              <w:t>Sharma, Mithas and Kankanhalli (2014; 2020)</w:t>
            </w:r>
          </w:p>
        </w:tc>
        <w:tc>
          <w:tcPr>
            <w:tcW w:w="1693" w:type="dxa"/>
            <w:vAlign w:val="center"/>
            <w:hideMark/>
          </w:tcPr>
          <w:p w14:paraId="72B512D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Decision-making</w:t>
            </w:r>
          </w:p>
        </w:tc>
        <w:tc>
          <w:tcPr>
            <w:tcW w:w="1809" w:type="dxa"/>
            <w:vAlign w:val="center"/>
            <w:hideMark/>
          </w:tcPr>
          <w:p w14:paraId="27A028C8"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Authority and accountability</w:t>
            </w:r>
          </w:p>
        </w:tc>
        <w:tc>
          <w:tcPr>
            <w:tcW w:w="0" w:type="auto"/>
            <w:vAlign w:val="center"/>
            <w:hideMark/>
          </w:tcPr>
          <w:p w14:paraId="46494B5C"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Analytics reshapes decisions when authority structures change</w:t>
            </w:r>
          </w:p>
        </w:tc>
        <w:tc>
          <w:tcPr>
            <w:tcW w:w="0" w:type="auto"/>
            <w:vAlign w:val="center"/>
            <w:hideMark/>
          </w:tcPr>
          <w:p w14:paraId="04DCE5F0"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 mechanisms underdeveloped</w:t>
            </w:r>
          </w:p>
        </w:tc>
      </w:tr>
      <w:tr w:rsidR="00057F93" w:rsidRPr="001A076D" w14:paraId="27ADD357"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C4EF1E" w14:textId="77777777" w:rsidR="00B022C6" w:rsidRPr="001A076D" w:rsidRDefault="00B022C6" w:rsidP="00F82BDF">
            <w:pPr>
              <w:spacing w:line="360" w:lineRule="auto"/>
              <w:rPr>
                <w:sz w:val="22"/>
                <w:szCs w:val="22"/>
              </w:rPr>
            </w:pPr>
            <w:r w:rsidRPr="001A076D">
              <w:rPr>
                <w:sz w:val="22"/>
                <w:szCs w:val="22"/>
              </w:rPr>
              <w:t>Gandomi and Haider (2015)</w:t>
            </w:r>
          </w:p>
        </w:tc>
        <w:tc>
          <w:tcPr>
            <w:tcW w:w="1693" w:type="dxa"/>
            <w:vAlign w:val="center"/>
            <w:hideMark/>
          </w:tcPr>
          <w:p w14:paraId="421658D8"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Technical</w:t>
            </w:r>
          </w:p>
        </w:tc>
        <w:tc>
          <w:tcPr>
            <w:tcW w:w="1809" w:type="dxa"/>
            <w:vAlign w:val="center"/>
            <w:hideMark/>
          </w:tcPr>
          <w:p w14:paraId="6E5B358D"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Data quality and infrastructure</w:t>
            </w:r>
          </w:p>
        </w:tc>
        <w:tc>
          <w:tcPr>
            <w:tcW w:w="0" w:type="auto"/>
            <w:vAlign w:val="center"/>
            <w:hideMark/>
          </w:tcPr>
          <w:p w14:paraId="3C224F52"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Poor data quality undermines analytics effectiveness</w:t>
            </w:r>
          </w:p>
        </w:tc>
        <w:tc>
          <w:tcPr>
            <w:tcW w:w="0" w:type="auto"/>
            <w:vAlign w:val="center"/>
            <w:hideMark/>
          </w:tcPr>
          <w:p w14:paraId="0B49C240"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Treats readiness as primarily technical</w:t>
            </w:r>
          </w:p>
        </w:tc>
      </w:tr>
      <w:tr w:rsidR="00057F93" w:rsidRPr="001A076D" w14:paraId="6912BC87"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916C06" w14:textId="77777777" w:rsidR="00B022C6" w:rsidRPr="001A076D" w:rsidRDefault="00B022C6" w:rsidP="00F82BDF">
            <w:pPr>
              <w:spacing w:line="360" w:lineRule="auto"/>
              <w:rPr>
                <w:sz w:val="22"/>
                <w:szCs w:val="22"/>
              </w:rPr>
            </w:pPr>
            <w:r w:rsidRPr="001A076D">
              <w:rPr>
                <w:sz w:val="22"/>
                <w:szCs w:val="22"/>
              </w:rPr>
              <w:t>Hazen et al. (2014); Kwon, Lee and Shin (2014)</w:t>
            </w:r>
          </w:p>
        </w:tc>
        <w:tc>
          <w:tcPr>
            <w:tcW w:w="1693" w:type="dxa"/>
            <w:vAlign w:val="center"/>
            <w:hideMark/>
          </w:tcPr>
          <w:p w14:paraId="2FE9FD98"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Adoption</w:t>
            </w:r>
          </w:p>
        </w:tc>
        <w:tc>
          <w:tcPr>
            <w:tcW w:w="1809" w:type="dxa"/>
            <w:vAlign w:val="center"/>
            <w:hideMark/>
          </w:tcPr>
          <w:p w14:paraId="3EB27AC6"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Trust through data quality</w:t>
            </w:r>
          </w:p>
        </w:tc>
        <w:tc>
          <w:tcPr>
            <w:tcW w:w="0" w:type="auto"/>
            <w:vAlign w:val="center"/>
            <w:hideMark/>
          </w:tcPr>
          <w:p w14:paraId="601CCD80"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Data quality strongly influences trust and adoption</w:t>
            </w:r>
          </w:p>
        </w:tc>
        <w:tc>
          <w:tcPr>
            <w:tcW w:w="0" w:type="auto"/>
            <w:vAlign w:val="center"/>
            <w:hideMark/>
          </w:tcPr>
          <w:p w14:paraId="4C04A3F5"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Focuses on users rather than executives</w:t>
            </w:r>
          </w:p>
        </w:tc>
      </w:tr>
      <w:tr w:rsidR="00057F93" w:rsidRPr="001A076D" w14:paraId="794BFEC6"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D76EAC" w14:textId="77777777" w:rsidR="00B022C6" w:rsidRPr="001A076D" w:rsidRDefault="00B022C6" w:rsidP="00F82BDF">
            <w:pPr>
              <w:spacing w:line="360" w:lineRule="auto"/>
              <w:rPr>
                <w:sz w:val="22"/>
                <w:szCs w:val="22"/>
              </w:rPr>
            </w:pPr>
            <w:r w:rsidRPr="001A076D">
              <w:rPr>
                <w:sz w:val="22"/>
                <w:szCs w:val="22"/>
              </w:rPr>
              <w:t>Brynjolfsson, Rock and Syverson (2021)</w:t>
            </w:r>
          </w:p>
        </w:tc>
        <w:tc>
          <w:tcPr>
            <w:tcW w:w="1693" w:type="dxa"/>
            <w:vAlign w:val="center"/>
            <w:hideMark/>
          </w:tcPr>
          <w:p w14:paraId="79BD77F9"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Organisational change</w:t>
            </w:r>
          </w:p>
        </w:tc>
        <w:tc>
          <w:tcPr>
            <w:tcW w:w="1809" w:type="dxa"/>
            <w:vAlign w:val="center"/>
            <w:hideMark/>
          </w:tcPr>
          <w:p w14:paraId="74B0943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Culture and organisational learning</w:t>
            </w:r>
          </w:p>
        </w:tc>
        <w:tc>
          <w:tcPr>
            <w:tcW w:w="0" w:type="auto"/>
            <w:vAlign w:val="center"/>
            <w:hideMark/>
          </w:tcPr>
          <w:p w14:paraId="35325566"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Analytics adoption involves a productivity lag</w:t>
            </w:r>
          </w:p>
        </w:tc>
        <w:tc>
          <w:tcPr>
            <w:tcW w:w="0" w:type="auto"/>
            <w:vAlign w:val="center"/>
            <w:hideMark/>
          </w:tcPr>
          <w:p w14:paraId="6703010B"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 dimension largely absent</w:t>
            </w:r>
          </w:p>
        </w:tc>
      </w:tr>
      <w:tr w:rsidR="00057F93" w:rsidRPr="001A076D" w14:paraId="407CA6C3"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79F4D4" w14:textId="77777777" w:rsidR="00B022C6" w:rsidRPr="001A076D" w:rsidRDefault="00B022C6" w:rsidP="00F82BDF">
            <w:pPr>
              <w:spacing w:line="360" w:lineRule="auto"/>
              <w:rPr>
                <w:sz w:val="22"/>
                <w:szCs w:val="22"/>
              </w:rPr>
            </w:pPr>
            <w:r w:rsidRPr="001A076D">
              <w:rPr>
                <w:sz w:val="22"/>
                <w:szCs w:val="22"/>
              </w:rPr>
              <w:t>Redman (2018)</w:t>
            </w:r>
          </w:p>
        </w:tc>
        <w:tc>
          <w:tcPr>
            <w:tcW w:w="1693" w:type="dxa"/>
            <w:vAlign w:val="center"/>
            <w:hideMark/>
          </w:tcPr>
          <w:p w14:paraId="28B24F72"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Leadership behaviour</w:t>
            </w:r>
          </w:p>
        </w:tc>
        <w:tc>
          <w:tcPr>
            <w:tcW w:w="1809" w:type="dxa"/>
            <w:vAlign w:val="center"/>
            <w:hideMark/>
          </w:tcPr>
          <w:p w14:paraId="5B9E8794"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Trust and managerial norms</w:t>
            </w:r>
          </w:p>
        </w:tc>
        <w:tc>
          <w:tcPr>
            <w:tcW w:w="0" w:type="auto"/>
            <w:vAlign w:val="center"/>
            <w:hideMark/>
          </w:tcPr>
          <w:p w14:paraId="6BC4175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Executive behaviour shapes trust in analytics</w:t>
            </w:r>
          </w:p>
        </w:tc>
        <w:tc>
          <w:tcPr>
            <w:tcW w:w="0" w:type="auto"/>
            <w:vAlign w:val="center"/>
            <w:hideMark/>
          </w:tcPr>
          <w:p w14:paraId="5CBFADD5"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Conceptual rather than empirical</w:t>
            </w:r>
          </w:p>
        </w:tc>
      </w:tr>
      <w:tr w:rsidR="00057F93" w:rsidRPr="001A076D" w14:paraId="5AE46D31"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164D47" w14:textId="77777777" w:rsidR="00B022C6" w:rsidRPr="001A076D" w:rsidRDefault="00B022C6" w:rsidP="00F82BDF">
            <w:pPr>
              <w:spacing w:line="360" w:lineRule="auto"/>
              <w:rPr>
                <w:sz w:val="22"/>
                <w:szCs w:val="22"/>
              </w:rPr>
            </w:pPr>
            <w:r w:rsidRPr="001A076D">
              <w:rPr>
                <w:sz w:val="22"/>
                <w:szCs w:val="22"/>
              </w:rPr>
              <w:t>Khatri and Brown (2010)</w:t>
            </w:r>
          </w:p>
        </w:tc>
        <w:tc>
          <w:tcPr>
            <w:tcW w:w="1693" w:type="dxa"/>
            <w:vAlign w:val="center"/>
            <w:hideMark/>
          </w:tcPr>
          <w:p w14:paraId="379F4661"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w:t>
            </w:r>
          </w:p>
        </w:tc>
        <w:tc>
          <w:tcPr>
            <w:tcW w:w="1809" w:type="dxa"/>
            <w:vAlign w:val="center"/>
            <w:hideMark/>
          </w:tcPr>
          <w:p w14:paraId="745BC9CE"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Decision rights and accountability</w:t>
            </w:r>
          </w:p>
        </w:tc>
        <w:tc>
          <w:tcPr>
            <w:tcW w:w="0" w:type="auto"/>
            <w:vAlign w:val="center"/>
            <w:hideMark/>
          </w:tcPr>
          <w:p w14:paraId="0059EA7C"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Clear governance allocates authority and responsibility for data</w:t>
            </w:r>
          </w:p>
        </w:tc>
        <w:tc>
          <w:tcPr>
            <w:tcW w:w="0" w:type="auto"/>
            <w:vAlign w:val="center"/>
            <w:hideMark/>
          </w:tcPr>
          <w:p w14:paraId="14855A4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Limited linkage to strategy</w:t>
            </w:r>
          </w:p>
        </w:tc>
      </w:tr>
      <w:tr w:rsidR="00057F93" w:rsidRPr="001A076D" w14:paraId="32FB5167"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83DE97F" w14:textId="77777777" w:rsidR="00B022C6" w:rsidRPr="001A076D" w:rsidRDefault="00B022C6" w:rsidP="00F82BDF">
            <w:pPr>
              <w:spacing w:line="360" w:lineRule="auto"/>
              <w:rPr>
                <w:sz w:val="22"/>
                <w:szCs w:val="22"/>
              </w:rPr>
            </w:pPr>
            <w:r w:rsidRPr="001A076D">
              <w:rPr>
                <w:sz w:val="22"/>
                <w:szCs w:val="22"/>
              </w:rPr>
              <w:t>Alhassan et al. (2016)</w:t>
            </w:r>
          </w:p>
        </w:tc>
        <w:tc>
          <w:tcPr>
            <w:tcW w:w="1693" w:type="dxa"/>
            <w:vAlign w:val="center"/>
            <w:hideMark/>
          </w:tcPr>
          <w:p w14:paraId="4A335A05"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 practice</w:t>
            </w:r>
          </w:p>
        </w:tc>
        <w:tc>
          <w:tcPr>
            <w:tcW w:w="1809" w:type="dxa"/>
            <w:vAlign w:val="center"/>
            <w:hideMark/>
          </w:tcPr>
          <w:p w14:paraId="2F114417"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Consistency and compliance</w:t>
            </w:r>
          </w:p>
        </w:tc>
        <w:tc>
          <w:tcPr>
            <w:tcW w:w="0" w:type="auto"/>
            <w:vAlign w:val="center"/>
            <w:hideMark/>
          </w:tcPr>
          <w:p w14:paraId="446DEAC4"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Governance enables trust and regulatory alignment</w:t>
            </w:r>
          </w:p>
        </w:tc>
        <w:tc>
          <w:tcPr>
            <w:tcW w:w="0" w:type="auto"/>
            <w:vAlign w:val="center"/>
            <w:hideMark/>
          </w:tcPr>
          <w:p w14:paraId="47D434D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Descriptive focus</w:t>
            </w:r>
          </w:p>
        </w:tc>
      </w:tr>
      <w:tr w:rsidR="00057F93" w:rsidRPr="001A076D" w14:paraId="3248A9E5" w14:textId="77777777" w:rsidTr="00F82BD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E6EB295" w14:textId="77777777" w:rsidR="00B022C6" w:rsidRPr="001A076D" w:rsidRDefault="00B022C6" w:rsidP="00F82BDF">
            <w:pPr>
              <w:spacing w:line="360" w:lineRule="auto"/>
              <w:rPr>
                <w:sz w:val="22"/>
                <w:szCs w:val="22"/>
              </w:rPr>
            </w:pPr>
            <w:r w:rsidRPr="001A076D">
              <w:rPr>
                <w:sz w:val="22"/>
                <w:szCs w:val="22"/>
              </w:rPr>
              <w:lastRenderedPageBreak/>
              <w:t>Rodriguez, Sharma and Hall (2024)</w:t>
            </w:r>
          </w:p>
        </w:tc>
        <w:tc>
          <w:tcPr>
            <w:tcW w:w="1693" w:type="dxa"/>
            <w:vAlign w:val="center"/>
            <w:hideMark/>
          </w:tcPr>
          <w:p w14:paraId="27C5F9FD"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Hybrid governance</w:t>
            </w:r>
          </w:p>
        </w:tc>
        <w:tc>
          <w:tcPr>
            <w:tcW w:w="1809" w:type="dxa"/>
            <w:vAlign w:val="center"/>
            <w:hideMark/>
          </w:tcPr>
          <w:p w14:paraId="71141C20"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Balancing agility and control</w:t>
            </w:r>
          </w:p>
        </w:tc>
        <w:tc>
          <w:tcPr>
            <w:tcW w:w="0" w:type="auto"/>
            <w:vAlign w:val="center"/>
            <w:hideMark/>
          </w:tcPr>
          <w:p w14:paraId="2B87E0D3"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Integrated governance supports analytics in regulated sectors</w:t>
            </w:r>
          </w:p>
        </w:tc>
        <w:tc>
          <w:tcPr>
            <w:tcW w:w="0" w:type="auto"/>
            <w:vAlign w:val="center"/>
            <w:hideMark/>
          </w:tcPr>
          <w:p w14:paraId="16C8D965" w14:textId="77777777" w:rsidR="00B022C6" w:rsidRPr="001A076D" w:rsidRDefault="00B022C6" w:rsidP="00F82BDF">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1A076D">
              <w:rPr>
                <w:sz w:val="22"/>
                <w:szCs w:val="22"/>
              </w:rPr>
              <w:t>Early-stage empirical evidence</w:t>
            </w:r>
          </w:p>
        </w:tc>
      </w:tr>
    </w:tbl>
    <w:p w14:paraId="28AA847E" w14:textId="77777777" w:rsidR="00B022C6" w:rsidRPr="001A076D" w:rsidRDefault="00B022C6" w:rsidP="00B022C6"/>
    <w:p w14:paraId="2640AF9A" w14:textId="4B0E93F8" w:rsidR="00731D82" w:rsidRPr="001A076D" w:rsidRDefault="00731D82" w:rsidP="00E976DA">
      <w:pPr>
        <w:spacing w:line="360" w:lineRule="auto"/>
        <w:jc w:val="both"/>
      </w:pPr>
      <w:r w:rsidRPr="001A076D">
        <w:t xml:space="preserve">Collectively, the literature suggests that readiness for predictive analytics is rarely treated as a fully integrated organisational condition. This </w:t>
      </w:r>
      <w:r w:rsidR="00781F42" w:rsidRPr="001A076D">
        <w:t>calls</w:t>
      </w:r>
      <w:r w:rsidRPr="001A076D">
        <w:t xml:space="preserve"> for empirical research </w:t>
      </w:r>
      <w:r w:rsidR="00622BB3" w:rsidRPr="001A076D">
        <w:t xml:space="preserve">that examines how strategy, governance, and </w:t>
      </w:r>
      <w:r w:rsidR="00F85EBD" w:rsidRPr="001A076D">
        <w:t xml:space="preserve">organisational </w:t>
      </w:r>
      <w:r w:rsidR="00EE6C3C" w:rsidRPr="001A076D">
        <w:t>culture</w:t>
      </w:r>
      <w:r w:rsidRPr="001A076D">
        <w:t xml:space="preserve"> interact in practice.</w:t>
      </w:r>
    </w:p>
    <w:p w14:paraId="77B1D7FD" w14:textId="77777777" w:rsidR="00B022C6" w:rsidRPr="001A076D" w:rsidRDefault="00B022C6" w:rsidP="00B022C6"/>
    <w:p w14:paraId="10524DAB" w14:textId="631D903D" w:rsidR="00731D82" w:rsidRPr="001A076D" w:rsidRDefault="00B022C6" w:rsidP="00731D82">
      <w:pPr>
        <w:pStyle w:val="Heading2"/>
        <w:rPr>
          <w:rFonts w:ascii="Times New Roman" w:eastAsia="Times New Roman" w:hAnsi="Times New Roman" w:cs="Times New Roman"/>
          <w:b/>
          <w:bCs/>
          <w:color w:val="auto"/>
        </w:rPr>
      </w:pPr>
      <w:bookmarkStart w:id="29" w:name="_Toc236033341"/>
      <w:r w:rsidRPr="001A076D">
        <w:rPr>
          <w:rFonts w:ascii="Times New Roman" w:eastAsia="Times New Roman" w:hAnsi="Times New Roman" w:cs="Times New Roman"/>
          <w:b/>
          <w:bCs/>
          <w:color w:val="auto"/>
        </w:rPr>
        <w:t>2.3 The DELTA Model and Organisational Readiness</w:t>
      </w:r>
      <w:bookmarkEnd w:id="29"/>
    </w:p>
    <w:p w14:paraId="43C77049" w14:textId="7C930649" w:rsidR="00731D82" w:rsidRPr="001A076D" w:rsidRDefault="00622BB3" w:rsidP="00731D82">
      <w:pPr>
        <w:pStyle w:val="NormalWeb"/>
        <w:spacing w:line="360" w:lineRule="auto"/>
        <w:jc w:val="both"/>
      </w:pPr>
      <w:r w:rsidRPr="001A076D">
        <w:t xml:space="preserve">The DELTA model, developed by Davenport, Harris, and Morison (2010), is one of the most influential frameworks for understanding the organisational factors </w:t>
      </w:r>
      <w:r w:rsidR="006479B7" w:rsidRPr="001A076D">
        <w:t>that shape analytics adoption.</w:t>
      </w:r>
      <w:r w:rsidR="00731D82" w:rsidRPr="001A076D">
        <w:t xml:space="preserve"> Representing Data, Enterprise, Leadership, Targets, and Analysts, the model was designed to explain why some organisations embed analytics into strategic decision-making while others remain limited to isolated initiatives.</w:t>
      </w:r>
    </w:p>
    <w:p w14:paraId="552B7530" w14:textId="77777777" w:rsidR="00731D82" w:rsidRPr="001A076D" w:rsidRDefault="00731D82" w:rsidP="00731D82">
      <w:pPr>
        <w:pStyle w:val="NormalWeb"/>
        <w:spacing w:line="360" w:lineRule="auto"/>
        <w:jc w:val="both"/>
      </w:pPr>
      <w:r w:rsidRPr="001A076D">
        <w:t>The Data dimension reflects well-established concerns around quality, availability, and consistency (Hazen et al., 2014; Kwon et al., 2014). Without reliable data, predictive analytics lacks credibility and is unlikely to influence managerial judgement. The Enterprise dimension focuses on cross-functional integration, aligning with evidence that analytics initiatives often fail when organisational silos restrict data sharing and accountability (Wamba et al., 2017).</w:t>
      </w:r>
    </w:p>
    <w:p w14:paraId="7F3B9603" w14:textId="5F3C06D3" w:rsidR="00731D82" w:rsidRPr="001A076D" w:rsidRDefault="001A101C" w:rsidP="00731D82">
      <w:pPr>
        <w:pStyle w:val="NormalWeb"/>
        <w:spacing w:line="360" w:lineRule="auto"/>
        <w:jc w:val="both"/>
      </w:pPr>
      <w:r w:rsidRPr="001A076D">
        <w:t xml:space="preserve">Leadership plays a central role, consistent with research highlighting executive sponsorship as critical to analytics-driven transformation (Davenport and Harris, 2007; Brynjolfsson et al., 2021; Utomo, Wahidah and </w:t>
      </w:r>
      <w:proofErr w:type="spellStart"/>
      <w:r w:rsidRPr="001A076D">
        <w:t>Wisudawati</w:t>
      </w:r>
      <w:proofErr w:type="spellEnd"/>
      <w:r w:rsidRPr="001A076D">
        <w:t xml:space="preserve">, 2025). </w:t>
      </w:r>
      <w:r w:rsidR="00731D82" w:rsidRPr="001A076D">
        <w:t>The Targets dimension emphasises alignment between analytics initiatives and strategic objectives, addressing concerns that many projects become technology-led rather than value-driven (Arnott, Lizama and Song, 2017). Finally, the Analysts dimension recognises the importance of technical expertise, although later research suggests that skills alone are insufficient without governance and organisational support (Redman, 2018).</w:t>
      </w:r>
    </w:p>
    <w:p w14:paraId="2BF700A7" w14:textId="427463DA" w:rsidR="00731D82" w:rsidRPr="001A076D" w:rsidRDefault="00731D82" w:rsidP="00731D82">
      <w:pPr>
        <w:pStyle w:val="NormalWeb"/>
        <w:spacing w:line="360" w:lineRule="auto"/>
        <w:jc w:val="both"/>
      </w:pPr>
      <w:r w:rsidRPr="001A076D">
        <w:t xml:space="preserve">Despite its strengths, DELTA has limitations. It assumes a relatively flexible </w:t>
      </w:r>
      <w:r w:rsidR="00406BB0" w:rsidRPr="001A076D">
        <w:t>organisational context and pays little</w:t>
      </w:r>
      <w:r w:rsidR="009E3174" w:rsidRPr="001A076D">
        <w:t xml:space="preserve"> attention to regulatory, ethical</w:t>
      </w:r>
      <w:r w:rsidRPr="001A076D">
        <w:t xml:space="preserve">, and formal governance mechanisms. Applications of the model have tended to focus on private-sector or digital-native firms, raising questions about its relevance in regulated, asset-intensive industries such as energy (Jarvis, 2025; Rodriguez, Sharma and Hall, 2024). More recent studies reinforce this concern, showing that analytics maturity is often </w:t>
      </w:r>
      <w:r w:rsidRPr="001A076D">
        <w:lastRenderedPageBreak/>
        <w:t xml:space="preserve">shaped as much by governance alignment and leadership capability as by technical </w:t>
      </w:r>
      <w:r w:rsidR="00622BB3" w:rsidRPr="001A076D">
        <w:t>sophistication, particularly in industries like energy where regulatory frameworks and operational complexities play a significant role</w:t>
      </w:r>
      <w:r w:rsidRPr="001A076D">
        <w:t xml:space="preserve"> (Zhang et al., 2023; Kadarsah et al., 2023; Olayinka, 2019).</w:t>
      </w:r>
    </w:p>
    <w:p w14:paraId="303DCB38" w14:textId="43D97644" w:rsidR="00731D82" w:rsidRPr="001A076D" w:rsidRDefault="00731D82" w:rsidP="00E976DA">
      <w:pPr>
        <w:pStyle w:val="NormalWeb"/>
        <w:spacing w:line="360" w:lineRule="auto"/>
        <w:jc w:val="both"/>
      </w:pPr>
      <w:r w:rsidRPr="001A076D">
        <w:t xml:space="preserve">Figure 2.1 provides a simplified representation of the DELTA model, showing how its dimensions </w:t>
      </w:r>
      <w:r w:rsidR="00622BB3" w:rsidRPr="001A076D">
        <w:t xml:space="preserve">function as interdependent enablers </w:t>
      </w:r>
      <w:r w:rsidR="006479B7" w:rsidRPr="001A076D">
        <w:t>of organisational readiness.</w:t>
      </w:r>
      <w:r w:rsidRPr="001A076D">
        <w:t xml:space="preserve"> While the model highlights leadership, culture, and strategic alignment, it offers less insight into how organisations ensure consistency, accountability, and trust in </w:t>
      </w:r>
      <w:r w:rsidR="006479B7" w:rsidRPr="001A076D">
        <w:t>their analytical outputs.</w:t>
      </w:r>
      <w:r w:rsidRPr="001A076D">
        <w:t xml:space="preserve"> </w:t>
      </w:r>
      <w:r w:rsidR="00406BB0" w:rsidRPr="001A076D">
        <w:t>Regulated sectors like energy are subject to data-driven decisions</w:t>
      </w:r>
      <w:r w:rsidR="00877815" w:rsidRPr="001A076D">
        <w:t xml:space="preserve"> </w:t>
      </w:r>
      <w:r w:rsidR="008E15C2" w:rsidRPr="001A076D">
        <w:t>and</w:t>
      </w:r>
      <w:r w:rsidR="00622BB3" w:rsidRPr="001A076D">
        <w:t xml:space="preserve"> heightened scrutiny, making this aspect particularly crucial.</w:t>
      </w:r>
    </w:p>
    <w:p w14:paraId="41AB3EBD" w14:textId="77777777" w:rsidR="00B022C6" w:rsidRPr="001A076D" w:rsidRDefault="00B022C6" w:rsidP="004A2CAE">
      <w:pPr>
        <w:pStyle w:val="NormalWeb"/>
        <w:spacing w:line="276" w:lineRule="auto"/>
        <w:jc w:val="center"/>
        <w:rPr>
          <w:b/>
          <w:bCs/>
        </w:rPr>
      </w:pPr>
      <w:r w:rsidRPr="001A076D">
        <w:rPr>
          <w:b/>
          <w:bCs/>
          <w:noProof/>
        </w:rPr>
        <w:drawing>
          <wp:inline distT="0" distB="0" distL="0" distR="0" wp14:anchorId="329AA8CD" wp14:editId="724A82A2">
            <wp:extent cx="5153114" cy="1614805"/>
            <wp:effectExtent l="0" t="0" r="0" b="2540"/>
            <wp:docPr id="314198111" name="Picture 1" descr="A blue hexago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108671" name="Picture 1" descr="A blue hexagon with white text&#10;&#10;AI-generated content may be incorrect."/>
                    <pic:cNvPicPr/>
                  </pic:nvPicPr>
                  <pic:blipFill rotWithShape="1">
                    <a:blip r:embed="rId13" cstate="print">
                      <a:extLst>
                        <a:ext uri="{28A0092B-C50C-407E-A947-70E740481C1C}">
                          <a14:useLocalDpi xmlns:a14="http://schemas.microsoft.com/office/drawing/2010/main" val="0"/>
                        </a:ext>
                      </a:extLst>
                    </a:blip>
                    <a:srcRect l="5965" t="23935" r="4105" b="33792"/>
                    <a:stretch>
                      <a:fillRect/>
                    </a:stretch>
                  </pic:blipFill>
                  <pic:spPr bwMode="auto">
                    <a:xfrm>
                      <a:off x="0" y="0"/>
                      <a:ext cx="5153114" cy="1614805"/>
                    </a:xfrm>
                    <a:prstGeom prst="rect">
                      <a:avLst/>
                    </a:prstGeom>
                    <a:ln>
                      <a:noFill/>
                    </a:ln>
                    <a:extLst>
                      <a:ext uri="{53640926-AAD7-44D8-BBD7-CCE9431645EC}">
                        <a14:shadowObscured xmlns:a14="http://schemas.microsoft.com/office/drawing/2010/main"/>
                      </a:ext>
                    </a:extLst>
                  </pic:spPr>
                </pic:pic>
              </a:graphicData>
            </a:graphic>
          </wp:inline>
        </w:drawing>
      </w:r>
    </w:p>
    <w:p w14:paraId="3303E972" w14:textId="50F3F9AF" w:rsidR="003241C9" w:rsidRPr="001A076D" w:rsidRDefault="008769F0" w:rsidP="008769F0">
      <w:pPr>
        <w:jc w:val="center"/>
      </w:pPr>
      <w:r w:rsidRPr="001A076D">
        <w:t>Figure 2.</w:t>
      </w:r>
      <w:r w:rsidR="0016133E" w:rsidRPr="001A076D">
        <w:t>1</w:t>
      </w:r>
      <w:r w:rsidR="003241C9" w:rsidRPr="001A076D">
        <w:t>: The DELTA Model Illustrating Key Organisational Enablers of Predictive Analytics Readiness</w:t>
      </w:r>
    </w:p>
    <w:p w14:paraId="381F7BE7" w14:textId="77777777" w:rsidR="003241C9" w:rsidRPr="001A076D" w:rsidRDefault="003241C9" w:rsidP="008769F0">
      <w:pPr>
        <w:jc w:val="center"/>
      </w:pPr>
      <w:r w:rsidRPr="001A076D">
        <w:rPr>
          <w:rStyle w:val="Emphasis"/>
        </w:rPr>
        <w:t>Source: Adapted from Davenport, Harris and Morison (2010).</w:t>
      </w:r>
    </w:p>
    <w:p w14:paraId="12B4318B" w14:textId="77777777" w:rsidR="003241C9" w:rsidRPr="001A076D" w:rsidRDefault="003241C9" w:rsidP="003241C9"/>
    <w:p w14:paraId="226C60FD" w14:textId="55FFF9A3" w:rsidR="00731D82" w:rsidRPr="001A076D" w:rsidRDefault="00B022C6" w:rsidP="00731D82">
      <w:pPr>
        <w:pStyle w:val="Heading2"/>
        <w:rPr>
          <w:rFonts w:ascii="Times New Roman" w:eastAsia="Times New Roman" w:hAnsi="Times New Roman" w:cs="Times New Roman"/>
          <w:b/>
          <w:bCs/>
          <w:color w:val="auto"/>
        </w:rPr>
      </w:pPr>
      <w:bookmarkStart w:id="30" w:name="_Toc236033342"/>
      <w:r w:rsidRPr="001A076D">
        <w:rPr>
          <w:rFonts w:ascii="Times New Roman" w:eastAsia="Times New Roman" w:hAnsi="Times New Roman" w:cs="Times New Roman"/>
          <w:b/>
          <w:bCs/>
          <w:color w:val="auto"/>
        </w:rPr>
        <w:t>2.4 Data Governance, DCAM, and the Role of Control</w:t>
      </w:r>
      <w:bookmarkEnd w:id="30"/>
    </w:p>
    <w:p w14:paraId="5755C9C0" w14:textId="164077F2" w:rsidR="00731D82" w:rsidRPr="001A076D" w:rsidRDefault="00731D82" w:rsidP="00731D82">
      <w:pPr>
        <w:pStyle w:val="NormalWeb"/>
        <w:spacing w:line="360" w:lineRule="auto"/>
        <w:jc w:val="both"/>
      </w:pPr>
      <w:r w:rsidRPr="001A076D">
        <w:t xml:space="preserve">In contrast to the strategy-focused orientation of DELTA, the Data Management Capability Assessment Model (DCAM), developed by the EDM Council (2020), places governance, control, and accountability at the </w:t>
      </w:r>
      <w:r w:rsidR="00622BB3" w:rsidRPr="001A076D">
        <w:t>heart</w:t>
      </w:r>
      <w:r w:rsidRPr="001A076D">
        <w:t xml:space="preserve"> of data-driven activity. Rather than asking how analytics supports strategy, DCAM focuses on whether an organisation has the structures, processes, and behaviours needed to manage data responsibly and consistently at scale. From this perspective, predictive analytics is not a standalone </w:t>
      </w:r>
      <w:r w:rsidR="00E646BA" w:rsidRPr="001A076D">
        <w:t xml:space="preserve">capability but </w:t>
      </w:r>
      <w:r w:rsidR="00F85EBD" w:rsidRPr="001A076D">
        <w:t>rather the result of mature governance, data quality, metadata, and organisational</w:t>
      </w:r>
      <w:r w:rsidRPr="001A076D">
        <w:t xml:space="preserve"> enablement.</w:t>
      </w:r>
    </w:p>
    <w:p w14:paraId="1129A33E" w14:textId="19435629" w:rsidR="00731D82" w:rsidRPr="001A076D" w:rsidRDefault="00731D82" w:rsidP="00731D82">
      <w:pPr>
        <w:pStyle w:val="NormalWeb"/>
        <w:spacing w:line="360" w:lineRule="auto"/>
        <w:jc w:val="both"/>
      </w:pPr>
      <w:r w:rsidRPr="001A076D">
        <w:t xml:space="preserve">DCAM conceptualises maturity across interconnected domains. Data governance defines ownership and decision rights; data quality ensures reliability and </w:t>
      </w:r>
      <w:r w:rsidR="00E646BA" w:rsidRPr="001A076D">
        <w:t>fit for purpose; metadata enables transparency and traceability; and organisational</w:t>
      </w:r>
      <w:r w:rsidRPr="001A076D">
        <w:t xml:space="preserve"> enablement addresses roles, skills, and operating models. This aligns with a growing consensus that predictive analytics only delivers value when decision-makers trust both the data and the processes behind it, particularly in regulated environments where decisions must be explainable (EDM Council, 2020).</w:t>
      </w:r>
    </w:p>
    <w:p w14:paraId="056848DC" w14:textId="7A49ED2B" w:rsidR="00731D82" w:rsidRPr="001A076D" w:rsidRDefault="00F85EBD" w:rsidP="00731D82">
      <w:pPr>
        <w:pStyle w:val="NormalWeb"/>
        <w:spacing w:line="360" w:lineRule="auto"/>
        <w:jc w:val="both"/>
      </w:pPr>
      <w:r w:rsidRPr="001A076D">
        <w:lastRenderedPageBreak/>
        <w:t>Figure 2.2 summarises the governance foundations that underlie predictive analytics readiness in regulated organisations.</w:t>
      </w:r>
      <w:r w:rsidR="00731D82" w:rsidRPr="001A076D">
        <w:t xml:space="preserve"> It highlights how governance structures, data quality practices, and leadership </w:t>
      </w:r>
      <w:r w:rsidR="00E646BA" w:rsidRPr="001A076D">
        <w:t>behaviours</w:t>
      </w:r>
      <w:r w:rsidR="00731D82" w:rsidRPr="001A076D">
        <w:t xml:space="preserve"> work together. Weakness in any </w:t>
      </w:r>
      <w:r w:rsidR="00F24669" w:rsidRPr="001A076D">
        <w:t>of these areas can undermine confidence in analytics, even when</w:t>
      </w:r>
      <w:r w:rsidR="00731D82" w:rsidRPr="001A076D">
        <w:t xml:space="preserve"> technical capability is strong.</w:t>
      </w:r>
    </w:p>
    <w:p w14:paraId="2F41945A" w14:textId="77777777" w:rsidR="00731D82" w:rsidRPr="001A076D" w:rsidRDefault="00731D82" w:rsidP="008F7CA8">
      <w:pPr>
        <w:jc w:val="center"/>
      </w:pPr>
      <w:r w:rsidRPr="001A076D">
        <w:rPr>
          <w:noProof/>
        </w:rPr>
        <w:drawing>
          <wp:inline distT="0" distB="0" distL="0" distR="0" wp14:anchorId="492CFA00" wp14:editId="5D7F9ECD">
            <wp:extent cx="3604295" cy="1999239"/>
            <wp:effectExtent l="0" t="0" r="2540" b="0"/>
            <wp:docPr id="1667746136" name="Picture 2" descr="A diagram of three pilla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599172" name="Picture 2" descr="A diagram of three pillars with text&#10;&#10;AI-generated content may be incorrect."/>
                    <pic:cNvPicPr/>
                  </pic:nvPicPr>
                  <pic:blipFill rotWithShape="1">
                    <a:blip r:embed="rId14" cstate="print">
                      <a:extLst>
                        <a:ext uri="{28A0092B-C50C-407E-A947-70E740481C1C}">
                          <a14:useLocalDpi xmlns:a14="http://schemas.microsoft.com/office/drawing/2010/main" val="0"/>
                        </a:ext>
                      </a:extLst>
                    </a:blip>
                    <a:srcRect l="11632" t="12081" r="12029" b="24401"/>
                    <a:stretch>
                      <a:fillRect/>
                    </a:stretch>
                  </pic:blipFill>
                  <pic:spPr bwMode="auto">
                    <a:xfrm>
                      <a:off x="0" y="0"/>
                      <a:ext cx="3627571" cy="2012150"/>
                    </a:xfrm>
                    <a:prstGeom prst="rect">
                      <a:avLst/>
                    </a:prstGeom>
                    <a:ln>
                      <a:noFill/>
                    </a:ln>
                    <a:extLst>
                      <a:ext uri="{53640926-AAD7-44D8-BBD7-CCE9431645EC}">
                        <a14:shadowObscured xmlns:a14="http://schemas.microsoft.com/office/drawing/2010/main"/>
                      </a:ext>
                    </a:extLst>
                  </pic:spPr>
                </pic:pic>
              </a:graphicData>
            </a:graphic>
          </wp:inline>
        </w:drawing>
      </w:r>
    </w:p>
    <w:p w14:paraId="178332F1" w14:textId="678C2FFC" w:rsidR="003241C9" w:rsidRPr="001A076D" w:rsidRDefault="008F7CA8" w:rsidP="008F7CA8">
      <w:pPr>
        <w:jc w:val="center"/>
      </w:pPr>
      <w:r w:rsidRPr="001A076D">
        <w:t xml:space="preserve">Figure </w:t>
      </w:r>
      <w:r w:rsidR="001C46C6" w:rsidRPr="001A076D">
        <w:t>2.2: Core</w:t>
      </w:r>
      <w:r w:rsidR="003241C9" w:rsidRPr="001A076D">
        <w:t xml:space="preserve"> Governance Pillars Underpinning Predictive Analytics Readiness in Regulated Organisations</w:t>
      </w:r>
    </w:p>
    <w:p w14:paraId="4AD90698" w14:textId="5BCEA1C7" w:rsidR="003241C9" w:rsidRPr="001A076D" w:rsidRDefault="003241C9" w:rsidP="008F7CA8">
      <w:pPr>
        <w:jc w:val="center"/>
      </w:pPr>
      <w:r w:rsidRPr="001A076D">
        <w:rPr>
          <w:rStyle w:val="Emphasis"/>
        </w:rPr>
        <w:t>Source: Adapted from EDM Council DCAM Framework (2020).</w:t>
      </w:r>
    </w:p>
    <w:p w14:paraId="0CBFD067" w14:textId="6011D481" w:rsidR="00731D82" w:rsidRPr="001A076D" w:rsidRDefault="00731D82" w:rsidP="00731D82">
      <w:pPr>
        <w:pStyle w:val="NormalWeb"/>
        <w:spacing w:line="360" w:lineRule="auto"/>
        <w:jc w:val="both"/>
      </w:pPr>
      <w:r w:rsidRPr="001A076D">
        <w:t xml:space="preserve">Foundational research supports this view. Khatri and Brown (2010) define data governance as the allocation of decision rights and accountability, shaping how data is managed and prioritised. Otto (2011) frames governance as a coordination mechanism across complex </w:t>
      </w:r>
      <w:r w:rsidR="00E646BA" w:rsidRPr="001A076D">
        <w:t>organisational structures, whereas Alhassan, Sammon, and Daly (2016) emphasise</w:t>
      </w:r>
      <w:r w:rsidRPr="001A076D">
        <w:t xml:space="preserve"> its role in enabling consistency, trust, and regulatory compliance.</w:t>
      </w:r>
    </w:p>
    <w:p w14:paraId="35AAC6E7" w14:textId="0634C2FF" w:rsidR="00731D82" w:rsidRPr="001A076D" w:rsidRDefault="00731D82" w:rsidP="00731D82">
      <w:pPr>
        <w:pStyle w:val="NormalWeb"/>
        <w:spacing w:line="360" w:lineRule="auto"/>
        <w:jc w:val="both"/>
      </w:pPr>
      <w:r w:rsidRPr="001A076D">
        <w:t xml:space="preserve">Abraham, </w:t>
      </w:r>
      <w:r w:rsidR="00E646BA" w:rsidRPr="001A076D">
        <w:t xml:space="preserve">von Brocke, and Schneider (2019) </w:t>
      </w:r>
      <w:r w:rsidR="008E5B58" w:rsidRPr="001A076D">
        <w:t>expand previous governance research by conceptualising</w:t>
      </w:r>
      <w:r w:rsidR="00BB0C5F" w:rsidRPr="001A076D">
        <w:t xml:space="preserve"> data governance as a cross-functional framework that combines</w:t>
      </w:r>
      <w:r w:rsidRPr="001A076D">
        <w:t xml:space="preserve"> structural, procedural, and relational mechanisms. Their work moves governance beyond compliance by showing how decision rights, accountability, and policy enforcement support transparency, reduce risk, and improve confidence in data-driven decisions. In predictive analytics contexts, these mechanisms are particularly important in regulated environments</w:t>
      </w:r>
      <w:r w:rsidR="00F24669" w:rsidRPr="001A076D">
        <w:t>, such as finance or healthcare, where outputs must be explainable and defensible, ensuring</w:t>
      </w:r>
      <w:r w:rsidR="00D004BA" w:rsidRPr="001A076D">
        <w:t xml:space="preserve"> that stakeholders can trust the decisions made based on the data.</w:t>
      </w:r>
    </w:p>
    <w:p w14:paraId="739D4A55" w14:textId="4A072FB7" w:rsidR="00731D82" w:rsidRPr="001A076D" w:rsidRDefault="00731D82" w:rsidP="00731D82">
      <w:pPr>
        <w:pStyle w:val="NormalWeb"/>
        <w:spacing w:line="360" w:lineRule="auto"/>
        <w:jc w:val="both"/>
      </w:pPr>
      <w:r w:rsidRPr="001A076D">
        <w:t xml:space="preserve">Empirical evidence further underlines the importance of governance. Brous, Janssen and Krans (2020) </w:t>
      </w:r>
      <w:r w:rsidR="00BB0C5F" w:rsidRPr="001A076D">
        <w:t>demonstrate</w:t>
      </w:r>
      <w:r w:rsidRPr="001A076D">
        <w:t xml:space="preserve"> that governance maturity can be a stronger predictor of data </w:t>
      </w:r>
      <w:r w:rsidR="00D004BA" w:rsidRPr="001A076D">
        <w:t>science's</w:t>
      </w:r>
      <w:r w:rsidRPr="001A076D">
        <w:t xml:space="preserve"> effectiveness than technical </w:t>
      </w:r>
      <w:r w:rsidR="00F85EBD" w:rsidRPr="001A076D">
        <w:t>capabilities</w:t>
      </w:r>
      <w:r w:rsidRPr="001A076D">
        <w:t xml:space="preserve"> alone. In the energy sector, Mashayekhy Rad and Liu (2023) show that fragmented governance and unclear ownership increase resistance to </w:t>
      </w:r>
      <w:r w:rsidR="00F24669" w:rsidRPr="001A076D">
        <w:t>the adoption of analytics</w:t>
      </w:r>
      <w:r w:rsidRPr="001A076D">
        <w:t xml:space="preserve">. Faruk and Sultana (2021) likewise demonstrate that governance maturity improves </w:t>
      </w:r>
      <w:r w:rsidRPr="001A076D">
        <w:lastRenderedPageBreak/>
        <w:t>predictive accuracy, model reliability, and managerial confidence under regulatory scrutiny. Br. Karo, Miller and Al-Kamari (2024) further emphasise the role of ethical governance, linking accountability and transparency to sustained decision value.</w:t>
      </w:r>
    </w:p>
    <w:p w14:paraId="7439847B" w14:textId="30D9B135" w:rsidR="00731D82" w:rsidRPr="001A076D" w:rsidRDefault="001A101C" w:rsidP="00731D82">
      <w:pPr>
        <w:pStyle w:val="NormalWeb"/>
        <w:spacing w:line="360" w:lineRule="auto"/>
        <w:jc w:val="both"/>
      </w:pPr>
      <w:r w:rsidRPr="001A076D">
        <w:t xml:space="preserve">Together, these studies suggest that governance does more than ensure technical quality; it shapes the legitimacy of predictive analytics in </w:t>
      </w:r>
      <w:r w:rsidR="00A43CA8" w:rsidRPr="001A076D">
        <w:t>organisational decision-making (Mukhtar</w:t>
      </w:r>
      <w:r w:rsidRPr="001A076D">
        <w:t xml:space="preserve"> and Azmi, 2025; Singh, </w:t>
      </w:r>
      <w:r w:rsidR="00B720AB" w:rsidRPr="001A076D">
        <w:t>2026).</w:t>
      </w:r>
      <w:r w:rsidR="00BB0C5F" w:rsidRPr="001A076D">
        <w:t xml:space="preserve"> </w:t>
      </w:r>
      <w:r w:rsidR="00731D82" w:rsidRPr="001A076D">
        <w:t>Where governance maturity is weak, analytical outputs are more likely to be challenged or overridden, regardless of technical accuracy.</w:t>
      </w:r>
    </w:p>
    <w:p w14:paraId="1946A112" w14:textId="37067D04" w:rsidR="00731D82" w:rsidRPr="001A076D" w:rsidRDefault="00731D82" w:rsidP="00E976DA">
      <w:pPr>
        <w:pStyle w:val="NormalWeb"/>
        <w:spacing w:line="360" w:lineRule="auto"/>
        <w:jc w:val="both"/>
      </w:pPr>
      <w:r w:rsidRPr="001A076D">
        <w:t xml:space="preserve">Despite its strengths, DCAM also has limitations. While it provides a comprehensive view of data management capabilities, it offers less insight into the political, cultural, and strategic difficulties involved in implementing governance at scale. </w:t>
      </w:r>
      <w:r w:rsidR="00A02C12" w:rsidRPr="001A076D">
        <w:t>It</w:t>
      </w:r>
      <w:r w:rsidRPr="001A076D">
        <w:t xml:space="preserve"> says relatively little about balancing control with innovation or overcoming leadership resistance. This reflects broader critiques that formal structures alone </w:t>
      </w:r>
      <w:r w:rsidR="00F85EBD" w:rsidRPr="001A076D">
        <w:t>often fail to produce lasting behavioural change (Redman, 2018).</w:t>
      </w:r>
      <w:r w:rsidRPr="001A076D">
        <w:t xml:space="preserve"> Evidence from regulated industries supports </w:t>
      </w:r>
      <w:r w:rsidR="00107EAE" w:rsidRPr="001A076D">
        <w:t>these claims</w:t>
      </w:r>
      <w:r w:rsidRPr="001A076D">
        <w:t xml:space="preserve">, showing that poorly embedded governance can </w:t>
      </w:r>
      <w:r w:rsidR="00A02C12" w:rsidRPr="001A076D">
        <w:t>lead to scepticism, selective use of analytics, or overriding behaviour,</w:t>
      </w:r>
      <w:r w:rsidR="008E5B58" w:rsidRPr="001A076D">
        <w:t xml:space="preserve"> even when technical </w:t>
      </w:r>
      <w:r w:rsidR="006479B7" w:rsidRPr="001A076D">
        <w:t>capabilities are</w:t>
      </w:r>
      <w:r w:rsidR="008E5B58" w:rsidRPr="001A076D">
        <w:t xml:space="preserve"> strong (Thomas &amp;</w:t>
      </w:r>
      <w:r w:rsidRPr="001A076D">
        <w:t xml:space="preserve"> Liu, 2022; Willetts et al., 2020).</w:t>
      </w:r>
    </w:p>
    <w:p w14:paraId="54B5C9D4" w14:textId="77777777" w:rsidR="00B022C6" w:rsidRPr="001A076D" w:rsidRDefault="00B022C6" w:rsidP="00B022C6">
      <w:pPr>
        <w:pStyle w:val="Heading2"/>
        <w:rPr>
          <w:rFonts w:ascii="Times New Roman" w:eastAsia="Times New Roman" w:hAnsi="Times New Roman" w:cs="Times New Roman"/>
          <w:b/>
          <w:bCs/>
          <w:color w:val="auto"/>
        </w:rPr>
      </w:pPr>
      <w:bookmarkStart w:id="31" w:name="_Toc236033343"/>
      <w:r w:rsidRPr="001A076D">
        <w:rPr>
          <w:rFonts w:ascii="Times New Roman" w:eastAsia="Times New Roman" w:hAnsi="Times New Roman" w:cs="Times New Roman"/>
          <w:b/>
          <w:bCs/>
          <w:color w:val="auto"/>
        </w:rPr>
        <w:t>2.5 Tensions Between Strategy and Governance in the Literature</w:t>
      </w:r>
      <w:bookmarkEnd w:id="31"/>
    </w:p>
    <w:p w14:paraId="58437B63" w14:textId="61195A85" w:rsidR="003D715E" w:rsidRPr="001A076D" w:rsidRDefault="003D715E" w:rsidP="003D715E">
      <w:pPr>
        <w:pStyle w:val="NormalWeb"/>
        <w:spacing w:line="360" w:lineRule="auto"/>
        <w:jc w:val="both"/>
      </w:pPr>
      <w:r w:rsidRPr="001A076D">
        <w:t xml:space="preserve">A critical reading of the literature reveals a persistent tension between </w:t>
      </w:r>
      <w:r w:rsidR="00107EAE" w:rsidRPr="001A076D">
        <w:t>strategy-orientated</w:t>
      </w:r>
      <w:r w:rsidRPr="001A076D">
        <w:t xml:space="preserve"> and </w:t>
      </w:r>
      <w:r w:rsidR="00107EAE" w:rsidRPr="001A076D">
        <w:t>governance-orientated</w:t>
      </w:r>
      <w:r w:rsidRPr="001A076D">
        <w:t xml:space="preserve"> perspectives on </w:t>
      </w:r>
      <w:r w:rsidR="00B84CBC" w:rsidRPr="001A076D">
        <w:t>the adoption of predictive analytics</w:t>
      </w:r>
      <w:r w:rsidRPr="001A076D">
        <w:t xml:space="preserve">. Strategy-focused </w:t>
      </w:r>
      <w:r w:rsidR="00107EAE" w:rsidRPr="001A076D">
        <w:t>models, such as DELTA, emphasise</w:t>
      </w:r>
      <w:r w:rsidRPr="001A076D">
        <w:t xml:space="preserve"> leadership, alignment, and value creation, presenting analytics as a source of agility and competitive advantage. Governance-focused </w:t>
      </w:r>
      <w:r w:rsidR="00107EAE" w:rsidRPr="001A076D">
        <w:t>frameworks, such as DCAM, by contrast, emphasise control, standardisation</w:t>
      </w:r>
      <w:r w:rsidRPr="001A076D">
        <w:t>, compliance, and risk management.</w:t>
      </w:r>
    </w:p>
    <w:p w14:paraId="2FE17B21" w14:textId="5A4A40A3" w:rsidR="003D715E" w:rsidRPr="001A076D" w:rsidRDefault="006F645A" w:rsidP="003D715E">
      <w:pPr>
        <w:pStyle w:val="NormalWeb"/>
        <w:spacing w:line="360" w:lineRule="auto"/>
        <w:jc w:val="both"/>
      </w:pPr>
      <w:r w:rsidRPr="001A076D">
        <w:t xml:space="preserve">Both perspectives matter, but neither is sufficient on its own, as recent studies increasingly </w:t>
      </w:r>
      <w:r w:rsidR="008D3278" w:rsidRPr="001A076D">
        <w:t>emphasise the necessity</w:t>
      </w:r>
      <w:r w:rsidRPr="001A076D">
        <w:t xml:space="preserve"> to align governance maturity, organisational readiness, and strategic analytics </w:t>
      </w:r>
      <w:r w:rsidR="00D2039B" w:rsidRPr="001A076D">
        <w:t xml:space="preserve">capabilities simultaneously (Nechita, </w:t>
      </w:r>
      <w:proofErr w:type="spellStart"/>
      <w:r w:rsidR="00D2039B" w:rsidRPr="001A076D">
        <w:t>Stochioiu</w:t>
      </w:r>
      <w:proofErr w:type="spellEnd"/>
      <w:r w:rsidR="00D2039B" w:rsidRPr="001A076D">
        <w:t>, and Grecu, 2025; Wang, 2025).</w:t>
      </w:r>
      <w:r w:rsidR="003D715E" w:rsidRPr="001A076D">
        <w:t xml:space="preserve"> A strong strategic focus without governance can weaken accountability and trust. A strong governance focus without strategic intent can reduce analytics to a compliance </w:t>
      </w:r>
      <w:r w:rsidR="00107EAE" w:rsidRPr="001A076D">
        <w:t>exercise, leading to missed opportunities for innovation and ineffective decision-making in organisations.</w:t>
      </w:r>
      <w:r w:rsidR="003D715E" w:rsidRPr="001A076D">
        <w:t xml:space="preserve"> This tension is especially visible in regulated sectors such as energy, where organisations are expected to innovate while also ensuring that decisions remain explainable, auditable, and defensible (Rodriguez, Sharma and Hall, 2024).</w:t>
      </w:r>
    </w:p>
    <w:p w14:paraId="783D659F" w14:textId="1A1EA33D" w:rsidR="003D715E" w:rsidRPr="001A076D" w:rsidRDefault="003D715E" w:rsidP="003D715E">
      <w:pPr>
        <w:pStyle w:val="NormalWeb"/>
        <w:spacing w:line="360" w:lineRule="auto"/>
        <w:jc w:val="both"/>
      </w:pPr>
      <w:r w:rsidRPr="001A076D">
        <w:lastRenderedPageBreak/>
        <w:t xml:space="preserve">Abraham, </w:t>
      </w:r>
      <w:r w:rsidR="00F85EBD" w:rsidRPr="001A076D">
        <w:t xml:space="preserve">von Brocke, and Schneider (2019) reinforce this </w:t>
      </w:r>
      <w:r w:rsidR="00781F42" w:rsidRPr="001A076D">
        <w:t>governance-</w:t>
      </w:r>
      <w:r w:rsidR="008E5B58" w:rsidRPr="001A076D">
        <w:t>orientated perspective by arguing that formal governance structures provide the organisational foundation needed to align data usage</w:t>
      </w:r>
      <w:r w:rsidRPr="001A076D">
        <w:t xml:space="preserve"> with strategic objectives. Their work suggests that </w:t>
      </w:r>
      <w:r w:rsidR="00B84CBC" w:rsidRPr="001A076D">
        <w:t xml:space="preserve">the adoption of predictive analytics </w:t>
      </w:r>
      <w:r w:rsidRPr="001A076D">
        <w:t xml:space="preserve">depends not only on analytical </w:t>
      </w:r>
      <w:r w:rsidR="001F7684" w:rsidRPr="001A076D">
        <w:t>sophistication but</w:t>
      </w:r>
      <w:r w:rsidRPr="001A076D">
        <w:t xml:space="preserve"> also on </w:t>
      </w:r>
      <w:r w:rsidR="008E15C2" w:rsidRPr="001A076D">
        <w:t>institutional</w:t>
      </w:r>
      <w:r w:rsidRPr="001A076D">
        <w:t xml:space="preserve"> governance practices that support transparency, accountability, and legitimacy.</w:t>
      </w:r>
    </w:p>
    <w:p w14:paraId="0B0FAA14" w14:textId="42676493" w:rsidR="003D715E" w:rsidRPr="001A076D" w:rsidRDefault="003D715E" w:rsidP="003D715E">
      <w:pPr>
        <w:pStyle w:val="NormalWeb"/>
        <w:spacing w:line="360" w:lineRule="auto"/>
        <w:jc w:val="both"/>
      </w:pPr>
      <w:r w:rsidRPr="001A076D">
        <w:t xml:space="preserve">Rather than seeing this divide as a weakness of individual frameworks, it points to a wider gap in the literature. Existing models tend to </w:t>
      </w:r>
      <w:r w:rsidR="00F85EBD" w:rsidRPr="001A076D">
        <w:t>prioritise</w:t>
      </w:r>
      <w:r w:rsidR="001F7684" w:rsidRPr="001A076D">
        <w:t xml:space="preserve"> strategic agility or governance control, but they</w:t>
      </w:r>
      <w:r w:rsidRPr="001A076D">
        <w:t xml:space="preserve"> rarely examine how the two interact in practice. This study addresses that gap by positioning predictive analytics readiness as the mediating condition between strategic intent and governance capability.</w:t>
      </w:r>
    </w:p>
    <w:p w14:paraId="021D7259" w14:textId="35BD6BE0" w:rsidR="003D715E" w:rsidRPr="001A076D" w:rsidRDefault="003D715E" w:rsidP="003D715E">
      <w:pPr>
        <w:pStyle w:val="NormalWeb"/>
        <w:spacing w:line="360" w:lineRule="auto"/>
        <w:jc w:val="both"/>
      </w:pPr>
      <w:r w:rsidRPr="001A076D">
        <w:t xml:space="preserve">Figure 2.3 illustrates this position, </w:t>
      </w:r>
      <w:r w:rsidR="001F7684" w:rsidRPr="001A076D">
        <w:t xml:space="preserve">demonstrating how </w:t>
      </w:r>
      <w:r w:rsidR="00F85EBD" w:rsidRPr="001A076D">
        <w:t>an</w:t>
      </w:r>
      <w:r w:rsidR="001F7684" w:rsidRPr="001A076D">
        <w:t xml:space="preserve"> </w:t>
      </w:r>
      <w:r w:rsidR="00F85EBD" w:rsidRPr="001A076D">
        <w:t>organisational state of readiness translates strategic objectives into controlled, trustworthy</w:t>
      </w:r>
      <w:r w:rsidRPr="001A076D">
        <w:t xml:space="preserve">, and regulator-ready decision-making. Within SSE </w:t>
      </w:r>
      <w:r w:rsidR="007917C9" w:rsidRPr="001A076D">
        <w:t>plc</w:t>
      </w:r>
      <w:r w:rsidRPr="001A076D">
        <w:t xml:space="preserve">, this mediating role is reflected in the organisation’s data and digital strategy, which positions analytics as a way of translating strategic objectives into governed, regulator-aligned decisions (SSE </w:t>
      </w:r>
      <w:r w:rsidR="00277819" w:rsidRPr="001A076D">
        <w:t>plc</w:t>
      </w:r>
      <w:r w:rsidRPr="001A076D">
        <w:t xml:space="preserve">, 2024d; SSE </w:t>
      </w:r>
      <w:r w:rsidR="00277819" w:rsidRPr="001A076D">
        <w:t>plc</w:t>
      </w:r>
      <w:r w:rsidRPr="001A076D">
        <w:t xml:space="preserve">, 2024). Evidence from the wider energy sector supports </w:t>
      </w:r>
      <w:r w:rsidR="001F7684" w:rsidRPr="001A076D">
        <w:t>this view</w:t>
      </w:r>
      <w:r w:rsidRPr="001A076D">
        <w:t>, showing that hybrid governance approaches are better able to balance innovation with accountability (Rodriguez, Sharma and Hall, 2024).</w:t>
      </w:r>
    </w:p>
    <w:p w14:paraId="0207BC3D" w14:textId="77777777" w:rsidR="003D715E" w:rsidRPr="001A076D" w:rsidRDefault="003D715E" w:rsidP="00F058CF">
      <w:pPr>
        <w:jc w:val="center"/>
      </w:pPr>
      <w:r w:rsidRPr="001A076D">
        <w:rPr>
          <w:noProof/>
        </w:rPr>
        <w:drawing>
          <wp:inline distT="0" distB="0" distL="0" distR="0" wp14:anchorId="3F8710CA" wp14:editId="12713359">
            <wp:extent cx="5256263" cy="1181954"/>
            <wp:effectExtent l="0" t="0" r="1905" b="0"/>
            <wp:docPr id="1793942014"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78557" name="Picture 3" descr="A diagram of a diagram&#10;&#10;AI-generated content may be incorrect."/>
                    <pic:cNvPicPr/>
                  </pic:nvPicPr>
                  <pic:blipFill rotWithShape="1">
                    <a:blip r:embed="rId15" cstate="print">
                      <a:extLst>
                        <a:ext uri="{28A0092B-C50C-407E-A947-70E740481C1C}">
                          <a14:useLocalDpi xmlns:a14="http://schemas.microsoft.com/office/drawing/2010/main" val="0"/>
                        </a:ext>
                      </a:extLst>
                    </a:blip>
                    <a:srcRect l="7309" t="28636" r="6513" b="42295"/>
                    <a:stretch>
                      <a:fillRect/>
                    </a:stretch>
                  </pic:blipFill>
                  <pic:spPr bwMode="auto">
                    <a:xfrm>
                      <a:off x="0" y="0"/>
                      <a:ext cx="5308264" cy="1193647"/>
                    </a:xfrm>
                    <a:prstGeom prst="rect">
                      <a:avLst/>
                    </a:prstGeom>
                    <a:ln>
                      <a:noFill/>
                    </a:ln>
                    <a:extLst>
                      <a:ext uri="{53640926-AAD7-44D8-BBD7-CCE9431645EC}">
                        <a14:shadowObscured xmlns:a14="http://schemas.microsoft.com/office/drawing/2010/main"/>
                      </a:ext>
                    </a:extLst>
                  </pic:spPr>
                </pic:pic>
              </a:graphicData>
            </a:graphic>
          </wp:inline>
        </w:drawing>
      </w:r>
    </w:p>
    <w:p w14:paraId="18CD8229" w14:textId="412305E0" w:rsidR="003241C9" w:rsidRPr="001A076D" w:rsidRDefault="009839C2" w:rsidP="00F058CF">
      <w:pPr>
        <w:jc w:val="center"/>
      </w:pPr>
      <w:r w:rsidRPr="001A076D">
        <w:t>Figure 2.</w:t>
      </w:r>
      <w:r w:rsidR="0016133E" w:rsidRPr="001A076D">
        <w:t>3</w:t>
      </w:r>
      <w:r w:rsidR="003241C9" w:rsidRPr="001A076D">
        <w:t>: Predictive Analytics Readiness as a Mediating Construct Between Organisational Strategy and Governance Capability</w:t>
      </w:r>
    </w:p>
    <w:p w14:paraId="1E9A066A" w14:textId="07156DFC" w:rsidR="003241C9" w:rsidRPr="001A076D" w:rsidRDefault="003241C9" w:rsidP="00F058CF">
      <w:pPr>
        <w:jc w:val="center"/>
      </w:pPr>
      <w:r w:rsidRPr="001A076D">
        <w:rPr>
          <w:rStyle w:val="Emphasis"/>
        </w:rPr>
        <w:t>Source: Adapted from Rodriguez, Sharma and Hall (2024)</w:t>
      </w:r>
    </w:p>
    <w:p w14:paraId="7F28FC7D" w14:textId="77777777" w:rsidR="00B022C6" w:rsidRPr="001A076D" w:rsidRDefault="00B022C6" w:rsidP="00B022C6">
      <w:pPr>
        <w:pStyle w:val="Heading2"/>
        <w:rPr>
          <w:rFonts w:ascii="Times New Roman" w:eastAsia="Times New Roman" w:hAnsi="Times New Roman" w:cs="Times New Roman"/>
          <w:b/>
          <w:bCs/>
          <w:color w:val="auto"/>
        </w:rPr>
      </w:pPr>
      <w:bookmarkStart w:id="32" w:name="_Toc236033344"/>
      <w:r w:rsidRPr="001A076D">
        <w:rPr>
          <w:rFonts w:ascii="Times New Roman" w:eastAsia="Times New Roman" w:hAnsi="Times New Roman" w:cs="Times New Roman"/>
          <w:b/>
          <w:bCs/>
          <w:color w:val="auto"/>
        </w:rPr>
        <w:t>2.6 Regulatory Context and the UK Energy Sector</w:t>
      </w:r>
      <w:bookmarkEnd w:id="32"/>
    </w:p>
    <w:p w14:paraId="0BE815CD" w14:textId="76A16AE4" w:rsidR="003D715E" w:rsidRPr="001A076D" w:rsidRDefault="003D715E" w:rsidP="003D715E">
      <w:pPr>
        <w:pStyle w:val="NormalWeb"/>
        <w:spacing w:line="360" w:lineRule="auto"/>
        <w:jc w:val="both"/>
      </w:pPr>
      <w:r w:rsidRPr="001A076D">
        <w:t xml:space="preserve">The adoption of predictive analytics in the UK energy sector </w:t>
      </w:r>
      <w:r w:rsidR="00F058CF" w:rsidRPr="001A076D">
        <w:t>occurs within a complex</w:t>
      </w:r>
      <w:r w:rsidRPr="001A076D">
        <w:t xml:space="preserve"> and evolving regulatory environment. Unlike </w:t>
      </w:r>
      <w:r w:rsidR="008E15C2" w:rsidRPr="001A076D">
        <w:t>lesser-regulated industries, energy organisations</w:t>
      </w:r>
      <w:r w:rsidR="0098274E" w:rsidRPr="001A076D">
        <w:t xml:space="preserve"> operate under sustained public scrutiny, have long-term infrastructure obligations, and face</w:t>
      </w:r>
      <w:r w:rsidRPr="001A076D">
        <w:t xml:space="preserve"> clear expectations </w:t>
      </w:r>
      <w:r w:rsidR="00D2039B" w:rsidRPr="001A076D">
        <w:t>regarding accountability, transparency, and fairness.</w:t>
      </w:r>
      <w:r w:rsidRPr="001A076D">
        <w:t xml:space="preserve"> As a result, predictive analytics is judged not only </w:t>
      </w:r>
      <w:r w:rsidR="008D3278" w:rsidRPr="001A076D">
        <w:t>for accuracy but also for</w:t>
      </w:r>
      <w:r w:rsidRPr="001A076D">
        <w:t xml:space="preserve"> explainability, legitimacy, and defensibility.</w:t>
      </w:r>
    </w:p>
    <w:p w14:paraId="6199096D" w14:textId="420CD377" w:rsidR="003D715E" w:rsidRPr="001A076D" w:rsidRDefault="003D715E" w:rsidP="003D715E">
      <w:pPr>
        <w:pStyle w:val="NormalWeb"/>
        <w:spacing w:line="360" w:lineRule="auto"/>
        <w:jc w:val="both"/>
      </w:pPr>
      <w:r w:rsidRPr="001A076D">
        <w:lastRenderedPageBreak/>
        <w:t xml:space="preserve">A key influence is the UK GDPR, which establishes expectations around data accuracy, transparency, accountability, and lawful processing (ICO, 2021). In the energy sector, these expectations extend into areas such as pricing, customer segmentation, network investment, and service delivery. </w:t>
      </w:r>
      <w:r w:rsidR="00F85EBD" w:rsidRPr="001A076D">
        <w:t xml:space="preserve">Predictive models cannot operate as inscrutable black boxes; they require governance frameworks that </w:t>
      </w:r>
      <w:r w:rsidR="0048576C" w:rsidRPr="001A076D">
        <w:t xml:space="preserve">ensure transparency and auditability, enabling stakeholders to </w:t>
      </w:r>
      <w:r w:rsidR="0098274E" w:rsidRPr="001A076D">
        <w:t>understand the decision-making processes and outcomes associated with</w:t>
      </w:r>
      <w:r w:rsidR="00F85EBD" w:rsidRPr="001A076D">
        <w:t xml:space="preserve"> these models.</w:t>
      </w:r>
      <w:r w:rsidRPr="001A076D">
        <w:t xml:space="preserve"> SSE’s sustainability reporting reflects this broader emphasis on accountability and public trust (SSE </w:t>
      </w:r>
      <w:r w:rsidR="00277819" w:rsidRPr="001A076D">
        <w:t>plc</w:t>
      </w:r>
      <w:r w:rsidRPr="001A076D">
        <w:t xml:space="preserve">, </w:t>
      </w:r>
      <w:r w:rsidR="001F7684" w:rsidRPr="001A076D">
        <w:t>2024c), as it includes detailed metrics and methodologies that allow stakeholders to understand the impact of their operations and the effectiveness of their governance structures.</w:t>
      </w:r>
    </w:p>
    <w:p w14:paraId="470B7E07" w14:textId="129D41E6" w:rsidR="003D715E" w:rsidRPr="001A076D" w:rsidRDefault="003D715E" w:rsidP="003D715E">
      <w:pPr>
        <w:pStyle w:val="NormalWeb"/>
        <w:spacing w:line="360" w:lineRule="auto"/>
        <w:jc w:val="both"/>
      </w:pPr>
      <w:r w:rsidRPr="001A076D">
        <w:t xml:space="preserve">Sector-specific regulation reinforces this position. </w:t>
      </w:r>
      <w:r w:rsidR="00BB0C5F" w:rsidRPr="001A076D">
        <w:t xml:space="preserve">Ofgem’s </w:t>
      </w:r>
      <w:r w:rsidR="008E5B58" w:rsidRPr="001A076D">
        <w:t>digitisation strategy (2023</w:t>
      </w:r>
      <w:r w:rsidR="00E23533" w:rsidRPr="001A076D">
        <w:t>a&amp;c</w:t>
      </w:r>
      <w:r w:rsidR="008E5B58" w:rsidRPr="001A076D">
        <w:t>) presents high-quality data and analytics as essential to a more efficient, resilient, and decarbonised</w:t>
      </w:r>
      <w:r w:rsidR="00BB0C5F" w:rsidRPr="001A076D">
        <w:t xml:space="preserve"> energy system, but it also expects decisions to be based on reliable, well-governed data.</w:t>
      </w:r>
      <w:r w:rsidRPr="001A076D">
        <w:t xml:space="preserve"> National Grid (2024) similarly emphasises traceability, data lineage, and explainability in planning and forecasting.</w:t>
      </w:r>
    </w:p>
    <w:p w14:paraId="1EEEADCF" w14:textId="55210F7C" w:rsidR="003D715E" w:rsidRPr="001A076D" w:rsidRDefault="003D715E" w:rsidP="003D715E">
      <w:pPr>
        <w:pStyle w:val="NormalWeb"/>
        <w:spacing w:line="360" w:lineRule="auto"/>
        <w:jc w:val="both"/>
      </w:pPr>
      <w:r w:rsidRPr="001A076D">
        <w:t xml:space="preserve">These expectations </w:t>
      </w:r>
      <w:r w:rsidR="001F7684" w:rsidRPr="001A076D">
        <w:t xml:space="preserve">closely link predictive analytics readiness in energy </w:t>
      </w:r>
      <w:r w:rsidR="00F85EBD" w:rsidRPr="001A076D">
        <w:t xml:space="preserve">organisations </w:t>
      </w:r>
      <w:r w:rsidR="00D2039B" w:rsidRPr="001A076D">
        <w:t>to governance maturity.</w:t>
      </w:r>
      <w:r w:rsidRPr="001A076D">
        <w:t xml:space="preserve"> </w:t>
      </w:r>
      <w:r w:rsidR="001F7684" w:rsidRPr="001A076D">
        <w:t xml:space="preserve">Firms must demonstrate the source of their data, the processing methods used, and </w:t>
      </w:r>
      <w:r w:rsidR="00CF53D8" w:rsidRPr="001A076D">
        <w:t>how they manage</w:t>
      </w:r>
      <w:r w:rsidR="001F7684" w:rsidRPr="001A076D">
        <w:t xml:space="preserve"> uncertainty.</w:t>
      </w:r>
      <w:r w:rsidRPr="001A076D">
        <w:t xml:space="preserve"> Evidence from the sector suggests that uneven </w:t>
      </w:r>
      <w:r w:rsidR="00BB0C5F" w:rsidRPr="001A076D">
        <w:t xml:space="preserve">analytical maturity is driven less by a lack of tools than by fragmented governance, legacy systems, and cultural resistance (Gartner, 2024; Mashayekhy, Rad, and Liu, 2023), </w:t>
      </w:r>
      <w:r w:rsidR="00D2039B" w:rsidRPr="001A076D">
        <w:t>indicating</w:t>
      </w:r>
      <w:r w:rsidR="00BB0C5F" w:rsidRPr="001A076D">
        <w:t xml:space="preserve"> that organisations</w:t>
      </w:r>
      <w:r w:rsidR="001F7684" w:rsidRPr="001A076D">
        <w:t xml:space="preserve"> need to address these internal challenges to improve their data management practices.</w:t>
      </w:r>
    </w:p>
    <w:p w14:paraId="458E9AD1" w14:textId="7EA99C90" w:rsidR="003D715E" w:rsidRPr="001A076D" w:rsidRDefault="001F7684" w:rsidP="003D715E">
      <w:pPr>
        <w:pStyle w:val="NormalWeb"/>
        <w:spacing w:line="360" w:lineRule="auto"/>
        <w:jc w:val="both"/>
      </w:pPr>
      <w:r w:rsidRPr="001A076D">
        <w:t>Overall, regulation constrains analytics and shapes the conditions for its trustworthiness and strategic use.</w:t>
      </w:r>
      <w:r w:rsidR="003D715E" w:rsidRPr="001A076D">
        <w:t xml:space="preserve"> </w:t>
      </w:r>
      <w:r w:rsidR="00F85EBD" w:rsidRPr="001A076D">
        <w:t>Figure 2.4 illustrates this broader regulatory ecosystem, while Figure 2.5 brings strategy, governance, and regulation together to create an integrated conceptual map of predictive analytics readiness for regulated organisations.</w:t>
      </w:r>
    </w:p>
    <w:p w14:paraId="00530844" w14:textId="30D4DF24" w:rsidR="003D715E" w:rsidRPr="001A076D" w:rsidRDefault="00B870C4" w:rsidP="007D4BE8">
      <w:pPr>
        <w:jc w:val="center"/>
      </w:pPr>
      <w:r w:rsidRPr="001A076D">
        <w:rPr>
          <w:noProof/>
        </w:rPr>
        <w:lastRenderedPageBreak/>
        <w:drawing>
          <wp:inline distT="0" distB="0" distL="0" distR="0" wp14:anchorId="71813720" wp14:editId="3243D7DA">
            <wp:extent cx="5838045" cy="2615784"/>
            <wp:effectExtent l="0" t="0" r="4445" b="635"/>
            <wp:docPr id="4762937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293719" name="Picture 476293719"/>
                    <pic:cNvPicPr/>
                  </pic:nvPicPr>
                  <pic:blipFill rotWithShape="1">
                    <a:blip r:embed="rId16" cstate="print">
                      <a:extLst>
                        <a:ext uri="{28A0092B-C50C-407E-A947-70E740481C1C}">
                          <a14:useLocalDpi xmlns:a14="http://schemas.microsoft.com/office/drawing/2010/main" val="0"/>
                        </a:ext>
                      </a:extLst>
                    </a:blip>
                    <a:srcRect l="1125" t="16685" r="1576" b="1278"/>
                    <a:stretch>
                      <a:fillRect/>
                    </a:stretch>
                  </pic:blipFill>
                  <pic:spPr bwMode="auto">
                    <a:xfrm>
                      <a:off x="0" y="0"/>
                      <a:ext cx="5840012" cy="2616665"/>
                    </a:xfrm>
                    <a:prstGeom prst="rect">
                      <a:avLst/>
                    </a:prstGeom>
                    <a:ln>
                      <a:noFill/>
                    </a:ln>
                    <a:extLst>
                      <a:ext uri="{53640926-AAD7-44D8-BBD7-CCE9431645EC}">
                        <a14:shadowObscured xmlns:a14="http://schemas.microsoft.com/office/drawing/2010/main"/>
                      </a:ext>
                    </a:extLst>
                  </pic:spPr>
                </pic:pic>
              </a:graphicData>
            </a:graphic>
          </wp:inline>
        </w:drawing>
      </w:r>
    </w:p>
    <w:p w14:paraId="34D7E945" w14:textId="16605A0C" w:rsidR="00BE55F6" w:rsidRPr="001A076D" w:rsidRDefault="007D4BE8" w:rsidP="007D4BE8">
      <w:pPr>
        <w:jc w:val="center"/>
      </w:pPr>
      <w:r w:rsidRPr="001A076D">
        <w:t>Figure 2.</w:t>
      </w:r>
      <w:r w:rsidR="0016133E" w:rsidRPr="001A076D">
        <w:t>4</w:t>
      </w:r>
      <w:r w:rsidRPr="001A076D">
        <w:t>:</w:t>
      </w:r>
      <w:r w:rsidR="00BE55F6" w:rsidRPr="001A076D">
        <w:t xml:space="preserve"> Regulatory Drivers of Governance Requirements for Predictive Analytics in the UK Energy Sector</w:t>
      </w:r>
    </w:p>
    <w:p w14:paraId="5A1CC50C" w14:textId="77777777" w:rsidR="00BE55F6" w:rsidRPr="001A076D" w:rsidRDefault="00BE55F6" w:rsidP="007D4BE8">
      <w:pPr>
        <w:jc w:val="center"/>
        <w:rPr>
          <w:rStyle w:val="Emphasis"/>
        </w:rPr>
      </w:pPr>
      <w:r w:rsidRPr="001A076D">
        <w:rPr>
          <w:rStyle w:val="Emphasis"/>
        </w:rPr>
        <w:t>Source: Adapted from Ofgem (2023), ICO (2021), and UK AI Governance Guidance.</w:t>
      </w:r>
    </w:p>
    <w:p w14:paraId="06C26FA6" w14:textId="77777777" w:rsidR="00DF26CF" w:rsidRPr="001A076D" w:rsidRDefault="00DF26CF" w:rsidP="007D4BE8">
      <w:pPr>
        <w:jc w:val="center"/>
        <w:rPr>
          <w:rStyle w:val="Emphasis"/>
        </w:rPr>
      </w:pPr>
    </w:p>
    <w:p w14:paraId="47F9BEC2" w14:textId="4A5B97CF" w:rsidR="001310CF" w:rsidRPr="001A076D" w:rsidRDefault="00DF26CF" w:rsidP="00BB177E">
      <w:pPr>
        <w:spacing w:line="360" w:lineRule="auto"/>
        <w:jc w:val="both"/>
      </w:pPr>
      <w:r w:rsidRPr="001A076D">
        <w:t xml:space="preserve">The literature identifies several interrelated organisational factors that influence the successful adoption of predictive analytics. Although different studies emphasise different dimensions, there is broad agreement that technical capability alone is insufficient. </w:t>
      </w:r>
      <w:r w:rsidR="0042004D" w:rsidRPr="001A076D">
        <w:t>Researchers consistently recognise governance, organisational readiness, trust, and strategic alignment as crucial enablers of effective analytics adoption.</w:t>
      </w:r>
      <w:r w:rsidRPr="001A076D">
        <w:t xml:space="preserve"> Figure 2.5 summarises the principal themes emerging from the literature reviewed in this chapter.</w:t>
      </w:r>
    </w:p>
    <w:p w14:paraId="15A93681" w14:textId="011EAD5B" w:rsidR="00DF26CF" w:rsidRPr="001A076D" w:rsidRDefault="00BB177E" w:rsidP="00BB177E">
      <w:pPr>
        <w:jc w:val="center"/>
        <w:rPr>
          <w:rStyle w:val="Emphasis"/>
        </w:rPr>
      </w:pPr>
      <w:r w:rsidRPr="001A076D">
        <w:rPr>
          <w:noProof/>
        </w:rPr>
        <w:drawing>
          <wp:inline distT="0" distB="0" distL="0" distR="0" wp14:anchorId="6578406E" wp14:editId="10ED3CF3">
            <wp:extent cx="6002020" cy="3396343"/>
            <wp:effectExtent l="0" t="0" r="5080" b="0"/>
            <wp:docPr id="775647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647920" name="Picture 775647920"/>
                    <pic:cNvPicPr/>
                  </pic:nvPicPr>
                  <pic:blipFill rotWithShape="1">
                    <a:blip r:embed="rId17" cstate="print">
                      <a:extLst>
                        <a:ext uri="{28A0092B-C50C-407E-A947-70E740481C1C}">
                          <a14:useLocalDpi xmlns:a14="http://schemas.microsoft.com/office/drawing/2010/main" val="0"/>
                        </a:ext>
                      </a:extLst>
                    </a:blip>
                    <a:srcRect b="15116"/>
                    <a:stretch>
                      <a:fillRect/>
                    </a:stretch>
                  </pic:blipFill>
                  <pic:spPr bwMode="auto">
                    <a:xfrm>
                      <a:off x="0" y="0"/>
                      <a:ext cx="6002020" cy="3396343"/>
                    </a:xfrm>
                    <a:prstGeom prst="rect">
                      <a:avLst/>
                    </a:prstGeom>
                    <a:ln>
                      <a:noFill/>
                    </a:ln>
                    <a:extLst>
                      <a:ext uri="{53640926-AAD7-44D8-BBD7-CCE9431645EC}">
                        <a14:shadowObscured xmlns:a14="http://schemas.microsoft.com/office/drawing/2010/main"/>
                      </a:ext>
                    </a:extLst>
                  </pic:spPr>
                </pic:pic>
              </a:graphicData>
            </a:graphic>
          </wp:inline>
        </w:drawing>
      </w:r>
    </w:p>
    <w:p w14:paraId="4096A8FB" w14:textId="6B5BFD2F" w:rsidR="00DF26CF" w:rsidRPr="001A076D" w:rsidRDefault="00DF26CF" w:rsidP="00BB177E">
      <w:pPr>
        <w:jc w:val="center"/>
      </w:pPr>
      <w:r w:rsidRPr="001A076D">
        <w:t>Figure 2</w:t>
      </w:r>
      <w:r w:rsidR="0016133E" w:rsidRPr="001A076D">
        <w:t>.5</w:t>
      </w:r>
      <w:r w:rsidRPr="001A076D">
        <w:t xml:space="preserve">: </w:t>
      </w:r>
      <w:r w:rsidRPr="001A076D">
        <w:rPr>
          <w:rStyle w:val="Emphasis"/>
          <w:i w:val="0"/>
          <w:iCs w:val="0"/>
        </w:rPr>
        <w:t>Key Themes Emerging from the Literature on Predictive Analytics Adoption.</w:t>
      </w:r>
    </w:p>
    <w:p w14:paraId="6EDD7B20" w14:textId="77777777" w:rsidR="00DF26CF" w:rsidRPr="001A076D" w:rsidRDefault="00DF26CF" w:rsidP="00BB177E">
      <w:pPr>
        <w:jc w:val="center"/>
      </w:pPr>
      <w:r w:rsidRPr="001A076D">
        <w:rPr>
          <w:i/>
          <w:iCs/>
        </w:rPr>
        <w:t>Source:</w:t>
      </w:r>
      <w:r w:rsidRPr="001A076D">
        <w:t xml:space="preserve"> </w:t>
      </w:r>
      <w:r w:rsidRPr="001A076D">
        <w:rPr>
          <w:rStyle w:val="Emphasis"/>
        </w:rPr>
        <w:t>Adapted from Davenport and Harris (2007), Otto (2011), LaValle et al. (2011), Abraham et al. (2019), Mikalef et al. (2020), DCAM, DELTA, and related literature.</w:t>
      </w:r>
    </w:p>
    <w:p w14:paraId="383C3E78" w14:textId="77777777" w:rsidR="00DF26CF" w:rsidRPr="001A076D" w:rsidRDefault="00DF26CF" w:rsidP="007D4BE8">
      <w:pPr>
        <w:jc w:val="center"/>
      </w:pPr>
    </w:p>
    <w:p w14:paraId="0921DB0C" w14:textId="77777777" w:rsidR="00B022C6" w:rsidRPr="001A076D" w:rsidRDefault="00B022C6" w:rsidP="00B022C6">
      <w:pPr>
        <w:pStyle w:val="Heading2"/>
        <w:rPr>
          <w:rFonts w:ascii="Times New Roman" w:eastAsia="Times New Roman" w:hAnsi="Times New Roman" w:cs="Times New Roman"/>
          <w:b/>
          <w:bCs/>
          <w:color w:val="auto"/>
        </w:rPr>
      </w:pPr>
      <w:bookmarkStart w:id="33" w:name="_Toc236033345"/>
      <w:r w:rsidRPr="001A076D">
        <w:rPr>
          <w:rFonts w:ascii="Times New Roman" w:eastAsia="Times New Roman" w:hAnsi="Times New Roman" w:cs="Times New Roman"/>
          <w:b/>
          <w:bCs/>
          <w:color w:val="auto"/>
        </w:rPr>
        <w:lastRenderedPageBreak/>
        <w:t>2.7 Organisational Culture, Ethics, and Trust</w:t>
      </w:r>
      <w:bookmarkEnd w:id="33"/>
    </w:p>
    <w:p w14:paraId="697DFA5C" w14:textId="4C500ECD" w:rsidR="004F1EEC" w:rsidRPr="001A076D" w:rsidRDefault="001F7684" w:rsidP="00E976DA">
      <w:pPr>
        <w:pStyle w:val="NormalWeb"/>
        <w:spacing w:line="360" w:lineRule="auto"/>
        <w:jc w:val="both"/>
      </w:pPr>
      <w:r w:rsidRPr="001A076D">
        <w:t xml:space="preserve">Along with </w:t>
      </w:r>
      <w:r w:rsidR="00F85EBD" w:rsidRPr="001A076D">
        <w:t>regulations and formal governance, organisational culture and trust play a critical role in determining</w:t>
      </w:r>
      <w:r w:rsidR="004F1EEC" w:rsidRPr="001A076D">
        <w:t xml:space="preserve"> the effectiveness of predictive analytics. </w:t>
      </w:r>
      <w:r w:rsidRPr="001A076D">
        <w:t xml:space="preserve">Earlier research primarily concentrated on technical capability, but more recent studies </w:t>
      </w:r>
      <w:r w:rsidR="00D2039B" w:rsidRPr="001A076D">
        <w:t>emphasise</w:t>
      </w:r>
      <w:r w:rsidRPr="001A076D">
        <w:t xml:space="preserve"> how individuals interpret and act on analytical insights </w:t>
      </w:r>
      <w:r w:rsidR="00F85EBD" w:rsidRPr="001A076D">
        <w:t xml:space="preserve">when </w:t>
      </w:r>
      <w:r w:rsidR="008D3278" w:rsidRPr="001A076D">
        <w:t>they recognise their value.</w:t>
      </w:r>
      <w:r w:rsidR="004F1EEC" w:rsidRPr="001A076D">
        <w:t xml:space="preserve"> Redman (2018) argues that managerial </w:t>
      </w:r>
      <w:r w:rsidRPr="001A076D">
        <w:t xml:space="preserve">behaviour is central to building trust </w:t>
      </w:r>
      <w:r w:rsidR="00D2039B" w:rsidRPr="001A076D">
        <w:t>in data.</w:t>
      </w:r>
      <w:r w:rsidR="004F1EEC" w:rsidRPr="001A076D">
        <w:t xml:space="preserve"> Confidence in analytics grows when leaders consistently rely on evidence, encourage constructive challenge, and align decisions with analytical outputs. In contrast, selective use of data or reliance on intuition weakens trust and limits the integration of analytics into decision-</w:t>
      </w:r>
      <w:r w:rsidR="00614FCE" w:rsidRPr="001A076D">
        <w:t>making, leading to poor outcomes and missed opportunities for improvement.</w:t>
      </w:r>
    </w:p>
    <w:p w14:paraId="20FA8872" w14:textId="11B6277B" w:rsidR="004F1EEC" w:rsidRPr="001A076D" w:rsidRDefault="004F1EEC" w:rsidP="00E976DA">
      <w:pPr>
        <w:pStyle w:val="NormalWeb"/>
        <w:spacing w:line="360" w:lineRule="auto"/>
        <w:jc w:val="both"/>
      </w:pPr>
      <w:r w:rsidRPr="001A076D">
        <w:t xml:space="preserve">These dynamics are particularly important at senior leadership levels, where decisions carry significant financial, operational, and reputational consequences. Inconsistent engagement with analytics can discourage investment in data capabilities and reinforce scepticism among staff, positioning analytics as peripheral rather than integral. </w:t>
      </w:r>
      <w:r w:rsidR="00BB0C5F" w:rsidRPr="001A076D">
        <w:t xml:space="preserve">In regulated environments, </w:t>
      </w:r>
      <w:r w:rsidR="008E15C2" w:rsidRPr="001A076D">
        <w:t>the need to justify decisions externally amplifies this effect, raising</w:t>
      </w:r>
      <w:r w:rsidR="00BB0C5F" w:rsidRPr="001A076D">
        <w:t xml:space="preserve"> the cost of mistrusting analytical outputs</w:t>
      </w:r>
      <w:r w:rsidR="00B720AB" w:rsidRPr="001A076D">
        <w:t>. This can lead to missed opportunities for data-driven decision-making and hinder overall organisational</w:t>
      </w:r>
      <w:r w:rsidR="00BB0C5F" w:rsidRPr="001A076D">
        <w:t xml:space="preserve"> performance.</w:t>
      </w:r>
    </w:p>
    <w:p w14:paraId="46513BE7" w14:textId="106ECD5F" w:rsidR="004F1EEC" w:rsidRPr="001A076D" w:rsidRDefault="006F645A" w:rsidP="00E976DA">
      <w:pPr>
        <w:pStyle w:val="NormalWeb"/>
        <w:spacing w:line="360" w:lineRule="auto"/>
        <w:jc w:val="both"/>
      </w:pPr>
      <w:r w:rsidRPr="001A076D">
        <w:t xml:space="preserve">Ethical considerations add a further layer of complexity, particularly as organisations face increasing pressure to ensure </w:t>
      </w:r>
      <w:r w:rsidR="00CF53D8" w:rsidRPr="001A076D">
        <w:t xml:space="preserve">the responsible and trustworthy adoption of AI </w:t>
      </w:r>
      <w:r w:rsidRPr="001A076D">
        <w:t>(Singh, 2026)</w:t>
      </w:r>
      <w:r w:rsidR="004F1EEC" w:rsidRPr="001A076D">
        <w:t xml:space="preserve">. Mehrabi et al. (2021) highlight concerns around bias, fairness, and transparency in predictive models, particularly where analytics informs decisions with broader social and economic impact. </w:t>
      </w:r>
      <w:r w:rsidR="008E15C2" w:rsidRPr="001A076D">
        <w:t>Impacts in the energy sector include pricing, infrastructure investments, and service prioritisation</w:t>
      </w:r>
      <w:r w:rsidR="00614FCE" w:rsidRPr="001A076D">
        <w:t>; errors or a</w:t>
      </w:r>
      <w:r w:rsidR="004F1EEC" w:rsidRPr="001A076D">
        <w:t xml:space="preserve"> lack of transparency can have significant societal consequences. Ethical failures in such contexts extend beyond technical </w:t>
      </w:r>
      <w:r w:rsidR="00F85EBD" w:rsidRPr="001A076D">
        <w:t>difficulties</w:t>
      </w:r>
      <w:r w:rsidR="00614FCE" w:rsidRPr="001A076D">
        <w:t>; they carry regulatory, legal, and reputational risks that can undermine both public and organisational</w:t>
      </w:r>
      <w:r w:rsidR="004F1EEC" w:rsidRPr="001A076D">
        <w:t xml:space="preserve"> trust.</w:t>
      </w:r>
    </w:p>
    <w:p w14:paraId="3573F97D" w14:textId="009501CC" w:rsidR="004F1EEC" w:rsidRPr="001A076D" w:rsidRDefault="004F1EEC" w:rsidP="00E976DA">
      <w:pPr>
        <w:pStyle w:val="NormalWeb"/>
        <w:spacing w:line="360" w:lineRule="auto"/>
        <w:jc w:val="both"/>
      </w:pPr>
      <w:r w:rsidRPr="001A076D">
        <w:t xml:space="preserve">Despite growing recognition of these issues, the literature </w:t>
      </w:r>
      <w:r w:rsidR="00781F42" w:rsidRPr="001A076D">
        <w:t>lacks</w:t>
      </w:r>
      <w:r w:rsidRPr="001A076D">
        <w:t xml:space="preserve"> insight into how culture, ethics, and governance interact in practice. Governance frameworks tend to focus on control and accountability, while cultural studies </w:t>
      </w:r>
      <w:r w:rsidR="00614FCE" w:rsidRPr="001A076D">
        <w:t>emphasise leadership behaviours and norms;</w:t>
      </w:r>
      <w:r w:rsidRPr="001A076D">
        <w:t xml:space="preserve"> few examine how these dimensions jointly influence whether analytics is trusted, challenged, or ignored. This gap is particularly evident in regulated industries, where ethical oversight and public accountability heighten the stakes of data-driven decisions.</w:t>
      </w:r>
    </w:p>
    <w:p w14:paraId="3D3711D1" w14:textId="1BBC18DA" w:rsidR="004F1EEC" w:rsidRPr="001A076D" w:rsidRDefault="004F1EEC" w:rsidP="00E976DA">
      <w:pPr>
        <w:pStyle w:val="NormalWeb"/>
        <w:spacing w:line="360" w:lineRule="auto"/>
        <w:jc w:val="both"/>
      </w:pPr>
      <w:r w:rsidRPr="001A076D">
        <w:lastRenderedPageBreak/>
        <w:t xml:space="preserve">As a result, trust in predictive analytics is increasingly understood as a socio-technical </w:t>
      </w:r>
      <w:r w:rsidR="00F85EBD" w:rsidRPr="001A076D">
        <w:t xml:space="preserve">phenomenon </w:t>
      </w:r>
      <w:r w:rsidR="00B2263C" w:rsidRPr="001A076D">
        <w:t xml:space="preserve">that emerges from the interaction among human </w:t>
      </w:r>
      <w:r w:rsidR="008E15C2" w:rsidRPr="001A076D">
        <w:t>judgement, organisational culture, governance practices, and analytical systems rather than</w:t>
      </w:r>
      <w:r w:rsidR="00B2263C" w:rsidRPr="001A076D">
        <w:t xml:space="preserve"> </w:t>
      </w:r>
      <w:r w:rsidRPr="001A076D">
        <w:t>model accuracy alone (Vasconcelos et al., 2023; Smith, 2020).</w:t>
      </w:r>
    </w:p>
    <w:p w14:paraId="71911CB4" w14:textId="2F277D18" w:rsidR="00B022C6" w:rsidRPr="001A076D" w:rsidRDefault="00B022C6" w:rsidP="00C05CE9">
      <w:pPr>
        <w:pStyle w:val="Heading2"/>
        <w:spacing w:line="360" w:lineRule="auto"/>
        <w:rPr>
          <w:rFonts w:ascii="Times New Roman" w:eastAsia="Times New Roman" w:hAnsi="Times New Roman" w:cs="Times New Roman"/>
          <w:b/>
          <w:bCs/>
          <w:color w:val="auto"/>
        </w:rPr>
      </w:pPr>
      <w:bookmarkStart w:id="34" w:name="_Toc236033346"/>
      <w:r w:rsidRPr="001A076D">
        <w:rPr>
          <w:rFonts w:ascii="Times New Roman" w:eastAsia="Times New Roman" w:hAnsi="Times New Roman" w:cs="Times New Roman"/>
          <w:b/>
          <w:bCs/>
          <w:color w:val="auto"/>
        </w:rPr>
        <w:t xml:space="preserve">2.8 </w:t>
      </w:r>
      <w:r w:rsidR="00C05CE9" w:rsidRPr="001A076D">
        <w:rPr>
          <w:rFonts w:ascii="Times New Roman" w:eastAsia="Times New Roman" w:hAnsi="Times New Roman" w:cs="Times New Roman"/>
          <w:b/>
          <w:bCs/>
          <w:color w:val="auto"/>
        </w:rPr>
        <w:t>Towards an Integrated View: Gaps in Predictive Analytics Readiness Literature</w:t>
      </w:r>
      <w:bookmarkEnd w:id="34"/>
    </w:p>
    <w:p w14:paraId="1293FC89" w14:textId="524ECA99" w:rsidR="00331786" w:rsidRPr="001A076D" w:rsidRDefault="003B408F" w:rsidP="006B0C07">
      <w:pPr>
        <w:pStyle w:val="NormalWeb"/>
        <w:spacing w:line="360" w:lineRule="auto"/>
        <w:jc w:val="both"/>
      </w:pPr>
      <w:r w:rsidRPr="001A076D">
        <w:t xml:space="preserve">While the literature demonstrates substantial progress in predictive analytics, strategic decision-making, and </w:t>
      </w:r>
      <w:r w:rsidR="00BB0C5F" w:rsidRPr="001A076D">
        <w:t>organisational readiness, it remains fragmented in terms of</w:t>
      </w:r>
      <w:r w:rsidR="00F85EBD" w:rsidRPr="001A076D">
        <w:t xml:space="preserve"> how these elements are understood and applied in regulatory</w:t>
      </w:r>
      <w:r w:rsidRPr="001A076D">
        <w:t xml:space="preserve"> contexts</w:t>
      </w:r>
      <w:r w:rsidR="006B0C07" w:rsidRPr="001A076D">
        <w:t xml:space="preserve">. Research consistently shows that AI-driven predictive analytics improves decision quality, forecasting accuracy, and operational performance. For example, Ansari, Bhujel and Khawaja (2026) report reductions in decision latency of 17–25% alongside improvements in forecast accuracy of approximately 20%. Similarly, </w:t>
      </w:r>
      <w:proofErr w:type="spellStart"/>
      <w:r w:rsidR="006B0C07" w:rsidRPr="001A076D">
        <w:t>Baihaqi</w:t>
      </w:r>
      <w:proofErr w:type="spellEnd"/>
      <w:r w:rsidR="006B0C07" w:rsidRPr="001A076D">
        <w:t xml:space="preserve"> (2026) highlights the growing importance of governance </w:t>
      </w:r>
      <w:r w:rsidR="00614FCE" w:rsidRPr="001A076D">
        <w:t>frameworks by emphasising</w:t>
      </w:r>
      <w:r w:rsidR="006B0C07" w:rsidRPr="001A076D">
        <w:t xml:space="preserve"> auditability, transparency, and human oversight as key requirements for successful AI-enabled decision-making. Organisational readiness models have also evolved significantly, with Technology–Organisation–Environment (TOE)</w:t>
      </w:r>
      <w:r w:rsidR="00614FCE" w:rsidRPr="001A076D">
        <w:t>-based</w:t>
      </w:r>
      <w:r w:rsidR="006B0C07" w:rsidRPr="001A076D">
        <w:t xml:space="preserve"> approaches providing structured ways to assess technological capability, leadership support, and environmental pressures influencing adoption (Alzahrani, 2025).</w:t>
      </w:r>
    </w:p>
    <w:p w14:paraId="4A791E06" w14:textId="48CC9331" w:rsidR="006B0C07" w:rsidRPr="001A076D" w:rsidRDefault="00331786" w:rsidP="006B0C07">
      <w:pPr>
        <w:pStyle w:val="NormalWeb"/>
        <w:spacing w:line="360" w:lineRule="auto"/>
        <w:jc w:val="both"/>
        <w:rPr>
          <w:sz w:val="40"/>
          <w:szCs w:val="40"/>
        </w:rPr>
      </w:pPr>
      <w:r w:rsidRPr="001A076D">
        <w:rPr>
          <w:rStyle w:val="muitypography-root"/>
        </w:rPr>
        <w:t>Despite this progress,</w:t>
      </w:r>
      <w:r w:rsidRPr="001A076D">
        <w:rPr>
          <w:rStyle w:val="apple-converted-space"/>
        </w:rPr>
        <w:t> </w:t>
      </w:r>
      <w:r w:rsidR="00B2263C" w:rsidRPr="001A076D">
        <w:rPr>
          <w:rStyle w:val="muitypography-root"/>
        </w:rPr>
        <w:t>understanding of predictive analytics readiness remains uneven, particularly in regulated infrastructure sectors such as</w:t>
      </w:r>
      <w:r w:rsidRPr="001A076D">
        <w:rPr>
          <w:rStyle w:val="apple-converted-space"/>
        </w:rPr>
        <w:t> </w:t>
      </w:r>
      <w:r w:rsidRPr="001A076D">
        <w:rPr>
          <w:rStyle w:val="muitypography-root"/>
        </w:rPr>
        <w:t>energy utilities.</w:t>
      </w:r>
      <w:r w:rsidRPr="001A076D">
        <w:rPr>
          <w:sz w:val="40"/>
          <w:szCs w:val="40"/>
        </w:rPr>
        <w:t xml:space="preserve"> </w:t>
      </w:r>
      <w:r w:rsidR="006B0C07" w:rsidRPr="001A076D">
        <w:t xml:space="preserve">Much of the existing research draws on digitally mature organisations or industries with fewer regulatory constraints. This creates a disconnect between theoretical models and the operational realities of asset-heavy, compliance-driven organisations. Studies focusing specifically on the energy sector remain limited, although work by </w:t>
      </w:r>
      <w:proofErr w:type="spellStart"/>
      <w:r w:rsidR="006B0C07" w:rsidRPr="001A076D">
        <w:t>Olajiga</w:t>
      </w:r>
      <w:proofErr w:type="spellEnd"/>
      <w:r w:rsidR="006B0C07" w:rsidRPr="001A076D">
        <w:t xml:space="preserve"> et al. (2024) </w:t>
      </w:r>
      <w:r w:rsidR="00614FCE" w:rsidRPr="001A076D">
        <w:t>calls</w:t>
      </w:r>
      <w:r w:rsidR="006B0C07" w:rsidRPr="001A076D">
        <w:t xml:space="preserve"> for sector-specific analytics frameworks, and Al-Ababneh et al. (2026) note that digital transformation in energy organisations is shaped by infrastructure complexity and regulatory oversight. These contextual factors suggest that predictive analytics readiness in energy utilities may differ substantially from </w:t>
      </w:r>
      <w:r w:rsidR="00B2263C" w:rsidRPr="001A076D">
        <w:t xml:space="preserve">that in other sectors, particularly due to the unique challenges posed by infrastructure complexity and regulatory oversight </w:t>
      </w:r>
      <w:r w:rsidR="00614FCE" w:rsidRPr="001A076D">
        <w:t>specific to the energy sector.</w:t>
      </w:r>
    </w:p>
    <w:p w14:paraId="2381A246" w14:textId="2867AD41" w:rsidR="006B0C07" w:rsidRPr="001A076D" w:rsidRDefault="006B0C07" w:rsidP="006B0C07">
      <w:pPr>
        <w:pStyle w:val="NormalWeb"/>
        <w:spacing w:line="360" w:lineRule="auto"/>
        <w:jc w:val="both"/>
      </w:pPr>
      <w:r w:rsidRPr="001A076D">
        <w:t xml:space="preserve">A second limitation concerns the fragmented treatment of strategic capability and governance maturity within the literature. </w:t>
      </w:r>
      <w:r w:rsidR="00614FCE" w:rsidRPr="001A076D">
        <w:t>Strategy-</w:t>
      </w:r>
      <w:r w:rsidR="00F85EBD" w:rsidRPr="001A076D">
        <w:t>orientated studies typically emphasise leadership, analytical</w:t>
      </w:r>
      <w:r w:rsidRPr="001A076D">
        <w:t xml:space="preserve"> capability, and value creation, presenting predictive analytics as a driver of agility and competitive </w:t>
      </w:r>
      <w:r w:rsidRPr="001A076D">
        <w:lastRenderedPageBreak/>
        <w:t xml:space="preserve">advantage. In contrast, governance-focused research concentrates on data ownership, quality, risk management, and compliance mechanisms. </w:t>
      </w:r>
      <w:proofErr w:type="spellStart"/>
      <w:r w:rsidRPr="001A076D">
        <w:t>Tazkarji</w:t>
      </w:r>
      <w:proofErr w:type="spellEnd"/>
      <w:r w:rsidRPr="001A076D">
        <w:t xml:space="preserve">, </w:t>
      </w:r>
      <w:r w:rsidR="004242E1" w:rsidRPr="001A076D">
        <w:t xml:space="preserve">Chou, and Hamadeh (2026) identify governance as central to </w:t>
      </w:r>
      <w:r w:rsidR="00A43CA8" w:rsidRPr="001A076D">
        <w:t xml:space="preserve">organisational readiness; </w:t>
      </w:r>
      <w:proofErr w:type="gramStart"/>
      <w:r w:rsidR="00A43CA8" w:rsidRPr="001A076D">
        <w:t>yet,</w:t>
      </w:r>
      <w:proofErr w:type="gramEnd"/>
      <w:r w:rsidRPr="001A076D">
        <w:t xml:space="preserve"> empirical work integrating governance maturity with predictive analytics adoption remains limited. This separation results in an incomplete understanding of how predictive analytics </w:t>
      </w:r>
      <w:r w:rsidR="004242E1" w:rsidRPr="001A076D">
        <w:t xml:space="preserve">is embedded in </w:t>
      </w:r>
      <w:r w:rsidR="00F85EBD" w:rsidRPr="001A076D">
        <w:t>organisational decision-making, particularly in regulatory</w:t>
      </w:r>
      <w:r w:rsidRPr="001A076D">
        <w:t xml:space="preserve"> environments where innovation must coexist with accountability.</w:t>
      </w:r>
    </w:p>
    <w:p w14:paraId="07E7AE1E" w14:textId="70F725C5" w:rsidR="006F645A" w:rsidRPr="001A076D" w:rsidRDefault="008E15C2" w:rsidP="006B0C07">
      <w:pPr>
        <w:pStyle w:val="NormalWeb"/>
        <w:spacing w:line="360" w:lineRule="auto"/>
        <w:jc w:val="both"/>
      </w:pPr>
      <w:r w:rsidRPr="001A076D">
        <w:t xml:space="preserve">Recent studies increasingly recognise that the adoption of predictive analytics depends not only on technical capability but also on governance maturity, organisational readiness, data quality, and executive trust (Ansari, Bhujel, and Khawaja, 2026; Utomo, Wahidah, and </w:t>
      </w:r>
      <w:proofErr w:type="spellStart"/>
      <w:r w:rsidRPr="001A076D">
        <w:t>Wisudawati</w:t>
      </w:r>
      <w:proofErr w:type="spellEnd"/>
      <w:r w:rsidRPr="001A076D">
        <w:t>, 2025; Singh, 2026; Wang, 2025).</w:t>
      </w:r>
      <w:r w:rsidR="006F645A" w:rsidRPr="001A076D">
        <w:t xml:space="preserve"> However, </w:t>
      </w:r>
      <w:r w:rsidR="00B720AB" w:rsidRPr="001A076D">
        <w:t xml:space="preserve">only limited empirical research </w:t>
      </w:r>
      <w:r w:rsidR="000A4967" w:rsidRPr="001A076D">
        <w:t>has examined how these dimensions interact within regulated energy organisations</w:t>
      </w:r>
      <w:r w:rsidR="006F645A" w:rsidRPr="001A076D">
        <w:t xml:space="preserve">, particularly </w:t>
      </w:r>
      <w:r w:rsidR="000A4967" w:rsidRPr="001A076D">
        <w:t>regarding</w:t>
      </w:r>
      <w:r w:rsidR="006F645A" w:rsidRPr="001A076D">
        <w:t xml:space="preserve"> strategic embedding and executive decision-making.</w:t>
      </w:r>
    </w:p>
    <w:p w14:paraId="3F3B25F4" w14:textId="3E0D4B52" w:rsidR="006B0C07" w:rsidRPr="001A076D" w:rsidRDefault="00CA0957" w:rsidP="006B0C07">
      <w:pPr>
        <w:pStyle w:val="NormalWeb"/>
        <w:spacing w:line="360" w:lineRule="auto"/>
        <w:jc w:val="both"/>
      </w:pPr>
      <w:r w:rsidRPr="001A076D">
        <w:t>The third gap relates to organisational</w:t>
      </w:r>
      <w:r w:rsidR="006B0C07" w:rsidRPr="001A076D">
        <w:t xml:space="preserve"> readiness in complex utility environments. Existing readiness frameworks often </w:t>
      </w:r>
      <w:r w:rsidR="00F85EBD" w:rsidRPr="001A076D">
        <w:t>prioritise technological capability and leadership alignment, but they rarely address legacy infrastructure, distributed operational assets, or</w:t>
      </w:r>
      <w:r w:rsidR="006B0C07" w:rsidRPr="001A076D">
        <w:t xml:space="preserve"> workforce digital capability challenges. Research by </w:t>
      </w:r>
      <w:proofErr w:type="spellStart"/>
      <w:r w:rsidR="006B0C07" w:rsidRPr="001A076D">
        <w:t>Kalleparambil</w:t>
      </w:r>
      <w:proofErr w:type="spellEnd"/>
      <w:r w:rsidR="006B0C07" w:rsidRPr="001A076D">
        <w:t xml:space="preserve"> and </w:t>
      </w:r>
      <w:proofErr w:type="spellStart"/>
      <w:r w:rsidR="006B0C07" w:rsidRPr="001A076D">
        <w:t>Akoum</w:t>
      </w:r>
      <w:proofErr w:type="spellEnd"/>
      <w:r w:rsidR="006B0C07" w:rsidRPr="001A076D">
        <w:t xml:space="preserve"> (2025) and </w:t>
      </w:r>
      <w:proofErr w:type="spellStart"/>
      <w:r w:rsidR="006B0C07" w:rsidRPr="001A076D">
        <w:t>Trequattrini</w:t>
      </w:r>
      <w:proofErr w:type="spellEnd"/>
      <w:r w:rsidR="006B0C07" w:rsidRPr="001A076D">
        <w:t xml:space="preserve"> et al. (2025) advances readiness measurement for AI adoption and digital transformation, yet these models do not explicitly account for the operational complexity typical of large energy utilities. </w:t>
      </w:r>
      <w:r w:rsidR="00781F42" w:rsidRPr="001A076D">
        <w:t>Al-Ababneh et al. (2026) further emphasise that infrastructure-intensive organisations face distinctive barriers related to system integration and data standardisation.</w:t>
      </w:r>
      <w:r w:rsidR="006B0C07" w:rsidRPr="001A076D">
        <w:t xml:space="preserve"> As a result, current readiness models may underestimate the organisational friction associated with </w:t>
      </w:r>
      <w:r w:rsidR="00CA37CF" w:rsidRPr="001A076D">
        <w:t>adopting</w:t>
      </w:r>
      <w:r w:rsidR="000A4967" w:rsidRPr="001A076D">
        <w:t xml:space="preserve"> predictive analytics </w:t>
      </w:r>
      <w:r w:rsidR="006B0C07" w:rsidRPr="001A076D">
        <w:t>in regulated utility contexts.</w:t>
      </w:r>
    </w:p>
    <w:p w14:paraId="5B2BE944" w14:textId="3CE98484" w:rsidR="006B0C07" w:rsidRPr="001A076D" w:rsidRDefault="006B0C07" w:rsidP="006B0C07">
      <w:pPr>
        <w:pStyle w:val="NormalWeb"/>
        <w:spacing w:line="360" w:lineRule="auto"/>
        <w:jc w:val="both"/>
      </w:pPr>
      <w:r w:rsidRPr="001A076D">
        <w:t xml:space="preserve">A further gap concerns how predictive analytics insights are translated into executive decision-making. While quantitative studies demonstrate improvements in decision efficiency, </w:t>
      </w:r>
      <w:r w:rsidR="00CA0957" w:rsidRPr="001A076D">
        <w:t>a qualitative understanding of how senior leaders interpret, validate, and operationalise</w:t>
      </w:r>
      <w:r w:rsidRPr="001A076D">
        <w:t xml:space="preserve"> predictive insights remains limited. Zhu (2025) reports significant improvements in decision efficiency from AI-enabled systems, yet </w:t>
      </w:r>
      <w:proofErr w:type="spellStart"/>
      <w:r w:rsidRPr="001A076D">
        <w:t>Baihaqi</w:t>
      </w:r>
      <w:proofErr w:type="spellEnd"/>
      <w:r w:rsidRPr="001A076D">
        <w:t xml:space="preserve"> (2026) notes that executive adoption depends heavily on governance mechanisms and trust in analytics outputs. This suggests that </w:t>
      </w:r>
      <w:r w:rsidR="000A4967" w:rsidRPr="001A076D">
        <w:t xml:space="preserve">the adoption of predictive analytics </w:t>
      </w:r>
      <w:r w:rsidRPr="001A076D">
        <w:t xml:space="preserve">is not </w:t>
      </w:r>
      <w:r w:rsidR="00BB0C5F" w:rsidRPr="001A076D">
        <w:t>merely a technical challenge but also a socio-organi</w:t>
      </w:r>
      <w:r w:rsidR="008F4764" w:rsidRPr="001A076D">
        <w:t>s</w:t>
      </w:r>
      <w:r w:rsidR="00BB0C5F" w:rsidRPr="001A076D">
        <w:t>ational</w:t>
      </w:r>
      <w:r w:rsidR="00F85EBD" w:rsidRPr="001A076D">
        <w:t xml:space="preserve"> process shaped by leadership perceptions</w:t>
      </w:r>
      <w:r w:rsidRPr="001A076D">
        <w:t>, accountability structures, and governance maturity.</w:t>
      </w:r>
    </w:p>
    <w:p w14:paraId="3EA0B78F" w14:textId="0B5EC4D6" w:rsidR="006B0C07" w:rsidRPr="001A076D" w:rsidRDefault="006B0C07" w:rsidP="006B0C07">
      <w:pPr>
        <w:pStyle w:val="NormalWeb"/>
        <w:spacing w:line="360" w:lineRule="auto"/>
        <w:jc w:val="both"/>
      </w:pPr>
      <w:r w:rsidRPr="001A076D">
        <w:t xml:space="preserve">Longitudinal evidence on governance–analytics alignment under operational stress is also largely absent. Energy utilities operate in environments </w:t>
      </w:r>
      <w:r w:rsidR="00BB0C5F" w:rsidRPr="001A076D">
        <w:t>characterised by volatility, infrastructure risks</w:t>
      </w:r>
      <w:r w:rsidR="00F85EBD" w:rsidRPr="001A076D">
        <w:t xml:space="preserve">, and </w:t>
      </w:r>
      <w:r w:rsidR="00F85EBD" w:rsidRPr="001A076D">
        <w:lastRenderedPageBreak/>
        <w:t>regulatory changes</w:t>
      </w:r>
      <w:r w:rsidRPr="001A076D">
        <w:t xml:space="preserve">. Jackson et al. (2025) argue that </w:t>
      </w:r>
      <w:r w:rsidR="008E15C2" w:rsidRPr="001A076D">
        <w:t>organisational resilience emerges from the coupling of governance information, automation, and strategic alignment; however</w:t>
      </w:r>
      <w:r w:rsidR="00F85EBD" w:rsidRPr="001A076D">
        <w:t>,</w:t>
      </w:r>
      <w:r w:rsidRPr="001A076D">
        <w:t xml:space="preserve"> empirical work examining governance maturity and predictive analytics during operational disruptions remains limited. Similarly, Sami et al. (2026) explore AI adoption in energy companies but do not examine how governance structures sustain analytics-driven decision-making over time.</w:t>
      </w:r>
    </w:p>
    <w:p w14:paraId="36AECB55" w14:textId="400BC702" w:rsidR="006B0C07" w:rsidRPr="001A076D" w:rsidRDefault="006B0C07" w:rsidP="006B0C07">
      <w:pPr>
        <w:pStyle w:val="NormalWeb"/>
        <w:spacing w:line="360" w:lineRule="auto"/>
        <w:jc w:val="both"/>
      </w:pPr>
      <w:r w:rsidRPr="001A076D">
        <w:t xml:space="preserve">Another underexplored area concerns the integration of sustainability and ESG considerations into </w:t>
      </w:r>
      <w:r w:rsidR="00A01C5E" w:rsidRPr="001A076D">
        <w:t>the governance of predictive analytics</w:t>
      </w:r>
      <w:r w:rsidRPr="001A076D">
        <w:t xml:space="preserve">. </w:t>
      </w:r>
      <w:r w:rsidR="005749F0" w:rsidRPr="001A076D">
        <w:t xml:space="preserve">Energy </w:t>
      </w:r>
      <w:r w:rsidR="008E15C2" w:rsidRPr="001A076D">
        <w:t>organisations encounter regulatory pressure to support decarbonisation and sustainability objectives, but they seldom</w:t>
      </w:r>
      <w:r w:rsidR="005749F0" w:rsidRPr="001A076D">
        <w:t xml:space="preserve"> integrate predictive analytics and governance frameworks with ESG priorities.</w:t>
      </w:r>
      <w:r w:rsidRPr="001A076D">
        <w:t xml:space="preserve"> </w:t>
      </w:r>
      <w:proofErr w:type="spellStart"/>
      <w:r w:rsidRPr="001A076D">
        <w:t>Supriyono</w:t>
      </w:r>
      <w:proofErr w:type="spellEnd"/>
      <w:r w:rsidRPr="001A076D">
        <w:t xml:space="preserve"> et al. (2024) discuss sustainability governance in utility sectors, while </w:t>
      </w:r>
      <w:proofErr w:type="spellStart"/>
      <w:r w:rsidRPr="001A076D">
        <w:t>Atadoga</w:t>
      </w:r>
      <w:proofErr w:type="spellEnd"/>
      <w:r w:rsidRPr="001A076D">
        <w:t xml:space="preserve"> et al. (2024) examine analytics for renewable energy decision-making. However, </w:t>
      </w:r>
      <w:r w:rsidR="005749F0" w:rsidRPr="001A076D">
        <w:t>limited research links governance maturity, predictive analytics capability, and sustainability outcomes</w:t>
      </w:r>
      <w:r w:rsidRPr="001A076D">
        <w:t>, creating uncertainty about how analytics investments support energy transition goals.</w:t>
      </w:r>
    </w:p>
    <w:p w14:paraId="21531F8D" w14:textId="3BD5079B" w:rsidR="006B0C07" w:rsidRPr="001A076D" w:rsidRDefault="006B0C07" w:rsidP="00E976DA">
      <w:pPr>
        <w:pStyle w:val="NormalWeb"/>
        <w:spacing w:line="360" w:lineRule="auto"/>
        <w:jc w:val="both"/>
      </w:pPr>
      <w:r w:rsidRPr="001A076D">
        <w:t xml:space="preserve">Finally, data governance research often assumes centralised organisational structures, whereas utility companies operate across geographically dispersed assets and regional operations. </w:t>
      </w:r>
      <w:proofErr w:type="spellStart"/>
      <w:r w:rsidRPr="001A076D">
        <w:t>Agbodike</w:t>
      </w:r>
      <w:proofErr w:type="spellEnd"/>
      <w:r w:rsidRPr="001A076D">
        <w:t xml:space="preserve"> (2025) discusses advances in AI-driven data </w:t>
      </w:r>
      <w:r w:rsidR="00F85EBD" w:rsidRPr="001A076D">
        <w:t>governance but</w:t>
      </w:r>
      <w:r w:rsidRPr="001A076D">
        <w:t xml:space="preserve"> does not address distributed operational contexts. Similarly, Youssef, Ashfaque and Karunamurthy (2023) describe energy sector data infrastructure but </w:t>
      </w:r>
      <w:r w:rsidR="00A01C5E" w:rsidRPr="001A076D">
        <w:t>offer limited insight into the governance mechanisms that support</w:t>
      </w:r>
      <w:r w:rsidRPr="001A076D">
        <w:t xml:space="preserve"> predictive analytics across distributed organisations. </w:t>
      </w:r>
      <w:r w:rsidR="00FB59A1" w:rsidRPr="001A076D">
        <w:t>Large utilities particularly need to share predictive insights</w:t>
      </w:r>
      <w:r w:rsidRPr="001A076D">
        <w:t xml:space="preserve"> across operational, regional, and strategic decision-making levels.</w:t>
      </w:r>
    </w:p>
    <w:p w14:paraId="7FCB0D93" w14:textId="77777777" w:rsidR="00DB57F2" w:rsidRPr="001A076D" w:rsidRDefault="00DB57F2" w:rsidP="00DB57F2">
      <w:pPr>
        <w:pStyle w:val="NormalWeb"/>
        <w:spacing w:line="360" w:lineRule="auto"/>
        <w:jc w:val="both"/>
      </w:pPr>
      <w:r w:rsidRPr="001A076D">
        <w:t>This gap is especially important in regulated environments, where analytical outputs must be transparent, defensible, and auditable. Without governance-based legitimacy, predictive analytics is unlikely to move beyond an advisory role, regardless of its technical capability.</w:t>
      </w:r>
    </w:p>
    <w:p w14:paraId="55E4B846" w14:textId="7F046406" w:rsidR="00DB57F2" w:rsidRPr="001A076D" w:rsidRDefault="00DB57F2" w:rsidP="006B0C07">
      <w:pPr>
        <w:pStyle w:val="NormalWeb"/>
        <w:spacing w:line="360" w:lineRule="auto"/>
        <w:jc w:val="both"/>
      </w:pPr>
      <w:r w:rsidRPr="001A076D">
        <w:t xml:space="preserve">Overall, the literature treats predictive analytics readiness as fragmented rather than systemic. This study addresses that gap by examining how governance and explainability shape </w:t>
      </w:r>
      <w:r w:rsidR="00F85EBD" w:rsidRPr="001A076D">
        <w:t>trust and</w:t>
      </w:r>
      <w:r w:rsidRPr="001A076D">
        <w:t xml:space="preserve"> how trust, in turn, enables the strategic use of predictive analytics within a regulated UK energy context.</w:t>
      </w:r>
    </w:p>
    <w:p w14:paraId="1567261C" w14:textId="77777777" w:rsidR="00B022C6" w:rsidRPr="001A076D" w:rsidRDefault="00B022C6" w:rsidP="00B022C6">
      <w:pPr>
        <w:pStyle w:val="Heading2"/>
        <w:rPr>
          <w:rFonts w:ascii="Times New Roman" w:eastAsia="Times New Roman" w:hAnsi="Times New Roman" w:cs="Times New Roman"/>
          <w:b/>
          <w:bCs/>
          <w:color w:val="auto"/>
        </w:rPr>
      </w:pPr>
      <w:bookmarkStart w:id="35" w:name="_Toc236033347"/>
      <w:r w:rsidRPr="001A076D">
        <w:rPr>
          <w:rFonts w:ascii="Times New Roman" w:eastAsia="Times New Roman" w:hAnsi="Times New Roman" w:cs="Times New Roman"/>
          <w:b/>
          <w:bCs/>
          <w:color w:val="auto"/>
        </w:rPr>
        <w:t>2.9 Positioning of This Study and Link to Methodology</w:t>
      </w:r>
      <w:bookmarkEnd w:id="35"/>
    </w:p>
    <w:p w14:paraId="147F4A6B" w14:textId="32EC216D" w:rsidR="006D157D" w:rsidRPr="001A076D" w:rsidRDefault="006D157D" w:rsidP="00E976DA">
      <w:pPr>
        <w:pStyle w:val="NormalWeb"/>
        <w:spacing w:line="360" w:lineRule="auto"/>
        <w:jc w:val="both"/>
      </w:pPr>
      <w:r w:rsidRPr="001A076D">
        <w:t xml:space="preserve">Situated at the intersection of analytics strategy and data governance, this study </w:t>
      </w:r>
      <w:r w:rsidR="00A01C5E" w:rsidRPr="001A076D">
        <w:t>addresses</w:t>
      </w:r>
      <w:r w:rsidRPr="001A076D">
        <w:t xml:space="preserve"> gaps identified in the literature. Drawing on the DELTA model and selected DCAM domains, it frames predictive analytics readiness as a socio-technical and governance-driven phenomenon rather than </w:t>
      </w:r>
      <w:r w:rsidRPr="001A076D">
        <w:lastRenderedPageBreak/>
        <w:t xml:space="preserve">a purely technical capability. By focusing on the </w:t>
      </w:r>
      <w:r w:rsidR="00F85EBD" w:rsidRPr="001A076D">
        <w:t xml:space="preserve">UK's energy sector, the study </w:t>
      </w:r>
      <w:r w:rsidR="00BB0C5F" w:rsidRPr="001A076D">
        <w:t xml:space="preserve">recognises the combined influence of leadership, governance, culture, and regulation </w:t>
      </w:r>
      <w:r w:rsidR="00D2039B" w:rsidRPr="001A076D">
        <w:t>on</w:t>
      </w:r>
      <w:r w:rsidRPr="001A076D">
        <w:t xml:space="preserve"> strategic decision-making.</w:t>
      </w:r>
    </w:p>
    <w:p w14:paraId="7256AB9B" w14:textId="4DA5A2FF" w:rsidR="006D157D" w:rsidRPr="001A076D" w:rsidRDefault="006D157D" w:rsidP="00E976DA">
      <w:pPr>
        <w:pStyle w:val="NormalWeb"/>
        <w:spacing w:line="360" w:lineRule="auto"/>
        <w:jc w:val="both"/>
      </w:pPr>
      <w:r w:rsidRPr="001A076D">
        <w:t xml:space="preserve">Rather than proposing a new framework, the study empirically examines how these established concepts operate in practice within SSE </w:t>
      </w:r>
      <w:r w:rsidR="00277819" w:rsidRPr="001A076D">
        <w:t>plc</w:t>
      </w:r>
      <w:r w:rsidRPr="001A076D">
        <w:t xml:space="preserve">. It aims to generate context-specific </w:t>
      </w:r>
      <w:r w:rsidR="00D2039B" w:rsidRPr="001A076D">
        <w:t>insights</w:t>
      </w:r>
      <w:r w:rsidRPr="001A076D">
        <w:t xml:space="preserve"> into how governance maturity, leadership behaviours, and data quality shape executive trust in predictive analytics and influence its strategic use in a regulated </w:t>
      </w:r>
      <w:r w:rsidR="008D3278" w:rsidRPr="001A076D">
        <w:t>environment</w:t>
      </w:r>
      <w:r w:rsidRPr="001A076D">
        <w:t>.</w:t>
      </w:r>
    </w:p>
    <w:p w14:paraId="0A5112A1" w14:textId="10796AC0" w:rsidR="006D157D" w:rsidRPr="001A076D" w:rsidRDefault="006D157D" w:rsidP="00E976DA">
      <w:pPr>
        <w:pStyle w:val="NormalWeb"/>
        <w:spacing w:line="360" w:lineRule="auto"/>
        <w:jc w:val="both"/>
      </w:pPr>
      <w:r w:rsidRPr="001A076D">
        <w:t xml:space="preserve">These gaps justify a </w:t>
      </w:r>
      <w:proofErr w:type="gramStart"/>
      <w:r w:rsidR="00D2039B" w:rsidRPr="001A076D">
        <w:t>mixed-method</w:t>
      </w:r>
      <w:proofErr w:type="gramEnd"/>
      <w:r w:rsidRPr="001A076D">
        <w:t xml:space="preserve"> approach capable of capturing both formal governance structures and lived </w:t>
      </w:r>
      <w:r w:rsidR="00F85EBD" w:rsidRPr="001A076D">
        <w:t>organisational experiences</w:t>
      </w:r>
      <w:r w:rsidRPr="001A076D">
        <w:t>. The following chapter outlines this methodology and explains how it addresses the theoretical and empirical limitations identified in the literature.</w:t>
      </w:r>
    </w:p>
    <w:p w14:paraId="77A54AC2" w14:textId="49D0194D" w:rsidR="00F30122" w:rsidRPr="001A076D" w:rsidRDefault="00F30122" w:rsidP="00E976DA">
      <w:pPr>
        <w:pStyle w:val="Heading2"/>
        <w:spacing w:line="360" w:lineRule="auto"/>
        <w:rPr>
          <w:rFonts w:ascii="Times New Roman" w:hAnsi="Times New Roman" w:cs="Times New Roman"/>
          <w:color w:val="auto"/>
        </w:rPr>
      </w:pPr>
      <w:bookmarkStart w:id="36" w:name="_Toc236033348"/>
      <w:r w:rsidRPr="001A076D">
        <w:rPr>
          <w:rStyle w:val="Strong"/>
          <w:rFonts w:ascii="Times New Roman" w:hAnsi="Times New Roman" w:cs="Times New Roman"/>
          <w:color w:val="auto"/>
        </w:rPr>
        <w:t>2.10 Critical Comparison of Analytics Capability and Governance Frameworks</w:t>
      </w:r>
      <w:bookmarkEnd w:id="36"/>
    </w:p>
    <w:p w14:paraId="6BDB06CE" w14:textId="765F465E" w:rsidR="006D157D" w:rsidRPr="001A076D" w:rsidRDefault="006D157D" w:rsidP="00E976DA">
      <w:pPr>
        <w:pStyle w:val="NormalWeb"/>
        <w:spacing w:line="360" w:lineRule="auto"/>
        <w:jc w:val="both"/>
      </w:pPr>
      <w:r w:rsidRPr="001A076D">
        <w:t xml:space="preserve">The literature on predictive analytics adoption generally falls into two strands: analytics capability development and data governance maturity. </w:t>
      </w:r>
      <w:r w:rsidR="00BB0C5F" w:rsidRPr="001A076D">
        <w:t>Both offer valuable perspectives, but they are often treated separately, which limits our understanding of how organisations embed analytics in strategic decision-making.</w:t>
      </w:r>
    </w:p>
    <w:p w14:paraId="0420EDA6" w14:textId="5DEEC4FF" w:rsidR="005543E6" w:rsidRPr="001A076D" w:rsidRDefault="005543E6" w:rsidP="00E976DA">
      <w:pPr>
        <w:pStyle w:val="NormalWeb"/>
        <w:spacing w:line="360" w:lineRule="auto"/>
        <w:jc w:val="both"/>
      </w:pPr>
      <w:r w:rsidRPr="001A076D">
        <w:t>The DELTA framework (Davenport, Harris and Morison, 2010) highlights key organisational capabilities required for analytics adoption, particularly leadership, skills, and enterprise-wide alignment.</w:t>
      </w:r>
    </w:p>
    <w:p w14:paraId="57038DCA" w14:textId="4CFEA344" w:rsidR="005543E6" w:rsidRPr="001A076D" w:rsidRDefault="005543E6" w:rsidP="00E976DA">
      <w:pPr>
        <w:pStyle w:val="NormalWeb"/>
        <w:spacing w:line="360" w:lineRule="auto"/>
        <w:jc w:val="both"/>
      </w:pPr>
      <w:r w:rsidRPr="001A076D">
        <w:t>In contrast, the Data Management Capability Assessment Model (DCAM) focuses on governance maturity, particularly data ownership, quality, and accountability structures (EDM Council, 2020).</w:t>
      </w:r>
    </w:p>
    <w:p w14:paraId="41A99EB3" w14:textId="7287F42D" w:rsidR="00EC68CC" w:rsidRPr="001A076D" w:rsidRDefault="00EC68CC" w:rsidP="00E976DA">
      <w:pPr>
        <w:pStyle w:val="NormalWeb"/>
        <w:spacing w:line="360" w:lineRule="auto"/>
        <w:jc w:val="both"/>
      </w:pPr>
      <w:r w:rsidRPr="001A076D">
        <w:t xml:space="preserve">This distinction highlights a fundamental tension within the literature. While </w:t>
      </w:r>
      <w:r w:rsidR="00F85EBD" w:rsidRPr="001A076D">
        <w:t>analytical capability frameworks emphasise innovation, agility, and insight generation, governance frameworks prioritise</w:t>
      </w:r>
      <w:r w:rsidRPr="001A076D">
        <w:t xml:space="preserve"> control, accountability, and risk mitigation. This </w:t>
      </w:r>
      <w:r w:rsidR="00CA37CF" w:rsidRPr="001A076D">
        <w:t>raises an unresolved question about</w:t>
      </w:r>
      <w:r w:rsidRPr="001A076D">
        <w:t xml:space="preserve"> whether governance structures act as enablers or constraints on analytics-driven decision-making, particularly in regulated environments.</w:t>
      </w:r>
    </w:p>
    <w:p w14:paraId="0D519F0A" w14:textId="4B95FD97" w:rsidR="006D157D" w:rsidRPr="001A076D" w:rsidRDefault="006D157D" w:rsidP="00E976DA">
      <w:pPr>
        <w:pStyle w:val="NormalWeb"/>
        <w:spacing w:line="360" w:lineRule="auto"/>
        <w:jc w:val="both"/>
      </w:pPr>
      <w:r w:rsidRPr="001A076D">
        <w:t xml:space="preserve">Similarly, the DAMA-DMBOK framework provides a comprehensive reference for data management practices, including governance, metadata, and quality (DAMA International, 2017). </w:t>
      </w:r>
      <w:r w:rsidRPr="001A076D">
        <w:lastRenderedPageBreak/>
        <w:t xml:space="preserve">However, it does not explicitly address the organisational and cultural dimensions required for </w:t>
      </w:r>
      <w:r w:rsidR="00730C97" w:rsidRPr="001A076D">
        <w:t>the adoption of predictive analytics</w:t>
      </w:r>
      <w:r w:rsidRPr="001A076D">
        <w:t>.</w:t>
      </w:r>
    </w:p>
    <w:p w14:paraId="0F4F015A" w14:textId="54C08FFB" w:rsidR="006D157D" w:rsidRPr="001A076D" w:rsidRDefault="006D157D" w:rsidP="00E976DA">
      <w:pPr>
        <w:pStyle w:val="NormalWeb"/>
        <w:spacing w:line="360" w:lineRule="auto"/>
        <w:jc w:val="both"/>
      </w:pPr>
      <w:r w:rsidRPr="001A076D">
        <w:t xml:space="preserve">Taken together, these frameworks highlight a key tension: </w:t>
      </w:r>
      <w:r w:rsidR="008E15C2" w:rsidRPr="001A076D">
        <w:t>Analytics' capabilities prioritise innovation and insight generation, whereas governance frameworks emphasise control and accountability.</w:t>
      </w:r>
      <w:r w:rsidRPr="001A076D">
        <w:t xml:space="preserve"> In practice, both are necessary. Strong analytics without governance can undermine trust, while strong governance without analytics can limit strategic value.</w:t>
      </w:r>
    </w:p>
    <w:p w14:paraId="63AC62F0" w14:textId="59556451" w:rsidR="00EC68CC" w:rsidRPr="001A076D" w:rsidRDefault="00EC68CC" w:rsidP="00E976DA">
      <w:pPr>
        <w:pStyle w:val="NormalWeb"/>
        <w:spacing w:line="360" w:lineRule="auto"/>
        <w:jc w:val="both"/>
      </w:pPr>
      <w:r w:rsidRPr="001A076D">
        <w:t xml:space="preserve">Overall, the literature suggests that neither analytics capability nor governance maturity alone is sufficient to ensure strategic embedding. However, the interaction between these </w:t>
      </w:r>
      <w:r w:rsidR="00761159" w:rsidRPr="001A076D">
        <w:t>dimensions,</w:t>
      </w:r>
      <w:r w:rsidRPr="001A076D">
        <w:t xml:space="preserve"> particularly through the mediating role of executive </w:t>
      </w:r>
      <w:r w:rsidR="00761159" w:rsidRPr="001A076D">
        <w:t>trust,</w:t>
      </w:r>
      <w:r w:rsidRPr="001A076D">
        <w:t xml:space="preserve"> remains insufficiently explored. This gap </w:t>
      </w:r>
      <w:r w:rsidR="00BB0C5F" w:rsidRPr="001A076D">
        <w:t>highlights</w:t>
      </w:r>
      <w:r w:rsidR="00761159" w:rsidRPr="001A076D">
        <w:t xml:space="preserve"> the necessity of</w:t>
      </w:r>
      <w:r w:rsidRPr="001A076D">
        <w:t xml:space="preserve"> an integrated analytical approach.</w:t>
      </w:r>
    </w:p>
    <w:p w14:paraId="64F38E71" w14:textId="4CBACED3" w:rsidR="006D157D" w:rsidRPr="001A076D" w:rsidRDefault="006D157D" w:rsidP="00E976DA">
      <w:pPr>
        <w:pStyle w:val="NormalWeb"/>
        <w:spacing w:line="360" w:lineRule="auto"/>
        <w:jc w:val="both"/>
      </w:pPr>
      <w:r w:rsidRPr="001A076D">
        <w:t>This study</w:t>
      </w:r>
      <w:r w:rsidR="00C95B16" w:rsidRPr="001A076D">
        <w:t>, therefore,</w:t>
      </w:r>
      <w:r w:rsidRPr="001A076D">
        <w:t xml:space="preserve"> adopts an integrated perspective</w:t>
      </w:r>
      <w:r w:rsidR="00C95B16" w:rsidRPr="001A076D">
        <w:t xml:space="preserve"> that combines</w:t>
      </w:r>
      <w:r w:rsidRPr="001A076D">
        <w:t xml:space="preserve"> the capability focus of DELTA with the governance lens of DCAM. </w:t>
      </w:r>
      <w:r w:rsidR="00761159" w:rsidRPr="001A076D">
        <w:t xml:space="preserve">This approach offers a more comprehensive foundation for </w:t>
      </w:r>
      <w:r w:rsidR="00C95B16" w:rsidRPr="001A076D">
        <w:t xml:space="preserve">understanding the effective integration of predictive analytics </w:t>
      </w:r>
      <w:r w:rsidR="00D2039B" w:rsidRPr="001A076D">
        <w:t>into</w:t>
      </w:r>
      <w:r w:rsidR="008E15C2" w:rsidRPr="001A076D">
        <w:t xml:space="preserve"> strategic decision-making within regulated organisations</w:t>
      </w:r>
      <w:r w:rsidR="00C95B16" w:rsidRPr="001A076D">
        <w:t xml:space="preserve"> such as</w:t>
      </w:r>
      <w:r w:rsidR="00761159" w:rsidRPr="001A076D">
        <w:t xml:space="preserve"> SSE </w:t>
      </w:r>
      <w:r w:rsidR="00277819" w:rsidRPr="001A076D">
        <w:t>plc</w:t>
      </w:r>
      <w:r w:rsidR="00761159" w:rsidRPr="001A076D">
        <w:t>.</w:t>
      </w:r>
    </w:p>
    <w:p w14:paraId="60D60E3F" w14:textId="4E4AE3FA" w:rsidR="00B022C6" w:rsidRPr="001A076D" w:rsidRDefault="00B022C6" w:rsidP="00B022C6">
      <w:pPr>
        <w:pStyle w:val="Heading2"/>
        <w:rPr>
          <w:rFonts w:ascii="Times New Roman" w:hAnsi="Times New Roman" w:cs="Times New Roman"/>
          <w:color w:val="auto"/>
        </w:rPr>
      </w:pPr>
      <w:bookmarkStart w:id="37" w:name="_Toc236033349"/>
      <w:r w:rsidRPr="001A076D">
        <w:rPr>
          <w:rStyle w:val="Strong"/>
          <w:rFonts w:ascii="Times New Roman" w:hAnsi="Times New Roman" w:cs="Times New Roman"/>
          <w:color w:val="auto"/>
        </w:rPr>
        <w:t>2.1</w:t>
      </w:r>
      <w:r w:rsidR="00F30122" w:rsidRPr="001A076D">
        <w:rPr>
          <w:rStyle w:val="Strong"/>
          <w:rFonts w:ascii="Times New Roman" w:hAnsi="Times New Roman" w:cs="Times New Roman"/>
          <w:color w:val="auto"/>
        </w:rPr>
        <w:t>1</w:t>
      </w:r>
      <w:r w:rsidRPr="001A076D">
        <w:rPr>
          <w:rStyle w:val="Strong"/>
          <w:rFonts w:ascii="Times New Roman" w:hAnsi="Times New Roman" w:cs="Times New Roman"/>
          <w:color w:val="auto"/>
        </w:rPr>
        <w:t xml:space="preserve"> Chapter Summary and Link to Research Methodology</w:t>
      </w:r>
      <w:bookmarkEnd w:id="37"/>
    </w:p>
    <w:p w14:paraId="5347BFCA" w14:textId="505AB77C" w:rsidR="006D157D" w:rsidRPr="001A076D" w:rsidRDefault="006D157D" w:rsidP="00E976DA">
      <w:pPr>
        <w:pStyle w:val="NormalWeb"/>
        <w:spacing w:line="360" w:lineRule="auto"/>
        <w:jc w:val="both"/>
      </w:pPr>
      <w:r w:rsidRPr="001A076D">
        <w:t xml:space="preserve">This chapter </w:t>
      </w:r>
      <w:r w:rsidR="00BB0C5F" w:rsidRPr="001A076D">
        <w:t>reviews the literature on predictive analytics in strategic decision-making, with a particular focus on organisational</w:t>
      </w:r>
      <w:r w:rsidRPr="001A076D">
        <w:t xml:space="preserve"> readiness, data governance, and the regulatory context of the UK energy sector. </w:t>
      </w:r>
      <w:r w:rsidR="00781F42" w:rsidRPr="001A076D">
        <w:t>Successful adoption relies</w:t>
      </w:r>
      <w:r w:rsidR="00761159" w:rsidRPr="001A076D">
        <w:t xml:space="preserve"> not only on technical </w:t>
      </w:r>
      <w:r w:rsidR="008E15C2" w:rsidRPr="001A076D">
        <w:t>capabilities but</w:t>
      </w:r>
      <w:r w:rsidR="00BB0C5F" w:rsidRPr="001A076D">
        <w:t xml:space="preserve"> also on leadership alignment, data quality, organisational</w:t>
      </w:r>
      <w:r w:rsidR="00761159" w:rsidRPr="001A076D">
        <w:t xml:space="preserve"> processes, and governance maturity.</w:t>
      </w:r>
    </w:p>
    <w:p w14:paraId="02958287" w14:textId="1B4B79EC" w:rsidR="006D157D" w:rsidRPr="001A076D" w:rsidRDefault="006D157D" w:rsidP="00E976DA">
      <w:pPr>
        <w:pStyle w:val="NormalWeb"/>
        <w:spacing w:line="360" w:lineRule="auto"/>
        <w:jc w:val="both"/>
      </w:pPr>
      <w:r w:rsidRPr="001A076D">
        <w:t xml:space="preserve">The review further highlights that predictive analytics operates under distinct conditions in regulated environments, where transparency, accountability, and public trust shape how insights are generated and used. </w:t>
      </w:r>
      <w:r w:rsidR="00781F42" w:rsidRPr="001A076D">
        <w:t xml:space="preserve">Despite </w:t>
      </w:r>
      <w:r w:rsidR="00972AD1" w:rsidRPr="001A076D">
        <w:t xml:space="preserve">growing interest in adopting analytics, empirical research in sectors such as the UK energy sector </w:t>
      </w:r>
      <w:r w:rsidR="00781F42" w:rsidRPr="001A076D">
        <w:t>remains limited, and strategic and governance perspectives rarely integrate.</w:t>
      </w:r>
      <w:r w:rsidRPr="001A076D">
        <w:t xml:space="preserve"> In particular, the relationship between governance maturity and executive trust remains underexplored.</w:t>
      </w:r>
    </w:p>
    <w:p w14:paraId="23C6947A" w14:textId="7B8CECAA" w:rsidR="00E976DA" w:rsidRPr="001A076D" w:rsidRDefault="006D157D" w:rsidP="00E976DA">
      <w:pPr>
        <w:pStyle w:val="NormalWeb"/>
        <w:spacing w:line="360" w:lineRule="auto"/>
        <w:jc w:val="both"/>
      </w:pPr>
      <w:r w:rsidRPr="001A076D">
        <w:t xml:space="preserve">To address these gaps, the next chapter sets out the research methodology. Chapter 3 outlines the philosophical stance, research design, and methods adopted, justifying a mixed-methods case study of SSE </w:t>
      </w:r>
      <w:r w:rsidR="00277819" w:rsidRPr="001A076D">
        <w:t>plc</w:t>
      </w:r>
      <w:r w:rsidRPr="001A076D">
        <w:t xml:space="preserve">. This approach enables a detailed examination of how governance maturity influences executive trust in predictive analytics and </w:t>
      </w:r>
      <w:r w:rsidR="008E15C2" w:rsidRPr="001A076D">
        <w:t>its role</w:t>
      </w:r>
      <w:r w:rsidR="00730C97" w:rsidRPr="001A076D">
        <w:t xml:space="preserve"> </w:t>
      </w:r>
      <w:r w:rsidRPr="001A076D">
        <w:t>in strategic decision-making.</w:t>
      </w:r>
    </w:p>
    <w:p w14:paraId="4A50938F" w14:textId="77777777" w:rsidR="00B022C6" w:rsidRPr="001A076D" w:rsidRDefault="00B022C6" w:rsidP="009E04EF">
      <w:pPr>
        <w:pStyle w:val="Heading1"/>
        <w:jc w:val="center"/>
        <w:rPr>
          <w:rFonts w:ascii="Times New Roman" w:hAnsi="Times New Roman" w:cs="Times New Roman"/>
          <w:b/>
          <w:bCs/>
          <w:color w:val="auto"/>
        </w:rPr>
      </w:pPr>
      <w:bookmarkStart w:id="38" w:name="_Toc223079739"/>
      <w:bookmarkStart w:id="39" w:name="_Toc236033350"/>
      <w:bookmarkEnd w:id="28"/>
      <w:r w:rsidRPr="001A076D">
        <w:rPr>
          <w:rFonts w:ascii="Times New Roman" w:hAnsi="Times New Roman" w:cs="Times New Roman"/>
          <w:b/>
          <w:bCs/>
          <w:color w:val="auto"/>
        </w:rPr>
        <w:lastRenderedPageBreak/>
        <w:t>Chapter 3: Research Methodology</w:t>
      </w:r>
      <w:bookmarkEnd w:id="38"/>
      <w:bookmarkEnd w:id="39"/>
    </w:p>
    <w:p w14:paraId="24D592F8" w14:textId="77777777" w:rsidR="00B022C6" w:rsidRPr="001A076D" w:rsidRDefault="00B022C6" w:rsidP="00B022C6">
      <w:pPr>
        <w:pStyle w:val="Heading2"/>
        <w:rPr>
          <w:rFonts w:ascii="Times New Roman" w:hAnsi="Times New Roman" w:cs="Times New Roman"/>
          <w:b/>
          <w:bCs/>
          <w:color w:val="auto"/>
        </w:rPr>
      </w:pPr>
      <w:bookmarkStart w:id="40" w:name="_Toc223079740"/>
      <w:bookmarkStart w:id="41" w:name="_Toc236033351"/>
      <w:r w:rsidRPr="001A076D">
        <w:rPr>
          <w:rFonts w:ascii="Times New Roman" w:hAnsi="Times New Roman" w:cs="Times New Roman"/>
          <w:b/>
          <w:bCs/>
          <w:color w:val="auto"/>
        </w:rPr>
        <w:t>3.1 Introduction</w:t>
      </w:r>
      <w:bookmarkEnd w:id="40"/>
      <w:bookmarkEnd w:id="41"/>
    </w:p>
    <w:p w14:paraId="44D2115A" w14:textId="7279ACE7" w:rsidR="002C24AF" w:rsidRPr="001A076D" w:rsidRDefault="00BB5CDD" w:rsidP="00E976DA">
      <w:pPr>
        <w:spacing w:before="100" w:beforeAutospacing="1" w:after="100" w:afterAutospacing="1" w:line="360" w:lineRule="auto"/>
        <w:jc w:val="both"/>
      </w:pPr>
      <w:r w:rsidRPr="001A076D">
        <w:t xml:space="preserve">This chapter explains how the study was designed and conducted to examine predictive analytics readiness </w:t>
      </w:r>
      <w:r w:rsidR="00F9123C" w:rsidRPr="001A076D">
        <w:t xml:space="preserve">within SSE </w:t>
      </w:r>
      <w:r w:rsidR="00277819" w:rsidRPr="001A076D">
        <w:t>plc</w:t>
      </w:r>
      <w:r w:rsidR="00F9123C" w:rsidRPr="001A076D">
        <w:t xml:space="preserve">, with particular attention to the relationship between governance maturity and executive trust in analytics-enabled strategic decision-making. </w:t>
      </w:r>
      <w:r w:rsidR="002C24AF" w:rsidRPr="001A076D">
        <w:t xml:space="preserve">This chapter outlines and justifies the research design, demonstrating alignment </w:t>
      </w:r>
      <w:r w:rsidR="00972AD1" w:rsidRPr="001A076D">
        <w:t>among the research problem, theoretical framework, and methods</w:t>
      </w:r>
      <w:r w:rsidR="002C24AF" w:rsidRPr="001A076D">
        <w:t>.</w:t>
      </w:r>
    </w:p>
    <w:p w14:paraId="6CC09898" w14:textId="24775A81" w:rsidR="00B022C6" w:rsidRPr="001A076D" w:rsidRDefault="00B022C6" w:rsidP="00E976DA">
      <w:pPr>
        <w:spacing w:before="100" w:beforeAutospacing="1" w:after="100" w:afterAutospacing="1" w:line="360" w:lineRule="auto"/>
        <w:jc w:val="both"/>
      </w:pPr>
      <w:r w:rsidRPr="001A076D">
        <w:t xml:space="preserve">Chapter 2 identified a conceptual and empirical gap in the literature. Predictive analytics readiness is often discussed as a question of infrastructure, modelling sophistication, or analytical skills. In other streams of research, attention shifts toward leadership visions, organisational cultures, </w:t>
      </w:r>
      <w:r w:rsidR="00791786" w:rsidRPr="001A076D">
        <w:t>and digital transformation narratives.</w:t>
      </w:r>
      <w:r w:rsidRPr="001A076D">
        <w:t xml:space="preserve"> </w:t>
      </w:r>
      <w:r w:rsidR="00F9123C" w:rsidRPr="001A076D">
        <w:t>What remains underexplored, particularly in regulated infrastructure sectors such as energy, is how governance maturity shapes executive trust in predictive analytics outputs</w:t>
      </w:r>
      <w:r w:rsidRPr="001A076D">
        <w:t>. Trust is rarely automatic. It emerges within institutional contexts shaped by risk management obligations, regulatory oversight, and accountability structures. Without trust, even technically robust analytics may fail to influence strategic decision-making.</w:t>
      </w:r>
    </w:p>
    <w:p w14:paraId="33AADF21" w14:textId="6EC20A7A" w:rsidR="00B022C6" w:rsidRPr="001A076D" w:rsidRDefault="006B2551" w:rsidP="00E976DA">
      <w:pPr>
        <w:spacing w:before="100" w:beforeAutospacing="1" w:after="100" w:afterAutospacing="1" w:line="360" w:lineRule="auto"/>
        <w:jc w:val="both"/>
      </w:pPr>
      <w:r w:rsidRPr="001A076D">
        <w:t xml:space="preserve">Addressing this gap requires a research design capable of simultaneously examining multiple dimensions, including structural governance arrangements, perceived capabilities, organisational culture, and </w:t>
      </w:r>
      <w:r w:rsidR="00D2039B" w:rsidRPr="001A076D">
        <w:t>executive interpretations.</w:t>
      </w:r>
      <w:r w:rsidR="00F9123C" w:rsidRPr="001A076D">
        <w:t xml:space="preserve"> </w:t>
      </w:r>
      <w:r w:rsidR="00B022C6" w:rsidRPr="001A076D">
        <w:t xml:space="preserve">A purely quantitative design would have provided breadth but limited contextual depth. A purely qualitative design would have allowed </w:t>
      </w:r>
      <w:r w:rsidR="00972AD1" w:rsidRPr="001A076D">
        <w:t xml:space="preserve">for rich </w:t>
      </w:r>
      <w:r w:rsidRPr="001A076D">
        <w:t>exploration, but it would have made it difficult to identify organization</w:t>
      </w:r>
      <w:r w:rsidR="00B022C6" w:rsidRPr="001A076D">
        <w:t>-wide patterns. For this reason, the study adopted a mixed-methods case study strategy grounded in a pragmatic philosophical orientation.</w:t>
      </w:r>
    </w:p>
    <w:p w14:paraId="3D3EBBA5" w14:textId="77777777" w:rsidR="00B022C6" w:rsidRPr="001A076D" w:rsidRDefault="00B022C6" w:rsidP="00E976DA">
      <w:pPr>
        <w:spacing w:before="100" w:beforeAutospacing="1" w:after="100" w:afterAutospacing="1" w:line="360" w:lineRule="auto"/>
        <w:jc w:val="both"/>
      </w:pPr>
      <w:r w:rsidRPr="001A076D">
        <w:t xml:space="preserve">This chapter outlines the philosophical assumptions that underpin the research, explains the rationale for the combined deductive–inductive approach, justifies the case study strategy, details the operationalisation of the DELTA and DCAM frameworks in instrument design, discusses sampling decisions and their defence in the literature, describes data collection and recording procedures, outlines analytical techniques, presents the integration strategy, addresses positionality and reflexivity, and reviews ethical safeguards. </w:t>
      </w:r>
    </w:p>
    <w:p w14:paraId="36479056" w14:textId="02ED00A6" w:rsidR="00EC68CC" w:rsidRPr="001A076D" w:rsidRDefault="00B67FFC" w:rsidP="00E976DA">
      <w:pPr>
        <w:spacing w:before="100" w:beforeAutospacing="1" w:after="100" w:afterAutospacing="1" w:line="360" w:lineRule="auto"/>
        <w:jc w:val="both"/>
      </w:pPr>
      <w:r w:rsidRPr="001A076D">
        <w:t xml:space="preserve">A mixed-methods approach was chosen to capture both measurable relationships and the </w:t>
      </w:r>
      <w:r w:rsidR="00761159" w:rsidRPr="001A076D">
        <w:t>organisational context in which they</w:t>
      </w:r>
      <w:r w:rsidRPr="001A076D">
        <w:t xml:space="preserve"> operate</w:t>
      </w:r>
      <w:r w:rsidR="00EC68CC" w:rsidRPr="001A076D">
        <w:t xml:space="preserve">. </w:t>
      </w:r>
      <w:r w:rsidR="00761159" w:rsidRPr="001A076D">
        <w:t xml:space="preserve">Quantitative analysis facilitates hypothesis testing, while qualitative insights enrich our understanding of governance and trust </w:t>
      </w:r>
      <w:r w:rsidR="00BB0C5F" w:rsidRPr="001A076D">
        <w:t>in organisational</w:t>
      </w:r>
      <w:r w:rsidR="00761159" w:rsidRPr="001A076D">
        <w:t xml:space="preserve"> settings.</w:t>
      </w:r>
      <w:r w:rsidR="00035E36" w:rsidRPr="001A076D">
        <w:t xml:space="preserve"> The complete survey instrument is provided in Appendix 3.</w:t>
      </w:r>
    </w:p>
    <w:p w14:paraId="2AB18DCC" w14:textId="77777777" w:rsidR="00B022C6" w:rsidRPr="001A076D" w:rsidRDefault="00B022C6" w:rsidP="00B022C6">
      <w:pPr>
        <w:pStyle w:val="Heading2"/>
        <w:rPr>
          <w:rFonts w:ascii="Times New Roman" w:hAnsi="Times New Roman" w:cs="Times New Roman"/>
          <w:b/>
          <w:bCs/>
          <w:color w:val="auto"/>
        </w:rPr>
      </w:pPr>
      <w:bookmarkStart w:id="42" w:name="_Toc223079741"/>
      <w:bookmarkStart w:id="43" w:name="_Toc236033352"/>
      <w:r w:rsidRPr="001A076D">
        <w:rPr>
          <w:rFonts w:ascii="Times New Roman" w:hAnsi="Times New Roman" w:cs="Times New Roman"/>
          <w:b/>
          <w:bCs/>
          <w:color w:val="auto"/>
        </w:rPr>
        <w:lastRenderedPageBreak/>
        <w:t>3.2 Research Philosophy and Epistemological Positioning</w:t>
      </w:r>
      <w:bookmarkEnd w:id="42"/>
      <w:bookmarkEnd w:id="43"/>
    </w:p>
    <w:p w14:paraId="4A2173B1" w14:textId="1F957ADB" w:rsidR="00D74C29" w:rsidRPr="001A076D" w:rsidRDefault="00276EE8" w:rsidP="00E976DA">
      <w:pPr>
        <w:pStyle w:val="NormalWeb"/>
        <w:spacing w:line="360" w:lineRule="auto"/>
        <w:jc w:val="both"/>
      </w:pPr>
      <w:r w:rsidRPr="001A076D">
        <w:t xml:space="preserve">The methodological choices in this study are shaped by underlying assumptions about reality, knowledge, and the relationship between the researcher and the subject of inquiry </w:t>
      </w:r>
      <w:r w:rsidR="00D74C29" w:rsidRPr="001A076D">
        <w:t xml:space="preserve">(Saunders, Lewis and Thornhill, 2019; Saunders et al., 2023). Within this framework, the study adopts a </w:t>
      </w:r>
      <w:r w:rsidR="00D74C29" w:rsidRPr="001A076D">
        <w:rPr>
          <w:rStyle w:val="Strong"/>
          <w:b w:val="0"/>
          <w:bCs w:val="0"/>
        </w:rPr>
        <w:t>pragmatic research philosophy</w:t>
      </w:r>
      <w:r w:rsidR="00D74C29" w:rsidRPr="001A076D">
        <w:rPr>
          <w:b/>
          <w:bCs/>
        </w:rPr>
        <w:t>.</w:t>
      </w:r>
    </w:p>
    <w:p w14:paraId="00602B91" w14:textId="4284B960" w:rsidR="00D74C29" w:rsidRPr="001A076D" w:rsidRDefault="00781F42" w:rsidP="00E976DA">
      <w:pPr>
        <w:pStyle w:val="NormalWeb"/>
        <w:spacing w:line="360" w:lineRule="auto"/>
        <w:jc w:val="both"/>
      </w:pPr>
      <w:r w:rsidRPr="001A076D">
        <w:t>This research is well-suited to pragmatism, as it cannot fully understand the embedding of predictive analytics in strategic decision-making through a single methodological lens.</w:t>
      </w:r>
      <w:r w:rsidR="00276EE8" w:rsidRPr="001A076D">
        <w:t xml:space="preserve"> </w:t>
      </w:r>
      <w:r w:rsidR="00D74C29" w:rsidRPr="001A076D">
        <w:t xml:space="preserve">On one side, governance structures within SSE </w:t>
      </w:r>
      <w:r w:rsidR="00277819" w:rsidRPr="001A076D">
        <w:t>plc</w:t>
      </w:r>
      <w:r w:rsidR="00D74C29" w:rsidRPr="001A076D">
        <w:t xml:space="preserve">, including data policies, stewardship frameworks, and regulatory controls, exist as tangible organisational artefacts that can be observed and assessed. On the </w:t>
      </w:r>
      <w:r w:rsidR="00761159" w:rsidRPr="001A076D">
        <w:t>other hand, executive trust in analytics is shaped by experience, judgement, and organisational</w:t>
      </w:r>
      <w:r w:rsidR="00D74C29" w:rsidRPr="001A076D">
        <w:t xml:space="preserve"> context, making it something that must be interpreted as well as measured.</w:t>
      </w:r>
    </w:p>
    <w:p w14:paraId="0473FA20" w14:textId="1BB2E31D" w:rsidR="00D74C29" w:rsidRPr="001A076D" w:rsidRDefault="00D74C29" w:rsidP="00E976DA">
      <w:pPr>
        <w:pStyle w:val="NormalWeb"/>
        <w:spacing w:line="360" w:lineRule="auto"/>
        <w:jc w:val="both"/>
      </w:pPr>
      <w:r w:rsidRPr="001A076D">
        <w:t xml:space="preserve">A pragmatic approach allows these two perspectives to be considered together. It supports </w:t>
      </w:r>
      <w:r w:rsidR="00573AC9" w:rsidRPr="001A076D">
        <w:t>integrating quantitative and qualitative evidence, focusing on what is most useful for</w:t>
      </w:r>
      <w:r w:rsidRPr="001A076D">
        <w:t xml:space="preserve"> addressing the research problem rather than adhering to a single philosophical position (Creswell and Creswell, 2018). As Morgan (2014) suggests, this is particularly appropriate in organisational settings, where outcomes are influenced by both formal structures and human interpretation.</w:t>
      </w:r>
    </w:p>
    <w:p w14:paraId="4D41FAD5" w14:textId="71056E41" w:rsidR="00F26AAD" w:rsidRPr="001A076D" w:rsidRDefault="00F26AAD" w:rsidP="00F26AAD">
      <w:pPr>
        <w:pStyle w:val="NormalWeb"/>
        <w:spacing w:line="360" w:lineRule="auto"/>
        <w:jc w:val="both"/>
      </w:pPr>
      <w:r w:rsidRPr="001A076D">
        <w:t>Within this study, the quantitative phase enabled the statistical examination of relationships among governance maturity, organisational readiness, explainability and the strategic adoption of predictive analytics, while the qualitative phase provided richer insights into participants' experiences, interpretations and organisational contexts. Combining both forms of evidence strengthened the overall understanding of the phenomenon by allowing statistical patterns to be interpreted alongside participants' perspectives. Consequently, the sequential explanatory mixed-methods design was considered the most appropriate methodological approach for addressing the study's research objectives.</w:t>
      </w:r>
    </w:p>
    <w:p w14:paraId="5814232D" w14:textId="4709B284" w:rsidR="00D74C29" w:rsidRPr="001A076D" w:rsidRDefault="00692581" w:rsidP="00547268">
      <w:pPr>
        <w:pStyle w:val="NormalWeb"/>
        <w:spacing w:line="360" w:lineRule="auto"/>
        <w:jc w:val="both"/>
      </w:pPr>
      <w:r w:rsidRPr="001A076D">
        <w:t xml:space="preserve">This philosophical position is also consistent with the applied orientation of the DELTA framework (Davenport, Harris, &amp; Morison, 2010) and the Data Management Capability Assessment Model (DCAM) developed by the EDM Council (2020). Both frameworks emphasise evaluating organisational capabilities, governance practices and decision-making within real-world organisational settings. Accordingly, pragmatism provides an appropriate philosophical foundation for examining how governance maturity and organisational readiness influence the strategic adoption of predictive analytics </w:t>
      </w:r>
      <w:r w:rsidR="00D2039B" w:rsidRPr="001A076D">
        <w:t>in a complex organisational environment.</w:t>
      </w:r>
      <w:r w:rsidRPr="001A076D">
        <w:t xml:space="preserve"> </w:t>
      </w:r>
      <w:r w:rsidR="00D74C29" w:rsidRPr="001A076D">
        <w:t xml:space="preserve">In line with </w:t>
      </w:r>
      <w:r w:rsidR="00761159" w:rsidRPr="001A076D">
        <w:t xml:space="preserve">these </w:t>
      </w:r>
      <w:r w:rsidR="00761159" w:rsidRPr="001A076D">
        <w:lastRenderedPageBreak/>
        <w:t>principles</w:t>
      </w:r>
      <w:r w:rsidR="00D74C29" w:rsidRPr="001A076D">
        <w:t>, the research design follows the layered structure of the “research onion” (Saunders, Lewis and Thornhill, 2019), illustrated in Figure 3.1, which situates the study’s philosophical position within the broader methodological approach.</w:t>
      </w:r>
    </w:p>
    <w:p w14:paraId="4B173742" w14:textId="78406753" w:rsidR="006054BF" w:rsidRPr="001A076D" w:rsidRDefault="006054BF" w:rsidP="00547268">
      <w:pPr>
        <w:pStyle w:val="NormalWeb"/>
        <w:spacing w:line="360" w:lineRule="auto"/>
        <w:jc w:val="both"/>
      </w:pPr>
      <w:r w:rsidRPr="001A076D">
        <w:t>In this study, the Research Onion was adopted to provide a systematic framework for selecting and justifying each methodological decision, from the choice of pragmatism and mixed methods to the case study strategy, cross-sectional design and data collection techniques. This ensured that the research design remained aligned with the study objectives and research questions rather than applying methodological choices in isolation.</w:t>
      </w:r>
    </w:p>
    <w:p w14:paraId="3AE6B87D" w14:textId="67D9D9D4" w:rsidR="00B022C6" w:rsidRPr="001A076D" w:rsidRDefault="0073157B" w:rsidP="003A03B9">
      <w:pPr>
        <w:jc w:val="center"/>
      </w:pPr>
      <w:r w:rsidRPr="001A076D">
        <w:rPr>
          <w:noProof/>
        </w:rPr>
        <w:drawing>
          <wp:inline distT="0" distB="0" distL="0" distR="0" wp14:anchorId="2B8679A0" wp14:editId="6EAE355E">
            <wp:extent cx="5093191" cy="3096066"/>
            <wp:effectExtent l="0" t="0" r="0" b="3175"/>
            <wp:docPr id="1190807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807500" name="Picture 1190807500"/>
                    <pic:cNvPicPr/>
                  </pic:nvPicPr>
                  <pic:blipFill rotWithShape="1">
                    <a:blip r:embed="rId18" cstate="print">
                      <a:extLst>
                        <a:ext uri="{28A0092B-C50C-407E-A947-70E740481C1C}">
                          <a14:useLocalDpi xmlns:a14="http://schemas.microsoft.com/office/drawing/2010/main" val="0"/>
                        </a:ext>
                      </a:extLst>
                    </a:blip>
                    <a:srcRect l="8368" r="5969" b="7377"/>
                    <a:stretch>
                      <a:fillRect/>
                    </a:stretch>
                  </pic:blipFill>
                  <pic:spPr bwMode="auto">
                    <a:xfrm>
                      <a:off x="0" y="0"/>
                      <a:ext cx="5160436" cy="3136943"/>
                    </a:xfrm>
                    <a:prstGeom prst="rect">
                      <a:avLst/>
                    </a:prstGeom>
                    <a:ln>
                      <a:noFill/>
                    </a:ln>
                    <a:extLst>
                      <a:ext uri="{53640926-AAD7-44D8-BBD7-CCE9431645EC}">
                        <a14:shadowObscured xmlns:a14="http://schemas.microsoft.com/office/drawing/2010/main"/>
                      </a:ext>
                    </a:extLst>
                  </pic:spPr>
                </pic:pic>
              </a:graphicData>
            </a:graphic>
          </wp:inline>
        </w:drawing>
      </w:r>
    </w:p>
    <w:p w14:paraId="3EB8179E" w14:textId="61DEE6BB" w:rsidR="00CA29D8" w:rsidRPr="001A076D" w:rsidRDefault="003A03B9" w:rsidP="003A03B9">
      <w:pPr>
        <w:jc w:val="center"/>
      </w:pPr>
      <w:bookmarkStart w:id="44" w:name="_Toc230555488"/>
      <w:bookmarkStart w:id="45" w:name="_Toc223079742"/>
      <w:r w:rsidRPr="001A076D">
        <w:t>Figure 3.</w:t>
      </w:r>
      <w:r w:rsidR="0016133E" w:rsidRPr="001A076D">
        <w:t>1</w:t>
      </w:r>
      <w:r w:rsidR="00CA29D8" w:rsidRPr="001A076D">
        <w:t>: Research Onion Applied to the Study</w:t>
      </w:r>
      <w:bookmarkEnd w:id="44"/>
    </w:p>
    <w:p w14:paraId="0D2363DB" w14:textId="1DB4FBC9" w:rsidR="00CA29D8" w:rsidRPr="001A076D" w:rsidRDefault="00CA29D8" w:rsidP="003A03B9">
      <w:pPr>
        <w:jc w:val="center"/>
      </w:pPr>
      <w:r w:rsidRPr="001A076D">
        <w:rPr>
          <w:rStyle w:val="Emphasis"/>
        </w:rPr>
        <w:t>Source: Adapted from Saunders et al. (2019).</w:t>
      </w:r>
    </w:p>
    <w:p w14:paraId="7FD1E2C4" w14:textId="77777777" w:rsidR="00B022C6" w:rsidRPr="001A076D" w:rsidRDefault="00B022C6" w:rsidP="00B022C6">
      <w:pPr>
        <w:pStyle w:val="Heading2"/>
        <w:rPr>
          <w:rFonts w:ascii="Times New Roman" w:hAnsi="Times New Roman" w:cs="Times New Roman"/>
          <w:b/>
          <w:bCs/>
          <w:color w:val="auto"/>
        </w:rPr>
      </w:pPr>
      <w:bookmarkStart w:id="46" w:name="_Toc236033353"/>
      <w:r w:rsidRPr="001A076D">
        <w:rPr>
          <w:rFonts w:ascii="Times New Roman" w:hAnsi="Times New Roman" w:cs="Times New Roman"/>
          <w:b/>
          <w:bCs/>
          <w:color w:val="auto"/>
        </w:rPr>
        <w:t>3.3 Research Approach and Design</w:t>
      </w:r>
      <w:bookmarkEnd w:id="45"/>
      <w:bookmarkEnd w:id="46"/>
    </w:p>
    <w:p w14:paraId="31F583E6" w14:textId="77777777" w:rsidR="00B022C6" w:rsidRPr="001A076D" w:rsidRDefault="00B022C6" w:rsidP="00B022C6">
      <w:pPr>
        <w:pStyle w:val="Heading3"/>
        <w:rPr>
          <w:rFonts w:eastAsia="Times New Roman" w:cs="Times New Roman"/>
          <w:b/>
          <w:bCs/>
          <w:color w:val="auto"/>
        </w:rPr>
      </w:pPr>
      <w:bookmarkStart w:id="47" w:name="_Toc223079743"/>
      <w:bookmarkStart w:id="48" w:name="_Toc236033354"/>
      <w:r w:rsidRPr="001A076D">
        <w:rPr>
          <w:rFonts w:eastAsia="Times New Roman" w:cs="Times New Roman"/>
          <w:b/>
          <w:bCs/>
          <w:color w:val="auto"/>
        </w:rPr>
        <w:t>3.3.1 Combined Deductive and Inductive Reasoning</w:t>
      </w:r>
      <w:bookmarkEnd w:id="47"/>
      <w:bookmarkEnd w:id="48"/>
    </w:p>
    <w:p w14:paraId="1D20E539" w14:textId="602D1D68" w:rsidR="00276EE8" w:rsidRPr="001A076D" w:rsidRDefault="00BB0C5F" w:rsidP="00E976DA">
      <w:pPr>
        <w:pStyle w:val="NormalWeb"/>
        <w:spacing w:line="360" w:lineRule="auto"/>
        <w:jc w:val="both"/>
      </w:pPr>
      <w:r w:rsidRPr="001A076D">
        <w:t xml:space="preserve">This study shifted intentionally between deduction and induction, allowing </w:t>
      </w:r>
      <w:r w:rsidR="008E15C2" w:rsidRPr="001A076D">
        <w:t>theories to guide the inquiry while remaining open to what arises from the organisational</w:t>
      </w:r>
      <w:r w:rsidRPr="001A076D">
        <w:t xml:space="preserve"> setting itself.</w:t>
      </w:r>
    </w:p>
    <w:p w14:paraId="354F7018" w14:textId="3D98154B" w:rsidR="00B022C6" w:rsidRPr="001A076D" w:rsidRDefault="00B022C6" w:rsidP="00E976DA">
      <w:pPr>
        <w:pStyle w:val="NormalWeb"/>
        <w:spacing w:line="360" w:lineRule="auto"/>
        <w:jc w:val="both"/>
      </w:pPr>
      <w:r w:rsidRPr="001A076D">
        <w:t xml:space="preserve">Deductively, the research drew on the DELTA model developed by Davenport and Harris (2007) and selected domains of DCAM. Davenport and Harris (2007) </w:t>
      </w:r>
      <w:r w:rsidR="00A43CA8" w:rsidRPr="001A076D">
        <w:t>emphasise leadership alignment, enterprise integration, analytical capability, and cultural readiness, whereas DCAM stresses</w:t>
      </w:r>
      <w:r w:rsidR="00AA1516" w:rsidRPr="001A076D">
        <w:t xml:space="preserve"> ownership clarity</w:t>
      </w:r>
      <w:r w:rsidRPr="001A076D">
        <w:t>, stewardship accountability, and governance discipline. Together, these frameworks provided a structured lens for examining the relationship between predictive analytics capability, governance maturity, and executive trust.</w:t>
      </w:r>
    </w:p>
    <w:p w14:paraId="438C20E9" w14:textId="77777777" w:rsidR="00B022C6" w:rsidRPr="001A076D" w:rsidRDefault="00B022C6" w:rsidP="00E976DA">
      <w:pPr>
        <w:pStyle w:val="NormalWeb"/>
        <w:spacing w:line="360" w:lineRule="auto"/>
        <w:jc w:val="both"/>
      </w:pPr>
      <w:r w:rsidRPr="001A076D">
        <w:lastRenderedPageBreak/>
        <w:t>The strategic foundations of this thinking can be traced to Hax and Wilde's (2002) argument that organisational alignment is central to translating strategy into execution. In this study, governance maturity is understood not merely as compliance infrastructure but as part of the organisational architecture that enables analytics to be trusted at the executive level. This interpretation reflects Hax and Wilde’s (2002) emphasis on alignment between strategic intent and operational systems.</w:t>
      </w:r>
    </w:p>
    <w:p w14:paraId="71D75C77" w14:textId="77777777" w:rsidR="00B022C6" w:rsidRPr="001A076D" w:rsidRDefault="00B022C6" w:rsidP="00E976DA">
      <w:pPr>
        <w:pStyle w:val="NormalWeb"/>
        <w:spacing w:line="360" w:lineRule="auto"/>
        <w:jc w:val="both"/>
      </w:pPr>
      <w:r w:rsidRPr="001A076D">
        <w:t>However, the frameworks were not treated as rigid templates. Following Blumer (1954), they functioned as sensitising concepts that guided attention without dictating outcomes. The inductive element of the study ensured openness to informal dynamics, political considerations, and regulatory concerns that formal models may not fully capture.</w:t>
      </w:r>
    </w:p>
    <w:p w14:paraId="6E03288E" w14:textId="77777777" w:rsidR="00B022C6" w:rsidRPr="001A076D" w:rsidRDefault="00B022C6" w:rsidP="00E976DA">
      <w:pPr>
        <w:pStyle w:val="NormalWeb"/>
        <w:spacing w:line="360" w:lineRule="auto"/>
        <w:jc w:val="both"/>
      </w:pPr>
      <w:r w:rsidRPr="001A076D">
        <w:t>Combining deductive structure with inductive openness strengthened both the theoretical grounding and the empirical depth of the research.</w:t>
      </w:r>
    </w:p>
    <w:p w14:paraId="0A37BC03" w14:textId="77777777" w:rsidR="00B022C6" w:rsidRPr="001A076D" w:rsidRDefault="00B022C6" w:rsidP="00B022C6">
      <w:pPr>
        <w:pStyle w:val="Heading3"/>
        <w:rPr>
          <w:rFonts w:cs="Times New Roman"/>
          <w:b/>
          <w:bCs/>
          <w:color w:val="auto"/>
        </w:rPr>
      </w:pPr>
      <w:bookmarkStart w:id="49" w:name="_Toc223079744"/>
      <w:bookmarkStart w:id="50" w:name="_Toc236033355"/>
      <w:r w:rsidRPr="001A076D">
        <w:rPr>
          <w:rFonts w:cs="Times New Roman"/>
          <w:b/>
          <w:bCs/>
          <w:color w:val="auto"/>
        </w:rPr>
        <w:t>3.3.2 Case Study Strategy</w:t>
      </w:r>
      <w:bookmarkEnd w:id="49"/>
      <w:bookmarkEnd w:id="50"/>
    </w:p>
    <w:p w14:paraId="1FFA91A6" w14:textId="085A7A4C" w:rsidR="00276EE8" w:rsidRPr="001A076D" w:rsidRDefault="00B022C6" w:rsidP="00E976DA">
      <w:pPr>
        <w:spacing w:before="100" w:beforeAutospacing="1" w:after="100" w:afterAutospacing="1" w:line="360" w:lineRule="auto"/>
        <w:jc w:val="both"/>
      </w:pPr>
      <w:r w:rsidRPr="001A076D">
        <w:t xml:space="preserve">A single, embedded case study design was adopted to investigate predictive analytics readiness in a real-world organisational setting. Case study research is particularly appropriate where the phenomenon under investigation is inseparable from its institutional, regulatory, and operational context (Yin, 2017). </w:t>
      </w:r>
      <w:r w:rsidR="00761159" w:rsidRPr="001A076D">
        <w:t xml:space="preserve">In this study, predictive analytics readiness was not regarded as an abstract capability; rather, it was influenced by governance frameworks, regulatory scrutiny, legacy systems, cultural conventions, and strategic priorities unique to SSE </w:t>
      </w:r>
      <w:r w:rsidR="00277819" w:rsidRPr="001A076D">
        <w:t>plc</w:t>
      </w:r>
      <w:r w:rsidR="00761159" w:rsidRPr="001A076D">
        <w:t>.</w:t>
      </w:r>
      <w:r w:rsidRPr="001A076D">
        <w:t xml:space="preserve"> </w:t>
      </w:r>
      <w:r w:rsidR="00276EE8" w:rsidRPr="001A076D">
        <w:t xml:space="preserve">Examining readiness outside that context would have risked reducing it to a purely technical concept, detached from the organisational realities that shape its </w:t>
      </w:r>
      <w:r w:rsidR="00D2039B" w:rsidRPr="001A076D">
        <w:t>practical meaning</w:t>
      </w:r>
      <w:r w:rsidR="00276EE8" w:rsidRPr="001A076D">
        <w:t>.</w:t>
      </w:r>
    </w:p>
    <w:p w14:paraId="512A8136" w14:textId="4A4F9251" w:rsidR="00B022C6" w:rsidRPr="001A076D" w:rsidRDefault="00B022C6" w:rsidP="00E976DA">
      <w:pPr>
        <w:spacing w:before="100" w:beforeAutospacing="1" w:after="100" w:afterAutospacing="1" w:line="360" w:lineRule="auto"/>
        <w:jc w:val="both"/>
      </w:pPr>
      <w:r w:rsidRPr="001A076D">
        <w:t xml:space="preserve">The regulatory environment in which SSE </w:t>
      </w:r>
      <w:r w:rsidR="00277819" w:rsidRPr="001A076D">
        <w:t>plc</w:t>
      </w:r>
      <w:r w:rsidRPr="001A076D">
        <w:t xml:space="preserve"> operates introduces layers of accountability, audit scrutiny, and risk management discipline that directly influence how analytics outputs are interpreted and acted upon. We cannot understand governance maturity in such an environment without considering compliance requirements, reporting obligations, and executive accountability. Therefore, the case study approach facilitated a comprehensive examination of these contextual conditions instead of ignoring them.</w:t>
      </w:r>
    </w:p>
    <w:p w14:paraId="66ABCEE7" w14:textId="6633EFB9" w:rsidR="00B022C6" w:rsidRPr="001A076D" w:rsidRDefault="00B022C6" w:rsidP="00E976DA">
      <w:pPr>
        <w:spacing w:before="100" w:beforeAutospacing="1" w:after="100" w:afterAutospacing="1" w:line="360" w:lineRule="auto"/>
        <w:jc w:val="both"/>
      </w:pPr>
      <w:r w:rsidRPr="001A076D">
        <w:t xml:space="preserve">The case was instrumental rather than intrinsic (Stake, 1995). The purpose was not to evaluate SSE </w:t>
      </w:r>
      <w:r w:rsidR="00277819" w:rsidRPr="001A076D">
        <w:t>plc</w:t>
      </w:r>
      <w:r w:rsidRPr="001A076D">
        <w:t xml:space="preserve">’s performance or to judge the success of its analytics initiatives. </w:t>
      </w:r>
      <w:r w:rsidR="006729E9" w:rsidRPr="001A076D">
        <w:t xml:space="preserve">Instead, SSE </w:t>
      </w:r>
      <w:r w:rsidR="00277819" w:rsidRPr="001A076D">
        <w:t>plc</w:t>
      </w:r>
      <w:r w:rsidR="006729E9" w:rsidRPr="001A076D">
        <w:t xml:space="preserve"> served as a theoretically informative setting, through which broader insights could be generated about how governance maturity influences executives' trust in predictive analytics within regulated </w:t>
      </w:r>
      <w:r w:rsidR="006729E9" w:rsidRPr="001A076D">
        <w:lastRenderedPageBreak/>
        <w:t>infrastructure organisations.</w:t>
      </w:r>
      <w:r w:rsidRPr="001A076D">
        <w:t xml:space="preserve"> </w:t>
      </w:r>
      <w:r w:rsidR="00D2039B" w:rsidRPr="001A076D">
        <w:t>The aim was analytical generalisation rather than statistical generalisation.</w:t>
      </w:r>
      <w:r w:rsidRPr="001A076D">
        <w:t xml:space="preserve"> Findings are not presented as universally applicable but as conceptually transferable to comparable regulatory environments.</w:t>
      </w:r>
    </w:p>
    <w:p w14:paraId="682D6F66" w14:textId="05EE464D" w:rsidR="00B022C6" w:rsidRPr="001A076D" w:rsidRDefault="00B022C6" w:rsidP="00E976DA">
      <w:pPr>
        <w:spacing w:before="100" w:beforeAutospacing="1" w:after="100" w:afterAutospacing="1" w:line="360" w:lineRule="auto"/>
        <w:jc w:val="both"/>
      </w:pPr>
      <w:r w:rsidRPr="001A076D">
        <w:t xml:space="preserve">The design </w:t>
      </w:r>
      <w:r w:rsidR="00BD75E5" w:rsidRPr="001A076D">
        <w:t>embedded predictive analytics readiness, which varied</w:t>
      </w:r>
      <w:r w:rsidRPr="001A076D">
        <w:t xml:space="preserve"> across organisational strata. Governance </w:t>
      </w:r>
      <w:r w:rsidR="00730C97" w:rsidRPr="001A076D">
        <w:t>focuses</w:t>
      </w:r>
      <w:r w:rsidRPr="001A076D">
        <w:t xml:space="preserve"> on stewardship</w:t>
      </w:r>
      <w:r w:rsidR="00894446" w:rsidRPr="001A076D">
        <w:t>,</w:t>
      </w:r>
      <w:r w:rsidRPr="001A076D">
        <w:t xml:space="preserve"> accountability, compliance controls, and risk mitigation. Analytics practitioners concentrate on model performance, data availability, and technical constraints. Senior executives are concerned with strategic risk, reputational exposure, and decision defensibility. The embedded design facilitated the examination of these various sub-units of analysis within a single organisational case.</w:t>
      </w:r>
    </w:p>
    <w:p w14:paraId="32178315" w14:textId="51253FD3" w:rsidR="00B022C6" w:rsidRPr="001A076D" w:rsidRDefault="00B022C6" w:rsidP="00E976DA">
      <w:pPr>
        <w:spacing w:before="100" w:beforeAutospacing="1" w:after="100" w:afterAutospacing="1" w:line="360" w:lineRule="auto"/>
        <w:jc w:val="both"/>
      </w:pPr>
      <w:r w:rsidRPr="001A076D">
        <w:t xml:space="preserve">This approach also strengthened internal validity. By comparing perspectives across hierarchical levels and functional domains, it became possible to identify areas of alignment and tension. Where governance maturity was formally documented, it could be contrasted with </w:t>
      </w:r>
      <w:r w:rsidR="00894446" w:rsidRPr="001A076D">
        <w:t xml:space="preserve">its perceived </w:t>
      </w:r>
      <w:r w:rsidRPr="001A076D">
        <w:t>practice. Where executives expressed high or low trust in analytics, this could be examined against practitioner accounts of data quality or governance discipline.</w:t>
      </w:r>
    </w:p>
    <w:p w14:paraId="4B0C8D1A" w14:textId="7A8AB4FF" w:rsidR="00B022C6" w:rsidRPr="001A076D" w:rsidRDefault="00266A44" w:rsidP="00E976DA">
      <w:pPr>
        <w:spacing w:before="100" w:beforeAutospacing="1" w:after="100" w:afterAutospacing="1" w:line="360" w:lineRule="auto"/>
        <w:jc w:val="both"/>
      </w:pPr>
      <w:r w:rsidRPr="001A076D">
        <w:t>In short, the case study strategy was not chosen for convenience. It was methodologically necessary given the contextual, institutional, and relational nature of predictive analytics readiness within SSE PLC.</w:t>
      </w:r>
    </w:p>
    <w:p w14:paraId="3B8DFB6F" w14:textId="77777777" w:rsidR="00B022C6" w:rsidRPr="001A076D" w:rsidRDefault="00B022C6" w:rsidP="00E976DA">
      <w:pPr>
        <w:pStyle w:val="Heading2"/>
        <w:spacing w:line="360" w:lineRule="auto"/>
        <w:rPr>
          <w:rFonts w:ascii="Times New Roman" w:hAnsi="Times New Roman" w:cs="Times New Roman"/>
          <w:b/>
          <w:bCs/>
          <w:color w:val="auto"/>
        </w:rPr>
      </w:pPr>
      <w:bookmarkStart w:id="51" w:name="_Toc223079745"/>
      <w:bookmarkStart w:id="52" w:name="_Toc236033356"/>
      <w:r w:rsidRPr="001A076D">
        <w:rPr>
          <w:rFonts w:ascii="Times New Roman" w:hAnsi="Times New Roman" w:cs="Times New Roman"/>
          <w:b/>
          <w:bCs/>
          <w:color w:val="auto"/>
        </w:rPr>
        <w:t>3.4 Methodological Choice: Mixed-Methods Design</w:t>
      </w:r>
      <w:bookmarkEnd w:id="51"/>
      <w:bookmarkEnd w:id="52"/>
    </w:p>
    <w:p w14:paraId="50F394C2" w14:textId="77777777" w:rsidR="00B022C6" w:rsidRPr="001A076D" w:rsidRDefault="00B022C6" w:rsidP="00E976DA">
      <w:pPr>
        <w:pStyle w:val="Heading3"/>
        <w:spacing w:line="360" w:lineRule="auto"/>
        <w:jc w:val="both"/>
        <w:rPr>
          <w:rFonts w:eastAsia="Times New Roman" w:cs="Times New Roman"/>
          <w:b/>
          <w:bCs/>
          <w:color w:val="auto"/>
          <w:sz w:val="24"/>
          <w:szCs w:val="24"/>
        </w:rPr>
      </w:pPr>
      <w:bookmarkStart w:id="53" w:name="_Toc223079746"/>
      <w:bookmarkStart w:id="54" w:name="_Toc236033357"/>
      <w:r w:rsidRPr="001A076D">
        <w:rPr>
          <w:rFonts w:eastAsia="Times New Roman" w:cs="Times New Roman"/>
          <w:b/>
          <w:bCs/>
          <w:color w:val="auto"/>
          <w:sz w:val="24"/>
          <w:szCs w:val="24"/>
        </w:rPr>
        <w:t>3.4.1 Rationale for Mixed Methods</w:t>
      </w:r>
      <w:bookmarkEnd w:id="53"/>
      <w:bookmarkEnd w:id="54"/>
    </w:p>
    <w:p w14:paraId="6E3F9B6D" w14:textId="3F545E74" w:rsidR="006054BF" w:rsidRPr="001A076D" w:rsidRDefault="006054BF" w:rsidP="00E976DA">
      <w:pPr>
        <w:spacing w:before="100" w:beforeAutospacing="1" w:after="100" w:afterAutospacing="1" w:line="360" w:lineRule="auto"/>
        <w:jc w:val="both"/>
      </w:pPr>
      <w:r w:rsidRPr="001A076D">
        <w:t>Previous studies conceptualise predictive analytics adoption as a multidimensional organisational capability influenced by technical, governance and organisational factors rather than technology alone (Davenport &amp; Harris, 2007; Mikalef et al., 2020; Abraham et al., 2019). As no single method could adequately capture both the measurable relationships between these factors and the organisational context in which they operate, a mixed-methods design was considered the most appropriate approach (Creswell &amp; Creswell, 2018).</w:t>
      </w:r>
    </w:p>
    <w:p w14:paraId="049C458C" w14:textId="612C3AD6" w:rsidR="00B022C6" w:rsidRPr="001A076D" w:rsidRDefault="00B022C6" w:rsidP="00E976DA">
      <w:pPr>
        <w:spacing w:before="100" w:beforeAutospacing="1" w:after="100" w:afterAutospacing="1" w:line="360" w:lineRule="auto"/>
        <w:jc w:val="both"/>
      </w:pPr>
      <w:r w:rsidRPr="001A076D">
        <w:t xml:space="preserve">A purely quantitative design would have allowed measurement of perceived governance maturity and trust levels across stakeholder groups, but it would have struggled to explain why those perceptions existed. Conversely, a purely qualitative design would have enabled a deeper exploration of </w:t>
      </w:r>
      <w:r w:rsidR="00A43CA8" w:rsidRPr="001A076D">
        <w:t xml:space="preserve">executives' interpretations, but it would have </w:t>
      </w:r>
      <w:r w:rsidR="00DB1E5E" w:rsidRPr="001A076D">
        <w:t>restricted their ability to identify broader organisational</w:t>
      </w:r>
      <w:r w:rsidRPr="001A076D">
        <w:t xml:space="preserve"> patterns.</w:t>
      </w:r>
    </w:p>
    <w:p w14:paraId="7A24B6CA" w14:textId="52AAF84F" w:rsidR="00B022C6" w:rsidRPr="001A076D" w:rsidRDefault="00B022C6" w:rsidP="00E976DA">
      <w:pPr>
        <w:spacing w:before="100" w:beforeAutospacing="1" w:after="100" w:afterAutospacing="1" w:line="360" w:lineRule="auto"/>
        <w:jc w:val="both"/>
      </w:pPr>
      <w:r w:rsidRPr="001A076D">
        <w:lastRenderedPageBreak/>
        <w:t xml:space="preserve">Mixed-methods research provided a way to combine breadth and depth. Creswell and Plano Clark (2018) argue that mixed methods are especially valuable where the research objective is explanation rather than simple description. By integrating survey data with interview narratives, the study </w:t>
      </w:r>
      <w:r w:rsidR="002711C4" w:rsidRPr="001A076D">
        <w:t>identified</w:t>
      </w:r>
      <w:r w:rsidRPr="001A076D">
        <w:t xml:space="preserve"> not only whether governance maturity correlated with executive trust but also how governance mechanisms shaped that trust in practice.</w:t>
      </w:r>
    </w:p>
    <w:p w14:paraId="6D8566A8" w14:textId="6F59A69A" w:rsidR="00B022C6" w:rsidRPr="001A076D" w:rsidRDefault="001959D7" w:rsidP="00E976DA">
      <w:pPr>
        <w:spacing w:before="100" w:beforeAutospacing="1" w:after="100" w:afterAutospacing="1" w:line="360" w:lineRule="auto"/>
        <w:jc w:val="both"/>
      </w:pPr>
      <w:r w:rsidRPr="001A076D">
        <w:t>Mixed methods were</w:t>
      </w:r>
      <w:r w:rsidR="00BD75E5" w:rsidRPr="001A076D">
        <w:t>, therefore,</w:t>
      </w:r>
      <w:r w:rsidRPr="001A076D">
        <w:t xml:space="preserve"> chosen because they made it possible to explain not just what patterns </w:t>
      </w:r>
      <w:proofErr w:type="gramStart"/>
      <w:r w:rsidR="00BD75E5" w:rsidRPr="001A076D">
        <w:t>existed</w:t>
      </w:r>
      <w:proofErr w:type="gramEnd"/>
      <w:r w:rsidR="00BD75E5" w:rsidRPr="001A076D">
        <w:t xml:space="preserve"> but</w:t>
      </w:r>
      <w:r w:rsidRPr="001A076D">
        <w:t xml:space="preserve"> why they appeared. </w:t>
      </w:r>
      <w:r w:rsidR="00BD75E5" w:rsidRPr="001A076D">
        <w:t>This choice reflected the pragmatic philosophical stance that was articulated earlier.</w:t>
      </w:r>
      <w:r w:rsidR="00B022C6" w:rsidRPr="001A076D">
        <w:t xml:space="preserve"> The integration of quantitative and qualitative evidence strengthened credibility, reduced reliance on a single source of inference, and enhanced interpretive robustness.</w:t>
      </w:r>
    </w:p>
    <w:p w14:paraId="31C01DDD" w14:textId="77777777" w:rsidR="00B022C6" w:rsidRPr="001A076D" w:rsidRDefault="00B022C6" w:rsidP="00E976DA">
      <w:pPr>
        <w:pStyle w:val="Heading3"/>
        <w:spacing w:line="360" w:lineRule="auto"/>
        <w:jc w:val="both"/>
        <w:rPr>
          <w:rFonts w:eastAsia="Times New Roman" w:cs="Times New Roman"/>
          <w:b/>
          <w:bCs/>
          <w:color w:val="auto"/>
          <w:sz w:val="24"/>
          <w:szCs w:val="24"/>
        </w:rPr>
      </w:pPr>
      <w:bookmarkStart w:id="55" w:name="_Toc223079747"/>
      <w:bookmarkStart w:id="56" w:name="_Toc236033358"/>
      <w:r w:rsidRPr="001A076D">
        <w:rPr>
          <w:rFonts w:eastAsia="Times New Roman" w:cs="Times New Roman"/>
          <w:b/>
          <w:bCs/>
          <w:color w:val="auto"/>
          <w:sz w:val="24"/>
          <w:szCs w:val="24"/>
        </w:rPr>
        <w:t>3.4.2 Sequential Explanatory Design</w:t>
      </w:r>
      <w:bookmarkEnd w:id="55"/>
      <w:bookmarkEnd w:id="56"/>
    </w:p>
    <w:p w14:paraId="3246713E" w14:textId="6AA8D48C" w:rsidR="00B022C6" w:rsidRPr="001A076D" w:rsidRDefault="00B022C6" w:rsidP="00E976DA">
      <w:pPr>
        <w:spacing w:before="100" w:beforeAutospacing="1" w:after="100" w:afterAutospacing="1" w:line="360" w:lineRule="auto"/>
        <w:jc w:val="both"/>
      </w:pPr>
      <w:r w:rsidRPr="001A076D">
        <w:t xml:space="preserve">A sequential explanatory design was implemented, </w:t>
      </w:r>
      <w:r w:rsidR="002108A3" w:rsidRPr="001A076D">
        <w:t>with the quantitative phase preceding</w:t>
      </w:r>
      <w:r w:rsidRPr="001A076D">
        <w:t xml:space="preserve"> the qualitative phase. The survey data were first collected and analysed to identify patterns, areas of consensus, and points of divergence </w:t>
      </w:r>
      <w:r w:rsidR="00D2039B" w:rsidRPr="001A076D">
        <w:t>among the stakeholder</w:t>
      </w:r>
      <w:r w:rsidRPr="001A076D">
        <w:t xml:space="preserve"> groups.</w:t>
      </w:r>
    </w:p>
    <w:p w14:paraId="537315B7" w14:textId="77777777" w:rsidR="00B022C6" w:rsidRPr="001A076D" w:rsidRDefault="00B022C6" w:rsidP="00E976DA">
      <w:pPr>
        <w:spacing w:before="100" w:beforeAutospacing="1" w:after="100" w:afterAutospacing="1" w:line="360" w:lineRule="auto"/>
        <w:jc w:val="both"/>
      </w:pPr>
      <w:r w:rsidRPr="001A076D">
        <w:t>These findings informed the development of the interview guide. For example, where survey responses suggested ambiguity regarding governance clarity or variation in trust levels between functional groups, targeted interview questions were developed to probe these issues in greater depth. This sequencing allowed the qualitative phase to act as an explanatory extension of the quantitative phase.</w:t>
      </w:r>
    </w:p>
    <w:p w14:paraId="04029051" w14:textId="77777777" w:rsidR="0050214A" w:rsidRPr="001A076D" w:rsidRDefault="0050214A" w:rsidP="0050214A">
      <w:pPr>
        <w:spacing w:before="100" w:beforeAutospacing="1" w:after="100" w:afterAutospacing="1" w:line="360" w:lineRule="auto"/>
        <w:jc w:val="both"/>
      </w:pPr>
      <w:proofErr w:type="spellStart"/>
      <w:r w:rsidRPr="001A076D">
        <w:t>Ivankova</w:t>
      </w:r>
      <w:proofErr w:type="spellEnd"/>
      <w:r w:rsidRPr="001A076D">
        <w:t xml:space="preserve"> et al. (2006) argue that sequential explanatory designs strengthen integration by using qualitative findings to explain, expand and contextualise the quantitative results. In this study, integration occurred primarily during interpretation, where the interview findings were used to explain and provide context for the statistical relationships identified in the survey. For example, qualitative evidence helped explain why governance maturity and trust were associated with the strategic adoption of predictive analytics by providing participants' perspectives on governance practices and decision-making.</w:t>
      </w:r>
    </w:p>
    <w:p w14:paraId="5870DBE1" w14:textId="40E8B542" w:rsidR="00D75735" w:rsidRPr="001A076D" w:rsidRDefault="00B022C6" w:rsidP="00385768">
      <w:pPr>
        <w:spacing w:before="100" w:beforeAutospacing="1" w:after="100" w:afterAutospacing="1" w:line="360" w:lineRule="auto"/>
        <w:jc w:val="both"/>
      </w:pPr>
      <w:r w:rsidRPr="001A076D">
        <w:t xml:space="preserve">Figure 3.2 </w:t>
      </w:r>
      <w:r w:rsidR="00BD75E5" w:rsidRPr="001A076D">
        <w:t>summarises the overall research design and the</w:t>
      </w:r>
      <w:r w:rsidRPr="001A076D">
        <w:t xml:space="preserve"> flow of evidence in this study. The design reinforces coherence between theory and methodology by operationalising the conceptual model from Chapter 2 in the quantitative phase and then critically examining it in the qualitative phase. The survey translated theoretical constructs into measurable indicators, whereas the interviews explored how those constructs were experienced, interpreted, and enacted within the organisational </w:t>
      </w:r>
      <w:r w:rsidRPr="001A076D">
        <w:lastRenderedPageBreak/>
        <w:t>context.</w:t>
      </w:r>
      <w:r w:rsidR="00385768" w:rsidRPr="001A076D">
        <w:t xml:space="preserve"> </w:t>
      </w:r>
      <w:r w:rsidRPr="001A076D">
        <w:t>This structured sequence from problem definition and theoretical framing through instrument development, pilot refinement, data collection, analysis, and integrated interpretation highlights the deliberate integration of quantitative and qualitative strands within the sequential explanatory design, moving the analysis beyond surface association toward explanation.</w:t>
      </w:r>
    </w:p>
    <w:p w14:paraId="1E85A2F8" w14:textId="3ED6DC92" w:rsidR="00B022C6" w:rsidRPr="001A076D" w:rsidRDefault="00D75735" w:rsidP="00D75735">
      <w:pPr>
        <w:pStyle w:val="NormalWeb"/>
        <w:spacing w:line="360" w:lineRule="auto"/>
        <w:jc w:val="center"/>
        <w:rPr>
          <w:rStyle w:val="Strong"/>
          <w:b w:val="0"/>
          <w:bCs w:val="0"/>
        </w:rPr>
      </w:pPr>
      <w:r w:rsidRPr="001A076D">
        <w:rPr>
          <w:noProof/>
          <w14:ligatures w14:val="standardContextual"/>
        </w:rPr>
        <w:drawing>
          <wp:inline distT="0" distB="0" distL="0" distR="0" wp14:anchorId="51B4CC40" wp14:editId="2C423A94">
            <wp:extent cx="3336925" cy="5005388"/>
            <wp:effectExtent l="0" t="0" r="3175" b="0"/>
            <wp:docPr id="1077893974"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62194" cy="5043291"/>
                    </a:xfrm>
                    <a:prstGeom prst="rect">
                      <a:avLst/>
                    </a:prstGeom>
                  </pic:spPr>
                </pic:pic>
              </a:graphicData>
            </a:graphic>
          </wp:inline>
        </w:drawing>
      </w:r>
    </w:p>
    <w:p w14:paraId="7AF19D10" w14:textId="0CA8EE33" w:rsidR="00CA29D8" w:rsidRPr="001A076D" w:rsidRDefault="002108A3" w:rsidP="00D75735">
      <w:pPr>
        <w:jc w:val="center"/>
      </w:pPr>
      <w:bookmarkStart w:id="57" w:name="_Toc230555489"/>
      <w:r w:rsidRPr="001A076D">
        <w:t>Figure 3.</w:t>
      </w:r>
      <w:r w:rsidR="0016133E" w:rsidRPr="001A076D">
        <w:t>2</w:t>
      </w:r>
      <w:r w:rsidR="00604FB6" w:rsidRPr="001A076D">
        <w:t>:</w:t>
      </w:r>
      <w:r w:rsidR="00CA29D8" w:rsidRPr="001A076D">
        <w:t xml:space="preserve"> Sequential Explanatory Mixed-Methods Design and Data Flow</w:t>
      </w:r>
      <w:bookmarkStart w:id="58" w:name="OLE_LINK2"/>
      <w:bookmarkEnd w:id="57"/>
    </w:p>
    <w:p w14:paraId="22235CBC" w14:textId="77777777" w:rsidR="00CA29D8" w:rsidRPr="001A076D" w:rsidRDefault="00CA29D8" w:rsidP="00D75735">
      <w:pPr>
        <w:jc w:val="center"/>
      </w:pPr>
      <w:r w:rsidRPr="001A076D">
        <w:rPr>
          <w:rStyle w:val="Emphasis"/>
        </w:rPr>
        <w:t>Source: Author’s Own Research Design.</w:t>
      </w:r>
    </w:p>
    <w:p w14:paraId="200DD388" w14:textId="77777777" w:rsidR="00E856F4" w:rsidRPr="001A076D" w:rsidRDefault="00E856F4" w:rsidP="00E856F4"/>
    <w:p w14:paraId="61D05F7C"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59" w:name="_Toc223079748"/>
      <w:bookmarkStart w:id="60" w:name="_Toc236033359"/>
      <w:r w:rsidRPr="001A076D">
        <w:rPr>
          <w:rFonts w:ascii="Times New Roman" w:eastAsia="Times New Roman" w:hAnsi="Times New Roman" w:cs="Times New Roman"/>
          <w:b/>
          <w:bCs/>
          <w:color w:val="auto"/>
          <w:sz w:val="28"/>
          <w:szCs w:val="28"/>
        </w:rPr>
        <w:t>3.5 Instrument Design and Theoretical Alignment</w:t>
      </w:r>
      <w:bookmarkEnd w:id="59"/>
      <w:bookmarkEnd w:id="60"/>
    </w:p>
    <w:p w14:paraId="3BDEF6AB" w14:textId="1C694FF1" w:rsidR="001959D7" w:rsidRPr="001A076D" w:rsidRDefault="001959D7" w:rsidP="00E976DA">
      <w:pPr>
        <w:spacing w:before="100" w:beforeAutospacing="1" w:after="100" w:afterAutospacing="1" w:line="360" w:lineRule="auto"/>
        <w:jc w:val="both"/>
      </w:pPr>
      <w:r w:rsidRPr="001A076D">
        <w:t>A key methodological strength of this study was the explicit link between the conceptual frameworks and the empirical instruments.</w:t>
      </w:r>
    </w:p>
    <w:p w14:paraId="24A857C2" w14:textId="2CC3A916" w:rsidR="00B022C6" w:rsidRPr="001A076D" w:rsidRDefault="00B022C6" w:rsidP="00E976DA">
      <w:pPr>
        <w:spacing w:before="100" w:beforeAutospacing="1" w:after="100" w:afterAutospacing="1" w:line="360" w:lineRule="auto"/>
        <w:jc w:val="both"/>
      </w:pPr>
      <w:r w:rsidRPr="001A076D">
        <w:t xml:space="preserve">Survey constructs were derived directly from dimensions identified in DELTA and DCAM. The DELTA framework informed leadership alignment, </w:t>
      </w:r>
      <w:r w:rsidR="002711C4" w:rsidRPr="001A076D">
        <w:t>availability of analytical skills</w:t>
      </w:r>
      <w:r w:rsidRPr="001A076D">
        <w:t xml:space="preserve">, enterprise </w:t>
      </w:r>
      <w:r w:rsidRPr="001A076D">
        <w:lastRenderedPageBreak/>
        <w:t>integration, and cultural receptiveness. DCAM domains informed stewardship clarity, data ownership accountability, governance oversight mechanisms, and quality management discipline.</w:t>
      </w:r>
    </w:p>
    <w:p w14:paraId="693B757B" w14:textId="303FF6DD" w:rsidR="00B022C6" w:rsidRPr="001A076D" w:rsidRDefault="00B022C6" w:rsidP="00E976DA">
      <w:pPr>
        <w:spacing w:before="100" w:beforeAutospacing="1" w:after="100" w:afterAutospacing="1" w:line="360" w:lineRule="auto"/>
        <w:jc w:val="both"/>
      </w:pPr>
      <w:r w:rsidRPr="001A076D">
        <w:t xml:space="preserve">This mapping strengthened construct validity by ensuring that survey items corresponded directly to theoretically grounded constructs. Items were not generated in isolation but anchored within established capability and governance models. </w:t>
      </w:r>
      <w:r w:rsidR="00BD75E5" w:rsidRPr="001A076D">
        <w:t>The framework</w:t>
      </w:r>
      <w:r w:rsidRPr="001A076D">
        <w:t xml:space="preserve"> also addressed concerns that theory–method alignment might otherwise remain implied rather than demonstrated.</w:t>
      </w:r>
    </w:p>
    <w:p w14:paraId="2916DEE1" w14:textId="77777777" w:rsidR="00B022C6" w:rsidRPr="001A076D" w:rsidRDefault="00B022C6" w:rsidP="00E976DA">
      <w:pPr>
        <w:spacing w:before="100" w:beforeAutospacing="1" w:after="100" w:afterAutospacing="1" w:line="360" w:lineRule="auto"/>
        <w:jc w:val="both"/>
      </w:pPr>
      <w:r w:rsidRPr="001A076D">
        <w:t>Composite indices were constructed for three principal constructs: predictive analytics capability, governance maturity, and executive trust. These constructs corresponded directly to the conceptual relationships proposed in Chapter 2.</w:t>
      </w:r>
    </w:p>
    <w:p w14:paraId="6D71267E" w14:textId="77777777" w:rsidR="00B022C6" w:rsidRPr="001A076D" w:rsidRDefault="00B022C6" w:rsidP="00E976DA">
      <w:pPr>
        <w:spacing w:before="100" w:beforeAutospacing="1" w:after="100" w:afterAutospacing="1" w:line="360" w:lineRule="auto"/>
        <w:jc w:val="both"/>
      </w:pPr>
      <w:r w:rsidRPr="001A076D">
        <w:t>Interview prompts were similarly aligned. Participants were asked how governance controls influenced their willingness to rely on predictive outputs, how regulatory expectations shaped thresholds for acting on analytics, and how leadership messaging influenced uptake. This ensured continuity across research phases and reinforced epistemological compatibility.</w:t>
      </w:r>
    </w:p>
    <w:p w14:paraId="28DE97ED" w14:textId="77777777" w:rsidR="00B022C6" w:rsidRPr="001A076D" w:rsidRDefault="00B022C6" w:rsidP="00E976DA">
      <w:pPr>
        <w:spacing w:before="100" w:beforeAutospacing="1" w:after="100" w:afterAutospacing="1" w:line="360" w:lineRule="auto"/>
        <w:jc w:val="both"/>
      </w:pPr>
      <w:r w:rsidRPr="001A076D">
        <w:t>By explicitly mapping theory to instrument design and analysis, the study strengthened methodological defensibility and theoretical coherence.</w:t>
      </w:r>
    </w:p>
    <w:p w14:paraId="0A3763A7" w14:textId="028FCBC5" w:rsidR="00123D10" w:rsidRPr="001A076D" w:rsidRDefault="00B022C6" w:rsidP="00123D10">
      <w:pPr>
        <w:pStyle w:val="Heading2"/>
        <w:spacing w:line="360" w:lineRule="auto"/>
        <w:jc w:val="both"/>
        <w:rPr>
          <w:rFonts w:ascii="Times New Roman" w:eastAsia="Times New Roman" w:hAnsi="Times New Roman" w:cs="Times New Roman"/>
          <w:b/>
          <w:bCs/>
          <w:color w:val="auto"/>
          <w:sz w:val="28"/>
          <w:szCs w:val="28"/>
        </w:rPr>
      </w:pPr>
      <w:bookmarkStart w:id="61" w:name="_Toc223079749"/>
      <w:bookmarkStart w:id="62" w:name="_Toc236033360"/>
      <w:r w:rsidRPr="001A076D">
        <w:rPr>
          <w:rFonts w:ascii="Times New Roman" w:eastAsia="Times New Roman" w:hAnsi="Times New Roman" w:cs="Times New Roman"/>
          <w:b/>
          <w:bCs/>
          <w:color w:val="auto"/>
          <w:sz w:val="28"/>
          <w:szCs w:val="28"/>
        </w:rPr>
        <w:t>3.6 Sampling Strategy and Justification</w:t>
      </w:r>
      <w:bookmarkEnd w:id="61"/>
      <w:bookmarkEnd w:id="62"/>
    </w:p>
    <w:p w14:paraId="7389BAFC" w14:textId="77777777" w:rsidR="00123D10" w:rsidRPr="001A076D" w:rsidRDefault="00123D10" w:rsidP="00123D10">
      <w:pPr>
        <w:spacing w:before="100" w:beforeAutospacing="1" w:after="100" w:afterAutospacing="1" w:line="360" w:lineRule="auto"/>
        <w:jc w:val="both"/>
      </w:pPr>
      <w:r w:rsidRPr="001A076D">
        <w:t>Purposive sampling was adopted to ensure that participants had relevant experience of predictive analytics, data governance and strategic decision-making. This approach is appropriate where participants are selected based on their ability to provide information relevant to the research questions rather than statistical representativeness (Patton, 2015; Creswell &amp; Creswell, 2018).</w:t>
      </w:r>
    </w:p>
    <w:p w14:paraId="05D75C1F" w14:textId="77777777" w:rsidR="00123D10" w:rsidRPr="001A076D" w:rsidRDefault="00123D10" w:rsidP="00123D10">
      <w:pPr>
        <w:spacing w:before="100" w:beforeAutospacing="1" w:after="100" w:afterAutospacing="1" w:line="360" w:lineRule="auto"/>
        <w:jc w:val="both"/>
      </w:pPr>
      <w:r w:rsidRPr="001A076D">
        <w:t>For the quantitative phase, over 100 stakeholders were invited to participate, resulting in 66 valid survey responses. Although the sample was not statistically representative of the entire organisation, it was considered appropriate for exploratory analysis within a bounded organisational context. Fowler (2014) notes that moderate sample sizes can provide stable insights where the objective is analytical exploration rather than population inference.</w:t>
      </w:r>
    </w:p>
    <w:p w14:paraId="5A0208EF" w14:textId="2306FA79" w:rsidR="00EE272D" w:rsidRPr="001A076D" w:rsidRDefault="00123D10" w:rsidP="00EE272D">
      <w:pPr>
        <w:spacing w:before="100" w:beforeAutospacing="1" w:after="100" w:afterAutospacing="1" w:line="360" w:lineRule="auto"/>
        <w:jc w:val="both"/>
      </w:pPr>
      <w:r w:rsidRPr="001A076D">
        <w:t xml:space="preserve">For the qualitative phase, eight semi-structured interviews were conducted with purposively selected participants occupying roles in data governance, analytics, operations and strategic leadership. </w:t>
      </w:r>
      <w:r w:rsidR="0042004D" w:rsidRPr="001A076D">
        <w:t xml:space="preserve">By selecting participants from various organisational functions and levels of responsibility, we ensured representation of both technical and managerial perspectives on </w:t>
      </w:r>
      <w:r w:rsidR="00D2039B" w:rsidRPr="001A076D">
        <w:t xml:space="preserve">the </w:t>
      </w:r>
      <w:r w:rsidR="00D2039B" w:rsidRPr="001A076D">
        <w:lastRenderedPageBreak/>
        <w:t>adoption and governance of predictive analytics.</w:t>
      </w:r>
      <w:r w:rsidRPr="001A076D">
        <w:t xml:space="preserve"> This diversity of roles enabled the study to capture a range of organisational experiences relevant to the research questions. Guest et al. (2006) suggest that thematic saturation in focused qualitative studies is commonly achieved within 6–12 interviews, supporting the adequacy of the sample for this study. </w:t>
      </w:r>
    </w:p>
    <w:p w14:paraId="592A3C46" w14:textId="61890647" w:rsidR="00123D10" w:rsidRPr="001A076D" w:rsidRDefault="00123D10" w:rsidP="00E976DA">
      <w:pPr>
        <w:spacing w:before="100" w:beforeAutospacing="1" w:after="100" w:afterAutospacing="1" w:line="360" w:lineRule="auto"/>
        <w:jc w:val="both"/>
      </w:pPr>
      <w:r w:rsidRPr="001A076D">
        <w:t>Overall, sampling decisions were guided by participants' relevance to the research questions and their ability to provide rich contextual insights rather than achieving statistical generalisation (Patton, 2015; Creswell &amp; Creswell, 2018).</w:t>
      </w:r>
    </w:p>
    <w:p w14:paraId="686A6614"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63" w:name="_Toc223079750"/>
      <w:bookmarkStart w:id="64" w:name="_Toc236033361"/>
      <w:r w:rsidRPr="001A076D">
        <w:rPr>
          <w:rFonts w:ascii="Times New Roman" w:eastAsia="Times New Roman" w:hAnsi="Times New Roman" w:cs="Times New Roman"/>
          <w:b/>
          <w:bCs/>
          <w:color w:val="auto"/>
          <w:sz w:val="28"/>
          <w:szCs w:val="28"/>
        </w:rPr>
        <w:t>3.7 Data Collection Procedures</w:t>
      </w:r>
      <w:bookmarkEnd w:id="63"/>
      <w:bookmarkEnd w:id="64"/>
    </w:p>
    <w:p w14:paraId="54337EA0" w14:textId="77777777" w:rsidR="00DE2F1B" w:rsidRPr="001A076D" w:rsidRDefault="00DE2F1B" w:rsidP="00DE2F1B">
      <w:pPr>
        <w:spacing w:before="100" w:beforeAutospacing="1" w:after="100" w:afterAutospacing="1" w:line="360" w:lineRule="auto"/>
        <w:jc w:val="both"/>
      </w:pPr>
      <w:r w:rsidRPr="001A076D">
        <w:t>The survey was administered using Microsoft Forms via a secure online platform. An invitation containing the participant information sheet, consent statement and survey link was distributed by email to eligible participants. The questionnaire remained open for four weeks, with two reminder emails issued to improve the response rate. Prior to distribution, the instrument was piloted with four staff members from different departments to assess clarity, relevance and question wording. Feedback resulted in minor amendments to improve clarity and reduce the risk of measurement error.</w:t>
      </w:r>
    </w:p>
    <w:p w14:paraId="568DAE6B" w14:textId="77777777" w:rsidR="00DE2F1B" w:rsidRPr="001A076D" w:rsidRDefault="00DE2F1B" w:rsidP="00DE2F1B">
      <w:pPr>
        <w:spacing w:before="100" w:beforeAutospacing="1" w:after="100" w:afterAutospacing="1" w:line="360" w:lineRule="auto"/>
        <w:jc w:val="both"/>
      </w:pPr>
      <w:r w:rsidRPr="001A076D">
        <w:t>Semi-structured interviews were conducted individually via Microsoft Teams using encrypted video conferencing. Each interview lasted approximately 45–60 minutes and followed a semi-structured interview guide aligned with the research objectives. With participants' informed consent, interviews were audio-recorded and transcribed verbatim.</w:t>
      </w:r>
    </w:p>
    <w:p w14:paraId="14692719" w14:textId="77777777" w:rsidR="00DE2F1B" w:rsidRPr="001A076D" w:rsidRDefault="00DE2F1B" w:rsidP="00DE2F1B">
      <w:pPr>
        <w:spacing w:before="100" w:beforeAutospacing="1" w:after="100" w:afterAutospacing="1" w:line="360" w:lineRule="auto"/>
        <w:jc w:val="both"/>
      </w:pPr>
      <w:r w:rsidRPr="001A076D">
        <w:t>AI-assisted transcription software was used to produce initial transcript drafts. However, each transcript was manually reviewed against the original audio recording to correct transcription errors, verify accuracy and ensure completeness before analysis. This process enhanced the reliability and auditability of the qualitative data.</w:t>
      </w:r>
    </w:p>
    <w:p w14:paraId="764A086C" w14:textId="4A474A75" w:rsidR="00DE2F1B" w:rsidRPr="001A076D" w:rsidRDefault="00DE2F1B" w:rsidP="00E976DA">
      <w:pPr>
        <w:spacing w:before="100" w:beforeAutospacing="1" w:after="100" w:afterAutospacing="1" w:line="360" w:lineRule="auto"/>
        <w:jc w:val="both"/>
      </w:pPr>
      <w:r w:rsidRPr="001A076D">
        <w:t>All survey responses, interview recordings and transcripts were stored securely on password-protected organisational systems in accordance with the University's ethical requirements and applicable UK GDPR and organisational data protection policies.</w:t>
      </w:r>
      <w:r w:rsidR="00E8645D" w:rsidRPr="001A076D">
        <w:t xml:space="preserve"> </w:t>
      </w:r>
      <w:r w:rsidR="000F4331" w:rsidRPr="001A076D">
        <w:t>A summary of the interview participants, including their organisational roles and interview durations, is provided in Appendix 7.</w:t>
      </w:r>
    </w:p>
    <w:p w14:paraId="09BDD984"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65" w:name="_Toc223079751"/>
      <w:bookmarkStart w:id="66" w:name="_Toc236033362"/>
      <w:r w:rsidRPr="001A076D">
        <w:rPr>
          <w:rFonts w:ascii="Times New Roman" w:eastAsia="Times New Roman" w:hAnsi="Times New Roman" w:cs="Times New Roman"/>
          <w:b/>
          <w:bCs/>
          <w:color w:val="auto"/>
          <w:sz w:val="28"/>
          <w:szCs w:val="28"/>
        </w:rPr>
        <w:lastRenderedPageBreak/>
        <w:t>3.8 Data Analysis Techniques</w:t>
      </w:r>
      <w:bookmarkEnd w:id="65"/>
      <w:bookmarkEnd w:id="66"/>
    </w:p>
    <w:p w14:paraId="563B6CE9" w14:textId="44F899D7" w:rsidR="00C83A65" w:rsidRPr="001A076D" w:rsidRDefault="00C83A65" w:rsidP="00C83A65">
      <w:pPr>
        <w:spacing w:before="100" w:beforeAutospacing="1" w:after="100" w:afterAutospacing="1" w:line="360" w:lineRule="auto"/>
        <w:jc w:val="both"/>
      </w:pPr>
      <w:r w:rsidRPr="001A076D">
        <w:t>Quantitative data were analysed using IBM SPSS Statistics to generate descriptive statistics, reliability tests, composite indices, and exploratory correlations. These analyses were used to examine central tendencies, dispersion, and associations between governance maturity indicators and executive trust levels. Internal consistency was assessed using Cronbach’s alpha in line with established reliability thresholds (Field, 2018).</w:t>
      </w:r>
    </w:p>
    <w:p w14:paraId="170AD04A" w14:textId="6ABE0EF9" w:rsidR="00C83A65" w:rsidRPr="001A076D" w:rsidRDefault="00C83A65" w:rsidP="00C83A65">
      <w:pPr>
        <w:spacing w:before="100" w:beforeAutospacing="1" w:after="100" w:afterAutospacing="1" w:line="360" w:lineRule="auto"/>
        <w:jc w:val="both"/>
      </w:pPr>
      <w:r w:rsidRPr="001A076D">
        <w:t xml:space="preserve">Qualitative interview transcripts were imported into NVivo and analysed using thematic analysis (Braun and Clarke, 2006). Coding combined deductive categories derived from DELTA and DCAM with inductive themes emerging from participant narratives. The analysis was iterative and involved comparison across roles to identify convergence, divergence, and explanatory patterns. Integration occurred at the interpretation stage, where quantitative patterns were contextualised </w:t>
      </w:r>
      <w:r w:rsidR="0042004D" w:rsidRPr="001A076D">
        <w:t>by</w:t>
      </w:r>
      <w:r w:rsidRPr="001A076D">
        <w:t xml:space="preserve"> qualitative evidence.</w:t>
      </w:r>
    </w:p>
    <w:p w14:paraId="5895B46D"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67" w:name="_Toc223079752"/>
      <w:bookmarkStart w:id="68" w:name="_Toc236033363"/>
      <w:r w:rsidRPr="001A076D">
        <w:rPr>
          <w:rFonts w:ascii="Times New Roman" w:eastAsia="Times New Roman" w:hAnsi="Times New Roman" w:cs="Times New Roman"/>
          <w:b/>
          <w:bCs/>
          <w:color w:val="auto"/>
          <w:sz w:val="28"/>
          <w:szCs w:val="28"/>
        </w:rPr>
        <w:t>3.9 Positionality and Reflexivity</w:t>
      </w:r>
      <w:bookmarkEnd w:id="67"/>
      <w:bookmarkEnd w:id="68"/>
    </w:p>
    <w:p w14:paraId="6AC4986D" w14:textId="77777777" w:rsidR="00D4547D" w:rsidRPr="001A076D" w:rsidRDefault="00D4547D" w:rsidP="00D4547D">
      <w:pPr>
        <w:spacing w:before="100" w:beforeAutospacing="1" w:after="100" w:afterAutospacing="1" w:line="360" w:lineRule="auto"/>
        <w:jc w:val="both"/>
      </w:pPr>
      <w:r w:rsidRPr="001A076D">
        <w:t>The researcher has professional experience in data governance and organisational data strategy, including governance frameworks, stewardship models and maturity assessments. While this background facilitated informed questioning and contextual understanding, it also created the potential for interpretive bias during data collection and analysis. Reflexivity is recognised as an important strategy for enhancing the credibility and trustworthiness of qualitative research by encouraging researchers to critically examine how their knowledge, assumptions and experiences may influence the research process (Berger, 2015; Creswell &amp; Creswell, 2018).</w:t>
      </w:r>
    </w:p>
    <w:p w14:paraId="13188DA7" w14:textId="77777777" w:rsidR="00D4547D" w:rsidRPr="001A076D" w:rsidRDefault="00D4547D" w:rsidP="00D4547D">
      <w:pPr>
        <w:spacing w:before="100" w:beforeAutospacing="1" w:after="100" w:afterAutospacing="1" w:line="360" w:lineRule="auto"/>
        <w:jc w:val="both"/>
      </w:pPr>
      <w:r w:rsidRPr="001A076D">
        <w:t>To minimise this risk, reflexivity was embedded throughout the study. A reflexive journal was maintained to document methodological decisions, emerging interpretations and potential assumptions. Interview transcripts were reviewed iteratively, and qualitative coding was grounded in participants' verbatim accounts to ensure that interpretations reflected the data rather than prior professional experience. Alternative explanations were also considered during analysis to reduce the likelihood of confirmation bias (Lincoln &amp; Guba, 1985).</w:t>
      </w:r>
    </w:p>
    <w:p w14:paraId="7536718A" w14:textId="28537D70" w:rsidR="00D4547D" w:rsidRPr="001A076D" w:rsidRDefault="00D4547D" w:rsidP="0030715F">
      <w:pPr>
        <w:spacing w:before="100" w:beforeAutospacing="1" w:after="100" w:afterAutospacing="1" w:line="360" w:lineRule="auto"/>
        <w:jc w:val="both"/>
      </w:pPr>
      <w:r w:rsidRPr="001A076D">
        <w:t>During the quantitative phase, statistical analyses were conducted and interpreted based on the observed data without imposing predetermined expectations regarding the direction or strength of relationships. Collectively, these measures enhanced the transparency, credibility and confirmability of the research process.</w:t>
      </w:r>
    </w:p>
    <w:p w14:paraId="627A981B"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69" w:name="_Toc223079753"/>
      <w:bookmarkStart w:id="70" w:name="_Toc236033364"/>
      <w:r w:rsidRPr="001A076D">
        <w:rPr>
          <w:rFonts w:ascii="Times New Roman" w:eastAsia="Times New Roman" w:hAnsi="Times New Roman" w:cs="Times New Roman"/>
          <w:b/>
          <w:bCs/>
          <w:color w:val="auto"/>
          <w:sz w:val="28"/>
          <w:szCs w:val="28"/>
        </w:rPr>
        <w:lastRenderedPageBreak/>
        <w:t>3.10 Validity, Reliability and Trustworthiness</w:t>
      </w:r>
      <w:bookmarkEnd w:id="69"/>
      <w:bookmarkEnd w:id="70"/>
    </w:p>
    <w:p w14:paraId="76DDA977" w14:textId="037ACE7D" w:rsidR="00CE0C88" w:rsidRPr="001A076D" w:rsidRDefault="00CE0C88" w:rsidP="00E976DA">
      <w:pPr>
        <w:spacing w:before="100" w:beforeAutospacing="1" w:after="100" w:afterAutospacing="1" w:line="360" w:lineRule="auto"/>
        <w:jc w:val="both"/>
      </w:pPr>
      <w:r w:rsidRPr="001A076D">
        <w:t xml:space="preserve">Methodological rigour was addressed through validity, reliability, and qualitative trustworthiness </w:t>
      </w:r>
      <w:r w:rsidR="0042004D" w:rsidRPr="001A076D">
        <w:t>in</w:t>
      </w:r>
      <w:r w:rsidRPr="001A076D">
        <w:t xml:space="preserve"> both phases of the study.</w:t>
      </w:r>
    </w:p>
    <w:p w14:paraId="31CE17CD" w14:textId="77777777" w:rsidR="00B022C6" w:rsidRPr="001A076D" w:rsidRDefault="00B022C6" w:rsidP="00E976DA">
      <w:pPr>
        <w:spacing w:before="100" w:beforeAutospacing="1" w:after="100" w:afterAutospacing="1" w:line="360" w:lineRule="auto"/>
        <w:jc w:val="both"/>
      </w:pPr>
      <w:r w:rsidRPr="001A076D">
        <w:t>Construct validity was strengthened through explicit theoretical mapping between conceptual frameworks and empirical instruments. Survey items were derived directly from DELTA and DCAM constructs rather than generated independently of theory. This reduced the risk of conceptual inconsistency and reinforced the link between research questions, theoretical framing, and measurement design. Interview prompts were similarly aligned with these constructs, ensuring coherence between phases.</w:t>
      </w:r>
    </w:p>
    <w:p w14:paraId="4A73E478" w14:textId="77777777" w:rsidR="00B022C6" w:rsidRPr="001A076D" w:rsidRDefault="00B022C6" w:rsidP="00E976DA">
      <w:pPr>
        <w:spacing w:before="100" w:beforeAutospacing="1" w:after="100" w:afterAutospacing="1" w:line="360" w:lineRule="auto"/>
        <w:jc w:val="both"/>
      </w:pPr>
      <w:r w:rsidRPr="001A076D">
        <w:t>Internal validity was enhanced through methodological triangulation (Denzin, 1978). Patterns observed in the quantitative survey were examined alongside qualitative narratives to determine whether they converged, diverged, or required reinterpretation. When discrepancies emerged, such as high reported governance maturity being paired with interview accounts of informal workaround practices, these tensions were considered analytically significant rather than problematic. This comparative process reduced reliance on a single source of inference.</w:t>
      </w:r>
    </w:p>
    <w:p w14:paraId="5B10B6FE" w14:textId="795AE8E8" w:rsidR="00B022C6" w:rsidRPr="001A076D" w:rsidRDefault="00B022C6" w:rsidP="00E976DA">
      <w:pPr>
        <w:spacing w:before="100" w:beforeAutospacing="1" w:after="100" w:afterAutospacing="1" w:line="360" w:lineRule="auto"/>
        <w:jc w:val="both"/>
      </w:pPr>
      <w:r w:rsidRPr="001A076D">
        <w:t xml:space="preserve">Reliability in the quantitative phase was supported </w:t>
      </w:r>
      <w:r w:rsidR="00C74918" w:rsidRPr="001A076D">
        <w:t xml:space="preserve">by consistent survey administration and </w:t>
      </w:r>
      <w:r w:rsidRPr="001A076D">
        <w:t>established statistical measures. Composite indices were assessed for internal consistency using Cronbach’s alpha (Field, 2018), ensuring that grouped items measured coherent constructs.</w:t>
      </w:r>
    </w:p>
    <w:p w14:paraId="2B492197" w14:textId="1D8E95A8" w:rsidR="00B022C6" w:rsidRPr="001A076D" w:rsidRDefault="00B022C6" w:rsidP="00E976DA">
      <w:pPr>
        <w:spacing w:before="100" w:beforeAutospacing="1" w:after="100" w:afterAutospacing="1" w:line="360" w:lineRule="auto"/>
        <w:jc w:val="both"/>
      </w:pPr>
      <w:r w:rsidRPr="001A076D">
        <w:t>In the qualitative phase, trustworthiness was reinforced through several complementary strategies. Verbatim transcription preserved the integrity of participant accounts. Coding was conducted systematically and iteratively, with codes refined as patterns developed. An audit trail was maintained</w:t>
      </w:r>
      <w:r w:rsidR="00C74918" w:rsidRPr="001A076D">
        <w:t xml:space="preserve"> to document</w:t>
      </w:r>
      <w:r w:rsidRPr="001A076D">
        <w:t xml:space="preserve"> coding decisions, revisions, and theme evolution, enhancing dependability and transparency.</w:t>
      </w:r>
    </w:p>
    <w:p w14:paraId="2F9A663D" w14:textId="52841E73" w:rsidR="00B022C6" w:rsidRPr="001A076D" w:rsidRDefault="00B022C6" w:rsidP="00E976DA">
      <w:pPr>
        <w:spacing w:before="100" w:beforeAutospacing="1" w:after="100" w:afterAutospacing="1" w:line="360" w:lineRule="auto"/>
        <w:jc w:val="both"/>
      </w:pPr>
      <w:r w:rsidRPr="001A076D">
        <w:t xml:space="preserve">Credibility was strengthened </w:t>
      </w:r>
      <w:r w:rsidR="00C74918" w:rsidRPr="001A076D">
        <w:t>by using direct quotations when</w:t>
      </w:r>
      <w:r w:rsidRPr="001A076D">
        <w:t xml:space="preserve"> reporting findings, allowing readers to assess the connection between evidence and interpretation. Reflexive awareness further supported confirmability by demonstrating that interpretations were critically examined rather than uncritically assumed.</w:t>
      </w:r>
    </w:p>
    <w:p w14:paraId="5150F778"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71" w:name="_Toc223079754"/>
      <w:bookmarkStart w:id="72" w:name="_Toc236033365"/>
      <w:r w:rsidRPr="001A076D">
        <w:rPr>
          <w:rFonts w:ascii="Times New Roman" w:eastAsia="Times New Roman" w:hAnsi="Times New Roman" w:cs="Times New Roman"/>
          <w:b/>
          <w:bCs/>
          <w:color w:val="auto"/>
          <w:sz w:val="28"/>
          <w:szCs w:val="28"/>
        </w:rPr>
        <w:lastRenderedPageBreak/>
        <w:t>3.11 Ethical Considerations</w:t>
      </w:r>
      <w:bookmarkEnd w:id="71"/>
      <w:bookmarkEnd w:id="72"/>
    </w:p>
    <w:p w14:paraId="0EF676CF" w14:textId="77777777" w:rsidR="00CF6338" w:rsidRPr="001A076D" w:rsidRDefault="00CF6338" w:rsidP="00CF6338">
      <w:pPr>
        <w:spacing w:before="100" w:beforeAutospacing="1" w:after="100" w:afterAutospacing="1" w:line="360" w:lineRule="auto"/>
        <w:jc w:val="both"/>
      </w:pPr>
      <w:r w:rsidRPr="001A076D">
        <w:t>Ethical approval for this research was obtained through the University of Wales Trinity Saint David (UWTSD) Postgraduate Research Ethics (PG2) approval process before data collection commenced (see Appendix 1). The study was conducted in accordance with the University's Research Ethics Policy and the ethical principles of informed consent, confidentiality, voluntary participation and the right to withdraw (British Educational Research Association [BERA], 2024).</w:t>
      </w:r>
    </w:p>
    <w:p w14:paraId="20389B06" w14:textId="77777777" w:rsidR="00CF6338" w:rsidRPr="001A076D" w:rsidRDefault="00CF6338" w:rsidP="00CF6338">
      <w:pPr>
        <w:spacing w:before="100" w:beforeAutospacing="1" w:after="100" w:afterAutospacing="1" w:line="360" w:lineRule="auto"/>
        <w:jc w:val="both"/>
      </w:pPr>
      <w:r w:rsidRPr="001A076D">
        <w:t>Participants received a Participant Information Sheet and Consent Form (see Appendix 2) explaining the purpose of the research, the use of the data and their rights as participants. Written informed consent was obtained before survey participation and interview recording.</w:t>
      </w:r>
    </w:p>
    <w:p w14:paraId="369FF505" w14:textId="77777777" w:rsidR="00CF6338" w:rsidRPr="001A076D" w:rsidRDefault="00CF6338" w:rsidP="00CF6338">
      <w:pPr>
        <w:spacing w:before="100" w:beforeAutospacing="1" w:after="100" w:afterAutospacing="1" w:line="360" w:lineRule="auto"/>
        <w:jc w:val="both"/>
      </w:pPr>
      <w:r w:rsidRPr="001A076D">
        <w:t>Given the organisational context, the seniority of the participants and the researcher's professional role within SSE plc, confidentiality was a key consideration (Saunders, Lewis, &amp; Thornhill, 2019). Identifiable information was removed during transcription and reporting, and quotations were anonymised to protect participants, business areas and commercially sensitive information.</w:t>
      </w:r>
    </w:p>
    <w:p w14:paraId="24051F16" w14:textId="19E6D392" w:rsidR="00CF6338" w:rsidRPr="001A076D" w:rsidRDefault="00CF6338" w:rsidP="00E976DA">
      <w:pPr>
        <w:spacing w:before="100" w:beforeAutospacing="1" w:after="100" w:afterAutospacing="1" w:line="360" w:lineRule="auto"/>
        <w:jc w:val="both"/>
      </w:pPr>
      <w:r w:rsidRPr="001A076D">
        <w:t>All research data were stored securely on password-protected systems in accordance with the UK GDPR, the Data Protection Act 2018 and the University's data management procedures. Access to raw data was restricted to the researcher, and audio recordings were deleted following transcription verification. Findings were reported accurately and responsibly while maintaining participant confidentiality (Creswell &amp; Creswell, 2018).</w:t>
      </w:r>
      <w:r w:rsidR="00EE272D" w:rsidRPr="001A076D">
        <w:t xml:space="preserve"> </w:t>
      </w:r>
    </w:p>
    <w:p w14:paraId="63F778E7" w14:textId="62154DE4" w:rsidR="00D4547D" w:rsidRPr="001A076D" w:rsidRDefault="00B022C6" w:rsidP="00D4547D">
      <w:pPr>
        <w:pStyle w:val="Heading2"/>
        <w:spacing w:line="360" w:lineRule="auto"/>
        <w:jc w:val="both"/>
        <w:rPr>
          <w:rFonts w:ascii="Times New Roman" w:eastAsia="Times New Roman" w:hAnsi="Times New Roman" w:cs="Times New Roman"/>
          <w:b/>
          <w:bCs/>
          <w:color w:val="auto"/>
          <w:sz w:val="28"/>
          <w:szCs w:val="28"/>
        </w:rPr>
      </w:pPr>
      <w:bookmarkStart w:id="73" w:name="_Toc223079755"/>
      <w:bookmarkStart w:id="74" w:name="_Toc236033366"/>
      <w:r w:rsidRPr="001A076D">
        <w:rPr>
          <w:rFonts w:ascii="Times New Roman" w:eastAsia="Times New Roman" w:hAnsi="Times New Roman" w:cs="Times New Roman"/>
          <w:b/>
          <w:bCs/>
          <w:color w:val="auto"/>
          <w:sz w:val="28"/>
          <w:szCs w:val="28"/>
        </w:rPr>
        <w:t>3.12 Methodological Limitations</w:t>
      </w:r>
      <w:bookmarkEnd w:id="73"/>
      <w:bookmarkEnd w:id="74"/>
    </w:p>
    <w:p w14:paraId="3DAC08D3" w14:textId="39CF7869" w:rsidR="00D4547D" w:rsidRPr="001A076D" w:rsidRDefault="00D4547D" w:rsidP="00D4547D">
      <w:pPr>
        <w:spacing w:before="100" w:beforeAutospacing="1" w:after="100" w:afterAutospacing="1" w:line="360" w:lineRule="auto"/>
        <w:jc w:val="both"/>
      </w:pPr>
      <w:r w:rsidRPr="001A076D">
        <w:t xml:space="preserve">As a single embedded case study, the findings are specific to SSE plc and cannot be statistically generalised beyond the </w:t>
      </w:r>
      <w:r w:rsidR="0042004D" w:rsidRPr="001A076D">
        <w:t>study's context.</w:t>
      </w:r>
      <w:r w:rsidRPr="001A076D">
        <w:t xml:space="preserve"> However, they may provide analytical </w:t>
      </w:r>
      <w:r w:rsidR="0042004D" w:rsidRPr="001A076D">
        <w:t>insights that are applicable</w:t>
      </w:r>
      <w:r w:rsidRPr="001A076D">
        <w:t xml:space="preserve"> to similar regulated organisations (Yin, 2018).</w:t>
      </w:r>
    </w:p>
    <w:p w14:paraId="0BDB4F43" w14:textId="77777777" w:rsidR="00D4547D" w:rsidRPr="001A076D" w:rsidRDefault="00D4547D" w:rsidP="00D4547D">
      <w:pPr>
        <w:spacing w:before="100" w:beforeAutospacing="1" w:after="100" w:afterAutospacing="1" w:line="360" w:lineRule="auto"/>
        <w:jc w:val="both"/>
      </w:pPr>
      <w:r w:rsidRPr="001A076D">
        <w:t>The study relied on self-reported survey responses and interview data, which may be influenced by social desirability, organisational perspectives or participants' individual experiences (Saunders et al., 2019).</w:t>
      </w:r>
    </w:p>
    <w:p w14:paraId="777C7130" w14:textId="77777777" w:rsidR="00D4547D" w:rsidRPr="001A076D" w:rsidRDefault="00D4547D" w:rsidP="00D4547D">
      <w:pPr>
        <w:spacing w:before="100" w:beforeAutospacing="1" w:after="100" w:afterAutospacing="1" w:line="360" w:lineRule="auto"/>
        <w:jc w:val="both"/>
      </w:pPr>
      <w:r w:rsidRPr="001A076D">
        <w:t>Consistent with the sequential explanatory mixed-methods design, qualitative findings were used to explain and provide context for the quantitative results rather than independently validate them (Creswell &amp; Plano Clark, 2018). Integration of both datasets occurred during interpretation to provide a more comprehensive understanding of the research problem.</w:t>
      </w:r>
    </w:p>
    <w:p w14:paraId="43D14ACA" w14:textId="665A1C89" w:rsidR="00D4547D" w:rsidRPr="001A076D" w:rsidRDefault="00D4547D" w:rsidP="00E976DA">
      <w:pPr>
        <w:spacing w:before="100" w:beforeAutospacing="1" w:after="100" w:afterAutospacing="1" w:line="360" w:lineRule="auto"/>
        <w:jc w:val="both"/>
      </w:pPr>
      <w:r w:rsidRPr="001A076D">
        <w:lastRenderedPageBreak/>
        <w:t>Finally, although reflexive practices were employed throughout the study, the researcher's professional background may have influenced aspects of interpretation. The use of a reflexive journal and evidence-based interpretation helped to minimise this risk and enhance the credibility of the findings (Lincoln &amp; Guba, 1985).</w:t>
      </w:r>
    </w:p>
    <w:p w14:paraId="2630066C"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75" w:name="_Toc223079756"/>
      <w:bookmarkStart w:id="76" w:name="_Toc236033367"/>
      <w:r w:rsidRPr="001A076D">
        <w:rPr>
          <w:rFonts w:ascii="Times New Roman" w:eastAsia="Times New Roman" w:hAnsi="Times New Roman" w:cs="Times New Roman"/>
          <w:b/>
          <w:bCs/>
          <w:color w:val="auto"/>
          <w:sz w:val="28"/>
          <w:szCs w:val="28"/>
        </w:rPr>
        <w:t>3.13 Limited Use of AI</w:t>
      </w:r>
      <w:bookmarkEnd w:id="75"/>
      <w:bookmarkEnd w:id="76"/>
    </w:p>
    <w:p w14:paraId="40D4D3C3" w14:textId="77777777" w:rsidR="00D4547D" w:rsidRPr="001A076D" w:rsidRDefault="00D4547D" w:rsidP="00D4547D">
      <w:pPr>
        <w:pStyle w:val="NormalWeb"/>
        <w:spacing w:line="360" w:lineRule="auto"/>
        <w:jc w:val="both"/>
      </w:pPr>
      <w:r w:rsidRPr="001A076D">
        <w:t>AI-assisted tools were used only to support the transcription of interview recordings and language refinement during manuscript preparation. Automated transcription software was used to generate initial transcript drafts, which were subsequently reviewed manually against the original recordings to verify accuracy and completeness.</w:t>
      </w:r>
    </w:p>
    <w:p w14:paraId="3FCCA6F2" w14:textId="77777777" w:rsidR="00D4547D" w:rsidRPr="001A076D" w:rsidRDefault="00D4547D" w:rsidP="00D4547D">
      <w:pPr>
        <w:pStyle w:val="NormalWeb"/>
        <w:spacing w:line="360" w:lineRule="auto"/>
        <w:jc w:val="both"/>
      </w:pPr>
      <w:r w:rsidRPr="001A076D">
        <w:t xml:space="preserve">Grammarly was used to assist with grammar, spelling, punctuation and language clarity. AI tools were </w:t>
      </w:r>
      <w:r w:rsidRPr="001A076D">
        <w:rPr>
          <w:b/>
          <w:bCs/>
        </w:rPr>
        <w:t>not</w:t>
      </w:r>
      <w:r w:rsidRPr="001A076D">
        <w:t xml:space="preserve"> used for coding, thematic analysis, statistical analysis, interpretation of findings or the generation of conclusions.</w:t>
      </w:r>
    </w:p>
    <w:p w14:paraId="2296D055" w14:textId="47784D84" w:rsidR="00D4547D" w:rsidRPr="001A076D" w:rsidRDefault="0042004D" w:rsidP="00E976DA">
      <w:pPr>
        <w:pStyle w:val="NormalWeb"/>
        <w:spacing w:line="360" w:lineRule="auto"/>
        <w:jc w:val="both"/>
      </w:pPr>
      <w:r w:rsidRPr="001A076D">
        <w:t>The researcher solely undertook all analytical decisions, qualitative coding, statistical analyses, and interpretations.</w:t>
      </w:r>
      <w:r w:rsidR="00D4547D" w:rsidRPr="001A076D">
        <w:t xml:space="preserve"> Accordingly, AI was used only as an administrative and language-support tool and did not influence the research findings.</w:t>
      </w:r>
    </w:p>
    <w:p w14:paraId="02302E29" w14:textId="6ED4DC03" w:rsidR="00035E36" w:rsidRPr="001A076D" w:rsidRDefault="00035E36" w:rsidP="00E976DA">
      <w:pPr>
        <w:pStyle w:val="NormalWeb"/>
        <w:spacing w:line="360" w:lineRule="auto"/>
        <w:jc w:val="both"/>
      </w:pPr>
      <w:r w:rsidRPr="001A076D">
        <w:t>Supporting research materials, including the ethical approval documentation, participant information sheet and consent form, survey instrument, interview guide, anonymised transcript extracts, and detailed SPSS and NVivo outputs, are provided in Appendices 1–</w:t>
      </w:r>
      <w:r w:rsidR="00E8645D" w:rsidRPr="001A076D">
        <w:t>7</w:t>
      </w:r>
      <w:r w:rsidRPr="001A076D">
        <w:t xml:space="preserve"> to enhance transparency and support the methodological rigour of the study.</w:t>
      </w:r>
    </w:p>
    <w:p w14:paraId="537FBC1C" w14:textId="77777777" w:rsidR="00B022C6" w:rsidRPr="001A076D" w:rsidRDefault="00B022C6" w:rsidP="00E976DA">
      <w:pPr>
        <w:pStyle w:val="Heading2"/>
        <w:spacing w:line="360" w:lineRule="auto"/>
        <w:jc w:val="both"/>
        <w:rPr>
          <w:rFonts w:ascii="Times New Roman" w:eastAsia="Times New Roman" w:hAnsi="Times New Roman" w:cs="Times New Roman"/>
          <w:b/>
          <w:bCs/>
          <w:color w:val="auto"/>
          <w:sz w:val="28"/>
          <w:szCs w:val="28"/>
        </w:rPr>
      </w:pPr>
      <w:bookmarkStart w:id="77" w:name="_Toc223079757"/>
      <w:bookmarkStart w:id="78" w:name="_Toc236033368"/>
      <w:r w:rsidRPr="001A076D">
        <w:rPr>
          <w:rFonts w:ascii="Times New Roman" w:eastAsia="Times New Roman" w:hAnsi="Times New Roman" w:cs="Times New Roman"/>
          <w:b/>
          <w:bCs/>
          <w:color w:val="auto"/>
          <w:sz w:val="28"/>
          <w:szCs w:val="28"/>
        </w:rPr>
        <w:t>3.14 Chapter Summary</w:t>
      </w:r>
      <w:bookmarkEnd w:id="77"/>
      <w:bookmarkEnd w:id="78"/>
    </w:p>
    <w:p w14:paraId="6C875FFA" w14:textId="77777777" w:rsidR="000B6C61" w:rsidRPr="001A076D" w:rsidRDefault="000B6C61" w:rsidP="000B6C61">
      <w:pPr>
        <w:pStyle w:val="p1"/>
      </w:pPr>
      <w:r w:rsidRPr="001A076D">
        <w:t>This chapter has presented a coherent, theoretically grounded mixed-methods case study design.</w:t>
      </w:r>
    </w:p>
    <w:p w14:paraId="66605516" w14:textId="43C80C29" w:rsidR="00B022C6" w:rsidRPr="001A076D" w:rsidRDefault="00B022C6" w:rsidP="00E976DA">
      <w:pPr>
        <w:spacing w:before="100" w:beforeAutospacing="1" w:after="100" w:afterAutospacing="1" w:line="360" w:lineRule="auto"/>
        <w:jc w:val="both"/>
      </w:pPr>
      <w:r w:rsidRPr="001A076D">
        <w:t>The case study strategy was justified in relation to contextual embedding and analytical generalisation. The mixed-methods approach enabled an examination of predictive analytics readiness as a multidimensional organisational condition. Alignment between the DELTA and DCAM frameworks and empirical instruments was explicitly demonstrated.</w:t>
      </w:r>
    </w:p>
    <w:p w14:paraId="18AD21CF" w14:textId="77777777" w:rsidR="00B022C6" w:rsidRPr="001A076D" w:rsidRDefault="00B022C6" w:rsidP="00E976DA">
      <w:pPr>
        <w:spacing w:before="100" w:beforeAutospacing="1" w:after="100" w:afterAutospacing="1" w:line="360" w:lineRule="auto"/>
        <w:jc w:val="both"/>
      </w:pPr>
      <w:r w:rsidRPr="001A076D">
        <w:t xml:space="preserve">Sampling decisions were justified in relation to analytical objectives. Data collection, transcription, and analytical procedures were described in detail. Positionality and reflexivity were openly </w:t>
      </w:r>
      <w:r w:rsidRPr="001A076D">
        <w:lastRenderedPageBreak/>
        <w:t>addressed. Validity, reliability, and trustworthiness were strengthened through triangulation, systematic coding, and transparent documentation. Ethical safeguards were embedded throughout.</w:t>
      </w:r>
    </w:p>
    <w:p w14:paraId="2EBEEA4A" w14:textId="74C75F7F" w:rsidR="00B022C6" w:rsidRPr="001A076D" w:rsidRDefault="00B022C6" w:rsidP="00D71408">
      <w:pPr>
        <w:spacing w:before="100" w:beforeAutospacing="1" w:after="100" w:afterAutospacing="1" w:line="360" w:lineRule="auto"/>
        <w:jc w:val="both"/>
      </w:pPr>
      <w:r w:rsidRPr="001A076D">
        <w:t xml:space="preserve">The following chapter presents the quantitative findings, which provide the initial empirical insight into patterns of governance maturity, predictive analytics capability, and executive trust within SSE </w:t>
      </w:r>
      <w:r w:rsidR="00277819" w:rsidRPr="001A076D">
        <w:t>plc</w:t>
      </w:r>
      <w:r w:rsidRPr="001A076D">
        <w:t xml:space="preserve">, forming the basis </w:t>
      </w:r>
      <w:r w:rsidR="0042004D" w:rsidRPr="001A076D">
        <w:t>for an integrated</w:t>
      </w:r>
      <w:r w:rsidRPr="001A076D">
        <w:t xml:space="preserve"> analysis.</w:t>
      </w:r>
      <w:bookmarkEnd w:id="58"/>
    </w:p>
    <w:p w14:paraId="1FF41928" w14:textId="77777777" w:rsidR="006834CA" w:rsidRPr="001A076D" w:rsidRDefault="006834CA" w:rsidP="00D71408">
      <w:pPr>
        <w:spacing w:before="100" w:beforeAutospacing="1" w:after="100" w:afterAutospacing="1" w:line="360" w:lineRule="auto"/>
        <w:jc w:val="both"/>
      </w:pPr>
    </w:p>
    <w:p w14:paraId="4EA108ED" w14:textId="77777777" w:rsidR="00AC2C45" w:rsidRPr="001A076D" w:rsidRDefault="00AC2C45" w:rsidP="00D71408">
      <w:pPr>
        <w:spacing w:before="100" w:beforeAutospacing="1" w:after="100" w:afterAutospacing="1" w:line="360" w:lineRule="auto"/>
        <w:jc w:val="both"/>
      </w:pPr>
    </w:p>
    <w:p w14:paraId="415DB48F" w14:textId="77777777" w:rsidR="00AC2C45" w:rsidRPr="001A076D" w:rsidRDefault="00AC2C45" w:rsidP="00D71408">
      <w:pPr>
        <w:spacing w:before="100" w:beforeAutospacing="1" w:after="100" w:afterAutospacing="1" w:line="360" w:lineRule="auto"/>
        <w:jc w:val="both"/>
      </w:pPr>
    </w:p>
    <w:p w14:paraId="573AF19A" w14:textId="77777777" w:rsidR="00AC2C45" w:rsidRPr="001A076D" w:rsidRDefault="00AC2C45" w:rsidP="00D71408">
      <w:pPr>
        <w:spacing w:before="100" w:beforeAutospacing="1" w:after="100" w:afterAutospacing="1" w:line="360" w:lineRule="auto"/>
        <w:jc w:val="both"/>
      </w:pPr>
    </w:p>
    <w:p w14:paraId="1BD9AB5C" w14:textId="77777777" w:rsidR="00AC2C45" w:rsidRPr="001A076D" w:rsidRDefault="00AC2C45" w:rsidP="00D71408">
      <w:pPr>
        <w:spacing w:before="100" w:beforeAutospacing="1" w:after="100" w:afterAutospacing="1" w:line="360" w:lineRule="auto"/>
        <w:jc w:val="both"/>
      </w:pPr>
    </w:p>
    <w:p w14:paraId="44326BC7" w14:textId="77777777" w:rsidR="009941B8" w:rsidRPr="001A076D" w:rsidRDefault="009941B8" w:rsidP="00D71408">
      <w:pPr>
        <w:spacing w:before="100" w:beforeAutospacing="1" w:after="100" w:afterAutospacing="1" w:line="360" w:lineRule="auto"/>
        <w:jc w:val="both"/>
      </w:pPr>
    </w:p>
    <w:p w14:paraId="6A67353C" w14:textId="77777777" w:rsidR="009941B8" w:rsidRPr="001A076D" w:rsidRDefault="009941B8" w:rsidP="00D71408">
      <w:pPr>
        <w:spacing w:before="100" w:beforeAutospacing="1" w:after="100" w:afterAutospacing="1" w:line="360" w:lineRule="auto"/>
        <w:jc w:val="both"/>
      </w:pPr>
    </w:p>
    <w:p w14:paraId="7B557249" w14:textId="77777777" w:rsidR="009941B8" w:rsidRPr="001A076D" w:rsidRDefault="009941B8" w:rsidP="00D71408">
      <w:pPr>
        <w:spacing w:before="100" w:beforeAutospacing="1" w:after="100" w:afterAutospacing="1" w:line="360" w:lineRule="auto"/>
        <w:jc w:val="both"/>
      </w:pPr>
    </w:p>
    <w:p w14:paraId="775CB82A" w14:textId="77777777" w:rsidR="009941B8" w:rsidRPr="001A076D" w:rsidRDefault="009941B8" w:rsidP="00D71408">
      <w:pPr>
        <w:spacing w:before="100" w:beforeAutospacing="1" w:after="100" w:afterAutospacing="1" w:line="360" w:lineRule="auto"/>
        <w:jc w:val="both"/>
      </w:pPr>
    </w:p>
    <w:p w14:paraId="3FEA6E6E" w14:textId="77777777" w:rsidR="009941B8" w:rsidRPr="001A076D" w:rsidRDefault="009941B8" w:rsidP="00D71408">
      <w:pPr>
        <w:spacing w:before="100" w:beforeAutospacing="1" w:after="100" w:afterAutospacing="1" w:line="360" w:lineRule="auto"/>
        <w:jc w:val="both"/>
      </w:pPr>
    </w:p>
    <w:p w14:paraId="23BAA904" w14:textId="77777777" w:rsidR="009941B8" w:rsidRPr="001A076D" w:rsidRDefault="009941B8" w:rsidP="00D71408">
      <w:pPr>
        <w:spacing w:before="100" w:beforeAutospacing="1" w:after="100" w:afterAutospacing="1" w:line="360" w:lineRule="auto"/>
        <w:jc w:val="both"/>
      </w:pPr>
    </w:p>
    <w:p w14:paraId="60B12ECE" w14:textId="77777777" w:rsidR="009941B8" w:rsidRPr="001A076D" w:rsidRDefault="009941B8" w:rsidP="00D71408">
      <w:pPr>
        <w:spacing w:before="100" w:beforeAutospacing="1" w:after="100" w:afterAutospacing="1" w:line="360" w:lineRule="auto"/>
        <w:jc w:val="both"/>
      </w:pPr>
    </w:p>
    <w:p w14:paraId="0687F0B3" w14:textId="77777777" w:rsidR="009941B8" w:rsidRPr="001A076D" w:rsidRDefault="009941B8" w:rsidP="00D71408">
      <w:pPr>
        <w:spacing w:before="100" w:beforeAutospacing="1" w:after="100" w:afterAutospacing="1" w:line="360" w:lineRule="auto"/>
        <w:jc w:val="both"/>
      </w:pPr>
    </w:p>
    <w:p w14:paraId="2AE34E3F" w14:textId="77777777" w:rsidR="00F26DEF" w:rsidRPr="001A076D" w:rsidRDefault="00F26DEF" w:rsidP="008E5238">
      <w:pPr>
        <w:pStyle w:val="NormalWeb"/>
        <w:spacing w:line="360" w:lineRule="auto"/>
        <w:jc w:val="both"/>
      </w:pPr>
    </w:p>
    <w:p w14:paraId="405B236B" w14:textId="7899CBC1" w:rsidR="00016C69" w:rsidRPr="001A076D" w:rsidRDefault="00E857DE" w:rsidP="00E857DE">
      <w:pPr>
        <w:pStyle w:val="Heading1"/>
        <w:spacing w:line="360" w:lineRule="auto"/>
        <w:jc w:val="center"/>
        <w:rPr>
          <w:rFonts w:ascii="Times New Roman" w:hAnsi="Times New Roman" w:cs="Times New Roman"/>
          <w:b/>
          <w:bCs/>
          <w:color w:val="auto"/>
        </w:rPr>
      </w:pPr>
      <w:bookmarkStart w:id="79" w:name="_Toc236033369"/>
      <w:r w:rsidRPr="001A076D">
        <w:rPr>
          <w:rFonts w:ascii="Times New Roman" w:hAnsi="Times New Roman" w:cs="Times New Roman"/>
          <w:b/>
          <w:bCs/>
          <w:color w:val="auto"/>
        </w:rPr>
        <w:lastRenderedPageBreak/>
        <w:t>Chapter 4: Data Analysis and Research Findings</w:t>
      </w:r>
      <w:bookmarkEnd w:id="79"/>
    </w:p>
    <w:p w14:paraId="036A9A8A" w14:textId="77777777" w:rsidR="00016C69" w:rsidRPr="001A076D" w:rsidRDefault="00016C69" w:rsidP="00016C69">
      <w:pPr>
        <w:pStyle w:val="Heading2"/>
        <w:spacing w:line="360" w:lineRule="auto"/>
        <w:rPr>
          <w:rFonts w:ascii="Times New Roman" w:hAnsi="Times New Roman" w:cs="Times New Roman"/>
          <w:b/>
          <w:bCs/>
          <w:color w:val="auto"/>
        </w:rPr>
      </w:pPr>
      <w:bookmarkStart w:id="80" w:name="_Toc236033370"/>
      <w:r w:rsidRPr="001A076D">
        <w:rPr>
          <w:rFonts w:ascii="Times New Roman" w:hAnsi="Times New Roman" w:cs="Times New Roman"/>
          <w:b/>
          <w:bCs/>
          <w:color w:val="auto"/>
        </w:rPr>
        <w:t>4.1 Introduction</w:t>
      </w:r>
      <w:bookmarkEnd w:id="80"/>
    </w:p>
    <w:p w14:paraId="2BB74B5E" w14:textId="77777777" w:rsidR="00016C69" w:rsidRPr="001A076D" w:rsidRDefault="00016C69" w:rsidP="00016C69">
      <w:pPr>
        <w:pStyle w:val="pdq2pgselectionanchorcontainer"/>
        <w:spacing w:line="360" w:lineRule="auto"/>
        <w:jc w:val="both"/>
      </w:pPr>
      <w:r w:rsidRPr="001A076D">
        <w:t>This chapter presents the findings on the organisational factors influencing the strategic embedding of predictive analytics within SSE plc. The study follows a sequential explanatory mixed-methods design, presenting quantitative findings first and then interpreting them through qualitative evidence. The chapter is organised around the four research objectives, each comprising quantitative findings, qualitative explanation and an integrated mixed-method interpretation. Collectively, the findings provide the empirical basis for the Governance-Mediated Explainable Analytics Framework (GMEAF) presented in Chapter 5.</w:t>
      </w:r>
    </w:p>
    <w:p w14:paraId="31D32792" w14:textId="77777777" w:rsidR="00016C69" w:rsidRPr="001A076D" w:rsidRDefault="00016C69" w:rsidP="00016C69">
      <w:pPr>
        <w:pStyle w:val="Heading2"/>
        <w:spacing w:line="360" w:lineRule="auto"/>
        <w:rPr>
          <w:rFonts w:ascii="Times New Roman" w:hAnsi="Times New Roman" w:cs="Times New Roman"/>
          <w:b/>
          <w:bCs/>
          <w:color w:val="auto"/>
        </w:rPr>
      </w:pPr>
      <w:bookmarkStart w:id="81" w:name="_Toc236033371"/>
      <w:r w:rsidRPr="001A076D">
        <w:rPr>
          <w:rFonts w:ascii="Times New Roman" w:hAnsi="Times New Roman" w:cs="Times New Roman"/>
          <w:b/>
          <w:bCs/>
          <w:color w:val="auto"/>
        </w:rPr>
        <w:t>4.2 Research Objective 1: Predictive Analytics Capability and its Influence on Strategic Embedding (H1)</w:t>
      </w:r>
      <w:bookmarkEnd w:id="81"/>
    </w:p>
    <w:p w14:paraId="0CA1DE64" w14:textId="77777777" w:rsidR="00016C69" w:rsidRPr="001A076D" w:rsidRDefault="00016C69" w:rsidP="00016C69">
      <w:pPr>
        <w:spacing w:before="100" w:beforeAutospacing="1" w:after="100" w:afterAutospacing="1" w:line="360" w:lineRule="auto"/>
        <w:jc w:val="both"/>
      </w:pPr>
      <w:r w:rsidRPr="001A076D">
        <w:t>This research objective examined whether Predictive Analytics Capability (PAC) influences the strategic embedding of predictive analytics within SSE plc. Specifically, it assessed whether the organisation's analytical capability contributes to the routine use of predictive analytics in strategic decision-making.</w:t>
      </w:r>
    </w:p>
    <w:p w14:paraId="38DD4758" w14:textId="77777777" w:rsidR="00016C69" w:rsidRPr="001A076D" w:rsidRDefault="00016C69" w:rsidP="00016C69">
      <w:pPr>
        <w:pStyle w:val="Heading3"/>
        <w:spacing w:line="360" w:lineRule="auto"/>
        <w:rPr>
          <w:rFonts w:cs="Times New Roman"/>
          <w:b/>
          <w:bCs/>
          <w:color w:val="auto"/>
        </w:rPr>
      </w:pPr>
      <w:bookmarkStart w:id="82" w:name="_Toc236033372"/>
      <w:r w:rsidRPr="001A076D">
        <w:rPr>
          <w:rFonts w:cs="Times New Roman"/>
          <w:b/>
          <w:bCs/>
          <w:color w:val="auto"/>
        </w:rPr>
        <w:t>4.2.1 Quantitative Findings</w:t>
      </w:r>
      <w:bookmarkEnd w:id="82"/>
    </w:p>
    <w:p w14:paraId="1C06CA78" w14:textId="77777777" w:rsidR="00016C69" w:rsidRPr="001A076D" w:rsidRDefault="00016C69" w:rsidP="00016C69">
      <w:pPr>
        <w:spacing w:before="100" w:beforeAutospacing="1" w:after="100" w:afterAutospacing="1" w:line="360" w:lineRule="auto"/>
      </w:pPr>
      <w:r w:rsidRPr="001A076D">
        <w:t>Internal consistency was assessed using Cronbach's alpha (Table 4.1).</w:t>
      </w:r>
    </w:p>
    <w:p w14:paraId="4B922CB8" w14:textId="79954654" w:rsidR="00016C69" w:rsidRPr="001A076D" w:rsidRDefault="00016C69" w:rsidP="00016C69">
      <w:pPr>
        <w:spacing w:line="360" w:lineRule="auto"/>
      </w:pPr>
      <w:r w:rsidRPr="001A076D">
        <w:t>Table 4.</w:t>
      </w:r>
      <w:r w:rsidR="0016133E" w:rsidRPr="001A076D">
        <w:t>1</w:t>
      </w:r>
      <w:r w:rsidRPr="001A076D">
        <w:t>: Internal Consistency Reliability of Study Constructs</w:t>
      </w:r>
    </w:p>
    <w:p w14:paraId="41CA617D" w14:textId="77777777" w:rsidR="00016C69" w:rsidRPr="001A076D" w:rsidRDefault="00016C69" w:rsidP="00016C69">
      <w:pPr>
        <w:spacing w:line="360" w:lineRule="auto"/>
        <w:rPr>
          <w:i/>
          <w:iCs/>
        </w:rPr>
      </w:pPr>
      <w:r w:rsidRPr="001A076D">
        <w:rPr>
          <w:i/>
          <w:iCs/>
        </w:rPr>
        <w:t>Source: Author's analysis using IBM SPSS Statistics.</w:t>
      </w:r>
    </w:p>
    <w:tbl>
      <w:tblPr>
        <w:tblStyle w:val="GridTable1Light"/>
        <w:tblW w:w="9271" w:type="dxa"/>
        <w:tblLook w:val="04A0" w:firstRow="1" w:lastRow="0" w:firstColumn="1" w:lastColumn="0" w:noHBand="0" w:noVBand="1"/>
      </w:tblPr>
      <w:tblGrid>
        <w:gridCol w:w="3391"/>
        <w:gridCol w:w="2125"/>
        <w:gridCol w:w="3755"/>
      </w:tblGrid>
      <w:tr w:rsidR="00016C69" w:rsidRPr="001A076D" w14:paraId="1FC16B26" w14:textId="77777777" w:rsidTr="00D34A57">
        <w:trPr>
          <w:cnfStyle w:val="100000000000" w:firstRow="1" w:lastRow="0" w:firstColumn="0" w:lastColumn="0" w:oddVBand="0" w:evenVBand="0" w:oddHBand="0" w:evenHBand="0" w:firstRowFirstColumn="0" w:firstRowLastColumn="0" w:lastRowFirstColumn="0" w:lastRowLastColumn="0"/>
          <w:trHeight w:val="297"/>
        </w:trPr>
        <w:tc>
          <w:tcPr>
            <w:cnfStyle w:val="001000000000" w:firstRow="0" w:lastRow="0" w:firstColumn="1" w:lastColumn="0" w:oddVBand="0" w:evenVBand="0" w:oddHBand="0" w:evenHBand="0" w:firstRowFirstColumn="0" w:firstRowLastColumn="0" w:lastRowFirstColumn="0" w:lastRowLastColumn="0"/>
            <w:tcW w:w="3391" w:type="dxa"/>
            <w:hideMark/>
          </w:tcPr>
          <w:p w14:paraId="0C0ADFAA" w14:textId="77777777" w:rsidR="00016C69" w:rsidRPr="001A076D" w:rsidRDefault="00016C69" w:rsidP="00D34A57">
            <w:pPr>
              <w:spacing w:line="360" w:lineRule="auto"/>
              <w:jc w:val="center"/>
              <w:rPr>
                <w:b w:val="0"/>
                <w:bCs w:val="0"/>
              </w:rPr>
            </w:pPr>
            <w:r w:rsidRPr="001A076D">
              <w:t>Construct</w:t>
            </w:r>
          </w:p>
        </w:tc>
        <w:tc>
          <w:tcPr>
            <w:tcW w:w="2125" w:type="dxa"/>
            <w:hideMark/>
          </w:tcPr>
          <w:p w14:paraId="18333BC6"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Items</w:t>
            </w:r>
          </w:p>
        </w:tc>
        <w:tc>
          <w:tcPr>
            <w:tcW w:w="3755" w:type="dxa"/>
            <w:hideMark/>
          </w:tcPr>
          <w:p w14:paraId="0088EB8F"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Cronbach’s Alpha</w:t>
            </w:r>
          </w:p>
        </w:tc>
      </w:tr>
      <w:tr w:rsidR="00016C69" w:rsidRPr="001A076D" w14:paraId="28E5040C" w14:textId="77777777" w:rsidTr="00D34A57">
        <w:trPr>
          <w:trHeight w:val="311"/>
        </w:trPr>
        <w:tc>
          <w:tcPr>
            <w:cnfStyle w:val="001000000000" w:firstRow="0" w:lastRow="0" w:firstColumn="1" w:lastColumn="0" w:oddVBand="0" w:evenVBand="0" w:oddHBand="0" w:evenHBand="0" w:firstRowFirstColumn="0" w:firstRowLastColumn="0" w:lastRowFirstColumn="0" w:lastRowLastColumn="0"/>
            <w:tcW w:w="3391" w:type="dxa"/>
            <w:hideMark/>
          </w:tcPr>
          <w:p w14:paraId="5A384BFF" w14:textId="77777777" w:rsidR="00016C69" w:rsidRPr="001A076D" w:rsidRDefault="00016C69" w:rsidP="00D34A57">
            <w:pPr>
              <w:spacing w:line="360" w:lineRule="auto"/>
              <w:jc w:val="center"/>
            </w:pPr>
            <w:r w:rsidRPr="001A076D">
              <w:t>PAC</w:t>
            </w:r>
          </w:p>
        </w:tc>
        <w:tc>
          <w:tcPr>
            <w:tcW w:w="2125" w:type="dxa"/>
            <w:hideMark/>
          </w:tcPr>
          <w:p w14:paraId="3CC86E02"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6</w:t>
            </w:r>
          </w:p>
        </w:tc>
        <w:tc>
          <w:tcPr>
            <w:tcW w:w="3755" w:type="dxa"/>
            <w:hideMark/>
          </w:tcPr>
          <w:p w14:paraId="70312854"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0.822</w:t>
            </w:r>
          </w:p>
        </w:tc>
      </w:tr>
      <w:tr w:rsidR="00016C69" w:rsidRPr="001A076D" w14:paraId="715F3BC1" w14:textId="77777777" w:rsidTr="00D34A57">
        <w:trPr>
          <w:trHeight w:val="297"/>
        </w:trPr>
        <w:tc>
          <w:tcPr>
            <w:cnfStyle w:val="001000000000" w:firstRow="0" w:lastRow="0" w:firstColumn="1" w:lastColumn="0" w:oddVBand="0" w:evenVBand="0" w:oddHBand="0" w:evenHBand="0" w:firstRowFirstColumn="0" w:firstRowLastColumn="0" w:lastRowFirstColumn="0" w:lastRowLastColumn="0"/>
            <w:tcW w:w="3391" w:type="dxa"/>
            <w:hideMark/>
          </w:tcPr>
          <w:p w14:paraId="74D8F8A1" w14:textId="77777777" w:rsidR="00016C69" w:rsidRPr="001A076D" w:rsidRDefault="00016C69" w:rsidP="00D34A57">
            <w:pPr>
              <w:spacing w:line="360" w:lineRule="auto"/>
              <w:jc w:val="center"/>
            </w:pPr>
            <w:r w:rsidRPr="001A076D">
              <w:t>GM</w:t>
            </w:r>
          </w:p>
        </w:tc>
        <w:tc>
          <w:tcPr>
            <w:tcW w:w="2125" w:type="dxa"/>
            <w:hideMark/>
          </w:tcPr>
          <w:p w14:paraId="42C7222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w:t>
            </w:r>
          </w:p>
        </w:tc>
        <w:tc>
          <w:tcPr>
            <w:tcW w:w="3755" w:type="dxa"/>
            <w:hideMark/>
          </w:tcPr>
          <w:p w14:paraId="6C7576E6"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0.832</w:t>
            </w:r>
          </w:p>
        </w:tc>
      </w:tr>
      <w:tr w:rsidR="00016C69" w:rsidRPr="001A076D" w14:paraId="462FBCCD" w14:textId="77777777" w:rsidTr="00D34A57">
        <w:trPr>
          <w:trHeight w:val="311"/>
        </w:trPr>
        <w:tc>
          <w:tcPr>
            <w:cnfStyle w:val="001000000000" w:firstRow="0" w:lastRow="0" w:firstColumn="1" w:lastColumn="0" w:oddVBand="0" w:evenVBand="0" w:oddHBand="0" w:evenHBand="0" w:firstRowFirstColumn="0" w:firstRowLastColumn="0" w:lastRowFirstColumn="0" w:lastRowLastColumn="0"/>
            <w:tcW w:w="3391" w:type="dxa"/>
            <w:hideMark/>
          </w:tcPr>
          <w:p w14:paraId="6D845206" w14:textId="77777777" w:rsidR="00016C69" w:rsidRPr="001A076D" w:rsidRDefault="00016C69" w:rsidP="00D34A57">
            <w:pPr>
              <w:spacing w:line="360" w:lineRule="auto"/>
              <w:jc w:val="center"/>
            </w:pPr>
            <w:r w:rsidRPr="001A076D">
              <w:t>TE</w:t>
            </w:r>
          </w:p>
        </w:tc>
        <w:tc>
          <w:tcPr>
            <w:tcW w:w="2125" w:type="dxa"/>
            <w:hideMark/>
          </w:tcPr>
          <w:p w14:paraId="084B9436"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w:t>
            </w:r>
          </w:p>
        </w:tc>
        <w:tc>
          <w:tcPr>
            <w:tcW w:w="3755" w:type="dxa"/>
            <w:hideMark/>
          </w:tcPr>
          <w:p w14:paraId="5681A1F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0.844</w:t>
            </w:r>
          </w:p>
        </w:tc>
      </w:tr>
      <w:tr w:rsidR="00016C69" w:rsidRPr="001A076D" w14:paraId="375CEAA6" w14:textId="77777777" w:rsidTr="00D34A57">
        <w:trPr>
          <w:trHeight w:val="297"/>
        </w:trPr>
        <w:tc>
          <w:tcPr>
            <w:cnfStyle w:val="001000000000" w:firstRow="0" w:lastRow="0" w:firstColumn="1" w:lastColumn="0" w:oddVBand="0" w:evenVBand="0" w:oddHBand="0" w:evenHBand="0" w:firstRowFirstColumn="0" w:firstRowLastColumn="0" w:lastRowFirstColumn="0" w:lastRowLastColumn="0"/>
            <w:tcW w:w="3391" w:type="dxa"/>
            <w:hideMark/>
          </w:tcPr>
          <w:p w14:paraId="306ADB2A" w14:textId="77777777" w:rsidR="00016C69" w:rsidRPr="001A076D" w:rsidRDefault="00016C69" w:rsidP="00D34A57">
            <w:pPr>
              <w:spacing w:line="360" w:lineRule="auto"/>
              <w:jc w:val="center"/>
            </w:pPr>
            <w:r w:rsidRPr="001A076D">
              <w:t>SE</w:t>
            </w:r>
          </w:p>
        </w:tc>
        <w:tc>
          <w:tcPr>
            <w:tcW w:w="2125" w:type="dxa"/>
            <w:hideMark/>
          </w:tcPr>
          <w:p w14:paraId="0E66BA2B"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w:t>
            </w:r>
          </w:p>
        </w:tc>
        <w:tc>
          <w:tcPr>
            <w:tcW w:w="3755" w:type="dxa"/>
            <w:hideMark/>
          </w:tcPr>
          <w:p w14:paraId="1600CA48"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0.713</w:t>
            </w:r>
          </w:p>
        </w:tc>
      </w:tr>
    </w:tbl>
    <w:p w14:paraId="02A2A884" w14:textId="77777777" w:rsidR="00016C69" w:rsidRPr="001A076D" w:rsidRDefault="00016C69" w:rsidP="00016C69">
      <w:pPr>
        <w:spacing w:before="100" w:beforeAutospacing="1" w:after="100" w:afterAutospacing="1" w:line="360" w:lineRule="auto"/>
      </w:pPr>
      <w:r w:rsidRPr="001A076D">
        <w:t>All constructs exceeded the recommended threshold of 0.70, confirming satisfactory internal consistency.</w:t>
      </w:r>
    </w:p>
    <w:p w14:paraId="35278AFF" w14:textId="61843E9A" w:rsidR="00016C69" w:rsidRPr="001A076D" w:rsidRDefault="00016C69" w:rsidP="00016C69">
      <w:pPr>
        <w:spacing w:before="100" w:beforeAutospacing="1" w:after="100" w:afterAutospacing="1" w:line="360" w:lineRule="auto"/>
      </w:pPr>
      <w:r w:rsidRPr="001A076D">
        <w:lastRenderedPageBreak/>
        <w:t xml:space="preserve">Table 4.2 </w:t>
      </w:r>
      <w:r w:rsidR="00815233" w:rsidRPr="001A076D">
        <w:t>summarises the respondents</w:t>
      </w:r>
      <w:r w:rsidRPr="001A076D">
        <w:t xml:space="preserve">' perceptions </w:t>
      </w:r>
      <w:r w:rsidR="001C46C6" w:rsidRPr="001A076D">
        <w:t>of</w:t>
      </w:r>
      <w:r w:rsidRPr="001A076D">
        <w:t xml:space="preserve"> the principal study constructs.</w:t>
      </w:r>
    </w:p>
    <w:p w14:paraId="490C3793" w14:textId="77777777" w:rsidR="00016C69" w:rsidRPr="001A076D" w:rsidRDefault="00016C69" w:rsidP="00016C69">
      <w:pPr>
        <w:spacing w:line="360" w:lineRule="auto"/>
      </w:pPr>
      <w:r w:rsidRPr="001A076D">
        <w:t>Table 4.2: Descriptive Statistics for the Principal Study Constructs</w:t>
      </w:r>
    </w:p>
    <w:p w14:paraId="74BCD233" w14:textId="77777777" w:rsidR="00016C69" w:rsidRPr="001A076D" w:rsidRDefault="00016C69" w:rsidP="00016C69">
      <w:pPr>
        <w:spacing w:line="360" w:lineRule="auto"/>
        <w:rPr>
          <w:i/>
          <w:iCs/>
        </w:rPr>
      </w:pPr>
      <w:r w:rsidRPr="001A076D">
        <w:rPr>
          <w:i/>
          <w:iCs/>
        </w:rPr>
        <w:t>Source: Author's analysis using IBM SPSS Statistics.</w:t>
      </w:r>
    </w:p>
    <w:tbl>
      <w:tblPr>
        <w:tblStyle w:val="GridTable1Light"/>
        <w:tblW w:w="9278" w:type="dxa"/>
        <w:tblLook w:val="04A0" w:firstRow="1" w:lastRow="0" w:firstColumn="1" w:lastColumn="0" w:noHBand="0" w:noVBand="1"/>
      </w:tblPr>
      <w:tblGrid>
        <w:gridCol w:w="2287"/>
        <w:gridCol w:w="1478"/>
        <w:gridCol w:w="3073"/>
        <w:gridCol w:w="1183"/>
        <w:gridCol w:w="1257"/>
      </w:tblGrid>
      <w:tr w:rsidR="00016C69" w:rsidRPr="001A076D" w14:paraId="6C90559A" w14:textId="77777777" w:rsidTr="00D34A57">
        <w:trPr>
          <w:cnfStyle w:val="100000000000" w:firstRow="1" w:lastRow="0" w:firstColumn="0" w:lastColumn="0" w:oddVBand="0" w:evenVBand="0" w:oddHBand="0"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D8D987" w14:textId="77777777" w:rsidR="00016C69" w:rsidRPr="001A076D" w:rsidRDefault="00016C69" w:rsidP="00D34A57">
            <w:pPr>
              <w:spacing w:line="360" w:lineRule="auto"/>
              <w:jc w:val="center"/>
              <w:rPr>
                <w:b w:val="0"/>
                <w:bCs w:val="0"/>
              </w:rPr>
            </w:pPr>
            <w:r w:rsidRPr="001A076D">
              <w:t>Construct</w:t>
            </w:r>
          </w:p>
        </w:tc>
        <w:tc>
          <w:tcPr>
            <w:tcW w:w="0" w:type="auto"/>
            <w:vAlign w:val="center"/>
            <w:hideMark/>
          </w:tcPr>
          <w:p w14:paraId="3C1DD235"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Mean</w:t>
            </w:r>
          </w:p>
        </w:tc>
        <w:tc>
          <w:tcPr>
            <w:tcW w:w="0" w:type="auto"/>
            <w:vAlign w:val="center"/>
            <w:hideMark/>
          </w:tcPr>
          <w:p w14:paraId="5F15FDA4"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Std. Deviation</w:t>
            </w:r>
          </w:p>
        </w:tc>
        <w:tc>
          <w:tcPr>
            <w:tcW w:w="0" w:type="auto"/>
            <w:vAlign w:val="center"/>
            <w:hideMark/>
          </w:tcPr>
          <w:p w14:paraId="69B053DE"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Min</w:t>
            </w:r>
          </w:p>
        </w:tc>
        <w:tc>
          <w:tcPr>
            <w:tcW w:w="0" w:type="auto"/>
            <w:vAlign w:val="center"/>
            <w:hideMark/>
          </w:tcPr>
          <w:p w14:paraId="2C8E5CF1"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Max</w:t>
            </w:r>
          </w:p>
        </w:tc>
      </w:tr>
      <w:tr w:rsidR="00016C69" w:rsidRPr="001A076D" w14:paraId="760430CA" w14:textId="77777777" w:rsidTr="00D34A57">
        <w:trPr>
          <w:trHeight w:val="29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830DCCB" w14:textId="77777777" w:rsidR="00016C69" w:rsidRPr="001A076D" w:rsidRDefault="00016C69" w:rsidP="00D34A57">
            <w:pPr>
              <w:spacing w:line="360" w:lineRule="auto"/>
              <w:jc w:val="center"/>
            </w:pPr>
            <w:r w:rsidRPr="001A076D">
              <w:t>PAC</w:t>
            </w:r>
          </w:p>
        </w:tc>
        <w:tc>
          <w:tcPr>
            <w:tcW w:w="0" w:type="auto"/>
            <w:vAlign w:val="center"/>
            <w:hideMark/>
          </w:tcPr>
          <w:p w14:paraId="05934E8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4.232</w:t>
            </w:r>
          </w:p>
        </w:tc>
        <w:tc>
          <w:tcPr>
            <w:tcW w:w="0" w:type="auto"/>
            <w:vAlign w:val="center"/>
            <w:hideMark/>
          </w:tcPr>
          <w:p w14:paraId="7F37A751"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0.474</w:t>
            </w:r>
          </w:p>
        </w:tc>
        <w:tc>
          <w:tcPr>
            <w:tcW w:w="0" w:type="auto"/>
            <w:vAlign w:val="center"/>
            <w:hideMark/>
          </w:tcPr>
          <w:p w14:paraId="151AC351"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3.00</w:t>
            </w:r>
          </w:p>
        </w:tc>
        <w:tc>
          <w:tcPr>
            <w:tcW w:w="0" w:type="auto"/>
            <w:vAlign w:val="center"/>
            <w:hideMark/>
          </w:tcPr>
          <w:p w14:paraId="3EC3BBB0"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5.00</w:t>
            </w:r>
          </w:p>
        </w:tc>
      </w:tr>
      <w:tr w:rsidR="00016C69" w:rsidRPr="001A076D" w14:paraId="4F0CDB93" w14:textId="77777777" w:rsidTr="00D34A57">
        <w:trPr>
          <w:trHeight w:val="28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D0BE21" w14:textId="77777777" w:rsidR="00016C69" w:rsidRPr="001A076D" w:rsidRDefault="00016C69" w:rsidP="00D34A57">
            <w:pPr>
              <w:spacing w:line="360" w:lineRule="auto"/>
              <w:jc w:val="center"/>
            </w:pPr>
            <w:r w:rsidRPr="001A076D">
              <w:t>GM</w:t>
            </w:r>
          </w:p>
        </w:tc>
        <w:tc>
          <w:tcPr>
            <w:tcW w:w="0" w:type="auto"/>
            <w:vAlign w:val="center"/>
            <w:hideMark/>
          </w:tcPr>
          <w:p w14:paraId="781ABE7E"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4.124</w:t>
            </w:r>
          </w:p>
        </w:tc>
        <w:tc>
          <w:tcPr>
            <w:tcW w:w="0" w:type="auto"/>
            <w:vAlign w:val="center"/>
            <w:hideMark/>
          </w:tcPr>
          <w:p w14:paraId="350AE50E"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0.653</w:t>
            </w:r>
          </w:p>
        </w:tc>
        <w:tc>
          <w:tcPr>
            <w:tcW w:w="0" w:type="auto"/>
            <w:vAlign w:val="center"/>
            <w:hideMark/>
          </w:tcPr>
          <w:p w14:paraId="7E021888"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2.60</w:t>
            </w:r>
          </w:p>
        </w:tc>
        <w:tc>
          <w:tcPr>
            <w:tcW w:w="0" w:type="auto"/>
            <w:vAlign w:val="center"/>
            <w:hideMark/>
          </w:tcPr>
          <w:p w14:paraId="3174206E"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5.00</w:t>
            </w:r>
          </w:p>
        </w:tc>
      </w:tr>
      <w:tr w:rsidR="00016C69" w:rsidRPr="001A076D" w14:paraId="34EFE335" w14:textId="77777777" w:rsidTr="00D34A57">
        <w:trPr>
          <w:trHeight w:val="29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507869" w14:textId="77777777" w:rsidR="00016C69" w:rsidRPr="001A076D" w:rsidRDefault="00016C69" w:rsidP="00D34A57">
            <w:pPr>
              <w:spacing w:line="360" w:lineRule="auto"/>
              <w:jc w:val="center"/>
            </w:pPr>
            <w:r w:rsidRPr="001A076D">
              <w:t>TE</w:t>
            </w:r>
          </w:p>
        </w:tc>
        <w:tc>
          <w:tcPr>
            <w:tcW w:w="0" w:type="auto"/>
            <w:vAlign w:val="center"/>
            <w:hideMark/>
          </w:tcPr>
          <w:p w14:paraId="19281E1A"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4.209</w:t>
            </w:r>
          </w:p>
        </w:tc>
        <w:tc>
          <w:tcPr>
            <w:tcW w:w="0" w:type="auto"/>
            <w:vAlign w:val="center"/>
            <w:hideMark/>
          </w:tcPr>
          <w:p w14:paraId="331789A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0.522</w:t>
            </w:r>
          </w:p>
        </w:tc>
        <w:tc>
          <w:tcPr>
            <w:tcW w:w="0" w:type="auto"/>
            <w:vAlign w:val="center"/>
            <w:hideMark/>
          </w:tcPr>
          <w:p w14:paraId="290802EA"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3.00</w:t>
            </w:r>
          </w:p>
        </w:tc>
        <w:tc>
          <w:tcPr>
            <w:tcW w:w="0" w:type="auto"/>
            <w:vAlign w:val="center"/>
            <w:hideMark/>
          </w:tcPr>
          <w:p w14:paraId="3364968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5.00</w:t>
            </w:r>
          </w:p>
        </w:tc>
      </w:tr>
      <w:tr w:rsidR="00016C69" w:rsidRPr="001A076D" w14:paraId="502B018F" w14:textId="77777777" w:rsidTr="00D34A57">
        <w:trPr>
          <w:trHeight w:val="28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1EC2F22" w14:textId="77777777" w:rsidR="00016C69" w:rsidRPr="001A076D" w:rsidRDefault="00016C69" w:rsidP="00D34A57">
            <w:pPr>
              <w:spacing w:line="360" w:lineRule="auto"/>
              <w:jc w:val="center"/>
            </w:pPr>
            <w:r w:rsidRPr="001A076D">
              <w:t>SE</w:t>
            </w:r>
          </w:p>
        </w:tc>
        <w:tc>
          <w:tcPr>
            <w:tcW w:w="0" w:type="auto"/>
            <w:vAlign w:val="center"/>
            <w:hideMark/>
          </w:tcPr>
          <w:p w14:paraId="0CD9251D"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4.171</w:t>
            </w:r>
          </w:p>
        </w:tc>
        <w:tc>
          <w:tcPr>
            <w:tcW w:w="0" w:type="auto"/>
            <w:vAlign w:val="center"/>
            <w:hideMark/>
          </w:tcPr>
          <w:p w14:paraId="01718375"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0.481</w:t>
            </w:r>
          </w:p>
        </w:tc>
        <w:tc>
          <w:tcPr>
            <w:tcW w:w="0" w:type="auto"/>
            <w:vAlign w:val="center"/>
            <w:hideMark/>
          </w:tcPr>
          <w:p w14:paraId="7ACCE2A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3.00</w:t>
            </w:r>
          </w:p>
        </w:tc>
        <w:tc>
          <w:tcPr>
            <w:tcW w:w="0" w:type="auto"/>
            <w:vAlign w:val="center"/>
            <w:hideMark/>
          </w:tcPr>
          <w:p w14:paraId="211F7DD4"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5.00</w:t>
            </w:r>
          </w:p>
        </w:tc>
      </w:tr>
    </w:tbl>
    <w:p w14:paraId="1CE7B919" w14:textId="77777777" w:rsidR="00016C69" w:rsidRPr="001A076D" w:rsidRDefault="00016C69" w:rsidP="00016C69">
      <w:pPr>
        <w:pStyle w:val="pdq2pgselectionanchorcontainer"/>
        <w:spacing w:line="360" w:lineRule="auto"/>
        <w:jc w:val="both"/>
      </w:pPr>
      <w:r w:rsidRPr="001A076D">
        <w:t>Predictive Analytics Capability (PAC) recorded the highest mean score (M = 4.23), indicating generally positive perceptions of the organisation's analytical capability.</w:t>
      </w:r>
    </w:p>
    <w:p w14:paraId="00B4A803" w14:textId="77777777" w:rsidR="00016C69" w:rsidRPr="001A076D" w:rsidRDefault="00016C69" w:rsidP="00016C69">
      <w:pPr>
        <w:pStyle w:val="pdq2pgselectionanchorcontainer"/>
        <w:spacing w:line="360" w:lineRule="auto"/>
        <w:jc w:val="both"/>
      </w:pPr>
      <w:r w:rsidRPr="001A076D">
        <w:t>Pearson's correlation analysis examined relationships between the study constructs (Table 4.3).</w:t>
      </w:r>
    </w:p>
    <w:p w14:paraId="2D9E29D9" w14:textId="6E951098" w:rsidR="00016C69" w:rsidRPr="001A076D" w:rsidRDefault="00016C69" w:rsidP="00016C69">
      <w:pPr>
        <w:spacing w:line="360" w:lineRule="auto"/>
      </w:pPr>
      <w:r w:rsidRPr="001A076D">
        <w:t>Table 4.</w:t>
      </w:r>
      <w:r w:rsidR="0016133E" w:rsidRPr="001A076D">
        <w:t>3</w:t>
      </w:r>
      <w:r w:rsidRPr="001A076D">
        <w:t>: Pearson Correlation Matrix for Predictive Analytics Constructs</w:t>
      </w:r>
    </w:p>
    <w:p w14:paraId="27B82A80" w14:textId="77777777" w:rsidR="00016C69" w:rsidRPr="001A076D" w:rsidRDefault="00016C69" w:rsidP="00016C69">
      <w:pPr>
        <w:spacing w:line="360" w:lineRule="auto"/>
        <w:rPr>
          <w:i/>
          <w:iCs/>
        </w:rPr>
      </w:pPr>
      <w:r w:rsidRPr="001A076D">
        <w:rPr>
          <w:i/>
          <w:iCs/>
        </w:rPr>
        <w:t>Source: Author's analysis using IBM SPSS Statistics.</w:t>
      </w:r>
    </w:p>
    <w:tbl>
      <w:tblPr>
        <w:tblStyle w:val="GridTable1Light"/>
        <w:tblW w:w="8957" w:type="dxa"/>
        <w:tblLook w:val="04A0" w:firstRow="1" w:lastRow="0" w:firstColumn="1" w:lastColumn="0" w:noHBand="0" w:noVBand="1"/>
      </w:tblPr>
      <w:tblGrid>
        <w:gridCol w:w="1901"/>
        <w:gridCol w:w="1764"/>
        <w:gridCol w:w="1764"/>
        <w:gridCol w:w="1764"/>
        <w:gridCol w:w="1764"/>
      </w:tblGrid>
      <w:tr w:rsidR="00016C69" w:rsidRPr="001A076D" w14:paraId="1BE47663" w14:textId="77777777" w:rsidTr="00D34A57">
        <w:trPr>
          <w:cnfStyle w:val="100000000000" w:firstRow="1" w:lastRow="0" w:firstColumn="0" w:lastColumn="0" w:oddVBand="0" w:evenVBand="0" w:oddHBand="0"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0" w:type="auto"/>
            <w:hideMark/>
          </w:tcPr>
          <w:p w14:paraId="5F43261C" w14:textId="77777777" w:rsidR="00016C69" w:rsidRPr="001A076D" w:rsidRDefault="00016C69" w:rsidP="00D34A57">
            <w:pPr>
              <w:spacing w:line="360" w:lineRule="auto"/>
              <w:jc w:val="both"/>
              <w:rPr>
                <w:b w:val="0"/>
                <w:bCs w:val="0"/>
              </w:rPr>
            </w:pPr>
            <w:r w:rsidRPr="001A076D">
              <w:t>Variables</w:t>
            </w:r>
          </w:p>
        </w:tc>
        <w:tc>
          <w:tcPr>
            <w:tcW w:w="0" w:type="auto"/>
            <w:hideMark/>
          </w:tcPr>
          <w:p w14:paraId="2E19EBCF" w14:textId="77777777" w:rsidR="00016C69" w:rsidRPr="001A076D" w:rsidRDefault="00016C69" w:rsidP="00D34A57">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1A076D">
              <w:t>PAC</w:t>
            </w:r>
          </w:p>
        </w:tc>
        <w:tc>
          <w:tcPr>
            <w:tcW w:w="0" w:type="auto"/>
            <w:hideMark/>
          </w:tcPr>
          <w:p w14:paraId="33782816" w14:textId="77777777" w:rsidR="00016C69" w:rsidRPr="001A076D" w:rsidRDefault="00016C69" w:rsidP="00D34A57">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1A076D">
              <w:t>GM</w:t>
            </w:r>
          </w:p>
        </w:tc>
        <w:tc>
          <w:tcPr>
            <w:tcW w:w="0" w:type="auto"/>
            <w:hideMark/>
          </w:tcPr>
          <w:p w14:paraId="23A69D33" w14:textId="77777777" w:rsidR="00016C69" w:rsidRPr="001A076D" w:rsidRDefault="00016C69" w:rsidP="00D34A57">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1A076D">
              <w:t>TE</w:t>
            </w:r>
          </w:p>
        </w:tc>
        <w:tc>
          <w:tcPr>
            <w:tcW w:w="0" w:type="auto"/>
            <w:hideMark/>
          </w:tcPr>
          <w:p w14:paraId="49E972C3" w14:textId="77777777" w:rsidR="00016C69" w:rsidRPr="001A076D" w:rsidRDefault="00016C69" w:rsidP="00D34A57">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1A076D">
              <w:t>SE</w:t>
            </w:r>
          </w:p>
        </w:tc>
      </w:tr>
      <w:tr w:rsidR="00016C69" w:rsidRPr="001A076D" w14:paraId="16078844" w14:textId="77777777" w:rsidTr="00D34A57">
        <w:trPr>
          <w:trHeight w:val="397"/>
        </w:trPr>
        <w:tc>
          <w:tcPr>
            <w:cnfStyle w:val="001000000000" w:firstRow="0" w:lastRow="0" w:firstColumn="1" w:lastColumn="0" w:oddVBand="0" w:evenVBand="0" w:oddHBand="0" w:evenHBand="0" w:firstRowFirstColumn="0" w:firstRowLastColumn="0" w:lastRowFirstColumn="0" w:lastRowLastColumn="0"/>
            <w:tcW w:w="0" w:type="auto"/>
            <w:hideMark/>
          </w:tcPr>
          <w:p w14:paraId="269E7BBF" w14:textId="77777777" w:rsidR="00016C69" w:rsidRPr="001A076D" w:rsidRDefault="00016C69" w:rsidP="00D34A57">
            <w:pPr>
              <w:spacing w:line="360" w:lineRule="auto"/>
              <w:jc w:val="both"/>
            </w:pPr>
            <w:r w:rsidRPr="001A076D">
              <w:t>PAC</w:t>
            </w:r>
          </w:p>
        </w:tc>
        <w:tc>
          <w:tcPr>
            <w:tcW w:w="0" w:type="auto"/>
            <w:hideMark/>
          </w:tcPr>
          <w:p w14:paraId="28FE28AD"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1.000</w:t>
            </w:r>
          </w:p>
        </w:tc>
        <w:tc>
          <w:tcPr>
            <w:tcW w:w="0" w:type="auto"/>
            <w:hideMark/>
          </w:tcPr>
          <w:p w14:paraId="396B49F8"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0.543***</w:t>
            </w:r>
          </w:p>
        </w:tc>
        <w:tc>
          <w:tcPr>
            <w:tcW w:w="0" w:type="auto"/>
            <w:hideMark/>
          </w:tcPr>
          <w:p w14:paraId="64016FC1"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0.514***</w:t>
            </w:r>
          </w:p>
        </w:tc>
        <w:tc>
          <w:tcPr>
            <w:tcW w:w="0" w:type="auto"/>
            <w:hideMark/>
          </w:tcPr>
          <w:p w14:paraId="262935F4"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0.527***</w:t>
            </w:r>
          </w:p>
        </w:tc>
      </w:tr>
      <w:tr w:rsidR="00016C69" w:rsidRPr="001A076D" w14:paraId="30B4EEAA" w14:textId="77777777" w:rsidTr="00D34A57">
        <w:trPr>
          <w:trHeight w:val="379"/>
        </w:trPr>
        <w:tc>
          <w:tcPr>
            <w:cnfStyle w:val="001000000000" w:firstRow="0" w:lastRow="0" w:firstColumn="1" w:lastColumn="0" w:oddVBand="0" w:evenVBand="0" w:oddHBand="0" w:evenHBand="0" w:firstRowFirstColumn="0" w:firstRowLastColumn="0" w:lastRowFirstColumn="0" w:lastRowLastColumn="0"/>
            <w:tcW w:w="0" w:type="auto"/>
            <w:hideMark/>
          </w:tcPr>
          <w:p w14:paraId="3A035C24" w14:textId="77777777" w:rsidR="00016C69" w:rsidRPr="001A076D" w:rsidRDefault="00016C69" w:rsidP="00D34A57">
            <w:pPr>
              <w:spacing w:line="360" w:lineRule="auto"/>
              <w:jc w:val="both"/>
            </w:pPr>
            <w:r w:rsidRPr="001A076D">
              <w:t>GM</w:t>
            </w:r>
          </w:p>
        </w:tc>
        <w:tc>
          <w:tcPr>
            <w:tcW w:w="0" w:type="auto"/>
            <w:hideMark/>
          </w:tcPr>
          <w:p w14:paraId="2DF296D6"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0.543***</w:t>
            </w:r>
          </w:p>
        </w:tc>
        <w:tc>
          <w:tcPr>
            <w:tcW w:w="0" w:type="auto"/>
            <w:hideMark/>
          </w:tcPr>
          <w:p w14:paraId="4E916DB4"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1.000</w:t>
            </w:r>
          </w:p>
        </w:tc>
        <w:tc>
          <w:tcPr>
            <w:tcW w:w="0" w:type="auto"/>
            <w:hideMark/>
          </w:tcPr>
          <w:p w14:paraId="3C2A63B0"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0.668***</w:t>
            </w:r>
          </w:p>
        </w:tc>
        <w:tc>
          <w:tcPr>
            <w:tcW w:w="0" w:type="auto"/>
            <w:hideMark/>
          </w:tcPr>
          <w:p w14:paraId="413F33D9"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0.607***</w:t>
            </w:r>
          </w:p>
        </w:tc>
      </w:tr>
      <w:tr w:rsidR="00016C69" w:rsidRPr="001A076D" w14:paraId="7C2F4893" w14:textId="77777777" w:rsidTr="00D34A57">
        <w:trPr>
          <w:trHeight w:val="397"/>
        </w:trPr>
        <w:tc>
          <w:tcPr>
            <w:cnfStyle w:val="001000000000" w:firstRow="0" w:lastRow="0" w:firstColumn="1" w:lastColumn="0" w:oddVBand="0" w:evenVBand="0" w:oddHBand="0" w:evenHBand="0" w:firstRowFirstColumn="0" w:firstRowLastColumn="0" w:lastRowFirstColumn="0" w:lastRowLastColumn="0"/>
            <w:tcW w:w="0" w:type="auto"/>
            <w:hideMark/>
          </w:tcPr>
          <w:p w14:paraId="2834B9A4" w14:textId="77777777" w:rsidR="00016C69" w:rsidRPr="001A076D" w:rsidRDefault="00016C69" w:rsidP="00D34A57">
            <w:pPr>
              <w:spacing w:line="360" w:lineRule="auto"/>
              <w:jc w:val="both"/>
            </w:pPr>
            <w:r w:rsidRPr="001A076D">
              <w:t>TE</w:t>
            </w:r>
          </w:p>
        </w:tc>
        <w:tc>
          <w:tcPr>
            <w:tcW w:w="0" w:type="auto"/>
            <w:hideMark/>
          </w:tcPr>
          <w:p w14:paraId="09C27FCE"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0.514***</w:t>
            </w:r>
          </w:p>
        </w:tc>
        <w:tc>
          <w:tcPr>
            <w:tcW w:w="0" w:type="auto"/>
            <w:hideMark/>
          </w:tcPr>
          <w:p w14:paraId="05ADB04C"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0.668***</w:t>
            </w:r>
          </w:p>
        </w:tc>
        <w:tc>
          <w:tcPr>
            <w:tcW w:w="0" w:type="auto"/>
            <w:hideMark/>
          </w:tcPr>
          <w:p w14:paraId="7350F865"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1.000</w:t>
            </w:r>
          </w:p>
        </w:tc>
        <w:tc>
          <w:tcPr>
            <w:tcW w:w="0" w:type="auto"/>
            <w:hideMark/>
          </w:tcPr>
          <w:p w14:paraId="04564204"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0.610***</w:t>
            </w:r>
          </w:p>
        </w:tc>
      </w:tr>
      <w:tr w:rsidR="00016C69" w:rsidRPr="001A076D" w14:paraId="4B80D8E3" w14:textId="77777777" w:rsidTr="00D34A57">
        <w:trPr>
          <w:trHeight w:val="379"/>
        </w:trPr>
        <w:tc>
          <w:tcPr>
            <w:cnfStyle w:val="001000000000" w:firstRow="0" w:lastRow="0" w:firstColumn="1" w:lastColumn="0" w:oddVBand="0" w:evenVBand="0" w:oddHBand="0" w:evenHBand="0" w:firstRowFirstColumn="0" w:firstRowLastColumn="0" w:lastRowFirstColumn="0" w:lastRowLastColumn="0"/>
            <w:tcW w:w="0" w:type="auto"/>
            <w:hideMark/>
          </w:tcPr>
          <w:p w14:paraId="3D00274A" w14:textId="77777777" w:rsidR="00016C69" w:rsidRPr="001A076D" w:rsidRDefault="00016C69" w:rsidP="00D34A57">
            <w:pPr>
              <w:spacing w:line="360" w:lineRule="auto"/>
              <w:jc w:val="both"/>
            </w:pPr>
            <w:r w:rsidRPr="001A076D">
              <w:t>SE</w:t>
            </w:r>
          </w:p>
        </w:tc>
        <w:tc>
          <w:tcPr>
            <w:tcW w:w="0" w:type="auto"/>
            <w:hideMark/>
          </w:tcPr>
          <w:p w14:paraId="49F00D56"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0.527***</w:t>
            </w:r>
          </w:p>
        </w:tc>
        <w:tc>
          <w:tcPr>
            <w:tcW w:w="0" w:type="auto"/>
            <w:hideMark/>
          </w:tcPr>
          <w:p w14:paraId="193C72B6"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0.607***</w:t>
            </w:r>
          </w:p>
        </w:tc>
        <w:tc>
          <w:tcPr>
            <w:tcW w:w="0" w:type="auto"/>
            <w:hideMark/>
          </w:tcPr>
          <w:p w14:paraId="3F097B1F"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0.610***</w:t>
            </w:r>
          </w:p>
        </w:tc>
        <w:tc>
          <w:tcPr>
            <w:tcW w:w="0" w:type="auto"/>
            <w:hideMark/>
          </w:tcPr>
          <w:p w14:paraId="69C52748" w14:textId="77777777" w:rsidR="00016C69" w:rsidRPr="001A076D" w:rsidRDefault="00016C69" w:rsidP="00D34A57">
            <w:pPr>
              <w:spacing w:line="360" w:lineRule="auto"/>
              <w:jc w:val="both"/>
              <w:cnfStyle w:val="000000000000" w:firstRow="0" w:lastRow="0" w:firstColumn="0" w:lastColumn="0" w:oddVBand="0" w:evenVBand="0" w:oddHBand="0" w:evenHBand="0" w:firstRowFirstColumn="0" w:firstRowLastColumn="0" w:lastRowFirstColumn="0" w:lastRowLastColumn="0"/>
            </w:pPr>
            <w:r w:rsidRPr="001A076D">
              <w:t>1.000</w:t>
            </w:r>
          </w:p>
        </w:tc>
      </w:tr>
    </w:tbl>
    <w:p w14:paraId="290D4D3D" w14:textId="77777777" w:rsidR="00016C69" w:rsidRPr="001A076D" w:rsidRDefault="00016C69" w:rsidP="00016C69">
      <w:pPr>
        <w:spacing w:before="100" w:beforeAutospacing="1" w:after="100" w:afterAutospacing="1" w:line="360" w:lineRule="auto"/>
        <w:jc w:val="both"/>
      </w:pPr>
      <w:r w:rsidRPr="001A076D">
        <w:t>***p &lt; .001</w:t>
      </w:r>
    </w:p>
    <w:p w14:paraId="7E58EFA7" w14:textId="77777777" w:rsidR="00016C69" w:rsidRPr="001A076D" w:rsidRDefault="00016C69" w:rsidP="00016C69">
      <w:pPr>
        <w:spacing w:before="100" w:beforeAutospacing="1" w:after="100" w:afterAutospacing="1" w:line="360" w:lineRule="auto"/>
        <w:jc w:val="both"/>
      </w:pPr>
      <w:r w:rsidRPr="001A076D">
        <w:t>All relationships were positive and statistically significant (p &lt; .001). PAC was positively associated with Strategic Embedding (r = .527), providing initial support for Hypothesis 1.</w:t>
      </w:r>
    </w:p>
    <w:p w14:paraId="34EED959" w14:textId="77777777" w:rsidR="00016C69" w:rsidRPr="001A076D" w:rsidRDefault="00016C69" w:rsidP="00016C69">
      <w:pPr>
        <w:jc w:val="center"/>
      </w:pPr>
      <w:r w:rsidRPr="001A076D">
        <w:rPr>
          <w:noProof/>
        </w:rPr>
        <w:lastRenderedPageBreak/>
        <w:drawing>
          <wp:inline distT="0" distB="0" distL="0" distR="0" wp14:anchorId="57D518AF" wp14:editId="50D5A2FB">
            <wp:extent cx="5532521" cy="2719785"/>
            <wp:effectExtent l="0" t="0" r="5080" b="0"/>
            <wp:docPr id="859648125"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rotWithShape="1">
                    <a:blip r:embed="rId20" cstate="print">
                      <a:extLst>
                        <a:ext uri="{28A0092B-C50C-407E-A947-70E740481C1C}">
                          <a14:useLocalDpi xmlns:a14="http://schemas.microsoft.com/office/drawing/2010/main" val="0"/>
                        </a:ext>
                      </a:extLst>
                    </a:blip>
                    <a:srcRect l="-1" t="8162" r="-21" b="18078"/>
                    <a:stretch>
                      <a:fillRect/>
                    </a:stretch>
                  </pic:blipFill>
                  <pic:spPr bwMode="auto">
                    <a:xfrm>
                      <a:off x="0" y="0"/>
                      <a:ext cx="5542099" cy="2724493"/>
                    </a:xfrm>
                    <a:prstGeom prst="rect">
                      <a:avLst/>
                    </a:prstGeom>
                    <a:ln>
                      <a:noFill/>
                    </a:ln>
                    <a:extLst>
                      <a:ext uri="{53640926-AAD7-44D8-BBD7-CCE9431645EC}">
                        <a14:shadowObscured xmlns:a14="http://schemas.microsoft.com/office/drawing/2010/main"/>
                      </a:ext>
                    </a:extLst>
                  </pic:spPr>
                </pic:pic>
              </a:graphicData>
            </a:graphic>
          </wp:inline>
        </w:drawing>
      </w:r>
    </w:p>
    <w:p w14:paraId="4A14F297" w14:textId="77777777" w:rsidR="00016C69" w:rsidRPr="001A076D" w:rsidRDefault="00016C69" w:rsidP="00016C69">
      <w:pPr>
        <w:jc w:val="center"/>
      </w:pPr>
      <w:r w:rsidRPr="001A076D">
        <w:t>Figure 4.1: Pearson Correlation Matrix for the Principal Study Variables</w:t>
      </w:r>
    </w:p>
    <w:p w14:paraId="20AB5ABB" w14:textId="77777777" w:rsidR="00016C69" w:rsidRPr="001A076D" w:rsidRDefault="00016C69" w:rsidP="00016C69">
      <w:pPr>
        <w:jc w:val="center"/>
        <w:rPr>
          <w:i/>
          <w:iCs/>
        </w:rPr>
      </w:pPr>
      <w:r w:rsidRPr="001A076D">
        <w:rPr>
          <w:i/>
          <w:iCs/>
        </w:rPr>
        <w:t>Source: Author's analysis using IBM SPSS Statistics.</w:t>
      </w:r>
    </w:p>
    <w:p w14:paraId="68C48389" w14:textId="77777777" w:rsidR="00016C69" w:rsidRPr="001A076D" w:rsidRDefault="00016C69" w:rsidP="00016C69">
      <w:pPr>
        <w:jc w:val="center"/>
        <w:rPr>
          <w:i/>
          <w:iCs/>
        </w:rPr>
      </w:pPr>
    </w:p>
    <w:p w14:paraId="55F7032C" w14:textId="1C7A647E" w:rsidR="00016C69" w:rsidRPr="001A076D" w:rsidRDefault="00016C69" w:rsidP="00016C69">
      <w:pPr>
        <w:spacing w:line="360" w:lineRule="auto"/>
        <w:jc w:val="both"/>
      </w:pPr>
      <w:r w:rsidRPr="001A076D">
        <w:t xml:space="preserve">Figure 4.1 confirms positive relationships across all constructs, with Governance Maturity and Trust &amp; Explainability showing the strongest </w:t>
      </w:r>
      <w:r w:rsidR="00815233" w:rsidRPr="001A076D">
        <w:t>associations</w:t>
      </w:r>
      <w:r w:rsidRPr="001A076D">
        <w:t>.</w:t>
      </w:r>
    </w:p>
    <w:p w14:paraId="0041981D" w14:textId="77777777" w:rsidR="00016C69" w:rsidRPr="001A076D" w:rsidRDefault="00016C69" w:rsidP="00016C69">
      <w:pPr>
        <w:spacing w:line="360" w:lineRule="auto"/>
        <w:jc w:val="both"/>
      </w:pPr>
    </w:p>
    <w:p w14:paraId="6F753DF0" w14:textId="77777777" w:rsidR="00016C69" w:rsidRPr="001A076D" w:rsidRDefault="00016C69" w:rsidP="00016C69">
      <w:pPr>
        <w:spacing w:line="360" w:lineRule="auto"/>
        <w:jc w:val="both"/>
      </w:pPr>
      <w:r w:rsidRPr="001A076D">
        <w:t>Multiple regression analysis assessed the independent contribution of each predictor to Strategic Embedding (Table 4.4).</w:t>
      </w:r>
    </w:p>
    <w:p w14:paraId="7FD6233C" w14:textId="77777777" w:rsidR="00016C69" w:rsidRPr="001A076D" w:rsidRDefault="00016C69" w:rsidP="00016C69">
      <w:pPr>
        <w:spacing w:line="360" w:lineRule="auto"/>
      </w:pPr>
    </w:p>
    <w:p w14:paraId="5512B765" w14:textId="60400404" w:rsidR="00016C69" w:rsidRPr="001A076D" w:rsidRDefault="00016C69" w:rsidP="00016C69">
      <w:pPr>
        <w:spacing w:line="360" w:lineRule="auto"/>
      </w:pPr>
      <w:r w:rsidRPr="001A076D">
        <w:t>Table 4.</w:t>
      </w:r>
      <w:r w:rsidR="0016133E" w:rsidRPr="001A076D">
        <w:t>4</w:t>
      </w:r>
      <w:r w:rsidRPr="001A076D">
        <w:t>: Multiple Regression Coefficients Predicting Strategic Embedding</w:t>
      </w:r>
    </w:p>
    <w:p w14:paraId="4A128E9C" w14:textId="77777777" w:rsidR="00016C69" w:rsidRPr="001A076D" w:rsidRDefault="00016C69" w:rsidP="00016C69">
      <w:pPr>
        <w:spacing w:line="360" w:lineRule="auto"/>
        <w:rPr>
          <w:i/>
          <w:iCs/>
        </w:rPr>
      </w:pPr>
      <w:r w:rsidRPr="001A076D">
        <w:rPr>
          <w:i/>
          <w:iCs/>
        </w:rPr>
        <w:t>Source: Author's analysis using IBM SPSS Statistics.</w:t>
      </w:r>
    </w:p>
    <w:tbl>
      <w:tblPr>
        <w:tblStyle w:val="GridTable1Light"/>
        <w:tblW w:w="9061" w:type="dxa"/>
        <w:tblLook w:val="04A0" w:firstRow="1" w:lastRow="0" w:firstColumn="1" w:lastColumn="0" w:noHBand="0" w:noVBand="1"/>
      </w:tblPr>
      <w:tblGrid>
        <w:gridCol w:w="1799"/>
        <w:gridCol w:w="1144"/>
        <w:gridCol w:w="1144"/>
        <w:gridCol w:w="1144"/>
        <w:gridCol w:w="1325"/>
        <w:gridCol w:w="2505"/>
      </w:tblGrid>
      <w:tr w:rsidR="00016C69" w:rsidRPr="001A076D" w14:paraId="7B32FFE0" w14:textId="77777777" w:rsidTr="00D34A57">
        <w:trPr>
          <w:cnfStyle w:val="100000000000" w:firstRow="1" w:lastRow="0" w:firstColumn="0" w:lastColumn="0" w:oddVBand="0" w:evenVBand="0" w:oddHBand="0"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0" w:type="auto"/>
            <w:hideMark/>
          </w:tcPr>
          <w:p w14:paraId="44F5C63F" w14:textId="77777777" w:rsidR="00016C69" w:rsidRPr="001A076D" w:rsidRDefault="00016C69" w:rsidP="00D34A57">
            <w:pPr>
              <w:spacing w:line="360" w:lineRule="auto"/>
              <w:jc w:val="center"/>
              <w:rPr>
                <w:b w:val="0"/>
                <w:bCs w:val="0"/>
              </w:rPr>
            </w:pPr>
            <w:r w:rsidRPr="001A076D">
              <w:t>Predictor</w:t>
            </w:r>
          </w:p>
        </w:tc>
        <w:tc>
          <w:tcPr>
            <w:tcW w:w="0" w:type="auto"/>
            <w:hideMark/>
          </w:tcPr>
          <w:p w14:paraId="23C334FB"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B</w:t>
            </w:r>
          </w:p>
        </w:tc>
        <w:tc>
          <w:tcPr>
            <w:tcW w:w="0" w:type="auto"/>
            <w:hideMark/>
          </w:tcPr>
          <w:p w14:paraId="12D44FB6"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Beta</w:t>
            </w:r>
          </w:p>
        </w:tc>
        <w:tc>
          <w:tcPr>
            <w:tcW w:w="0" w:type="auto"/>
            <w:hideMark/>
          </w:tcPr>
          <w:p w14:paraId="7602BA60"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t</w:t>
            </w:r>
          </w:p>
        </w:tc>
        <w:tc>
          <w:tcPr>
            <w:tcW w:w="0" w:type="auto"/>
            <w:hideMark/>
          </w:tcPr>
          <w:p w14:paraId="61B4FD18"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p</w:t>
            </w:r>
          </w:p>
        </w:tc>
        <w:tc>
          <w:tcPr>
            <w:tcW w:w="0" w:type="auto"/>
            <w:hideMark/>
          </w:tcPr>
          <w:p w14:paraId="775E6419" w14:textId="77777777" w:rsidR="00016C69" w:rsidRPr="001A076D" w:rsidRDefault="00016C69" w:rsidP="00D34A57">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1A076D">
              <w:t>95% CI</w:t>
            </w:r>
          </w:p>
        </w:tc>
      </w:tr>
      <w:tr w:rsidR="00016C69" w:rsidRPr="001A076D" w14:paraId="6BBF7095" w14:textId="77777777" w:rsidTr="00D34A57">
        <w:trPr>
          <w:trHeight w:val="397"/>
        </w:trPr>
        <w:tc>
          <w:tcPr>
            <w:cnfStyle w:val="001000000000" w:firstRow="0" w:lastRow="0" w:firstColumn="1" w:lastColumn="0" w:oddVBand="0" w:evenVBand="0" w:oddHBand="0" w:evenHBand="0" w:firstRowFirstColumn="0" w:firstRowLastColumn="0" w:lastRowFirstColumn="0" w:lastRowLastColumn="0"/>
            <w:tcW w:w="0" w:type="auto"/>
            <w:hideMark/>
          </w:tcPr>
          <w:p w14:paraId="6E8F2AAF" w14:textId="77777777" w:rsidR="00016C69" w:rsidRPr="001A076D" w:rsidRDefault="00016C69" w:rsidP="00D34A57">
            <w:pPr>
              <w:spacing w:line="360" w:lineRule="auto"/>
              <w:jc w:val="center"/>
            </w:pPr>
            <w:r w:rsidRPr="001A076D">
              <w:t>PAC</w:t>
            </w:r>
          </w:p>
        </w:tc>
        <w:tc>
          <w:tcPr>
            <w:tcW w:w="0" w:type="auto"/>
            <w:hideMark/>
          </w:tcPr>
          <w:p w14:paraId="05657496"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0.216</w:t>
            </w:r>
          </w:p>
        </w:tc>
        <w:tc>
          <w:tcPr>
            <w:tcW w:w="0" w:type="auto"/>
            <w:hideMark/>
          </w:tcPr>
          <w:p w14:paraId="20365F75"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0.213</w:t>
            </w:r>
          </w:p>
        </w:tc>
        <w:tc>
          <w:tcPr>
            <w:tcW w:w="0" w:type="auto"/>
            <w:hideMark/>
          </w:tcPr>
          <w:p w14:paraId="60F8D17C"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1.887</w:t>
            </w:r>
          </w:p>
        </w:tc>
        <w:tc>
          <w:tcPr>
            <w:tcW w:w="0" w:type="auto"/>
            <w:hideMark/>
          </w:tcPr>
          <w:p w14:paraId="448974E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0.064</w:t>
            </w:r>
          </w:p>
        </w:tc>
        <w:tc>
          <w:tcPr>
            <w:tcW w:w="0" w:type="auto"/>
            <w:hideMark/>
          </w:tcPr>
          <w:p w14:paraId="6856F9F1"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[-0.013, 0.446]</w:t>
            </w:r>
          </w:p>
        </w:tc>
      </w:tr>
      <w:tr w:rsidR="00016C69" w:rsidRPr="001A076D" w14:paraId="6484C14D" w14:textId="77777777" w:rsidTr="00D34A57">
        <w:trPr>
          <w:trHeight w:val="378"/>
        </w:trPr>
        <w:tc>
          <w:tcPr>
            <w:cnfStyle w:val="001000000000" w:firstRow="0" w:lastRow="0" w:firstColumn="1" w:lastColumn="0" w:oddVBand="0" w:evenVBand="0" w:oddHBand="0" w:evenHBand="0" w:firstRowFirstColumn="0" w:firstRowLastColumn="0" w:lastRowFirstColumn="0" w:lastRowLastColumn="0"/>
            <w:tcW w:w="0" w:type="auto"/>
            <w:hideMark/>
          </w:tcPr>
          <w:p w14:paraId="2A4F02C2" w14:textId="77777777" w:rsidR="00016C69" w:rsidRPr="001A076D" w:rsidRDefault="00016C69" w:rsidP="00D34A57">
            <w:pPr>
              <w:spacing w:line="360" w:lineRule="auto"/>
              <w:jc w:val="center"/>
            </w:pPr>
            <w:r w:rsidRPr="001A076D">
              <w:t>GM</w:t>
            </w:r>
          </w:p>
        </w:tc>
        <w:tc>
          <w:tcPr>
            <w:tcW w:w="0" w:type="auto"/>
            <w:hideMark/>
          </w:tcPr>
          <w:p w14:paraId="3429A545"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0.208</w:t>
            </w:r>
          </w:p>
        </w:tc>
        <w:tc>
          <w:tcPr>
            <w:tcW w:w="0" w:type="auto"/>
            <w:hideMark/>
          </w:tcPr>
          <w:p w14:paraId="3CB604E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0.283</w:t>
            </w:r>
          </w:p>
        </w:tc>
        <w:tc>
          <w:tcPr>
            <w:tcW w:w="0" w:type="auto"/>
            <w:hideMark/>
          </w:tcPr>
          <w:p w14:paraId="2DE72501"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2.171</w:t>
            </w:r>
          </w:p>
        </w:tc>
        <w:tc>
          <w:tcPr>
            <w:tcW w:w="0" w:type="auto"/>
            <w:hideMark/>
          </w:tcPr>
          <w:p w14:paraId="1783605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0.034*</w:t>
            </w:r>
          </w:p>
        </w:tc>
        <w:tc>
          <w:tcPr>
            <w:tcW w:w="0" w:type="auto"/>
            <w:hideMark/>
          </w:tcPr>
          <w:p w14:paraId="2613E6AA"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[0.016, 0.400]</w:t>
            </w:r>
          </w:p>
        </w:tc>
      </w:tr>
      <w:tr w:rsidR="00016C69" w:rsidRPr="001A076D" w14:paraId="4701C088" w14:textId="77777777" w:rsidTr="00D34A57">
        <w:trPr>
          <w:trHeight w:val="397"/>
        </w:trPr>
        <w:tc>
          <w:tcPr>
            <w:cnfStyle w:val="001000000000" w:firstRow="0" w:lastRow="0" w:firstColumn="1" w:lastColumn="0" w:oddVBand="0" w:evenVBand="0" w:oddHBand="0" w:evenHBand="0" w:firstRowFirstColumn="0" w:firstRowLastColumn="0" w:lastRowFirstColumn="0" w:lastRowLastColumn="0"/>
            <w:tcW w:w="0" w:type="auto"/>
            <w:hideMark/>
          </w:tcPr>
          <w:p w14:paraId="53F893FE" w14:textId="77777777" w:rsidR="00016C69" w:rsidRPr="001A076D" w:rsidRDefault="00016C69" w:rsidP="00D34A57">
            <w:pPr>
              <w:spacing w:line="360" w:lineRule="auto"/>
              <w:jc w:val="center"/>
            </w:pPr>
            <w:r w:rsidRPr="001A076D">
              <w:t>TE</w:t>
            </w:r>
          </w:p>
        </w:tc>
        <w:tc>
          <w:tcPr>
            <w:tcW w:w="0" w:type="auto"/>
            <w:hideMark/>
          </w:tcPr>
          <w:p w14:paraId="02525C22"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0.287</w:t>
            </w:r>
          </w:p>
        </w:tc>
        <w:tc>
          <w:tcPr>
            <w:tcW w:w="0" w:type="auto"/>
            <w:hideMark/>
          </w:tcPr>
          <w:p w14:paraId="2CA52433"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0.311</w:t>
            </w:r>
          </w:p>
        </w:tc>
        <w:tc>
          <w:tcPr>
            <w:tcW w:w="0" w:type="auto"/>
            <w:hideMark/>
          </w:tcPr>
          <w:p w14:paraId="566A7392"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2.442</w:t>
            </w:r>
          </w:p>
        </w:tc>
        <w:tc>
          <w:tcPr>
            <w:tcW w:w="0" w:type="auto"/>
            <w:hideMark/>
          </w:tcPr>
          <w:p w14:paraId="4CE09DFA"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0.017*</w:t>
            </w:r>
          </w:p>
        </w:tc>
        <w:tc>
          <w:tcPr>
            <w:tcW w:w="0" w:type="auto"/>
            <w:hideMark/>
          </w:tcPr>
          <w:p w14:paraId="601955E9" w14:textId="77777777" w:rsidR="00016C69" w:rsidRPr="001A076D" w:rsidRDefault="00016C6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t>[0.052, 0.521]</w:t>
            </w:r>
          </w:p>
        </w:tc>
      </w:tr>
    </w:tbl>
    <w:p w14:paraId="29440909" w14:textId="77777777" w:rsidR="00016C69" w:rsidRPr="001A076D" w:rsidRDefault="00016C69" w:rsidP="00016C69">
      <w:pPr>
        <w:spacing w:before="100" w:beforeAutospacing="1" w:after="100" w:afterAutospacing="1" w:line="360" w:lineRule="auto"/>
        <w:jc w:val="both"/>
      </w:pPr>
      <w:r w:rsidRPr="001A076D">
        <w:t>*p &lt; .05</w:t>
      </w:r>
    </w:p>
    <w:p w14:paraId="321B59C4" w14:textId="77777777" w:rsidR="00016C69" w:rsidRPr="001A076D" w:rsidRDefault="00016C69" w:rsidP="00016C69">
      <w:pPr>
        <w:pStyle w:val="pdq2pgselectionanchorcontainer"/>
        <w:spacing w:line="360" w:lineRule="auto"/>
      </w:pPr>
      <w:r w:rsidRPr="001A076D">
        <w:t>The regression model was statistically significant (R² = .474, p &lt; .001), explaining 47.4% of the variance in Strategic Embedding. Whilst PAC remained positively associated with Strategic Embedding, its independent effect was not statistically significant after Governance Maturity and Trust &amp; Explainability were included (β = .213, p = .064). By contrast, Governance Maturity (β = .283, p = .034) and Trust &amp; Explainability (β = .311, p = .017) remained significant predictors, indicating that technical capability alone does not fully explain strategic embedding.</w:t>
      </w:r>
    </w:p>
    <w:p w14:paraId="5E4F7038" w14:textId="77777777" w:rsidR="00016C69" w:rsidRPr="001A076D" w:rsidRDefault="00016C69" w:rsidP="00016C69">
      <w:pPr>
        <w:pStyle w:val="NormalWeb"/>
        <w:spacing w:line="360" w:lineRule="auto"/>
      </w:pPr>
      <w:r w:rsidRPr="001A076D">
        <w:lastRenderedPageBreak/>
        <w:t>The relationship between the predictor variables and Strategic Embedding is represented by the following multiple regression equation:</w:t>
      </w:r>
    </w:p>
    <w:p w14:paraId="28910124" w14:textId="77777777" w:rsidR="00016C69" w:rsidRPr="001A076D" w:rsidRDefault="00016C69" w:rsidP="00016C69">
      <w:pPr>
        <w:spacing w:line="360" w:lineRule="auto"/>
      </w:pPr>
      <m:oMathPara>
        <m:oMath>
          <m:r>
            <w:rPr>
              <w:rFonts w:ascii="Cambria Math" w:hAnsi="Cambria Math"/>
            </w:rPr>
            <m:t>SE=</m:t>
          </m:r>
          <m:sSub>
            <m:sSubPr>
              <m:ctrlPr>
                <w:rPr>
                  <w:rFonts w:ascii="Cambria Math" w:hAnsi="Cambria Math"/>
                </w:rPr>
              </m:ctrlPr>
            </m:sSubPr>
            <m:e>
              <m:r>
                <w:rPr>
                  <w:rFonts w:ascii="Cambria Math" w:hAnsi="Cambria Math"/>
                </w:rPr>
                <m:t>β</m:t>
              </m:r>
            </m:e>
            <m:sub>
              <m:r>
                <w:rPr>
                  <w:rFonts w:ascii="Cambria Math" w:hAnsi="Cambria Math"/>
                </w:rPr>
                <m:t>0</m:t>
              </m:r>
            </m:sub>
          </m:sSub>
          <m:r>
            <w:rPr>
              <w:rFonts w:ascii="Cambria Math" w:hAnsi="Cambria Math"/>
            </w:rPr>
            <m:t>+</m:t>
          </m:r>
          <m:sSub>
            <m:sSubPr>
              <m:ctrlPr>
                <w:rPr>
                  <w:rFonts w:ascii="Cambria Math" w:hAnsi="Cambria Math"/>
                </w:rPr>
              </m:ctrlPr>
            </m:sSubPr>
            <m:e>
              <m:r>
                <w:rPr>
                  <w:rFonts w:ascii="Cambria Math" w:hAnsi="Cambria Math"/>
                </w:rPr>
                <m:t>β</m:t>
              </m:r>
            </m:e>
            <m:sub>
              <m:r>
                <w:rPr>
                  <w:rFonts w:ascii="Cambria Math" w:hAnsi="Cambria Math"/>
                </w:rPr>
                <m:t>1</m:t>
              </m:r>
            </m:sub>
          </m:sSub>
          <m:d>
            <m:dPr>
              <m:ctrlPr>
                <w:rPr>
                  <w:rFonts w:ascii="Cambria Math" w:hAnsi="Cambria Math"/>
                </w:rPr>
              </m:ctrlPr>
            </m:dPr>
            <m:e>
              <m:r>
                <w:rPr>
                  <w:rFonts w:ascii="Cambria Math" w:hAnsi="Cambria Math"/>
                </w:rPr>
                <m:t>PAC</m:t>
              </m:r>
            </m:e>
          </m:d>
          <m:r>
            <w:rPr>
              <w:rFonts w:ascii="Cambria Math" w:hAnsi="Cambria Math"/>
            </w:rPr>
            <m:t>+</m:t>
          </m:r>
          <m:sSub>
            <m:sSubPr>
              <m:ctrlPr>
                <w:rPr>
                  <w:rFonts w:ascii="Cambria Math" w:hAnsi="Cambria Math"/>
                </w:rPr>
              </m:ctrlPr>
            </m:sSubPr>
            <m:e>
              <m:r>
                <w:rPr>
                  <w:rFonts w:ascii="Cambria Math" w:hAnsi="Cambria Math"/>
                </w:rPr>
                <m:t>β</m:t>
              </m:r>
            </m:e>
            <m:sub>
              <m:r>
                <w:rPr>
                  <w:rFonts w:ascii="Cambria Math" w:hAnsi="Cambria Math"/>
                </w:rPr>
                <m:t>2</m:t>
              </m:r>
            </m:sub>
          </m:sSub>
          <m:d>
            <m:dPr>
              <m:ctrlPr>
                <w:rPr>
                  <w:rFonts w:ascii="Cambria Math" w:hAnsi="Cambria Math"/>
                </w:rPr>
              </m:ctrlPr>
            </m:dPr>
            <m:e>
              <m:r>
                <w:rPr>
                  <w:rFonts w:ascii="Cambria Math" w:hAnsi="Cambria Math"/>
                </w:rPr>
                <m:t>GM</m:t>
              </m:r>
            </m:e>
          </m:d>
          <m:r>
            <w:rPr>
              <w:rFonts w:ascii="Cambria Math" w:hAnsi="Cambria Math"/>
            </w:rPr>
            <m:t>+</m:t>
          </m:r>
          <m:sSub>
            <m:sSubPr>
              <m:ctrlPr>
                <w:rPr>
                  <w:rFonts w:ascii="Cambria Math" w:hAnsi="Cambria Math"/>
                </w:rPr>
              </m:ctrlPr>
            </m:sSubPr>
            <m:e>
              <m:r>
                <w:rPr>
                  <w:rFonts w:ascii="Cambria Math" w:hAnsi="Cambria Math"/>
                </w:rPr>
                <m:t>β</m:t>
              </m:r>
            </m:e>
            <m:sub>
              <m:r>
                <w:rPr>
                  <w:rFonts w:ascii="Cambria Math" w:hAnsi="Cambria Math"/>
                </w:rPr>
                <m:t>3</m:t>
              </m:r>
            </m:sub>
          </m:sSub>
          <m:d>
            <m:dPr>
              <m:ctrlPr>
                <w:rPr>
                  <w:rFonts w:ascii="Cambria Math" w:hAnsi="Cambria Math"/>
                </w:rPr>
              </m:ctrlPr>
            </m:dPr>
            <m:e>
              <m:r>
                <w:rPr>
                  <w:rFonts w:ascii="Cambria Math" w:hAnsi="Cambria Math"/>
                </w:rPr>
                <m:t>TE</m:t>
              </m:r>
            </m:e>
          </m:d>
          <m:r>
            <w:rPr>
              <w:rFonts w:ascii="Cambria Math" w:hAnsi="Cambria Math"/>
            </w:rPr>
            <m:t>+ε</m:t>
          </m:r>
        </m:oMath>
      </m:oMathPara>
    </w:p>
    <w:p w14:paraId="5DE59206" w14:textId="77777777" w:rsidR="00016C69" w:rsidRPr="001A076D" w:rsidRDefault="00016C69" w:rsidP="00016C69">
      <w:pPr>
        <w:pStyle w:val="NormalWeb"/>
        <w:spacing w:line="360" w:lineRule="auto"/>
      </w:pPr>
      <w:r w:rsidRPr="001A076D">
        <w:t>where:</w:t>
      </w:r>
    </w:p>
    <w:p w14:paraId="4B1FE91D" w14:textId="77777777" w:rsidR="00016C69" w:rsidRPr="001A076D" w:rsidRDefault="00016C69" w:rsidP="00016C69">
      <w:pPr>
        <w:numPr>
          <w:ilvl w:val="0"/>
          <w:numId w:val="43"/>
        </w:numPr>
        <w:spacing w:before="100" w:beforeAutospacing="1" w:after="100" w:afterAutospacing="1" w:line="360" w:lineRule="auto"/>
      </w:pPr>
      <w:r w:rsidRPr="001A076D">
        <w:t xml:space="preserve">SE = Strategic Embedding </w:t>
      </w:r>
    </w:p>
    <w:p w14:paraId="223EDDD2" w14:textId="77777777" w:rsidR="00016C69" w:rsidRPr="001A076D" w:rsidRDefault="00016C69" w:rsidP="00016C69">
      <w:pPr>
        <w:numPr>
          <w:ilvl w:val="0"/>
          <w:numId w:val="43"/>
        </w:numPr>
        <w:spacing w:before="100" w:beforeAutospacing="1" w:after="100" w:afterAutospacing="1" w:line="360" w:lineRule="auto"/>
      </w:pPr>
      <w:r w:rsidRPr="001A076D">
        <w:t xml:space="preserve">PAC = Predictive Analytics Capability </w:t>
      </w:r>
    </w:p>
    <w:p w14:paraId="60D0846C" w14:textId="77777777" w:rsidR="00016C69" w:rsidRPr="001A076D" w:rsidRDefault="00016C69" w:rsidP="00016C69">
      <w:pPr>
        <w:numPr>
          <w:ilvl w:val="0"/>
          <w:numId w:val="43"/>
        </w:numPr>
        <w:spacing w:before="100" w:beforeAutospacing="1" w:after="100" w:afterAutospacing="1" w:line="360" w:lineRule="auto"/>
      </w:pPr>
      <w:r w:rsidRPr="001A076D">
        <w:t xml:space="preserve">GM = Governance Maturity </w:t>
      </w:r>
    </w:p>
    <w:p w14:paraId="3A7519D9" w14:textId="77777777" w:rsidR="00016C69" w:rsidRPr="001A076D" w:rsidRDefault="00016C69" w:rsidP="00016C69">
      <w:pPr>
        <w:numPr>
          <w:ilvl w:val="0"/>
          <w:numId w:val="43"/>
        </w:numPr>
        <w:spacing w:before="100" w:beforeAutospacing="1" w:after="100" w:afterAutospacing="1" w:line="360" w:lineRule="auto"/>
      </w:pPr>
      <w:r w:rsidRPr="001A076D">
        <w:t xml:space="preserve">TE = Trust &amp; Explainability </w:t>
      </w:r>
    </w:p>
    <w:p w14:paraId="396D61EA" w14:textId="77777777" w:rsidR="00016C69" w:rsidRPr="001A076D" w:rsidRDefault="00016C69" w:rsidP="00016C69">
      <w:pPr>
        <w:numPr>
          <w:ilvl w:val="0"/>
          <w:numId w:val="43"/>
        </w:numPr>
        <w:spacing w:before="100" w:beforeAutospacing="1" w:after="100" w:afterAutospacing="1" w:line="360" w:lineRule="auto"/>
      </w:pPr>
      <w:r w:rsidRPr="001A076D">
        <w:t xml:space="preserve">β = regression coefficients </w:t>
      </w:r>
    </w:p>
    <w:p w14:paraId="34521DCF" w14:textId="77777777" w:rsidR="00016C69" w:rsidRPr="001A076D" w:rsidRDefault="00016C69" w:rsidP="00016C69">
      <w:pPr>
        <w:numPr>
          <w:ilvl w:val="0"/>
          <w:numId w:val="43"/>
        </w:numPr>
        <w:spacing w:before="100" w:beforeAutospacing="1" w:after="100" w:afterAutospacing="1" w:line="360" w:lineRule="auto"/>
      </w:pPr>
      <w:r w:rsidRPr="001A076D">
        <w:t xml:space="preserve">ε = error term </w:t>
      </w:r>
    </w:p>
    <w:p w14:paraId="4D4E52D5" w14:textId="77777777" w:rsidR="00016C69" w:rsidRPr="001A076D" w:rsidRDefault="00016C69" w:rsidP="00016C69">
      <w:pPr>
        <w:jc w:val="center"/>
      </w:pPr>
      <w:r w:rsidRPr="001A076D">
        <w:rPr>
          <w:noProof/>
        </w:rPr>
        <w:drawing>
          <wp:inline distT="0" distB="0" distL="0" distR="0" wp14:anchorId="75341E2B" wp14:editId="7FD2B0CD">
            <wp:extent cx="4887589" cy="2351791"/>
            <wp:effectExtent l="0" t="0" r="2540" b="0"/>
            <wp:docPr id="128376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20899" name="Picture 1523820899"/>
                    <pic:cNvPicPr/>
                  </pic:nvPicPr>
                  <pic:blipFill rotWithShape="1">
                    <a:blip r:embed="rId21" cstate="print">
                      <a:extLst>
                        <a:ext uri="{28A0092B-C50C-407E-A947-70E740481C1C}">
                          <a14:useLocalDpi xmlns:a14="http://schemas.microsoft.com/office/drawing/2010/main" val="0"/>
                        </a:ext>
                      </a:extLst>
                    </a:blip>
                    <a:srcRect t="11217" r="-650"/>
                    <a:stretch>
                      <a:fillRect/>
                    </a:stretch>
                  </pic:blipFill>
                  <pic:spPr bwMode="auto">
                    <a:xfrm>
                      <a:off x="0" y="0"/>
                      <a:ext cx="4901418" cy="2358445"/>
                    </a:xfrm>
                    <a:prstGeom prst="rect">
                      <a:avLst/>
                    </a:prstGeom>
                    <a:ln>
                      <a:noFill/>
                    </a:ln>
                    <a:extLst>
                      <a:ext uri="{53640926-AAD7-44D8-BBD7-CCE9431645EC}">
                        <a14:shadowObscured xmlns:a14="http://schemas.microsoft.com/office/drawing/2010/main"/>
                      </a:ext>
                    </a:extLst>
                  </pic:spPr>
                </pic:pic>
              </a:graphicData>
            </a:graphic>
          </wp:inline>
        </w:drawing>
      </w:r>
    </w:p>
    <w:p w14:paraId="50CC9DE7" w14:textId="330FBD87" w:rsidR="00016C69" w:rsidRPr="001A076D" w:rsidRDefault="00016C69" w:rsidP="00016C69">
      <w:pPr>
        <w:jc w:val="center"/>
      </w:pPr>
      <w:r w:rsidRPr="001A076D">
        <w:t>Figure 4.</w:t>
      </w:r>
      <w:r w:rsidR="0016133E" w:rsidRPr="001A076D">
        <w:t>2</w:t>
      </w:r>
      <w:r w:rsidRPr="001A076D">
        <w:t>: Mean Scores Across Predictive Analytics Constructs at SSE plc</w:t>
      </w:r>
    </w:p>
    <w:p w14:paraId="54D28FAB" w14:textId="77777777" w:rsidR="00016C69" w:rsidRPr="001A076D" w:rsidRDefault="00016C69" w:rsidP="00016C69">
      <w:pPr>
        <w:jc w:val="center"/>
        <w:rPr>
          <w:i/>
          <w:iCs/>
        </w:rPr>
      </w:pPr>
      <w:r w:rsidRPr="001A076D">
        <w:rPr>
          <w:i/>
          <w:iCs/>
        </w:rPr>
        <w:t>Source: Author’s Own Regression and Structural Interpretation Using SPSS.</w:t>
      </w:r>
    </w:p>
    <w:p w14:paraId="2CDE6A6A" w14:textId="77777777" w:rsidR="00016C69" w:rsidRPr="001A076D" w:rsidRDefault="00016C69" w:rsidP="00016C69">
      <w:pPr>
        <w:jc w:val="center"/>
        <w:rPr>
          <w:i/>
          <w:iCs/>
        </w:rPr>
      </w:pPr>
    </w:p>
    <w:p w14:paraId="6BA52F6F" w14:textId="77777777" w:rsidR="00016C69" w:rsidRPr="001A076D" w:rsidRDefault="00016C69" w:rsidP="00016C69">
      <w:pPr>
        <w:spacing w:line="360" w:lineRule="auto"/>
      </w:pPr>
      <w:r w:rsidRPr="001A076D">
        <w:t>Figure 4.2 confirms consistently high perceptions across all constructs.</w:t>
      </w:r>
    </w:p>
    <w:p w14:paraId="3B19A7BE" w14:textId="77777777" w:rsidR="00016C69" w:rsidRPr="001A076D" w:rsidRDefault="00016C69" w:rsidP="00016C69">
      <w:pPr>
        <w:jc w:val="center"/>
      </w:pPr>
      <w:r w:rsidRPr="001A076D">
        <w:rPr>
          <w:noProof/>
        </w:rPr>
        <w:drawing>
          <wp:inline distT="0" distB="0" distL="0" distR="0" wp14:anchorId="36C36370" wp14:editId="48690431">
            <wp:extent cx="4570911" cy="2551430"/>
            <wp:effectExtent l="0" t="0" r="1270" b="1270"/>
            <wp:docPr id="13619697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42986" name="Picture 390842986"/>
                    <pic:cNvPicPr/>
                  </pic:nvPicPr>
                  <pic:blipFill>
                    <a:blip r:embed="rId22" cstate="print">
                      <a:extLst>
                        <a:ext uri="{BEBA8EAE-BF5A-486C-A8C5-ECC9F3942E4B}">
                          <a14:imgProps xmlns:a14="http://schemas.microsoft.com/office/drawing/2010/main">
                            <a14:imgLayer r:embed="rId23">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4670047" cy="2606767"/>
                    </a:xfrm>
                    <a:prstGeom prst="rect">
                      <a:avLst/>
                    </a:prstGeom>
                  </pic:spPr>
                </pic:pic>
              </a:graphicData>
            </a:graphic>
          </wp:inline>
        </w:drawing>
      </w:r>
    </w:p>
    <w:p w14:paraId="6244E595" w14:textId="2D89D8DE" w:rsidR="00016C69" w:rsidRPr="001A076D" w:rsidRDefault="00016C69" w:rsidP="00016C69">
      <w:pPr>
        <w:jc w:val="center"/>
      </w:pPr>
      <w:r w:rsidRPr="001A076D">
        <w:lastRenderedPageBreak/>
        <w:t>Figure 4.</w:t>
      </w:r>
      <w:r w:rsidR="0016133E" w:rsidRPr="001A076D">
        <w:t>3</w:t>
      </w:r>
      <w:r w:rsidRPr="001A076D">
        <w:t xml:space="preserve">: </w:t>
      </w:r>
      <w:r w:rsidR="005E18AC" w:rsidRPr="001A076D">
        <w:t>Regression-Based Model of Factors Associated with Strategic Embedding at SSE plc</w:t>
      </w:r>
    </w:p>
    <w:p w14:paraId="082882DD" w14:textId="77777777" w:rsidR="00016C69" w:rsidRPr="001A076D" w:rsidRDefault="00016C69" w:rsidP="00016C69">
      <w:pPr>
        <w:jc w:val="center"/>
        <w:rPr>
          <w:rStyle w:val="Emphasis"/>
        </w:rPr>
      </w:pPr>
      <w:r w:rsidRPr="001A076D">
        <w:rPr>
          <w:rStyle w:val="Emphasis"/>
        </w:rPr>
        <w:t>Source: Author’s Own Regression and Structural Interpretation Using SPSS.</w:t>
      </w:r>
    </w:p>
    <w:p w14:paraId="153103D2" w14:textId="0F7D7932" w:rsidR="00016C69" w:rsidRPr="001A076D" w:rsidRDefault="00016C69" w:rsidP="00016C69">
      <w:pPr>
        <w:pStyle w:val="NormalWeb"/>
        <w:spacing w:line="360" w:lineRule="auto"/>
        <w:jc w:val="both"/>
      </w:pPr>
      <w:r w:rsidRPr="001A076D">
        <w:t xml:space="preserve">Figure 4.3 illustrates that Governance Maturity and Trust &amp; Explainability </w:t>
      </w:r>
      <w:r w:rsidR="00685192" w:rsidRPr="001A076D">
        <w:t>made stronger independent contributions</w:t>
      </w:r>
      <w:r w:rsidRPr="001A076D">
        <w:t xml:space="preserve"> on Strategic Embedding than Predictive Analytics Capability.</w:t>
      </w:r>
    </w:p>
    <w:p w14:paraId="146C5739" w14:textId="7E14FA51" w:rsidR="00016C69" w:rsidRPr="001A076D" w:rsidRDefault="00016C69" w:rsidP="00016C69">
      <w:pPr>
        <w:pStyle w:val="NormalWeb"/>
        <w:spacing w:line="360" w:lineRule="auto"/>
        <w:jc w:val="both"/>
      </w:pPr>
      <w:r w:rsidRPr="001A076D">
        <w:t xml:space="preserve">Regression diagnostics confirmed that the model satisfied the assumptions of multicollinearity, normality and homoscedasticity, providing confidence in the robustness of the findings. Overall, the quantitative results indicate that Governance Maturity and Trust &amp; Explainability exert a stronger influence on Strategic Embedding than Predictive Analytics Capability alone. </w:t>
      </w:r>
      <w:r w:rsidR="00815233" w:rsidRPr="001A076D">
        <w:t>Appendix 5 presents detailed statistical outputs, including reliability analysis, regression diagnostics, and assumption testing.</w:t>
      </w:r>
    </w:p>
    <w:p w14:paraId="1B5AE792" w14:textId="77777777" w:rsidR="00016C69" w:rsidRPr="001A076D" w:rsidRDefault="00016C69" w:rsidP="00016C69">
      <w:pPr>
        <w:pStyle w:val="Heading3"/>
        <w:spacing w:line="360" w:lineRule="auto"/>
        <w:rPr>
          <w:rFonts w:cs="Times New Roman"/>
          <w:b/>
          <w:bCs/>
          <w:color w:val="auto"/>
        </w:rPr>
      </w:pPr>
      <w:bookmarkStart w:id="83" w:name="_Toc236033373"/>
      <w:r w:rsidRPr="001A076D">
        <w:rPr>
          <w:rFonts w:cs="Times New Roman"/>
          <w:b/>
          <w:bCs/>
          <w:color w:val="auto"/>
        </w:rPr>
        <w:t>4.2.2 Qualitative Explanation</w:t>
      </w:r>
      <w:bookmarkEnd w:id="83"/>
    </w:p>
    <w:p w14:paraId="097298EB" w14:textId="77777777" w:rsidR="00016C69" w:rsidRPr="001A076D" w:rsidRDefault="00016C69" w:rsidP="00016C69">
      <w:pPr>
        <w:pStyle w:val="pdq2pgselectionanchorcontainer"/>
        <w:spacing w:line="360" w:lineRule="auto"/>
        <w:jc w:val="both"/>
      </w:pPr>
      <w:r w:rsidRPr="001A076D">
        <w:t>The interview findings provide important context for interpreting the quantitative results. Interview participants recognised that SSE plc has developed substantial Predictive Analytics Capability through investments in data platforms, forecasting models and cloud infrastructure. However, they consistently emphasised that technical capability alone does not guarantee strategic adoption, highlighting Governance Maturity, Organisational Trust, leadership commitment and business engagement as equally important enablers.</w:t>
      </w:r>
    </w:p>
    <w:p w14:paraId="0C6130C9" w14:textId="77777777" w:rsidR="00016C69" w:rsidRPr="001A076D" w:rsidRDefault="00016C69" w:rsidP="00016C69">
      <w:pPr>
        <w:pStyle w:val="NormalWeb"/>
        <w:spacing w:line="360" w:lineRule="auto"/>
        <w:jc w:val="both"/>
      </w:pPr>
      <w:r w:rsidRPr="001A076D">
        <w:t>NVivo analysis identified Predictive Analytics Capability as a recurring theme (20 coded references), although it was discussed less frequently than Governance Maturity, Trust &amp; Explainability and Organisational Readiness, indicating that participants regarded organisational factors as more influential than technical capability alone (Appendix 6).</w:t>
      </w:r>
    </w:p>
    <w:p w14:paraId="07995874" w14:textId="77777777" w:rsidR="00016C69" w:rsidRPr="001A076D" w:rsidRDefault="00016C69" w:rsidP="00016C69">
      <w:pPr>
        <w:jc w:val="center"/>
      </w:pPr>
      <w:r w:rsidRPr="001A076D">
        <w:rPr>
          <w:noProof/>
        </w:rPr>
        <w:lastRenderedPageBreak/>
        <w:drawing>
          <wp:inline distT="0" distB="0" distL="0" distR="0" wp14:anchorId="7434C6F5" wp14:editId="27C1A25D">
            <wp:extent cx="6002020" cy="3027122"/>
            <wp:effectExtent l="0" t="0" r="5080" b="0"/>
            <wp:docPr id="908413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10833" r="-88" b="13446"/>
                    <a:stretch>
                      <a:fillRect/>
                    </a:stretch>
                  </pic:blipFill>
                  <pic:spPr bwMode="auto">
                    <a:xfrm>
                      <a:off x="0" y="0"/>
                      <a:ext cx="6002020" cy="3027122"/>
                    </a:xfrm>
                    <a:prstGeom prst="rect">
                      <a:avLst/>
                    </a:prstGeom>
                    <a:noFill/>
                    <a:ln>
                      <a:noFill/>
                    </a:ln>
                    <a:extLst>
                      <a:ext uri="{53640926-AAD7-44D8-BBD7-CCE9431645EC}">
                        <a14:shadowObscured xmlns:a14="http://schemas.microsoft.com/office/drawing/2010/main"/>
                      </a:ext>
                    </a:extLst>
                  </pic:spPr>
                </pic:pic>
              </a:graphicData>
            </a:graphic>
          </wp:inline>
        </w:drawing>
      </w:r>
    </w:p>
    <w:p w14:paraId="20E30DEB" w14:textId="77777777" w:rsidR="00016C69" w:rsidRPr="001A076D" w:rsidRDefault="00016C69" w:rsidP="00016C69">
      <w:pPr>
        <w:jc w:val="center"/>
      </w:pPr>
      <w:r w:rsidRPr="001A076D">
        <w:t>Figure 4.4:</w:t>
      </w:r>
      <w:r w:rsidRPr="001A076D">
        <w:rPr>
          <w:b/>
          <w:bCs/>
        </w:rPr>
        <w:t xml:space="preserve"> </w:t>
      </w:r>
      <w:proofErr w:type="spellStart"/>
      <w:r w:rsidRPr="001A076D">
        <w:t>Treemap</w:t>
      </w:r>
      <w:proofErr w:type="spellEnd"/>
      <w:r w:rsidRPr="001A076D">
        <w:t xml:space="preserve"> of Qualitative Themes Generated through NVivo Analysis</w:t>
      </w:r>
    </w:p>
    <w:p w14:paraId="4199B78E" w14:textId="77777777" w:rsidR="00016C69" w:rsidRPr="001A076D" w:rsidRDefault="00016C69" w:rsidP="00016C69">
      <w:pPr>
        <w:jc w:val="center"/>
        <w:rPr>
          <w:i/>
          <w:iCs/>
        </w:rPr>
      </w:pPr>
      <w:r w:rsidRPr="001A076D">
        <w:rPr>
          <w:i/>
          <w:iCs/>
        </w:rPr>
        <w:t>Source: Author's qualitative thematic analysis using NVivo.</w:t>
      </w:r>
    </w:p>
    <w:p w14:paraId="41238B7E" w14:textId="77777777" w:rsidR="00016C69" w:rsidRPr="001A076D" w:rsidRDefault="00016C69" w:rsidP="00016C69">
      <w:pPr>
        <w:pStyle w:val="pdq2pgselectionanchorcontainer"/>
        <w:spacing w:line="360" w:lineRule="auto"/>
        <w:jc w:val="both"/>
      </w:pPr>
      <w:r w:rsidRPr="001A076D">
        <w:t>Figure 4.4 identifies Governance Maturity as the dominant theme, followed by Trust &amp; Explainability and Organisational Readiness.</w:t>
      </w:r>
    </w:p>
    <w:p w14:paraId="0BAB3080" w14:textId="77777777" w:rsidR="00016C69" w:rsidRPr="001A076D" w:rsidRDefault="00016C69" w:rsidP="00016C69">
      <w:pPr>
        <w:jc w:val="center"/>
      </w:pPr>
      <w:r w:rsidRPr="001A076D">
        <w:rPr>
          <w:noProof/>
        </w:rPr>
        <w:drawing>
          <wp:inline distT="0" distB="0" distL="0" distR="0" wp14:anchorId="4A7E844E" wp14:editId="72A678DA">
            <wp:extent cx="3528128" cy="3374160"/>
            <wp:effectExtent l="0" t="0" r="2540" b="4445"/>
            <wp:docPr id="11528553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33522" name="Picture 1970733522"/>
                    <pic:cNvPicPr/>
                  </pic:nvPicPr>
                  <pic:blipFill rotWithShape="1">
                    <a:blip r:embed="rId25" cstate="print">
                      <a:extLst>
                        <a:ext uri="{28A0092B-C50C-407E-A947-70E740481C1C}">
                          <a14:useLocalDpi xmlns:a14="http://schemas.microsoft.com/office/drawing/2010/main" val="0"/>
                        </a:ext>
                      </a:extLst>
                    </a:blip>
                    <a:srcRect l="22651" t="4831" r="21800" b="-3"/>
                    <a:stretch>
                      <a:fillRect/>
                    </a:stretch>
                  </pic:blipFill>
                  <pic:spPr bwMode="auto">
                    <a:xfrm>
                      <a:off x="0" y="0"/>
                      <a:ext cx="3528128" cy="3374160"/>
                    </a:xfrm>
                    <a:prstGeom prst="rect">
                      <a:avLst/>
                    </a:prstGeom>
                    <a:ln>
                      <a:noFill/>
                    </a:ln>
                    <a:extLst>
                      <a:ext uri="{53640926-AAD7-44D8-BBD7-CCE9431645EC}">
                        <a14:shadowObscured xmlns:a14="http://schemas.microsoft.com/office/drawing/2010/main"/>
                      </a:ext>
                    </a:extLst>
                  </pic:spPr>
                </pic:pic>
              </a:graphicData>
            </a:graphic>
          </wp:inline>
        </w:drawing>
      </w:r>
    </w:p>
    <w:p w14:paraId="41705C2B" w14:textId="2B532879" w:rsidR="00016C69" w:rsidRPr="001A076D" w:rsidRDefault="00016C69" w:rsidP="00016C69">
      <w:pPr>
        <w:jc w:val="center"/>
      </w:pPr>
      <w:r w:rsidRPr="001A076D">
        <w:t>Figure 4.</w:t>
      </w:r>
      <w:r w:rsidR="0016133E" w:rsidRPr="001A076D">
        <w:t>5</w:t>
      </w:r>
      <w:r w:rsidRPr="001A076D">
        <w:t>: Hierarchical Sunburst of Qualitative Themes and Subthemes</w:t>
      </w:r>
    </w:p>
    <w:p w14:paraId="0E8CA3E8" w14:textId="77777777" w:rsidR="00016C69" w:rsidRPr="001A076D" w:rsidRDefault="00016C69" w:rsidP="00016C69">
      <w:pPr>
        <w:jc w:val="center"/>
        <w:rPr>
          <w:rStyle w:val="Emphasis"/>
        </w:rPr>
      </w:pPr>
      <w:r w:rsidRPr="001A076D">
        <w:rPr>
          <w:rStyle w:val="Strong"/>
          <w:b w:val="0"/>
          <w:bCs w:val="0"/>
          <w:i/>
          <w:iCs/>
        </w:rPr>
        <w:t>Source</w:t>
      </w:r>
      <w:r w:rsidRPr="001A076D">
        <w:rPr>
          <w:rStyle w:val="Strong"/>
        </w:rPr>
        <w:t>:</w:t>
      </w:r>
      <w:r w:rsidRPr="001A076D">
        <w:t xml:space="preserve"> </w:t>
      </w:r>
      <w:r w:rsidRPr="001A076D">
        <w:rPr>
          <w:rStyle w:val="Emphasis"/>
        </w:rPr>
        <w:t>Developed by the author from NVivo's thematic analysis of interview data.</w:t>
      </w:r>
    </w:p>
    <w:p w14:paraId="4478BD4B" w14:textId="77777777" w:rsidR="00016C69" w:rsidRPr="001A076D" w:rsidRDefault="00016C69" w:rsidP="00016C69">
      <w:pPr>
        <w:pStyle w:val="pdq2pgselectionanchorcontainer"/>
        <w:spacing w:line="360" w:lineRule="auto"/>
        <w:jc w:val="both"/>
      </w:pPr>
      <w:r w:rsidRPr="001A076D">
        <w:t>Figure 4.5 highlights the interdependence of Predictive Analytics Capability, Governance Maturity, Trust &amp; Explainability and Organisational Readiness.</w:t>
      </w:r>
    </w:p>
    <w:p w14:paraId="6702C10F" w14:textId="77777777" w:rsidR="00016C69" w:rsidRPr="001A076D" w:rsidRDefault="00016C69" w:rsidP="00016C69">
      <w:pPr>
        <w:pStyle w:val="NormalWeb"/>
        <w:spacing w:line="360" w:lineRule="auto"/>
        <w:jc w:val="both"/>
      </w:pPr>
      <w:r w:rsidRPr="001A076D">
        <w:t>Figure 4.6 compares coding density across executive and technical participants.</w:t>
      </w:r>
    </w:p>
    <w:p w14:paraId="6FB53BFB" w14:textId="77777777" w:rsidR="00016C69" w:rsidRPr="001A076D" w:rsidRDefault="00016C69" w:rsidP="00016C69">
      <w:pPr>
        <w:jc w:val="center"/>
      </w:pPr>
      <w:r w:rsidRPr="001A076D">
        <w:rPr>
          <w:noProof/>
        </w:rPr>
        <w:lastRenderedPageBreak/>
        <w:drawing>
          <wp:inline distT="0" distB="0" distL="0" distR="0" wp14:anchorId="77773F33" wp14:editId="34C0790B">
            <wp:extent cx="5435693" cy="2712996"/>
            <wp:effectExtent l="0" t="0" r="0" b="5080"/>
            <wp:docPr id="2200579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198047" name="Picture 1632198047"/>
                    <pic:cNvPicPr/>
                  </pic:nvPicPr>
                  <pic:blipFill rotWithShape="1">
                    <a:blip r:embed="rId26" cstate="print">
                      <a:extLst>
                        <a:ext uri="{28A0092B-C50C-407E-A947-70E740481C1C}">
                          <a14:useLocalDpi xmlns:a14="http://schemas.microsoft.com/office/drawing/2010/main" val="0"/>
                        </a:ext>
                      </a:extLst>
                    </a:blip>
                    <a:srcRect l="-1" t="7783" r="-774"/>
                    <a:stretch>
                      <a:fillRect/>
                    </a:stretch>
                  </pic:blipFill>
                  <pic:spPr bwMode="auto">
                    <a:xfrm>
                      <a:off x="0" y="0"/>
                      <a:ext cx="5448106" cy="2719192"/>
                    </a:xfrm>
                    <a:prstGeom prst="rect">
                      <a:avLst/>
                    </a:prstGeom>
                    <a:ln>
                      <a:noFill/>
                    </a:ln>
                    <a:extLst>
                      <a:ext uri="{53640926-AAD7-44D8-BBD7-CCE9431645EC}">
                        <a14:shadowObscured xmlns:a14="http://schemas.microsoft.com/office/drawing/2010/main"/>
                      </a:ext>
                    </a:extLst>
                  </pic:spPr>
                </pic:pic>
              </a:graphicData>
            </a:graphic>
          </wp:inline>
        </w:drawing>
      </w:r>
    </w:p>
    <w:p w14:paraId="16CAFCBB" w14:textId="77777777" w:rsidR="00016C69" w:rsidRPr="001A076D" w:rsidRDefault="00016C69" w:rsidP="00016C69">
      <w:pPr>
        <w:jc w:val="center"/>
        <w:rPr>
          <w:i/>
          <w:iCs/>
        </w:rPr>
      </w:pPr>
      <w:r w:rsidRPr="001A076D">
        <w:rPr>
          <w:rStyle w:val="Strong"/>
          <w:b w:val="0"/>
          <w:bCs w:val="0"/>
        </w:rPr>
        <w:t>Figure 4.6: Coding Density Comparison Across Executive and Technical Participants</w:t>
      </w:r>
      <w:r w:rsidRPr="001A076D">
        <w:br/>
      </w:r>
      <w:r w:rsidRPr="001A076D">
        <w:rPr>
          <w:rStyle w:val="Emphasis"/>
        </w:rPr>
        <w:t>Source: Author's qualitative thematic analysis using NVivo.</w:t>
      </w:r>
    </w:p>
    <w:p w14:paraId="044E3EAB" w14:textId="77777777" w:rsidR="00016C69" w:rsidRPr="001A076D" w:rsidRDefault="00016C69" w:rsidP="00016C69">
      <w:pPr>
        <w:pStyle w:val="NormalWeb"/>
        <w:spacing w:line="360" w:lineRule="auto"/>
        <w:jc w:val="both"/>
      </w:pPr>
      <w:r w:rsidRPr="001A076D">
        <w:t>Figure 4.6 shows that executive participants emphasised governance and trust, whereas technical participants focused more on implementation and data maturity.</w:t>
      </w:r>
    </w:p>
    <w:p w14:paraId="48C6EA75" w14:textId="77777777" w:rsidR="00016C69" w:rsidRPr="001A076D" w:rsidRDefault="00016C69" w:rsidP="00016C69">
      <w:pPr>
        <w:pStyle w:val="NormalWeb"/>
        <w:spacing w:line="360" w:lineRule="auto"/>
        <w:jc w:val="both"/>
      </w:pPr>
      <w:r w:rsidRPr="001A076D">
        <w:t>Executive and technical participants consistently acknowledged SSE plc's strong analytical capability while recognising variations in maturity across business functions. As one executive participant explained:</w:t>
      </w:r>
    </w:p>
    <w:p w14:paraId="121D5729" w14:textId="77777777" w:rsidR="00016C69" w:rsidRPr="001A076D" w:rsidRDefault="00016C69" w:rsidP="00016C69">
      <w:pPr>
        <w:pStyle w:val="NormalWeb"/>
        <w:spacing w:line="360" w:lineRule="auto"/>
        <w:jc w:val="both"/>
      </w:pPr>
      <w:r w:rsidRPr="001A076D">
        <w:rPr>
          <w:i/>
          <w:iCs/>
        </w:rPr>
        <w:t>“There are clear strengths in technical capability, particularly in forecasting and asset analytics. However, maturity is not consistent across organisations. Some functions are quite advanced, while others still operate at a more descriptive level rather than being fully predictive.”</w:t>
      </w:r>
      <w:r w:rsidRPr="001A076D">
        <w:t xml:space="preserve"> (P1)</w:t>
      </w:r>
    </w:p>
    <w:p w14:paraId="0AA56C68" w14:textId="77777777" w:rsidR="00016C69" w:rsidRPr="001A076D" w:rsidRDefault="00016C69" w:rsidP="00016C69">
      <w:pPr>
        <w:pStyle w:val="NormalWeb"/>
        <w:spacing w:line="360" w:lineRule="auto"/>
        <w:jc w:val="both"/>
      </w:pPr>
      <w:r w:rsidRPr="001A076D">
        <w:t>Similarly, a technical participant observed:</w:t>
      </w:r>
    </w:p>
    <w:p w14:paraId="073C8137" w14:textId="303DCAC1" w:rsidR="00016C69" w:rsidRPr="001A076D" w:rsidRDefault="00815233" w:rsidP="00016C69">
      <w:pPr>
        <w:pStyle w:val="NormalWeb"/>
        <w:spacing w:line="360" w:lineRule="auto"/>
        <w:jc w:val="both"/>
      </w:pPr>
      <w:r w:rsidRPr="001A076D">
        <w:rPr>
          <w:i/>
          <w:iCs/>
        </w:rPr>
        <w:t>We have strong modelling capabilities and increasingly modern tools.</w:t>
      </w:r>
      <w:r w:rsidR="00016C69" w:rsidRPr="001A076D">
        <w:rPr>
          <w:i/>
          <w:iCs/>
        </w:rPr>
        <w:t xml:space="preserve"> However, predictive readiness still depends heavily on data maturity and governance consistency. Technical capability on its own does not necessarily translate into strategic impact.”</w:t>
      </w:r>
      <w:r w:rsidR="00016C69" w:rsidRPr="001A076D">
        <w:t xml:space="preserve"> (P5)</w:t>
      </w:r>
    </w:p>
    <w:p w14:paraId="3735CDA2" w14:textId="77777777" w:rsidR="00016C69" w:rsidRPr="001A076D" w:rsidRDefault="00016C69" w:rsidP="00016C69">
      <w:pPr>
        <w:pStyle w:val="NormalWeb"/>
        <w:spacing w:line="360" w:lineRule="auto"/>
        <w:jc w:val="both"/>
      </w:pPr>
      <w:r w:rsidRPr="001A076D">
        <w:t>These perspectives were consistently reflected across the remaining interviews, with participants emphasising that Predictive Analytics Capability provides the technical foundation for strategic decision-making but requires Governance Maturity, Trust &amp; Explainability and Organisational Readiness to achieve sustained strategic impact. Additional illustrative interview extracts supporting this theme are provided in Appendix 4.</w:t>
      </w:r>
    </w:p>
    <w:p w14:paraId="261E919A" w14:textId="77777777" w:rsidR="00016C69" w:rsidRPr="001A076D" w:rsidRDefault="00016C69" w:rsidP="00016C69">
      <w:pPr>
        <w:pStyle w:val="NormalWeb"/>
        <w:spacing w:line="360" w:lineRule="auto"/>
        <w:jc w:val="both"/>
      </w:pPr>
      <w:r w:rsidRPr="001A076D">
        <w:lastRenderedPageBreak/>
        <w:t>Taken together, the qualitative findings complement the quantitative results by demonstrating that Predictive Analytics Capability provides the technical foundation for predictive analytics adoption, but its strategic value depends on Governance Maturity, Trust &amp; Explainability and Organisational Readiness.</w:t>
      </w:r>
    </w:p>
    <w:p w14:paraId="7DC47AF0" w14:textId="77777777" w:rsidR="00016C69" w:rsidRPr="001A076D" w:rsidRDefault="00016C69" w:rsidP="00016C69">
      <w:pPr>
        <w:pStyle w:val="Heading3"/>
        <w:spacing w:line="360" w:lineRule="auto"/>
        <w:jc w:val="both"/>
        <w:rPr>
          <w:rFonts w:cs="Times New Roman"/>
          <w:color w:val="auto"/>
        </w:rPr>
      </w:pPr>
      <w:bookmarkStart w:id="84" w:name="_Toc236033374"/>
      <w:r w:rsidRPr="001A076D">
        <w:rPr>
          <w:rStyle w:val="Strong"/>
          <w:rFonts w:cs="Times New Roman"/>
          <w:color w:val="auto"/>
        </w:rPr>
        <w:t>4.2.3 Mixed-Method Interpretation</w:t>
      </w:r>
      <w:bookmarkEnd w:id="84"/>
    </w:p>
    <w:p w14:paraId="75AD39A7" w14:textId="77777777" w:rsidR="00016C69" w:rsidRPr="001A076D" w:rsidRDefault="00016C69" w:rsidP="00016C69">
      <w:pPr>
        <w:pStyle w:val="pdq2pgselectionanchorcontainer"/>
        <w:spacing w:line="360" w:lineRule="auto"/>
        <w:jc w:val="both"/>
      </w:pPr>
      <w:r w:rsidRPr="001A076D">
        <w:t>Quantitative and qualitative findings indicate that Predictive Analytics Capability provides the technical foundation for the strategic embedding of predictive analytics within SSE plc but is insufficient on its own to drive strategic adoption. Quantitatively, PAC was positively associated with Strategic Embedding (r = .527, p &lt; .001), although its independent effect was no longer statistically significant after Governance Maturity and Trust &amp; Explainability were included in the regression model (β = .213, p = .064).</w:t>
      </w:r>
    </w:p>
    <w:p w14:paraId="1189AE3D" w14:textId="614A2CEC" w:rsidR="00016C69" w:rsidRPr="001A076D" w:rsidRDefault="00016C69" w:rsidP="00016C69">
      <w:pPr>
        <w:pStyle w:val="NormalWeb"/>
        <w:spacing w:line="360" w:lineRule="auto"/>
        <w:jc w:val="both"/>
      </w:pPr>
      <w:r w:rsidRPr="001A076D">
        <w:t xml:space="preserve">Interview participants consistently </w:t>
      </w:r>
      <w:r w:rsidR="00815233" w:rsidRPr="001A076D">
        <w:t xml:space="preserve">viewed. </w:t>
      </w:r>
      <w:r w:rsidRPr="001A076D">
        <w:t>predictive analytics as an enabling capability whose value depends on governance, organisational trust and business engagement rather than technology alone. Taken together, the findings indicate that Predictive Analytics Capability creates the potential for evidence-based decision-making, whilst Governance Maturity, Trust &amp; Explainability and Organisational Readiness determine whether that potential is translated into sustained strategic practice.</w:t>
      </w:r>
    </w:p>
    <w:p w14:paraId="69EE034B" w14:textId="77777777" w:rsidR="00016C69" w:rsidRPr="001A076D" w:rsidRDefault="00016C69" w:rsidP="00016C69">
      <w:pPr>
        <w:pStyle w:val="NormalWeb"/>
        <w:spacing w:line="360" w:lineRule="auto"/>
        <w:jc w:val="both"/>
      </w:pPr>
      <w:r w:rsidRPr="001A076D">
        <w:t>Collectively, the findings provide partial support for Hypothesis 1, demonstrating that the adoption of sustainable predictive analytics requires the alignment of technical capabilities with governance and organisational factors. The following section examines the contribution of Governance Maturity to this process.</w:t>
      </w:r>
    </w:p>
    <w:p w14:paraId="6B0149BB" w14:textId="77777777" w:rsidR="00016C69" w:rsidRPr="001A076D" w:rsidRDefault="00016C69" w:rsidP="00016C69">
      <w:pPr>
        <w:pStyle w:val="Heading2"/>
        <w:spacing w:line="360" w:lineRule="auto"/>
        <w:jc w:val="both"/>
        <w:rPr>
          <w:rFonts w:ascii="Times New Roman" w:hAnsi="Times New Roman" w:cs="Times New Roman"/>
          <w:color w:val="auto"/>
        </w:rPr>
      </w:pPr>
      <w:bookmarkStart w:id="85" w:name="_Toc236033375"/>
      <w:r w:rsidRPr="001A076D">
        <w:rPr>
          <w:rStyle w:val="Strong"/>
          <w:rFonts w:ascii="Times New Roman" w:hAnsi="Times New Roman" w:cs="Times New Roman"/>
          <w:color w:val="auto"/>
        </w:rPr>
        <w:t>4.3 Research Objective 2: Governance Maturity and Organisational Trust in Predictive Analytics (H2)</w:t>
      </w:r>
      <w:bookmarkEnd w:id="85"/>
    </w:p>
    <w:p w14:paraId="2B7683F2" w14:textId="77777777" w:rsidR="00016C69" w:rsidRPr="001A076D" w:rsidRDefault="00016C69" w:rsidP="00016C69">
      <w:pPr>
        <w:pStyle w:val="NormalWeb"/>
        <w:spacing w:line="360" w:lineRule="auto"/>
        <w:jc w:val="both"/>
      </w:pPr>
      <w:r w:rsidRPr="001A076D">
        <w:t>This research objective examined whether Governance Maturity (GM) strengthens organisational trust in predictive analytics by improving transparency, accountability, data quality and explainability. Specifically, it assessed the relationship between Governance Maturity and Trust &amp; Explainability (TE) and their contribution to the strategic embedding of predictive analytics within SSE plc.</w:t>
      </w:r>
    </w:p>
    <w:p w14:paraId="7CB09BE0" w14:textId="77777777" w:rsidR="00016C69" w:rsidRPr="001A076D" w:rsidRDefault="00016C69" w:rsidP="00016C69">
      <w:pPr>
        <w:pStyle w:val="Heading3"/>
        <w:spacing w:line="360" w:lineRule="auto"/>
        <w:jc w:val="both"/>
        <w:rPr>
          <w:rFonts w:cs="Times New Roman"/>
          <w:color w:val="auto"/>
        </w:rPr>
      </w:pPr>
      <w:bookmarkStart w:id="86" w:name="_Toc236033376"/>
      <w:r w:rsidRPr="001A076D">
        <w:rPr>
          <w:rStyle w:val="Strong"/>
          <w:rFonts w:cs="Times New Roman"/>
          <w:color w:val="auto"/>
        </w:rPr>
        <w:lastRenderedPageBreak/>
        <w:t>4.3.1 Quantitative Findings</w:t>
      </w:r>
      <w:bookmarkEnd w:id="86"/>
    </w:p>
    <w:p w14:paraId="1E58CCB9" w14:textId="77777777" w:rsidR="00016C69" w:rsidRPr="001A076D" w:rsidRDefault="00016C69" w:rsidP="00016C69">
      <w:pPr>
        <w:pStyle w:val="NormalWeb"/>
        <w:spacing w:line="360" w:lineRule="auto"/>
        <w:jc w:val="both"/>
      </w:pPr>
      <w:r w:rsidRPr="001A076D">
        <w:t>The descriptive statistics presented in Table 4.2 indicate positive perceptions of Governance Maturity (M = 4.12, SD = 0.65), suggesting that governance structures, accountability and data management practices are well established within SSE plc.</w:t>
      </w:r>
    </w:p>
    <w:p w14:paraId="4FB2A1B5" w14:textId="77777777" w:rsidR="00016C69" w:rsidRPr="001A076D" w:rsidRDefault="00016C69" w:rsidP="00016C69">
      <w:pPr>
        <w:pStyle w:val="NormalWeb"/>
        <w:spacing w:line="360" w:lineRule="auto"/>
        <w:jc w:val="both"/>
      </w:pPr>
      <w:r w:rsidRPr="001A076D">
        <w:t>The correlation analysis presented in Table 4.3 shows that Governance Maturity exhibited the strongest relationship with Trust &amp; Explainability (r = .668, p &lt; .001), together with significant positive relationships with Strategic Embedding (r = .607, p &lt; .001) and Predictive Analytics Capability (r = .543, p &lt; .001).</w:t>
      </w:r>
    </w:p>
    <w:p w14:paraId="12F2880E" w14:textId="77777777" w:rsidR="00016C69" w:rsidRPr="001A076D" w:rsidRDefault="00016C69" w:rsidP="00016C69">
      <w:pPr>
        <w:pStyle w:val="NormalWeb"/>
        <w:spacing w:line="360" w:lineRule="auto"/>
        <w:jc w:val="both"/>
      </w:pPr>
      <w:r w:rsidRPr="001A076D">
        <w:t>Regression analysis (Table 4.4) confirmed that Governance Maturity remained a significant predictor of Strategic Embedding after controlling for Predictive Analytics Capability and Trust &amp; Explainability (β = .283, p = .034). Although Trust &amp; Explainability exerted the strongest overall effect (β = .311, p = .017), Governance Maturity remained the second strongest predictor. Figure 4.3 illustrates these relationships.</w:t>
      </w:r>
    </w:p>
    <w:p w14:paraId="02BCDD36" w14:textId="6BACC8D4" w:rsidR="00685192" w:rsidRPr="001A076D" w:rsidRDefault="00685192" w:rsidP="00016C69">
      <w:pPr>
        <w:pStyle w:val="NormalWeb"/>
        <w:spacing w:line="360" w:lineRule="auto"/>
        <w:jc w:val="both"/>
      </w:pPr>
      <w:r w:rsidRPr="001A076D">
        <w:t>Collectively, the findings support Hypothesis 2 by identifying a strong positive association between Governance Maturity and Trust &amp; Explainability, alongside a significant contribution to Strategic Embedding.</w:t>
      </w:r>
    </w:p>
    <w:p w14:paraId="094042BF" w14:textId="77777777" w:rsidR="00016C69" w:rsidRPr="001A076D" w:rsidRDefault="00016C69" w:rsidP="00016C69">
      <w:pPr>
        <w:pStyle w:val="Heading3"/>
        <w:spacing w:line="360" w:lineRule="auto"/>
        <w:jc w:val="both"/>
        <w:rPr>
          <w:rFonts w:cs="Times New Roman"/>
          <w:color w:val="auto"/>
        </w:rPr>
      </w:pPr>
      <w:bookmarkStart w:id="87" w:name="_Toc236033377"/>
      <w:r w:rsidRPr="001A076D">
        <w:rPr>
          <w:rStyle w:val="Strong"/>
          <w:rFonts w:cs="Times New Roman"/>
          <w:color w:val="auto"/>
        </w:rPr>
        <w:t>4.3.2 Qualitative Explanation</w:t>
      </w:r>
      <w:bookmarkEnd w:id="87"/>
    </w:p>
    <w:p w14:paraId="014D4BD1" w14:textId="77777777" w:rsidR="00016C69" w:rsidRPr="001A076D" w:rsidRDefault="00016C69" w:rsidP="00016C69">
      <w:pPr>
        <w:pStyle w:val="NormalWeb"/>
        <w:spacing w:line="360" w:lineRule="auto"/>
        <w:jc w:val="both"/>
      </w:pPr>
      <w:r w:rsidRPr="001A076D">
        <w:t>The qualitative findings provide further insight into the relationship between Governance Maturity and the strategic adoption of predictive analytics. Participants consistently described governance as extending beyond regulatory compliance to strengthen organisational confidence through transparency, accountability, data quality, clear ownership and explainability.</w:t>
      </w:r>
    </w:p>
    <w:p w14:paraId="0D624DC5" w14:textId="77777777" w:rsidR="00016C69" w:rsidRPr="001A076D" w:rsidRDefault="00016C69" w:rsidP="00016C69">
      <w:pPr>
        <w:pStyle w:val="NormalWeb"/>
        <w:spacing w:line="360" w:lineRule="auto"/>
        <w:jc w:val="both"/>
      </w:pPr>
      <w:r w:rsidRPr="001A076D">
        <w:t>NVivo analysis identified Governance Maturity as the most prominent qualitative theme, accounting for 53 coded references across the interview dataset. The thematic distribution, coding hierarchy and comparison of executive and technical perspectives are presented in Figures 4.4–4.6, whilst the complete NVivo outputs are provided in Appendix 6.</w:t>
      </w:r>
    </w:p>
    <w:p w14:paraId="0F4E44EE" w14:textId="77777777" w:rsidR="00016C69" w:rsidRPr="001A076D" w:rsidRDefault="00016C69" w:rsidP="00016C69">
      <w:pPr>
        <w:pStyle w:val="NormalWeb"/>
        <w:spacing w:line="360" w:lineRule="auto"/>
        <w:jc w:val="both"/>
      </w:pPr>
      <w:r w:rsidRPr="001A076D">
        <w:t>An executive participant explained:</w:t>
      </w:r>
    </w:p>
    <w:p w14:paraId="48B70C94" w14:textId="77777777" w:rsidR="00016C69" w:rsidRPr="001A076D" w:rsidRDefault="00016C69" w:rsidP="00016C69">
      <w:pPr>
        <w:pStyle w:val="NormalWeb"/>
        <w:spacing w:line="360" w:lineRule="auto"/>
        <w:jc w:val="both"/>
      </w:pPr>
      <w:r w:rsidRPr="001A076D">
        <w:rPr>
          <w:i/>
          <w:iCs/>
        </w:rPr>
        <w:lastRenderedPageBreak/>
        <w:t>“When data lineage is clearly documented and quality metrics are visible, confidence increases significantly. When that transparency is missing, scepticism tends to follow, even if the model is technically sound.”</w:t>
      </w:r>
      <w:r w:rsidRPr="001A076D">
        <w:t xml:space="preserve"> (P1)</w:t>
      </w:r>
    </w:p>
    <w:p w14:paraId="316A6F1B" w14:textId="77777777" w:rsidR="00016C69" w:rsidRPr="001A076D" w:rsidRDefault="00016C69" w:rsidP="00016C69">
      <w:pPr>
        <w:pStyle w:val="NormalWeb"/>
        <w:spacing w:line="360" w:lineRule="auto"/>
        <w:jc w:val="both"/>
      </w:pPr>
      <w:r w:rsidRPr="001A076D">
        <w:t>Similarly, a technical participant observed:</w:t>
      </w:r>
    </w:p>
    <w:p w14:paraId="5B353F2A" w14:textId="77777777" w:rsidR="00016C69" w:rsidRPr="001A076D" w:rsidRDefault="00016C69" w:rsidP="00016C69">
      <w:pPr>
        <w:pStyle w:val="NormalWeb"/>
        <w:spacing w:line="360" w:lineRule="auto"/>
        <w:jc w:val="both"/>
      </w:pPr>
      <w:r w:rsidRPr="001A076D">
        <w:rPr>
          <w:i/>
          <w:iCs/>
        </w:rPr>
        <w:t>“From a technical standpoint, they are fundamental. Without clear lineage and well-maintained metadata, predictive outputs are difficult to reproduce and validate. That directly impacts executive confidence and trust.”</w:t>
      </w:r>
      <w:r w:rsidRPr="001A076D">
        <w:t xml:space="preserve"> (P3)</w:t>
      </w:r>
    </w:p>
    <w:p w14:paraId="24C51EBA" w14:textId="77777777" w:rsidR="00016C69" w:rsidRPr="001A076D" w:rsidRDefault="00016C69" w:rsidP="00016C69">
      <w:pPr>
        <w:pStyle w:val="NormalWeb"/>
        <w:spacing w:line="360" w:lineRule="auto"/>
        <w:jc w:val="both"/>
      </w:pPr>
      <w:r w:rsidRPr="001A076D">
        <w:t>These perspectives were consistently reflected across the remaining interviews, with participants emphasising that transparency, accountability, data quality and clear ownership are fundamental to building confidence in predictive analytics. Additional supporting interview extracts for this theme are provided in Appendix 4.</w:t>
      </w:r>
    </w:p>
    <w:p w14:paraId="393891B3" w14:textId="77777777" w:rsidR="00016C69" w:rsidRPr="001A076D" w:rsidRDefault="00016C69" w:rsidP="00016C69">
      <w:pPr>
        <w:pStyle w:val="NormalWeb"/>
        <w:spacing w:line="360" w:lineRule="auto"/>
        <w:jc w:val="both"/>
      </w:pPr>
      <w:r w:rsidRPr="001A076D">
        <w:t>Taken together, the qualitative findings demonstrate that Governance Maturity strengthens organisational trust by improving transparency, accountability and data quality, enabling predictive analytics to become credible, explainable and strategically embedded.</w:t>
      </w:r>
    </w:p>
    <w:p w14:paraId="4A3A487C" w14:textId="77777777" w:rsidR="00016C69" w:rsidRPr="001A076D" w:rsidRDefault="00016C69" w:rsidP="00016C69">
      <w:pPr>
        <w:pStyle w:val="Heading3"/>
        <w:spacing w:line="360" w:lineRule="auto"/>
        <w:jc w:val="both"/>
        <w:rPr>
          <w:rFonts w:cs="Times New Roman"/>
          <w:color w:val="auto"/>
        </w:rPr>
      </w:pPr>
      <w:bookmarkStart w:id="88" w:name="_Toc236033378"/>
      <w:r w:rsidRPr="001A076D">
        <w:rPr>
          <w:rStyle w:val="Strong"/>
          <w:rFonts w:cs="Times New Roman"/>
          <w:color w:val="auto"/>
        </w:rPr>
        <w:t>4.3.3 Mixed-Method Interpretation</w:t>
      </w:r>
      <w:bookmarkEnd w:id="88"/>
    </w:p>
    <w:p w14:paraId="38FB8953" w14:textId="77777777" w:rsidR="00016C69" w:rsidRPr="001A076D" w:rsidRDefault="00016C69" w:rsidP="00016C69">
      <w:pPr>
        <w:pStyle w:val="pdq2pgselectionanchorcontainer"/>
        <w:spacing w:line="360" w:lineRule="auto"/>
        <w:jc w:val="both"/>
      </w:pPr>
      <w:r w:rsidRPr="001A076D">
        <w:t>The quantitative and qualitative findings consistently demonstrate that Governance Maturity is a critical organisational capability supporting the strategic embedding of predictive analytics within SSE plc. Quantitatively, Governance Maturity exhibited the strongest correlation with Trust &amp; Explainability (r = .668, p &lt; .001) and remained a significant predictor of Strategic Embedding after controlling for the other variables (β = .283, p = .034).</w:t>
      </w:r>
    </w:p>
    <w:p w14:paraId="24D00B8C" w14:textId="215D93FA" w:rsidR="00016C69" w:rsidRPr="001A076D" w:rsidRDefault="00016C69" w:rsidP="00016C69">
      <w:pPr>
        <w:pStyle w:val="NormalWeb"/>
        <w:spacing w:line="360" w:lineRule="auto"/>
        <w:jc w:val="both"/>
      </w:pPr>
      <w:r w:rsidRPr="001A076D">
        <w:t xml:space="preserve">The qualitative findings explain these relationships by showing that participants consistently associated governance with improved transparency, accountability, data quality and clear ownership. Participants viewed governance not just as a compliance </w:t>
      </w:r>
      <w:r w:rsidR="00815233" w:rsidRPr="001A076D">
        <w:t>mechanism but</w:t>
      </w:r>
      <w:r w:rsidRPr="001A076D">
        <w:t xml:space="preserve"> as the organisational capability that establishes and maintains confidence in predictive analytics.</w:t>
      </w:r>
    </w:p>
    <w:p w14:paraId="5C57BDE5" w14:textId="77777777" w:rsidR="00016C69" w:rsidRPr="001A076D" w:rsidRDefault="00016C69" w:rsidP="00016C69">
      <w:pPr>
        <w:pStyle w:val="NormalWeb"/>
        <w:spacing w:line="360" w:lineRule="auto"/>
        <w:jc w:val="both"/>
      </w:pPr>
      <w:r w:rsidRPr="001A076D">
        <w:t>Taken together, the findings indicate that Governance Maturity influences strategic adoption by creating the organisational conditions necessary for trustworthy and evidence-based decision-making. Governance strengthens confidence in analytical outputs while enabling executives to rely on predictive insights during strategic planning.</w:t>
      </w:r>
    </w:p>
    <w:p w14:paraId="2D1CD156" w14:textId="77777777" w:rsidR="00016C69" w:rsidRPr="001A076D" w:rsidRDefault="00016C69" w:rsidP="00016C69">
      <w:pPr>
        <w:pStyle w:val="NormalWeb"/>
        <w:spacing w:line="360" w:lineRule="auto"/>
        <w:jc w:val="both"/>
      </w:pPr>
      <w:r w:rsidRPr="001A076D">
        <w:lastRenderedPageBreak/>
        <w:t>The integrated findings provide strong support for Hypothesis 2, demonstrating that Governance Maturity is a key enabler of organisational trust and sustainable predictive analytics adoption. The following section examines the contribution of Trust &amp; Explainability to this relationship.</w:t>
      </w:r>
    </w:p>
    <w:p w14:paraId="45978D3C" w14:textId="77777777" w:rsidR="00016C69" w:rsidRPr="001A076D" w:rsidRDefault="00016C69" w:rsidP="00016C69">
      <w:pPr>
        <w:pStyle w:val="Heading2"/>
        <w:spacing w:line="360" w:lineRule="auto"/>
        <w:jc w:val="both"/>
        <w:rPr>
          <w:rFonts w:ascii="Times New Roman" w:hAnsi="Times New Roman" w:cs="Times New Roman"/>
          <w:color w:val="auto"/>
        </w:rPr>
      </w:pPr>
      <w:bookmarkStart w:id="89" w:name="_Toc236033379"/>
      <w:r w:rsidRPr="001A076D">
        <w:rPr>
          <w:rStyle w:val="Strong"/>
          <w:rFonts w:ascii="Times New Roman" w:hAnsi="Times New Roman" w:cs="Times New Roman"/>
          <w:color w:val="auto"/>
        </w:rPr>
        <w:t>4.4 Research Objective 3: Trust &amp; Explainability as Predictors of Strategic Embedding (H3)</w:t>
      </w:r>
      <w:bookmarkEnd w:id="89"/>
    </w:p>
    <w:p w14:paraId="62120B17" w14:textId="77777777" w:rsidR="00016C69" w:rsidRPr="001A076D" w:rsidRDefault="00016C69" w:rsidP="00016C69">
      <w:pPr>
        <w:pStyle w:val="NormalWeb"/>
        <w:spacing w:line="360" w:lineRule="auto"/>
        <w:jc w:val="both"/>
      </w:pPr>
      <w:r w:rsidRPr="001A076D">
        <w:t>This research objective examined the extent to which Trust &amp; Explainability (TE) influence the strategic embedding of predictive analytics within SSE plc. Specifically, it assessed whether organisational confidence in predictive analytics, supported by transparent and explainable analytical processes, increases the likelihood that predictive insights are routinely incorporated into strategic decision-making.</w:t>
      </w:r>
    </w:p>
    <w:p w14:paraId="69405874" w14:textId="77777777" w:rsidR="00016C69" w:rsidRPr="001A076D" w:rsidRDefault="00016C69" w:rsidP="00016C69">
      <w:pPr>
        <w:pStyle w:val="Heading3"/>
        <w:spacing w:line="360" w:lineRule="auto"/>
        <w:jc w:val="both"/>
        <w:rPr>
          <w:rFonts w:cs="Times New Roman"/>
          <w:b/>
          <w:bCs/>
          <w:color w:val="auto"/>
        </w:rPr>
      </w:pPr>
      <w:bookmarkStart w:id="90" w:name="_Toc236033380"/>
      <w:r w:rsidRPr="001A076D">
        <w:rPr>
          <w:rFonts w:cs="Times New Roman"/>
          <w:b/>
          <w:bCs/>
          <w:color w:val="auto"/>
        </w:rPr>
        <w:t>4.4.1 Quantitative Findings</w:t>
      </w:r>
      <w:bookmarkEnd w:id="90"/>
    </w:p>
    <w:p w14:paraId="648E57F1" w14:textId="77777777" w:rsidR="00016C69" w:rsidRPr="001A076D" w:rsidRDefault="00016C69" w:rsidP="00016C69">
      <w:pPr>
        <w:pStyle w:val="NormalWeb"/>
        <w:spacing w:line="360" w:lineRule="auto"/>
        <w:jc w:val="both"/>
      </w:pPr>
      <w:r w:rsidRPr="001A076D">
        <w:t>The descriptive statistics presented in Table 4.2 indicate positive perceptions of Trust &amp; Explainability (M = 4.21, SD = 0.52), suggesting that predictive analytics outputs were generally considered understandable, transparent and reliable for organisational decision-making.</w:t>
      </w:r>
    </w:p>
    <w:p w14:paraId="43D0B7C7" w14:textId="77777777" w:rsidR="00016C69" w:rsidRPr="001A076D" w:rsidRDefault="00016C69" w:rsidP="00016C69">
      <w:pPr>
        <w:pStyle w:val="NormalWeb"/>
        <w:spacing w:line="360" w:lineRule="auto"/>
        <w:jc w:val="both"/>
      </w:pPr>
      <w:r w:rsidRPr="001A076D">
        <w:t>The correlation analysis presented in Table 4.3 shows that Trust &amp; Explainability was positively associated with Strategic Embedding (r = .610, p &lt; .001), as well as with Governance Maturity (r = .668, p &lt; .001) and Predictive Analytics Capability (r = .514, p &lt; .001).</w:t>
      </w:r>
    </w:p>
    <w:p w14:paraId="39273778" w14:textId="77777777" w:rsidR="00016C69" w:rsidRPr="001A076D" w:rsidRDefault="00016C69" w:rsidP="00016C69">
      <w:pPr>
        <w:pStyle w:val="NormalWeb"/>
        <w:spacing w:line="360" w:lineRule="auto"/>
        <w:jc w:val="both"/>
      </w:pPr>
      <w:r w:rsidRPr="001A076D">
        <w:t>Regression analysis (Table 4.4) confirmed that Trust &amp; Explainability emerged as the strongest independent predictor of Strategic Embedding after controlling for Predictive Analytics Capability and Governance Maturity (β = .311, p = .017). Figure 4.3 illustrates these relationships.</w:t>
      </w:r>
    </w:p>
    <w:p w14:paraId="3087B8D5" w14:textId="76D5CC44" w:rsidR="00016C69" w:rsidRPr="001A076D" w:rsidRDefault="00016C69" w:rsidP="00016C69">
      <w:pPr>
        <w:pStyle w:val="NormalWeb"/>
        <w:spacing w:line="360" w:lineRule="auto"/>
        <w:jc w:val="both"/>
      </w:pPr>
      <w:r w:rsidRPr="001A076D">
        <w:t xml:space="preserve">Collectively, the quantitative findings provide strong support for Hypothesis 3, demonstrating that </w:t>
      </w:r>
      <w:r w:rsidR="00815FBF" w:rsidRPr="001A076D">
        <w:t>Trust &amp; Explainability was the strongest independent predictor of Strategic Embedding within the research model.</w:t>
      </w:r>
    </w:p>
    <w:p w14:paraId="61CA8CBB" w14:textId="77777777" w:rsidR="00016C69" w:rsidRPr="001A076D" w:rsidRDefault="00016C69" w:rsidP="00016C69">
      <w:pPr>
        <w:pStyle w:val="Heading3"/>
        <w:spacing w:line="360" w:lineRule="auto"/>
        <w:jc w:val="both"/>
        <w:rPr>
          <w:rFonts w:cs="Times New Roman"/>
          <w:color w:val="auto"/>
        </w:rPr>
      </w:pPr>
      <w:bookmarkStart w:id="91" w:name="_Toc236033381"/>
      <w:r w:rsidRPr="001A076D">
        <w:rPr>
          <w:rStyle w:val="Strong"/>
          <w:rFonts w:cs="Times New Roman"/>
          <w:color w:val="auto"/>
        </w:rPr>
        <w:t>4.4.2 Qualitative Explanation</w:t>
      </w:r>
      <w:bookmarkEnd w:id="91"/>
    </w:p>
    <w:p w14:paraId="3285DB78" w14:textId="1E3B1765" w:rsidR="00016C69" w:rsidRPr="001A076D" w:rsidRDefault="00016C69" w:rsidP="00016C69">
      <w:pPr>
        <w:pStyle w:val="NormalWeb"/>
        <w:spacing w:line="360" w:lineRule="auto"/>
        <w:jc w:val="both"/>
      </w:pPr>
      <w:r w:rsidRPr="001A076D">
        <w:t xml:space="preserve">The qualitative findings explain why Trust &amp; Explainability emerged as the strongest predictors of Strategic Embedding. Participants consistently identified trust as the key factor influencing whether predictive analytics is accepted and used in strategic decision-making. </w:t>
      </w:r>
      <w:r w:rsidR="00815233" w:rsidRPr="001A076D">
        <w:t xml:space="preserve">Participants emphasised the </w:t>
      </w:r>
      <w:r w:rsidR="00815233" w:rsidRPr="001A076D">
        <w:lastRenderedPageBreak/>
        <w:t>importance of transparency, understandability, and clear evidence in analytical outputs, even though they acknowledged the significance of technical capability and governance.</w:t>
      </w:r>
    </w:p>
    <w:p w14:paraId="544155E5" w14:textId="77777777" w:rsidR="00016C69" w:rsidRPr="001A076D" w:rsidRDefault="00016C69" w:rsidP="00016C69">
      <w:pPr>
        <w:pStyle w:val="NormalWeb"/>
        <w:spacing w:line="360" w:lineRule="auto"/>
        <w:jc w:val="both"/>
      </w:pPr>
      <w:r w:rsidRPr="001A076D">
        <w:t>NVivo analysis identified Trust &amp; Explainability as the second most prominent qualitative theme, accounting for 40 coded references across the interview dataset. Figures 4.4–4.6 present the thematic distribution, coding hierarchy and comparison of participant perspectives, whilst Appendix 6 provides the complete NVivo outputs.</w:t>
      </w:r>
    </w:p>
    <w:p w14:paraId="69892115" w14:textId="77777777" w:rsidR="00016C69" w:rsidRPr="001A076D" w:rsidRDefault="00016C69" w:rsidP="00016C69">
      <w:pPr>
        <w:pStyle w:val="NormalWeb"/>
        <w:spacing w:line="360" w:lineRule="auto"/>
        <w:jc w:val="both"/>
      </w:pPr>
      <w:r w:rsidRPr="001A076D">
        <w:t>An executive participant explained:</w:t>
      </w:r>
    </w:p>
    <w:p w14:paraId="4CC71C3D" w14:textId="77777777" w:rsidR="00016C69" w:rsidRPr="001A076D" w:rsidRDefault="00016C69" w:rsidP="00016C69">
      <w:pPr>
        <w:pStyle w:val="NormalWeb"/>
        <w:spacing w:line="360" w:lineRule="auto"/>
        <w:jc w:val="both"/>
      </w:pPr>
      <w:r w:rsidRPr="001A076D">
        <w:rPr>
          <w:i/>
          <w:iCs/>
        </w:rPr>
        <w:t>“Trust is built through transparency, particularly around assumptions, scenario comparisons, historical validation, and clear documentation.”</w:t>
      </w:r>
      <w:r w:rsidRPr="001A076D">
        <w:t xml:space="preserve"> (P1)</w:t>
      </w:r>
    </w:p>
    <w:p w14:paraId="0D93226F" w14:textId="77777777" w:rsidR="00016C69" w:rsidRPr="001A076D" w:rsidRDefault="00016C69" w:rsidP="00016C69">
      <w:pPr>
        <w:pStyle w:val="NormalWeb"/>
        <w:spacing w:line="360" w:lineRule="auto"/>
        <w:jc w:val="both"/>
      </w:pPr>
      <w:r w:rsidRPr="001A076D">
        <w:t>Similarly, a technical participant observed:</w:t>
      </w:r>
    </w:p>
    <w:p w14:paraId="609CC0BB" w14:textId="77777777" w:rsidR="00016C69" w:rsidRPr="001A076D" w:rsidRDefault="00016C69" w:rsidP="00016C69">
      <w:pPr>
        <w:pStyle w:val="NormalWeb"/>
        <w:spacing w:line="360" w:lineRule="auto"/>
        <w:jc w:val="both"/>
      </w:pPr>
      <w:r w:rsidRPr="001A076D">
        <w:rPr>
          <w:i/>
          <w:iCs/>
        </w:rPr>
        <w:t>“Trust is strengthened through transparent modelling assumptions, sensitivity analysis, historical back-testing, and clear communication of uncertainty.”</w:t>
      </w:r>
      <w:r w:rsidRPr="001A076D">
        <w:t xml:space="preserve"> (P5)</w:t>
      </w:r>
    </w:p>
    <w:p w14:paraId="789ABFEA" w14:textId="77777777" w:rsidR="00016C69" w:rsidRPr="001A076D" w:rsidRDefault="00016C69" w:rsidP="00016C69">
      <w:pPr>
        <w:pStyle w:val="NormalWeb"/>
        <w:spacing w:line="360" w:lineRule="auto"/>
        <w:jc w:val="both"/>
      </w:pPr>
      <w:r w:rsidRPr="001A076D">
        <w:t>These perspectives were consistently reflected across the remaining interviews, with participants emphasising that explainable models, transparent assumptions, reliable data quality and effective governance are essential for building confidence in predictive analytics. Additional supporting interview extracts for this theme are provided in Appendix 4.</w:t>
      </w:r>
    </w:p>
    <w:p w14:paraId="63C1691E" w14:textId="77777777" w:rsidR="00016C69" w:rsidRPr="001A076D" w:rsidRDefault="00016C69" w:rsidP="00016C69">
      <w:pPr>
        <w:pStyle w:val="NormalWeb"/>
        <w:spacing w:line="360" w:lineRule="auto"/>
        <w:jc w:val="both"/>
      </w:pPr>
      <w:r w:rsidRPr="001A076D">
        <w:t xml:space="preserve">Taken together, the qualitative findings indicate that Trust &amp; Explainability provide the organisational mechanism through which predictive analytics becomes embedded within strategic decision-making. Whilst Predictive Analytics Capability provides the technical foundation and Governance Maturity establishes organisational </w:t>
      </w:r>
      <w:proofErr w:type="gramStart"/>
      <w:r w:rsidRPr="001A076D">
        <w:t>control,</w:t>
      </w:r>
      <w:proofErr w:type="gramEnd"/>
      <w:r w:rsidRPr="001A076D">
        <w:t xml:space="preserve"> trust ultimately determines whether analytical insights are accepted and acted upon by decision-makers.</w:t>
      </w:r>
    </w:p>
    <w:p w14:paraId="0DEAA082" w14:textId="77777777" w:rsidR="00016C69" w:rsidRPr="001A076D" w:rsidRDefault="00016C69" w:rsidP="00016C69">
      <w:pPr>
        <w:pStyle w:val="Heading3"/>
        <w:spacing w:line="360" w:lineRule="auto"/>
        <w:jc w:val="both"/>
        <w:rPr>
          <w:rFonts w:cs="Times New Roman"/>
          <w:color w:val="auto"/>
        </w:rPr>
      </w:pPr>
      <w:bookmarkStart w:id="92" w:name="_Toc236033382"/>
      <w:r w:rsidRPr="001A076D">
        <w:rPr>
          <w:rStyle w:val="Strong"/>
          <w:rFonts w:cs="Times New Roman"/>
          <w:color w:val="auto"/>
        </w:rPr>
        <w:t>4.4.3 Mixed-Method Interpretation</w:t>
      </w:r>
      <w:bookmarkEnd w:id="92"/>
    </w:p>
    <w:p w14:paraId="7D1C5152" w14:textId="303D24C9" w:rsidR="00016C69" w:rsidRPr="001A076D" w:rsidRDefault="00016C69" w:rsidP="00016C69">
      <w:pPr>
        <w:pStyle w:val="pdq2pgselectionanchorcontainer"/>
        <w:spacing w:line="360" w:lineRule="auto"/>
        <w:jc w:val="both"/>
      </w:pPr>
      <w:r w:rsidRPr="001A076D">
        <w:t>The quantitative and qualitative findings consistently demonstrate that Trust and Explainability represent the principal organisational mechanisms through which predictive analytics become embedded within strategic decision-making at SSE plc. Quantitatively, Trust &amp; Explainability exhibited a strong positive relationship with Strategic Embedding (r = .6</w:t>
      </w:r>
      <w:r w:rsidR="005A5CE1" w:rsidRPr="001A076D">
        <w:t>10</w:t>
      </w:r>
      <w:r w:rsidRPr="001A076D">
        <w:t>, p &lt; .001) and emerged as the strongest independent predictor within the regression model (β = .311, p = .017).</w:t>
      </w:r>
    </w:p>
    <w:p w14:paraId="4268BC89" w14:textId="77777777" w:rsidR="00016C69" w:rsidRPr="001A076D" w:rsidRDefault="00016C69" w:rsidP="00016C69">
      <w:pPr>
        <w:pStyle w:val="NormalWeb"/>
        <w:spacing w:line="360" w:lineRule="auto"/>
        <w:jc w:val="both"/>
      </w:pPr>
      <w:r w:rsidRPr="001A076D">
        <w:lastRenderedPageBreak/>
        <w:t>The qualitative findings explain these relationships by showing that participants consistently associated trust with transparency, explainability and confidence in analytical outputs. Across executive, technical and business roles, participants agreed that predictive analytics is more likely to influence strategic decisions when models are understandable, supported by robust governance and communicated in a clear and accessible manner.</w:t>
      </w:r>
    </w:p>
    <w:p w14:paraId="4715B673" w14:textId="77777777" w:rsidR="00016C69" w:rsidRPr="001A076D" w:rsidRDefault="00016C69" w:rsidP="00016C69">
      <w:pPr>
        <w:pStyle w:val="NormalWeb"/>
        <w:spacing w:line="360" w:lineRule="auto"/>
        <w:jc w:val="both"/>
      </w:pPr>
      <w:r w:rsidRPr="001A076D">
        <w:t>Taken together, the findings indicate that organisational trust develops through transparent governance, explainable analytical processes and consistent user experience rather than technical capability alone. Trust serves as the mechanism that translates predictive insights into routine strategic practice.</w:t>
      </w:r>
    </w:p>
    <w:p w14:paraId="27053C16" w14:textId="77777777" w:rsidR="00016C69" w:rsidRPr="001A076D" w:rsidRDefault="00016C69" w:rsidP="00016C69">
      <w:pPr>
        <w:pStyle w:val="NormalWeb"/>
        <w:spacing w:line="360" w:lineRule="auto"/>
        <w:jc w:val="both"/>
      </w:pPr>
      <w:r w:rsidRPr="001A076D">
        <w:t>Overall, the integrated findings provide strong support for Hypothesis 3, demonstrating that Trust &amp; Explainability form the critical link between Governance Maturity and the successful strategic embedding of predictive analytics within SSE plc. The following section examines how Organisational Readiness further supports this process.</w:t>
      </w:r>
    </w:p>
    <w:p w14:paraId="0EDED776" w14:textId="77777777" w:rsidR="00016C69" w:rsidRPr="001A076D" w:rsidRDefault="00016C69" w:rsidP="00016C69">
      <w:pPr>
        <w:pStyle w:val="Heading2"/>
        <w:spacing w:line="360" w:lineRule="auto"/>
        <w:jc w:val="both"/>
        <w:rPr>
          <w:rFonts w:ascii="Times New Roman" w:hAnsi="Times New Roman" w:cs="Times New Roman"/>
          <w:color w:val="auto"/>
        </w:rPr>
      </w:pPr>
      <w:bookmarkStart w:id="93" w:name="_Toc236033383"/>
      <w:r w:rsidRPr="001A076D">
        <w:rPr>
          <w:rStyle w:val="Strong"/>
          <w:rFonts w:ascii="Times New Roman" w:hAnsi="Times New Roman" w:cs="Times New Roman"/>
          <w:color w:val="auto"/>
        </w:rPr>
        <w:t>4.5 Research Objective 4: Organisational Readiness and the Strategic Embedding of Predictive Analytics (H4)</w:t>
      </w:r>
      <w:bookmarkEnd w:id="93"/>
    </w:p>
    <w:p w14:paraId="15FC7794" w14:textId="77777777" w:rsidR="00016C69" w:rsidRPr="001A076D" w:rsidRDefault="00016C69" w:rsidP="00016C69">
      <w:pPr>
        <w:pStyle w:val="NormalWeb"/>
        <w:spacing w:line="360" w:lineRule="auto"/>
        <w:jc w:val="both"/>
      </w:pPr>
      <w:r w:rsidRPr="001A076D">
        <w:t>This research objective examined how Organisational Readiness (OR) influences the strategic embedding of predictive analytics within SSE plc. Specifically, it considered whether leadership commitment, organisational culture, employee capability, business engagement and change readiness create the conditions necessary for predictive analytics to become routinely incorporated into strategic decision-making.</w:t>
      </w:r>
    </w:p>
    <w:p w14:paraId="1184149A" w14:textId="77777777" w:rsidR="00016C69" w:rsidRPr="001A076D" w:rsidRDefault="00016C69" w:rsidP="00016C69">
      <w:pPr>
        <w:pStyle w:val="Heading3"/>
        <w:spacing w:line="360" w:lineRule="auto"/>
        <w:jc w:val="both"/>
        <w:rPr>
          <w:rFonts w:cs="Times New Roman"/>
          <w:color w:val="auto"/>
        </w:rPr>
      </w:pPr>
      <w:bookmarkStart w:id="94" w:name="_Toc236033384"/>
      <w:r w:rsidRPr="001A076D">
        <w:rPr>
          <w:rStyle w:val="Strong"/>
          <w:rFonts w:cs="Times New Roman"/>
          <w:color w:val="auto"/>
        </w:rPr>
        <w:t>4.5.1 Quantitative Findings</w:t>
      </w:r>
      <w:bookmarkEnd w:id="94"/>
    </w:p>
    <w:p w14:paraId="5572F8BC" w14:textId="77777777" w:rsidR="00956A9A" w:rsidRPr="001A076D" w:rsidRDefault="00956A9A" w:rsidP="00956A9A">
      <w:pPr>
        <w:pStyle w:val="NormalWeb"/>
        <w:spacing w:line="360" w:lineRule="auto"/>
        <w:jc w:val="both"/>
      </w:pPr>
      <w:r w:rsidRPr="001A076D">
        <w:t>Organisational Readiness was not included as a separate construct in the final regression model. Its independent statistical contribution could therefore not be tested, and Hypothesis 4 was examined primarily through the qualitative findings.</w:t>
      </w:r>
    </w:p>
    <w:p w14:paraId="779C4EB4" w14:textId="1F985F27" w:rsidR="00016C69" w:rsidRPr="001A076D" w:rsidRDefault="00016C69" w:rsidP="00016C69">
      <w:pPr>
        <w:pStyle w:val="NormalWeb"/>
        <w:spacing w:line="360" w:lineRule="auto"/>
        <w:jc w:val="both"/>
      </w:pPr>
      <w:r w:rsidRPr="001A076D">
        <w:t xml:space="preserve">Although Organisational Readiness was not included as an independent predictor in the final regression model (Table 4.4), the descriptive findings indicate that leadership support, organisational capability and business engagement provide a supportive context for the strategic embedding of predictive analytics. Consequently, its independent contribution cannot be </w:t>
      </w:r>
      <w:r w:rsidR="00815233" w:rsidRPr="001A076D">
        <w:t>directly assessed</w:t>
      </w:r>
      <w:r w:rsidRPr="001A076D">
        <w:t xml:space="preserve"> from the regression results.</w:t>
      </w:r>
    </w:p>
    <w:p w14:paraId="42844421" w14:textId="77777777" w:rsidR="00016C69" w:rsidRPr="001A076D" w:rsidRDefault="00016C69" w:rsidP="00016C69">
      <w:pPr>
        <w:pStyle w:val="NormalWeb"/>
        <w:spacing w:line="360" w:lineRule="auto"/>
        <w:jc w:val="both"/>
      </w:pPr>
      <w:r w:rsidRPr="001A076D">
        <w:lastRenderedPageBreak/>
        <w:t>Collectively, the quantitative findings provide indicative support for Hypothesis 4, suggesting that Organisational Readiness creates favourable conditions for predictive analytics adoption, while the qualitative findings provide further explanation of the organisational factors underlying this relationship.</w:t>
      </w:r>
    </w:p>
    <w:p w14:paraId="67367FAD" w14:textId="77777777" w:rsidR="00016C69" w:rsidRPr="001A076D" w:rsidRDefault="00016C69" w:rsidP="00016C69">
      <w:pPr>
        <w:pStyle w:val="Heading3"/>
        <w:spacing w:line="360" w:lineRule="auto"/>
        <w:jc w:val="both"/>
        <w:rPr>
          <w:rFonts w:cs="Times New Roman"/>
          <w:color w:val="auto"/>
        </w:rPr>
      </w:pPr>
      <w:bookmarkStart w:id="95" w:name="_Toc236033385"/>
      <w:r w:rsidRPr="001A076D">
        <w:rPr>
          <w:rStyle w:val="Strong"/>
          <w:rFonts w:cs="Times New Roman"/>
          <w:color w:val="auto"/>
        </w:rPr>
        <w:t>4.5.2 Qualitative Explanation</w:t>
      </w:r>
      <w:bookmarkEnd w:id="95"/>
    </w:p>
    <w:p w14:paraId="30CCF9F3" w14:textId="77777777" w:rsidR="00016C69" w:rsidRPr="001A076D" w:rsidRDefault="00016C69" w:rsidP="00016C69">
      <w:pPr>
        <w:pStyle w:val="NormalWeb"/>
        <w:spacing w:line="360" w:lineRule="auto"/>
        <w:jc w:val="both"/>
      </w:pPr>
      <w:r w:rsidRPr="001A076D">
        <w:t>The qualitative findings explain how Organisational Readiness influences the strategic embedding of predictive analytics within SSE plc. Participants consistently described readiness as extending beyond technological capability to include leadership commitment, organisational culture, business engagement, analytical literacy and cross-functional collaboration.</w:t>
      </w:r>
    </w:p>
    <w:p w14:paraId="429D9A8C" w14:textId="77777777" w:rsidR="00016C69" w:rsidRPr="001A076D" w:rsidRDefault="00016C69" w:rsidP="00016C69">
      <w:pPr>
        <w:pStyle w:val="NormalWeb"/>
        <w:spacing w:line="360" w:lineRule="auto"/>
        <w:jc w:val="both"/>
      </w:pPr>
      <w:r w:rsidRPr="001A076D">
        <w:t>NVivo analysis identified Organisational Readiness as a prominent theme, accounting for 32 coded references across the interview dataset. Its relative prominence and relationship with the other themes are illustrated in Figures 4.4–4.6, whilst the complete coding hierarchy and supporting NVivo outputs are provided in Appendix 6.</w:t>
      </w:r>
    </w:p>
    <w:p w14:paraId="333EBA56" w14:textId="77777777" w:rsidR="00016C69" w:rsidRPr="001A076D" w:rsidRDefault="00016C69" w:rsidP="00016C69">
      <w:pPr>
        <w:pStyle w:val="NormalWeb"/>
        <w:spacing w:line="360" w:lineRule="auto"/>
        <w:jc w:val="both"/>
      </w:pPr>
      <w:r w:rsidRPr="001A076D">
        <w:t>An executive participant explained:</w:t>
      </w:r>
    </w:p>
    <w:p w14:paraId="087F480B" w14:textId="77777777" w:rsidR="00016C69" w:rsidRPr="001A076D" w:rsidRDefault="00016C69" w:rsidP="00016C69">
      <w:pPr>
        <w:pStyle w:val="NormalWeb"/>
        <w:spacing w:line="360" w:lineRule="auto"/>
        <w:jc w:val="both"/>
      </w:pPr>
      <w:r w:rsidRPr="001A076D">
        <w:rPr>
          <w:i/>
          <w:iCs/>
        </w:rPr>
        <w:t>“Leadership has a significant influence. When leaders actively ask for data-driven insights, analytics becomes part of everyday decision-making. Prioritising intuition tends to make analytics more advisory and less central.”</w:t>
      </w:r>
      <w:r w:rsidRPr="001A076D">
        <w:t xml:space="preserve"> (P1)</w:t>
      </w:r>
    </w:p>
    <w:p w14:paraId="15FB7676" w14:textId="77777777" w:rsidR="00016C69" w:rsidRPr="001A076D" w:rsidRDefault="00016C69" w:rsidP="00016C69">
      <w:pPr>
        <w:pStyle w:val="NormalWeb"/>
        <w:spacing w:line="360" w:lineRule="auto"/>
        <w:jc w:val="both"/>
      </w:pPr>
      <w:r w:rsidRPr="001A076D">
        <w:t>Similarly, a technical participant observed:</w:t>
      </w:r>
    </w:p>
    <w:p w14:paraId="6AFC43A3" w14:textId="6040D67D" w:rsidR="00016C69" w:rsidRPr="001A076D" w:rsidRDefault="00815233" w:rsidP="00016C69">
      <w:pPr>
        <w:pStyle w:val="NormalWeb"/>
        <w:spacing w:line="360" w:lineRule="auto"/>
        <w:jc w:val="both"/>
      </w:pPr>
      <w:r w:rsidRPr="001A076D">
        <w:rPr>
          <w:i/>
          <w:iCs/>
        </w:rPr>
        <w:t>We have strong modelling capabilities and increasingly modern tools.</w:t>
      </w:r>
      <w:r w:rsidR="00016C69" w:rsidRPr="001A076D">
        <w:rPr>
          <w:i/>
          <w:iCs/>
        </w:rPr>
        <w:t xml:space="preserve"> However, predictive readiness still depends heavily on data maturity and governance consistency. Technical capability on its own does not necessarily translate into strategic impact.”</w:t>
      </w:r>
      <w:r w:rsidR="00016C69" w:rsidRPr="001A076D">
        <w:t xml:space="preserve"> (P5)</w:t>
      </w:r>
    </w:p>
    <w:p w14:paraId="6ABBBBF3" w14:textId="77777777" w:rsidR="00016C69" w:rsidRPr="001A076D" w:rsidRDefault="00016C69" w:rsidP="00016C69">
      <w:pPr>
        <w:pStyle w:val="NormalWeb"/>
        <w:spacing w:line="360" w:lineRule="auto"/>
        <w:jc w:val="both"/>
      </w:pPr>
      <w:r w:rsidRPr="001A076D">
        <w:t>These perspectives were consistently reflected across the remaining interviews, with participants identifying visible leadership, analytical literacy, business ownership and collaboration between technical and business functions as critical enablers of predictive analytics adoption. Additional supporting interview extracts for this theme are provided in Appendix 4.</w:t>
      </w:r>
    </w:p>
    <w:p w14:paraId="3F263D28" w14:textId="77777777" w:rsidR="00016C69" w:rsidRPr="001A076D" w:rsidRDefault="00016C69" w:rsidP="00016C69">
      <w:pPr>
        <w:pStyle w:val="NormalWeb"/>
        <w:spacing w:line="360" w:lineRule="auto"/>
        <w:jc w:val="both"/>
      </w:pPr>
      <w:r w:rsidRPr="001A076D">
        <w:t xml:space="preserve">Taken together, the qualitative findings indicate that Organisational Readiness provides the organisational environment in which Predictive Analytics Capability, Governance Maturity, and </w:t>
      </w:r>
      <w:r w:rsidRPr="001A076D">
        <w:lastRenderedPageBreak/>
        <w:t>Trust &amp; Explainability are translated into sustained strategic practice, demonstrating that readiness is a multidimensional organisational capability rather than a purely technological condition.</w:t>
      </w:r>
    </w:p>
    <w:p w14:paraId="3905063E" w14:textId="77777777" w:rsidR="00016C69" w:rsidRPr="001A076D" w:rsidRDefault="00016C69" w:rsidP="00016C69">
      <w:pPr>
        <w:pStyle w:val="Heading3"/>
        <w:spacing w:line="360" w:lineRule="auto"/>
        <w:jc w:val="both"/>
        <w:rPr>
          <w:rFonts w:cs="Times New Roman"/>
          <w:color w:val="auto"/>
        </w:rPr>
      </w:pPr>
      <w:bookmarkStart w:id="96" w:name="_Toc236033386"/>
      <w:r w:rsidRPr="001A076D">
        <w:rPr>
          <w:rStyle w:val="Strong"/>
          <w:rFonts w:cs="Times New Roman"/>
          <w:color w:val="auto"/>
        </w:rPr>
        <w:t>4.5.3 Mixed-Method Interpretation</w:t>
      </w:r>
      <w:bookmarkEnd w:id="96"/>
    </w:p>
    <w:p w14:paraId="10CD42C8" w14:textId="448A2EF4" w:rsidR="00016C69" w:rsidRPr="001A076D" w:rsidRDefault="00016C69" w:rsidP="00016C69">
      <w:pPr>
        <w:pStyle w:val="pdq2pgselectionanchorcontainer"/>
        <w:spacing w:line="360" w:lineRule="auto"/>
        <w:jc w:val="both"/>
      </w:pPr>
      <w:r w:rsidRPr="001A076D">
        <w:t xml:space="preserve">The quantitative and qualitative findings indicate that Organisational Readiness provides the enabling environment within which predictive analytics capabilities are translated into strategic practice. Quantitatively, respondents generally perceived SSE plc as possessing favourable conditions for adoption, although variation across responses suggests that readiness is not </w:t>
      </w:r>
      <w:r w:rsidR="00815233" w:rsidRPr="001A076D">
        <w:t>consistently experienced</w:t>
      </w:r>
      <w:r w:rsidRPr="001A076D">
        <w:t xml:space="preserve"> </w:t>
      </w:r>
      <w:r w:rsidR="001C46C6" w:rsidRPr="001A076D">
        <w:t>across all business</w:t>
      </w:r>
      <w:r w:rsidRPr="001A076D">
        <w:t xml:space="preserve"> functions.</w:t>
      </w:r>
    </w:p>
    <w:p w14:paraId="2D87A65C" w14:textId="77777777" w:rsidR="00016C69" w:rsidRPr="001A076D" w:rsidRDefault="00016C69" w:rsidP="00016C69">
      <w:pPr>
        <w:pStyle w:val="NormalWeb"/>
        <w:spacing w:line="360" w:lineRule="auto"/>
        <w:jc w:val="both"/>
      </w:pPr>
      <w:r w:rsidRPr="001A076D">
        <w:t>The qualitative findings explain this variation by showing that organisational readiness depends on leadership commitment, business engagement, analytical literacy, organisational culture and cross-functional collaboration. Predictive analytics was more likely to become embedded where leaders promoted evidence-based decision-making and business users participated actively in analytical processes.</w:t>
      </w:r>
    </w:p>
    <w:p w14:paraId="4805D7A3" w14:textId="384D6367" w:rsidR="00016C69" w:rsidRPr="001A076D" w:rsidRDefault="00016C69" w:rsidP="00016C69">
      <w:pPr>
        <w:pStyle w:val="NormalWeb"/>
        <w:spacing w:line="360" w:lineRule="auto"/>
        <w:jc w:val="both"/>
      </w:pPr>
      <w:r w:rsidRPr="001A076D">
        <w:t xml:space="preserve">Taken together, the findings suggest that Organisational Readiness functions as an enabling capability. Predictive Analytics Capability provides the technical </w:t>
      </w:r>
      <w:r w:rsidR="00815233" w:rsidRPr="001A076D">
        <w:t>foundation;</w:t>
      </w:r>
      <w:r w:rsidRPr="001A076D">
        <w:t xml:space="preserve"> Governance Maturity establishes accountability and </w:t>
      </w:r>
      <w:r w:rsidR="00815233" w:rsidRPr="001A076D">
        <w:t>control;</w:t>
      </w:r>
      <w:r w:rsidRPr="001A076D">
        <w:t xml:space="preserve"> and Trust &amp; Explainability strengthens confidence in analytical outputs. Organisational Readiness determines whether these capabilities are translated into routine strategic decision-making.</w:t>
      </w:r>
    </w:p>
    <w:p w14:paraId="232E553E" w14:textId="77777777" w:rsidR="00016C69" w:rsidRPr="001A076D" w:rsidRDefault="00016C69" w:rsidP="00016C69">
      <w:pPr>
        <w:pStyle w:val="NormalWeb"/>
        <w:spacing w:line="360" w:lineRule="auto"/>
        <w:jc w:val="both"/>
      </w:pPr>
      <w:r w:rsidRPr="001A076D">
        <w:t>Overall, the integrated findings provide partial support for Hypothesis 4. The final regression model did not test the independent statistical effect of organisational readiness, despite the qualitative evidence that strongly demonstrates its importance. The findings nevertheless indicate that sustainable predictive analytics adoption requires the alignment of technical capability, governance, trust and organisational readiness. These integrated results provide the empirical foundation for the Governance-Mediated Explainable Analytics Framework presented in Chapter 5.</w:t>
      </w:r>
    </w:p>
    <w:p w14:paraId="4388FADF" w14:textId="77777777" w:rsidR="00016C69" w:rsidRPr="001A076D" w:rsidRDefault="00016C69" w:rsidP="00016C69">
      <w:pPr>
        <w:pStyle w:val="Heading2"/>
        <w:spacing w:line="360" w:lineRule="auto"/>
        <w:jc w:val="both"/>
        <w:rPr>
          <w:rFonts w:ascii="Times New Roman" w:hAnsi="Times New Roman" w:cs="Times New Roman"/>
          <w:color w:val="auto"/>
        </w:rPr>
      </w:pPr>
      <w:bookmarkStart w:id="97" w:name="_Toc236033387"/>
      <w:r w:rsidRPr="001A076D">
        <w:rPr>
          <w:rStyle w:val="Strong"/>
          <w:rFonts w:ascii="Times New Roman" w:hAnsi="Times New Roman" w:cs="Times New Roman"/>
          <w:color w:val="auto"/>
        </w:rPr>
        <w:t>4.6 Emerging Organisational Insights</w:t>
      </w:r>
      <w:bookmarkEnd w:id="97"/>
    </w:p>
    <w:p w14:paraId="790D248F" w14:textId="4BFB159D" w:rsidR="00016C69" w:rsidRPr="001A076D" w:rsidRDefault="00016C69" w:rsidP="00016C69">
      <w:pPr>
        <w:pStyle w:val="NormalWeb"/>
        <w:spacing w:line="360" w:lineRule="auto"/>
        <w:jc w:val="both"/>
      </w:pPr>
      <w:r w:rsidRPr="001A076D">
        <w:t xml:space="preserve">Four cross-cutting organisational insights </w:t>
      </w:r>
      <w:r w:rsidR="0088535B" w:rsidRPr="001A076D">
        <w:t>have emerged.</w:t>
      </w:r>
      <w:r w:rsidRPr="001A076D">
        <w:t xml:space="preserve"> Predictive Analytics Capability provides the technical foundation for </w:t>
      </w:r>
      <w:r w:rsidR="001C46C6" w:rsidRPr="001A076D">
        <w:t>adoption.</w:t>
      </w:r>
      <w:r w:rsidRPr="001A076D">
        <w:t xml:space="preserve"> Governance Maturity strengthens transparency and </w:t>
      </w:r>
      <w:r w:rsidR="0088535B" w:rsidRPr="001A076D">
        <w:t>accountability;</w:t>
      </w:r>
      <w:r w:rsidRPr="001A076D">
        <w:t xml:space="preserve"> Trust &amp; Explainability influence managerial acceptance of predictive </w:t>
      </w:r>
      <w:r w:rsidR="0088535B" w:rsidRPr="001A076D">
        <w:t>insights;</w:t>
      </w:r>
      <w:r w:rsidRPr="001A076D">
        <w:t xml:space="preserve"> and Organisational Readiness enables these capabilities to become embedded in routine organisational </w:t>
      </w:r>
      <w:r w:rsidRPr="001A076D">
        <w:lastRenderedPageBreak/>
        <w:t xml:space="preserve">practice. Together, these findings demonstrate that </w:t>
      </w:r>
      <w:r w:rsidR="001C46C6" w:rsidRPr="001A076D">
        <w:t>adopting</w:t>
      </w:r>
      <w:r w:rsidR="0088535B" w:rsidRPr="001A076D">
        <w:t xml:space="preserve"> predictive analytics</w:t>
      </w:r>
      <w:r w:rsidRPr="001A076D">
        <w:t xml:space="preserve"> is a socio-technical organisational process rather than a purely technological initiative.</w:t>
      </w:r>
    </w:p>
    <w:p w14:paraId="08408334" w14:textId="77777777" w:rsidR="00016C69" w:rsidRPr="001A076D" w:rsidRDefault="00016C69" w:rsidP="00016C69">
      <w:pPr>
        <w:jc w:val="center"/>
      </w:pPr>
      <w:r w:rsidRPr="001A076D">
        <w:rPr>
          <w:noProof/>
        </w:rPr>
        <w:drawing>
          <wp:inline distT="0" distB="0" distL="0" distR="0" wp14:anchorId="56F07C07" wp14:editId="62D2FAFF">
            <wp:extent cx="6002020" cy="3473607"/>
            <wp:effectExtent l="0" t="0" r="5080" b="6350"/>
            <wp:docPr id="1200472568"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rotWithShape="1">
                    <a:blip r:embed="rId27" cstate="print">
                      <a:extLst>
                        <a:ext uri="{28A0092B-C50C-407E-A947-70E740481C1C}">
                          <a14:useLocalDpi xmlns:a14="http://schemas.microsoft.com/office/drawing/2010/main" val="0"/>
                        </a:ext>
                      </a:extLst>
                    </a:blip>
                    <a:srcRect t="5392"/>
                    <a:stretch>
                      <a:fillRect/>
                    </a:stretch>
                  </pic:blipFill>
                  <pic:spPr bwMode="auto">
                    <a:xfrm>
                      <a:off x="0" y="0"/>
                      <a:ext cx="6002020" cy="3473607"/>
                    </a:xfrm>
                    <a:prstGeom prst="rect">
                      <a:avLst/>
                    </a:prstGeom>
                    <a:ln>
                      <a:noFill/>
                    </a:ln>
                    <a:extLst>
                      <a:ext uri="{53640926-AAD7-44D8-BBD7-CCE9431645EC}">
                        <a14:shadowObscured xmlns:a14="http://schemas.microsoft.com/office/drawing/2010/main"/>
                      </a:ext>
                    </a:extLst>
                  </pic:spPr>
                </pic:pic>
              </a:graphicData>
            </a:graphic>
          </wp:inline>
        </w:drawing>
      </w:r>
    </w:p>
    <w:p w14:paraId="2DF6221B" w14:textId="1481D4AD" w:rsidR="00016C69" w:rsidRPr="001A076D" w:rsidRDefault="00016C69" w:rsidP="00016C69">
      <w:pPr>
        <w:jc w:val="center"/>
      </w:pPr>
      <w:r w:rsidRPr="001A076D">
        <w:t>Figure 4.</w:t>
      </w:r>
      <w:r w:rsidR="007B0E4D" w:rsidRPr="001A076D">
        <w:t>7</w:t>
      </w:r>
      <w:r w:rsidRPr="001A076D">
        <w:t>: Integrated Empirical Model of Strategic Predictive Analytics Embedding</w:t>
      </w:r>
    </w:p>
    <w:p w14:paraId="568732D5" w14:textId="77777777" w:rsidR="00016C69" w:rsidRPr="001A076D" w:rsidRDefault="00016C69" w:rsidP="00016C69">
      <w:pPr>
        <w:jc w:val="center"/>
        <w:rPr>
          <w:i/>
          <w:iCs/>
        </w:rPr>
      </w:pPr>
      <w:r w:rsidRPr="001A076D">
        <w:rPr>
          <w:b/>
          <w:bCs/>
          <w:i/>
          <w:iCs/>
        </w:rPr>
        <w:t>Source:</w:t>
      </w:r>
      <w:r w:rsidRPr="001A076D">
        <w:rPr>
          <w:i/>
          <w:iCs/>
        </w:rPr>
        <w:t xml:space="preserve"> Developed by the author from the integrated quantitative and qualitative findings.</w:t>
      </w:r>
    </w:p>
    <w:p w14:paraId="1BB60B18" w14:textId="77777777" w:rsidR="00016C69" w:rsidRPr="001A076D" w:rsidRDefault="00016C69" w:rsidP="00016C69">
      <w:pPr>
        <w:pStyle w:val="NormalWeb"/>
        <w:spacing w:line="360" w:lineRule="auto"/>
        <w:jc w:val="both"/>
      </w:pPr>
      <w:r w:rsidRPr="001A076D">
        <w:t>Figure 4.7 integrates the empirical findings, demonstrating that Predictive Analytics Capability provides the technical foundation, Governance Maturity strengthens accountability and transparency, Trust &amp; Explainability supports executive confidence, and Organisational Readiness enables sustained strategic embedding. Weakness in any one capability may limit successful adoption.</w:t>
      </w:r>
    </w:p>
    <w:p w14:paraId="31D458E8" w14:textId="77777777" w:rsidR="00016C69" w:rsidRPr="001A076D" w:rsidRDefault="00016C69" w:rsidP="00016C69">
      <w:pPr>
        <w:pStyle w:val="Heading2"/>
        <w:spacing w:line="360" w:lineRule="auto"/>
        <w:jc w:val="both"/>
        <w:rPr>
          <w:rFonts w:ascii="Times New Roman" w:hAnsi="Times New Roman" w:cs="Times New Roman"/>
          <w:color w:val="auto"/>
        </w:rPr>
      </w:pPr>
      <w:bookmarkStart w:id="98" w:name="_Toc236033388"/>
      <w:r w:rsidRPr="001A076D">
        <w:rPr>
          <w:rStyle w:val="Strong"/>
          <w:rFonts w:ascii="Times New Roman" w:hAnsi="Times New Roman" w:cs="Times New Roman"/>
          <w:color w:val="auto"/>
        </w:rPr>
        <w:t>4.7 Chapter Summary</w:t>
      </w:r>
      <w:bookmarkEnd w:id="98"/>
    </w:p>
    <w:p w14:paraId="3682A8B9" w14:textId="5AF31FE6" w:rsidR="00F44009" w:rsidRPr="001A076D" w:rsidRDefault="00016C69" w:rsidP="00F44009">
      <w:pPr>
        <w:pStyle w:val="NormalWeb"/>
        <w:spacing w:line="360" w:lineRule="auto"/>
        <w:jc w:val="both"/>
      </w:pPr>
      <w:r w:rsidRPr="001A076D">
        <w:t>This chapter presented integrated quantitative and qualitative findings addressing the four research objectives. Collectively, the findings demonstrate that Predictive Analytics Capability provides the technical foundation for adoption, while Governance Maturity, Trust &amp; Explainability and Organisational Readiness determine whether predictive analytics becomes embedded in strategic decision-making. These findings provide the empirical foundation for the Governance-Mediated Explainable Analytics Framework (GMEAF) discussed in Chapter 5.</w:t>
      </w:r>
    </w:p>
    <w:p w14:paraId="18CEB1F3" w14:textId="77777777" w:rsidR="00F44009" w:rsidRPr="001A076D" w:rsidRDefault="00F44009" w:rsidP="00F66F77">
      <w:pPr>
        <w:spacing w:before="100" w:beforeAutospacing="1" w:after="100" w:afterAutospacing="1" w:line="360" w:lineRule="auto"/>
        <w:jc w:val="both"/>
      </w:pPr>
    </w:p>
    <w:p w14:paraId="502560AB" w14:textId="287C389E" w:rsidR="00F44009" w:rsidRPr="001A076D" w:rsidRDefault="00E857DE" w:rsidP="00E857DE">
      <w:pPr>
        <w:pStyle w:val="Heading1"/>
        <w:spacing w:line="360" w:lineRule="auto"/>
        <w:jc w:val="center"/>
        <w:rPr>
          <w:rFonts w:ascii="Times New Roman" w:hAnsi="Times New Roman" w:cs="Times New Roman"/>
          <w:b/>
          <w:bCs/>
          <w:color w:val="auto"/>
        </w:rPr>
      </w:pPr>
      <w:bookmarkStart w:id="99" w:name="_Toc236033389"/>
      <w:r w:rsidRPr="001A076D">
        <w:rPr>
          <w:rFonts w:ascii="Times New Roman" w:hAnsi="Times New Roman" w:cs="Times New Roman"/>
          <w:b/>
          <w:bCs/>
          <w:color w:val="auto"/>
        </w:rPr>
        <w:lastRenderedPageBreak/>
        <w:t xml:space="preserve">Chapter 5: Discussion, Conclusions </w:t>
      </w:r>
      <w:r w:rsidR="002E5346" w:rsidRPr="001A076D">
        <w:rPr>
          <w:rFonts w:ascii="Times New Roman" w:hAnsi="Times New Roman" w:cs="Times New Roman"/>
          <w:b/>
          <w:bCs/>
          <w:color w:val="auto"/>
        </w:rPr>
        <w:t>a</w:t>
      </w:r>
      <w:r w:rsidRPr="001A076D">
        <w:rPr>
          <w:rFonts w:ascii="Times New Roman" w:hAnsi="Times New Roman" w:cs="Times New Roman"/>
          <w:b/>
          <w:bCs/>
          <w:color w:val="auto"/>
        </w:rPr>
        <w:t>nd Recommendations</w:t>
      </w:r>
      <w:bookmarkEnd w:id="99"/>
    </w:p>
    <w:p w14:paraId="44FA668C"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0" w:name="_Toc236033390"/>
      <w:r w:rsidRPr="001A076D">
        <w:rPr>
          <w:rFonts w:ascii="Times New Roman" w:hAnsi="Times New Roman" w:cs="Times New Roman"/>
          <w:b/>
          <w:bCs/>
          <w:color w:val="auto"/>
        </w:rPr>
        <w:t>5.1 Introduction</w:t>
      </w:r>
      <w:bookmarkEnd w:id="100"/>
    </w:p>
    <w:p w14:paraId="553CEE50" w14:textId="7CA9629A" w:rsidR="00F44009" w:rsidRPr="001A076D" w:rsidRDefault="00F44009" w:rsidP="00F44009">
      <w:pPr>
        <w:spacing w:before="100" w:beforeAutospacing="1" w:after="100" w:afterAutospacing="1" w:line="360" w:lineRule="auto"/>
        <w:jc w:val="both"/>
      </w:pPr>
      <w:r w:rsidRPr="001A076D">
        <w:t xml:space="preserve">This chapter discusses the integrated findings presented in Chapter 4 in relation to the literature, theoretical framework and research objectives. </w:t>
      </w:r>
      <w:r w:rsidR="0088535B" w:rsidRPr="001A076D">
        <w:t>The combined evidence is interpreted to explain how SSE plc can effectively embed predictive analytics within strategic decision-making.</w:t>
      </w:r>
      <w:r w:rsidRPr="001A076D">
        <w:t xml:space="preserve"> Each section evaluates the corresponding research objective and hypothesis before considering the study's theoretical, methodological and practical contributions. The chapter concludes with the Governance-Mediated Explainable Analytics Framework (GMEAF), practical implications, limitations and future research.</w:t>
      </w:r>
    </w:p>
    <w:p w14:paraId="1D8F4AA8" w14:textId="77777777" w:rsidR="00F44009" w:rsidRPr="001A076D" w:rsidRDefault="00F44009" w:rsidP="00F44009">
      <w:pPr>
        <w:spacing w:line="360" w:lineRule="auto"/>
      </w:pPr>
      <w:r w:rsidRPr="001A076D">
        <w:t>Table 5.1: Summary of Hypothesis Testing Results</w:t>
      </w:r>
    </w:p>
    <w:p w14:paraId="1D2FCF79" w14:textId="77777777" w:rsidR="00F44009" w:rsidRPr="001A076D" w:rsidRDefault="00F44009" w:rsidP="00F44009">
      <w:pPr>
        <w:spacing w:line="360" w:lineRule="auto"/>
      </w:pPr>
      <w:r w:rsidRPr="001A076D">
        <w:rPr>
          <w:rStyle w:val="Emphasis"/>
        </w:rPr>
        <w:t>Source: Author's analysis.</w:t>
      </w:r>
    </w:p>
    <w:tbl>
      <w:tblPr>
        <w:tblStyle w:val="GridTable1Light"/>
        <w:tblW w:w="0" w:type="auto"/>
        <w:tblLook w:val="04A0" w:firstRow="1" w:lastRow="0" w:firstColumn="1" w:lastColumn="0" w:noHBand="0" w:noVBand="1"/>
      </w:tblPr>
      <w:tblGrid>
        <w:gridCol w:w="1350"/>
        <w:gridCol w:w="5591"/>
        <w:gridCol w:w="2501"/>
      </w:tblGrid>
      <w:tr w:rsidR="00F44009" w:rsidRPr="001A076D" w14:paraId="6785F3AA" w14:textId="77777777" w:rsidTr="00D34A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371086" w14:textId="77777777" w:rsidR="00F44009" w:rsidRPr="001A076D" w:rsidRDefault="00F44009" w:rsidP="00D34A57">
            <w:pPr>
              <w:spacing w:line="360" w:lineRule="auto"/>
              <w:jc w:val="center"/>
            </w:pPr>
            <w:r w:rsidRPr="001A076D">
              <w:t>Hypothesis</w:t>
            </w:r>
          </w:p>
        </w:tc>
        <w:tc>
          <w:tcPr>
            <w:tcW w:w="5591" w:type="dxa"/>
            <w:vAlign w:val="center"/>
            <w:hideMark/>
          </w:tcPr>
          <w:p w14:paraId="3181CE08" w14:textId="77777777" w:rsidR="00F44009" w:rsidRPr="001A076D" w:rsidRDefault="00F44009" w:rsidP="00D34A57">
            <w:pPr>
              <w:spacing w:line="360" w:lineRule="auto"/>
              <w:jc w:val="center"/>
              <w:cnfStyle w:val="100000000000" w:firstRow="1" w:lastRow="0" w:firstColumn="0" w:lastColumn="0" w:oddVBand="0" w:evenVBand="0" w:oddHBand="0" w:evenHBand="0" w:firstRowFirstColumn="0" w:firstRowLastColumn="0" w:lastRowFirstColumn="0" w:lastRowLastColumn="0"/>
            </w:pPr>
            <w:r w:rsidRPr="001A076D">
              <w:t>Statement</w:t>
            </w:r>
          </w:p>
        </w:tc>
        <w:tc>
          <w:tcPr>
            <w:tcW w:w="2501" w:type="dxa"/>
            <w:vAlign w:val="center"/>
            <w:hideMark/>
          </w:tcPr>
          <w:p w14:paraId="5BC9CB37" w14:textId="77777777" w:rsidR="00F44009" w:rsidRPr="001A076D" w:rsidRDefault="00F44009" w:rsidP="00D34A57">
            <w:pPr>
              <w:spacing w:line="360" w:lineRule="auto"/>
              <w:jc w:val="center"/>
              <w:cnfStyle w:val="100000000000" w:firstRow="1" w:lastRow="0" w:firstColumn="0" w:lastColumn="0" w:oddVBand="0" w:evenVBand="0" w:oddHBand="0" w:evenHBand="0" w:firstRowFirstColumn="0" w:firstRowLastColumn="0" w:lastRowFirstColumn="0" w:lastRowLastColumn="0"/>
            </w:pPr>
            <w:r w:rsidRPr="001A076D">
              <w:t>Outcome</w:t>
            </w:r>
          </w:p>
        </w:tc>
      </w:tr>
      <w:tr w:rsidR="00F44009" w:rsidRPr="001A076D" w14:paraId="692B1334"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E1B62C" w14:textId="77777777" w:rsidR="00F44009" w:rsidRPr="001A076D" w:rsidRDefault="00F44009" w:rsidP="00D34A57">
            <w:pPr>
              <w:spacing w:line="360" w:lineRule="auto"/>
              <w:jc w:val="center"/>
              <w:rPr>
                <w:b w:val="0"/>
                <w:bCs w:val="0"/>
              </w:rPr>
            </w:pPr>
            <w:r w:rsidRPr="001A076D">
              <w:t>H1</w:t>
            </w:r>
          </w:p>
        </w:tc>
        <w:tc>
          <w:tcPr>
            <w:tcW w:w="5591" w:type="dxa"/>
            <w:vAlign w:val="center"/>
            <w:hideMark/>
          </w:tcPr>
          <w:p w14:paraId="261681AA"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Predictive Analytics Capability positively influences Strategic Embedding.</w:t>
            </w:r>
          </w:p>
        </w:tc>
        <w:tc>
          <w:tcPr>
            <w:tcW w:w="2501" w:type="dxa"/>
            <w:vAlign w:val="center"/>
            <w:hideMark/>
          </w:tcPr>
          <w:p w14:paraId="48791BC4" w14:textId="77777777" w:rsidR="00F44009" w:rsidRPr="001A076D" w:rsidRDefault="00F4400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rPr>
                <w:rStyle w:val="Strong"/>
              </w:rPr>
              <w:t>Partially Supported</w:t>
            </w:r>
          </w:p>
        </w:tc>
      </w:tr>
      <w:tr w:rsidR="00F44009" w:rsidRPr="001A076D" w14:paraId="372FA6A9"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8CAC66" w14:textId="77777777" w:rsidR="00F44009" w:rsidRPr="001A076D" w:rsidRDefault="00F44009" w:rsidP="00D34A57">
            <w:pPr>
              <w:spacing w:line="360" w:lineRule="auto"/>
              <w:jc w:val="center"/>
            </w:pPr>
            <w:r w:rsidRPr="001A076D">
              <w:t>H2</w:t>
            </w:r>
          </w:p>
        </w:tc>
        <w:tc>
          <w:tcPr>
            <w:tcW w:w="5591" w:type="dxa"/>
            <w:vAlign w:val="center"/>
            <w:hideMark/>
          </w:tcPr>
          <w:p w14:paraId="13BE9E39"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Governance Maturity positively influences Trust &amp; Explainability and Strategic Embedding.</w:t>
            </w:r>
          </w:p>
        </w:tc>
        <w:tc>
          <w:tcPr>
            <w:tcW w:w="2501" w:type="dxa"/>
            <w:vAlign w:val="center"/>
            <w:hideMark/>
          </w:tcPr>
          <w:p w14:paraId="12C8AA08" w14:textId="77777777" w:rsidR="00F44009" w:rsidRPr="001A076D" w:rsidRDefault="00F4400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rPr>
                <w:rStyle w:val="Strong"/>
              </w:rPr>
              <w:t>Supported</w:t>
            </w:r>
          </w:p>
        </w:tc>
      </w:tr>
      <w:tr w:rsidR="00F44009" w:rsidRPr="001A076D" w14:paraId="2FC8DB4C"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196C40" w14:textId="77777777" w:rsidR="00F44009" w:rsidRPr="001A076D" w:rsidRDefault="00F44009" w:rsidP="00D34A57">
            <w:pPr>
              <w:spacing w:line="360" w:lineRule="auto"/>
              <w:jc w:val="center"/>
            </w:pPr>
            <w:r w:rsidRPr="001A076D">
              <w:t>H3</w:t>
            </w:r>
          </w:p>
        </w:tc>
        <w:tc>
          <w:tcPr>
            <w:tcW w:w="5591" w:type="dxa"/>
            <w:vAlign w:val="center"/>
            <w:hideMark/>
          </w:tcPr>
          <w:p w14:paraId="7C5A9855"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Trust &amp; Explainability positively influence Strategic Embedding.</w:t>
            </w:r>
          </w:p>
        </w:tc>
        <w:tc>
          <w:tcPr>
            <w:tcW w:w="2501" w:type="dxa"/>
            <w:vAlign w:val="center"/>
            <w:hideMark/>
          </w:tcPr>
          <w:p w14:paraId="3A92E0DA" w14:textId="77777777" w:rsidR="00F44009" w:rsidRPr="001A076D" w:rsidRDefault="00F44009" w:rsidP="00D34A57">
            <w:pPr>
              <w:spacing w:line="360" w:lineRule="auto"/>
              <w:jc w:val="center"/>
              <w:cnfStyle w:val="000000000000" w:firstRow="0" w:lastRow="0" w:firstColumn="0" w:lastColumn="0" w:oddVBand="0" w:evenVBand="0" w:oddHBand="0" w:evenHBand="0" w:firstRowFirstColumn="0" w:firstRowLastColumn="0" w:lastRowFirstColumn="0" w:lastRowLastColumn="0"/>
            </w:pPr>
            <w:r w:rsidRPr="001A076D">
              <w:rPr>
                <w:rStyle w:val="Strong"/>
              </w:rPr>
              <w:t>Supported</w:t>
            </w:r>
          </w:p>
        </w:tc>
      </w:tr>
      <w:tr w:rsidR="00F44009" w:rsidRPr="001A076D" w14:paraId="17708C14"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91ACC1" w14:textId="77777777" w:rsidR="00F44009" w:rsidRPr="001A076D" w:rsidRDefault="00F44009" w:rsidP="00D34A57">
            <w:pPr>
              <w:spacing w:line="360" w:lineRule="auto"/>
              <w:jc w:val="center"/>
            </w:pPr>
            <w:r w:rsidRPr="001A076D">
              <w:t>H4</w:t>
            </w:r>
          </w:p>
        </w:tc>
        <w:tc>
          <w:tcPr>
            <w:tcW w:w="5591" w:type="dxa"/>
            <w:vAlign w:val="center"/>
            <w:hideMark/>
          </w:tcPr>
          <w:p w14:paraId="3A9D4028"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Organisational Readiness positively influences Strategic Embedding.</w:t>
            </w:r>
          </w:p>
        </w:tc>
        <w:tc>
          <w:tcPr>
            <w:tcW w:w="2501" w:type="dxa"/>
            <w:vAlign w:val="center"/>
            <w:hideMark/>
          </w:tcPr>
          <w:p w14:paraId="3DB3026B" w14:textId="2E6894D0" w:rsidR="00F44009" w:rsidRPr="001A076D" w:rsidRDefault="005A5CE1" w:rsidP="005A5CE1">
            <w:pPr>
              <w:spacing w:line="360" w:lineRule="auto"/>
              <w:jc w:val="center"/>
              <w:cnfStyle w:val="000000000000" w:firstRow="0" w:lastRow="0" w:firstColumn="0" w:lastColumn="0" w:oddVBand="0" w:evenVBand="0" w:oddHBand="0" w:evenHBand="0" w:firstRowFirstColumn="0" w:firstRowLastColumn="0" w:lastRowFirstColumn="0" w:lastRowLastColumn="0"/>
              <w:rPr>
                <w:b/>
                <w:bCs/>
              </w:rPr>
            </w:pPr>
            <w:r w:rsidRPr="001A076D">
              <w:rPr>
                <w:b/>
                <w:bCs/>
              </w:rPr>
              <w:t>Indicative Qualitative Support</w:t>
            </w:r>
          </w:p>
        </w:tc>
      </w:tr>
    </w:tbl>
    <w:p w14:paraId="53BAA080"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1" w:name="_Toc236033391"/>
      <w:r w:rsidRPr="001A076D">
        <w:rPr>
          <w:rFonts w:ascii="Times New Roman" w:hAnsi="Times New Roman" w:cs="Times New Roman"/>
          <w:b/>
          <w:bCs/>
          <w:color w:val="auto"/>
        </w:rPr>
        <w:t>5.2 Discussion of the Integrated Findings</w:t>
      </w:r>
      <w:bookmarkEnd w:id="101"/>
    </w:p>
    <w:p w14:paraId="39AC220C" w14:textId="77777777" w:rsidR="00F44009" w:rsidRPr="001A076D" w:rsidRDefault="00F44009" w:rsidP="00F44009">
      <w:pPr>
        <w:pStyle w:val="Heading3"/>
        <w:spacing w:line="360" w:lineRule="auto"/>
        <w:jc w:val="both"/>
        <w:rPr>
          <w:rFonts w:cs="Times New Roman"/>
          <w:b/>
          <w:bCs/>
          <w:color w:val="auto"/>
        </w:rPr>
      </w:pPr>
      <w:bookmarkStart w:id="102" w:name="_Toc236033392"/>
      <w:r w:rsidRPr="001A076D">
        <w:rPr>
          <w:rFonts w:cs="Times New Roman"/>
          <w:b/>
          <w:bCs/>
          <w:color w:val="auto"/>
        </w:rPr>
        <w:t>5.2.1 Predictive Analytics Capability and Strategic Decision-Making</w:t>
      </w:r>
      <w:bookmarkEnd w:id="102"/>
    </w:p>
    <w:p w14:paraId="1BA2EE25" w14:textId="77777777" w:rsidR="00F44009" w:rsidRPr="001A076D" w:rsidRDefault="00F44009" w:rsidP="00F44009">
      <w:pPr>
        <w:spacing w:before="100" w:beforeAutospacing="1" w:after="100" w:afterAutospacing="1" w:line="360" w:lineRule="auto"/>
        <w:jc w:val="both"/>
      </w:pPr>
      <w:r w:rsidRPr="001A076D">
        <w:t xml:space="preserve">The first research objective examined the influence of predictive analytics capability on strategic decision-making. The integrated findings indicate that predictive analytics capability is an important organisational resource, but it does not independently guarantee the successful embedding of predictive analytics in strategic decision-making. Although the quantitative analysis confirmed a positive relationship between predictive analytics capability and strategic embedding, the qualitative findings showed that participants placed greater emphasis on the credibility and </w:t>
      </w:r>
      <w:r w:rsidRPr="001A076D">
        <w:lastRenderedPageBreak/>
        <w:t>transparency of analytical outputs than on the analytical tools themselves. This suggests that the organisational value of predictive analytics depends less on analytical capability itself than on how analytical insights are governed, interpreted and applied within strategic decision-making.</w:t>
      </w:r>
    </w:p>
    <w:p w14:paraId="5496B55E" w14:textId="77777777" w:rsidR="00F44009" w:rsidRPr="001A076D" w:rsidRDefault="00F44009" w:rsidP="00F44009">
      <w:pPr>
        <w:spacing w:before="100" w:beforeAutospacing="1" w:after="100" w:afterAutospacing="1" w:line="360" w:lineRule="auto"/>
        <w:jc w:val="both"/>
      </w:pPr>
      <w:r w:rsidRPr="001A076D">
        <w:t>These findings support previous research that identifies predictive analytics as a source of competitive advantage through improved organisational insight (Davenport &amp; Harris, 2007; Shmueli &amp; Koppius, 2011). However, the present study extends this understanding by demonstrating that technical capability alone is insufficient in a regulated organisational environment. Analytical outputs were considered valuable only when decision-makers were confident in the quality of the underlying data and could understand the basis on which recommendations had been generated. Predictive analytics, therefore, functions as an enabling capability whose strategic value depends on complementary organisational capabilities.</w:t>
      </w:r>
    </w:p>
    <w:p w14:paraId="34B8AC45" w14:textId="77777777" w:rsidR="00F44009" w:rsidRPr="001A076D" w:rsidRDefault="00F44009" w:rsidP="00F44009">
      <w:pPr>
        <w:spacing w:before="100" w:beforeAutospacing="1" w:after="100" w:afterAutospacing="1" w:line="360" w:lineRule="auto"/>
        <w:jc w:val="both"/>
      </w:pPr>
      <w:r w:rsidRPr="001A076D">
        <w:t>The findings also reinforce the Resource-Based View by illustrating that sustainable strategic advantage is created through the combination of technological and organisational resources rather than technology in isolation. Governance maturity, trust and explainability, and organisational readiness collectively strengthen the impact of predictive analytics capability by enabling analytical evidence to become part of routine strategic discussions. Organisations should therefore strengthen governance alongside analytical capability to maximise the strategic value of predictive analytics.</w:t>
      </w:r>
    </w:p>
    <w:p w14:paraId="2BB593BB" w14:textId="77777777" w:rsidR="00F44009" w:rsidRPr="001A076D" w:rsidRDefault="00F44009" w:rsidP="00F44009">
      <w:pPr>
        <w:pStyle w:val="Heading3"/>
        <w:spacing w:line="360" w:lineRule="auto"/>
        <w:jc w:val="both"/>
        <w:rPr>
          <w:rFonts w:cs="Times New Roman"/>
          <w:b/>
          <w:bCs/>
          <w:color w:val="auto"/>
        </w:rPr>
      </w:pPr>
      <w:bookmarkStart w:id="103" w:name="_Toc236033393"/>
      <w:r w:rsidRPr="001A076D">
        <w:rPr>
          <w:rFonts w:cs="Times New Roman"/>
          <w:b/>
          <w:bCs/>
          <w:color w:val="auto"/>
        </w:rPr>
        <w:t>5.2.2 Governance Maturity and Strategic Embedding</w:t>
      </w:r>
      <w:bookmarkEnd w:id="103"/>
    </w:p>
    <w:p w14:paraId="6FF13D67" w14:textId="77777777" w:rsidR="00F44009" w:rsidRPr="001A076D" w:rsidRDefault="00F44009" w:rsidP="00F44009">
      <w:pPr>
        <w:spacing w:before="100" w:beforeAutospacing="1" w:after="100" w:afterAutospacing="1" w:line="360" w:lineRule="auto"/>
        <w:jc w:val="both"/>
      </w:pPr>
      <w:r w:rsidRPr="001A076D">
        <w:t>The second research objective explored the influence of governance maturity on the strategic adoption of predictive analytics. The integrated findings demonstrate that governance maturity is central to the successful embedding of predictive analytics, as it establishes the organisational confidence required for analytical evidence to influence executive decision-making. The quantitative findings identified governance maturity as one of the strongest predictors of strategic embedding, whilst the qualitative findings showed that participants associated effective governance with accountability, data quality, consistency and transparency.</w:t>
      </w:r>
    </w:p>
    <w:p w14:paraId="14CD9BC5" w14:textId="77777777" w:rsidR="00F44009" w:rsidRPr="001A076D" w:rsidRDefault="00F44009" w:rsidP="00F44009">
      <w:pPr>
        <w:spacing w:before="100" w:beforeAutospacing="1" w:after="100" w:afterAutospacing="1" w:line="360" w:lineRule="auto"/>
        <w:jc w:val="both"/>
      </w:pPr>
      <w:r w:rsidRPr="001A076D">
        <w:t xml:space="preserve">These findings are consistent with existing data governance literature, which identifies governance as a mechanism for improving organisational control and data quality (Khatri &amp; Brown, 2010; DAMA, 2017). However, this study extends previous research by demonstrating that governance performs a broader strategic role. Governance extends beyond compliance by creating the organisational conditions needed to trust and apply predictive analytics during strategic planning. Participants consistently highlighted the importance of clearly defined ownership, reliable data and </w:t>
      </w:r>
      <w:r w:rsidRPr="001A076D">
        <w:lastRenderedPageBreak/>
        <w:t>transparent analytical processes when using predictive insights to support significant organisational decisions.</w:t>
      </w:r>
    </w:p>
    <w:p w14:paraId="2EDD9814" w14:textId="24F82184" w:rsidR="00F44009" w:rsidRPr="001A076D" w:rsidRDefault="00F44009" w:rsidP="00F44009">
      <w:pPr>
        <w:spacing w:before="100" w:beforeAutospacing="1" w:after="100" w:afterAutospacing="1" w:line="360" w:lineRule="auto"/>
        <w:jc w:val="both"/>
      </w:pPr>
      <w:r w:rsidRPr="001A076D">
        <w:t xml:space="preserve">The findings suggest that governance should be viewed as a strategic organisational capability rather than </w:t>
      </w:r>
      <w:r w:rsidR="00552B0E" w:rsidRPr="001A076D">
        <w:t>an administrative function.</w:t>
      </w:r>
      <w:r w:rsidRPr="001A076D">
        <w:t xml:space="preserve"> Within SSE plc, governance strengthened confidence in analytical outputs by improving accountability, transparency and data quality, enabling greater reliance on predictive evidence during strategic planning.</w:t>
      </w:r>
    </w:p>
    <w:p w14:paraId="062003FF" w14:textId="77777777" w:rsidR="00F44009" w:rsidRPr="001A076D" w:rsidRDefault="00F44009" w:rsidP="00F44009">
      <w:pPr>
        <w:pStyle w:val="Heading3"/>
        <w:spacing w:line="360" w:lineRule="auto"/>
        <w:jc w:val="both"/>
        <w:rPr>
          <w:rFonts w:cs="Times New Roman"/>
          <w:b/>
          <w:bCs/>
          <w:color w:val="auto"/>
        </w:rPr>
      </w:pPr>
      <w:bookmarkStart w:id="104" w:name="_Toc236033394"/>
      <w:r w:rsidRPr="001A076D">
        <w:rPr>
          <w:rFonts w:cs="Times New Roman"/>
          <w:b/>
          <w:bCs/>
          <w:color w:val="auto"/>
        </w:rPr>
        <w:t>5.2.3 Trust and Explainability in Strategic Decision-Making</w:t>
      </w:r>
      <w:bookmarkEnd w:id="104"/>
    </w:p>
    <w:p w14:paraId="1546011E" w14:textId="77777777" w:rsidR="00F44009" w:rsidRPr="001A076D" w:rsidRDefault="00F44009" w:rsidP="00F44009">
      <w:pPr>
        <w:spacing w:before="100" w:beforeAutospacing="1" w:after="100" w:afterAutospacing="1" w:line="360" w:lineRule="auto"/>
        <w:jc w:val="both"/>
      </w:pPr>
      <w:r w:rsidRPr="001A076D">
        <w:t>The third research objective examined the influence of trust and explainability on strategic decision-making. The integrated findings indicate that explainability strengthens organisational trust by enabling decision-makers to understand, challenge and justify predictive insights before acting upon them. Although the quantitative findings confirmed a significant relationship between trust, explainability and strategic embedding, the qualitative findings demonstrated that participants were reluctant to rely on analytical outputs that could not be clearly interpreted or explained.</w:t>
      </w:r>
    </w:p>
    <w:p w14:paraId="39A58735" w14:textId="77777777" w:rsidR="00F44009" w:rsidRPr="001A076D" w:rsidRDefault="00F44009" w:rsidP="00F44009">
      <w:pPr>
        <w:spacing w:before="100" w:beforeAutospacing="1" w:after="100" w:afterAutospacing="1" w:line="360" w:lineRule="auto"/>
        <w:jc w:val="both"/>
      </w:pPr>
      <w:r w:rsidRPr="001A076D">
        <w:t>These findings support research highlighting the importance of explainable artificial intelligence in organisational decision-making (Shrestha et al., 2019). However, the study demonstrates that explainability should not be viewed solely as a technical feature of predictive models. Instead, it develops through governance practices that ensure analytical processes are transparent, traceable and accountable. Trust, therefore, emerges as an organisational outcome of effective governance rather than simply an individual perception of the model's performance.</w:t>
      </w:r>
    </w:p>
    <w:p w14:paraId="1E40D5A5" w14:textId="77777777" w:rsidR="00F44009" w:rsidRPr="001A076D" w:rsidRDefault="00F44009" w:rsidP="00F44009">
      <w:pPr>
        <w:pStyle w:val="pdq2pgselectionanchorcontainer"/>
        <w:spacing w:line="360" w:lineRule="auto"/>
        <w:jc w:val="both"/>
      </w:pPr>
      <w:r w:rsidRPr="001A076D">
        <w:t>This finding is particularly important in regulated environments. Strategic decisions frequently require justification to internal and external stakeholders, making transparency essential. Organisations should embed explainability within governance frameworks by documenting model assumptions, data sources and analytical limitations. This enables predictive analytics to become a trusted component of strategic decision-making.</w:t>
      </w:r>
    </w:p>
    <w:p w14:paraId="3850E92B" w14:textId="77777777" w:rsidR="00F44009" w:rsidRPr="001A076D" w:rsidRDefault="00F44009" w:rsidP="00F44009">
      <w:pPr>
        <w:pStyle w:val="Heading3"/>
        <w:spacing w:line="360" w:lineRule="auto"/>
        <w:jc w:val="both"/>
        <w:rPr>
          <w:rFonts w:cs="Times New Roman"/>
          <w:b/>
          <w:bCs/>
          <w:color w:val="auto"/>
        </w:rPr>
      </w:pPr>
      <w:bookmarkStart w:id="105" w:name="_Toc236033395"/>
      <w:r w:rsidRPr="001A076D">
        <w:rPr>
          <w:rFonts w:cs="Times New Roman"/>
          <w:b/>
          <w:bCs/>
          <w:color w:val="auto"/>
        </w:rPr>
        <w:t>5.2.4 Organisational Readiness and Sustainable Adoption</w:t>
      </w:r>
      <w:bookmarkEnd w:id="105"/>
    </w:p>
    <w:p w14:paraId="130DE260" w14:textId="77777777" w:rsidR="00F44009" w:rsidRPr="001A076D" w:rsidRDefault="00F44009" w:rsidP="00F44009">
      <w:pPr>
        <w:spacing w:before="100" w:beforeAutospacing="1" w:after="100" w:afterAutospacing="1" w:line="360" w:lineRule="auto"/>
        <w:jc w:val="both"/>
      </w:pPr>
      <w:r w:rsidRPr="001A076D">
        <w:t xml:space="preserve">The fourth research objective considered the influence of organisational readiness on the strategic embedding of predictive analytics. The integrated findings show that organisational readiness creates the environment necessary for translating predictive analytics, governance maturity, and explainability into routine organisational practices. Leadership commitment, organisational culture </w:t>
      </w:r>
      <w:r w:rsidRPr="001A076D">
        <w:lastRenderedPageBreak/>
        <w:t>and analytical capability emerged as key factors influencing whether predictive analytics became embedded within strategic decision-making.</w:t>
      </w:r>
    </w:p>
    <w:p w14:paraId="16B248DB" w14:textId="77777777" w:rsidR="00F44009" w:rsidRPr="001A076D" w:rsidRDefault="00F44009" w:rsidP="00F44009">
      <w:pPr>
        <w:spacing w:before="100" w:beforeAutospacing="1" w:after="100" w:afterAutospacing="1" w:line="360" w:lineRule="auto"/>
        <w:jc w:val="both"/>
      </w:pPr>
      <w:r w:rsidRPr="001A076D">
        <w:t>These findings support previous studies that identify organisational readiness as a critical determinant of successful organisational change (Weiner, 2009; Kane et al., 2015). However, the present study shows that governance and readiness are interdependent. Leadership commitment and organisational culture shape both governance implementation and the use of analytical evidence. Participants consistently associated leadership support with greater confidence in predictive analytics and evidence-based decision-making.</w:t>
      </w:r>
    </w:p>
    <w:p w14:paraId="50A1B414" w14:textId="77777777" w:rsidR="00F44009" w:rsidRPr="001A076D" w:rsidRDefault="00F44009" w:rsidP="00F44009">
      <w:pPr>
        <w:spacing w:before="100" w:beforeAutospacing="1" w:after="100" w:afterAutospacing="1" w:line="360" w:lineRule="auto"/>
        <w:jc w:val="both"/>
      </w:pPr>
      <w:r w:rsidRPr="001A076D">
        <w:t>Taken together, the four research objectives demonstrate that the successful strategic embedding of predictive analytics depends on the interaction of complementary organisational capabilities. Predictive analytics capability provides the technical foundation, governance maturity establishes confidence in analytical processes, trust and explainability support executive acceptance, and organisational readiness enables these capabilities to become embedded in everyday strategic decision-making. This interpretation provides the basis for the theoretical and practical contributions discussed below. Table 5.2 summarises the principal findings and their contributions to knowledge.</w:t>
      </w:r>
    </w:p>
    <w:p w14:paraId="668637C8" w14:textId="77777777" w:rsidR="00F44009" w:rsidRPr="001A076D" w:rsidRDefault="00F44009" w:rsidP="00F44009">
      <w:pPr>
        <w:spacing w:line="360" w:lineRule="auto"/>
        <w:jc w:val="both"/>
      </w:pPr>
      <w:r w:rsidRPr="001A076D">
        <w:t>Table 5.2: Summary of the Integrated Findings and Research Contributions</w:t>
      </w:r>
    </w:p>
    <w:p w14:paraId="78F517D5" w14:textId="53C8BAF3" w:rsidR="00F44009" w:rsidRPr="001A076D" w:rsidRDefault="00F44009" w:rsidP="00F44009">
      <w:pPr>
        <w:spacing w:line="360" w:lineRule="auto"/>
        <w:jc w:val="both"/>
        <w:rPr>
          <w:i/>
          <w:iCs/>
        </w:rPr>
      </w:pPr>
      <w:r w:rsidRPr="001A076D">
        <w:rPr>
          <w:i/>
          <w:iCs/>
        </w:rPr>
        <w:t>Source: Author's own work.</w:t>
      </w:r>
    </w:p>
    <w:tbl>
      <w:tblPr>
        <w:tblStyle w:val="GridTable1Light"/>
        <w:tblW w:w="0" w:type="auto"/>
        <w:tblLook w:val="04A0" w:firstRow="1" w:lastRow="0" w:firstColumn="1" w:lastColumn="0" w:noHBand="0" w:noVBand="1"/>
      </w:tblPr>
      <w:tblGrid>
        <w:gridCol w:w="2147"/>
        <w:gridCol w:w="4181"/>
        <w:gridCol w:w="3114"/>
      </w:tblGrid>
      <w:tr w:rsidR="00F44009" w:rsidRPr="001A076D" w14:paraId="4F23EEAD" w14:textId="77777777" w:rsidTr="00D34A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A046BB" w14:textId="77777777" w:rsidR="00F44009" w:rsidRPr="001A076D" w:rsidRDefault="00F44009" w:rsidP="00D34A57">
            <w:pPr>
              <w:spacing w:line="360" w:lineRule="auto"/>
              <w:jc w:val="center"/>
            </w:pPr>
            <w:r w:rsidRPr="001A076D">
              <w:t>Research Objective</w:t>
            </w:r>
          </w:p>
        </w:tc>
        <w:tc>
          <w:tcPr>
            <w:tcW w:w="0" w:type="auto"/>
            <w:vAlign w:val="center"/>
            <w:hideMark/>
          </w:tcPr>
          <w:p w14:paraId="38C6539E" w14:textId="77777777" w:rsidR="00F44009" w:rsidRPr="001A076D" w:rsidRDefault="00F44009" w:rsidP="00D34A57">
            <w:pPr>
              <w:spacing w:line="360" w:lineRule="auto"/>
              <w:jc w:val="center"/>
              <w:cnfStyle w:val="100000000000" w:firstRow="1" w:lastRow="0" w:firstColumn="0" w:lastColumn="0" w:oddVBand="0" w:evenVBand="0" w:oddHBand="0" w:evenHBand="0" w:firstRowFirstColumn="0" w:firstRowLastColumn="0" w:lastRowFirstColumn="0" w:lastRowLastColumn="0"/>
            </w:pPr>
            <w:r w:rsidRPr="001A076D">
              <w:t>Integrated Finding</w:t>
            </w:r>
          </w:p>
        </w:tc>
        <w:tc>
          <w:tcPr>
            <w:tcW w:w="0" w:type="auto"/>
            <w:vAlign w:val="center"/>
            <w:hideMark/>
          </w:tcPr>
          <w:p w14:paraId="2B82AC97" w14:textId="77777777" w:rsidR="00F44009" w:rsidRPr="001A076D" w:rsidRDefault="00F44009" w:rsidP="00D34A57">
            <w:pPr>
              <w:spacing w:line="360" w:lineRule="auto"/>
              <w:jc w:val="center"/>
              <w:cnfStyle w:val="100000000000" w:firstRow="1" w:lastRow="0" w:firstColumn="0" w:lastColumn="0" w:oddVBand="0" w:evenVBand="0" w:oddHBand="0" w:evenHBand="0" w:firstRowFirstColumn="0" w:firstRowLastColumn="0" w:lastRowFirstColumn="0" w:lastRowLastColumn="0"/>
            </w:pPr>
            <w:r w:rsidRPr="001A076D">
              <w:t>Contribution to Knowledge</w:t>
            </w:r>
          </w:p>
        </w:tc>
      </w:tr>
      <w:tr w:rsidR="00F44009" w:rsidRPr="001A076D" w14:paraId="4EF84F9C"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884A2D" w14:textId="77777777" w:rsidR="00F44009" w:rsidRPr="001A076D" w:rsidRDefault="00F44009" w:rsidP="00D34A57">
            <w:pPr>
              <w:spacing w:line="360" w:lineRule="auto"/>
            </w:pPr>
            <w:r w:rsidRPr="001A076D">
              <w:t>RO1: Predictive analytics capability</w:t>
            </w:r>
          </w:p>
        </w:tc>
        <w:tc>
          <w:tcPr>
            <w:tcW w:w="0" w:type="auto"/>
            <w:vAlign w:val="center"/>
            <w:hideMark/>
          </w:tcPr>
          <w:p w14:paraId="77926654"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Predictive analytics capabilities support strategic decision-making but require governance and organisational support to create sustained value.</w:t>
            </w:r>
          </w:p>
        </w:tc>
        <w:tc>
          <w:tcPr>
            <w:tcW w:w="0" w:type="auto"/>
            <w:vAlign w:val="center"/>
            <w:hideMark/>
          </w:tcPr>
          <w:p w14:paraId="466C9761"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Demonstrates that technical capability alone is insufficient for strategic embedding.</w:t>
            </w:r>
          </w:p>
        </w:tc>
      </w:tr>
      <w:tr w:rsidR="00F44009" w:rsidRPr="001A076D" w14:paraId="357DE55F"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712F8AD" w14:textId="77777777" w:rsidR="00F44009" w:rsidRPr="001A076D" w:rsidRDefault="00F44009" w:rsidP="00D34A57">
            <w:pPr>
              <w:spacing w:line="360" w:lineRule="auto"/>
            </w:pPr>
            <w:r w:rsidRPr="001A076D">
              <w:t>RO2: Governance maturity</w:t>
            </w:r>
          </w:p>
        </w:tc>
        <w:tc>
          <w:tcPr>
            <w:tcW w:w="0" w:type="auto"/>
            <w:vAlign w:val="center"/>
            <w:hideMark/>
          </w:tcPr>
          <w:p w14:paraId="1DDAD8FF"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Governance maturity strengthens accountability, data quality and confidence in analytical outputs, enabling strategic adoption.</w:t>
            </w:r>
          </w:p>
        </w:tc>
        <w:tc>
          <w:tcPr>
            <w:tcW w:w="0" w:type="auto"/>
            <w:vAlign w:val="center"/>
            <w:hideMark/>
          </w:tcPr>
          <w:p w14:paraId="6FC3616F"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Positions governance as a strategic organisational capability rather than solely a compliance function.</w:t>
            </w:r>
          </w:p>
        </w:tc>
      </w:tr>
      <w:tr w:rsidR="00F44009" w:rsidRPr="001A076D" w14:paraId="55B50BE5"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9D545B4" w14:textId="77777777" w:rsidR="00F44009" w:rsidRPr="001A076D" w:rsidRDefault="00F44009" w:rsidP="00D34A57">
            <w:pPr>
              <w:spacing w:line="360" w:lineRule="auto"/>
            </w:pPr>
            <w:r w:rsidRPr="001A076D">
              <w:t>RO3: Trust and explainability</w:t>
            </w:r>
          </w:p>
        </w:tc>
        <w:tc>
          <w:tcPr>
            <w:tcW w:w="0" w:type="auto"/>
            <w:vAlign w:val="center"/>
            <w:hideMark/>
          </w:tcPr>
          <w:p w14:paraId="45DFDC36"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Transparent and explainable analytical processes increase executive confidence and encourage the use of predictive analytics.</w:t>
            </w:r>
          </w:p>
        </w:tc>
        <w:tc>
          <w:tcPr>
            <w:tcW w:w="0" w:type="auto"/>
            <w:vAlign w:val="center"/>
            <w:hideMark/>
          </w:tcPr>
          <w:p w14:paraId="380FEAF2"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Demonstrates that governance-mediated explainability strengthens organisational trust.</w:t>
            </w:r>
          </w:p>
        </w:tc>
      </w:tr>
      <w:tr w:rsidR="00F44009" w:rsidRPr="001A076D" w14:paraId="0D1AF17C"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96430F" w14:textId="77777777" w:rsidR="00F44009" w:rsidRPr="001A076D" w:rsidRDefault="00F44009" w:rsidP="00D34A57">
            <w:pPr>
              <w:spacing w:line="360" w:lineRule="auto"/>
            </w:pPr>
            <w:r w:rsidRPr="001A076D">
              <w:lastRenderedPageBreak/>
              <w:t>RO4: Organisational readiness</w:t>
            </w:r>
          </w:p>
        </w:tc>
        <w:tc>
          <w:tcPr>
            <w:tcW w:w="0" w:type="auto"/>
            <w:vAlign w:val="center"/>
            <w:hideMark/>
          </w:tcPr>
          <w:p w14:paraId="28975B63"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Leadership commitment, organisational culture and analytical capability enable the sustainable adoption of predictive analytics.</w:t>
            </w:r>
          </w:p>
        </w:tc>
        <w:tc>
          <w:tcPr>
            <w:tcW w:w="0" w:type="auto"/>
            <w:vAlign w:val="center"/>
            <w:hideMark/>
          </w:tcPr>
          <w:p w14:paraId="51999CA3"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Identifies organisational readiness as a key enabler of long-term strategic embedding.</w:t>
            </w:r>
          </w:p>
        </w:tc>
      </w:tr>
      <w:tr w:rsidR="00F44009" w:rsidRPr="001A076D" w14:paraId="58ADB461" w14:textId="77777777" w:rsidTr="00D34A5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DAED479" w14:textId="77777777" w:rsidR="00F44009" w:rsidRPr="001A076D" w:rsidRDefault="00F44009" w:rsidP="00D34A57">
            <w:pPr>
              <w:spacing w:line="360" w:lineRule="auto"/>
            </w:pPr>
            <w:r w:rsidRPr="001A076D">
              <w:t>Overall Contribution</w:t>
            </w:r>
          </w:p>
        </w:tc>
        <w:tc>
          <w:tcPr>
            <w:tcW w:w="0" w:type="auto"/>
            <w:vAlign w:val="center"/>
            <w:hideMark/>
          </w:tcPr>
          <w:p w14:paraId="171A092A"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Strategic embedding results from the interaction of predictive analytics capabilities, governance maturity, trust and explainability, and organisational readiness.</w:t>
            </w:r>
          </w:p>
        </w:tc>
        <w:tc>
          <w:tcPr>
            <w:tcW w:w="0" w:type="auto"/>
            <w:vAlign w:val="center"/>
            <w:hideMark/>
          </w:tcPr>
          <w:p w14:paraId="5CDE569D" w14:textId="77777777" w:rsidR="00F44009" w:rsidRPr="001A076D" w:rsidRDefault="00F44009" w:rsidP="00D34A57">
            <w:pPr>
              <w:spacing w:line="360" w:lineRule="auto"/>
              <w:cnfStyle w:val="000000000000" w:firstRow="0" w:lastRow="0" w:firstColumn="0" w:lastColumn="0" w:oddVBand="0" w:evenVBand="0" w:oddHBand="0" w:evenHBand="0" w:firstRowFirstColumn="0" w:firstRowLastColumn="0" w:lastRowFirstColumn="0" w:lastRowLastColumn="0"/>
            </w:pPr>
            <w:r w:rsidRPr="001A076D">
              <w:t>Introduces the Governance-Mediated Explainable Analytics Framework (GMEAF).</w:t>
            </w:r>
          </w:p>
        </w:tc>
      </w:tr>
    </w:tbl>
    <w:p w14:paraId="1AEDC3EF" w14:textId="77777777" w:rsidR="00F44009" w:rsidRPr="001A076D" w:rsidRDefault="00F44009" w:rsidP="00F44009">
      <w:pPr>
        <w:spacing w:line="360" w:lineRule="auto"/>
        <w:jc w:val="both"/>
      </w:pPr>
    </w:p>
    <w:p w14:paraId="2E82615F"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6" w:name="_Toc236033396"/>
      <w:r w:rsidRPr="001A076D">
        <w:rPr>
          <w:rFonts w:ascii="Times New Roman" w:hAnsi="Times New Roman" w:cs="Times New Roman"/>
          <w:b/>
          <w:bCs/>
          <w:color w:val="auto"/>
        </w:rPr>
        <w:t>5.3 Contribution to Knowledge</w:t>
      </w:r>
      <w:bookmarkEnd w:id="106"/>
    </w:p>
    <w:p w14:paraId="5ADE402B" w14:textId="77777777" w:rsidR="00F44009" w:rsidRPr="001A076D" w:rsidRDefault="00F44009" w:rsidP="00F44009">
      <w:pPr>
        <w:spacing w:before="100" w:beforeAutospacing="1" w:after="100" w:afterAutospacing="1" w:line="360" w:lineRule="auto"/>
        <w:jc w:val="both"/>
      </w:pPr>
      <w:r w:rsidRPr="001A076D">
        <w:t>This study contributes to the literature in three principal ways: theoretically, methodologically and practically.</w:t>
      </w:r>
    </w:p>
    <w:p w14:paraId="1B50967A" w14:textId="226B76D2" w:rsidR="00F44009" w:rsidRPr="001A076D" w:rsidRDefault="00F44009" w:rsidP="00F44009">
      <w:pPr>
        <w:spacing w:before="100" w:beforeAutospacing="1" w:after="100" w:afterAutospacing="1" w:line="360" w:lineRule="auto"/>
        <w:jc w:val="both"/>
      </w:pPr>
      <w:r w:rsidRPr="001A076D">
        <w:t xml:space="preserve">The first contribution is theoretical. Whilst previous studies have examined predictive analytics capability, governance and organisational trust as separate constructs, this research demonstrates that they operate as complementary organisational capabilities. The findings show that predictive analytics capability alone does not ensure strategic adoption. Instead, governance maturity strengthens confidence in analytical outputs, trust and explainability support executive acceptance, and organisational readiness enables these capabilities to become embedded within organisational practice. This integrated perspective extends existing understanding by demonstrating that the adoption of predictive analytics is fundamentally a governance-mediated organisational process rather than simply the implementation of analytical </w:t>
      </w:r>
      <w:r w:rsidR="00552B0E" w:rsidRPr="001A076D">
        <w:t>technology</w:t>
      </w:r>
      <w:r w:rsidRPr="001A076D">
        <w:t>.</w:t>
      </w:r>
    </w:p>
    <w:p w14:paraId="7DA98C86" w14:textId="77777777" w:rsidR="00F44009" w:rsidRPr="001A076D" w:rsidRDefault="00F44009" w:rsidP="00F44009">
      <w:pPr>
        <w:spacing w:before="100" w:beforeAutospacing="1" w:after="100" w:afterAutospacing="1" w:line="360" w:lineRule="auto"/>
        <w:jc w:val="both"/>
      </w:pPr>
      <w:r w:rsidRPr="001A076D">
        <w:t>The second contribution is methodological. By adopting an explanatory sequential mixed-methods design, the study combines quantitative and qualitative evidence to provide a richer explanation of predictive analytics adoption than either method could achieve independently. The quantitative phase identified significant relationships between the principal constructs, whilst the qualitative findings explained how governance, leadership and organisational culture shaped these relationships in practice. This demonstrates the value of mixed-method research in investigating complex organisational phenomena.</w:t>
      </w:r>
    </w:p>
    <w:p w14:paraId="6C80F873" w14:textId="77777777" w:rsidR="00F44009" w:rsidRPr="001A076D" w:rsidRDefault="00F44009" w:rsidP="00F44009">
      <w:pPr>
        <w:spacing w:before="100" w:beforeAutospacing="1" w:after="100" w:afterAutospacing="1" w:line="360" w:lineRule="auto"/>
        <w:jc w:val="both"/>
      </w:pPr>
      <w:r w:rsidRPr="001A076D">
        <w:t xml:space="preserve">The third contribution is practical. The findings provide organisations with evidence-based guidance for embedding predictive analytics into strategic decision-making. Rather than focusing </w:t>
      </w:r>
      <w:r w:rsidRPr="001A076D">
        <w:lastRenderedPageBreak/>
        <w:t>solely on technological investment, organisations should strengthen governance capability, improve explainability and develop leadership support for evidence-based decision-making. These findings are particularly relevant for organisations operating in regulated environments where transparency, accountability and confidence in analytical evidence are essential.</w:t>
      </w:r>
    </w:p>
    <w:p w14:paraId="2AC832B7"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7" w:name="_Toc236033397"/>
      <w:r w:rsidRPr="001A076D">
        <w:rPr>
          <w:rFonts w:ascii="Times New Roman" w:hAnsi="Times New Roman" w:cs="Times New Roman"/>
          <w:b/>
          <w:bCs/>
          <w:color w:val="auto"/>
        </w:rPr>
        <w:t>5.4 Governance-Mediated Explainable Analytics Framework (GMEAF)</w:t>
      </w:r>
      <w:bookmarkEnd w:id="107"/>
    </w:p>
    <w:p w14:paraId="5D4E4F59" w14:textId="77777777" w:rsidR="00F44009" w:rsidRPr="001A076D" w:rsidRDefault="00F44009" w:rsidP="00F44009">
      <w:pPr>
        <w:spacing w:before="100" w:beforeAutospacing="1" w:after="100" w:afterAutospacing="1" w:line="360" w:lineRule="auto"/>
        <w:jc w:val="both"/>
      </w:pPr>
      <w:r w:rsidRPr="001A076D">
        <w:t>The integrated findings from both phases of the research culminated in the development of the Governance-Mediated Explainable Analytics Framework (GMEAF). The framework brings together the principal findings into a single conceptual model that explains how predictive analytics capability, governance maturity, trust and explainability, and organisational readiness collectively support the strategic embedding of predictive analytics. Rather than proposing a new theory, the framework integrates concepts from data governance, strategic management and organisational behaviour into a practical model grounded in the study findings. Figure 5.3 illustrates the proposed framework and the relationships between its core components.</w:t>
      </w:r>
    </w:p>
    <w:p w14:paraId="2047045E" w14:textId="77777777" w:rsidR="00F44009" w:rsidRPr="001A076D" w:rsidRDefault="00F44009" w:rsidP="00F44009">
      <w:pPr>
        <w:jc w:val="center"/>
      </w:pPr>
      <w:r w:rsidRPr="001A076D">
        <w:rPr>
          <w:noProof/>
        </w:rPr>
        <w:drawing>
          <wp:inline distT="0" distB="0" distL="0" distR="0" wp14:anchorId="721E2B16" wp14:editId="0A67EFB2">
            <wp:extent cx="6002020" cy="4001135"/>
            <wp:effectExtent l="0" t="0" r="5080" b="0"/>
            <wp:docPr id="1438884381"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002020" cy="4001135"/>
                    </a:xfrm>
                    <a:prstGeom prst="rect">
                      <a:avLst/>
                    </a:prstGeom>
                  </pic:spPr>
                </pic:pic>
              </a:graphicData>
            </a:graphic>
          </wp:inline>
        </w:drawing>
      </w:r>
    </w:p>
    <w:p w14:paraId="5F7F475D" w14:textId="77777777" w:rsidR="00F44009" w:rsidRPr="001A076D" w:rsidRDefault="00F44009" w:rsidP="00F44009">
      <w:pPr>
        <w:jc w:val="center"/>
        <w:rPr>
          <w:b/>
          <w:bCs/>
        </w:rPr>
      </w:pPr>
      <w:r w:rsidRPr="001A076D">
        <w:rPr>
          <w:rStyle w:val="Strong"/>
          <w:b w:val="0"/>
          <w:bCs w:val="0"/>
        </w:rPr>
        <w:t>Figure 5.3: Governance-Mediated Explainable Analytics Framework (GMEAF)</w:t>
      </w:r>
    </w:p>
    <w:p w14:paraId="30E1A3FC" w14:textId="77777777" w:rsidR="00F44009" w:rsidRPr="001A076D" w:rsidRDefault="00F44009" w:rsidP="00F44009">
      <w:pPr>
        <w:jc w:val="center"/>
        <w:rPr>
          <w:i/>
          <w:iCs/>
        </w:rPr>
      </w:pPr>
      <w:r w:rsidRPr="001A076D">
        <w:rPr>
          <w:rStyle w:val="Strong"/>
          <w:i/>
          <w:iCs/>
        </w:rPr>
        <w:t>Source:</w:t>
      </w:r>
      <w:r w:rsidRPr="001A076D">
        <w:rPr>
          <w:i/>
          <w:iCs/>
        </w:rPr>
        <w:t xml:space="preserve"> Developed by the author from the integrated findings of this study.</w:t>
      </w:r>
    </w:p>
    <w:p w14:paraId="5B5CD549" w14:textId="77777777" w:rsidR="00F44009" w:rsidRPr="001A076D" w:rsidRDefault="00F44009" w:rsidP="00F44009">
      <w:pPr>
        <w:jc w:val="center"/>
        <w:rPr>
          <w:rStyle w:val="Emphasis"/>
          <w:i w:val="0"/>
          <w:iCs w:val="0"/>
        </w:rPr>
      </w:pPr>
    </w:p>
    <w:p w14:paraId="136F2A16" w14:textId="28961944" w:rsidR="00F44009" w:rsidRPr="001A076D" w:rsidRDefault="0088535B" w:rsidP="00F44009">
      <w:pPr>
        <w:spacing w:line="360" w:lineRule="auto"/>
        <w:jc w:val="both"/>
      </w:pPr>
      <w:r w:rsidRPr="001A076D">
        <w:lastRenderedPageBreak/>
        <w:t>The GMEAF offers a useful guide for incorporating predictive analytics into strategic decision-making by assisting organisations in assessing their governance skills, pinpointing areas for improvement, and directing change efforts.</w:t>
      </w:r>
    </w:p>
    <w:p w14:paraId="2AAE5C4B" w14:textId="77777777" w:rsidR="00F44009" w:rsidRPr="001A076D" w:rsidRDefault="00F44009" w:rsidP="00F44009">
      <w:pPr>
        <w:spacing w:before="100" w:beforeAutospacing="1" w:after="100" w:afterAutospacing="1" w:line="360" w:lineRule="auto"/>
        <w:jc w:val="both"/>
      </w:pPr>
      <w:r w:rsidRPr="001A076D">
        <w:t>The framework identifies predictive analytics capability as the technical foundation for generating strategic insight. However, the findings demonstrate that technical capability alone is insufficient for achieving consistent organisational adoption. Governance maturity establishes the controls, accountability and data management practices required to build confidence in analytical processes, whilst trust and explainability enable decision-makers to understand and justify analytical recommendations. Organisational readiness, reflected in leadership commitment, organisational culture and analytical capability, creates the environment in which these complementary capabilities become embedded within routine strategic decision-making.</w:t>
      </w:r>
    </w:p>
    <w:p w14:paraId="7E177BF7" w14:textId="77777777" w:rsidR="00F44009" w:rsidRPr="001A076D" w:rsidRDefault="00F44009" w:rsidP="00F44009">
      <w:pPr>
        <w:spacing w:before="100" w:beforeAutospacing="1" w:after="100" w:afterAutospacing="1" w:line="360" w:lineRule="auto"/>
        <w:jc w:val="both"/>
      </w:pPr>
      <w:r w:rsidRPr="001A076D">
        <w:t>The framework therefore illustrates that successful predictive analytics adoption depends on the interaction of technical and organisational capabilities rather than on technology alone. Organisations that collectively strengthen these capabilities are more likely to achieve sustainable, evidence-based decision-making.</w:t>
      </w:r>
    </w:p>
    <w:p w14:paraId="65FBA0F3" w14:textId="77777777" w:rsidR="00F44009" w:rsidRPr="001A076D" w:rsidRDefault="00F44009" w:rsidP="00F44009">
      <w:pPr>
        <w:spacing w:before="100" w:beforeAutospacing="1" w:after="100" w:afterAutospacing="1" w:line="360" w:lineRule="auto"/>
        <w:jc w:val="both"/>
      </w:pPr>
      <w:r w:rsidRPr="001A076D">
        <w:t>The relationships identified within the framework are summarised conceptually as follows:</w:t>
      </w:r>
    </w:p>
    <w:p w14:paraId="015A6B9D" w14:textId="77777777" w:rsidR="00F44009" w:rsidRPr="001A076D" w:rsidRDefault="00F44009" w:rsidP="00F44009">
      <w:pPr>
        <w:spacing w:line="360" w:lineRule="auto"/>
        <w:jc w:val="both"/>
      </w:pPr>
      <m:oMathPara>
        <m:oMath>
          <m:r>
            <w:rPr>
              <w:rFonts w:ascii="Cambria Math" w:hAnsi="Cambria Math"/>
            </w:rPr>
            <m:t>SE∝</m:t>
          </m:r>
          <m:d>
            <m:dPr>
              <m:ctrlPr>
                <w:rPr>
                  <w:rFonts w:ascii="Cambria Math" w:hAnsi="Cambria Math"/>
                </w:rPr>
              </m:ctrlPr>
            </m:dPr>
            <m:e>
              <m:r>
                <w:rPr>
                  <w:rFonts w:ascii="Cambria Math" w:hAnsi="Cambria Math"/>
                </w:rPr>
                <m:t>PAC×GM×TE</m:t>
              </m:r>
            </m:e>
          </m:d>
          <m:r>
            <w:rPr>
              <w:rFonts w:ascii="Cambria Math" w:hAnsi="Cambria Math"/>
            </w:rPr>
            <m:t>×OR</m:t>
          </m:r>
        </m:oMath>
      </m:oMathPara>
    </w:p>
    <w:p w14:paraId="04DF17A4" w14:textId="77777777" w:rsidR="00F44009" w:rsidRPr="001A076D" w:rsidRDefault="00F44009" w:rsidP="00F44009">
      <w:pPr>
        <w:spacing w:before="100" w:beforeAutospacing="1" w:after="100" w:afterAutospacing="1" w:line="360" w:lineRule="auto"/>
        <w:jc w:val="both"/>
      </w:pPr>
      <w:r w:rsidRPr="001A076D">
        <w:t>where:</w:t>
      </w:r>
    </w:p>
    <w:p w14:paraId="7D9AAB7E"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PAC</w:t>
      </w:r>
      <w:r w:rsidRPr="001A076D">
        <w:t xml:space="preserve"> = Predictive Analytics Capability </w:t>
      </w:r>
    </w:p>
    <w:p w14:paraId="31B1FFF7"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GM</w:t>
      </w:r>
      <w:r w:rsidRPr="001A076D">
        <w:t xml:space="preserve"> = Governance Maturity </w:t>
      </w:r>
    </w:p>
    <w:p w14:paraId="14B57A47"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TE</w:t>
      </w:r>
      <w:r w:rsidRPr="001A076D">
        <w:t xml:space="preserve"> = Trust and Explainability </w:t>
      </w:r>
    </w:p>
    <w:p w14:paraId="1120BD94"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OR</w:t>
      </w:r>
      <w:r w:rsidRPr="001A076D">
        <w:t xml:space="preserve"> = Organisational Readiness </w:t>
      </w:r>
    </w:p>
    <w:p w14:paraId="30158AB1" w14:textId="77777777" w:rsidR="00F44009" w:rsidRPr="001A076D" w:rsidRDefault="00F44009" w:rsidP="00F44009">
      <w:pPr>
        <w:numPr>
          <w:ilvl w:val="0"/>
          <w:numId w:val="41"/>
        </w:numPr>
        <w:spacing w:before="100" w:beforeAutospacing="1" w:after="100" w:afterAutospacing="1" w:line="360" w:lineRule="auto"/>
        <w:jc w:val="both"/>
      </w:pPr>
      <w:r w:rsidRPr="001A076D">
        <w:rPr>
          <w:b/>
          <w:bCs/>
        </w:rPr>
        <w:t>SE</w:t>
      </w:r>
      <w:r w:rsidRPr="001A076D">
        <w:t xml:space="preserve"> = Strategic Embedding of Predictive Analytics </w:t>
      </w:r>
    </w:p>
    <w:p w14:paraId="45767D6B" w14:textId="77777777" w:rsidR="00F44009" w:rsidRPr="001A076D" w:rsidRDefault="00F44009" w:rsidP="00F44009">
      <w:pPr>
        <w:spacing w:before="100" w:beforeAutospacing="1" w:after="100" w:afterAutospacing="1" w:line="360" w:lineRule="auto"/>
        <w:jc w:val="both"/>
      </w:pPr>
      <w:r w:rsidRPr="001A076D">
        <w:t>This conceptual representation is not intended as a mathematical model but as a visual summary of the integrated findings. It illustrates that sustainable strategic adoption is strengthened when technical capability is supported by mature governance, transparent analytical processes and an organisational environment that promotes evidence-based decision-making. The GMEAF therefore provides both a conceptual explanation of predictive analytics adoption and a practical framework to guide future governance and digital transformation initiatives.</w:t>
      </w:r>
    </w:p>
    <w:p w14:paraId="6DB658E5"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8" w:name="_Toc236033398"/>
      <w:r w:rsidRPr="001A076D">
        <w:rPr>
          <w:rFonts w:ascii="Times New Roman" w:hAnsi="Times New Roman" w:cs="Times New Roman"/>
          <w:b/>
          <w:bCs/>
          <w:color w:val="auto"/>
        </w:rPr>
        <w:lastRenderedPageBreak/>
        <w:t>5.5 Practical Implications</w:t>
      </w:r>
      <w:bookmarkEnd w:id="108"/>
    </w:p>
    <w:p w14:paraId="077D4008" w14:textId="33594886" w:rsidR="00F44009" w:rsidRPr="001A076D" w:rsidRDefault="00F44009" w:rsidP="00F44009">
      <w:pPr>
        <w:spacing w:before="100" w:beforeAutospacing="1" w:after="100" w:afterAutospacing="1" w:line="360" w:lineRule="auto"/>
        <w:jc w:val="both"/>
      </w:pPr>
      <w:r w:rsidRPr="001A076D">
        <w:t xml:space="preserve">The findings of this study have important practical implications for SSE plc and other organisations seeking to increase the strategic value of predictive analytics. The results indicate that successful adoption depends not only on analytical capability but also on governance maturity, trust, leadership and organisational readiness. Organisations should adopt an integrated approach </w:t>
      </w:r>
      <w:r w:rsidR="0088535B" w:rsidRPr="001A076D">
        <w:t>that combines</w:t>
      </w:r>
      <w:r w:rsidRPr="001A076D">
        <w:t xml:space="preserve"> technological capability with governance and organisational support.</w:t>
      </w:r>
    </w:p>
    <w:p w14:paraId="6B0E2987" w14:textId="77777777" w:rsidR="00F44009" w:rsidRPr="001A076D" w:rsidRDefault="00F44009" w:rsidP="00F44009">
      <w:pPr>
        <w:spacing w:before="100" w:beforeAutospacing="1" w:after="100" w:afterAutospacing="1" w:line="360" w:lineRule="auto"/>
        <w:jc w:val="both"/>
      </w:pPr>
      <w:r w:rsidRPr="001A076D">
        <w:t>First, organisations should strengthen data governance by establishing clear ownership, stewardship and data quality practices. Mature governance improves accountability, transparency and confidence in analytical outputs, providing a stronger foundation for strategic decision-making.</w:t>
      </w:r>
    </w:p>
    <w:p w14:paraId="195C09D8" w14:textId="77777777" w:rsidR="00F44009" w:rsidRPr="001A076D" w:rsidRDefault="00F44009" w:rsidP="00F44009">
      <w:pPr>
        <w:spacing w:before="100" w:beforeAutospacing="1" w:after="100" w:afterAutospacing="1" w:line="360" w:lineRule="auto"/>
        <w:jc w:val="both"/>
      </w:pPr>
      <w:r w:rsidRPr="001A076D">
        <w:t>Second, organisations should prioritise explainability by ensuring that analytical models, assumptions and limitations are transparent to decision-makers. Explainable insights strengthen trust, support accountability and encourage greater use of evidence-based decision-making.</w:t>
      </w:r>
    </w:p>
    <w:p w14:paraId="7AF26939" w14:textId="6FAAEF26" w:rsidR="00F44009" w:rsidRPr="001A076D" w:rsidRDefault="00F44009" w:rsidP="00F44009">
      <w:pPr>
        <w:spacing w:before="100" w:beforeAutospacing="1" w:after="100" w:afterAutospacing="1" w:line="360" w:lineRule="auto"/>
        <w:jc w:val="both"/>
      </w:pPr>
      <w:r w:rsidRPr="001A076D">
        <w:t xml:space="preserve">Third, leadership commitment and an organisational culture that values data-informed decision-making are essential for embedding predictive analytics </w:t>
      </w:r>
      <w:r w:rsidR="00552B0E" w:rsidRPr="001A076D">
        <w:t>in strategic planning.</w:t>
      </w:r>
      <w:r w:rsidRPr="001A076D">
        <w:t xml:space="preserve"> Cross-functional collaboration and improved analytical literacy further support sustained adoption.</w:t>
      </w:r>
    </w:p>
    <w:p w14:paraId="40BBB408" w14:textId="77777777" w:rsidR="00F44009" w:rsidRPr="001A076D" w:rsidRDefault="00F44009" w:rsidP="00F44009">
      <w:pPr>
        <w:spacing w:before="100" w:beforeAutospacing="1" w:after="100" w:afterAutospacing="1" w:line="360" w:lineRule="auto"/>
        <w:jc w:val="both"/>
      </w:pPr>
      <w:r w:rsidRPr="001A076D">
        <w:t>Finally, predictive analytics should be treated as an enterprise capability rather than a standalone technology initiative. Integrating analytics with governance, organisational strategy and performance management is more likely to deliver sustainable business value. Table 5.3 summarises the principal practical recommendations arising from the integrated findings and their expected organisational benefits.</w:t>
      </w:r>
    </w:p>
    <w:p w14:paraId="7BF66833" w14:textId="77777777" w:rsidR="00F44009" w:rsidRPr="001A076D" w:rsidRDefault="00F44009" w:rsidP="00F44009">
      <w:pPr>
        <w:spacing w:line="360" w:lineRule="auto"/>
        <w:jc w:val="both"/>
      </w:pPr>
      <w:r w:rsidRPr="001A076D">
        <w:t>Table 5.3: Practical Recommendations for Strengthening Predictive Analytics Adoption</w:t>
      </w:r>
    </w:p>
    <w:p w14:paraId="37086FCD" w14:textId="77777777" w:rsidR="00F44009" w:rsidRPr="001A076D" w:rsidRDefault="00F44009" w:rsidP="00F44009">
      <w:pPr>
        <w:spacing w:line="360" w:lineRule="auto"/>
        <w:jc w:val="both"/>
        <w:rPr>
          <w:i/>
          <w:iCs/>
        </w:rPr>
      </w:pPr>
      <w:r w:rsidRPr="001A076D">
        <w:rPr>
          <w:i/>
          <w:iCs/>
        </w:rPr>
        <w:t>Source: Author's own work.</w:t>
      </w:r>
    </w:p>
    <w:tbl>
      <w:tblPr>
        <w:tblStyle w:val="TableGrid"/>
        <w:tblW w:w="0" w:type="auto"/>
        <w:tblLook w:val="04A0" w:firstRow="1" w:lastRow="0" w:firstColumn="1" w:lastColumn="0" w:noHBand="0" w:noVBand="1"/>
      </w:tblPr>
      <w:tblGrid>
        <w:gridCol w:w="1832"/>
        <w:gridCol w:w="3975"/>
        <w:gridCol w:w="3635"/>
      </w:tblGrid>
      <w:tr w:rsidR="00F44009" w:rsidRPr="001A076D" w14:paraId="7E96CE7E" w14:textId="77777777" w:rsidTr="00235BDB">
        <w:tc>
          <w:tcPr>
            <w:tcW w:w="0" w:type="auto"/>
            <w:vAlign w:val="center"/>
            <w:hideMark/>
          </w:tcPr>
          <w:p w14:paraId="59B5EE4D" w14:textId="77777777" w:rsidR="00F44009" w:rsidRPr="001A076D" w:rsidRDefault="00F44009" w:rsidP="00D34A57">
            <w:pPr>
              <w:spacing w:line="360" w:lineRule="auto"/>
              <w:jc w:val="center"/>
              <w:rPr>
                <w:b/>
                <w:bCs/>
              </w:rPr>
            </w:pPr>
            <w:r w:rsidRPr="001A076D">
              <w:rPr>
                <w:b/>
                <w:bCs/>
              </w:rPr>
              <w:t>Priority Area</w:t>
            </w:r>
          </w:p>
        </w:tc>
        <w:tc>
          <w:tcPr>
            <w:tcW w:w="3975" w:type="dxa"/>
            <w:vAlign w:val="center"/>
            <w:hideMark/>
          </w:tcPr>
          <w:p w14:paraId="3383F037" w14:textId="77777777" w:rsidR="00F44009" w:rsidRPr="001A076D" w:rsidRDefault="00F44009" w:rsidP="00D34A57">
            <w:pPr>
              <w:spacing w:line="360" w:lineRule="auto"/>
              <w:jc w:val="center"/>
              <w:rPr>
                <w:b/>
                <w:bCs/>
              </w:rPr>
            </w:pPr>
            <w:r w:rsidRPr="001A076D">
              <w:rPr>
                <w:b/>
                <w:bCs/>
              </w:rPr>
              <w:t>Recommendation</w:t>
            </w:r>
          </w:p>
        </w:tc>
        <w:tc>
          <w:tcPr>
            <w:tcW w:w="3635" w:type="dxa"/>
            <w:vAlign w:val="center"/>
            <w:hideMark/>
          </w:tcPr>
          <w:p w14:paraId="67A34B90" w14:textId="77777777" w:rsidR="00F44009" w:rsidRPr="001A076D" w:rsidRDefault="00F44009" w:rsidP="00D34A57">
            <w:pPr>
              <w:spacing w:line="360" w:lineRule="auto"/>
              <w:jc w:val="center"/>
              <w:rPr>
                <w:b/>
                <w:bCs/>
              </w:rPr>
            </w:pPr>
            <w:r w:rsidRPr="001A076D">
              <w:rPr>
                <w:b/>
                <w:bCs/>
              </w:rPr>
              <w:t>Expected Organisational Benefit</w:t>
            </w:r>
          </w:p>
        </w:tc>
      </w:tr>
      <w:tr w:rsidR="00F44009" w:rsidRPr="001A076D" w14:paraId="6D420580" w14:textId="77777777" w:rsidTr="00235BDB">
        <w:tc>
          <w:tcPr>
            <w:tcW w:w="0" w:type="auto"/>
            <w:vAlign w:val="center"/>
            <w:hideMark/>
          </w:tcPr>
          <w:p w14:paraId="7A7CA949" w14:textId="77777777" w:rsidR="00F44009" w:rsidRPr="001A076D" w:rsidRDefault="00F44009" w:rsidP="00D34A57">
            <w:pPr>
              <w:spacing w:line="360" w:lineRule="auto"/>
            </w:pPr>
            <w:r w:rsidRPr="001A076D">
              <w:t>Governance Maturity</w:t>
            </w:r>
          </w:p>
        </w:tc>
        <w:tc>
          <w:tcPr>
            <w:tcW w:w="3975" w:type="dxa"/>
            <w:vAlign w:val="center"/>
            <w:hideMark/>
          </w:tcPr>
          <w:p w14:paraId="1B775CEB" w14:textId="77777777" w:rsidR="00F44009" w:rsidRPr="001A076D" w:rsidRDefault="00F44009" w:rsidP="00D34A57">
            <w:pPr>
              <w:spacing w:line="360" w:lineRule="auto"/>
            </w:pPr>
            <w:r w:rsidRPr="001A076D">
              <w:t>Strengthen data governance through clearly defined ownership, stewardship and data quality management.</w:t>
            </w:r>
          </w:p>
        </w:tc>
        <w:tc>
          <w:tcPr>
            <w:tcW w:w="3635" w:type="dxa"/>
            <w:vAlign w:val="center"/>
            <w:hideMark/>
          </w:tcPr>
          <w:p w14:paraId="4D345F8A" w14:textId="77777777" w:rsidR="00F44009" w:rsidRPr="001A076D" w:rsidRDefault="00F44009" w:rsidP="00D34A57">
            <w:pPr>
              <w:spacing w:line="360" w:lineRule="auto"/>
            </w:pPr>
            <w:r w:rsidRPr="001A076D">
              <w:t>Greater confidence in analytical outputs and improved decision accountability.</w:t>
            </w:r>
          </w:p>
        </w:tc>
      </w:tr>
      <w:tr w:rsidR="00F44009" w:rsidRPr="001A076D" w14:paraId="23B272F0" w14:textId="77777777" w:rsidTr="00235BDB">
        <w:tc>
          <w:tcPr>
            <w:tcW w:w="0" w:type="auto"/>
            <w:vAlign w:val="center"/>
            <w:hideMark/>
          </w:tcPr>
          <w:p w14:paraId="18D9ED93" w14:textId="77777777" w:rsidR="00F44009" w:rsidRPr="001A076D" w:rsidRDefault="00F44009" w:rsidP="00D34A57">
            <w:pPr>
              <w:spacing w:line="360" w:lineRule="auto"/>
            </w:pPr>
            <w:r w:rsidRPr="001A076D">
              <w:t>Trust and Explainability</w:t>
            </w:r>
          </w:p>
        </w:tc>
        <w:tc>
          <w:tcPr>
            <w:tcW w:w="3975" w:type="dxa"/>
            <w:vAlign w:val="center"/>
            <w:hideMark/>
          </w:tcPr>
          <w:p w14:paraId="7B7BCD6E" w14:textId="77777777" w:rsidR="00F44009" w:rsidRPr="001A076D" w:rsidRDefault="00F44009" w:rsidP="00D34A57">
            <w:pPr>
              <w:spacing w:line="360" w:lineRule="auto"/>
            </w:pPr>
            <w:r w:rsidRPr="001A076D">
              <w:t xml:space="preserve">Ensure analytical models are transparent by documenting </w:t>
            </w:r>
            <w:r w:rsidRPr="001A076D">
              <w:lastRenderedPageBreak/>
              <w:t>assumptions, data sources and model limitations.</w:t>
            </w:r>
          </w:p>
        </w:tc>
        <w:tc>
          <w:tcPr>
            <w:tcW w:w="3635" w:type="dxa"/>
            <w:vAlign w:val="center"/>
            <w:hideMark/>
          </w:tcPr>
          <w:p w14:paraId="5784FB88" w14:textId="77777777" w:rsidR="00F44009" w:rsidRPr="001A076D" w:rsidRDefault="00F44009" w:rsidP="00D34A57">
            <w:pPr>
              <w:spacing w:line="360" w:lineRule="auto"/>
            </w:pPr>
            <w:r w:rsidRPr="001A076D">
              <w:lastRenderedPageBreak/>
              <w:t>Increased executive trust and improved transparency.</w:t>
            </w:r>
          </w:p>
        </w:tc>
      </w:tr>
      <w:tr w:rsidR="00F44009" w:rsidRPr="001A076D" w14:paraId="5DFDFBEF" w14:textId="77777777" w:rsidTr="00235BDB">
        <w:tc>
          <w:tcPr>
            <w:tcW w:w="0" w:type="auto"/>
            <w:vAlign w:val="center"/>
            <w:hideMark/>
          </w:tcPr>
          <w:p w14:paraId="0FF0358F" w14:textId="77777777" w:rsidR="00F44009" w:rsidRPr="001A076D" w:rsidRDefault="00F44009" w:rsidP="00D34A57">
            <w:pPr>
              <w:spacing w:line="360" w:lineRule="auto"/>
            </w:pPr>
            <w:r w:rsidRPr="001A076D">
              <w:t>Leadership and Culture</w:t>
            </w:r>
          </w:p>
        </w:tc>
        <w:tc>
          <w:tcPr>
            <w:tcW w:w="3975" w:type="dxa"/>
            <w:vAlign w:val="center"/>
            <w:hideMark/>
          </w:tcPr>
          <w:p w14:paraId="0D4376A9" w14:textId="77777777" w:rsidR="00F44009" w:rsidRPr="001A076D" w:rsidRDefault="00F44009" w:rsidP="00D34A57">
            <w:pPr>
              <w:spacing w:line="360" w:lineRule="auto"/>
            </w:pPr>
            <w:r w:rsidRPr="001A076D">
              <w:t>Develop leadership capability and analytical literacy to promote evidence-based decision-making.</w:t>
            </w:r>
          </w:p>
        </w:tc>
        <w:tc>
          <w:tcPr>
            <w:tcW w:w="3635" w:type="dxa"/>
            <w:vAlign w:val="center"/>
            <w:hideMark/>
          </w:tcPr>
          <w:p w14:paraId="702BDE59" w14:textId="77777777" w:rsidR="00F44009" w:rsidRPr="001A076D" w:rsidRDefault="00F44009" w:rsidP="00D34A57">
            <w:pPr>
              <w:spacing w:line="360" w:lineRule="auto"/>
            </w:pPr>
            <w:r w:rsidRPr="001A076D">
              <w:t>Stronger organisational adoption of predictive analytics is needed.</w:t>
            </w:r>
          </w:p>
        </w:tc>
      </w:tr>
      <w:tr w:rsidR="00F44009" w:rsidRPr="001A076D" w14:paraId="09302ECD" w14:textId="77777777" w:rsidTr="00235BDB">
        <w:tc>
          <w:tcPr>
            <w:tcW w:w="0" w:type="auto"/>
            <w:vAlign w:val="center"/>
            <w:hideMark/>
          </w:tcPr>
          <w:p w14:paraId="73B6E68C" w14:textId="77777777" w:rsidR="00F44009" w:rsidRPr="001A076D" w:rsidRDefault="00F44009" w:rsidP="00D34A57">
            <w:pPr>
              <w:spacing w:line="360" w:lineRule="auto"/>
            </w:pPr>
            <w:r w:rsidRPr="001A076D">
              <w:t>Strategic Integration</w:t>
            </w:r>
          </w:p>
        </w:tc>
        <w:tc>
          <w:tcPr>
            <w:tcW w:w="3975" w:type="dxa"/>
            <w:vAlign w:val="center"/>
            <w:hideMark/>
          </w:tcPr>
          <w:p w14:paraId="4AB78A2F" w14:textId="77777777" w:rsidR="00F44009" w:rsidRPr="001A076D" w:rsidRDefault="00F44009" w:rsidP="00D34A57">
            <w:pPr>
              <w:spacing w:line="360" w:lineRule="auto"/>
            </w:pPr>
            <w:r w:rsidRPr="001A076D">
              <w:t>Align predictive analytics with governance, business planning and organisational performance management.</w:t>
            </w:r>
          </w:p>
        </w:tc>
        <w:tc>
          <w:tcPr>
            <w:tcW w:w="3635" w:type="dxa"/>
            <w:vAlign w:val="center"/>
            <w:hideMark/>
          </w:tcPr>
          <w:p w14:paraId="7E3D1A8A" w14:textId="77777777" w:rsidR="00F44009" w:rsidRPr="001A076D" w:rsidRDefault="00F44009" w:rsidP="00D34A57">
            <w:pPr>
              <w:spacing w:line="360" w:lineRule="auto"/>
            </w:pPr>
            <w:r w:rsidRPr="001A076D">
              <w:t>Sustainable strategic embedding of predictive analytics.</w:t>
            </w:r>
          </w:p>
        </w:tc>
      </w:tr>
    </w:tbl>
    <w:p w14:paraId="18801BF5" w14:textId="77777777" w:rsidR="00F44009" w:rsidRPr="001A076D" w:rsidRDefault="00F44009" w:rsidP="00F44009">
      <w:pPr>
        <w:spacing w:line="360" w:lineRule="auto"/>
        <w:jc w:val="both"/>
      </w:pPr>
    </w:p>
    <w:p w14:paraId="05BD434D"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09" w:name="_Toc236033399"/>
      <w:r w:rsidRPr="001A076D">
        <w:rPr>
          <w:rFonts w:ascii="Times New Roman" w:hAnsi="Times New Roman" w:cs="Times New Roman"/>
          <w:b/>
          <w:bCs/>
          <w:color w:val="auto"/>
        </w:rPr>
        <w:t>5.6 Limitations and Future Research</w:t>
      </w:r>
      <w:bookmarkEnd w:id="109"/>
    </w:p>
    <w:p w14:paraId="48CB846A" w14:textId="24E0A23A" w:rsidR="00F44009" w:rsidRPr="001A076D" w:rsidRDefault="00F44009" w:rsidP="00F44009">
      <w:pPr>
        <w:spacing w:before="100" w:beforeAutospacing="1" w:after="100" w:afterAutospacing="1" w:line="360" w:lineRule="auto"/>
        <w:jc w:val="both"/>
      </w:pPr>
      <w:r w:rsidRPr="001A076D">
        <w:t>When interpreting its findings, one should consider the several limitations of this study. First, the research focused on a single organisation</w:t>
      </w:r>
      <w:r w:rsidR="0088535B" w:rsidRPr="001A076D">
        <w:t>: SSE plc.</w:t>
      </w:r>
      <w:r w:rsidRPr="001A076D">
        <w:t xml:space="preserve"> Although this provided detailed insight into the organisational factors influencing predictive analytics adoption, the findings may not be fully transferable to organisations operating in different industries or regulatory environments.</w:t>
      </w:r>
    </w:p>
    <w:p w14:paraId="42A3AD20" w14:textId="77777777" w:rsidR="00F44009" w:rsidRPr="001A076D" w:rsidRDefault="00F44009" w:rsidP="00F44009">
      <w:pPr>
        <w:spacing w:before="100" w:beforeAutospacing="1" w:after="100" w:afterAutospacing="1" w:line="360" w:lineRule="auto"/>
        <w:jc w:val="both"/>
      </w:pPr>
      <w:r w:rsidRPr="001A076D">
        <w:t>Second, the research adopted a cross-sectional design, capturing participants' views at a single point in time. As governance practices and predictive analytics capabilities continue to evolve, future longitudinal studies could provide a deeper understanding of how these capabilities develop and influence strategic decision-making over time.</w:t>
      </w:r>
    </w:p>
    <w:p w14:paraId="1C357D91" w14:textId="77777777" w:rsidR="00F44009" w:rsidRPr="001A076D" w:rsidRDefault="00F44009" w:rsidP="00F44009">
      <w:pPr>
        <w:spacing w:before="100" w:beforeAutospacing="1" w:after="100" w:afterAutospacing="1" w:line="360" w:lineRule="auto"/>
        <w:jc w:val="both"/>
      </w:pPr>
      <w:r w:rsidRPr="001A076D">
        <w:t>Third, both the survey and interview findings were based on participants' perceptions. Although the mixed-methods approach strengthened the credibility of the findings, future research could incorporate objective organisational performance measures to further examine the relationship between governance maturity and strategic outcomes.</w:t>
      </w:r>
    </w:p>
    <w:p w14:paraId="4B1EEE74" w14:textId="77777777" w:rsidR="00F44009" w:rsidRPr="001A076D" w:rsidRDefault="00F44009" w:rsidP="00F44009">
      <w:pPr>
        <w:spacing w:before="100" w:beforeAutospacing="1" w:after="100" w:afterAutospacing="1" w:line="360" w:lineRule="auto"/>
        <w:jc w:val="both"/>
      </w:pPr>
      <w:r w:rsidRPr="001A076D">
        <w:t>Future research should seek to validate the Governance-Mediated Explainable Analytics Framework (GMEAF) across different organisations and sectors. Comparative studies involving regulated and non-regulated industries would provide further evidence of the framework's wider applicability and enhance understanding of how governance and explainability influence predictive analytics adoption.</w:t>
      </w:r>
    </w:p>
    <w:p w14:paraId="7CAEBC9E" w14:textId="77777777" w:rsidR="00F44009" w:rsidRPr="001A076D" w:rsidRDefault="00F44009" w:rsidP="00F44009">
      <w:pPr>
        <w:pStyle w:val="Heading2"/>
        <w:spacing w:line="360" w:lineRule="auto"/>
        <w:jc w:val="both"/>
        <w:rPr>
          <w:rFonts w:ascii="Times New Roman" w:hAnsi="Times New Roman" w:cs="Times New Roman"/>
          <w:b/>
          <w:bCs/>
          <w:color w:val="auto"/>
        </w:rPr>
      </w:pPr>
      <w:bookmarkStart w:id="110" w:name="_Toc236033400"/>
      <w:r w:rsidRPr="001A076D">
        <w:rPr>
          <w:rFonts w:ascii="Times New Roman" w:hAnsi="Times New Roman" w:cs="Times New Roman"/>
          <w:b/>
          <w:bCs/>
          <w:color w:val="auto"/>
        </w:rPr>
        <w:lastRenderedPageBreak/>
        <w:t>5.7 Conclusion</w:t>
      </w:r>
      <w:bookmarkEnd w:id="110"/>
    </w:p>
    <w:p w14:paraId="5686E97D" w14:textId="77777777" w:rsidR="00F44009" w:rsidRPr="001A076D" w:rsidRDefault="00F44009" w:rsidP="00F44009">
      <w:pPr>
        <w:spacing w:before="100" w:beforeAutospacing="1" w:after="100" w:afterAutospacing="1" w:line="360" w:lineRule="auto"/>
        <w:jc w:val="both"/>
      </w:pPr>
      <w:r w:rsidRPr="001A076D">
        <w:t>This study examined how predictive analytics can be effectively embedded within strategic decision-making by investigating the influence of Predictive Analytics Capability, Governance Maturity, Trust and Explainability, and Organisational Readiness within SSE plc. Using an explanatory sequential mixed-methods approach, the research integrated quantitative and qualitative evidence to provide a comprehensive understanding of the organisational factors that support the strategic adoption of predictive analytics.</w:t>
      </w:r>
    </w:p>
    <w:p w14:paraId="10B8566D" w14:textId="03528836" w:rsidR="00F44009" w:rsidRPr="001A076D" w:rsidRDefault="00F44009" w:rsidP="00F44009">
      <w:pPr>
        <w:spacing w:before="100" w:beforeAutospacing="1" w:after="100" w:afterAutospacing="1" w:line="360" w:lineRule="auto"/>
        <w:jc w:val="both"/>
      </w:pPr>
      <w:r w:rsidRPr="001A076D">
        <w:t xml:space="preserve">The findings show that Predictive Analytics Capability provides the technical foundation for adoption, but its strategic value depends on complementary organisational capabilities. Governance Maturity strengthens accountability and confidence in analytical </w:t>
      </w:r>
      <w:r w:rsidR="0088535B" w:rsidRPr="001A076D">
        <w:t>processes;</w:t>
      </w:r>
      <w:r w:rsidRPr="001A076D">
        <w:t xml:space="preserve"> Trust and Explainability promote executive acceptance of predictive </w:t>
      </w:r>
      <w:r w:rsidR="0088535B" w:rsidRPr="001A076D">
        <w:t>insights;</w:t>
      </w:r>
      <w:r w:rsidRPr="001A076D">
        <w:t xml:space="preserve"> and Organisational Readiness enables these capabilities to become embedded in organisational practice. Together, these findings demonstrate that successful predictive analytics adoption depends on the alignment of technical, governance and organisational capabilities rather than technology alone.</w:t>
      </w:r>
    </w:p>
    <w:p w14:paraId="0AD84A4D" w14:textId="77777777" w:rsidR="00F44009" w:rsidRPr="001A076D" w:rsidRDefault="00F44009" w:rsidP="00F44009">
      <w:pPr>
        <w:spacing w:before="100" w:beforeAutospacing="1" w:after="100" w:afterAutospacing="1" w:line="360" w:lineRule="auto"/>
        <w:jc w:val="both"/>
      </w:pPr>
      <w:r w:rsidRPr="001A076D">
        <w:t>The study contributes to the literature by demonstrating that predictive analytics adoption is fundamentally a governance-mediated organisational process and by proposing the Governance-Mediated Explainable Analytics Framework (GMEAF). The framework provides both a conceptual contribution and a practical roadmap for organisations seeking to strengthen governance, improve explainability and embed predictive analytics into strategic decision-making.</w:t>
      </w:r>
    </w:p>
    <w:p w14:paraId="26A71004" w14:textId="77777777" w:rsidR="00F44009" w:rsidRPr="001A076D" w:rsidRDefault="00F44009" w:rsidP="00F44009"/>
    <w:p w14:paraId="68ACBB21" w14:textId="77777777" w:rsidR="00F44009" w:rsidRPr="001A076D" w:rsidRDefault="00F44009" w:rsidP="00F66F77">
      <w:pPr>
        <w:spacing w:before="100" w:beforeAutospacing="1" w:after="100" w:afterAutospacing="1" w:line="360" w:lineRule="auto"/>
        <w:jc w:val="both"/>
      </w:pPr>
    </w:p>
    <w:p w14:paraId="7BD235E2" w14:textId="77777777" w:rsidR="009B686C" w:rsidRPr="001A076D" w:rsidRDefault="009B686C" w:rsidP="00F66F77">
      <w:pPr>
        <w:spacing w:before="100" w:beforeAutospacing="1" w:after="100" w:afterAutospacing="1" w:line="360" w:lineRule="auto"/>
        <w:jc w:val="both"/>
      </w:pPr>
    </w:p>
    <w:p w14:paraId="6185446F" w14:textId="77777777" w:rsidR="009B686C" w:rsidRPr="001A076D" w:rsidRDefault="009B686C" w:rsidP="00F66F77">
      <w:pPr>
        <w:spacing w:before="100" w:beforeAutospacing="1" w:after="100" w:afterAutospacing="1" w:line="360" w:lineRule="auto"/>
        <w:jc w:val="both"/>
      </w:pPr>
    </w:p>
    <w:p w14:paraId="068EA6DB" w14:textId="77777777" w:rsidR="009B686C" w:rsidRPr="001A076D" w:rsidRDefault="009B686C" w:rsidP="00F66F77">
      <w:pPr>
        <w:spacing w:before="100" w:beforeAutospacing="1" w:after="100" w:afterAutospacing="1" w:line="360" w:lineRule="auto"/>
        <w:jc w:val="both"/>
      </w:pPr>
    </w:p>
    <w:p w14:paraId="0C8AB5F4" w14:textId="77777777" w:rsidR="009B686C" w:rsidRPr="001A076D" w:rsidRDefault="009B686C" w:rsidP="00F66F77">
      <w:pPr>
        <w:spacing w:before="100" w:beforeAutospacing="1" w:after="100" w:afterAutospacing="1" w:line="360" w:lineRule="auto"/>
        <w:jc w:val="both"/>
      </w:pPr>
    </w:p>
    <w:p w14:paraId="742B01E3" w14:textId="77777777" w:rsidR="00F66F77" w:rsidRPr="001A076D" w:rsidRDefault="00F66F77" w:rsidP="004F5D94">
      <w:pPr>
        <w:spacing w:before="100" w:beforeAutospacing="1" w:after="100" w:afterAutospacing="1" w:line="360" w:lineRule="auto"/>
        <w:jc w:val="both"/>
      </w:pPr>
    </w:p>
    <w:p w14:paraId="203C49E9" w14:textId="77777777" w:rsidR="004F5D94" w:rsidRPr="001A076D" w:rsidRDefault="004F5D94" w:rsidP="004F5D94">
      <w:pPr>
        <w:spacing w:line="360" w:lineRule="auto"/>
        <w:jc w:val="both"/>
      </w:pPr>
    </w:p>
    <w:p w14:paraId="65E8030B" w14:textId="77777777" w:rsidR="00B07D36" w:rsidRPr="001A076D" w:rsidRDefault="00B07D36" w:rsidP="00972DD7">
      <w:pPr>
        <w:pStyle w:val="Heading1"/>
        <w:rPr>
          <w:rFonts w:ascii="Times New Roman" w:hAnsi="Times New Roman" w:cs="Times New Roman"/>
          <w:color w:val="auto"/>
          <w:sz w:val="36"/>
          <w:szCs w:val="36"/>
        </w:rPr>
      </w:pPr>
      <w:bookmarkStart w:id="111" w:name="_Toc236033401"/>
      <w:r w:rsidRPr="001A076D">
        <w:rPr>
          <w:rStyle w:val="Strong"/>
          <w:rFonts w:ascii="Times New Roman" w:hAnsi="Times New Roman" w:cs="Times New Roman"/>
          <w:color w:val="auto"/>
          <w:sz w:val="36"/>
          <w:szCs w:val="36"/>
        </w:rPr>
        <w:lastRenderedPageBreak/>
        <w:t>References</w:t>
      </w:r>
      <w:bookmarkEnd w:id="111"/>
    </w:p>
    <w:p w14:paraId="6818D916" w14:textId="77777777" w:rsidR="00963A61" w:rsidRPr="001A076D" w:rsidRDefault="00963A61" w:rsidP="00972DD7">
      <w:pPr>
        <w:pStyle w:val="NormalWeb"/>
      </w:pPr>
      <w:r w:rsidRPr="001A076D">
        <w:t xml:space="preserve">Abraham, R., vom Brocke, J. and Schneider, J. (2019) ‘Data governance: A conceptual framework, structured review, and research agenda’, International Journal of Information Management, 49(S1), pp. 424–438. </w:t>
      </w:r>
      <w:hyperlink r:id="rId29" w:history="1">
        <w:r w:rsidRPr="001A076D">
          <w:rPr>
            <w:rStyle w:val="Hyperlink"/>
            <w:color w:val="auto"/>
          </w:rPr>
          <w:t>https://doi.org/10.1016/j.ijinfomgt.2019.07.008</w:t>
        </w:r>
      </w:hyperlink>
      <w:r w:rsidRPr="001A076D">
        <w:t xml:space="preserve"> </w:t>
      </w:r>
    </w:p>
    <w:p w14:paraId="1C4D174E" w14:textId="77777777" w:rsidR="00963A61" w:rsidRPr="001A076D" w:rsidRDefault="00963A61" w:rsidP="00972DD7">
      <w:pPr>
        <w:pStyle w:val="NormalWeb"/>
      </w:pPr>
      <w:proofErr w:type="spellStart"/>
      <w:r w:rsidRPr="001A076D">
        <w:t>Agbodike</w:t>
      </w:r>
      <w:proofErr w:type="spellEnd"/>
      <w:r w:rsidRPr="001A076D">
        <w:t xml:space="preserve">, K.O. (2025) ‘Beyond Compliance: How AI-powered Data Governance Can Transform Enterprise Decision-making, Risk Mitigation, and Sustainable Growth’, </w:t>
      </w:r>
      <w:r w:rsidRPr="001A076D">
        <w:rPr>
          <w:rStyle w:val="Emphasis"/>
          <w:rFonts w:eastAsiaTheme="majorEastAsia"/>
          <w:i w:val="0"/>
          <w:iCs w:val="0"/>
        </w:rPr>
        <w:t>South Asian Journal of Social Studies and Economics</w:t>
      </w:r>
      <w:r w:rsidRPr="001A076D">
        <w:t>. doi:10.9734/</w:t>
      </w:r>
      <w:proofErr w:type="spellStart"/>
      <w:r w:rsidRPr="001A076D">
        <w:t>sajsse</w:t>
      </w:r>
      <w:proofErr w:type="spellEnd"/>
      <w:r w:rsidRPr="001A076D">
        <w:t>/2025/v22i91161.</w:t>
      </w:r>
    </w:p>
    <w:p w14:paraId="5483DDE8" w14:textId="77777777" w:rsidR="00963A61" w:rsidRPr="001A076D" w:rsidRDefault="00963A61" w:rsidP="00972DD7">
      <w:pPr>
        <w:pStyle w:val="NormalWeb"/>
      </w:pPr>
      <w:r w:rsidRPr="001A076D">
        <w:t xml:space="preserve">Al-Ababneh, H.A., Alomari, K.M., </w:t>
      </w:r>
      <w:proofErr w:type="spellStart"/>
      <w:r w:rsidRPr="001A076D">
        <w:t>Hindieh</w:t>
      </w:r>
      <w:proofErr w:type="spellEnd"/>
      <w:r w:rsidRPr="001A076D">
        <w:t xml:space="preserve">, A., Khader, J. and Zawaideh, F. (2026) ‘Economic Effects of Digitalization and IT Technologies on the Efficiency and Competitiveness of the Energy Sector’, </w:t>
      </w:r>
      <w:r w:rsidRPr="001A076D">
        <w:rPr>
          <w:rStyle w:val="Emphasis"/>
          <w:rFonts w:eastAsiaTheme="majorEastAsia"/>
          <w:i w:val="0"/>
          <w:iCs w:val="0"/>
        </w:rPr>
        <w:t>International Journal of Energy Economics and Policy</w:t>
      </w:r>
      <w:r w:rsidRPr="001A076D">
        <w:t>. doi:10.32479/ijeep.23207.</w:t>
      </w:r>
    </w:p>
    <w:p w14:paraId="61E4ED90" w14:textId="77777777" w:rsidR="00963A61" w:rsidRPr="001A076D" w:rsidRDefault="00963A61" w:rsidP="00972DD7">
      <w:pPr>
        <w:pStyle w:val="NormalWeb"/>
      </w:pPr>
      <w:r w:rsidRPr="001A076D">
        <w:t xml:space="preserve">Alhassan, I., Sammon, D. and Daly, M. (2016) ‘Data governance activities: A comparison between scientific and practice-oriented literature’, </w:t>
      </w:r>
      <w:r w:rsidRPr="001A076D">
        <w:rPr>
          <w:rStyle w:val="Emphasis"/>
          <w:rFonts w:eastAsiaTheme="majorEastAsia"/>
          <w:i w:val="0"/>
          <w:iCs w:val="0"/>
        </w:rPr>
        <w:t>Journal of Enterprise Information Management</w:t>
      </w:r>
      <w:r w:rsidRPr="001A076D">
        <w:t xml:space="preserve">, 29(2), pp. 300–316. </w:t>
      </w:r>
      <w:hyperlink r:id="rId30" w:tgtFrame="_blank" w:history="1">
        <w:r w:rsidRPr="001A076D">
          <w:rPr>
            <w:rStyle w:val="Hyperlink"/>
            <w:color w:val="auto"/>
          </w:rPr>
          <w:t>https://doi.org/10.1108/JEIM-01-2017-0007</w:t>
        </w:r>
      </w:hyperlink>
      <w:r w:rsidRPr="001A076D">
        <w:t xml:space="preserve"> </w:t>
      </w:r>
    </w:p>
    <w:p w14:paraId="267A96D0" w14:textId="77777777" w:rsidR="00963A61" w:rsidRPr="001A076D" w:rsidRDefault="00963A61" w:rsidP="00972DD7">
      <w:pPr>
        <w:pStyle w:val="NormalWeb"/>
      </w:pPr>
      <w:r w:rsidRPr="001A076D">
        <w:t xml:space="preserve">Alzahrani, S. (2025) ‘Assessing artificial intelligence and advanced analytics adoption: A technological, organizational, and environmental perspective’, </w:t>
      </w:r>
      <w:r w:rsidRPr="001A076D">
        <w:rPr>
          <w:rStyle w:val="Emphasis"/>
          <w:rFonts w:eastAsiaTheme="majorEastAsia"/>
          <w:i w:val="0"/>
          <w:iCs w:val="0"/>
        </w:rPr>
        <w:t>Edelweiss Applied Science and Technology</w:t>
      </w:r>
      <w:r w:rsidRPr="001A076D">
        <w:t>, 9(7), p. 8567. doi:10.55214/25768484.v9i7.8567.</w:t>
      </w:r>
    </w:p>
    <w:p w14:paraId="2265E8A5" w14:textId="77777777" w:rsidR="00963A61" w:rsidRPr="001A076D" w:rsidRDefault="00963A61" w:rsidP="00972DD7">
      <w:pPr>
        <w:pStyle w:val="NormalWeb"/>
      </w:pPr>
      <w:r w:rsidRPr="001A076D">
        <w:t xml:space="preserve">Ansari, I., Bhujel, K. and Khawaja, U. (2026) ‘AI-Driven Predictive Analytics and Decision Outcomes in Modern Enterprises: Impacts on Decision Quality, Speed, and Operational Performance’, The American Journal of Engineering and Technology, 8(1). Available at: </w:t>
      </w:r>
      <w:hyperlink r:id="rId31" w:tgtFrame="_new" w:history="1">
        <w:r w:rsidRPr="001A076D">
          <w:rPr>
            <w:rStyle w:val="Hyperlink"/>
            <w:color w:val="auto"/>
          </w:rPr>
          <w:t>https://doi.org/10.37547/tajet/volume08issue01-16</w:t>
        </w:r>
      </w:hyperlink>
    </w:p>
    <w:p w14:paraId="3A9AD1BE" w14:textId="77777777" w:rsidR="00963A61" w:rsidRPr="001A076D" w:rsidRDefault="00963A61" w:rsidP="00972DD7">
      <w:pPr>
        <w:pStyle w:val="NormalWeb"/>
      </w:pPr>
      <w:r w:rsidRPr="001A076D">
        <w:t xml:space="preserve">Arnott, D., Lizama, F. and Song, Y. (2017) ‘Patterns of business intelligence systems use in organisations’, </w:t>
      </w:r>
      <w:r w:rsidRPr="001A076D">
        <w:rPr>
          <w:rStyle w:val="Emphasis"/>
          <w:rFonts w:eastAsiaTheme="majorEastAsia"/>
          <w:i w:val="0"/>
          <w:iCs w:val="0"/>
        </w:rPr>
        <w:t>Decision Support Systems</w:t>
      </w:r>
      <w:r w:rsidRPr="001A076D">
        <w:t xml:space="preserve">, 97, pp. 58–68.  </w:t>
      </w:r>
      <w:hyperlink r:id="rId32" w:history="1">
        <w:r w:rsidRPr="001A076D">
          <w:rPr>
            <w:rStyle w:val="Hyperlink"/>
            <w:color w:val="auto"/>
          </w:rPr>
          <w:t>http://dx.doi.org/10.1016/j.dss.2017.03.005</w:t>
        </w:r>
      </w:hyperlink>
      <w:r w:rsidRPr="001A076D">
        <w:t xml:space="preserve"> </w:t>
      </w:r>
    </w:p>
    <w:p w14:paraId="606D2AA8" w14:textId="77777777" w:rsidR="00963A61" w:rsidRPr="001A076D" w:rsidRDefault="00963A61" w:rsidP="00972DD7">
      <w:pPr>
        <w:pStyle w:val="NormalWeb"/>
      </w:pPr>
      <w:proofErr w:type="spellStart"/>
      <w:r w:rsidRPr="001A076D">
        <w:t>Atadoga</w:t>
      </w:r>
      <w:proofErr w:type="spellEnd"/>
      <w:r w:rsidRPr="001A076D">
        <w:t xml:space="preserve">, A., </w:t>
      </w:r>
      <w:proofErr w:type="spellStart"/>
      <w:r w:rsidRPr="001A076D">
        <w:t>Awonuga</w:t>
      </w:r>
      <w:proofErr w:type="spellEnd"/>
      <w:r w:rsidRPr="001A076D">
        <w:t>, K.F., Ibeh, C.V., Ike, C.U., Olu-</w:t>
      </w:r>
      <w:proofErr w:type="spellStart"/>
      <w:r w:rsidRPr="001A076D">
        <w:t>lawal</w:t>
      </w:r>
      <w:proofErr w:type="spellEnd"/>
      <w:r w:rsidRPr="001A076D">
        <w:t xml:space="preserve">, K.A. and Usman, F.O. (2024) ‘Harnessing data analytics for sustainable business growth in the U.S. renewable energy sector’, </w:t>
      </w:r>
      <w:r w:rsidRPr="001A076D">
        <w:rPr>
          <w:rStyle w:val="Emphasis"/>
          <w:rFonts w:eastAsiaTheme="majorEastAsia"/>
          <w:i w:val="0"/>
          <w:iCs w:val="0"/>
        </w:rPr>
        <w:t>Engineering Science &amp; Technology Journal</w:t>
      </w:r>
      <w:r w:rsidRPr="001A076D">
        <w:t xml:space="preserve">. doi:10.51594/estj.v5i2.806. </w:t>
      </w:r>
    </w:p>
    <w:p w14:paraId="570A578E" w14:textId="77777777" w:rsidR="00963A61" w:rsidRPr="001A076D" w:rsidRDefault="00963A61" w:rsidP="00972DD7">
      <w:pPr>
        <w:pStyle w:val="NormalWeb"/>
      </w:pPr>
      <w:proofErr w:type="spellStart"/>
      <w:r w:rsidRPr="001A076D">
        <w:t>Baihaqi</w:t>
      </w:r>
      <w:proofErr w:type="spellEnd"/>
      <w:r w:rsidRPr="001A076D">
        <w:t xml:space="preserve">, B. (2026) ‘Strategic Decisions Without Humans? The Integration of Artificial Intelligence in Management and Accounting’, </w:t>
      </w:r>
      <w:proofErr w:type="spellStart"/>
      <w:r w:rsidRPr="001A076D">
        <w:rPr>
          <w:rStyle w:val="Emphasis"/>
          <w:rFonts w:eastAsiaTheme="majorEastAsia"/>
          <w:i w:val="0"/>
          <w:iCs w:val="0"/>
        </w:rPr>
        <w:t>Oikonomia</w:t>
      </w:r>
      <w:proofErr w:type="spellEnd"/>
      <w:r w:rsidRPr="001A076D">
        <w:rPr>
          <w:rStyle w:val="Emphasis"/>
          <w:rFonts w:eastAsiaTheme="majorEastAsia"/>
          <w:i w:val="0"/>
          <w:iCs w:val="0"/>
        </w:rPr>
        <w:t>: Journal of Management Economics and Accounting</w:t>
      </w:r>
      <w:r w:rsidRPr="001A076D">
        <w:t>. doi:10.61942/oikonomia.v3i2.558.</w:t>
      </w:r>
    </w:p>
    <w:p w14:paraId="42CDCB56" w14:textId="77777777" w:rsidR="00963A61" w:rsidRPr="001A076D" w:rsidRDefault="00963A61" w:rsidP="00972DD7">
      <w:pPr>
        <w:spacing w:before="100" w:beforeAutospacing="1" w:after="100" w:afterAutospacing="1"/>
      </w:pPr>
      <w:r w:rsidRPr="001A076D">
        <w:t>Berger, R. (2013). Now I see it, now I don’t: researcher’s position and reflexivity in qualitative research. Qualitative Research, 15(2), 219-234. Available at: </w:t>
      </w:r>
      <w:hyperlink r:id="rId33" w:history="1">
        <w:r w:rsidRPr="001A076D">
          <w:rPr>
            <w:rStyle w:val="Hyperlink"/>
            <w:color w:val="auto"/>
          </w:rPr>
          <w:t>https://doi.org/10.1177/1468794112468475</w:t>
        </w:r>
      </w:hyperlink>
      <w:r w:rsidRPr="001A076D">
        <w:t> (Original work published 2015)</w:t>
      </w:r>
    </w:p>
    <w:p w14:paraId="1C8947B3" w14:textId="77777777" w:rsidR="00963A61" w:rsidRPr="001A076D" w:rsidRDefault="00963A61" w:rsidP="00972DD7">
      <w:pPr>
        <w:spacing w:before="100" w:beforeAutospacing="1" w:after="100" w:afterAutospacing="1"/>
      </w:pPr>
      <w:r w:rsidRPr="001A076D">
        <w:t xml:space="preserve">Blumer, H. (1954) ‘What is wrong with social theory?’, American Sociological Review, 19(1), pp. 3–10. Available at: </w:t>
      </w:r>
      <w:r w:rsidRPr="001A076D">
        <w:rPr>
          <w:u w:val="single"/>
        </w:rPr>
        <w:t>https://doi.org/10.2307/2088165</w:t>
      </w:r>
    </w:p>
    <w:p w14:paraId="59906A14" w14:textId="77777777" w:rsidR="00963A61" w:rsidRPr="001A076D" w:rsidRDefault="00963A61" w:rsidP="00972DD7">
      <w:pPr>
        <w:spacing w:before="100" w:beforeAutospacing="1" w:after="100" w:afterAutospacing="1"/>
      </w:pPr>
      <w:r w:rsidRPr="001A076D">
        <w:t xml:space="preserve">Braun, V. and Clarke, V. (2006) ‘Using thematic analysis in psychology’, Qualitative Research in Psychology, 3(2), pp. 77–101. Available at: </w:t>
      </w:r>
      <w:hyperlink r:id="rId34" w:tgtFrame="_blank" w:history="1">
        <w:r w:rsidRPr="001A076D">
          <w:rPr>
            <w:rStyle w:val="Hyperlink"/>
            <w:color w:val="auto"/>
          </w:rPr>
          <w:t>https://doi.org/10.1191/1478088706qp063oa</w:t>
        </w:r>
      </w:hyperlink>
    </w:p>
    <w:p w14:paraId="1442691F" w14:textId="77777777" w:rsidR="00963A61" w:rsidRPr="001A076D" w:rsidRDefault="00963A61" w:rsidP="00972DD7">
      <w:pPr>
        <w:pStyle w:val="NormalWeb"/>
      </w:pPr>
      <w:r w:rsidRPr="001A076D">
        <w:lastRenderedPageBreak/>
        <w:t xml:space="preserve">Brous, P., Janssen, M. and Krans, R. (2020) ‘Data governance as a success factor for data science’, </w:t>
      </w:r>
      <w:r w:rsidRPr="001A076D">
        <w:rPr>
          <w:rStyle w:val="Emphasis"/>
          <w:rFonts w:eastAsiaTheme="majorEastAsia"/>
          <w:i w:val="0"/>
          <w:iCs w:val="0"/>
        </w:rPr>
        <w:t>Government Information Quarterly</w:t>
      </w:r>
      <w:r w:rsidRPr="001A076D">
        <w:t xml:space="preserve">, 37(3), 101493. </w:t>
      </w:r>
      <w:hyperlink r:id="rId35" w:tgtFrame="_blank" w:history="1">
        <w:r w:rsidRPr="001A076D">
          <w:rPr>
            <w:rStyle w:val="Hyperlink"/>
            <w:color w:val="auto"/>
          </w:rPr>
          <w:t>10.1007/978-3-030-44999-5_36</w:t>
        </w:r>
      </w:hyperlink>
    </w:p>
    <w:p w14:paraId="52C7744C" w14:textId="77777777" w:rsidR="00963A61" w:rsidRPr="001A076D" w:rsidRDefault="00963A61" w:rsidP="00972DD7">
      <w:pPr>
        <w:pStyle w:val="NormalWeb"/>
      </w:pPr>
      <w:r w:rsidRPr="001A076D">
        <w:t xml:space="preserve">Brynjolfsson, E., Liu, V. and Reinhardt, R. (2021) </w:t>
      </w:r>
      <w:r w:rsidRPr="001A076D">
        <w:rPr>
          <w:rStyle w:val="Emphasis"/>
          <w:rFonts w:eastAsiaTheme="majorEastAsia"/>
          <w:i w:val="0"/>
          <w:iCs w:val="0"/>
        </w:rPr>
        <w:t>Data-driven culture and decision-making performance</w:t>
      </w:r>
      <w:r w:rsidRPr="001A076D">
        <w:t xml:space="preserve">. MIT Sloan Research Paper. Cambridge, MA: MIT Sloan School of Management. </w:t>
      </w:r>
      <w:hyperlink r:id="rId36" w:history="1">
        <w:r w:rsidRPr="001A076D">
          <w:rPr>
            <w:rStyle w:val="Hyperlink"/>
            <w:color w:val="auto"/>
          </w:rPr>
          <w:t xml:space="preserve">Data-Driven Culture </w:t>
        </w:r>
      </w:hyperlink>
    </w:p>
    <w:p w14:paraId="48C55DA0" w14:textId="77777777" w:rsidR="00963A61" w:rsidRPr="001A076D" w:rsidRDefault="00963A61" w:rsidP="00972DD7">
      <w:pPr>
        <w:pStyle w:val="NormalWeb"/>
      </w:pPr>
      <w:r w:rsidRPr="001A076D">
        <w:t xml:space="preserve">Brynjolfsson, E., Rock, D. and Syverson, C. (2021) ‘The productivity J-curve: How intangibles complement general-purpose technologies’, </w:t>
      </w:r>
      <w:r w:rsidRPr="001A076D">
        <w:rPr>
          <w:rStyle w:val="Emphasis"/>
          <w:rFonts w:eastAsiaTheme="majorEastAsia"/>
          <w:i w:val="0"/>
          <w:iCs w:val="0"/>
        </w:rPr>
        <w:t>American Economic Journal: Macroeconomics</w:t>
      </w:r>
      <w:r w:rsidRPr="001A076D">
        <w:t xml:space="preserve">, 13(1), pp. 333–372. </w:t>
      </w:r>
      <w:hyperlink r:id="rId37" w:history="1">
        <w:r w:rsidRPr="001A076D">
          <w:rPr>
            <w:rStyle w:val="Hyperlink"/>
            <w:color w:val="auto"/>
          </w:rPr>
          <w:t>https://www.aeaweb.org/articles?id=10.1257/mac.20180386</w:t>
        </w:r>
      </w:hyperlink>
      <w:r w:rsidRPr="001A076D">
        <w:t xml:space="preserve"> </w:t>
      </w:r>
    </w:p>
    <w:p w14:paraId="56A5B10B" w14:textId="77777777" w:rsidR="00963A61" w:rsidRPr="001A076D" w:rsidRDefault="00963A61" w:rsidP="00972DD7">
      <w:pPr>
        <w:spacing w:before="100" w:beforeAutospacing="1" w:after="100" w:afterAutospacing="1"/>
      </w:pPr>
      <w:r w:rsidRPr="001A076D">
        <w:t xml:space="preserve">Creswell, J.W. and Creswell, J.D. (2018) Research Design: Qualitative, Quantitative, and Mixed Methods Approaches. 3rd </w:t>
      </w:r>
      <w:proofErr w:type="spellStart"/>
      <w:r w:rsidRPr="001A076D">
        <w:t>edn</w:t>
      </w:r>
      <w:proofErr w:type="spellEnd"/>
      <w:r w:rsidRPr="001A076D">
        <w:t xml:space="preserve">. London: Sage. Available at: </w:t>
      </w:r>
      <w:hyperlink r:id="rId38" w:history="1">
        <w:r w:rsidRPr="001A076D">
          <w:rPr>
            <w:rStyle w:val="Hyperlink"/>
            <w:color w:val="auto"/>
          </w:rPr>
          <w:t>Research Design</w:t>
        </w:r>
      </w:hyperlink>
      <w:r w:rsidRPr="001A076D">
        <w:t xml:space="preserve"> </w:t>
      </w:r>
    </w:p>
    <w:p w14:paraId="2D85DEBF" w14:textId="77777777" w:rsidR="00963A61" w:rsidRPr="001A076D" w:rsidRDefault="00963A61" w:rsidP="00972DD7">
      <w:pPr>
        <w:spacing w:before="100" w:beforeAutospacing="1" w:after="100" w:afterAutospacing="1"/>
      </w:pPr>
      <w:r w:rsidRPr="001A076D">
        <w:t xml:space="preserve">Creswell, J.W. and Plano Clark, V.L. (2018) Designing and Conducting Mixed Methods Research. 3rd </w:t>
      </w:r>
      <w:proofErr w:type="spellStart"/>
      <w:r w:rsidRPr="001A076D">
        <w:t>edn</w:t>
      </w:r>
      <w:proofErr w:type="spellEnd"/>
      <w:r w:rsidRPr="001A076D">
        <w:t xml:space="preserve">. London: Sage. Available at: </w:t>
      </w:r>
      <w:hyperlink r:id="rId39" w:history="1">
        <w:r w:rsidRPr="001A076D">
          <w:rPr>
            <w:rStyle w:val="Hyperlink"/>
            <w:color w:val="auto"/>
          </w:rPr>
          <w:t xml:space="preserve">Designing and Conducting </w:t>
        </w:r>
      </w:hyperlink>
      <w:r w:rsidRPr="001A076D">
        <w:t xml:space="preserve"> </w:t>
      </w:r>
    </w:p>
    <w:p w14:paraId="03BF0082" w14:textId="77777777" w:rsidR="00963A61" w:rsidRPr="001A076D" w:rsidRDefault="00963A61" w:rsidP="00972DD7">
      <w:pPr>
        <w:pStyle w:val="NormalWeb"/>
      </w:pPr>
      <w:r w:rsidRPr="001A076D">
        <w:t xml:space="preserve">DAMA International (2017) DAMA-DMBOK: Data Management Body of Knowledge. 2nd </w:t>
      </w:r>
      <w:proofErr w:type="spellStart"/>
      <w:r w:rsidRPr="001A076D">
        <w:t>edn</w:t>
      </w:r>
      <w:proofErr w:type="spellEnd"/>
      <w:r w:rsidRPr="001A076D">
        <w:t>. Basking Ridge, NJ: Technics Publications.</w:t>
      </w:r>
    </w:p>
    <w:p w14:paraId="51833AC4" w14:textId="77777777" w:rsidR="00963A61" w:rsidRPr="001A076D" w:rsidRDefault="00963A61" w:rsidP="00972DD7">
      <w:pPr>
        <w:spacing w:before="100" w:beforeAutospacing="1" w:after="100" w:afterAutospacing="1"/>
      </w:pPr>
      <w:r w:rsidRPr="001A076D">
        <w:t xml:space="preserve">Davenport, T.H. (2007) Competing on Analytics. Harvard Business Review, January 2006, 84(1), pp. 98–107. Reprint R0601H. Available at: </w:t>
      </w:r>
      <w:hyperlink r:id="rId40" w:history="1">
        <w:r w:rsidRPr="001A076D">
          <w:rPr>
            <w:rStyle w:val="Hyperlink"/>
            <w:color w:val="auto"/>
          </w:rPr>
          <w:t>Competing on Analytics</w:t>
        </w:r>
      </w:hyperlink>
      <w:r w:rsidRPr="001A076D">
        <w:t xml:space="preserve"> </w:t>
      </w:r>
    </w:p>
    <w:p w14:paraId="32724C3E" w14:textId="77777777" w:rsidR="00963A61" w:rsidRPr="001A076D" w:rsidRDefault="00963A61" w:rsidP="00972DD7">
      <w:pPr>
        <w:pStyle w:val="NormalWeb"/>
      </w:pPr>
      <w:r w:rsidRPr="001A076D">
        <w:t xml:space="preserve">Davenport, T.H., Harris, J.G. and Morison, R. (2010) </w:t>
      </w:r>
      <w:r w:rsidRPr="001A076D">
        <w:rPr>
          <w:rStyle w:val="Emphasis"/>
          <w:rFonts w:eastAsiaTheme="majorEastAsia"/>
          <w:i w:val="0"/>
          <w:iCs w:val="0"/>
        </w:rPr>
        <w:t>Analytics at Work: Smarter Decisions, Better Results</w:t>
      </w:r>
      <w:r w:rsidRPr="001A076D">
        <w:t>. Boston: Harvard Business Press.</w:t>
      </w:r>
    </w:p>
    <w:p w14:paraId="65E3B499" w14:textId="77777777" w:rsidR="00963A61" w:rsidRPr="001A076D" w:rsidRDefault="00963A61" w:rsidP="00972DD7">
      <w:pPr>
        <w:spacing w:before="100" w:beforeAutospacing="1" w:after="100" w:afterAutospacing="1"/>
      </w:pPr>
      <w:r w:rsidRPr="001A076D">
        <w:t xml:space="preserve">Denzin, N.K. (1978) The Research Act: A Theoretical Introduction to Sociological Methods. 2nd </w:t>
      </w:r>
      <w:proofErr w:type="spellStart"/>
      <w:r w:rsidRPr="001A076D">
        <w:t>edn</w:t>
      </w:r>
      <w:proofErr w:type="spellEnd"/>
      <w:r w:rsidRPr="001A076D">
        <w:t xml:space="preserve">. New York: McGraw-Hill. Available at: </w:t>
      </w:r>
      <w:hyperlink r:id="rId41" w:tgtFrame="_blank" w:history="1">
        <w:r w:rsidRPr="001A076D">
          <w:rPr>
            <w:rStyle w:val="Hyperlink"/>
            <w:color w:val="auto"/>
          </w:rPr>
          <w:t>https://doi.org/10.4324/9781315134543</w:t>
        </w:r>
      </w:hyperlink>
    </w:p>
    <w:p w14:paraId="5325B0B1" w14:textId="77777777" w:rsidR="00963A61" w:rsidRPr="001A076D" w:rsidRDefault="00963A61" w:rsidP="00972DD7">
      <w:pPr>
        <w:pStyle w:val="NormalWeb"/>
      </w:pPr>
      <w:r w:rsidRPr="001A076D">
        <w:t xml:space="preserve">EDM Council (2020) </w:t>
      </w:r>
      <w:r w:rsidRPr="001A076D">
        <w:rPr>
          <w:rStyle w:val="Emphasis"/>
          <w:rFonts w:eastAsiaTheme="majorEastAsia"/>
          <w:i w:val="0"/>
          <w:iCs w:val="0"/>
        </w:rPr>
        <w:t>Data Management Capability Assessment Model (DCAM) v2.2</w:t>
      </w:r>
      <w:r w:rsidRPr="001A076D">
        <w:t xml:space="preserve">. New York: EDM Council. Available at: </w:t>
      </w:r>
      <w:hyperlink r:id="rId42" w:tgtFrame="_new" w:history="1">
        <w:r w:rsidRPr="001A076D">
          <w:rPr>
            <w:rStyle w:val="Hyperlink"/>
            <w:rFonts w:eastAsiaTheme="majorEastAsia"/>
            <w:color w:val="auto"/>
          </w:rPr>
          <w:t>https://edmcouncil.org/page/DCAM</w:t>
        </w:r>
      </w:hyperlink>
      <w:r w:rsidRPr="001A076D">
        <w:t xml:space="preserve"> (Accessed: 17 November 2025).</w:t>
      </w:r>
    </w:p>
    <w:p w14:paraId="67F84ECA" w14:textId="77777777" w:rsidR="00963A61" w:rsidRPr="001A076D" w:rsidRDefault="00963A61" w:rsidP="00972DD7">
      <w:pPr>
        <w:pStyle w:val="NormalWeb"/>
      </w:pPr>
      <w:r w:rsidRPr="001A076D">
        <w:rPr>
          <w:rStyle w:val="Strong"/>
          <w:rFonts w:eastAsiaTheme="majorEastAsia"/>
          <w:b w:val="0"/>
          <w:bCs w:val="0"/>
        </w:rPr>
        <w:t>Faruk, O.M. and Sultana, M.S. (2021)</w:t>
      </w:r>
      <w:r w:rsidRPr="001A076D">
        <w:t xml:space="preserve"> ‘Comparative analysis of BI systems in the U.S. and Europe: Lessons in data governance and predictive analytics’, </w:t>
      </w:r>
      <w:r w:rsidRPr="001A076D">
        <w:rPr>
          <w:rStyle w:val="Emphasis"/>
          <w:rFonts w:eastAsiaTheme="majorEastAsia"/>
          <w:i w:val="0"/>
          <w:iCs w:val="0"/>
        </w:rPr>
        <w:t>Journal of Sustainable Development and Policy</w:t>
      </w:r>
      <w:r w:rsidRPr="001A076D">
        <w:t xml:space="preserve">, 1(5), pp. 1–38. </w:t>
      </w:r>
      <w:hyperlink r:id="rId43" w:history="1">
        <w:r w:rsidRPr="001A076D">
          <w:rPr>
            <w:rStyle w:val="Hyperlink"/>
            <w:color w:val="auto"/>
          </w:rPr>
          <w:t>https://doi.org/10.63125/6b3aeg93</w:t>
        </w:r>
      </w:hyperlink>
      <w:r w:rsidRPr="001A076D">
        <w:t xml:space="preserve"> </w:t>
      </w:r>
    </w:p>
    <w:p w14:paraId="3BF38914" w14:textId="77777777" w:rsidR="00963A61" w:rsidRPr="001A076D" w:rsidRDefault="00963A61" w:rsidP="00972DD7">
      <w:pPr>
        <w:spacing w:before="100" w:beforeAutospacing="1" w:after="100" w:afterAutospacing="1"/>
      </w:pPr>
      <w:r w:rsidRPr="001A076D">
        <w:t xml:space="preserve">Field, A. (2018) Discovering Statistics Using IBM SPSS Statistics. 5th </w:t>
      </w:r>
      <w:proofErr w:type="spellStart"/>
      <w:r w:rsidRPr="001A076D">
        <w:t>edn</w:t>
      </w:r>
      <w:proofErr w:type="spellEnd"/>
      <w:r w:rsidRPr="001A076D">
        <w:t>. London: Sage.</w:t>
      </w:r>
    </w:p>
    <w:p w14:paraId="08DE9B1C" w14:textId="77777777" w:rsidR="00963A61" w:rsidRPr="001A076D" w:rsidRDefault="00963A61" w:rsidP="00972DD7">
      <w:pPr>
        <w:spacing w:before="100" w:beforeAutospacing="1" w:after="100" w:afterAutospacing="1"/>
      </w:pPr>
      <w:r w:rsidRPr="001A076D">
        <w:t xml:space="preserve">Fowler, F.J. (2014) Survey Research Methods. 5th </w:t>
      </w:r>
      <w:proofErr w:type="spellStart"/>
      <w:r w:rsidRPr="001A076D">
        <w:t>edn</w:t>
      </w:r>
      <w:proofErr w:type="spellEnd"/>
      <w:r w:rsidRPr="001A076D">
        <w:t>. London: Sage. DOI: Available at: </w:t>
      </w:r>
      <w:hyperlink r:id="rId44" w:history="1">
        <w:r w:rsidRPr="001A076D">
          <w:rPr>
            <w:rStyle w:val="Hyperlink"/>
            <w:color w:val="auto"/>
          </w:rPr>
          <w:t>https://doi.org/10.4135/9781452230184</w:t>
        </w:r>
      </w:hyperlink>
      <w:r w:rsidRPr="001A076D">
        <w:t xml:space="preserve"> </w:t>
      </w:r>
    </w:p>
    <w:p w14:paraId="5EF148A7" w14:textId="77777777" w:rsidR="00963A61" w:rsidRPr="001A076D" w:rsidRDefault="00963A61" w:rsidP="00972DD7">
      <w:pPr>
        <w:pStyle w:val="NormalWeb"/>
      </w:pPr>
      <w:r w:rsidRPr="001A076D">
        <w:t xml:space="preserve">Gandomi, A. and Haider, M. (2015) ‘Beyond the hype: Big data concepts, methods, and analytics’, </w:t>
      </w:r>
      <w:r w:rsidRPr="001A076D">
        <w:rPr>
          <w:rStyle w:val="Emphasis"/>
          <w:rFonts w:eastAsiaTheme="majorEastAsia"/>
          <w:i w:val="0"/>
          <w:iCs w:val="0"/>
        </w:rPr>
        <w:t>International Journal of Information Management</w:t>
      </w:r>
      <w:r w:rsidRPr="001A076D">
        <w:t xml:space="preserve">, 35(2), pp. 137–144. </w:t>
      </w:r>
    </w:p>
    <w:p w14:paraId="697D1372" w14:textId="77777777" w:rsidR="00963A61" w:rsidRPr="001A076D" w:rsidRDefault="00963A61" w:rsidP="00972DD7">
      <w:pPr>
        <w:pStyle w:val="NormalWeb"/>
      </w:pPr>
      <w:r w:rsidRPr="001A076D">
        <w:t xml:space="preserve">Gartner (2024) </w:t>
      </w:r>
      <w:r w:rsidRPr="001A076D">
        <w:rPr>
          <w:rStyle w:val="Emphasis"/>
          <w:rFonts w:eastAsiaTheme="majorEastAsia"/>
          <w:i w:val="0"/>
          <w:iCs w:val="0"/>
        </w:rPr>
        <w:t>Analytics maturity in the UK utilities sector: Industry benchmarking report</w:t>
      </w:r>
      <w:r w:rsidRPr="001A076D">
        <w:t>. Stamford, CT: Gartner Research.</w:t>
      </w:r>
    </w:p>
    <w:p w14:paraId="7E5FE203" w14:textId="77777777" w:rsidR="00963A61" w:rsidRPr="001A076D" w:rsidRDefault="00963A61" w:rsidP="00972DD7">
      <w:pPr>
        <w:spacing w:before="100" w:beforeAutospacing="1" w:after="100" w:afterAutospacing="1"/>
      </w:pPr>
      <w:r w:rsidRPr="001A076D">
        <w:t xml:space="preserve">Guest, G., Bunce, A. and Johnson, L. (2006) ‘How many interviews are enough? An experiment with data saturation and variability’, Field Methods, 18(1), pp. 59–82. Available at: </w:t>
      </w:r>
      <w:hyperlink r:id="rId45" w:history="1">
        <w:r w:rsidRPr="001A076D">
          <w:rPr>
            <w:rStyle w:val="Hyperlink"/>
            <w:color w:val="auto"/>
          </w:rPr>
          <w:t>https://doi.org/10.1177/1525822X05279903</w:t>
        </w:r>
      </w:hyperlink>
      <w:r w:rsidRPr="001A076D">
        <w:rPr>
          <w:b/>
          <w:bCs/>
        </w:rPr>
        <w:t xml:space="preserve"> </w:t>
      </w:r>
    </w:p>
    <w:p w14:paraId="3F6E98FB" w14:textId="77777777" w:rsidR="00963A61" w:rsidRPr="001A076D" w:rsidRDefault="00963A61" w:rsidP="00972DD7">
      <w:pPr>
        <w:pStyle w:val="NormalWeb"/>
      </w:pPr>
      <w:r w:rsidRPr="001A076D">
        <w:lastRenderedPageBreak/>
        <w:t xml:space="preserve">Gupta, M. and George, J.F. (2023) ‘Toward the development of a big data analytics capability’, </w:t>
      </w:r>
      <w:r w:rsidRPr="001A076D">
        <w:rPr>
          <w:rStyle w:val="Emphasis"/>
          <w:rFonts w:eastAsiaTheme="majorEastAsia"/>
          <w:i w:val="0"/>
          <w:iCs w:val="0"/>
        </w:rPr>
        <w:t>Information &amp; Management</w:t>
      </w:r>
      <w:r w:rsidRPr="001A076D">
        <w:t xml:space="preserve">, 60(1), 103631. </w:t>
      </w:r>
      <w:hyperlink r:id="rId46" w:history="1">
        <w:r w:rsidRPr="001A076D">
          <w:rPr>
            <w:rStyle w:val="Hyperlink"/>
            <w:color w:val="auto"/>
          </w:rPr>
          <w:t>https://doi.org/10.1016/j.im.2016.07.004</w:t>
        </w:r>
      </w:hyperlink>
      <w:r w:rsidRPr="001A076D">
        <w:t xml:space="preserve"> </w:t>
      </w:r>
    </w:p>
    <w:p w14:paraId="10EFB3D2" w14:textId="77777777" w:rsidR="00963A61" w:rsidRPr="001A076D" w:rsidRDefault="00963A61" w:rsidP="00972DD7">
      <w:pPr>
        <w:spacing w:before="100" w:beforeAutospacing="1" w:after="100" w:afterAutospacing="1"/>
      </w:pPr>
      <w:r w:rsidRPr="001A076D">
        <w:t xml:space="preserve">Hax, A.C. and Wilde II, D.L. (2002) The Delta Model – Toward a Unified Framework of Strategy. MIT Sloan School of Management Working Paper No. 4261-02. Cambridge, MA: Massachusetts Institute of Technology. Available at: </w:t>
      </w:r>
      <w:hyperlink r:id="rId47" w:tgtFrame="_new" w:history="1">
        <w:r w:rsidRPr="001A076D">
          <w:rPr>
            <w:rStyle w:val="Hyperlink"/>
            <w:color w:val="auto"/>
          </w:rPr>
          <w:t>https://ssrn.com/abstract=344580</w:t>
        </w:r>
      </w:hyperlink>
    </w:p>
    <w:p w14:paraId="56D24293" w14:textId="77777777" w:rsidR="00963A61" w:rsidRPr="001A076D" w:rsidRDefault="00963A61" w:rsidP="00972DD7">
      <w:pPr>
        <w:pStyle w:val="NormalWeb"/>
      </w:pPr>
      <w:r w:rsidRPr="001A076D">
        <w:t xml:space="preserve">Hazen, B.T., Boone, C.A., Ezell, J.D. and Jones-Farmer, L.A. (2014) ‘Data quality for data science, predictive analytics, and big data in supply chain management: An introduction to the problem and suggestions for research and applications’, </w:t>
      </w:r>
      <w:r w:rsidRPr="001A076D">
        <w:rPr>
          <w:rStyle w:val="Emphasis"/>
          <w:rFonts w:eastAsiaTheme="majorEastAsia"/>
          <w:i w:val="0"/>
          <w:iCs w:val="0"/>
        </w:rPr>
        <w:t>International Journal of Production Economics</w:t>
      </w:r>
      <w:r w:rsidRPr="001A076D">
        <w:t xml:space="preserve">, 154, pp. 72–80. </w:t>
      </w:r>
      <w:hyperlink r:id="rId48" w:tgtFrame="_new" w:history="1">
        <w:r w:rsidRPr="001A076D">
          <w:rPr>
            <w:rStyle w:val="Hyperlink"/>
            <w:rFonts w:eastAsiaTheme="majorEastAsia"/>
            <w:color w:val="auto"/>
          </w:rPr>
          <w:t>https://doi.org/10.1016/j.ijpe.2014.04.018</w:t>
        </w:r>
      </w:hyperlink>
    </w:p>
    <w:p w14:paraId="489E63B2" w14:textId="77777777" w:rsidR="00963A61" w:rsidRPr="001A076D" w:rsidRDefault="00963A61" w:rsidP="00972DD7">
      <w:pPr>
        <w:pStyle w:val="NormalWeb"/>
      </w:pPr>
      <w:r w:rsidRPr="001A076D">
        <w:t xml:space="preserve">ICO (2021) </w:t>
      </w:r>
      <w:r w:rsidRPr="001A076D">
        <w:rPr>
          <w:rStyle w:val="Emphasis"/>
          <w:rFonts w:eastAsiaTheme="majorEastAsia"/>
          <w:i w:val="0"/>
          <w:iCs w:val="0"/>
        </w:rPr>
        <w:t>Guide to the UK General Data Protection Regulation (UK GDPR)</w:t>
      </w:r>
      <w:r w:rsidRPr="001A076D">
        <w:t xml:space="preserve">. London: Information Commissioner’s Office. Available at: </w:t>
      </w:r>
      <w:hyperlink r:id="rId49" w:history="1">
        <w:r w:rsidRPr="001A076D">
          <w:rPr>
            <w:rStyle w:val="Hyperlink"/>
            <w:color w:val="auto"/>
          </w:rPr>
          <w:t>ICO</w:t>
        </w:r>
      </w:hyperlink>
      <w:r w:rsidRPr="001A076D">
        <w:t xml:space="preserve"> (Accessed: 10 December 2025)</w:t>
      </w:r>
    </w:p>
    <w:p w14:paraId="256E1F93" w14:textId="77777777" w:rsidR="00963A61" w:rsidRPr="001A076D" w:rsidRDefault="00963A61" w:rsidP="00972DD7">
      <w:pPr>
        <w:pStyle w:val="NormalWeb"/>
      </w:pPr>
      <w:r w:rsidRPr="001A076D">
        <w:t xml:space="preserve">International Energy Agency (2022) </w:t>
      </w:r>
      <w:r w:rsidRPr="001A076D">
        <w:rPr>
          <w:rStyle w:val="Emphasis"/>
          <w:rFonts w:eastAsiaTheme="majorEastAsia"/>
          <w:i w:val="0"/>
          <w:iCs w:val="0"/>
        </w:rPr>
        <w:t>Digital Demand-Driven Electricity Networks</w:t>
      </w:r>
      <w:r w:rsidRPr="001A076D">
        <w:t xml:space="preserve">. Paris: IEA. Available at: </w:t>
      </w:r>
      <w:hyperlink r:id="rId50" w:history="1">
        <w:r w:rsidRPr="001A076D">
          <w:rPr>
            <w:rStyle w:val="Hyperlink"/>
            <w:color w:val="auto"/>
          </w:rPr>
          <w:t>IEA</w:t>
        </w:r>
      </w:hyperlink>
      <w:r w:rsidRPr="001A076D">
        <w:t xml:space="preserve"> (Accessed: 13 December 2025)</w:t>
      </w:r>
    </w:p>
    <w:p w14:paraId="0CBE09B8" w14:textId="77777777" w:rsidR="00963A61" w:rsidRPr="001A076D" w:rsidRDefault="00963A61" w:rsidP="00972DD7">
      <w:pPr>
        <w:spacing w:before="100" w:beforeAutospacing="1" w:after="100" w:afterAutospacing="1"/>
      </w:pPr>
      <w:r w:rsidRPr="001A076D">
        <w:t>Ivankova, N. V., Creswell, J. W., &amp; Stick, S. L. (2006). Using Mixed-Methods Sequential Explanatory Design: From Theory to Practice. Field Methods, 18(1), 3-20. Available at: </w:t>
      </w:r>
      <w:hyperlink r:id="rId51" w:history="1">
        <w:r w:rsidRPr="001A076D">
          <w:rPr>
            <w:rStyle w:val="Hyperlink"/>
            <w:color w:val="auto"/>
          </w:rPr>
          <w:t>https://doi.org/10.1177/1525822X05282260</w:t>
        </w:r>
      </w:hyperlink>
      <w:r w:rsidRPr="001A076D">
        <w:t> (Original work published 2006)</w:t>
      </w:r>
    </w:p>
    <w:p w14:paraId="71879DF9" w14:textId="77777777" w:rsidR="00963A61" w:rsidRPr="001A076D" w:rsidRDefault="00963A61" w:rsidP="00972DD7">
      <w:pPr>
        <w:pStyle w:val="NormalWeb"/>
      </w:pPr>
      <w:r w:rsidRPr="001A076D">
        <w:t xml:space="preserve">Jackson, S., </w:t>
      </w:r>
      <w:proofErr w:type="spellStart"/>
      <w:r w:rsidRPr="001A076D">
        <w:t>Onoongha</w:t>
      </w:r>
      <w:proofErr w:type="spellEnd"/>
      <w:r w:rsidRPr="001A076D">
        <w:t xml:space="preserve">, J., Ganu, I. and </w:t>
      </w:r>
      <w:proofErr w:type="spellStart"/>
      <w:r w:rsidRPr="001A076D">
        <w:t>Ataro</w:t>
      </w:r>
      <w:proofErr w:type="spellEnd"/>
      <w:r w:rsidRPr="001A076D">
        <w:t xml:space="preserve">, P. (2025) ‘Convergence, Not Accumulation: Digital Maturity and Organisational Resilience among SDA Self-Supporting Ministries in Kenya’, </w:t>
      </w:r>
      <w:r w:rsidRPr="001A076D">
        <w:rPr>
          <w:rStyle w:val="Emphasis"/>
          <w:rFonts w:eastAsiaTheme="majorEastAsia"/>
          <w:i w:val="0"/>
          <w:iCs w:val="0"/>
        </w:rPr>
        <w:t>International Journal of Research and Innovation in Social Science</w:t>
      </w:r>
      <w:r w:rsidRPr="001A076D">
        <w:t>. doi:10.47772/ijriss.2025.91100391.</w:t>
      </w:r>
    </w:p>
    <w:p w14:paraId="7AC45A41" w14:textId="77777777" w:rsidR="00963A61" w:rsidRPr="001A076D" w:rsidRDefault="00963A61" w:rsidP="00972DD7">
      <w:pPr>
        <w:pStyle w:val="NormalWeb"/>
      </w:pPr>
      <w:r w:rsidRPr="001A076D">
        <w:t xml:space="preserve">Jarvis, C. (2025). The Road to Enterprise-Wide AI Adoption: Lessons from the Field. Journal of Business Strategy, 46(2), 88–102. </w:t>
      </w:r>
      <w:r w:rsidRPr="001A076D">
        <w:rPr>
          <w:rFonts w:eastAsiaTheme="minorHAnsi"/>
          <w:kern w:val="2"/>
          <w:shd w:val="clear" w:color="auto" w:fill="FFFFFF"/>
          <w:lang w:eastAsia="en-US"/>
          <w14:ligatures w14:val="standardContextual"/>
        </w:rPr>
        <w:t>DOI:</w:t>
      </w:r>
      <w:hyperlink r:id="rId52" w:tgtFrame="_blank" w:history="1">
        <w:r w:rsidRPr="001A076D">
          <w:rPr>
            <w:rFonts w:eastAsiaTheme="minorHAnsi"/>
            <w:kern w:val="2"/>
            <w:u w:val="single"/>
            <w:bdr w:val="none" w:sz="0" w:space="0" w:color="auto" w:frame="1"/>
            <w:shd w:val="clear" w:color="auto" w:fill="FFFFFF"/>
            <w:lang w:eastAsia="en-US"/>
            <w14:ligatures w14:val="standardContextual"/>
          </w:rPr>
          <w:t>10.13140/RG.2.2.34573.44006</w:t>
        </w:r>
      </w:hyperlink>
      <w:r w:rsidRPr="001A076D">
        <w:rPr>
          <w:rFonts w:eastAsiaTheme="minorHAnsi"/>
          <w:kern w:val="2"/>
          <w:lang w:eastAsia="en-US"/>
          <w14:ligatures w14:val="standardContextual"/>
        </w:rPr>
        <w:t xml:space="preserve"> </w:t>
      </w:r>
    </w:p>
    <w:p w14:paraId="59C7791B" w14:textId="77777777" w:rsidR="00963A61" w:rsidRPr="001A076D" w:rsidRDefault="00963A61" w:rsidP="00972DD7">
      <w:pPr>
        <w:pStyle w:val="NormalWeb"/>
      </w:pPr>
      <w:r w:rsidRPr="001A076D">
        <w:t xml:space="preserve">Kadarsah, D.R.A.K., Govindaraju, R. and Prihartono, B. (2023) ‘The role of knowledge-oriented leadership in fostering innovation capabilities: The mediating role of data analytics maturity’, </w:t>
      </w:r>
      <w:r w:rsidRPr="001A076D">
        <w:rPr>
          <w:rStyle w:val="Emphasis"/>
          <w:rFonts w:eastAsiaTheme="majorEastAsia"/>
          <w:i w:val="0"/>
          <w:iCs w:val="0"/>
        </w:rPr>
        <w:t>IEEE Access</w:t>
      </w:r>
      <w:r w:rsidRPr="001A076D">
        <w:t xml:space="preserve">, 11, pp. 129683–129702. </w:t>
      </w:r>
      <w:hyperlink r:id="rId53" w:history="1">
        <w:r w:rsidRPr="001A076D">
          <w:rPr>
            <w:rStyle w:val="Hyperlink"/>
            <w:color w:val="auto"/>
          </w:rPr>
          <w:t>https://doi.org/10.1109/ACCESS.2023.3333915</w:t>
        </w:r>
      </w:hyperlink>
      <w:r w:rsidRPr="001A076D">
        <w:t xml:space="preserve"> </w:t>
      </w:r>
    </w:p>
    <w:p w14:paraId="7D05CF48" w14:textId="77777777" w:rsidR="00963A61" w:rsidRPr="001A076D" w:rsidRDefault="00963A61" w:rsidP="00972DD7">
      <w:pPr>
        <w:pStyle w:val="NormalWeb"/>
      </w:pPr>
      <w:proofErr w:type="spellStart"/>
      <w:r w:rsidRPr="001A076D">
        <w:t>Kalleparambil</w:t>
      </w:r>
      <w:proofErr w:type="spellEnd"/>
      <w:r w:rsidRPr="001A076D">
        <w:t xml:space="preserve">, S.A. and </w:t>
      </w:r>
      <w:proofErr w:type="spellStart"/>
      <w:r w:rsidRPr="001A076D">
        <w:t>Akoum</w:t>
      </w:r>
      <w:proofErr w:type="spellEnd"/>
      <w:r w:rsidRPr="001A076D">
        <w:t xml:space="preserve">, M. (2025) ‘AI Organisational Readiness for SMEs: A Tailored Model for AI Adoption Success’, </w:t>
      </w:r>
      <w:r w:rsidRPr="001A076D">
        <w:rPr>
          <w:rStyle w:val="Emphasis"/>
          <w:rFonts w:eastAsiaTheme="majorEastAsia"/>
          <w:i w:val="0"/>
          <w:iCs w:val="0"/>
        </w:rPr>
        <w:t>Journal of Information &amp; Knowledge Management</w:t>
      </w:r>
      <w:r w:rsidRPr="001A076D">
        <w:t>. doi:10.1142/S0219649225500765.</w:t>
      </w:r>
    </w:p>
    <w:p w14:paraId="62EDF5B7" w14:textId="77777777" w:rsidR="00963A61" w:rsidRPr="001A076D" w:rsidRDefault="00963A61" w:rsidP="00972DD7">
      <w:pPr>
        <w:pStyle w:val="NormalWeb"/>
      </w:pPr>
      <w:r w:rsidRPr="001A076D">
        <w:t>Kane, G.C., Palmer, D., Phillips, A.N., Kiron, D. and Buckley, N. (2015) Strategy, Not Technology, Drives Digital Transformation. MIT Sloan Management Review and Deloitte University Press.</w:t>
      </w:r>
    </w:p>
    <w:p w14:paraId="5DF8515C" w14:textId="77777777" w:rsidR="00963A61" w:rsidRPr="001A076D" w:rsidRDefault="00963A61" w:rsidP="00972DD7">
      <w:pPr>
        <w:pStyle w:val="NormalWeb"/>
      </w:pPr>
      <w:r w:rsidRPr="001A076D">
        <w:t xml:space="preserve">Khatri, V. and Brown, C.V. (2010) ‘Designing data governance’, </w:t>
      </w:r>
      <w:r w:rsidRPr="001A076D">
        <w:rPr>
          <w:rStyle w:val="Emphasis"/>
          <w:rFonts w:eastAsiaTheme="majorEastAsia"/>
          <w:i w:val="0"/>
          <w:iCs w:val="0"/>
        </w:rPr>
        <w:t>Communications of the ACM</w:t>
      </w:r>
      <w:r w:rsidRPr="001A076D">
        <w:t xml:space="preserve">, 53(1), pp. 148–152. </w:t>
      </w:r>
      <w:hyperlink r:id="rId54" w:history="1">
        <w:r w:rsidRPr="001A076D">
          <w:rPr>
            <w:rStyle w:val="Hyperlink"/>
            <w:color w:val="auto"/>
          </w:rPr>
          <w:t>https://doi.org/10.1145/1629175.1629210</w:t>
        </w:r>
      </w:hyperlink>
      <w:r w:rsidRPr="001A076D">
        <w:t xml:space="preserve"> </w:t>
      </w:r>
    </w:p>
    <w:p w14:paraId="7375839A" w14:textId="77777777" w:rsidR="00963A61" w:rsidRPr="001A076D" w:rsidRDefault="00963A61" w:rsidP="00972DD7">
      <w:pPr>
        <w:pStyle w:val="NormalWeb"/>
      </w:pPr>
      <w:r w:rsidRPr="001A076D">
        <w:t xml:space="preserve">Kwon, O., Lee, N. and Shin, B. (2014) ‘Data quality management, data usage experience and acquisition intention of big data analytics’, </w:t>
      </w:r>
      <w:r w:rsidRPr="001A076D">
        <w:rPr>
          <w:rStyle w:val="Emphasis"/>
          <w:rFonts w:eastAsiaTheme="majorEastAsia"/>
          <w:i w:val="0"/>
          <w:iCs w:val="0"/>
        </w:rPr>
        <w:t>International Journal of Information Management</w:t>
      </w:r>
      <w:r w:rsidRPr="001A076D">
        <w:t xml:space="preserve">, 34(3), pp. 387–394. </w:t>
      </w:r>
      <w:hyperlink r:id="rId55" w:tgtFrame="_new" w:history="1">
        <w:r w:rsidRPr="001A076D">
          <w:rPr>
            <w:rStyle w:val="Hyperlink"/>
            <w:rFonts w:eastAsiaTheme="majorEastAsia"/>
            <w:color w:val="auto"/>
          </w:rPr>
          <w:t>https://doi.org/10.1016/j.ijinfomgt.2014.02.002</w:t>
        </w:r>
      </w:hyperlink>
    </w:p>
    <w:p w14:paraId="7E46AB5E" w14:textId="77777777" w:rsidR="00963A61" w:rsidRPr="001A076D" w:rsidRDefault="00963A61" w:rsidP="00972DD7">
      <w:pPr>
        <w:pStyle w:val="NormalWeb"/>
      </w:pPr>
      <w:r w:rsidRPr="001A076D">
        <w:lastRenderedPageBreak/>
        <w:t xml:space="preserve">LaValle, S., Lesser, E., Shockley, R., Hopkins, M. and Kruschwitz, N. (2011) ‘Big data, analytics and the path from insights to value’, </w:t>
      </w:r>
      <w:r w:rsidRPr="001A076D">
        <w:rPr>
          <w:rStyle w:val="Emphasis"/>
          <w:rFonts w:eastAsiaTheme="majorEastAsia"/>
          <w:i w:val="0"/>
          <w:iCs w:val="0"/>
        </w:rPr>
        <w:t>MIT Sloan Management Review</w:t>
      </w:r>
      <w:r w:rsidRPr="001A076D">
        <w:t xml:space="preserve">, 52(2), pp. 21–32. Available at: </w:t>
      </w:r>
      <w:hyperlink r:id="rId56" w:tgtFrame="_new" w:history="1">
        <w:r w:rsidRPr="001A076D">
          <w:rPr>
            <w:rStyle w:val="Hyperlink"/>
            <w:rFonts w:eastAsiaTheme="majorEastAsia"/>
            <w:color w:val="auto"/>
          </w:rPr>
          <w:t xml:space="preserve">Big data, </w:t>
        </w:r>
      </w:hyperlink>
    </w:p>
    <w:p w14:paraId="61D93974" w14:textId="77777777" w:rsidR="00963A61" w:rsidRPr="001A076D" w:rsidRDefault="00963A61" w:rsidP="00972DD7">
      <w:pPr>
        <w:pStyle w:val="NormalWeb"/>
      </w:pPr>
      <w:r w:rsidRPr="001A076D">
        <w:t xml:space="preserve">Mashayekhy Rad, S. and Liu, Y. (2023) ‘Barriers to analytics adoption in energy utilities’, </w:t>
      </w:r>
      <w:r w:rsidRPr="001A076D">
        <w:rPr>
          <w:rStyle w:val="Emphasis"/>
          <w:rFonts w:eastAsiaTheme="majorEastAsia"/>
          <w:i w:val="0"/>
          <w:iCs w:val="0"/>
        </w:rPr>
        <w:t>Utilities Policy</w:t>
      </w:r>
      <w:r w:rsidRPr="001A076D">
        <w:t xml:space="preserve">, 81, 101522. </w:t>
      </w:r>
    </w:p>
    <w:p w14:paraId="30CE2297" w14:textId="77777777" w:rsidR="00963A61" w:rsidRPr="001A076D" w:rsidRDefault="00963A61" w:rsidP="00972DD7">
      <w:pPr>
        <w:spacing w:before="100" w:beforeAutospacing="1" w:after="100" w:afterAutospacing="1"/>
      </w:pPr>
      <w:r w:rsidRPr="001A076D">
        <w:t xml:space="preserve">Mayer, R.C., Davis, J.H. and </w:t>
      </w:r>
      <w:proofErr w:type="spellStart"/>
      <w:r w:rsidRPr="001A076D">
        <w:t>Schoorman</w:t>
      </w:r>
      <w:proofErr w:type="spellEnd"/>
      <w:r w:rsidRPr="001A076D">
        <w:t xml:space="preserve">, F.D. (1995) ‘An integrative model of organizational trust’, Academy of Management Review, 20(3), pp. 709–734. </w:t>
      </w:r>
      <w:hyperlink r:id="rId57" w:history="1">
        <w:r w:rsidRPr="001A076D">
          <w:rPr>
            <w:rStyle w:val="Hyperlink"/>
            <w:color w:val="auto"/>
          </w:rPr>
          <w:t>https://www.jstor.org/stable/258792</w:t>
        </w:r>
      </w:hyperlink>
      <w:r w:rsidRPr="001A076D">
        <w:t xml:space="preserve"> </w:t>
      </w:r>
    </w:p>
    <w:p w14:paraId="19B206FF" w14:textId="77777777" w:rsidR="00963A61" w:rsidRPr="001A076D" w:rsidRDefault="00963A61" w:rsidP="00972DD7">
      <w:pPr>
        <w:pStyle w:val="NormalWeb"/>
      </w:pPr>
      <w:r w:rsidRPr="001A076D">
        <w:t xml:space="preserve">McAfee, A. and Brynjolfsson, E. (2012) ‘Big data: The management revolution’, </w:t>
      </w:r>
      <w:r w:rsidRPr="001A076D">
        <w:rPr>
          <w:rStyle w:val="Emphasis"/>
          <w:rFonts w:eastAsiaTheme="majorEastAsia"/>
          <w:i w:val="0"/>
          <w:iCs w:val="0"/>
        </w:rPr>
        <w:t>Harvard Business Review</w:t>
      </w:r>
      <w:r w:rsidRPr="001A076D">
        <w:t xml:space="preserve">, 90(10), pp. 60–68. Available at: </w:t>
      </w:r>
      <w:hyperlink r:id="rId58" w:tgtFrame="_new" w:history="1">
        <w:r w:rsidRPr="001A076D">
          <w:rPr>
            <w:rStyle w:val="Hyperlink"/>
            <w:rFonts w:eastAsiaTheme="majorEastAsia"/>
            <w:color w:val="auto"/>
          </w:rPr>
          <w:t>https://hbr.org/2012/10/big-data-the-management-revolution</w:t>
        </w:r>
      </w:hyperlink>
    </w:p>
    <w:p w14:paraId="1FAC2BC8" w14:textId="77777777" w:rsidR="00963A61" w:rsidRPr="001A076D" w:rsidRDefault="00963A61" w:rsidP="00972DD7">
      <w:pPr>
        <w:pStyle w:val="NormalWeb"/>
      </w:pPr>
      <w:r w:rsidRPr="001A076D">
        <w:t xml:space="preserve">Mehrabi, N., Morstatter, F., Saxena, N., Lerman, K. and Galstyan, A. (2021) ‘A survey on bias and fairness in machine learning’, </w:t>
      </w:r>
      <w:r w:rsidRPr="001A076D">
        <w:rPr>
          <w:rStyle w:val="Emphasis"/>
          <w:rFonts w:eastAsiaTheme="majorEastAsia"/>
          <w:i w:val="0"/>
          <w:iCs w:val="0"/>
        </w:rPr>
        <w:t>ACM Computing Surveys</w:t>
      </w:r>
      <w:r w:rsidRPr="001A076D">
        <w:t xml:space="preserve">, 54(6), pp. 1–35. </w:t>
      </w:r>
      <w:hyperlink r:id="rId59" w:tgtFrame="_new" w:history="1">
        <w:r w:rsidRPr="001A076D">
          <w:rPr>
            <w:rStyle w:val="Hyperlink"/>
            <w:rFonts w:eastAsiaTheme="majorEastAsia"/>
            <w:color w:val="auto"/>
          </w:rPr>
          <w:t>https://doi.org/10.1145/3457607</w:t>
        </w:r>
      </w:hyperlink>
    </w:p>
    <w:p w14:paraId="2B1848BC" w14:textId="77777777" w:rsidR="00963A61" w:rsidRPr="001A076D" w:rsidRDefault="00963A61" w:rsidP="00972DD7">
      <w:pPr>
        <w:pStyle w:val="NormalWeb"/>
      </w:pPr>
      <w:r w:rsidRPr="001A076D">
        <w:t xml:space="preserve">Mokhtar, N.M. and Azmi, N.F.M. (2025) ‘A Holistic Framework for Data Governance: Advancing Data-Driven Decision-Making in Organizations’, 2025 International Conference on Artificial Intelligence for Sustainable Innovation (AI-SI). Available at: </w:t>
      </w:r>
      <w:hyperlink r:id="rId60" w:tgtFrame="_new" w:history="1">
        <w:r w:rsidRPr="001A076D">
          <w:rPr>
            <w:rStyle w:val="Hyperlink"/>
            <w:color w:val="auto"/>
          </w:rPr>
          <w:t>https://doi.org/10.1109/AI-SI66213.2025.11341381</w:t>
        </w:r>
      </w:hyperlink>
    </w:p>
    <w:p w14:paraId="5DAB2D29" w14:textId="77777777" w:rsidR="00963A61" w:rsidRPr="001A076D" w:rsidRDefault="00963A61" w:rsidP="00972DD7">
      <w:pPr>
        <w:spacing w:before="100" w:beforeAutospacing="1" w:after="100" w:afterAutospacing="1"/>
      </w:pPr>
      <w:r w:rsidRPr="001A076D">
        <w:t>Morgan, D. L. (2014). Pragmatism as a Paradigm for Social Research. Qualitative Inquiry, 20(8), 1045-1053. Available at: </w:t>
      </w:r>
      <w:hyperlink r:id="rId61" w:history="1">
        <w:r w:rsidRPr="001A076D">
          <w:rPr>
            <w:rStyle w:val="Hyperlink"/>
            <w:color w:val="auto"/>
          </w:rPr>
          <w:t>https://doi.org/10.1177/1077800413513733</w:t>
        </w:r>
      </w:hyperlink>
      <w:r w:rsidRPr="001A076D">
        <w:t> (Original work published 2014)</w:t>
      </w:r>
    </w:p>
    <w:p w14:paraId="0AF06812" w14:textId="77777777" w:rsidR="00963A61" w:rsidRPr="001A076D" w:rsidRDefault="00963A61" w:rsidP="00972DD7">
      <w:pPr>
        <w:pStyle w:val="NormalWeb"/>
      </w:pPr>
      <w:r w:rsidRPr="001A076D">
        <w:t xml:space="preserve">National Grid (2023) Harnessing Predictive Analytics for Smarter Energy Systems: Annual Digitalisation Report 2023. National Grid plc. Available at: </w:t>
      </w:r>
      <w:hyperlink r:id="rId62" w:history="1">
        <w:r w:rsidRPr="001A076D">
          <w:rPr>
            <w:rStyle w:val="Hyperlink"/>
            <w:color w:val="auto"/>
          </w:rPr>
          <w:t>https://www.nationalgrid.com/document/151041/download</w:t>
        </w:r>
      </w:hyperlink>
      <w:r w:rsidRPr="001A076D">
        <w:t xml:space="preserve">  (Accessed: 2 December 2025).</w:t>
      </w:r>
    </w:p>
    <w:p w14:paraId="43D53CC7" w14:textId="77777777" w:rsidR="00963A61" w:rsidRPr="001A076D" w:rsidRDefault="00963A61" w:rsidP="00972DD7">
      <w:pPr>
        <w:pStyle w:val="NormalWeb"/>
      </w:pPr>
      <w:r w:rsidRPr="001A076D">
        <w:t xml:space="preserve">National Grid. (2024) National Grid Digitalisation Strategy and Action Plan 2024. Available at:  </w:t>
      </w:r>
      <w:hyperlink r:id="rId63" w:history="1">
        <w:r w:rsidRPr="001A076D">
          <w:rPr>
            <w:rStyle w:val="Hyperlink"/>
            <w:color w:val="auto"/>
          </w:rPr>
          <w:t>https://www.nationalgrid.com/electricity-transmission/about-us/digitalisation-strategy-and-action-plan</w:t>
        </w:r>
      </w:hyperlink>
      <w:r w:rsidRPr="001A076D">
        <w:t xml:space="preserve">  (Accessed: 25 November 2025).</w:t>
      </w:r>
    </w:p>
    <w:p w14:paraId="668967A5" w14:textId="77777777" w:rsidR="00963A61" w:rsidRPr="001A076D" w:rsidRDefault="00963A61" w:rsidP="00972DD7">
      <w:pPr>
        <w:pStyle w:val="NormalWeb"/>
      </w:pPr>
      <w:r w:rsidRPr="001A076D">
        <w:t xml:space="preserve">Nechita, R., </w:t>
      </w:r>
      <w:proofErr w:type="spellStart"/>
      <w:r w:rsidRPr="001A076D">
        <w:t>Stochioiu</w:t>
      </w:r>
      <w:proofErr w:type="spellEnd"/>
      <w:r w:rsidRPr="001A076D">
        <w:t xml:space="preserve">, F. and Grecu, I. (2025) ‘Identifying and Prioritising Factors for Effective Decision-Making in Data-Driven Organisations: A DEMATEL Approach’, Systems, 13(8). Available at: </w:t>
      </w:r>
      <w:hyperlink r:id="rId64" w:tgtFrame="_new" w:history="1">
        <w:r w:rsidRPr="001A076D">
          <w:rPr>
            <w:rStyle w:val="Hyperlink"/>
            <w:color w:val="auto"/>
          </w:rPr>
          <w:t>https://doi.org/10.3390/systems13080687</w:t>
        </w:r>
      </w:hyperlink>
    </w:p>
    <w:p w14:paraId="5C4FF99F" w14:textId="43D75A2F" w:rsidR="00963A61" w:rsidRPr="001A076D" w:rsidRDefault="00963A61" w:rsidP="00972DD7">
      <w:pPr>
        <w:pStyle w:val="NormalWeb"/>
      </w:pPr>
      <w:r w:rsidRPr="001A076D">
        <w:t>Ofgem (2023</w:t>
      </w:r>
      <w:r w:rsidR="00E23533" w:rsidRPr="001A076D">
        <w:t>a</w:t>
      </w:r>
      <w:r w:rsidRPr="001A076D">
        <w:t xml:space="preserve">) Digitalisation Strategy and Action Plan. London: Office of Gas and Electricity Markets. </w:t>
      </w:r>
      <w:hyperlink r:id="rId65" w:history="1">
        <w:r w:rsidRPr="001A076D">
          <w:rPr>
            <w:rStyle w:val="Hyperlink"/>
            <w:color w:val="auto"/>
          </w:rPr>
          <w:t>Digitalisation Strategy and Action Plan</w:t>
        </w:r>
      </w:hyperlink>
      <w:r w:rsidRPr="001A076D">
        <w:t xml:space="preserve">  (Accessed: 10 December 2025).</w:t>
      </w:r>
    </w:p>
    <w:p w14:paraId="032837A9" w14:textId="37AB865B" w:rsidR="00963A61" w:rsidRPr="001A076D" w:rsidRDefault="00963A61" w:rsidP="00972DD7">
      <w:pPr>
        <w:pStyle w:val="NormalWeb"/>
      </w:pPr>
      <w:r w:rsidRPr="001A076D">
        <w:t>Ofgem (2023</w:t>
      </w:r>
      <w:r w:rsidR="00E23533" w:rsidRPr="001A076D">
        <w:t>b</w:t>
      </w:r>
      <w:r w:rsidRPr="001A076D">
        <w:t xml:space="preserve">). Unlocking Energy Data for Consumers – Policy Statement. Office of Gas and Electricity Markets (UK). </w:t>
      </w:r>
      <w:hyperlink r:id="rId66" w:history="1">
        <w:r w:rsidRPr="001A076D">
          <w:rPr>
            <w:rStyle w:val="Hyperlink"/>
            <w:color w:val="auto"/>
          </w:rPr>
          <w:t>OFGEM</w:t>
        </w:r>
      </w:hyperlink>
      <w:r w:rsidRPr="001A076D">
        <w:t xml:space="preserve"> (Accessed: 11 December 2025).</w:t>
      </w:r>
    </w:p>
    <w:p w14:paraId="38EBFB47" w14:textId="77777777" w:rsidR="00963A61" w:rsidRPr="001A076D" w:rsidRDefault="00963A61" w:rsidP="00972DD7">
      <w:pPr>
        <w:pStyle w:val="NormalWeb"/>
      </w:pPr>
      <w:r w:rsidRPr="001A076D">
        <w:t xml:space="preserve">Ofgem. (2022). Decarbonisation Action Plan. </w:t>
      </w:r>
      <w:hyperlink r:id="rId67" w:history="1">
        <w:r w:rsidRPr="001A076D">
          <w:rPr>
            <w:rStyle w:val="Hyperlink"/>
            <w:color w:val="auto"/>
          </w:rPr>
          <w:t>Decarbonisation</w:t>
        </w:r>
      </w:hyperlink>
      <w:r w:rsidRPr="001A076D">
        <w:t xml:space="preserve"> (Accessed: 10 December 2025).</w:t>
      </w:r>
    </w:p>
    <w:p w14:paraId="5013A511" w14:textId="77777777" w:rsidR="00963A61" w:rsidRPr="001A076D" w:rsidRDefault="00963A61" w:rsidP="00972DD7">
      <w:pPr>
        <w:pStyle w:val="NormalWeb"/>
      </w:pPr>
      <w:r w:rsidRPr="001A076D">
        <w:t xml:space="preserve">Ofgem. (2023) Review of Digitalisation Strategies in UK Energy Networks 2023. London: Office of Gas and Electricity Markets. Available at: </w:t>
      </w:r>
      <w:hyperlink r:id="rId68" w:history="1">
        <w:r w:rsidRPr="001A076D">
          <w:rPr>
            <w:rStyle w:val="Hyperlink"/>
            <w:color w:val="auto"/>
          </w:rPr>
          <w:t xml:space="preserve">Digitalisation Strategies </w:t>
        </w:r>
      </w:hyperlink>
      <w:r w:rsidRPr="001A076D">
        <w:t xml:space="preserve">  (Accessed: 27 November 2025).</w:t>
      </w:r>
    </w:p>
    <w:p w14:paraId="1CB05897" w14:textId="77777777" w:rsidR="00963A61" w:rsidRPr="001A076D" w:rsidRDefault="00963A61" w:rsidP="00972DD7">
      <w:pPr>
        <w:pStyle w:val="NormalWeb"/>
      </w:pPr>
      <w:r w:rsidRPr="001A076D">
        <w:lastRenderedPageBreak/>
        <w:t>Olajiga, O.K., Olu-</w:t>
      </w:r>
      <w:proofErr w:type="spellStart"/>
      <w:r w:rsidRPr="001A076D">
        <w:t>lawal</w:t>
      </w:r>
      <w:proofErr w:type="spellEnd"/>
      <w:r w:rsidRPr="001A076D">
        <w:t xml:space="preserve">, K.A., Usman, F.O. and </w:t>
      </w:r>
      <w:proofErr w:type="spellStart"/>
      <w:r w:rsidRPr="001A076D">
        <w:t>Ninduwezuor</w:t>
      </w:r>
      <w:proofErr w:type="spellEnd"/>
      <w:r w:rsidRPr="001A076D">
        <w:t xml:space="preserve">-Ehiobu, N. (2024) ‘Data analytics in energy corporations: Conceptual framework for strategic business outcomes’, </w:t>
      </w:r>
      <w:r w:rsidRPr="001A076D">
        <w:rPr>
          <w:rStyle w:val="Emphasis"/>
          <w:rFonts w:eastAsiaTheme="majorEastAsia"/>
          <w:i w:val="0"/>
          <w:iCs w:val="0"/>
        </w:rPr>
        <w:t>World Journal of Advanced Research and Reviews</w:t>
      </w:r>
      <w:r w:rsidRPr="001A076D">
        <w:t>. doi:10.30574/wjarr.2024.21.3.0783.</w:t>
      </w:r>
    </w:p>
    <w:p w14:paraId="34436369" w14:textId="77777777" w:rsidR="00963A61" w:rsidRPr="001A076D" w:rsidRDefault="00963A61" w:rsidP="00972DD7">
      <w:pPr>
        <w:pStyle w:val="NormalWeb"/>
      </w:pPr>
      <w:r w:rsidRPr="001A076D">
        <w:t xml:space="preserve">Olayinka, O.H. (2019) Leveraging predictive analytics and machine learning for strategic business decision-making and competitive advantage. International Journal of Computer Applications Technology and Research, 8(12), pp. 473–486. ISSN 2319-8656. Available at: </w:t>
      </w:r>
      <w:hyperlink r:id="rId69" w:tgtFrame="_new" w:history="1">
        <w:r w:rsidRPr="001A076D">
          <w:rPr>
            <w:rStyle w:val="Hyperlink"/>
            <w:color w:val="auto"/>
          </w:rPr>
          <w:t>https://www.ijcat.com</w:t>
        </w:r>
      </w:hyperlink>
    </w:p>
    <w:p w14:paraId="184982B9" w14:textId="77777777" w:rsidR="00963A61" w:rsidRPr="001A076D" w:rsidRDefault="00963A61" w:rsidP="00972DD7">
      <w:pPr>
        <w:pStyle w:val="NormalWeb"/>
      </w:pPr>
      <w:r w:rsidRPr="001A076D">
        <w:t xml:space="preserve">Otto, B. (2011) ‘Organizing data governance: Findings from the telecommunications industry’, </w:t>
      </w:r>
      <w:r w:rsidRPr="001A076D">
        <w:rPr>
          <w:rStyle w:val="Emphasis"/>
          <w:rFonts w:eastAsiaTheme="majorEastAsia"/>
          <w:i w:val="0"/>
          <w:iCs w:val="0"/>
        </w:rPr>
        <w:t>Communications of the Association for Information Systems</w:t>
      </w:r>
      <w:r w:rsidRPr="001A076D">
        <w:t xml:space="preserve">, 29(1), pp. 45–66. </w:t>
      </w:r>
      <w:hyperlink r:id="rId70" w:tgtFrame="_new" w:history="1">
        <w:r w:rsidRPr="001A076D">
          <w:rPr>
            <w:rStyle w:val="Hyperlink"/>
            <w:rFonts w:eastAsiaTheme="majorEastAsia"/>
            <w:color w:val="auto"/>
          </w:rPr>
          <w:t>https://doi.org/10.17705/1CAIS.02903</w:t>
        </w:r>
      </w:hyperlink>
    </w:p>
    <w:p w14:paraId="5728A2EF" w14:textId="77777777" w:rsidR="00963A61" w:rsidRPr="001A076D" w:rsidRDefault="00963A61" w:rsidP="00972DD7">
      <w:pPr>
        <w:pStyle w:val="NormalWeb"/>
      </w:pPr>
      <w:r w:rsidRPr="001A076D">
        <w:t xml:space="preserve">Provost, F. and Fawcett, T. (2013) </w:t>
      </w:r>
      <w:r w:rsidRPr="001A076D">
        <w:rPr>
          <w:rStyle w:val="Emphasis"/>
          <w:rFonts w:eastAsiaTheme="majorEastAsia"/>
          <w:i w:val="0"/>
          <w:iCs w:val="0"/>
        </w:rPr>
        <w:t>Data Science for Business</w:t>
      </w:r>
      <w:r w:rsidRPr="001A076D">
        <w:t xml:space="preserve">. Sebastopol, CA: O’Reilly Media. </w:t>
      </w:r>
      <w:hyperlink r:id="rId71" w:history="1">
        <w:r w:rsidRPr="001A076D">
          <w:rPr>
            <w:rStyle w:val="Hyperlink"/>
            <w:color w:val="auto"/>
          </w:rPr>
          <w:t>Data Science for Business</w:t>
        </w:r>
      </w:hyperlink>
      <w:r w:rsidRPr="001A076D">
        <w:t xml:space="preserve"> </w:t>
      </w:r>
    </w:p>
    <w:p w14:paraId="4CFF9FB6" w14:textId="77777777" w:rsidR="00963A61" w:rsidRPr="001A076D" w:rsidRDefault="00963A61" w:rsidP="00972DD7">
      <w:pPr>
        <w:pStyle w:val="NormalWeb"/>
      </w:pPr>
      <w:r w:rsidRPr="001A076D">
        <w:t xml:space="preserve">Rahman, M.M. (2025) ‘Data Analytics for Strategic Business Development: A Systematic Review </w:t>
      </w:r>
      <w:proofErr w:type="spellStart"/>
      <w:r w:rsidRPr="001A076D">
        <w:t>Analyzing</w:t>
      </w:r>
      <w:proofErr w:type="spellEnd"/>
      <w:r w:rsidRPr="001A076D">
        <w:t xml:space="preserve"> Its Role in Informing Decisions, Optimizing Processes, and Driving Growth’, Journal of Sustainable Development and Policy. Available at: </w:t>
      </w:r>
      <w:hyperlink r:id="rId72" w:tgtFrame="_new" w:history="1">
        <w:r w:rsidRPr="001A076D">
          <w:rPr>
            <w:rStyle w:val="Hyperlink"/>
            <w:color w:val="auto"/>
          </w:rPr>
          <w:t>https://doi.org/10.63125/he1tfg25</w:t>
        </w:r>
      </w:hyperlink>
    </w:p>
    <w:p w14:paraId="059EF0BF" w14:textId="77777777" w:rsidR="00963A61" w:rsidRPr="001A076D" w:rsidRDefault="00963A61" w:rsidP="00972DD7">
      <w:pPr>
        <w:pStyle w:val="NormalWeb"/>
      </w:pPr>
      <w:r w:rsidRPr="001A076D">
        <w:t xml:space="preserve">Redman, T.C. (2018) </w:t>
      </w:r>
      <w:r w:rsidRPr="001A076D">
        <w:rPr>
          <w:rStyle w:val="Emphasis"/>
          <w:rFonts w:eastAsiaTheme="majorEastAsia"/>
          <w:i w:val="0"/>
          <w:iCs w:val="0"/>
        </w:rPr>
        <w:t>Data Driven: Profiting from Your Most Important Business Asset</w:t>
      </w:r>
      <w:r w:rsidRPr="001A076D">
        <w:t xml:space="preserve">. Boston: Harvard Business Review Press. </w:t>
      </w:r>
      <w:hyperlink r:id="rId73" w:history="1">
        <w:r w:rsidRPr="001A076D">
          <w:rPr>
            <w:rStyle w:val="Hyperlink"/>
            <w:color w:val="auto"/>
          </w:rPr>
          <w:t>Data Driven</w:t>
        </w:r>
      </w:hyperlink>
      <w:r w:rsidRPr="001A076D">
        <w:t xml:space="preserve"> </w:t>
      </w:r>
    </w:p>
    <w:p w14:paraId="6D8ABC1E" w14:textId="77777777" w:rsidR="00963A61" w:rsidRPr="001A076D" w:rsidRDefault="00963A61" w:rsidP="00972DD7">
      <w:pPr>
        <w:pStyle w:val="NormalWeb"/>
      </w:pPr>
      <w:r w:rsidRPr="001A076D">
        <w:t xml:space="preserve">Rodriguez, M., Sharma, R. and Hall, D. (2024) ‘Balancing agility and control in analytics governance’, </w:t>
      </w:r>
      <w:r w:rsidRPr="001A076D">
        <w:rPr>
          <w:rStyle w:val="Emphasis"/>
          <w:rFonts w:eastAsiaTheme="majorEastAsia"/>
          <w:i w:val="0"/>
          <w:iCs w:val="0"/>
        </w:rPr>
        <w:t>Journal of Strategic Information Systems</w:t>
      </w:r>
      <w:r w:rsidRPr="001A076D">
        <w:t xml:space="preserve">, 33(1), 101789. </w:t>
      </w:r>
      <w:hyperlink r:id="rId74" w:history="1">
        <w:r w:rsidRPr="001A076D">
          <w:rPr>
            <w:rStyle w:val="Hyperlink"/>
            <w:color w:val="auto"/>
          </w:rPr>
          <w:t>https://doi.org/10.1016/j.jsis.2023.101789</w:t>
        </w:r>
      </w:hyperlink>
      <w:r w:rsidRPr="001A076D">
        <w:t xml:space="preserve"> </w:t>
      </w:r>
    </w:p>
    <w:p w14:paraId="7E5FB7B1" w14:textId="77777777" w:rsidR="00963A61" w:rsidRPr="001A076D" w:rsidRDefault="00963A61" w:rsidP="00972DD7">
      <w:pPr>
        <w:pStyle w:val="NormalWeb"/>
      </w:pPr>
      <w:r w:rsidRPr="001A076D">
        <w:t xml:space="preserve">Rodriguez, M., Sharma, R. and Hall, D. (2024) ‘Hybrid governance models in predictive analytics adoption: An energy sector perspective’, </w:t>
      </w:r>
      <w:r w:rsidRPr="001A076D">
        <w:rPr>
          <w:rStyle w:val="Emphasis"/>
          <w:rFonts w:eastAsiaTheme="majorEastAsia"/>
          <w:i w:val="0"/>
          <w:iCs w:val="0"/>
        </w:rPr>
        <w:t>Technological Forecasting and Social Change</w:t>
      </w:r>
      <w:r w:rsidRPr="001A076D">
        <w:t xml:space="preserve">, 199, 122727. </w:t>
      </w:r>
      <w:hyperlink r:id="rId75" w:history="1">
        <w:r w:rsidRPr="001A076D">
          <w:rPr>
            <w:rStyle w:val="Hyperlink"/>
            <w:color w:val="auto"/>
          </w:rPr>
          <w:t>https://doi.org/10.1016/j.techfore.2023.122727</w:t>
        </w:r>
      </w:hyperlink>
      <w:r w:rsidRPr="001A076D">
        <w:t xml:space="preserve"> </w:t>
      </w:r>
    </w:p>
    <w:p w14:paraId="3916F79D" w14:textId="77777777" w:rsidR="00963A61" w:rsidRPr="001A076D" w:rsidRDefault="00963A61" w:rsidP="00972DD7">
      <w:pPr>
        <w:pStyle w:val="NormalWeb"/>
      </w:pPr>
      <w:r w:rsidRPr="001A076D">
        <w:t xml:space="preserve">Roy, A., Kamal, Y., Raj Kumar, M. and Ahmad, S. (2025) ‘Leveraging strategic analytics to enhance organizational maturity and resilience’, in Kautish, S., Rocha, Á., Gupta, A. and Sawhney, S. (eds.) Strategy analytics for business resilience: theories and practices. Information Systems Engineering and Management, Vol. 33. Cham: Springer, pp. 89–111. </w:t>
      </w:r>
      <w:hyperlink r:id="rId76" w:tgtFrame="_new" w:history="1">
        <w:r w:rsidRPr="001A076D">
          <w:rPr>
            <w:rStyle w:val="Hyperlink"/>
            <w:color w:val="auto"/>
          </w:rPr>
          <w:t>https://doi.org/10.1007/978-3-031-82369-5_6</w:t>
        </w:r>
      </w:hyperlink>
    </w:p>
    <w:p w14:paraId="412614AE" w14:textId="77777777" w:rsidR="00963A61" w:rsidRPr="001A076D" w:rsidRDefault="00963A61" w:rsidP="00972DD7">
      <w:pPr>
        <w:pStyle w:val="NormalWeb"/>
        <w:rPr>
          <w:lang w:val="da-DK"/>
        </w:rPr>
      </w:pPr>
      <w:r w:rsidRPr="001A076D">
        <w:t xml:space="preserve">Roy, S., Mondal, S. and Saha, S. (2025) ‘AI-Driven Predictive Data Analytics for Strategic Decision-Making in Organizations’, Journal of Commerce, Economics &amp; Computer Science. </w:t>
      </w:r>
      <w:proofErr w:type="spellStart"/>
      <w:r w:rsidRPr="001A076D">
        <w:rPr>
          <w:lang w:val="da-DK"/>
        </w:rPr>
        <w:t>Available</w:t>
      </w:r>
      <w:proofErr w:type="spellEnd"/>
      <w:r w:rsidRPr="001A076D">
        <w:rPr>
          <w:lang w:val="da-DK"/>
        </w:rPr>
        <w:t xml:space="preserve"> at: </w:t>
      </w:r>
      <w:hyperlink r:id="rId77" w:tgtFrame="_new" w:history="1">
        <w:r w:rsidRPr="001A076D">
          <w:rPr>
            <w:rStyle w:val="Hyperlink"/>
            <w:color w:val="auto"/>
            <w:lang w:val="da-DK"/>
          </w:rPr>
          <w:t>https://doi.org/10.62823/jcecs/11.04.8479</w:t>
        </w:r>
      </w:hyperlink>
    </w:p>
    <w:p w14:paraId="6CF43E76" w14:textId="77777777" w:rsidR="00963A61" w:rsidRPr="001A076D" w:rsidRDefault="00963A61" w:rsidP="00972DD7">
      <w:pPr>
        <w:pStyle w:val="NormalWeb"/>
      </w:pPr>
      <w:r w:rsidRPr="001A076D">
        <w:rPr>
          <w:lang w:val="da-DK"/>
        </w:rPr>
        <w:t xml:space="preserve">Sami, M.A., et al. </w:t>
      </w:r>
      <w:r w:rsidRPr="001A076D">
        <w:t xml:space="preserve">(2026) ‘Generative AI Adoption in an Energy Company: Exploring Challenges and Use Cases’, </w:t>
      </w:r>
      <w:r w:rsidRPr="001A076D">
        <w:rPr>
          <w:rStyle w:val="Emphasis"/>
          <w:rFonts w:eastAsiaTheme="majorEastAsia"/>
          <w:i w:val="0"/>
          <w:iCs w:val="0"/>
        </w:rPr>
        <w:t>arXiv</w:t>
      </w:r>
      <w:r w:rsidRPr="001A076D">
        <w:t>. doi:10.48550/arXiv.2602.09846.</w:t>
      </w:r>
    </w:p>
    <w:p w14:paraId="710D1A3E" w14:textId="77777777" w:rsidR="00963A61" w:rsidRPr="001A076D" w:rsidRDefault="00963A61" w:rsidP="00972DD7">
      <w:pPr>
        <w:spacing w:before="100" w:beforeAutospacing="1" w:after="100" w:afterAutospacing="1"/>
      </w:pPr>
      <w:r w:rsidRPr="001A076D">
        <w:t xml:space="preserve">Saunders, M., Lewis, P. and Thornhill, A. (2023) Research Methods for Business Students. 9th </w:t>
      </w:r>
      <w:proofErr w:type="spellStart"/>
      <w:r w:rsidRPr="001A076D">
        <w:t>edn</w:t>
      </w:r>
      <w:proofErr w:type="spellEnd"/>
      <w:r w:rsidRPr="001A076D">
        <w:t xml:space="preserve">. Harlow: Pearson. Available at: </w:t>
      </w:r>
      <w:hyperlink r:id="rId78" w:history="1">
        <w:r w:rsidRPr="001A076D">
          <w:rPr>
            <w:rStyle w:val="Hyperlink"/>
            <w:color w:val="auto"/>
          </w:rPr>
          <w:t>Research Methods for Business Students</w:t>
        </w:r>
      </w:hyperlink>
      <w:r w:rsidRPr="001A076D">
        <w:t xml:space="preserve"> </w:t>
      </w:r>
    </w:p>
    <w:p w14:paraId="155A4D19" w14:textId="77777777" w:rsidR="00963A61" w:rsidRPr="001A076D" w:rsidRDefault="00963A61" w:rsidP="00972DD7">
      <w:pPr>
        <w:pStyle w:val="NormalWeb"/>
      </w:pPr>
      <w:r w:rsidRPr="001A076D">
        <w:t xml:space="preserve">Sharma, R., Mithas, S. and Kankanhalli, A. (2014) ‘Transforming decision-making processes: A research agenda for understanding the impact of business analytics’, </w:t>
      </w:r>
      <w:r w:rsidRPr="001A076D">
        <w:rPr>
          <w:rStyle w:val="Emphasis"/>
          <w:rFonts w:eastAsiaTheme="majorEastAsia"/>
          <w:i w:val="0"/>
          <w:iCs w:val="0"/>
        </w:rPr>
        <w:t>European Journal of Information Systems</w:t>
      </w:r>
      <w:r w:rsidRPr="001A076D">
        <w:t xml:space="preserve">, 23(4), pp. 433–441. </w:t>
      </w:r>
      <w:hyperlink r:id="rId79" w:tgtFrame="_new" w:history="1">
        <w:r w:rsidRPr="001A076D">
          <w:rPr>
            <w:rStyle w:val="Hyperlink"/>
            <w:rFonts w:eastAsiaTheme="majorEastAsia"/>
            <w:color w:val="auto"/>
          </w:rPr>
          <w:t>https://doi.org/10.1057/ejis.2014.17</w:t>
        </w:r>
      </w:hyperlink>
    </w:p>
    <w:p w14:paraId="444C761F" w14:textId="77777777" w:rsidR="00963A61" w:rsidRPr="001A076D" w:rsidRDefault="00963A61" w:rsidP="00972DD7">
      <w:pPr>
        <w:pStyle w:val="NormalWeb"/>
      </w:pPr>
      <w:r w:rsidRPr="001A076D">
        <w:lastRenderedPageBreak/>
        <w:t xml:space="preserve">Sharma, R., Mithas, S. and Kankanhalli, A. (2020) ‘Analytics-driven decision-making’, </w:t>
      </w:r>
      <w:r w:rsidRPr="001A076D">
        <w:rPr>
          <w:rStyle w:val="Emphasis"/>
          <w:rFonts w:eastAsiaTheme="majorEastAsia"/>
          <w:i w:val="0"/>
          <w:iCs w:val="0"/>
        </w:rPr>
        <w:t>MIS Quarterly</w:t>
      </w:r>
      <w:r w:rsidRPr="001A076D">
        <w:t xml:space="preserve">, 44(1), pp. 17–44. </w:t>
      </w:r>
      <w:hyperlink r:id="rId80" w:history="1">
        <w:r w:rsidRPr="001A076D">
          <w:rPr>
            <w:rStyle w:val="Hyperlink"/>
            <w:color w:val="auto"/>
          </w:rPr>
          <w:t>https://doi.org/10.25300/MISQ/2020/14181</w:t>
        </w:r>
      </w:hyperlink>
      <w:r w:rsidRPr="001A076D">
        <w:t xml:space="preserve"> </w:t>
      </w:r>
    </w:p>
    <w:p w14:paraId="28B6E5BD" w14:textId="77777777" w:rsidR="00963A61" w:rsidRPr="001A076D" w:rsidRDefault="00963A61" w:rsidP="00972DD7">
      <w:pPr>
        <w:pStyle w:val="NormalWeb"/>
      </w:pPr>
      <w:r w:rsidRPr="001A076D">
        <w:t xml:space="preserve">Shmueli, G. and Koppius, O.R. (2011) ‘Predictive analytics in information systems research’, </w:t>
      </w:r>
      <w:r w:rsidRPr="001A076D">
        <w:rPr>
          <w:rStyle w:val="Emphasis"/>
          <w:rFonts w:eastAsiaTheme="majorEastAsia"/>
          <w:i w:val="0"/>
          <w:iCs w:val="0"/>
        </w:rPr>
        <w:t>MIS Quarterly</w:t>
      </w:r>
      <w:r w:rsidRPr="001A076D">
        <w:t xml:space="preserve">, 35(3), pp. 553–572. </w:t>
      </w:r>
      <w:hyperlink r:id="rId81" w:history="1">
        <w:r w:rsidRPr="001A076D">
          <w:rPr>
            <w:rStyle w:val="Hyperlink"/>
            <w:color w:val="auto"/>
          </w:rPr>
          <w:t xml:space="preserve">Predictive analytics </w:t>
        </w:r>
      </w:hyperlink>
      <w:r w:rsidRPr="001A076D">
        <w:t xml:space="preserve"> </w:t>
      </w:r>
    </w:p>
    <w:p w14:paraId="0B9839FD" w14:textId="77777777" w:rsidR="00963A61" w:rsidRPr="001A076D" w:rsidRDefault="00963A61" w:rsidP="00972DD7">
      <w:pPr>
        <w:pStyle w:val="NormalWeb"/>
      </w:pPr>
      <w:r w:rsidRPr="001A076D">
        <w:t xml:space="preserve">Singh, J. (2026) ‘Ethical AI Adoption in Business Analytics: Perceptions, Risks, and Organizational Readiness’, American Journal of Technology, 5(4). Available at: </w:t>
      </w:r>
      <w:hyperlink r:id="rId82" w:tgtFrame="_new" w:history="1">
        <w:r w:rsidRPr="001A076D">
          <w:rPr>
            <w:rStyle w:val="Hyperlink"/>
            <w:color w:val="auto"/>
          </w:rPr>
          <w:t>https://doi.org/10.58425/ajt.v5i4.523</w:t>
        </w:r>
      </w:hyperlink>
    </w:p>
    <w:p w14:paraId="019D6634" w14:textId="77777777" w:rsidR="00963A61" w:rsidRPr="001A076D" w:rsidRDefault="00963A61" w:rsidP="00972DD7">
      <w:pPr>
        <w:pStyle w:val="NormalWeb"/>
      </w:pPr>
      <w:r w:rsidRPr="001A076D">
        <w:t xml:space="preserve">Smith, J. (2020) ‘Algorithms and intuition: Maintaining the balance in data-driven decisions’, </w:t>
      </w:r>
      <w:r w:rsidRPr="001A076D">
        <w:rPr>
          <w:rStyle w:val="Emphasis"/>
          <w:rFonts w:eastAsiaTheme="majorEastAsia"/>
          <w:i w:val="0"/>
          <w:iCs w:val="0"/>
        </w:rPr>
        <w:t>Journal of Business Ethics</w:t>
      </w:r>
      <w:r w:rsidRPr="001A076D">
        <w:t xml:space="preserve">, 162(2), pp. 307–323. </w:t>
      </w:r>
      <w:hyperlink r:id="rId83" w:history="1">
        <w:r w:rsidRPr="001A076D">
          <w:rPr>
            <w:rStyle w:val="Hyperlink"/>
            <w:color w:val="auto"/>
          </w:rPr>
          <w:t>https://doi.org/10.1007/s10551-018-3972-8</w:t>
        </w:r>
      </w:hyperlink>
      <w:r w:rsidRPr="001A076D">
        <w:t xml:space="preserve">  </w:t>
      </w:r>
    </w:p>
    <w:p w14:paraId="0E668EFE" w14:textId="77777777" w:rsidR="00963A61" w:rsidRPr="001A076D" w:rsidRDefault="00963A61" w:rsidP="00972DD7">
      <w:pPr>
        <w:pStyle w:val="NormalWeb"/>
      </w:pPr>
      <w:r w:rsidRPr="001A076D">
        <w:t xml:space="preserve">SSE PLC (2024a) Net Zero Acceleration Programme Plus Overview. Perth: SSE PLC. Available at: </w:t>
      </w:r>
      <w:hyperlink r:id="rId84" w:history="1">
        <w:r w:rsidRPr="001A076D">
          <w:rPr>
            <w:rStyle w:val="Hyperlink"/>
            <w:color w:val="auto"/>
          </w:rPr>
          <w:t xml:space="preserve">Net Zero </w:t>
        </w:r>
      </w:hyperlink>
      <w:r w:rsidRPr="001A076D">
        <w:t xml:space="preserve"> (Accessed: 29 November 2025).</w:t>
      </w:r>
    </w:p>
    <w:p w14:paraId="0F885F4C" w14:textId="77777777" w:rsidR="00963A61" w:rsidRPr="001A076D" w:rsidRDefault="00963A61" w:rsidP="00972DD7">
      <w:pPr>
        <w:pStyle w:val="NormalWeb"/>
      </w:pPr>
      <w:r w:rsidRPr="001A076D">
        <w:t xml:space="preserve">SSE PLC (2024b) Annual Report and Accounts 2024. Perth: SSE PLC. Available at: </w:t>
      </w:r>
      <w:hyperlink r:id="rId85" w:history="1">
        <w:r w:rsidRPr="001A076D">
          <w:rPr>
            <w:rStyle w:val="Hyperlink"/>
            <w:color w:val="auto"/>
          </w:rPr>
          <w:t xml:space="preserve">Annual Report </w:t>
        </w:r>
      </w:hyperlink>
      <w:r w:rsidRPr="001A076D">
        <w:t xml:space="preserve">  (Accessed: 22 November 2025).</w:t>
      </w:r>
    </w:p>
    <w:p w14:paraId="7DBCAE5A" w14:textId="6CE9983A" w:rsidR="00963A61" w:rsidRPr="001A076D" w:rsidRDefault="00963A61" w:rsidP="00972DD7">
      <w:pPr>
        <w:pStyle w:val="NormalWeb"/>
      </w:pPr>
      <w:r w:rsidRPr="001A076D">
        <w:t xml:space="preserve">SSE PLC (2024c) Sustainability Report 2024. Perth: SSE PLC. Available at: </w:t>
      </w:r>
      <w:hyperlink r:id="rId86" w:history="1">
        <w:r w:rsidRPr="001A076D">
          <w:rPr>
            <w:rStyle w:val="Hyperlink"/>
            <w:color w:val="auto"/>
          </w:rPr>
          <w:t>https://www.sse.com/sustainability/</w:t>
        </w:r>
      </w:hyperlink>
      <w:r w:rsidRPr="001A076D">
        <w:t xml:space="preserve">  (Accessed: </w:t>
      </w:r>
      <w:r w:rsidR="00E728E0" w:rsidRPr="001A076D">
        <w:t>2</w:t>
      </w:r>
      <w:r w:rsidRPr="001A076D">
        <w:t xml:space="preserve"> December 2025).</w:t>
      </w:r>
    </w:p>
    <w:p w14:paraId="4A799CAE" w14:textId="77777777" w:rsidR="00963A61" w:rsidRPr="001A076D" w:rsidRDefault="00963A61" w:rsidP="00972DD7">
      <w:pPr>
        <w:pStyle w:val="NormalWeb"/>
        <w:rPr>
          <w:lang w:val="it-IT"/>
        </w:rPr>
      </w:pPr>
      <w:r w:rsidRPr="001A076D">
        <w:rPr>
          <w:lang w:val="it-IT"/>
        </w:rPr>
        <w:t xml:space="preserve">SSE PLC (2024d) Data Strategy 2024–2027. </w:t>
      </w:r>
      <w:proofErr w:type="spellStart"/>
      <w:r w:rsidRPr="001A076D">
        <w:rPr>
          <w:lang w:val="it-IT"/>
        </w:rPr>
        <w:t>Internal</w:t>
      </w:r>
      <w:proofErr w:type="spellEnd"/>
      <w:r w:rsidRPr="001A076D">
        <w:rPr>
          <w:lang w:val="it-IT"/>
        </w:rPr>
        <w:t xml:space="preserve"> </w:t>
      </w:r>
      <w:proofErr w:type="spellStart"/>
      <w:r w:rsidRPr="001A076D">
        <w:rPr>
          <w:lang w:val="it-IT"/>
        </w:rPr>
        <w:t>document</w:t>
      </w:r>
      <w:proofErr w:type="spellEnd"/>
      <w:r w:rsidRPr="001A076D">
        <w:rPr>
          <w:lang w:val="it-IT"/>
        </w:rPr>
        <w:t>, Perth: SSE PLC. (</w:t>
      </w:r>
      <w:proofErr w:type="spellStart"/>
      <w:r w:rsidRPr="001A076D">
        <w:rPr>
          <w:lang w:val="it-IT"/>
        </w:rPr>
        <w:t>Accessed</w:t>
      </w:r>
      <w:proofErr w:type="spellEnd"/>
      <w:r w:rsidRPr="001A076D">
        <w:rPr>
          <w:lang w:val="it-IT"/>
        </w:rPr>
        <w:t>: 5 December 2025).</w:t>
      </w:r>
    </w:p>
    <w:p w14:paraId="367CA989" w14:textId="77777777" w:rsidR="00963A61" w:rsidRPr="001A076D" w:rsidRDefault="00963A61" w:rsidP="00972DD7">
      <w:pPr>
        <w:pStyle w:val="NormalWeb"/>
      </w:pPr>
      <w:r w:rsidRPr="001A076D">
        <w:rPr>
          <w:lang w:val="it-IT"/>
        </w:rPr>
        <w:t xml:space="preserve">SSE PLC. (2024) SSE </w:t>
      </w:r>
      <w:proofErr w:type="spellStart"/>
      <w:r w:rsidRPr="001A076D">
        <w:rPr>
          <w:lang w:val="it-IT"/>
        </w:rPr>
        <w:t>Annual</w:t>
      </w:r>
      <w:proofErr w:type="spellEnd"/>
      <w:r w:rsidRPr="001A076D">
        <w:rPr>
          <w:lang w:val="it-IT"/>
        </w:rPr>
        <w:t xml:space="preserve"> Report 2024 and </w:t>
      </w:r>
      <w:proofErr w:type="spellStart"/>
      <w:r w:rsidRPr="001A076D">
        <w:rPr>
          <w:lang w:val="it-IT"/>
        </w:rPr>
        <w:t>Digitalisation</w:t>
      </w:r>
      <w:proofErr w:type="spellEnd"/>
      <w:r w:rsidRPr="001A076D">
        <w:rPr>
          <w:lang w:val="it-IT"/>
        </w:rPr>
        <w:t xml:space="preserve"> Strategy Updates. </w:t>
      </w:r>
      <w:r w:rsidRPr="001A076D">
        <w:t xml:space="preserve">Available at: </w:t>
      </w:r>
      <w:hyperlink r:id="rId87" w:history="1">
        <w:r w:rsidRPr="001A076D">
          <w:rPr>
            <w:rStyle w:val="Hyperlink"/>
            <w:color w:val="auto"/>
          </w:rPr>
          <w:t>https://www.sse.com/investors/reportsresults/</w:t>
        </w:r>
      </w:hyperlink>
      <w:r w:rsidRPr="001A076D">
        <w:t xml:space="preserve">  (Accessed: 26 November 2025).</w:t>
      </w:r>
    </w:p>
    <w:p w14:paraId="6780BCF1" w14:textId="77777777" w:rsidR="00963A61" w:rsidRPr="001A076D" w:rsidRDefault="00963A61" w:rsidP="00972DD7">
      <w:pPr>
        <w:spacing w:before="100" w:beforeAutospacing="1" w:after="100" w:afterAutospacing="1"/>
      </w:pPr>
      <w:r w:rsidRPr="001A076D">
        <w:t xml:space="preserve">Stake, R.E. (1995) The Art of Case Study Research. Thousand Oaks, CA: Sage. Available at: </w:t>
      </w:r>
      <w:hyperlink r:id="rId88" w:history="1">
        <w:r w:rsidRPr="001A076D">
          <w:rPr>
            <w:rStyle w:val="Hyperlink"/>
            <w:color w:val="auto"/>
          </w:rPr>
          <w:t>The Art of Case Study Research</w:t>
        </w:r>
      </w:hyperlink>
      <w:r w:rsidRPr="001A076D">
        <w:t xml:space="preserve"> </w:t>
      </w:r>
    </w:p>
    <w:p w14:paraId="50DD5107" w14:textId="77777777" w:rsidR="00963A61" w:rsidRPr="001A076D" w:rsidRDefault="00963A61" w:rsidP="00972DD7">
      <w:pPr>
        <w:pStyle w:val="NormalWeb"/>
      </w:pPr>
      <w:r w:rsidRPr="001A076D">
        <w:t xml:space="preserve">Suchman, M.C. (1995) ‘Managing legitimacy: Strategic and institutional approaches’, </w:t>
      </w:r>
      <w:r w:rsidRPr="001A076D">
        <w:rPr>
          <w:rStyle w:val="Emphasis"/>
          <w:rFonts w:eastAsiaTheme="majorEastAsia"/>
          <w:i w:val="0"/>
          <w:iCs w:val="0"/>
        </w:rPr>
        <w:t>Academy of Management Review</w:t>
      </w:r>
      <w:r w:rsidRPr="001A076D">
        <w:t>, 20(3), pp. 571–610.</w:t>
      </w:r>
    </w:p>
    <w:p w14:paraId="557A4D76" w14:textId="77777777" w:rsidR="00963A61" w:rsidRPr="001A076D" w:rsidRDefault="00963A61" w:rsidP="00972DD7">
      <w:pPr>
        <w:pStyle w:val="NormalWeb"/>
      </w:pPr>
      <w:proofErr w:type="spellStart"/>
      <w:r w:rsidRPr="001A076D">
        <w:t>Supriyono</w:t>
      </w:r>
      <w:proofErr w:type="spellEnd"/>
      <w:r w:rsidRPr="001A076D">
        <w:t xml:space="preserve">, M., Fadly, M., </w:t>
      </w:r>
      <w:proofErr w:type="spellStart"/>
      <w:r w:rsidRPr="001A076D">
        <w:t>Prasetiyanto</w:t>
      </w:r>
      <w:proofErr w:type="spellEnd"/>
      <w:r w:rsidRPr="001A076D">
        <w:t xml:space="preserve">, D. and Jayanti, R.D. (2024) ‘Bridging ESG and SDGs Clean Air and Water Through CSR Committee: A New Pathway for Sustainability in the Utility Sector’, </w:t>
      </w:r>
      <w:r w:rsidRPr="001A076D">
        <w:rPr>
          <w:rStyle w:val="Emphasis"/>
          <w:rFonts w:eastAsiaTheme="majorEastAsia"/>
          <w:i w:val="0"/>
          <w:iCs w:val="0"/>
        </w:rPr>
        <w:t xml:space="preserve">Journal of </w:t>
      </w:r>
      <w:proofErr w:type="spellStart"/>
      <w:r w:rsidRPr="001A076D">
        <w:rPr>
          <w:rStyle w:val="Emphasis"/>
          <w:rFonts w:eastAsiaTheme="majorEastAsia"/>
          <w:i w:val="0"/>
          <w:iCs w:val="0"/>
        </w:rPr>
        <w:t>Ecohumanism</w:t>
      </w:r>
      <w:proofErr w:type="spellEnd"/>
      <w:r w:rsidRPr="001A076D">
        <w:t>. doi:10.62754/joe.v3i7.4474.</w:t>
      </w:r>
    </w:p>
    <w:p w14:paraId="4FFA927D" w14:textId="77777777" w:rsidR="00963A61" w:rsidRPr="001A076D" w:rsidRDefault="00963A61" w:rsidP="00972DD7">
      <w:pPr>
        <w:pStyle w:val="NormalWeb"/>
      </w:pPr>
      <w:proofErr w:type="spellStart"/>
      <w:r w:rsidRPr="001A076D">
        <w:t>Tazkarji</w:t>
      </w:r>
      <w:proofErr w:type="spellEnd"/>
      <w:r w:rsidRPr="001A076D">
        <w:t xml:space="preserve">, M., Chou, C.-H. and Hamadeh, G. (2026) ‘Prioritizing barriers to AI adoption in healthcare enterprise systems: a mixed-methods approach to governance and readiness’, </w:t>
      </w:r>
      <w:r w:rsidRPr="001A076D">
        <w:rPr>
          <w:rStyle w:val="Emphasis"/>
          <w:rFonts w:eastAsiaTheme="majorEastAsia"/>
          <w:i w:val="0"/>
          <w:iCs w:val="0"/>
        </w:rPr>
        <w:t>Journal of Enterprise Information Management</w:t>
      </w:r>
      <w:r w:rsidRPr="001A076D">
        <w:t>. doi:10.1108/jeim-12-2025-1253.</w:t>
      </w:r>
    </w:p>
    <w:p w14:paraId="5AD2B175" w14:textId="77777777" w:rsidR="00963A61" w:rsidRPr="001A076D" w:rsidRDefault="00963A61" w:rsidP="00972DD7">
      <w:pPr>
        <w:pStyle w:val="NormalWeb"/>
      </w:pPr>
      <w:r w:rsidRPr="001A076D">
        <w:t xml:space="preserve">Thomas, R. and Liu, M. (2022) ‘Evolving data governance for analytics success: Lessons from regulated industries’, </w:t>
      </w:r>
      <w:r w:rsidRPr="001A076D">
        <w:rPr>
          <w:rStyle w:val="Emphasis"/>
          <w:rFonts w:eastAsiaTheme="majorEastAsia"/>
          <w:i w:val="0"/>
          <w:iCs w:val="0"/>
        </w:rPr>
        <w:t>Decision Support Systems</w:t>
      </w:r>
      <w:r w:rsidRPr="001A076D">
        <w:t xml:space="preserve">, 155, 113755. </w:t>
      </w:r>
      <w:hyperlink r:id="rId89" w:history="1">
        <w:r w:rsidRPr="001A076D">
          <w:rPr>
            <w:rStyle w:val="Hyperlink"/>
            <w:color w:val="auto"/>
          </w:rPr>
          <w:t>https://doi.org/10.1016/j.dss.2021.113755</w:t>
        </w:r>
      </w:hyperlink>
      <w:r w:rsidRPr="001A076D">
        <w:t xml:space="preserve"> </w:t>
      </w:r>
    </w:p>
    <w:p w14:paraId="5FEEAC7E" w14:textId="77777777" w:rsidR="00963A61" w:rsidRPr="001A076D" w:rsidRDefault="00963A61" w:rsidP="00972DD7">
      <w:pPr>
        <w:pStyle w:val="NormalWeb"/>
      </w:pPr>
      <w:proofErr w:type="spellStart"/>
      <w:r w:rsidRPr="001A076D">
        <w:t>Trequattrini</w:t>
      </w:r>
      <w:proofErr w:type="spellEnd"/>
      <w:r w:rsidRPr="001A076D">
        <w:t xml:space="preserve">, R., Cuozzo, B., Manzari, A. and </w:t>
      </w:r>
      <w:proofErr w:type="spellStart"/>
      <w:r w:rsidRPr="001A076D">
        <w:t>Schimperna</w:t>
      </w:r>
      <w:proofErr w:type="spellEnd"/>
      <w:r w:rsidRPr="001A076D">
        <w:t xml:space="preserve">, F. (2025) ‘Measuring digital-sustainability readiness in industrial SMEs: a composite index and empirical evidence’, </w:t>
      </w:r>
      <w:r w:rsidRPr="001A076D">
        <w:rPr>
          <w:rStyle w:val="Emphasis"/>
          <w:rFonts w:eastAsiaTheme="majorEastAsia"/>
          <w:i w:val="0"/>
          <w:iCs w:val="0"/>
        </w:rPr>
        <w:t>Journal of Global Responsibility</w:t>
      </w:r>
      <w:r w:rsidRPr="001A076D">
        <w:t>. doi:10.1108/jgr-04-2025-0120.</w:t>
      </w:r>
    </w:p>
    <w:p w14:paraId="625C598E" w14:textId="77777777" w:rsidR="00963A61" w:rsidRPr="001A076D" w:rsidRDefault="00963A61" w:rsidP="00972DD7">
      <w:pPr>
        <w:spacing w:before="100" w:beforeAutospacing="1" w:after="100" w:afterAutospacing="1"/>
      </w:pPr>
      <w:r w:rsidRPr="001A076D">
        <w:lastRenderedPageBreak/>
        <w:t xml:space="preserve">Trist, E.L. and Bamforth, K.W. (1951) ‘Some social and psychological consequences of the longwall method’, Human Relations, 4(1), pp. 3–38. </w:t>
      </w:r>
      <w:hyperlink r:id="rId90" w:history="1">
        <w:r w:rsidRPr="001A076D">
          <w:rPr>
            <w:rStyle w:val="Hyperlink"/>
            <w:color w:val="auto"/>
          </w:rPr>
          <w:t>https://doi.org/10.1177/001872675100400</w:t>
        </w:r>
      </w:hyperlink>
    </w:p>
    <w:p w14:paraId="0BE47920" w14:textId="77777777" w:rsidR="00963A61" w:rsidRPr="001A076D" w:rsidRDefault="00963A61" w:rsidP="00972DD7">
      <w:pPr>
        <w:pStyle w:val="NormalWeb"/>
      </w:pPr>
      <w:r w:rsidRPr="001A076D">
        <w:t xml:space="preserve">Utomo, B., Wahidah, N.J. and </w:t>
      </w:r>
      <w:proofErr w:type="spellStart"/>
      <w:r w:rsidRPr="001A076D">
        <w:t>Wisudawati</w:t>
      </w:r>
      <w:proofErr w:type="spellEnd"/>
      <w:r w:rsidRPr="001A076D">
        <w:t xml:space="preserve">, T. (2025) ‘Predictive Analytics and Strategic Banking Performance: The Critical Impact of Organizational Readiness’, </w:t>
      </w:r>
      <w:proofErr w:type="spellStart"/>
      <w:r w:rsidRPr="001A076D">
        <w:t>Novatio</w:t>
      </w:r>
      <w:proofErr w:type="spellEnd"/>
      <w:r w:rsidRPr="001A076D">
        <w:t xml:space="preserve">: Journal of Management Technology and Innovation, 3(3). Available at: </w:t>
      </w:r>
      <w:hyperlink r:id="rId91" w:tgtFrame="_new" w:history="1">
        <w:r w:rsidRPr="001A076D">
          <w:rPr>
            <w:rStyle w:val="Hyperlink"/>
            <w:color w:val="auto"/>
          </w:rPr>
          <w:t>https://doi.org/10.61978/novatio.v3i3.1105</w:t>
        </w:r>
      </w:hyperlink>
    </w:p>
    <w:p w14:paraId="5707809D" w14:textId="77777777" w:rsidR="00963A61" w:rsidRPr="001A076D" w:rsidRDefault="00963A61" w:rsidP="00972DD7">
      <w:pPr>
        <w:pStyle w:val="NormalWeb"/>
      </w:pPr>
      <w:r w:rsidRPr="001A076D">
        <w:t xml:space="preserve">Vasconcelos, A., Kimura, H. and Chen, G. (2023) ‘Human–algorithm synergy in organisational decision-making’, </w:t>
      </w:r>
      <w:r w:rsidRPr="001A076D">
        <w:rPr>
          <w:rStyle w:val="Emphasis"/>
          <w:rFonts w:eastAsiaTheme="majorEastAsia"/>
          <w:i w:val="0"/>
          <w:iCs w:val="0"/>
        </w:rPr>
        <w:t>AI &amp; Society</w:t>
      </w:r>
      <w:r w:rsidRPr="001A076D">
        <w:t xml:space="preserve">, 38(3), pp. 567–581. </w:t>
      </w:r>
      <w:hyperlink r:id="rId92" w:history="1">
        <w:r w:rsidRPr="001A076D">
          <w:rPr>
            <w:rStyle w:val="Hyperlink"/>
            <w:color w:val="auto"/>
          </w:rPr>
          <w:t>https://doi.org/10.1007/s00146-021-01384-9</w:t>
        </w:r>
      </w:hyperlink>
      <w:r w:rsidRPr="001A076D">
        <w:t xml:space="preserve"> </w:t>
      </w:r>
    </w:p>
    <w:p w14:paraId="55DDE585" w14:textId="77777777" w:rsidR="00963A61" w:rsidRPr="001A076D" w:rsidRDefault="00963A61" w:rsidP="00972DD7">
      <w:pPr>
        <w:pStyle w:val="NormalWeb"/>
      </w:pPr>
      <w:r w:rsidRPr="001A076D">
        <w:t xml:space="preserve">Verma, S., Gupta, S. and Kattoura, A. (2021) ‘Organisational readiness for analytics in utilities’, </w:t>
      </w:r>
      <w:r w:rsidRPr="001A076D">
        <w:rPr>
          <w:rStyle w:val="Emphasis"/>
          <w:rFonts w:eastAsiaTheme="majorEastAsia"/>
          <w:i w:val="0"/>
          <w:iCs w:val="0"/>
        </w:rPr>
        <w:t>Energy Research &amp; Social Science</w:t>
      </w:r>
      <w:r w:rsidRPr="001A076D">
        <w:t xml:space="preserve">, 79, 102183. </w:t>
      </w:r>
    </w:p>
    <w:p w14:paraId="6C3D21F8" w14:textId="77777777" w:rsidR="00963A61" w:rsidRPr="001A076D" w:rsidRDefault="00963A61" w:rsidP="00972DD7">
      <w:pPr>
        <w:pStyle w:val="NormalWeb"/>
      </w:pPr>
      <w:r w:rsidRPr="001A076D">
        <w:t xml:space="preserve">Wamba, S.F., Gunasekaran, A., Akter, S., Ren, S.J., Dubey, R. and Childe, S.J. (2017) ‘Big data analytics and firm performance’, </w:t>
      </w:r>
      <w:r w:rsidRPr="001A076D">
        <w:rPr>
          <w:rStyle w:val="Emphasis"/>
          <w:rFonts w:eastAsiaTheme="majorEastAsia"/>
          <w:i w:val="0"/>
          <w:iCs w:val="0"/>
        </w:rPr>
        <w:t>International Journal of Production Economics</w:t>
      </w:r>
      <w:r w:rsidRPr="001A076D">
        <w:t xml:space="preserve">, 191, pp. 10–24. </w:t>
      </w:r>
      <w:hyperlink r:id="rId93" w:history="1">
        <w:r w:rsidRPr="001A076D">
          <w:rPr>
            <w:rStyle w:val="Hyperlink"/>
            <w:color w:val="auto"/>
          </w:rPr>
          <w:t>Big Data</w:t>
        </w:r>
      </w:hyperlink>
      <w:r w:rsidRPr="001A076D">
        <w:t xml:space="preserve"> </w:t>
      </w:r>
    </w:p>
    <w:p w14:paraId="004D0C8D" w14:textId="77777777" w:rsidR="00963A61" w:rsidRPr="001A076D" w:rsidRDefault="00963A61" w:rsidP="00972DD7">
      <w:pPr>
        <w:pStyle w:val="NormalWeb"/>
      </w:pPr>
      <w:r w:rsidRPr="001A076D">
        <w:t xml:space="preserve">Wang, R. (2025) ‘Integrated AI and Business Intelligence Maturity: Drivers of FP&amp;A Decision Making Quality’, Journal of Education, Humanities and Social Sciences. Available at: </w:t>
      </w:r>
      <w:hyperlink r:id="rId94" w:tgtFrame="_new" w:history="1">
        <w:r w:rsidRPr="001A076D">
          <w:rPr>
            <w:rStyle w:val="Hyperlink"/>
            <w:color w:val="auto"/>
          </w:rPr>
          <w:t>https://doi.org/10.54097/c8940s80</w:t>
        </w:r>
      </w:hyperlink>
    </w:p>
    <w:p w14:paraId="26E72E74" w14:textId="77777777" w:rsidR="00963A61" w:rsidRPr="001A076D" w:rsidRDefault="00963A61" w:rsidP="00972DD7">
      <w:pPr>
        <w:pStyle w:val="NormalWeb"/>
      </w:pPr>
      <w:r w:rsidRPr="001A076D">
        <w:t xml:space="preserve">Willetts, J., Green, M. and Patel, S. (2020) ‘Data governance in the energy sector: Ensuring trust and value’, </w:t>
      </w:r>
      <w:r w:rsidRPr="001A076D">
        <w:rPr>
          <w:rStyle w:val="Emphasis"/>
          <w:rFonts w:eastAsiaTheme="majorEastAsia"/>
          <w:i w:val="0"/>
          <w:iCs w:val="0"/>
        </w:rPr>
        <w:t>Energy Policy</w:t>
      </w:r>
      <w:r w:rsidRPr="001A076D">
        <w:t xml:space="preserve">, 144, 111612. </w:t>
      </w:r>
      <w:hyperlink r:id="rId95" w:history="1">
        <w:r w:rsidRPr="001A076D">
          <w:rPr>
            <w:rStyle w:val="Hyperlink"/>
            <w:color w:val="auto"/>
          </w:rPr>
          <w:t>https://doi.org/10.1016/j.enpol.2020.111612</w:t>
        </w:r>
      </w:hyperlink>
      <w:r w:rsidRPr="001A076D">
        <w:t xml:space="preserve"> </w:t>
      </w:r>
    </w:p>
    <w:p w14:paraId="0DEDD895" w14:textId="77777777" w:rsidR="00963A61" w:rsidRPr="001A076D" w:rsidRDefault="00963A61" w:rsidP="00972DD7">
      <w:pPr>
        <w:spacing w:before="100" w:beforeAutospacing="1" w:after="100" w:afterAutospacing="1"/>
      </w:pPr>
      <w:r w:rsidRPr="001A076D">
        <w:t xml:space="preserve">Yin, R.K. (2017) Case Study Research and Applications: Design and Methods. 6th </w:t>
      </w:r>
      <w:proofErr w:type="spellStart"/>
      <w:r w:rsidRPr="001A076D">
        <w:t>edn</w:t>
      </w:r>
      <w:proofErr w:type="spellEnd"/>
      <w:r w:rsidRPr="001A076D">
        <w:t xml:space="preserve">. Thousand Oaks, CA: Sage. Available at: </w:t>
      </w:r>
      <w:hyperlink r:id="rId96" w:history="1">
        <w:r w:rsidRPr="001A076D">
          <w:rPr>
            <w:rStyle w:val="Hyperlink"/>
            <w:color w:val="auto"/>
          </w:rPr>
          <w:t>Case Study Research and Applications</w:t>
        </w:r>
      </w:hyperlink>
      <w:r w:rsidRPr="001A076D">
        <w:t xml:space="preserve"> </w:t>
      </w:r>
    </w:p>
    <w:p w14:paraId="789A9614" w14:textId="77777777" w:rsidR="00963A61" w:rsidRPr="001A076D" w:rsidRDefault="00963A61" w:rsidP="00972DD7">
      <w:pPr>
        <w:pStyle w:val="NormalWeb"/>
      </w:pPr>
      <w:r w:rsidRPr="001A076D">
        <w:t xml:space="preserve">Youssef, H.Y., Ashfaque, M. and Karunamurthy, J.V. (2023) ‘DEWA R&amp;D Data Lake: Big Data Platform for Advanced Energy Data Analytics’, </w:t>
      </w:r>
      <w:r w:rsidRPr="001A076D">
        <w:rPr>
          <w:rStyle w:val="Emphasis"/>
          <w:rFonts w:eastAsiaTheme="majorEastAsia"/>
          <w:i w:val="0"/>
          <w:iCs w:val="0"/>
        </w:rPr>
        <w:t>2023 International Conference on IT Innovation and Knowledge Discovery (ITIKD)</w:t>
      </w:r>
      <w:r w:rsidRPr="001A076D">
        <w:t>. doi:10.1109/ITIKD56332.2023.10099717.</w:t>
      </w:r>
    </w:p>
    <w:p w14:paraId="5D7C882E" w14:textId="77777777" w:rsidR="00963A61" w:rsidRPr="001A076D" w:rsidRDefault="00963A61" w:rsidP="00972DD7">
      <w:pPr>
        <w:pStyle w:val="NormalWeb"/>
      </w:pPr>
      <w:r w:rsidRPr="001A076D">
        <w:t xml:space="preserve">Zhang, Y., Kim, S. and Smith, L. (2023) ‘Predictive analytics maturity and strategic agility in infrastructure firms’, </w:t>
      </w:r>
      <w:r w:rsidRPr="001A076D">
        <w:rPr>
          <w:rStyle w:val="Emphasis"/>
          <w:rFonts w:eastAsiaTheme="majorEastAsia"/>
          <w:i w:val="0"/>
          <w:iCs w:val="0"/>
        </w:rPr>
        <w:t>Journal of Business Research</w:t>
      </w:r>
      <w:r w:rsidRPr="001A076D">
        <w:t xml:space="preserve">, 159, 113546. </w:t>
      </w:r>
    </w:p>
    <w:p w14:paraId="0D8143C7" w14:textId="77777777" w:rsidR="00963A61" w:rsidRPr="001A076D" w:rsidRDefault="00963A61" w:rsidP="00972DD7">
      <w:pPr>
        <w:pStyle w:val="NormalWeb"/>
      </w:pPr>
      <w:r w:rsidRPr="001A076D">
        <w:t xml:space="preserve">Zhu, C. (2025) ‘AI-Enhanced Strategic Management: Improving Decision-Making Efficiency in Modern Enterprises’, </w:t>
      </w:r>
      <w:r w:rsidRPr="001A076D">
        <w:rPr>
          <w:rStyle w:val="Emphasis"/>
          <w:rFonts w:eastAsiaTheme="majorEastAsia"/>
          <w:i w:val="0"/>
          <w:iCs w:val="0"/>
        </w:rPr>
        <w:t>Innovative Organizational Design</w:t>
      </w:r>
      <w:r w:rsidRPr="001A076D">
        <w:t>. doi:10.63808/iod.v1i2.124.</w:t>
      </w:r>
    </w:p>
    <w:p w14:paraId="4D3A62BE" w14:textId="77777777" w:rsidR="008D3278" w:rsidRPr="001A076D" w:rsidRDefault="008D3278" w:rsidP="00972DD7">
      <w:pPr>
        <w:pStyle w:val="NormalWeb"/>
      </w:pPr>
    </w:p>
    <w:p w14:paraId="76684DA3" w14:textId="77777777" w:rsidR="008D3278" w:rsidRPr="001A076D" w:rsidRDefault="008D3278" w:rsidP="00972DD7">
      <w:pPr>
        <w:pStyle w:val="NormalWeb"/>
      </w:pPr>
    </w:p>
    <w:p w14:paraId="6E177147" w14:textId="77777777" w:rsidR="008D3278" w:rsidRPr="001A076D" w:rsidRDefault="008D3278" w:rsidP="00972DD7">
      <w:pPr>
        <w:pStyle w:val="NormalWeb"/>
      </w:pPr>
    </w:p>
    <w:p w14:paraId="01D023D3" w14:textId="77777777" w:rsidR="008D3278" w:rsidRPr="001A076D" w:rsidRDefault="008D3278" w:rsidP="00972DD7">
      <w:pPr>
        <w:pStyle w:val="NormalWeb"/>
      </w:pPr>
    </w:p>
    <w:p w14:paraId="6F4DA8A9" w14:textId="77777777" w:rsidR="00D6650D" w:rsidRPr="001A076D" w:rsidRDefault="00D6650D" w:rsidP="00DF1B11">
      <w:pPr>
        <w:pStyle w:val="NormalWeb"/>
      </w:pPr>
    </w:p>
    <w:p w14:paraId="38B935E3" w14:textId="77777777" w:rsidR="00D6650D" w:rsidRPr="001A076D" w:rsidRDefault="00D6650D" w:rsidP="00DF1B11">
      <w:pPr>
        <w:pStyle w:val="NormalWeb"/>
      </w:pPr>
    </w:p>
    <w:p w14:paraId="6FF0BE9A" w14:textId="77777777" w:rsidR="00213D97" w:rsidRPr="001A076D" w:rsidRDefault="00213D97" w:rsidP="00B022C6">
      <w:pPr>
        <w:pStyle w:val="NormalWeb"/>
      </w:pPr>
    </w:p>
    <w:p w14:paraId="65CE05AE" w14:textId="15D0E504" w:rsidR="00213D97" w:rsidRPr="001A076D" w:rsidRDefault="00213D97" w:rsidP="00F7035F">
      <w:pPr>
        <w:pStyle w:val="Heading1"/>
        <w:jc w:val="center"/>
        <w:rPr>
          <w:rStyle w:val="Strong"/>
          <w:rFonts w:ascii="Times New Roman" w:hAnsi="Times New Roman" w:cs="Times New Roman"/>
          <w:color w:val="auto"/>
        </w:rPr>
      </w:pPr>
      <w:bookmarkStart w:id="112" w:name="_Toc236033402"/>
      <w:r w:rsidRPr="001A076D">
        <w:rPr>
          <w:rStyle w:val="Strong"/>
          <w:rFonts w:ascii="Times New Roman" w:hAnsi="Times New Roman" w:cs="Times New Roman"/>
          <w:color w:val="auto"/>
        </w:rPr>
        <w:lastRenderedPageBreak/>
        <w:t>Appendices</w:t>
      </w:r>
      <w:bookmarkEnd w:id="112"/>
    </w:p>
    <w:p w14:paraId="2A2846B8" w14:textId="4334D832" w:rsidR="001A076D" w:rsidRPr="001A076D" w:rsidRDefault="001A076D" w:rsidP="001A076D">
      <w:pPr>
        <w:pStyle w:val="pdq2pgselectionanchorcontainer"/>
        <w:jc w:val="both"/>
      </w:pPr>
      <w:r w:rsidRPr="001A076D">
        <w:t>The appendices provide supporting evidence for the research methodology, data collection, analysis and ethical conduct of the study. They include ethical documentation, participant materials, research instruments, anonymised interview extracts, participant profile information, and detailed quantitative (SPSS) and qualitative (NVivo) analysis outputs.</w:t>
      </w:r>
    </w:p>
    <w:tbl>
      <w:tblPr>
        <w:tblStyle w:val="GridTable1Light"/>
        <w:tblW w:w="0" w:type="auto"/>
        <w:tblLook w:val="04A0" w:firstRow="1" w:lastRow="0" w:firstColumn="1" w:lastColumn="0" w:noHBand="0" w:noVBand="1"/>
      </w:tblPr>
      <w:tblGrid>
        <w:gridCol w:w="1252"/>
        <w:gridCol w:w="2425"/>
        <w:gridCol w:w="5765"/>
      </w:tblGrid>
      <w:tr w:rsidR="001A076D" w:rsidRPr="001A076D" w14:paraId="3F861608" w14:textId="77777777" w:rsidTr="001A07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585C62" w14:textId="77777777" w:rsidR="001A076D" w:rsidRPr="001A076D" w:rsidRDefault="001A076D" w:rsidP="001A076D">
            <w:pPr>
              <w:jc w:val="center"/>
              <w:rPr>
                <w:b w:val="0"/>
                <w:bCs w:val="0"/>
              </w:rPr>
            </w:pPr>
            <w:r w:rsidRPr="001A076D">
              <w:rPr>
                <w:rStyle w:val="Strong"/>
                <w:b/>
                <w:bCs/>
              </w:rPr>
              <w:t>Appendix</w:t>
            </w:r>
          </w:p>
        </w:tc>
        <w:tc>
          <w:tcPr>
            <w:tcW w:w="0" w:type="auto"/>
            <w:vAlign w:val="center"/>
            <w:hideMark/>
          </w:tcPr>
          <w:p w14:paraId="0BDCEB8E" w14:textId="77777777" w:rsidR="001A076D" w:rsidRPr="001A076D" w:rsidRDefault="001A076D" w:rsidP="001A076D">
            <w:pPr>
              <w:jc w:val="center"/>
              <w:cnfStyle w:val="100000000000" w:firstRow="1" w:lastRow="0" w:firstColumn="0" w:lastColumn="0" w:oddVBand="0" w:evenVBand="0" w:oddHBand="0" w:evenHBand="0" w:firstRowFirstColumn="0" w:firstRowLastColumn="0" w:lastRowFirstColumn="0" w:lastRowLastColumn="0"/>
              <w:rPr>
                <w:b w:val="0"/>
                <w:bCs w:val="0"/>
              </w:rPr>
            </w:pPr>
            <w:r w:rsidRPr="001A076D">
              <w:rPr>
                <w:rStyle w:val="Strong"/>
                <w:b/>
                <w:bCs/>
              </w:rPr>
              <w:t>Title</w:t>
            </w:r>
          </w:p>
        </w:tc>
        <w:tc>
          <w:tcPr>
            <w:tcW w:w="0" w:type="auto"/>
            <w:vAlign w:val="center"/>
            <w:hideMark/>
          </w:tcPr>
          <w:p w14:paraId="354552CB" w14:textId="77777777" w:rsidR="001A076D" w:rsidRPr="001A076D" w:rsidRDefault="001A076D" w:rsidP="001A076D">
            <w:pPr>
              <w:jc w:val="center"/>
              <w:cnfStyle w:val="100000000000" w:firstRow="1" w:lastRow="0" w:firstColumn="0" w:lastColumn="0" w:oddVBand="0" w:evenVBand="0" w:oddHBand="0" w:evenHBand="0" w:firstRowFirstColumn="0" w:firstRowLastColumn="0" w:lastRowFirstColumn="0" w:lastRowLastColumn="0"/>
              <w:rPr>
                <w:b w:val="0"/>
                <w:bCs w:val="0"/>
              </w:rPr>
            </w:pPr>
            <w:r w:rsidRPr="001A076D">
              <w:rPr>
                <w:rStyle w:val="Strong"/>
                <w:b/>
                <w:bCs/>
              </w:rPr>
              <w:t>Description</w:t>
            </w:r>
          </w:p>
        </w:tc>
      </w:tr>
      <w:tr w:rsidR="001A076D" w:rsidRPr="001A076D" w14:paraId="74D4BBE4" w14:textId="77777777" w:rsidTr="001A07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07F40B" w14:textId="77777777" w:rsidR="001A076D" w:rsidRPr="001A076D" w:rsidRDefault="001A076D" w:rsidP="001A076D">
            <w:pPr>
              <w:jc w:val="center"/>
              <w:rPr>
                <w:b w:val="0"/>
                <w:bCs w:val="0"/>
              </w:rPr>
            </w:pPr>
            <w:r w:rsidRPr="001A076D">
              <w:rPr>
                <w:rStyle w:val="Strong"/>
                <w:b/>
                <w:bCs/>
              </w:rPr>
              <w:t>Appendix 1</w:t>
            </w:r>
          </w:p>
        </w:tc>
        <w:tc>
          <w:tcPr>
            <w:tcW w:w="0" w:type="auto"/>
            <w:vAlign w:val="center"/>
            <w:hideMark/>
          </w:tcPr>
          <w:p w14:paraId="4A2A1A3E"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Ethical Approval Documentation</w:t>
            </w:r>
          </w:p>
        </w:tc>
        <w:tc>
          <w:tcPr>
            <w:tcW w:w="0" w:type="auto"/>
            <w:vAlign w:val="center"/>
            <w:hideMark/>
          </w:tcPr>
          <w:p w14:paraId="4C3DAAF8"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Ethical approval application and supporting documentation submitted to the University of Wales Trinity Saint David, including the research ethics application, participant safeguards, data protection arrangements and risk assessment.</w:t>
            </w:r>
          </w:p>
        </w:tc>
      </w:tr>
      <w:tr w:rsidR="001A076D" w:rsidRPr="001A076D" w14:paraId="42DC5460" w14:textId="77777777" w:rsidTr="001A07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3904D4" w14:textId="77777777" w:rsidR="001A076D" w:rsidRPr="001A076D" w:rsidRDefault="001A076D" w:rsidP="001A076D">
            <w:pPr>
              <w:jc w:val="center"/>
              <w:rPr>
                <w:b w:val="0"/>
                <w:bCs w:val="0"/>
              </w:rPr>
            </w:pPr>
            <w:r w:rsidRPr="001A076D">
              <w:rPr>
                <w:rStyle w:val="Strong"/>
                <w:b/>
                <w:bCs/>
              </w:rPr>
              <w:t>Appendix 2</w:t>
            </w:r>
          </w:p>
        </w:tc>
        <w:tc>
          <w:tcPr>
            <w:tcW w:w="0" w:type="auto"/>
            <w:vAlign w:val="center"/>
            <w:hideMark/>
          </w:tcPr>
          <w:p w14:paraId="467AFB2D"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Participant Information Sheet and Consent Form</w:t>
            </w:r>
          </w:p>
        </w:tc>
        <w:tc>
          <w:tcPr>
            <w:tcW w:w="0" w:type="auto"/>
            <w:vAlign w:val="center"/>
            <w:hideMark/>
          </w:tcPr>
          <w:p w14:paraId="7702D618"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Participant information sheet and informed consent form outlining the study purpose, participation requirements, confidentiality, voluntary participation and data protection arrangements.</w:t>
            </w:r>
          </w:p>
        </w:tc>
      </w:tr>
      <w:tr w:rsidR="001A076D" w:rsidRPr="001A076D" w14:paraId="729FEF06" w14:textId="77777777" w:rsidTr="001A07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9DB1E2" w14:textId="77777777" w:rsidR="001A076D" w:rsidRPr="001A076D" w:rsidRDefault="001A076D" w:rsidP="001A076D">
            <w:pPr>
              <w:jc w:val="center"/>
              <w:rPr>
                <w:b w:val="0"/>
                <w:bCs w:val="0"/>
              </w:rPr>
            </w:pPr>
            <w:r w:rsidRPr="001A076D">
              <w:rPr>
                <w:rStyle w:val="Strong"/>
                <w:b/>
                <w:bCs/>
              </w:rPr>
              <w:t>Appendix 3</w:t>
            </w:r>
          </w:p>
        </w:tc>
        <w:tc>
          <w:tcPr>
            <w:tcW w:w="0" w:type="auto"/>
            <w:vAlign w:val="center"/>
            <w:hideMark/>
          </w:tcPr>
          <w:p w14:paraId="51BDD7C2"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Quantitative Survey Instrument and Summary Results</w:t>
            </w:r>
          </w:p>
        </w:tc>
        <w:tc>
          <w:tcPr>
            <w:tcW w:w="0" w:type="auto"/>
            <w:vAlign w:val="center"/>
            <w:hideMark/>
          </w:tcPr>
          <w:p w14:paraId="7B0B1134"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Survey questionnaire, response scale, descriptive summary of survey responses, reliability summary and overview of the quantitative analysis framework.</w:t>
            </w:r>
          </w:p>
        </w:tc>
      </w:tr>
      <w:tr w:rsidR="001A076D" w:rsidRPr="001A076D" w14:paraId="2D030068" w14:textId="77777777" w:rsidTr="001A07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CA1B209" w14:textId="77777777" w:rsidR="001A076D" w:rsidRPr="001A076D" w:rsidRDefault="001A076D" w:rsidP="001A076D">
            <w:pPr>
              <w:jc w:val="center"/>
              <w:rPr>
                <w:b w:val="0"/>
                <w:bCs w:val="0"/>
              </w:rPr>
            </w:pPr>
            <w:r w:rsidRPr="001A076D">
              <w:rPr>
                <w:rStyle w:val="Strong"/>
                <w:b/>
                <w:bCs/>
              </w:rPr>
              <w:t>Appendix 4</w:t>
            </w:r>
          </w:p>
        </w:tc>
        <w:tc>
          <w:tcPr>
            <w:tcW w:w="0" w:type="auto"/>
            <w:vAlign w:val="center"/>
            <w:hideMark/>
          </w:tcPr>
          <w:p w14:paraId="62380305"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Qualitative Interview Materials and Transcript Extracts</w:t>
            </w:r>
          </w:p>
        </w:tc>
        <w:tc>
          <w:tcPr>
            <w:tcW w:w="0" w:type="auto"/>
            <w:vAlign w:val="center"/>
            <w:hideMark/>
          </w:tcPr>
          <w:p w14:paraId="19D8CB7B"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Semi-structured interview guide, confidentiality statement and anonymised interview transcript extracts supporting the qualitative thematic analysis.</w:t>
            </w:r>
          </w:p>
        </w:tc>
      </w:tr>
      <w:tr w:rsidR="001A076D" w:rsidRPr="001A076D" w14:paraId="65E4710A" w14:textId="77777777" w:rsidTr="001A07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335DA3" w14:textId="77777777" w:rsidR="001A076D" w:rsidRPr="001A076D" w:rsidRDefault="001A076D" w:rsidP="001A076D">
            <w:pPr>
              <w:jc w:val="center"/>
              <w:rPr>
                <w:b w:val="0"/>
                <w:bCs w:val="0"/>
              </w:rPr>
            </w:pPr>
            <w:r w:rsidRPr="001A076D">
              <w:rPr>
                <w:rStyle w:val="Strong"/>
                <w:b/>
                <w:bCs/>
              </w:rPr>
              <w:t>Appendix 5</w:t>
            </w:r>
          </w:p>
        </w:tc>
        <w:tc>
          <w:tcPr>
            <w:tcW w:w="0" w:type="auto"/>
            <w:vAlign w:val="center"/>
            <w:hideMark/>
          </w:tcPr>
          <w:p w14:paraId="389C1779"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SPSS Quantitative Statistical Analysis Outputs</w:t>
            </w:r>
          </w:p>
        </w:tc>
        <w:tc>
          <w:tcPr>
            <w:tcW w:w="0" w:type="auto"/>
            <w:vAlign w:val="center"/>
            <w:hideMark/>
          </w:tcPr>
          <w:p w14:paraId="573D4DF4"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Complete SPSS outputs, including descriptive statistics, reliability analysis, Pearson correlation, multiple regression, multicollinearity assessment, normality testing and regression diagnostics.</w:t>
            </w:r>
          </w:p>
        </w:tc>
      </w:tr>
      <w:tr w:rsidR="001A076D" w:rsidRPr="001A076D" w14:paraId="186848E8" w14:textId="77777777" w:rsidTr="001A07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7D17FF4" w14:textId="77777777" w:rsidR="001A076D" w:rsidRPr="001A076D" w:rsidRDefault="001A076D" w:rsidP="001A076D">
            <w:pPr>
              <w:jc w:val="center"/>
              <w:rPr>
                <w:b w:val="0"/>
                <w:bCs w:val="0"/>
              </w:rPr>
            </w:pPr>
            <w:r w:rsidRPr="001A076D">
              <w:rPr>
                <w:rStyle w:val="Strong"/>
                <w:b/>
                <w:bCs/>
              </w:rPr>
              <w:t>Appendix 6</w:t>
            </w:r>
          </w:p>
        </w:tc>
        <w:tc>
          <w:tcPr>
            <w:tcW w:w="0" w:type="auto"/>
            <w:vAlign w:val="center"/>
            <w:hideMark/>
          </w:tcPr>
          <w:p w14:paraId="0B2655A9"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NVivo Qualitative Coding Framework and Outputs</w:t>
            </w:r>
          </w:p>
        </w:tc>
        <w:tc>
          <w:tcPr>
            <w:tcW w:w="0" w:type="auto"/>
            <w:vAlign w:val="center"/>
            <w:hideMark/>
          </w:tcPr>
          <w:p w14:paraId="58B0F9B4"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NVivo coding framework, hierarchical codebook, coding density analysis, thematic relationship matrices and qualitative query outputs supporting the thematic analysis.</w:t>
            </w:r>
          </w:p>
        </w:tc>
      </w:tr>
      <w:tr w:rsidR="001A076D" w:rsidRPr="001A076D" w14:paraId="6B0E962F" w14:textId="77777777" w:rsidTr="001A076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C1AFF0" w14:textId="77777777" w:rsidR="001A076D" w:rsidRPr="001A076D" w:rsidRDefault="001A076D" w:rsidP="001A076D">
            <w:pPr>
              <w:jc w:val="center"/>
              <w:rPr>
                <w:b w:val="0"/>
                <w:bCs w:val="0"/>
              </w:rPr>
            </w:pPr>
            <w:r w:rsidRPr="001A076D">
              <w:rPr>
                <w:rStyle w:val="Strong"/>
                <w:b/>
                <w:bCs/>
              </w:rPr>
              <w:t>Appendix 7</w:t>
            </w:r>
          </w:p>
        </w:tc>
        <w:tc>
          <w:tcPr>
            <w:tcW w:w="0" w:type="auto"/>
            <w:vAlign w:val="center"/>
            <w:hideMark/>
          </w:tcPr>
          <w:p w14:paraId="68878B36"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Interview Participant Profile Summary</w:t>
            </w:r>
          </w:p>
        </w:tc>
        <w:tc>
          <w:tcPr>
            <w:tcW w:w="0" w:type="auto"/>
            <w:vAlign w:val="center"/>
            <w:hideMark/>
          </w:tcPr>
          <w:p w14:paraId="32F48E94" w14:textId="77777777" w:rsidR="001A076D" w:rsidRPr="001A076D" w:rsidRDefault="001A076D" w:rsidP="001A076D">
            <w:pPr>
              <w:cnfStyle w:val="000000000000" w:firstRow="0" w:lastRow="0" w:firstColumn="0" w:lastColumn="0" w:oddVBand="0" w:evenVBand="0" w:oddHBand="0" w:evenHBand="0" w:firstRowFirstColumn="0" w:firstRowLastColumn="0" w:lastRowFirstColumn="0" w:lastRowLastColumn="0"/>
            </w:pPr>
            <w:r w:rsidRPr="001A076D">
              <w:t>Summary of the qualitative interview participants, including anonymised organisational roles, functional areas, interview durations and participant profile statistics.</w:t>
            </w:r>
          </w:p>
        </w:tc>
      </w:tr>
    </w:tbl>
    <w:p w14:paraId="66E403AB" w14:textId="7D30B26F" w:rsidR="0083387C" w:rsidRPr="001A076D" w:rsidRDefault="0083387C" w:rsidP="00931E2C">
      <w:pPr>
        <w:pStyle w:val="Heading2"/>
        <w:rPr>
          <w:rFonts w:ascii="Times New Roman" w:hAnsi="Times New Roman" w:cs="Times New Roman"/>
          <w:b/>
          <w:bCs/>
          <w:color w:val="auto"/>
        </w:rPr>
      </w:pPr>
      <w:bookmarkStart w:id="113" w:name="_Toc236033403"/>
      <w:r w:rsidRPr="001A076D">
        <w:rPr>
          <w:rFonts w:ascii="Times New Roman" w:hAnsi="Times New Roman" w:cs="Times New Roman"/>
          <w:b/>
          <w:bCs/>
          <w:color w:val="auto"/>
        </w:rPr>
        <w:t xml:space="preserve">Appendix 1. </w:t>
      </w:r>
      <w:r w:rsidR="007F3767" w:rsidRPr="001A076D">
        <w:rPr>
          <w:rFonts w:ascii="Times New Roman" w:hAnsi="Times New Roman" w:cs="Times New Roman"/>
          <w:b/>
          <w:bCs/>
          <w:color w:val="auto"/>
        </w:rPr>
        <w:t>Ethical Approval Documentation</w:t>
      </w:r>
      <w:bookmarkEnd w:id="113"/>
    </w:p>
    <w:p w14:paraId="52E811C9" w14:textId="55A1533B" w:rsidR="00C64A16" w:rsidRPr="001A076D" w:rsidRDefault="00C64A16" w:rsidP="00DA1C2C">
      <w:pPr>
        <w:pStyle w:val="NormalWeb"/>
        <w:jc w:val="both"/>
      </w:pPr>
      <w:r>
        <w:t>This appendix presents the ethical approval documentation submitted to the University of Wales Trinity Saint David (UWTSD) prior to commencing the research. It includes the completed research ethics application, outlining the study objectives, research methodology, participant recruitment and consent procedures, data collection methods, confidentiality and data protection arrangements, risk assessment, and measures adopted to ensure compliance with the University's ethical requirements and the UK General Data Protection Regulation (UK GDPR).</w:t>
      </w:r>
    </w:p>
    <w:p w14:paraId="5A39D788" w14:textId="274C6BE3" w:rsidR="0083387C" w:rsidRPr="001A076D" w:rsidRDefault="0083387C" w:rsidP="008C2C2E">
      <w:pPr>
        <w:tabs>
          <w:tab w:val="left" w:pos="5103"/>
        </w:tabs>
        <w:jc w:val="center"/>
        <w:rPr>
          <w:b/>
          <w:bCs/>
        </w:rPr>
      </w:pPr>
      <w:r w:rsidRPr="001A076D">
        <w:rPr>
          <w:b/>
          <w:bCs/>
        </w:rPr>
        <w:t>APPLICATION FOR ETHICAL APPROVAL</w:t>
      </w:r>
    </w:p>
    <w:p w14:paraId="780E683A" w14:textId="77777777" w:rsidR="0083387C" w:rsidRPr="001A076D" w:rsidRDefault="0083387C" w:rsidP="0083387C">
      <w:pPr>
        <w:tabs>
          <w:tab w:val="left" w:pos="5103"/>
        </w:tabs>
        <w:jc w:val="both"/>
        <w:rPr>
          <w:b/>
          <w:bCs/>
          <w:sz w:val="22"/>
          <w:szCs w:val="22"/>
        </w:rPr>
      </w:pPr>
    </w:p>
    <w:tbl>
      <w:tblPr>
        <w:tblStyle w:val="TableGrid"/>
        <w:tblW w:w="10435" w:type="dxa"/>
        <w:tblLook w:val="04A0" w:firstRow="1" w:lastRow="0" w:firstColumn="1" w:lastColumn="0" w:noHBand="0" w:noVBand="1"/>
      </w:tblPr>
      <w:tblGrid>
        <w:gridCol w:w="10435"/>
      </w:tblGrid>
      <w:tr w:rsidR="00057F93" w:rsidRPr="001A076D" w14:paraId="4BFD2C11" w14:textId="77777777" w:rsidTr="00FE4F18">
        <w:tc>
          <w:tcPr>
            <w:tcW w:w="10435" w:type="dxa"/>
          </w:tcPr>
          <w:p w14:paraId="5BC16185"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
                <w:bCs/>
                <w:sz w:val="22"/>
                <w:szCs w:val="22"/>
              </w:rPr>
            </w:pPr>
            <w:r w:rsidRPr="001A076D">
              <w:rPr>
                <w:b/>
                <w:bCs/>
                <w:sz w:val="22"/>
                <w:szCs w:val="22"/>
              </w:rPr>
              <w:t>RESEARCH STUDENTS</w:t>
            </w:r>
          </w:p>
          <w:p w14:paraId="24C70D1A"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r w:rsidRPr="001A076D">
              <w:rPr>
                <w:sz w:val="22"/>
                <w:szCs w:val="22"/>
              </w:rPr>
              <w:t xml:space="preserve">This form is to be completed by the student within </w:t>
            </w:r>
            <w:r w:rsidRPr="001A076D">
              <w:rPr>
                <w:b/>
                <w:sz w:val="22"/>
                <w:szCs w:val="22"/>
              </w:rPr>
              <w:t>SIX</w:t>
            </w:r>
            <w:r w:rsidRPr="001A076D">
              <w:rPr>
                <w:sz w:val="22"/>
                <w:szCs w:val="22"/>
              </w:rPr>
              <w:t xml:space="preserve"> months for full-time students and </w:t>
            </w:r>
            <w:r w:rsidRPr="001A076D">
              <w:rPr>
                <w:b/>
                <w:sz w:val="22"/>
                <w:szCs w:val="22"/>
              </w:rPr>
              <w:t xml:space="preserve">TWELVE </w:t>
            </w:r>
            <w:r w:rsidRPr="001A076D">
              <w:rPr>
                <w:sz w:val="22"/>
                <w:szCs w:val="22"/>
              </w:rPr>
              <w:t xml:space="preserve">months for </w:t>
            </w:r>
            <w:proofErr w:type="gramStart"/>
            <w:r w:rsidRPr="001A076D">
              <w:rPr>
                <w:sz w:val="22"/>
                <w:szCs w:val="22"/>
              </w:rPr>
              <w:t>part time</w:t>
            </w:r>
            <w:proofErr w:type="gramEnd"/>
            <w:r w:rsidRPr="001A076D">
              <w:rPr>
                <w:sz w:val="22"/>
                <w:szCs w:val="22"/>
              </w:rPr>
              <w:t xml:space="preserve"> students, after the commencement of the research degree or following progression to Part Two of your course. </w:t>
            </w:r>
          </w:p>
          <w:p w14:paraId="034E5380"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Cs/>
                <w:sz w:val="22"/>
                <w:szCs w:val="22"/>
              </w:rPr>
            </w:pPr>
          </w:p>
          <w:p w14:paraId="6EE5F9B0"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Cs/>
                <w:sz w:val="22"/>
                <w:szCs w:val="22"/>
              </w:rPr>
            </w:pPr>
            <w:r w:rsidRPr="001A076D">
              <w:rPr>
                <w:bCs/>
                <w:sz w:val="22"/>
                <w:szCs w:val="22"/>
              </w:rPr>
              <w:t xml:space="preserve">Once complete, submit this form via the </w:t>
            </w:r>
            <w:proofErr w:type="spellStart"/>
            <w:r w:rsidRPr="001A076D">
              <w:rPr>
                <w:b/>
                <w:i/>
                <w:iCs/>
                <w:sz w:val="22"/>
                <w:szCs w:val="22"/>
                <w:u w:val="single"/>
              </w:rPr>
              <w:t>MyTSD</w:t>
            </w:r>
            <w:proofErr w:type="spellEnd"/>
            <w:r w:rsidRPr="001A076D">
              <w:rPr>
                <w:b/>
                <w:i/>
                <w:iCs/>
                <w:sz w:val="22"/>
                <w:szCs w:val="22"/>
                <w:u w:val="single"/>
              </w:rPr>
              <w:t xml:space="preserve"> Doctoral College Portal</w:t>
            </w:r>
            <w:r w:rsidRPr="001A076D">
              <w:rPr>
                <w:bCs/>
                <w:sz w:val="22"/>
                <w:szCs w:val="22"/>
              </w:rPr>
              <w:t xml:space="preserve"> at (</w:t>
            </w:r>
            <w:hyperlink r:id="rId97" w:history="1">
              <w:r w:rsidRPr="001A076D">
                <w:rPr>
                  <w:rStyle w:val="Hyperlink"/>
                  <w:rFonts w:eastAsiaTheme="majorEastAsia"/>
                  <w:bCs/>
                  <w:color w:val="auto"/>
                  <w:sz w:val="22"/>
                  <w:szCs w:val="22"/>
                </w:rPr>
                <w:t>https://mytsd.uwtsd.ac.uk</w:t>
              </w:r>
            </w:hyperlink>
            <w:r w:rsidRPr="001A076D">
              <w:rPr>
                <w:bCs/>
                <w:sz w:val="22"/>
                <w:szCs w:val="22"/>
              </w:rPr>
              <w:t>).</w:t>
            </w:r>
          </w:p>
          <w:p w14:paraId="07A8CAE1"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p>
          <w:p w14:paraId="717BE065"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r w:rsidRPr="001A076D">
              <w:rPr>
                <w:sz w:val="22"/>
                <w:szCs w:val="22"/>
              </w:rPr>
              <w:t>This document is also available in Welsh.</w:t>
            </w:r>
          </w:p>
          <w:p w14:paraId="385C678C" w14:textId="77777777" w:rsidR="0083387C" w:rsidRPr="001A076D" w:rsidRDefault="0083387C" w:rsidP="00FE4F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p>
        </w:tc>
      </w:tr>
      <w:tr w:rsidR="00057F93" w:rsidRPr="001A076D" w14:paraId="5DF9EA28" w14:textId="77777777" w:rsidTr="00FE4F18">
        <w:tc>
          <w:tcPr>
            <w:tcW w:w="10435" w:type="dxa"/>
          </w:tcPr>
          <w:p w14:paraId="4A906995" w14:textId="77777777" w:rsidR="0083387C" w:rsidRPr="001A076D" w:rsidRDefault="0083387C" w:rsidP="00FE4F18">
            <w:pPr>
              <w:rPr>
                <w:b/>
                <w:sz w:val="22"/>
                <w:szCs w:val="22"/>
              </w:rPr>
            </w:pPr>
            <w:r w:rsidRPr="001A076D">
              <w:rPr>
                <w:b/>
                <w:sz w:val="22"/>
                <w:szCs w:val="22"/>
              </w:rPr>
              <w:lastRenderedPageBreak/>
              <w:t>RESEARCH STAFF ONLY</w:t>
            </w:r>
          </w:p>
          <w:p w14:paraId="212F5811" w14:textId="77777777" w:rsidR="0083387C" w:rsidRPr="001A076D" w:rsidRDefault="0083387C" w:rsidP="00FE4F18">
            <w:pPr>
              <w:rPr>
                <w:sz w:val="22"/>
                <w:szCs w:val="22"/>
              </w:rPr>
            </w:pPr>
            <w:r w:rsidRPr="001A076D">
              <w:rPr>
                <w:sz w:val="22"/>
                <w:szCs w:val="22"/>
              </w:rPr>
              <w:t xml:space="preserve">All communications relating to this application during its processing must be in writing and emailed to </w:t>
            </w:r>
            <w:hyperlink r:id="rId98" w:history="1">
              <w:r w:rsidRPr="001A076D">
                <w:rPr>
                  <w:rStyle w:val="Hyperlink"/>
                  <w:rFonts w:eastAsiaTheme="majorEastAsia"/>
                  <w:color w:val="auto"/>
                  <w:sz w:val="22"/>
                  <w:szCs w:val="22"/>
                </w:rPr>
                <w:t>pgresearch@uwtsd.ac.uk</w:t>
              </w:r>
            </w:hyperlink>
            <w:r w:rsidRPr="001A076D">
              <w:rPr>
                <w:sz w:val="22"/>
                <w:szCs w:val="22"/>
              </w:rPr>
              <w:t xml:space="preserve"> , with the title ‘Ethical Approval’ followed by your name.</w:t>
            </w:r>
          </w:p>
          <w:p w14:paraId="30523CF9" w14:textId="77777777" w:rsidR="0083387C" w:rsidRPr="001A076D" w:rsidRDefault="0083387C" w:rsidP="00FE4F18">
            <w:pPr>
              <w:rPr>
                <w:sz w:val="22"/>
                <w:szCs w:val="22"/>
              </w:rPr>
            </w:pPr>
          </w:p>
        </w:tc>
      </w:tr>
      <w:tr w:rsidR="004F2125" w:rsidRPr="001A076D" w14:paraId="20120843" w14:textId="77777777" w:rsidTr="00FE4F18">
        <w:tc>
          <w:tcPr>
            <w:tcW w:w="10435" w:type="dxa"/>
          </w:tcPr>
          <w:p w14:paraId="5798E83B" w14:textId="77777777" w:rsidR="0083387C" w:rsidRPr="001A076D" w:rsidRDefault="0083387C" w:rsidP="00FE4F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szCs w:val="22"/>
              </w:rPr>
            </w:pPr>
            <w:r w:rsidRPr="001A076D">
              <w:rPr>
                <w:b/>
                <w:bCs/>
                <w:sz w:val="22"/>
                <w:szCs w:val="22"/>
              </w:rPr>
              <w:t xml:space="preserve">STUDENTS ON UNDERGRADUATE OR TAUGHT MASTERS PROGRAMMES </w:t>
            </w:r>
            <w:r w:rsidRPr="001A076D">
              <w:rPr>
                <w:bCs/>
                <w:sz w:val="22"/>
                <w:szCs w:val="22"/>
              </w:rPr>
              <w:t>should submit this form (and receive the outcome) via systems explained to you by the supervisor/module leader.</w:t>
            </w:r>
          </w:p>
        </w:tc>
      </w:tr>
    </w:tbl>
    <w:p w14:paraId="6ED3AA3C" w14:textId="77777777" w:rsidR="0083387C" w:rsidRPr="001A076D" w:rsidRDefault="0083387C" w:rsidP="0083387C">
      <w:pPr>
        <w:tabs>
          <w:tab w:val="left" w:pos="5103"/>
        </w:tabs>
        <w:jc w:val="both"/>
        <w:rPr>
          <w:b/>
          <w:bCs/>
          <w:sz w:val="22"/>
          <w:szCs w:val="22"/>
        </w:rPr>
      </w:pPr>
    </w:p>
    <w:p w14:paraId="4936ACF8" w14:textId="77777777" w:rsidR="0083387C" w:rsidRPr="001A076D" w:rsidRDefault="0083387C" w:rsidP="0083387C">
      <w:pPr>
        <w:tabs>
          <w:tab w:val="left" w:pos="5103"/>
        </w:tabs>
        <w:jc w:val="both"/>
        <w:rPr>
          <w:b/>
          <w:bCs/>
          <w:sz w:val="22"/>
          <w:szCs w:val="22"/>
        </w:rPr>
      </w:pPr>
    </w:p>
    <w:p w14:paraId="51967298" w14:textId="77777777" w:rsidR="0083387C" w:rsidRPr="001A076D" w:rsidRDefault="0083387C" w:rsidP="0083387C">
      <w:pPr>
        <w:tabs>
          <w:tab w:val="left" w:pos="5103"/>
        </w:tabs>
        <w:jc w:val="both"/>
        <w:rPr>
          <w:b/>
          <w:bCs/>
          <w:sz w:val="22"/>
          <w:szCs w:val="22"/>
        </w:rPr>
      </w:pPr>
      <w:r w:rsidRPr="001A076D">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3B71C85" w14:textId="77777777" w:rsidR="0083387C" w:rsidRPr="001A076D" w:rsidRDefault="0083387C" w:rsidP="0083387C">
      <w:pPr>
        <w:tabs>
          <w:tab w:val="left" w:pos="5103"/>
        </w:tabs>
        <w:jc w:val="center"/>
        <w:rPr>
          <w:b/>
          <w:bCs/>
          <w:sz w:val="16"/>
          <w:szCs w:val="16"/>
        </w:rPr>
      </w:pPr>
    </w:p>
    <w:p w14:paraId="72CDD1FC" w14:textId="77777777" w:rsidR="0083387C" w:rsidRPr="001A076D" w:rsidRDefault="0083387C" w:rsidP="0083387C">
      <w:pPr>
        <w:tabs>
          <w:tab w:val="left" w:pos="5103"/>
        </w:tabs>
        <w:jc w:val="both"/>
        <w:rPr>
          <w:sz w:val="22"/>
          <w:szCs w:val="22"/>
        </w:rPr>
      </w:pPr>
      <w:r w:rsidRPr="001A076D">
        <w:rPr>
          <w:sz w:val="22"/>
          <w:szCs w:val="22"/>
        </w:rPr>
        <w:t xml:space="preserve">The University follows the OECD Frascati manual definition of </w:t>
      </w:r>
      <w:r w:rsidRPr="001A076D">
        <w:rPr>
          <w:b/>
          <w:sz w:val="22"/>
          <w:szCs w:val="22"/>
        </w:rPr>
        <w:t>research activity</w:t>
      </w:r>
      <w:r w:rsidRPr="001A076D">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FDAF2D" w14:textId="77777777" w:rsidR="0083387C" w:rsidRPr="001A076D" w:rsidRDefault="0083387C" w:rsidP="0083387C">
      <w:pPr>
        <w:tabs>
          <w:tab w:val="left" w:pos="5103"/>
        </w:tabs>
        <w:jc w:val="both"/>
        <w:rPr>
          <w:sz w:val="22"/>
          <w:szCs w:val="22"/>
        </w:rPr>
      </w:pPr>
    </w:p>
    <w:p w14:paraId="0B362A24" w14:textId="77777777" w:rsidR="0083387C" w:rsidRPr="001A076D" w:rsidRDefault="0083387C" w:rsidP="0083387C">
      <w:pPr>
        <w:tabs>
          <w:tab w:val="left" w:pos="5103"/>
        </w:tabs>
        <w:jc w:val="both"/>
        <w:rPr>
          <w:sz w:val="22"/>
          <w:szCs w:val="22"/>
        </w:rPr>
      </w:pPr>
      <w:r w:rsidRPr="001A076D">
        <w:rPr>
          <w:sz w:val="22"/>
          <w:szCs w:val="22"/>
        </w:rPr>
        <w:t>The individual undertaking the research activity is known as the “principal researcher”.</w:t>
      </w:r>
    </w:p>
    <w:p w14:paraId="37FB63EC" w14:textId="77777777" w:rsidR="0083387C" w:rsidRPr="001A076D" w:rsidRDefault="0083387C" w:rsidP="0083387C">
      <w:pPr>
        <w:tabs>
          <w:tab w:val="left" w:pos="5103"/>
        </w:tabs>
        <w:jc w:val="both"/>
        <w:rPr>
          <w:sz w:val="22"/>
          <w:szCs w:val="22"/>
        </w:rPr>
      </w:pPr>
    </w:p>
    <w:p w14:paraId="42351B18" w14:textId="77777777" w:rsidR="0083387C" w:rsidRPr="001A076D" w:rsidRDefault="0083387C" w:rsidP="0083387C">
      <w:pPr>
        <w:tabs>
          <w:tab w:val="left" w:pos="5103"/>
        </w:tabs>
        <w:jc w:val="both"/>
        <w:rPr>
          <w:sz w:val="22"/>
          <w:szCs w:val="22"/>
        </w:rPr>
      </w:pPr>
      <w:r w:rsidRPr="001A076D">
        <w:rPr>
          <w:sz w:val="22"/>
          <w:szCs w:val="22"/>
        </w:rPr>
        <w:t>Ethical approval is not required for routine audits, performance reviews, quality assurance studies, testing within normal educational requirements, and literary or artistic criticism.</w:t>
      </w:r>
    </w:p>
    <w:p w14:paraId="0A5D30B4" w14:textId="77777777" w:rsidR="0083387C" w:rsidRPr="001A076D" w:rsidRDefault="0083387C" w:rsidP="0083387C">
      <w:pPr>
        <w:tabs>
          <w:tab w:val="left" w:pos="5103"/>
        </w:tabs>
        <w:jc w:val="both"/>
        <w:rPr>
          <w:sz w:val="22"/>
          <w:szCs w:val="22"/>
        </w:rPr>
      </w:pPr>
    </w:p>
    <w:p w14:paraId="342219B8" w14:textId="77777777" w:rsidR="0083387C" w:rsidRPr="001A076D" w:rsidRDefault="0083387C" w:rsidP="0083387C">
      <w:pPr>
        <w:tabs>
          <w:tab w:val="left" w:pos="5103"/>
        </w:tabs>
        <w:jc w:val="both"/>
        <w:rPr>
          <w:b/>
          <w:bCs/>
          <w:sz w:val="22"/>
          <w:szCs w:val="22"/>
        </w:rPr>
      </w:pPr>
      <w:r w:rsidRPr="001A076D">
        <w:rPr>
          <w:b/>
          <w:bCs/>
          <w:sz w:val="22"/>
          <w:szCs w:val="22"/>
        </w:rPr>
        <w:t>Please read the notes for guidance before completing ALL sections of the form.</w:t>
      </w:r>
    </w:p>
    <w:p w14:paraId="1B4187C1" w14:textId="77777777" w:rsidR="0083387C" w:rsidRPr="001A076D" w:rsidRDefault="0083387C" w:rsidP="0083387C">
      <w:pPr>
        <w:autoSpaceDE w:val="0"/>
        <w:autoSpaceDN w:val="0"/>
        <w:adjustRightInd w:val="0"/>
        <w:jc w:val="both"/>
        <w:rPr>
          <w:sz w:val="22"/>
          <w:szCs w:val="22"/>
        </w:rPr>
      </w:pPr>
    </w:p>
    <w:p w14:paraId="3C01BDC5" w14:textId="77777777" w:rsidR="0083387C" w:rsidRPr="001A076D" w:rsidRDefault="0083387C" w:rsidP="0083387C">
      <w:pPr>
        <w:autoSpaceDE w:val="0"/>
        <w:autoSpaceDN w:val="0"/>
        <w:adjustRightInd w:val="0"/>
        <w:jc w:val="both"/>
        <w:rPr>
          <w:sz w:val="22"/>
          <w:szCs w:val="22"/>
        </w:rPr>
      </w:pPr>
      <w:r w:rsidRPr="001A076D">
        <w:rPr>
          <w:b/>
          <w:sz w:val="22"/>
          <w:szCs w:val="22"/>
        </w:rPr>
        <w:t>This form</w:t>
      </w:r>
      <w:r w:rsidRPr="001A076D">
        <w:rPr>
          <w:sz w:val="22"/>
          <w:szCs w:val="22"/>
        </w:rPr>
        <w:t xml:space="preserve"> </w:t>
      </w:r>
      <w:r w:rsidRPr="001A076D">
        <w:rPr>
          <w:b/>
          <w:sz w:val="22"/>
          <w:szCs w:val="22"/>
        </w:rPr>
        <w:t>must be completed and approved prior to undertaking any research activity.</w:t>
      </w:r>
      <w:r w:rsidRPr="001A076D">
        <w:rPr>
          <w:sz w:val="22"/>
          <w:szCs w:val="22"/>
        </w:rPr>
        <w:t xml:space="preserve"> Please see Checklist for details of process for different categories of application.  </w:t>
      </w:r>
    </w:p>
    <w:p w14:paraId="29DA136C" w14:textId="77777777" w:rsidR="0083387C" w:rsidRPr="001A076D" w:rsidRDefault="0083387C" w:rsidP="0083387C">
      <w:pPr>
        <w:autoSpaceDE w:val="0"/>
        <w:autoSpaceDN w:val="0"/>
        <w:adjustRightInd w:val="0"/>
        <w:jc w:val="both"/>
        <w:rPr>
          <w:sz w:val="22"/>
          <w:szCs w:val="22"/>
        </w:rPr>
      </w:pPr>
    </w:p>
    <w:p w14:paraId="2E27DC72"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57F93" w:rsidRPr="001A076D" w14:paraId="6BCA8888" w14:textId="77777777" w:rsidTr="00FE4F18">
        <w:trPr>
          <w:trHeight w:val="439"/>
        </w:trPr>
        <w:tc>
          <w:tcPr>
            <w:tcW w:w="559" w:type="dxa"/>
            <w:shd w:val="clear" w:color="auto" w:fill="F2F2F2" w:themeFill="background1" w:themeFillShade="F2"/>
            <w:vAlign w:val="center"/>
          </w:tcPr>
          <w:p w14:paraId="4A40BC75" w14:textId="77777777" w:rsidR="0083387C" w:rsidRPr="001A076D" w:rsidRDefault="0083387C" w:rsidP="00FE4F18">
            <w:pPr>
              <w:rPr>
                <w:sz w:val="22"/>
                <w:szCs w:val="22"/>
              </w:rPr>
            </w:pPr>
            <w:r w:rsidRPr="001A076D">
              <w:rPr>
                <w:sz w:val="22"/>
                <w:szCs w:val="22"/>
              </w:rPr>
              <w:t>1</w:t>
            </w:r>
          </w:p>
        </w:tc>
        <w:tc>
          <w:tcPr>
            <w:tcW w:w="3253" w:type="dxa"/>
            <w:gridSpan w:val="2"/>
            <w:shd w:val="clear" w:color="auto" w:fill="F2F2F2" w:themeFill="background1" w:themeFillShade="F2"/>
            <w:vAlign w:val="center"/>
          </w:tcPr>
          <w:p w14:paraId="308AB370" w14:textId="77777777" w:rsidR="0083387C" w:rsidRPr="001A076D" w:rsidRDefault="0083387C" w:rsidP="00FE4F18">
            <w:pPr>
              <w:rPr>
                <w:sz w:val="22"/>
                <w:szCs w:val="22"/>
              </w:rPr>
            </w:pPr>
            <w:r w:rsidRPr="001A076D">
              <w:rPr>
                <w:sz w:val="22"/>
                <w:szCs w:val="22"/>
              </w:rPr>
              <w:t>Full Name:</w:t>
            </w:r>
          </w:p>
        </w:tc>
        <w:tc>
          <w:tcPr>
            <w:tcW w:w="6636" w:type="dxa"/>
            <w:gridSpan w:val="4"/>
            <w:vAlign w:val="center"/>
          </w:tcPr>
          <w:p w14:paraId="5412AED8" w14:textId="77777777" w:rsidR="0083387C" w:rsidRPr="001A076D" w:rsidRDefault="0083387C" w:rsidP="00FE4F18">
            <w:pPr>
              <w:rPr>
                <w:sz w:val="22"/>
                <w:szCs w:val="22"/>
              </w:rPr>
            </w:pPr>
            <w:r w:rsidRPr="001A076D">
              <w:rPr>
                <w:sz w:val="22"/>
                <w:szCs w:val="22"/>
              </w:rPr>
              <w:t>Joshua Adeniyi Depiver</w:t>
            </w:r>
          </w:p>
        </w:tc>
      </w:tr>
      <w:tr w:rsidR="00057F93" w:rsidRPr="001A076D" w14:paraId="178405FA" w14:textId="77777777" w:rsidTr="00FE4F18">
        <w:trPr>
          <w:trHeight w:val="472"/>
        </w:trPr>
        <w:tc>
          <w:tcPr>
            <w:tcW w:w="559" w:type="dxa"/>
            <w:shd w:val="clear" w:color="auto" w:fill="BFBFBF" w:themeFill="background1" w:themeFillShade="BF"/>
            <w:vAlign w:val="center"/>
          </w:tcPr>
          <w:p w14:paraId="53E4B11B" w14:textId="77777777" w:rsidR="0083387C" w:rsidRPr="001A076D" w:rsidRDefault="0083387C" w:rsidP="00FE4F18">
            <w:pPr>
              <w:rPr>
                <w:sz w:val="22"/>
                <w:szCs w:val="22"/>
              </w:rPr>
            </w:pPr>
            <w:r w:rsidRPr="001A076D">
              <w:rPr>
                <w:sz w:val="22"/>
                <w:szCs w:val="22"/>
              </w:rPr>
              <w:t>2</w:t>
            </w:r>
          </w:p>
        </w:tc>
        <w:tc>
          <w:tcPr>
            <w:tcW w:w="3253" w:type="dxa"/>
            <w:gridSpan w:val="2"/>
            <w:shd w:val="clear" w:color="auto" w:fill="BFBFBF" w:themeFill="background1" w:themeFillShade="BF"/>
            <w:vAlign w:val="center"/>
          </w:tcPr>
          <w:p w14:paraId="076B41A3" w14:textId="77777777" w:rsidR="0083387C" w:rsidRPr="001A076D" w:rsidRDefault="0083387C" w:rsidP="00FE4F18">
            <w:pPr>
              <w:rPr>
                <w:sz w:val="22"/>
                <w:szCs w:val="22"/>
              </w:rPr>
            </w:pPr>
            <w:r w:rsidRPr="001A076D">
              <w:rPr>
                <w:sz w:val="22"/>
                <w:szCs w:val="22"/>
              </w:rPr>
              <w:t>Tick all boxes that apply:</w:t>
            </w:r>
          </w:p>
        </w:tc>
        <w:tc>
          <w:tcPr>
            <w:tcW w:w="2551" w:type="dxa"/>
            <w:shd w:val="clear" w:color="auto" w:fill="F2F2F2" w:themeFill="background1" w:themeFillShade="F2"/>
            <w:vAlign w:val="center"/>
          </w:tcPr>
          <w:p w14:paraId="38C1C21D" w14:textId="77777777" w:rsidR="0083387C" w:rsidRPr="001A076D" w:rsidRDefault="0083387C" w:rsidP="00FE4F18">
            <w:pPr>
              <w:rPr>
                <w:sz w:val="22"/>
                <w:szCs w:val="22"/>
              </w:rPr>
            </w:pPr>
            <w:r w:rsidRPr="001A076D">
              <w:rPr>
                <w:sz w:val="22"/>
                <w:szCs w:val="22"/>
              </w:rPr>
              <w:t>Member of staff:</w:t>
            </w:r>
          </w:p>
        </w:tc>
        <w:tc>
          <w:tcPr>
            <w:tcW w:w="709" w:type="dxa"/>
            <w:shd w:val="clear" w:color="auto" w:fill="BFBFBF" w:themeFill="background1" w:themeFillShade="BF"/>
            <w:vAlign w:val="center"/>
          </w:tcPr>
          <w:p w14:paraId="7C409957"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5479165" w14:textId="77777777" w:rsidR="0083387C" w:rsidRPr="001A076D" w:rsidRDefault="0083387C" w:rsidP="00FE4F18">
            <w:pPr>
              <w:rPr>
                <w:sz w:val="22"/>
                <w:szCs w:val="22"/>
              </w:rPr>
            </w:pPr>
            <w:r w:rsidRPr="001A076D">
              <w:rPr>
                <w:sz w:val="22"/>
                <w:szCs w:val="22"/>
              </w:rPr>
              <w:t>Honorary research fellow:</w:t>
            </w:r>
          </w:p>
        </w:tc>
        <w:tc>
          <w:tcPr>
            <w:tcW w:w="850" w:type="dxa"/>
            <w:shd w:val="clear" w:color="auto" w:fill="BFBFBF" w:themeFill="background1" w:themeFillShade="BF"/>
            <w:vAlign w:val="center"/>
          </w:tcPr>
          <w:p w14:paraId="35A1B405"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tr>
      <w:tr w:rsidR="004F2125" w:rsidRPr="001A076D" w14:paraId="2DC2AEA4" w14:textId="77777777" w:rsidTr="00FE4F18">
        <w:trPr>
          <w:trHeight w:val="472"/>
        </w:trPr>
        <w:tc>
          <w:tcPr>
            <w:tcW w:w="559" w:type="dxa"/>
            <w:shd w:val="clear" w:color="auto" w:fill="F2F2F2" w:themeFill="background1" w:themeFillShade="F2"/>
            <w:vAlign w:val="center"/>
          </w:tcPr>
          <w:p w14:paraId="3EE5F959" w14:textId="77777777" w:rsidR="0083387C" w:rsidRPr="001A076D" w:rsidRDefault="0083387C" w:rsidP="00FE4F18">
            <w:pPr>
              <w:rPr>
                <w:sz w:val="22"/>
                <w:szCs w:val="22"/>
              </w:rPr>
            </w:pPr>
          </w:p>
        </w:tc>
        <w:tc>
          <w:tcPr>
            <w:tcW w:w="2544" w:type="dxa"/>
            <w:shd w:val="clear" w:color="auto" w:fill="F2F2F2" w:themeFill="background1" w:themeFillShade="F2"/>
            <w:vAlign w:val="center"/>
          </w:tcPr>
          <w:p w14:paraId="179BA7A5" w14:textId="77777777" w:rsidR="0083387C" w:rsidRPr="001A076D" w:rsidRDefault="0083387C" w:rsidP="00FE4F18">
            <w:pPr>
              <w:rPr>
                <w:sz w:val="22"/>
                <w:szCs w:val="22"/>
              </w:rPr>
            </w:pPr>
            <w:r w:rsidRPr="001A076D">
              <w:rPr>
                <w:sz w:val="22"/>
                <w:szCs w:val="22"/>
              </w:rPr>
              <w:t>Undergraduate Student</w:t>
            </w:r>
          </w:p>
        </w:tc>
        <w:sdt>
          <w:sdtPr>
            <w:rPr>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7B3663"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16E25ED1" w14:textId="77777777" w:rsidR="0083387C" w:rsidRPr="001A076D" w:rsidRDefault="0083387C" w:rsidP="00FE4F18">
            <w:pPr>
              <w:rPr>
                <w:sz w:val="22"/>
                <w:szCs w:val="22"/>
              </w:rPr>
            </w:pPr>
            <w:r w:rsidRPr="001A076D">
              <w:rPr>
                <w:sz w:val="22"/>
                <w:szCs w:val="22"/>
              </w:rPr>
              <w:t>Taught Postgraduate Student</w:t>
            </w:r>
          </w:p>
        </w:tc>
        <w:sdt>
          <w:sdtPr>
            <w:rPr>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5C2C28"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C169ECC" w14:textId="77777777" w:rsidR="0083387C" w:rsidRPr="001A076D" w:rsidRDefault="0083387C" w:rsidP="00FE4F18">
            <w:pPr>
              <w:rPr>
                <w:sz w:val="22"/>
                <w:szCs w:val="22"/>
              </w:rPr>
            </w:pPr>
            <w:r w:rsidRPr="001A076D">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D6CEA7" w14:textId="77777777" w:rsidR="0083387C" w:rsidRPr="001A076D" w:rsidRDefault="0083387C" w:rsidP="00FE4F18">
                <w:pPr>
                  <w:jc w:val="center"/>
                  <w:rPr>
                    <w:sz w:val="22"/>
                    <w:szCs w:val="22"/>
                  </w:rPr>
                </w:pPr>
                <w:r w:rsidRPr="001A076D">
                  <w:rPr>
                    <w:rFonts w:ascii="Segoe UI Symbol" w:eastAsia="MS Gothic" w:hAnsi="Segoe UI Symbol" w:cs="Segoe UI Symbol"/>
                    <w:sz w:val="22"/>
                    <w:szCs w:val="22"/>
                  </w:rPr>
                  <w:t>☐</w:t>
                </w:r>
              </w:p>
            </w:tc>
          </w:sdtContent>
        </w:sdt>
      </w:tr>
    </w:tbl>
    <w:p w14:paraId="20B2987B" w14:textId="77777777" w:rsidR="0083387C" w:rsidRPr="001A076D" w:rsidRDefault="0083387C" w:rsidP="0083387C">
      <w:pPr>
        <w:rPr>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57F93" w:rsidRPr="001A076D" w14:paraId="1513D20E" w14:textId="77777777" w:rsidTr="00FE4F18">
        <w:trPr>
          <w:cantSplit/>
          <w:trHeight w:val="334"/>
        </w:trPr>
        <w:tc>
          <w:tcPr>
            <w:tcW w:w="559" w:type="dxa"/>
            <w:shd w:val="clear" w:color="auto" w:fill="F2F2F2" w:themeFill="background1" w:themeFillShade="F2"/>
            <w:vAlign w:val="center"/>
          </w:tcPr>
          <w:p w14:paraId="7E90646C" w14:textId="77777777" w:rsidR="0083387C" w:rsidRPr="001A076D" w:rsidRDefault="0083387C" w:rsidP="00FE4F18">
            <w:pPr>
              <w:rPr>
                <w:sz w:val="22"/>
                <w:szCs w:val="22"/>
              </w:rPr>
            </w:pPr>
            <w:r w:rsidRPr="001A076D">
              <w:rPr>
                <w:sz w:val="22"/>
                <w:szCs w:val="22"/>
              </w:rPr>
              <w:t>3</w:t>
            </w:r>
          </w:p>
        </w:tc>
        <w:tc>
          <w:tcPr>
            <w:tcW w:w="3253" w:type="dxa"/>
            <w:shd w:val="clear" w:color="auto" w:fill="F2F2F2" w:themeFill="background1" w:themeFillShade="F2"/>
            <w:vAlign w:val="center"/>
          </w:tcPr>
          <w:p w14:paraId="046976DA" w14:textId="77777777" w:rsidR="0083387C" w:rsidRPr="001A076D" w:rsidRDefault="0083387C" w:rsidP="00FE4F18">
            <w:pPr>
              <w:rPr>
                <w:sz w:val="22"/>
                <w:szCs w:val="22"/>
              </w:rPr>
            </w:pPr>
            <w:r w:rsidRPr="001A076D">
              <w:rPr>
                <w:sz w:val="22"/>
                <w:szCs w:val="22"/>
              </w:rPr>
              <w:t>Institute/Academic Discipline/Centre:</w:t>
            </w:r>
          </w:p>
        </w:tc>
        <w:tc>
          <w:tcPr>
            <w:tcW w:w="6636" w:type="dxa"/>
            <w:vAlign w:val="center"/>
          </w:tcPr>
          <w:p w14:paraId="5D014729" w14:textId="77777777" w:rsidR="0083387C" w:rsidRPr="001A076D" w:rsidRDefault="0083387C" w:rsidP="00FE4F18">
            <w:pPr>
              <w:rPr>
                <w:sz w:val="22"/>
                <w:szCs w:val="22"/>
              </w:rPr>
            </w:pPr>
            <w:r w:rsidRPr="001A076D">
              <w:rPr>
                <w:sz w:val="22"/>
                <w:szCs w:val="22"/>
              </w:rPr>
              <w:t>Institute of Management and Health</w:t>
            </w:r>
          </w:p>
        </w:tc>
      </w:tr>
      <w:tr w:rsidR="00057F93" w:rsidRPr="001A076D" w14:paraId="60E40737" w14:textId="77777777" w:rsidTr="00FE4F18">
        <w:trPr>
          <w:cantSplit/>
          <w:trHeight w:val="340"/>
        </w:trPr>
        <w:tc>
          <w:tcPr>
            <w:tcW w:w="559" w:type="dxa"/>
            <w:shd w:val="clear" w:color="auto" w:fill="F2F2F2" w:themeFill="background1" w:themeFillShade="F2"/>
            <w:vAlign w:val="center"/>
          </w:tcPr>
          <w:p w14:paraId="346E149D" w14:textId="77777777" w:rsidR="0083387C" w:rsidRPr="001A076D" w:rsidRDefault="0083387C" w:rsidP="00FE4F18">
            <w:pPr>
              <w:rPr>
                <w:sz w:val="22"/>
                <w:szCs w:val="22"/>
              </w:rPr>
            </w:pPr>
            <w:r w:rsidRPr="001A076D">
              <w:rPr>
                <w:sz w:val="22"/>
                <w:szCs w:val="22"/>
              </w:rPr>
              <w:t>4</w:t>
            </w:r>
          </w:p>
        </w:tc>
        <w:tc>
          <w:tcPr>
            <w:tcW w:w="3253" w:type="dxa"/>
            <w:shd w:val="clear" w:color="auto" w:fill="F2F2F2" w:themeFill="background1" w:themeFillShade="F2"/>
            <w:vAlign w:val="center"/>
          </w:tcPr>
          <w:p w14:paraId="7E19A758" w14:textId="77777777" w:rsidR="0083387C" w:rsidRPr="001A076D" w:rsidRDefault="0083387C" w:rsidP="00FE4F18">
            <w:pPr>
              <w:rPr>
                <w:sz w:val="22"/>
                <w:szCs w:val="22"/>
              </w:rPr>
            </w:pPr>
            <w:r w:rsidRPr="001A076D">
              <w:rPr>
                <w:sz w:val="22"/>
                <w:szCs w:val="22"/>
              </w:rPr>
              <w:t>Campus:</w:t>
            </w:r>
          </w:p>
        </w:tc>
        <w:tc>
          <w:tcPr>
            <w:tcW w:w="6636" w:type="dxa"/>
            <w:vAlign w:val="center"/>
          </w:tcPr>
          <w:p w14:paraId="3935D2C8" w14:textId="77777777" w:rsidR="0083387C" w:rsidRPr="001A076D" w:rsidRDefault="0083387C" w:rsidP="00FE4F18">
            <w:pPr>
              <w:rPr>
                <w:sz w:val="22"/>
                <w:szCs w:val="22"/>
              </w:rPr>
            </w:pPr>
            <w:r w:rsidRPr="001A076D">
              <w:rPr>
                <w:sz w:val="22"/>
                <w:szCs w:val="22"/>
              </w:rPr>
              <w:t>Swansea Business School (SBS)</w:t>
            </w:r>
          </w:p>
        </w:tc>
      </w:tr>
      <w:tr w:rsidR="00057F93" w:rsidRPr="001A076D" w14:paraId="5EF7BE96" w14:textId="77777777" w:rsidTr="00FE4F18">
        <w:trPr>
          <w:cantSplit/>
          <w:trHeight w:val="340"/>
        </w:trPr>
        <w:tc>
          <w:tcPr>
            <w:tcW w:w="559" w:type="dxa"/>
            <w:shd w:val="clear" w:color="auto" w:fill="F2F2F2" w:themeFill="background1" w:themeFillShade="F2"/>
            <w:vAlign w:val="center"/>
          </w:tcPr>
          <w:p w14:paraId="26F5AA8A" w14:textId="77777777" w:rsidR="0083387C" w:rsidRPr="001A076D" w:rsidRDefault="0083387C" w:rsidP="00FE4F18">
            <w:pPr>
              <w:rPr>
                <w:sz w:val="22"/>
                <w:szCs w:val="22"/>
              </w:rPr>
            </w:pPr>
            <w:r w:rsidRPr="001A076D">
              <w:rPr>
                <w:sz w:val="22"/>
                <w:szCs w:val="22"/>
              </w:rPr>
              <w:t>5</w:t>
            </w:r>
          </w:p>
        </w:tc>
        <w:tc>
          <w:tcPr>
            <w:tcW w:w="3253" w:type="dxa"/>
            <w:shd w:val="clear" w:color="auto" w:fill="F2F2F2" w:themeFill="background1" w:themeFillShade="F2"/>
            <w:vAlign w:val="center"/>
          </w:tcPr>
          <w:p w14:paraId="399C36A4" w14:textId="77777777" w:rsidR="0083387C" w:rsidRPr="001A076D" w:rsidRDefault="0083387C" w:rsidP="00FE4F18">
            <w:pPr>
              <w:rPr>
                <w:sz w:val="22"/>
                <w:szCs w:val="22"/>
              </w:rPr>
            </w:pPr>
            <w:r w:rsidRPr="001A076D">
              <w:rPr>
                <w:sz w:val="22"/>
                <w:szCs w:val="22"/>
              </w:rPr>
              <w:t>E-mail address:</w:t>
            </w:r>
          </w:p>
        </w:tc>
        <w:tc>
          <w:tcPr>
            <w:tcW w:w="6636" w:type="dxa"/>
            <w:vAlign w:val="center"/>
          </w:tcPr>
          <w:p w14:paraId="38E9087F" w14:textId="77777777" w:rsidR="0083387C" w:rsidRPr="001A076D" w:rsidRDefault="0083387C" w:rsidP="00FE4F18">
            <w:pPr>
              <w:rPr>
                <w:sz w:val="22"/>
                <w:szCs w:val="22"/>
              </w:rPr>
            </w:pPr>
            <w:r w:rsidRPr="001A076D">
              <w:rPr>
                <w:sz w:val="22"/>
                <w:szCs w:val="22"/>
              </w:rPr>
              <w:t>2307234@student.uwtsd.ac.uk</w:t>
            </w:r>
          </w:p>
        </w:tc>
      </w:tr>
      <w:tr w:rsidR="00057F93" w:rsidRPr="001A076D" w14:paraId="17A3E9B7" w14:textId="77777777" w:rsidTr="00FE4F18">
        <w:trPr>
          <w:cantSplit/>
          <w:trHeight w:val="340"/>
        </w:trPr>
        <w:tc>
          <w:tcPr>
            <w:tcW w:w="559" w:type="dxa"/>
            <w:shd w:val="clear" w:color="auto" w:fill="F2F2F2" w:themeFill="background1" w:themeFillShade="F2"/>
            <w:vAlign w:val="center"/>
          </w:tcPr>
          <w:p w14:paraId="61576126" w14:textId="77777777" w:rsidR="0083387C" w:rsidRPr="001A076D" w:rsidRDefault="0083387C" w:rsidP="00FE4F18">
            <w:pPr>
              <w:rPr>
                <w:sz w:val="22"/>
                <w:szCs w:val="22"/>
              </w:rPr>
            </w:pPr>
            <w:r w:rsidRPr="001A076D">
              <w:rPr>
                <w:sz w:val="22"/>
                <w:szCs w:val="22"/>
              </w:rPr>
              <w:t>6</w:t>
            </w:r>
          </w:p>
        </w:tc>
        <w:tc>
          <w:tcPr>
            <w:tcW w:w="3253" w:type="dxa"/>
            <w:shd w:val="clear" w:color="auto" w:fill="F2F2F2" w:themeFill="background1" w:themeFillShade="F2"/>
            <w:vAlign w:val="center"/>
          </w:tcPr>
          <w:p w14:paraId="7036D4C8" w14:textId="77777777" w:rsidR="0083387C" w:rsidRPr="001A076D" w:rsidRDefault="0083387C" w:rsidP="00FE4F18">
            <w:pPr>
              <w:rPr>
                <w:sz w:val="22"/>
                <w:szCs w:val="22"/>
              </w:rPr>
            </w:pPr>
            <w:r w:rsidRPr="001A076D">
              <w:rPr>
                <w:sz w:val="22"/>
                <w:szCs w:val="22"/>
              </w:rPr>
              <w:t>Contact Telephone Number:</w:t>
            </w:r>
          </w:p>
        </w:tc>
        <w:tc>
          <w:tcPr>
            <w:tcW w:w="6636" w:type="dxa"/>
            <w:vAlign w:val="center"/>
          </w:tcPr>
          <w:p w14:paraId="028DDEAB" w14:textId="699F3922" w:rsidR="0083387C" w:rsidRPr="001A076D" w:rsidRDefault="0083387C" w:rsidP="00FE4F18">
            <w:pPr>
              <w:rPr>
                <w:sz w:val="22"/>
                <w:szCs w:val="22"/>
              </w:rPr>
            </w:pPr>
            <w:r w:rsidRPr="001A076D">
              <w:rPr>
                <w:sz w:val="22"/>
                <w:szCs w:val="22"/>
              </w:rPr>
              <w:t>0794467</w:t>
            </w:r>
            <w:r w:rsidR="004C269F" w:rsidRPr="001A076D">
              <w:rPr>
                <w:sz w:val="22"/>
                <w:szCs w:val="22"/>
              </w:rPr>
              <w:t>6697</w:t>
            </w:r>
          </w:p>
        </w:tc>
      </w:tr>
      <w:tr w:rsidR="00057F93" w:rsidRPr="001A076D" w14:paraId="14BBB0E7" w14:textId="77777777" w:rsidTr="00FE4F18">
        <w:tc>
          <w:tcPr>
            <w:tcW w:w="559" w:type="dxa"/>
            <w:shd w:val="clear" w:color="auto" w:fill="BFBFBF" w:themeFill="background1" w:themeFillShade="BF"/>
            <w:vAlign w:val="center"/>
          </w:tcPr>
          <w:p w14:paraId="0649CFAD" w14:textId="77777777" w:rsidR="0083387C" w:rsidRPr="001A076D" w:rsidRDefault="0083387C" w:rsidP="00FE4F18">
            <w:pPr>
              <w:rPr>
                <w:b/>
                <w:i/>
                <w:sz w:val="22"/>
                <w:szCs w:val="22"/>
              </w:rPr>
            </w:pPr>
          </w:p>
        </w:tc>
        <w:tc>
          <w:tcPr>
            <w:tcW w:w="9889" w:type="dxa"/>
            <w:gridSpan w:val="2"/>
            <w:shd w:val="clear" w:color="auto" w:fill="BFBFBF" w:themeFill="background1" w:themeFillShade="BF"/>
            <w:vAlign w:val="center"/>
          </w:tcPr>
          <w:p w14:paraId="58B0E12F" w14:textId="77777777" w:rsidR="0083387C" w:rsidRPr="001A076D" w:rsidRDefault="0083387C" w:rsidP="00FE4F18">
            <w:pPr>
              <w:rPr>
                <w:sz w:val="22"/>
                <w:szCs w:val="22"/>
              </w:rPr>
            </w:pPr>
            <w:r w:rsidRPr="001A076D">
              <w:rPr>
                <w:b/>
                <w:i/>
                <w:sz w:val="22"/>
                <w:szCs w:val="22"/>
              </w:rPr>
              <w:t>For students:</w:t>
            </w:r>
          </w:p>
        </w:tc>
      </w:tr>
      <w:tr w:rsidR="00057F93" w:rsidRPr="001A076D" w14:paraId="5B93C668" w14:textId="77777777" w:rsidTr="00FE4F18">
        <w:trPr>
          <w:trHeight w:val="513"/>
        </w:trPr>
        <w:tc>
          <w:tcPr>
            <w:tcW w:w="559" w:type="dxa"/>
            <w:shd w:val="clear" w:color="auto" w:fill="F2F2F2" w:themeFill="background1" w:themeFillShade="F2"/>
            <w:vAlign w:val="center"/>
          </w:tcPr>
          <w:p w14:paraId="7F7E45D0" w14:textId="77777777" w:rsidR="0083387C" w:rsidRPr="001A076D" w:rsidRDefault="0083387C" w:rsidP="00FE4F18">
            <w:pPr>
              <w:rPr>
                <w:sz w:val="22"/>
                <w:szCs w:val="22"/>
              </w:rPr>
            </w:pPr>
            <w:r w:rsidRPr="001A076D">
              <w:rPr>
                <w:sz w:val="22"/>
                <w:szCs w:val="22"/>
              </w:rPr>
              <w:t>7</w:t>
            </w:r>
          </w:p>
        </w:tc>
        <w:tc>
          <w:tcPr>
            <w:tcW w:w="3253" w:type="dxa"/>
            <w:shd w:val="clear" w:color="auto" w:fill="F2F2F2" w:themeFill="background1" w:themeFillShade="F2"/>
            <w:vAlign w:val="center"/>
          </w:tcPr>
          <w:p w14:paraId="2A4929BC" w14:textId="77777777" w:rsidR="0083387C" w:rsidRPr="001A076D" w:rsidRDefault="0083387C" w:rsidP="00FE4F18">
            <w:pPr>
              <w:rPr>
                <w:sz w:val="22"/>
                <w:szCs w:val="22"/>
              </w:rPr>
            </w:pPr>
            <w:r w:rsidRPr="001A076D">
              <w:rPr>
                <w:sz w:val="22"/>
                <w:szCs w:val="22"/>
              </w:rPr>
              <w:t>Student Number:</w:t>
            </w:r>
          </w:p>
        </w:tc>
        <w:tc>
          <w:tcPr>
            <w:tcW w:w="6636" w:type="dxa"/>
            <w:vAlign w:val="center"/>
          </w:tcPr>
          <w:p w14:paraId="53D2DDCC" w14:textId="77777777" w:rsidR="0083387C" w:rsidRPr="001A076D" w:rsidRDefault="0083387C" w:rsidP="00FE4F18">
            <w:pPr>
              <w:rPr>
                <w:sz w:val="22"/>
                <w:szCs w:val="22"/>
              </w:rPr>
            </w:pPr>
            <w:r w:rsidRPr="001A076D">
              <w:rPr>
                <w:sz w:val="22"/>
                <w:szCs w:val="22"/>
              </w:rPr>
              <w:t>2307234</w:t>
            </w:r>
          </w:p>
        </w:tc>
      </w:tr>
      <w:tr w:rsidR="00057F93" w:rsidRPr="001A076D" w14:paraId="39FCD310" w14:textId="77777777" w:rsidTr="00FE4F18">
        <w:trPr>
          <w:trHeight w:val="549"/>
        </w:trPr>
        <w:tc>
          <w:tcPr>
            <w:tcW w:w="559" w:type="dxa"/>
            <w:shd w:val="clear" w:color="auto" w:fill="F2F2F2" w:themeFill="background1" w:themeFillShade="F2"/>
            <w:vAlign w:val="center"/>
          </w:tcPr>
          <w:p w14:paraId="4F2F61D1" w14:textId="77777777" w:rsidR="0083387C" w:rsidRPr="001A076D" w:rsidRDefault="0083387C" w:rsidP="00FE4F18">
            <w:pPr>
              <w:rPr>
                <w:sz w:val="22"/>
                <w:szCs w:val="22"/>
              </w:rPr>
            </w:pPr>
            <w:r w:rsidRPr="001A076D">
              <w:rPr>
                <w:sz w:val="22"/>
                <w:szCs w:val="22"/>
              </w:rPr>
              <w:t>8</w:t>
            </w:r>
          </w:p>
        </w:tc>
        <w:tc>
          <w:tcPr>
            <w:tcW w:w="3253" w:type="dxa"/>
            <w:shd w:val="clear" w:color="auto" w:fill="F2F2F2" w:themeFill="background1" w:themeFillShade="F2"/>
            <w:vAlign w:val="center"/>
          </w:tcPr>
          <w:p w14:paraId="67C86730" w14:textId="77777777" w:rsidR="0083387C" w:rsidRPr="001A076D" w:rsidRDefault="0083387C" w:rsidP="00FE4F18">
            <w:pPr>
              <w:rPr>
                <w:sz w:val="22"/>
                <w:szCs w:val="22"/>
              </w:rPr>
            </w:pPr>
            <w:r w:rsidRPr="001A076D">
              <w:rPr>
                <w:sz w:val="22"/>
                <w:szCs w:val="22"/>
              </w:rPr>
              <w:t>Programme of Study:</w:t>
            </w:r>
          </w:p>
        </w:tc>
        <w:tc>
          <w:tcPr>
            <w:tcW w:w="6636" w:type="dxa"/>
            <w:vAlign w:val="center"/>
          </w:tcPr>
          <w:p w14:paraId="0E2B9B98" w14:textId="77777777" w:rsidR="0083387C" w:rsidRPr="001A076D" w:rsidRDefault="0083387C" w:rsidP="00FE4F18">
            <w:pPr>
              <w:rPr>
                <w:sz w:val="22"/>
                <w:szCs w:val="22"/>
              </w:rPr>
            </w:pPr>
            <w:r w:rsidRPr="001A076D">
              <w:rPr>
                <w:sz w:val="22"/>
                <w:szCs w:val="22"/>
              </w:rPr>
              <w:t>MBA – University of Wales Trinity Saint David</w:t>
            </w:r>
          </w:p>
        </w:tc>
      </w:tr>
      <w:tr w:rsidR="004F2125" w:rsidRPr="001A076D" w14:paraId="28A4C025" w14:textId="77777777" w:rsidTr="00FE4F18">
        <w:trPr>
          <w:trHeight w:val="557"/>
        </w:trPr>
        <w:tc>
          <w:tcPr>
            <w:tcW w:w="559" w:type="dxa"/>
            <w:shd w:val="clear" w:color="auto" w:fill="F2F2F2" w:themeFill="background1" w:themeFillShade="F2"/>
            <w:vAlign w:val="center"/>
          </w:tcPr>
          <w:p w14:paraId="3339D32C" w14:textId="77777777" w:rsidR="0083387C" w:rsidRPr="001A076D" w:rsidRDefault="0083387C" w:rsidP="00FE4F18">
            <w:pPr>
              <w:rPr>
                <w:sz w:val="22"/>
                <w:szCs w:val="22"/>
              </w:rPr>
            </w:pPr>
            <w:r w:rsidRPr="001A076D">
              <w:rPr>
                <w:sz w:val="22"/>
                <w:szCs w:val="22"/>
              </w:rPr>
              <w:t>9</w:t>
            </w:r>
          </w:p>
        </w:tc>
        <w:tc>
          <w:tcPr>
            <w:tcW w:w="3253" w:type="dxa"/>
            <w:shd w:val="clear" w:color="auto" w:fill="F2F2F2" w:themeFill="background1" w:themeFillShade="F2"/>
            <w:vAlign w:val="center"/>
          </w:tcPr>
          <w:p w14:paraId="4C6707F7" w14:textId="77777777" w:rsidR="0083387C" w:rsidRPr="001A076D" w:rsidRDefault="0083387C" w:rsidP="00FE4F18">
            <w:pPr>
              <w:rPr>
                <w:sz w:val="22"/>
                <w:szCs w:val="22"/>
              </w:rPr>
            </w:pPr>
            <w:r w:rsidRPr="001A076D">
              <w:rPr>
                <w:sz w:val="22"/>
                <w:szCs w:val="22"/>
              </w:rPr>
              <w:t>Director of Studies/Supervisor:</w:t>
            </w:r>
          </w:p>
        </w:tc>
        <w:tc>
          <w:tcPr>
            <w:tcW w:w="6636" w:type="dxa"/>
            <w:vAlign w:val="center"/>
          </w:tcPr>
          <w:p w14:paraId="27A9656D" w14:textId="2F959601" w:rsidR="0083387C" w:rsidRPr="001A076D" w:rsidRDefault="00BD0B17" w:rsidP="00FE4F18">
            <w:pPr>
              <w:rPr>
                <w:sz w:val="22"/>
                <w:szCs w:val="22"/>
              </w:rPr>
            </w:pPr>
            <w:r w:rsidRPr="001A076D">
              <w:rPr>
                <w:sz w:val="22"/>
                <w:szCs w:val="22"/>
              </w:rPr>
              <w:t>Helen Evans</w:t>
            </w:r>
          </w:p>
        </w:tc>
      </w:tr>
    </w:tbl>
    <w:p w14:paraId="536C1219" w14:textId="77777777" w:rsidR="0083387C" w:rsidRPr="001A076D" w:rsidRDefault="0083387C" w:rsidP="0083387C">
      <w:pPr>
        <w:rPr>
          <w:bCs/>
          <w:iCs/>
        </w:rPr>
      </w:pPr>
    </w:p>
    <w:p w14:paraId="73FF2DEF" w14:textId="77777777" w:rsidR="0083387C" w:rsidRPr="001A076D" w:rsidRDefault="0083387C" w:rsidP="0083387C">
      <w:pPr>
        <w:autoSpaceDE w:val="0"/>
        <w:autoSpaceDN w:val="0"/>
        <w:adjustRightInd w:val="0"/>
        <w:jc w:val="both"/>
        <w:rPr>
          <w:b/>
          <w:sz w:val="22"/>
          <w:szCs w:val="22"/>
        </w:rPr>
      </w:pPr>
    </w:p>
    <w:p w14:paraId="1F921666" w14:textId="77777777" w:rsidR="0083387C" w:rsidRPr="001A076D" w:rsidRDefault="0083387C" w:rsidP="0083387C">
      <w:pPr>
        <w:rPr>
          <w:b/>
          <w:sz w:val="22"/>
          <w:szCs w:val="22"/>
        </w:rPr>
      </w:pPr>
    </w:p>
    <w:p w14:paraId="4272022C"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57F93" w:rsidRPr="001A076D" w14:paraId="2967A356" w14:textId="77777777" w:rsidTr="00FE4F18">
        <w:tc>
          <w:tcPr>
            <w:tcW w:w="562" w:type="dxa"/>
            <w:shd w:val="clear" w:color="auto" w:fill="F2F2F2" w:themeFill="background1" w:themeFillShade="F2"/>
          </w:tcPr>
          <w:p w14:paraId="2ACA37E3" w14:textId="77777777" w:rsidR="0083387C" w:rsidRPr="001A076D" w:rsidRDefault="0083387C" w:rsidP="00FE4F18">
            <w:pPr>
              <w:autoSpaceDE w:val="0"/>
              <w:autoSpaceDN w:val="0"/>
              <w:adjustRightInd w:val="0"/>
              <w:rPr>
                <w:sz w:val="22"/>
                <w:szCs w:val="22"/>
              </w:rPr>
            </w:pPr>
            <w:r w:rsidRPr="001A076D">
              <w:rPr>
                <w:sz w:val="22"/>
                <w:szCs w:val="22"/>
              </w:rPr>
              <w:t>1</w:t>
            </w:r>
          </w:p>
        </w:tc>
        <w:tc>
          <w:tcPr>
            <w:tcW w:w="6232" w:type="dxa"/>
            <w:gridSpan w:val="2"/>
            <w:shd w:val="clear" w:color="auto" w:fill="F2F2F2" w:themeFill="background1" w:themeFillShade="F2"/>
            <w:vAlign w:val="center"/>
          </w:tcPr>
          <w:p w14:paraId="2ACEDA81" w14:textId="77777777" w:rsidR="0083387C" w:rsidRPr="001A076D" w:rsidRDefault="0083387C" w:rsidP="00FE4F18">
            <w:pPr>
              <w:autoSpaceDE w:val="0"/>
              <w:autoSpaceDN w:val="0"/>
              <w:adjustRightInd w:val="0"/>
              <w:rPr>
                <w:sz w:val="22"/>
                <w:szCs w:val="22"/>
              </w:rPr>
            </w:pPr>
            <w:r w:rsidRPr="001A076D">
              <w:rPr>
                <w:sz w:val="22"/>
                <w:szCs w:val="22"/>
              </w:rPr>
              <w:t>Has the research activity received approval in principle?</w:t>
            </w:r>
          </w:p>
          <w:p w14:paraId="5CA154F0" w14:textId="77777777" w:rsidR="0083387C" w:rsidRPr="001A076D" w:rsidRDefault="0083387C" w:rsidP="00FE4F18">
            <w:pPr>
              <w:autoSpaceDE w:val="0"/>
              <w:autoSpaceDN w:val="0"/>
              <w:adjustRightInd w:val="0"/>
              <w:rPr>
                <w:sz w:val="22"/>
                <w:szCs w:val="22"/>
              </w:rPr>
            </w:pPr>
            <w:r w:rsidRPr="001A076D">
              <w:rPr>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4445F5E" w14:textId="77777777" w:rsidR="0083387C" w:rsidRPr="001A076D" w:rsidRDefault="0083387C" w:rsidP="00FE4F18">
            <w:pPr>
              <w:autoSpaceDE w:val="0"/>
              <w:autoSpaceDN w:val="0"/>
              <w:adjustRightInd w:val="0"/>
              <w:jc w:val="center"/>
              <w:rPr>
                <w:b/>
                <w:sz w:val="22"/>
                <w:szCs w:val="22"/>
              </w:rPr>
            </w:pPr>
            <w:r w:rsidRPr="001A076D">
              <w:rPr>
                <w:b/>
                <w:sz w:val="22"/>
                <w:szCs w:val="22"/>
              </w:rPr>
              <w:t>YES</w:t>
            </w:r>
          </w:p>
        </w:tc>
        <w:sdt>
          <w:sdtPr>
            <w:rPr>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0B6D5E" w14:textId="77777777" w:rsidR="0083387C" w:rsidRPr="001A076D" w:rsidRDefault="0083387C" w:rsidP="00FE4F18">
                <w:pPr>
                  <w:autoSpaceDE w:val="0"/>
                  <w:autoSpaceDN w:val="0"/>
                  <w:adjustRightInd w:val="0"/>
                  <w:jc w:val="center"/>
                  <w:rPr>
                    <w:b/>
                    <w:sz w:val="22"/>
                    <w:szCs w:val="22"/>
                  </w:rPr>
                </w:pPr>
                <w:r w:rsidRPr="001A076D">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576F8F48" w14:textId="77777777" w:rsidR="0083387C" w:rsidRPr="001A076D" w:rsidRDefault="0083387C" w:rsidP="00FE4F18">
            <w:pPr>
              <w:autoSpaceDE w:val="0"/>
              <w:autoSpaceDN w:val="0"/>
              <w:adjustRightInd w:val="0"/>
              <w:jc w:val="center"/>
              <w:rPr>
                <w:b/>
                <w:sz w:val="22"/>
                <w:szCs w:val="22"/>
              </w:rPr>
            </w:pPr>
            <w:r w:rsidRPr="001A076D">
              <w:rPr>
                <w:b/>
                <w:sz w:val="22"/>
                <w:szCs w:val="22"/>
              </w:rPr>
              <w:t>NO</w:t>
            </w:r>
          </w:p>
        </w:tc>
        <w:sdt>
          <w:sdtPr>
            <w:rPr>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DD898B7" w14:textId="77777777" w:rsidR="0083387C" w:rsidRPr="001A076D" w:rsidRDefault="0083387C" w:rsidP="00FE4F18">
                <w:pPr>
                  <w:autoSpaceDE w:val="0"/>
                  <w:autoSpaceDN w:val="0"/>
                  <w:adjustRightInd w:val="0"/>
                  <w:jc w:val="center"/>
                  <w:rPr>
                    <w:b/>
                    <w:sz w:val="22"/>
                    <w:szCs w:val="22"/>
                  </w:rPr>
                </w:pPr>
                <w:r w:rsidRPr="001A076D">
                  <w:rPr>
                    <w:rFonts w:ascii="Segoe UI Symbol" w:eastAsia="MS Gothic" w:hAnsi="Segoe UI Symbol" w:cs="Segoe UI Symbol"/>
                    <w:bCs/>
                    <w:sz w:val="22"/>
                    <w:szCs w:val="22"/>
                  </w:rPr>
                  <w:t>☒</w:t>
                </w:r>
              </w:p>
            </w:tc>
          </w:sdtContent>
        </w:sdt>
      </w:tr>
      <w:tr w:rsidR="00057F93" w:rsidRPr="001A076D" w14:paraId="02915622" w14:textId="77777777" w:rsidTr="00FE4F18">
        <w:tc>
          <w:tcPr>
            <w:tcW w:w="562" w:type="dxa"/>
            <w:shd w:val="clear" w:color="auto" w:fill="F2F2F2" w:themeFill="background1" w:themeFillShade="F2"/>
          </w:tcPr>
          <w:p w14:paraId="07F1E1A7" w14:textId="77777777" w:rsidR="0083387C" w:rsidRPr="001A076D" w:rsidRDefault="0083387C" w:rsidP="00FE4F18">
            <w:pPr>
              <w:autoSpaceDE w:val="0"/>
              <w:autoSpaceDN w:val="0"/>
              <w:adjustRightInd w:val="0"/>
              <w:rPr>
                <w:b/>
                <w:bCs/>
                <w:sz w:val="22"/>
                <w:szCs w:val="22"/>
              </w:rPr>
            </w:pPr>
          </w:p>
        </w:tc>
        <w:tc>
          <w:tcPr>
            <w:tcW w:w="8075" w:type="dxa"/>
            <w:gridSpan w:val="4"/>
            <w:shd w:val="clear" w:color="auto" w:fill="F2F2F2" w:themeFill="background1" w:themeFillShade="F2"/>
          </w:tcPr>
          <w:p w14:paraId="656A7B1D" w14:textId="77777777" w:rsidR="0083387C" w:rsidRPr="001A076D" w:rsidRDefault="0083387C" w:rsidP="00FE4F18">
            <w:pPr>
              <w:autoSpaceDE w:val="0"/>
              <w:autoSpaceDN w:val="0"/>
              <w:adjustRightInd w:val="0"/>
              <w:rPr>
                <w:b/>
                <w:bCs/>
                <w:sz w:val="22"/>
                <w:szCs w:val="22"/>
              </w:rPr>
            </w:pPr>
          </w:p>
        </w:tc>
        <w:tc>
          <w:tcPr>
            <w:tcW w:w="1843" w:type="dxa"/>
            <w:gridSpan w:val="2"/>
            <w:shd w:val="clear" w:color="auto" w:fill="F2F2F2" w:themeFill="background1" w:themeFillShade="F2"/>
          </w:tcPr>
          <w:p w14:paraId="4101F142" w14:textId="77777777" w:rsidR="0083387C" w:rsidRPr="001A076D" w:rsidRDefault="0083387C" w:rsidP="00FE4F18">
            <w:pPr>
              <w:autoSpaceDE w:val="0"/>
              <w:autoSpaceDN w:val="0"/>
              <w:adjustRightInd w:val="0"/>
              <w:jc w:val="center"/>
              <w:rPr>
                <w:b/>
                <w:bCs/>
                <w:i/>
                <w:sz w:val="22"/>
                <w:szCs w:val="22"/>
              </w:rPr>
            </w:pPr>
            <w:r w:rsidRPr="001A076D">
              <w:rPr>
                <w:b/>
                <w:bCs/>
                <w:i/>
                <w:sz w:val="22"/>
                <w:szCs w:val="22"/>
              </w:rPr>
              <w:t>Date</w:t>
            </w:r>
          </w:p>
        </w:tc>
      </w:tr>
      <w:tr w:rsidR="00057F93" w:rsidRPr="001A076D" w14:paraId="7123AC3A" w14:textId="77777777" w:rsidTr="00FE4F18">
        <w:trPr>
          <w:trHeight w:val="437"/>
        </w:trPr>
        <w:tc>
          <w:tcPr>
            <w:tcW w:w="562" w:type="dxa"/>
            <w:vMerge w:val="restart"/>
            <w:shd w:val="clear" w:color="auto" w:fill="F2F2F2" w:themeFill="background1" w:themeFillShade="F2"/>
          </w:tcPr>
          <w:p w14:paraId="1CA21212" w14:textId="77777777" w:rsidR="0083387C" w:rsidRPr="001A076D" w:rsidRDefault="0083387C" w:rsidP="00FE4F18">
            <w:pPr>
              <w:autoSpaceDE w:val="0"/>
              <w:autoSpaceDN w:val="0"/>
              <w:adjustRightInd w:val="0"/>
              <w:jc w:val="both"/>
              <w:rPr>
                <w:sz w:val="22"/>
                <w:szCs w:val="22"/>
              </w:rPr>
            </w:pPr>
            <w:r w:rsidRPr="001A076D">
              <w:rPr>
                <w:sz w:val="22"/>
                <w:szCs w:val="22"/>
              </w:rPr>
              <w:t>2</w:t>
            </w:r>
          </w:p>
        </w:tc>
        <w:tc>
          <w:tcPr>
            <w:tcW w:w="3693" w:type="dxa"/>
            <w:vMerge w:val="restart"/>
            <w:shd w:val="clear" w:color="auto" w:fill="F2F2F2" w:themeFill="background1" w:themeFillShade="F2"/>
          </w:tcPr>
          <w:p w14:paraId="109C0D78" w14:textId="77777777" w:rsidR="0083387C" w:rsidRPr="001A076D" w:rsidRDefault="0083387C" w:rsidP="00FE4F18">
            <w:pPr>
              <w:autoSpaceDE w:val="0"/>
              <w:autoSpaceDN w:val="0"/>
              <w:adjustRightInd w:val="0"/>
              <w:jc w:val="both"/>
              <w:rPr>
                <w:sz w:val="22"/>
                <w:szCs w:val="22"/>
              </w:rPr>
            </w:pPr>
            <w:r w:rsidRPr="001A076D">
              <w:rPr>
                <w:sz w:val="22"/>
                <w:szCs w:val="22"/>
              </w:rPr>
              <w:t>If Yes, please indicate source of approval (and date where known):</w:t>
            </w:r>
            <w:r w:rsidRPr="001A076D">
              <w:rPr>
                <w:bCs/>
                <w:i/>
                <w:iCs/>
              </w:rPr>
              <w:t xml:space="preserve"> </w:t>
            </w:r>
            <w:r w:rsidRPr="001A076D">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BD5F4D" w14:textId="77777777" w:rsidR="0083387C" w:rsidRPr="001A076D" w:rsidRDefault="0083387C" w:rsidP="00FE4F18">
            <w:pPr>
              <w:autoSpaceDE w:val="0"/>
              <w:autoSpaceDN w:val="0"/>
              <w:adjustRightInd w:val="0"/>
              <w:rPr>
                <w:sz w:val="22"/>
                <w:szCs w:val="22"/>
              </w:rPr>
            </w:pPr>
            <w:r w:rsidRPr="001A076D">
              <w:rPr>
                <w:sz w:val="22"/>
                <w:szCs w:val="22"/>
              </w:rPr>
              <w:t>Research Degrees Committee</w:t>
            </w:r>
          </w:p>
        </w:tc>
        <w:sdt>
          <w:sdtPr>
            <w:rPr>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FDFB5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tc>
          </w:sdtContent>
        </w:sdt>
        <w:tc>
          <w:tcPr>
            <w:tcW w:w="1843" w:type="dxa"/>
            <w:gridSpan w:val="2"/>
            <w:vAlign w:val="center"/>
          </w:tcPr>
          <w:p w14:paraId="4EA027CC"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r w:rsidR="00057F93" w:rsidRPr="001A076D" w14:paraId="5D704FFE" w14:textId="77777777" w:rsidTr="00FE4F18">
        <w:trPr>
          <w:trHeight w:val="415"/>
        </w:trPr>
        <w:tc>
          <w:tcPr>
            <w:tcW w:w="562" w:type="dxa"/>
            <w:vMerge/>
            <w:shd w:val="clear" w:color="auto" w:fill="F2F2F2" w:themeFill="background1" w:themeFillShade="F2"/>
          </w:tcPr>
          <w:p w14:paraId="0093153A" w14:textId="77777777" w:rsidR="0083387C" w:rsidRPr="001A076D" w:rsidRDefault="0083387C" w:rsidP="00FE4F18">
            <w:pPr>
              <w:autoSpaceDE w:val="0"/>
              <w:autoSpaceDN w:val="0"/>
              <w:adjustRightInd w:val="0"/>
              <w:jc w:val="both"/>
              <w:rPr>
                <w:sz w:val="22"/>
                <w:szCs w:val="22"/>
              </w:rPr>
            </w:pPr>
          </w:p>
        </w:tc>
        <w:tc>
          <w:tcPr>
            <w:tcW w:w="3693" w:type="dxa"/>
            <w:vMerge/>
            <w:shd w:val="clear" w:color="auto" w:fill="F2F2F2" w:themeFill="background1" w:themeFillShade="F2"/>
          </w:tcPr>
          <w:p w14:paraId="25A1F19E" w14:textId="77777777" w:rsidR="0083387C" w:rsidRPr="001A076D" w:rsidRDefault="0083387C" w:rsidP="00FE4F18">
            <w:pPr>
              <w:autoSpaceDE w:val="0"/>
              <w:autoSpaceDN w:val="0"/>
              <w:adjustRightInd w:val="0"/>
              <w:jc w:val="both"/>
              <w:rPr>
                <w:sz w:val="22"/>
                <w:szCs w:val="22"/>
              </w:rPr>
            </w:pPr>
          </w:p>
        </w:tc>
        <w:tc>
          <w:tcPr>
            <w:tcW w:w="3532" w:type="dxa"/>
            <w:gridSpan w:val="2"/>
            <w:shd w:val="clear" w:color="auto" w:fill="F2F2F2" w:themeFill="background1" w:themeFillShade="F2"/>
            <w:vAlign w:val="center"/>
          </w:tcPr>
          <w:p w14:paraId="50BEFFEF" w14:textId="77777777" w:rsidR="0083387C" w:rsidRPr="001A076D" w:rsidRDefault="0083387C" w:rsidP="00FE4F18">
            <w:pPr>
              <w:autoSpaceDE w:val="0"/>
              <w:autoSpaceDN w:val="0"/>
              <w:adjustRightInd w:val="0"/>
              <w:rPr>
                <w:sz w:val="22"/>
                <w:szCs w:val="22"/>
              </w:rPr>
            </w:pPr>
            <w:r w:rsidRPr="001A076D">
              <w:rPr>
                <w:sz w:val="22"/>
                <w:szCs w:val="22"/>
              </w:rPr>
              <w:t>Institute Research Committee</w:t>
            </w:r>
          </w:p>
        </w:tc>
        <w:sdt>
          <w:sdtPr>
            <w:rPr>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6D486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tc>
          </w:sdtContent>
        </w:sdt>
        <w:tc>
          <w:tcPr>
            <w:tcW w:w="1843" w:type="dxa"/>
            <w:gridSpan w:val="2"/>
            <w:vAlign w:val="center"/>
          </w:tcPr>
          <w:p w14:paraId="5D7E9D95"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r w:rsidR="004F2125" w:rsidRPr="001A076D" w14:paraId="478ED411" w14:textId="77777777" w:rsidTr="00FE4F18">
        <w:tc>
          <w:tcPr>
            <w:tcW w:w="562" w:type="dxa"/>
            <w:vMerge/>
            <w:shd w:val="clear" w:color="auto" w:fill="F2F2F2" w:themeFill="background1" w:themeFillShade="F2"/>
          </w:tcPr>
          <w:p w14:paraId="38B9AE92" w14:textId="77777777" w:rsidR="0083387C" w:rsidRPr="001A076D" w:rsidRDefault="0083387C" w:rsidP="00FE4F18">
            <w:pPr>
              <w:autoSpaceDE w:val="0"/>
              <w:autoSpaceDN w:val="0"/>
              <w:adjustRightInd w:val="0"/>
              <w:jc w:val="both"/>
              <w:rPr>
                <w:sz w:val="22"/>
                <w:szCs w:val="22"/>
              </w:rPr>
            </w:pPr>
          </w:p>
        </w:tc>
        <w:tc>
          <w:tcPr>
            <w:tcW w:w="3693" w:type="dxa"/>
            <w:vMerge/>
            <w:shd w:val="clear" w:color="auto" w:fill="F2F2F2" w:themeFill="background1" w:themeFillShade="F2"/>
          </w:tcPr>
          <w:p w14:paraId="466AF513" w14:textId="77777777" w:rsidR="0083387C" w:rsidRPr="001A076D" w:rsidRDefault="0083387C" w:rsidP="00FE4F18">
            <w:pPr>
              <w:autoSpaceDE w:val="0"/>
              <w:autoSpaceDN w:val="0"/>
              <w:adjustRightInd w:val="0"/>
              <w:jc w:val="both"/>
              <w:rPr>
                <w:sz w:val="22"/>
                <w:szCs w:val="22"/>
              </w:rPr>
            </w:pPr>
          </w:p>
        </w:tc>
        <w:tc>
          <w:tcPr>
            <w:tcW w:w="3532" w:type="dxa"/>
            <w:gridSpan w:val="2"/>
            <w:shd w:val="clear" w:color="auto" w:fill="F2F2F2" w:themeFill="background1" w:themeFillShade="F2"/>
            <w:vAlign w:val="center"/>
          </w:tcPr>
          <w:p w14:paraId="1048B22C" w14:textId="77777777" w:rsidR="0083387C" w:rsidRPr="001A076D" w:rsidRDefault="0083387C" w:rsidP="00FE4F18">
            <w:pPr>
              <w:autoSpaceDE w:val="0"/>
              <w:autoSpaceDN w:val="0"/>
              <w:adjustRightInd w:val="0"/>
              <w:rPr>
                <w:sz w:val="22"/>
                <w:szCs w:val="22"/>
              </w:rPr>
            </w:pPr>
            <w:r w:rsidRPr="001A076D">
              <w:rPr>
                <w:sz w:val="22"/>
                <w:szCs w:val="22"/>
              </w:rPr>
              <w:t>Other (write in)</w:t>
            </w:r>
          </w:p>
          <w:p w14:paraId="4FE7F469" w14:textId="77777777" w:rsidR="0083387C" w:rsidRPr="001A076D" w:rsidRDefault="0083387C" w:rsidP="00FE4F18">
            <w:pPr>
              <w:autoSpaceDE w:val="0"/>
              <w:autoSpaceDN w:val="0"/>
              <w:adjustRightInd w:val="0"/>
              <w:rPr>
                <w:sz w:val="22"/>
                <w:szCs w:val="22"/>
              </w:rPr>
            </w:pPr>
          </w:p>
        </w:tc>
        <w:sdt>
          <w:sdtPr>
            <w:rPr>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98435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tc>
          </w:sdtContent>
        </w:sdt>
        <w:tc>
          <w:tcPr>
            <w:tcW w:w="1843" w:type="dxa"/>
            <w:gridSpan w:val="2"/>
            <w:vAlign w:val="center"/>
          </w:tcPr>
          <w:p w14:paraId="3C5C9A0E"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bl>
    <w:p w14:paraId="4D6A66DE" w14:textId="77777777" w:rsidR="0083387C" w:rsidRPr="001A076D" w:rsidRDefault="0083387C" w:rsidP="0083387C">
      <w:pPr>
        <w:autoSpaceDE w:val="0"/>
        <w:autoSpaceDN w:val="0"/>
        <w:adjustRightInd w:val="0"/>
        <w:spacing w:after="240"/>
        <w:jc w:val="both"/>
        <w:rPr>
          <w:bCs/>
          <w:iCs/>
        </w:rPr>
      </w:pPr>
    </w:p>
    <w:p w14:paraId="05F9328F"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57F93" w:rsidRPr="001A076D" w14:paraId="30F92278" w14:textId="77777777" w:rsidTr="00FE4F18">
        <w:tc>
          <w:tcPr>
            <w:tcW w:w="562" w:type="dxa"/>
            <w:shd w:val="clear" w:color="auto" w:fill="F2F2F2" w:themeFill="background1" w:themeFillShade="F2"/>
          </w:tcPr>
          <w:p w14:paraId="44155E9B" w14:textId="77777777" w:rsidR="0083387C" w:rsidRPr="001A076D" w:rsidRDefault="0083387C" w:rsidP="00FE4F18">
            <w:pPr>
              <w:autoSpaceDE w:val="0"/>
              <w:autoSpaceDN w:val="0"/>
              <w:adjustRightInd w:val="0"/>
              <w:rPr>
                <w:sz w:val="22"/>
                <w:szCs w:val="22"/>
              </w:rPr>
            </w:pPr>
          </w:p>
        </w:tc>
        <w:tc>
          <w:tcPr>
            <w:tcW w:w="9918" w:type="dxa"/>
            <w:gridSpan w:val="2"/>
            <w:shd w:val="clear" w:color="auto" w:fill="F2F2F2" w:themeFill="background1" w:themeFillShade="F2"/>
          </w:tcPr>
          <w:p w14:paraId="02DB452B" w14:textId="77777777" w:rsidR="0083387C" w:rsidRPr="001A076D" w:rsidRDefault="0083387C" w:rsidP="00FE4F18">
            <w:pPr>
              <w:autoSpaceDE w:val="0"/>
              <w:autoSpaceDN w:val="0"/>
              <w:adjustRightInd w:val="0"/>
              <w:rPr>
                <w:sz w:val="22"/>
                <w:szCs w:val="22"/>
              </w:rPr>
            </w:pPr>
            <w:r w:rsidRPr="001A076D">
              <w:rPr>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57F93" w:rsidRPr="001A076D" w14:paraId="7E0219DC" w14:textId="77777777" w:rsidTr="00FE4F18">
        <w:trPr>
          <w:trHeight w:val="355"/>
        </w:trPr>
        <w:tc>
          <w:tcPr>
            <w:tcW w:w="562" w:type="dxa"/>
            <w:vAlign w:val="center"/>
          </w:tcPr>
          <w:p w14:paraId="60AC10A3" w14:textId="77777777" w:rsidR="0083387C" w:rsidRPr="001A076D" w:rsidRDefault="0083387C" w:rsidP="00FE4F18">
            <w:pPr>
              <w:autoSpaceDE w:val="0"/>
              <w:autoSpaceDN w:val="0"/>
              <w:adjustRightInd w:val="0"/>
              <w:rPr>
                <w:sz w:val="22"/>
                <w:szCs w:val="22"/>
              </w:rPr>
            </w:pPr>
            <w:r w:rsidRPr="001A076D">
              <w:rPr>
                <w:sz w:val="22"/>
                <w:szCs w:val="22"/>
              </w:rPr>
              <w:t>1</w:t>
            </w:r>
          </w:p>
        </w:tc>
        <w:tc>
          <w:tcPr>
            <w:tcW w:w="8784" w:type="dxa"/>
            <w:vAlign w:val="center"/>
          </w:tcPr>
          <w:p w14:paraId="44073327" w14:textId="77777777" w:rsidR="0083387C" w:rsidRPr="001A076D" w:rsidRDefault="0083387C" w:rsidP="00FE4F18">
            <w:pPr>
              <w:autoSpaceDE w:val="0"/>
              <w:autoSpaceDN w:val="0"/>
              <w:adjustRightInd w:val="0"/>
              <w:rPr>
                <w:b/>
                <w:bCs/>
                <w:sz w:val="22"/>
                <w:szCs w:val="22"/>
              </w:rPr>
            </w:pPr>
            <w:hyperlink r:id="rId99" w:history="1">
              <w:r w:rsidRPr="001A076D">
                <w:rPr>
                  <w:rStyle w:val="Hyperlink"/>
                  <w:rFonts w:eastAsiaTheme="majorEastAsia"/>
                  <w:b/>
                  <w:bCs/>
                  <w:color w:val="auto"/>
                  <w:sz w:val="22"/>
                  <w:szCs w:val="22"/>
                </w:rPr>
                <w:t>UWTSD Research Ethics &amp; Integrity Code of Practice</w:t>
              </w:r>
            </w:hyperlink>
          </w:p>
        </w:tc>
        <w:sdt>
          <w:sdtPr>
            <w:rPr>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342354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tc>
          </w:sdtContent>
        </w:sdt>
      </w:tr>
      <w:tr w:rsidR="00057F93" w:rsidRPr="001A076D" w14:paraId="6F318C6C" w14:textId="77777777" w:rsidTr="00FE4F18">
        <w:trPr>
          <w:trHeight w:val="417"/>
        </w:trPr>
        <w:tc>
          <w:tcPr>
            <w:tcW w:w="562" w:type="dxa"/>
            <w:vAlign w:val="center"/>
          </w:tcPr>
          <w:p w14:paraId="31A71AEA" w14:textId="77777777" w:rsidR="0083387C" w:rsidRPr="001A076D" w:rsidRDefault="0083387C" w:rsidP="00FE4F18">
            <w:pPr>
              <w:autoSpaceDE w:val="0"/>
              <w:autoSpaceDN w:val="0"/>
              <w:adjustRightInd w:val="0"/>
              <w:rPr>
                <w:sz w:val="22"/>
                <w:szCs w:val="22"/>
              </w:rPr>
            </w:pPr>
            <w:r w:rsidRPr="001A076D">
              <w:rPr>
                <w:sz w:val="22"/>
                <w:szCs w:val="22"/>
              </w:rPr>
              <w:t>2</w:t>
            </w:r>
          </w:p>
        </w:tc>
        <w:tc>
          <w:tcPr>
            <w:tcW w:w="8784" w:type="dxa"/>
            <w:vAlign w:val="center"/>
          </w:tcPr>
          <w:p w14:paraId="72C03E93" w14:textId="77777777" w:rsidR="0083387C" w:rsidRPr="001A076D" w:rsidRDefault="0083387C" w:rsidP="00FE4F18">
            <w:pPr>
              <w:autoSpaceDE w:val="0"/>
              <w:autoSpaceDN w:val="0"/>
              <w:adjustRightInd w:val="0"/>
              <w:rPr>
                <w:b/>
                <w:bCs/>
                <w:sz w:val="22"/>
                <w:szCs w:val="22"/>
              </w:rPr>
            </w:pPr>
            <w:r w:rsidRPr="001A076D">
              <w:rPr>
                <w:b/>
                <w:bCs/>
                <w:sz w:val="22"/>
                <w:szCs w:val="22"/>
              </w:rPr>
              <w:t>UWTSD Research Data Management Policy</w:t>
            </w:r>
          </w:p>
        </w:tc>
        <w:tc>
          <w:tcPr>
            <w:tcW w:w="1134" w:type="dxa"/>
            <w:shd w:val="clear" w:color="auto" w:fill="BFBFBF" w:themeFill="background1" w:themeFillShade="BF"/>
            <w:vAlign w:val="center"/>
          </w:tcPr>
          <w:sdt>
            <w:sdtPr>
              <w:rPr>
                <w:sz w:val="22"/>
                <w:szCs w:val="22"/>
              </w:rPr>
              <w:id w:val="-2040961117"/>
              <w14:checkbox>
                <w14:checked w14:val="1"/>
                <w14:checkedState w14:val="2612" w14:font="MS Gothic"/>
                <w14:uncheckedState w14:val="2610" w14:font="MS Gothic"/>
              </w14:checkbox>
            </w:sdtPr>
            <w:sdtContent>
              <w:p w14:paraId="542D76C0" w14:textId="77777777" w:rsidR="0083387C" w:rsidRPr="001A076D" w:rsidRDefault="0083387C" w:rsidP="00FE4F18">
                <w:pPr>
                  <w:autoSpaceDE w:val="0"/>
                  <w:autoSpaceDN w:val="0"/>
                  <w:adjustRightInd w:val="0"/>
                  <w:jc w:val="center"/>
                  <w:rPr>
                    <w:i/>
                    <w:sz w:val="22"/>
                    <w:szCs w:val="22"/>
                  </w:rPr>
                </w:pPr>
                <w:r w:rsidRPr="001A076D">
                  <w:rPr>
                    <w:rFonts w:ascii="Segoe UI Symbol" w:eastAsia="MS Gothic" w:hAnsi="Segoe UI Symbol" w:cs="Segoe UI Symbol"/>
                    <w:sz w:val="22"/>
                    <w:szCs w:val="22"/>
                  </w:rPr>
                  <w:t>☒</w:t>
                </w:r>
              </w:p>
            </w:sdtContent>
          </w:sdt>
        </w:tc>
      </w:tr>
      <w:tr w:rsidR="004F2125" w:rsidRPr="001A076D" w14:paraId="4830E17F" w14:textId="77777777" w:rsidTr="00FE4F18">
        <w:trPr>
          <w:trHeight w:val="409"/>
        </w:trPr>
        <w:tc>
          <w:tcPr>
            <w:tcW w:w="562" w:type="dxa"/>
            <w:vAlign w:val="center"/>
          </w:tcPr>
          <w:p w14:paraId="5AE501EB" w14:textId="77777777" w:rsidR="0083387C" w:rsidRPr="001A076D" w:rsidRDefault="0083387C" w:rsidP="00FE4F18">
            <w:pPr>
              <w:autoSpaceDE w:val="0"/>
              <w:autoSpaceDN w:val="0"/>
              <w:adjustRightInd w:val="0"/>
              <w:rPr>
                <w:sz w:val="22"/>
                <w:szCs w:val="22"/>
              </w:rPr>
            </w:pPr>
            <w:r w:rsidRPr="001A076D">
              <w:rPr>
                <w:sz w:val="22"/>
                <w:szCs w:val="22"/>
              </w:rPr>
              <w:t>3</w:t>
            </w:r>
          </w:p>
        </w:tc>
        <w:tc>
          <w:tcPr>
            <w:tcW w:w="8784" w:type="dxa"/>
            <w:vAlign w:val="center"/>
          </w:tcPr>
          <w:p w14:paraId="1E8789C9" w14:textId="77777777" w:rsidR="0083387C" w:rsidRPr="001A076D" w:rsidRDefault="0083387C" w:rsidP="00FE4F18">
            <w:pPr>
              <w:autoSpaceDE w:val="0"/>
              <w:autoSpaceDN w:val="0"/>
              <w:adjustRightInd w:val="0"/>
              <w:rPr>
                <w:i/>
                <w:sz w:val="22"/>
                <w:szCs w:val="22"/>
              </w:rPr>
            </w:pPr>
            <w:r w:rsidRPr="001A076D">
              <w:rPr>
                <w:i/>
                <w:sz w:val="22"/>
                <w:szCs w:val="22"/>
              </w:rPr>
              <w:t>[List any other relevant documents here]</w:t>
            </w:r>
          </w:p>
          <w:p w14:paraId="50BDAFB2" w14:textId="77777777" w:rsidR="0083387C" w:rsidRPr="001A076D" w:rsidRDefault="0083387C" w:rsidP="00FE4F18">
            <w:pPr>
              <w:autoSpaceDE w:val="0"/>
              <w:autoSpaceDN w:val="0"/>
              <w:adjustRightInd w:val="0"/>
              <w:rPr>
                <w:iCs/>
                <w:sz w:val="22"/>
                <w:szCs w:val="22"/>
              </w:rPr>
            </w:pPr>
            <w:r w:rsidRPr="001A076D">
              <w:rPr>
                <w:b/>
                <w:bCs/>
                <w:iCs/>
                <w:sz w:val="22"/>
                <w:szCs w:val="22"/>
              </w:rPr>
              <w:t>3. Health and Care Professions Council (HCPC) Standards of Conduct, Performance and Ethics</w:t>
            </w:r>
          </w:p>
          <w:p w14:paraId="180A2B0A" w14:textId="77777777" w:rsidR="0083387C" w:rsidRPr="001A076D" w:rsidRDefault="0083387C" w:rsidP="00FE4F18">
            <w:pPr>
              <w:autoSpaceDE w:val="0"/>
              <w:autoSpaceDN w:val="0"/>
              <w:adjustRightInd w:val="0"/>
              <w:rPr>
                <w:iCs/>
                <w:sz w:val="22"/>
                <w:szCs w:val="22"/>
              </w:rPr>
            </w:pPr>
            <w:r w:rsidRPr="001A076D">
              <w:rPr>
                <w:b/>
                <w:bCs/>
                <w:iCs/>
                <w:sz w:val="22"/>
                <w:szCs w:val="22"/>
              </w:rPr>
              <w:t>4. The Concordat to Support Research Integrity (UKRI-endorsed)</w:t>
            </w:r>
          </w:p>
          <w:p w14:paraId="5921DD46" w14:textId="77777777" w:rsidR="0083387C" w:rsidRPr="001A076D" w:rsidRDefault="0083387C" w:rsidP="00FE4F18">
            <w:pPr>
              <w:autoSpaceDE w:val="0"/>
              <w:autoSpaceDN w:val="0"/>
              <w:adjustRightInd w:val="0"/>
              <w:rPr>
                <w:iCs/>
                <w:sz w:val="22"/>
                <w:szCs w:val="22"/>
              </w:rPr>
            </w:pPr>
            <w:r w:rsidRPr="001A076D">
              <w:rPr>
                <w:b/>
                <w:bCs/>
                <w:iCs/>
                <w:sz w:val="22"/>
                <w:szCs w:val="22"/>
              </w:rPr>
              <w:t>5. UWTSD Privacy Policy and IT Acceptable Use Policy</w:t>
            </w:r>
          </w:p>
          <w:p w14:paraId="03329A94" w14:textId="77777777" w:rsidR="0083387C" w:rsidRPr="001A076D" w:rsidRDefault="0083387C" w:rsidP="00FE4F18">
            <w:pPr>
              <w:autoSpaceDE w:val="0"/>
              <w:autoSpaceDN w:val="0"/>
              <w:adjustRightInd w:val="0"/>
              <w:rPr>
                <w:iCs/>
                <w:sz w:val="22"/>
                <w:szCs w:val="22"/>
              </w:rPr>
            </w:pPr>
            <w:r w:rsidRPr="001A076D">
              <w:rPr>
                <w:b/>
                <w:bCs/>
                <w:iCs/>
                <w:sz w:val="22"/>
                <w:szCs w:val="22"/>
              </w:rPr>
              <w:t>6. EDM Council DCAM® (Data Management Capability Assessment Model) – Ethics &amp; Governance Standards</w:t>
            </w:r>
          </w:p>
          <w:p w14:paraId="49F77248" w14:textId="784CA4FB" w:rsidR="0083387C" w:rsidRPr="001A076D" w:rsidRDefault="0083387C" w:rsidP="00685192">
            <w:pPr>
              <w:autoSpaceDE w:val="0"/>
              <w:autoSpaceDN w:val="0"/>
              <w:adjustRightInd w:val="0"/>
              <w:rPr>
                <w:iCs/>
                <w:sz w:val="22"/>
                <w:szCs w:val="22"/>
              </w:rPr>
            </w:pPr>
            <w:r w:rsidRPr="001A076D">
              <w:rPr>
                <w:b/>
                <w:bCs/>
                <w:iCs/>
                <w:sz w:val="22"/>
                <w:szCs w:val="22"/>
              </w:rPr>
              <w:t>7. Ofgem Data Best Practice Guidance (where applicable to energy data governance context)</w:t>
            </w:r>
          </w:p>
        </w:tc>
        <w:tc>
          <w:tcPr>
            <w:tcW w:w="1134" w:type="dxa"/>
            <w:shd w:val="clear" w:color="auto" w:fill="BFBFBF" w:themeFill="background1" w:themeFillShade="BF"/>
            <w:vAlign w:val="center"/>
          </w:tcPr>
          <w:sdt>
            <w:sdtPr>
              <w:rPr>
                <w:sz w:val="22"/>
                <w:szCs w:val="22"/>
              </w:rPr>
              <w:id w:val="-2087453121"/>
              <w14:checkbox>
                <w14:checked w14:val="1"/>
                <w14:checkedState w14:val="2612" w14:font="MS Gothic"/>
                <w14:uncheckedState w14:val="2610" w14:font="MS Gothic"/>
              </w14:checkbox>
            </w:sdtPr>
            <w:sdtContent>
              <w:p w14:paraId="34E8206E" w14:textId="77777777" w:rsidR="0083387C" w:rsidRPr="001A076D" w:rsidRDefault="0083387C" w:rsidP="00FE4F18">
                <w:pPr>
                  <w:autoSpaceDE w:val="0"/>
                  <w:autoSpaceDN w:val="0"/>
                  <w:adjustRightInd w:val="0"/>
                  <w:jc w:val="center"/>
                  <w:rPr>
                    <w:i/>
                    <w:sz w:val="22"/>
                    <w:szCs w:val="22"/>
                  </w:rPr>
                </w:pPr>
                <w:r w:rsidRPr="001A076D">
                  <w:rPr>
                    <w:rFonts w:ascii="Segoe UI Symbol" w:eastAsia="MS Gothic" w:hAnsi="Segoe UI Symbol" w:cs="Segoe UI Symbol"/>
                    <w:sz w:val="22"/>
                    <w:szCs w:val="22"/>
                  </w:rPr>
                  <w:t>☒</w:t>
                </w:r>
              </w:p>
            </w:sdtContent>
          </w:sdt>
        </w:tc>
      </w:tr>
    </w:tbl>
    <w:p w14:paraId="16478E32" w14:textId="77777777" w:rsidR="0083387C" w:rsidRPr="001A076D" w:rsidRDefault="0083387C" w:rsidP="0083387C">
      <w:pPr>
        <w:autoSpaceDE w:val="0"/>
        <w:autoSpaceDN w:val="0"/>
        <w:adjustRightInd w:val="0"/>
        <w:spacing w:after="240"/>
        <w:jc w:val="both"/>
        <w:rPr>
          <w:b/>
          <w:sz w:val="22"/>
          <w:szCs w:val="22"/>
        </w:rPr>
      </w:pPr>
    </w:p>
    <w:p w14:paraId="5226CB76" w14:textId="77777777" w:rsidR="0083387C" w:rsidRPr="001A076D" w:rsidRDefault="0083387C" w:rsidP="0083387C">
      <w:pPr>
        <w:autoSpaceDE w:val="0"/>
        <w:autoSpaceDN w:val="0"/>
        <w:adjustRightInd w:val="0"/>
        <w:jc w:val="both"/>
        <w:rPr>
          <w:b/>
          <w:sz w:val="22"/>
          <w:szCs w:val="22"/>
        </w:rPr>
      </w:pPr>
      <w:r w:rsidRPr="001A076D">
        <w:rPr>
          <w:b/>
          <w:sz w:val="22"/>
          <w:szCs w:val="22"/>
        </w:rPr>
        <w:t>SECTION D: External Collaborative Research Activity</w:t>
      </w:r>
    </w:p>
    <w:p w14:paraId="355849A8" w14:textId="77777777" w:rsidR="0083387C" w:rsidRPr="001A076D" w:rsidRDefault="0083387C" w:rsidP="0083387C">
      <w:pPr>
        <w:autoSpaceDE w:val="0"/>
        <w:autoSpaceDN w:val="0"/>
        <w:adjustRightInd w:val="0"/>
        <w:spacing w:after="240"/>
        <w:jc w:val="both"/>
        <w:rPr>
          <w:sz w:val="22"/>
          <w:szCs w:val="22"/>
        </w:rPr>
      </w:pPr>
      <w:r w:rsidRPr="001A076D">
        <w:rPr>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57F93" w:rsidRPr="001A076D" w14:paraId="27B68C10" w14:textId="77777777" w:rsidTr="00FE4F18">
        <w:trPr>
          <w:trHeight w:val="227"/>
        </w:trPr>
        <w:tc>
          <w:tcPr>
            <w:tcW w:w="562" w:type="dxa"/>
            <w:shd w:val="clear" w:color="auto" w:fill="F2F2F2" w:themeFill="background1" w:themeFillShade="F2"/>
          </w:tcPr>
          <w:p w14:paraId="170E7911" w14:textId="77777777" w:rsidR="0083387C" w:rsidRPr="001A076D" w:rsidRDefault="0083387C" w:rsidP="00FE4F18">
            <w:pPr>
              <w:autoSpaceDE w:val="0"/>
              <w:autoSpaceDN w:val="0"/>
              <w:adjustRightInd w:val="0"/>
              <w:rPr>
                <w:sz w:val="22"/>
                <w:szCs w:val="22"/>
              </w:rPr>
            </w:pPr>
            <w:r w:rsidRPr="001A076D">
              <w:rPr>
                <w:sz w:val="22"/>
                <w:szCs w:val="22"/>
              </w:rPr>
              <w:t>1</w:t>
            </w:r>
          </w:p>
        </w:tc>
        <w:tc>
          <w:tcPr>
            <w:tcW w:w="3823" w:type="dxa"/>
            <w:shd w:val="clear" w:color="auto" w:fill="F2F2F2" w:themeFill="background1" w:themeFillShade="F2"/>
          </w:tcPr>
          <w:p w14:paraId="21473C26" w14:textId="77777777" w:rsidR="0083387C" w:rsidRPr="001A076D" w:rsidRDefault="0083387C" w:rsidP="00FE4F18">
            <w:pPr>
              <w:autoSpaceDE w:val="0"/>
              <w:autoSpaceDN w:val="0"/>
              <w:adjustRightInd w:val="0"/>
              <w:jc w:val="both"/>
              <w:rPr>
                <w:sz w:val="22"/>
                <w:szCs w:val="22"/>
              </w:rPr>
            </w:pPr>
            <w:r w:rsidRPr="001A076D">
              <w:rPr>
                <w:sz w:val="22"/>
                <w:szCs w:val="22"/>
              </w:rPr>
              <w:t>Institution</w:t>
            </w:r>
          </w:p>
        </w:tc>
        <w:tc>
          <w:tcPr>
            <w:tcW w:w="6095" w:type="dxa"/>
            <w:gridSpan w:val="6"/>
          </w:tcPr>
          <w:p w14:paraId="44DB2F68" w14:textId="77777777" w:rsidR="0083387C" w:rsidRPr="001A076D" w:rsidRDefault="0083387C" w:rsidP="00FE4F18">
            <w:pPr>
              <w:autoSpaceDE w:val="0"/>
              <w:autoSpaceDN w:val="0"/>
              <w:adjustRightInd w:val="0"/>
              <w:rPr>
                <w:bCs/>
                <w:sz w:val="22"/>
                <w:szCs w:val="22"/>
              </w:rPr>
            </w:pPr>
            <w:r w:rsidRPr="001A076D">
              <w:rPr>
                <w:bCs/>
                <w:sz w:val="22"/>
                <w:szCs w:val="22"/>
              </w:rPr>
              <w:t>SSE PLC</w:t>
            </w:r>
          </w:p>
        </w:tc>
      </w:tr>
      <w:tr w:rsidR="00057F93" w:rsidRPr="001A076D" w14:paraId="496CEC00" w14:textId="77777777" w:rsidTr="00FE4F18">
        <w:trPr>
          <w:trHeight w:val="227"/>
        </w:trPr>
        <w:tc>
          <w:tcPr>
            <w:tcW w:w="562" w:type="dxa"/>
            <w:shd w:val="clear" w:color="auto" w:fill="F2F2F2" w:themeFill="background1" w:themeFillShade="F2"/>
          </w:tcPr>
          <w:p w14:paraId="21280F24" w14:textId="77777777" w:rsidR="0083387C" w:rsidRPr="001A076D" w:rsidRDefault="0083387C" w:rsidP="00FE4F18">
            <w:pPr>
              <w:autoSpaceDE w:val="0"/>
              <w:autoSpaceDN w:val="0"/>
              <w:adjustRightInd w:val="0"/>
              <w:rPr>
                <w:sz w:val="22"/>
                <w:szCs w:val="22"/>
              </w:rPr>
            </w:pPr>
            <w:r w:rsidRPr="001A076D">
              <w:rPr>
                <w:sz w:val="22"/>
                <w:szCs w:val="22"/>
              </w:rPr>
              <w:t>2</w:t>
            </w:r>
          </w:p>
        </w:tc>
        <w:tc>
          <w:tcPr>
            <w:tcW w:w="3823" w:type="dxa"/>
            <w:shd w:val="clear" w:color="auto" w:fill="F2F2F2" w:themeFill="background1" w:themeFillShade="F2"/>
          </w:tcPr>
          <w:p w14:paraId="18D99CF1" w14:textId="77777777" w:rsidR="0083387C" w:rsidRPr="001A076D" w:rsidRDefault="0083387C" w:rsidP="00FE4F18">
            <w:pPr>
              <w:autoSpaceDE w:val="0"/>
              <w:autoSpaceDN w:val="0"/>
              <w:adjustRightInd w:val="0"/>
              <w:jc w:val="both"/>
              <w:rPr>
                <w:sz w:val="22"/>
                <w:szCs w:val="22"/>
              </w:rPr>
            </w:pPr>
            <w:r w:rsidRPr="001A076D">
              <w:rPr>
                <w:sz w:val="22"/>
                <w:szCs w:val="22"/>
              </w:rPr>
              <w:t>Contact person name</w:t>
            </w:r>
          </w:p>
        </w:tc>
        <w:tc>
          <w:tcPr>
            <w:tcW w:w="6095" w:type="dxa"/>
            <w:gridSpan w:val="6"/>
          </w:tcPr>
          <w:p w14:paraId="6F667A40" w14:textId="48A8C4A3" w:rsidR="0083387C" w:rsidRPr="001A076D" w:rsidRDefault="00685192" w:rsidP="00FE4F18">
            <w:pPr>
              <w:autoSpaceDE w:val="0"/>
              <w:autoSpaceDN w:val="0"/>
              <w:adjustRightInd w:val="0"/>
              <w:rPr>
                <w:bCs/>
                <w:sz w:val="22"/>
                <w:szCs w:val="22"/>
              </w:rPr>
            </w:pPr>
            <w:r w:rsidRPr="001A076D">
              <w:rPr>
                <w:bCs/>
                <w:sz w:val="22"/>
                <w:szCs w:val="22"/>
              </w:rPr>
              <w:t>Chris Rogers</w:t>
            </w:r>
          </w:p>
        </w:tc>
      </w:tr>
      <w:tr w:rsidR="00057F93" w:rsidRPr="001A076D" w14:paraId="17B1DF75" w14:textId="77777777" w:rsidTr="00FE4F18">
        <w:trPr>
          <w:trHeight w:val="227"/>
        </w:trPr>
        <w:tc>
          <w:tcPr>
            <w:tcW w:w="562" w:type="dxa"/>
            <w:shd w:val="clear" w:color="auto" w:fill="F2F2F2" w:themeFill="background1" w:themeFillShade="F2"/>
          </w:tcPr>
          <w:p w14:paraId="72A6947D" w14:textId="77777777" w:rsidR="0083387C" w:rsidRPr="001A076D" w:rsidRDefault="0083387C" w:rsidP="00FE4F18">
            <w:pPr>
              <w:autoSpaceDE w:val="0"/>
              <w:autoSpaceDN w:val="0"/>
              <w:adjustRightInd w:val="0"/>
              <w:rPr>
                <w:sz w:val="22"/>
                <w:szCs w:val="22"/>
              </w:rPr>
            </w:pPr>
            <w:r w:rsidRPr="001A076D">
              <w:rPr>
                <w:sz w:val="22"/>
                <w:szCs w:val="22"/>
              </w:rPr>
              <w:t>3</w:t>
            </w:r>
          </w:p>
        </w:tc>
        <w:tc>
          <w:tcPr>
            <w:tcW w:w="3823" w:type="dxa"/>
            <w:shd w:val="clear" w:color="auto" w:fill="F2F2F2" w:themeFill="background1" w:themeFillShade="F2"/>
          </w:tcPr>
          <w:p w14:paraId="7B9B6D1A" w14:textId="77777777" w:rsidR="0083387C" w:rsidRPr="001A076D" w:rsidRDefault="0083387C" w:rsidP="00FE4F18">
            <w:pPr>
              <w:autoSpaceDE w:val="0"/>
              <w:autoSpaceDN w:val="0"/>
              <w:adjustRightInd w:val="0"/>
              <w:jc w:val="both"/>
              <w:rPr>
                <w:sz w:val="22"/>
                <w:szCs w:val="22"/>
              </w:rPr>
            </w:pPr>
            <w:r w:rsidRPr="001A076D">
              <w:rPr>
                <w:sz w:val="22"/>
                <w:szCs w:val="22"/>
              </w:rPr>
              <w:t>Contact person e-mail address</w:t>
            </w:r>
          </w:p>
          <w:p w14:paraId="14B57BA7" w14:textId="77777777" w:rsidR="0083387C" w:rsidRPr="001A076D" w:rsidRDefault="0083387C" w:rsidP="00FE4F18">
            <w:pPr>
              <w:autoSpaceDE w:val="0"/>
              <w:autoSpaceDN w:val="0"/>
              <w:adjustRightInd w:val="0"/>
              <w:jc w:val="both"/>
              <w:rPr>
                <w:sz w:val="22"/>
                <w:szCs w:val="22"/>
              </w:rPr>
            </w:pPr>
          </w:p>
        </w:tc>
        <w:tc>
          <w:tcPr>
            <w:tcW w:w="6095" w:type="dxa"/>
            <w:gridSpan w:val="6"/>
          </w:tcPr>
          <w:p w14:paraId="11557D3A" w14:textId="1C3A4A15" w:rsidR="0083387C" w:rsidRPr="001A076D" w:rsidRDefault="00685192" w:rsidP="00FE4F18">
            <w:pPr>
              <w:autoSpaceDE w:val="0"/>
              <w:autoSpaceDN w:val="0"/>
              <w:adjustRightInd w:val="0"/>
              <w:rPr>
                <w:bCs/>
                <w:sz w:val="22"/>
                <w:szCs w:val="22"/>
              </w:rPr>
            </w:pPr>
            <w:r w:rsidRPr="001A076D">
              <w:rPr>
                <w:bCs/>
                <w:sz w:val="22"/>
                <w:szCs w:val="22"/>
              </w:rPr>
              <w:t xml:space="preserve">Confidential </w:t>
            </w:r>
          </w:p>
        </w:tc>
      </w:tr>
      <w:tr w:rsidR="00057F93" w:rsidRPr="001A076D" w14:paraId="6F96AE82" w14:textId="77777777" w:rsidTr="00FE4F18">
        <w:tc>
          <w:tcPr>
            <w:tcW w:w="562" w:type="dxa"/>
            <w:shd w:val="clear" w:color="auto" w:fill="F2F2F2" w:themeFill="background1" w:themeFillShade="F2"/>
          </w:tcPr>
          <w:p w14:paraId="1DD646A0" w14:textId="77777777" w:rsidR="0083387C" w:rsidRPr="001A076D" w:rsidRDefault="0083387C" w:rsidP="00FE4F18">
            <w:pPr>
              <w:autoSpaceDE w:val="0"/>
              <w:autoSpaceDN w:val="0"/>
              <w:adjustRightInd w:val="0"/>
              <w:rPr>
                <w:sz w:val="22"/>
                <w:szCs w:val="22"/>
              </w:rPr>
            </w:pPr>
            <w:r w:rsidRPr="001A076D">
              <w:rPr>
                <w:sz w:val="22"/>
                <w:szCs w:val="22"/>
              </w:rPr>
              <w:t>4</w:t>
            </w:r>
          </w:p>
        </w:tc>
        <w:tc>
          <w:tcPr>
            <w:tcW w:w="6232" w:type="dxa"/>
            <w:gridSpan w:val="2"/>
            <w:shd w:val="clear" w:color="auto" w:fill="F2F2F2" w:themeFill="background1" w:themeFillShade="F2"/>
          </w:tcPr>
          <w:p w14:paraId="406027AA" w14:textId="77777777" w:rsidR="0083387C" w:rsidRPr="001A076D" w:rsidRDefault="0083387C" w:rsidP="00FE4F18">
            <w:pPr>
              <w:autoSpaceDE w:val="0"/>
              <w:autoSpaceDN w:val="0"/>
              <w:adjustRightInd w:val="0"/>
              <w:rPr>
                <w:sz w:val="22"/>
                <w:szCs w:val="22"/>
              </w:rPr>
            </w:pPr>
            <w:r w:rsidRPr="001A076D">
              <w:rPr>
                <w:sz w:val="22"/>
                <w:szCs w:val="22"/>
              </w:rPr>
              <w:t>Is your research externally funded?</w:t>
            </w:r>
          </w:p>
        </w:tc>
        <w:tc>
          <w:tcPr>
            <w:tcW w:w="993" w:type="dxa"/>
            <w:shd w:val="clear" w:color="auto" w:fill="F2F2F2" w:themeFill="background1" w:themeFillShade="F2"/>
            <w:vAlign w:val="center"/>
          </w:tcPr>
          <w:p w14:paraId="43DE7FCC" w14:textId="77777777" w:rsidR="0083387C" w:rsidRPr="001A076D" w:rsidRDefault="0083387C" w:rsidP="00FE4F18">
            <w:pPr>
              <w:autoSpaceDE w:val="0"/>
              <w:autoSpaceDN w:val="0"/>
              <w:adjustRightInd w:val="0"/>
              <w:jc w:val="center"/>
              <w:rPr>
                <w:bCs/>
                <w:sz w:val="22"/>
                <w:szCs w:val="22"/>
              </w:rPr>
            </w:pPr>
            <w:r w:rsidRPr="001A076D">
              <w:rPr>
                <w:b/>
                <w:sz w:val="22"/>
                <w:szCs w:val="22"/>
              </w:rPr>
              <w:t>YES</w:t>
            </w:r>
          </w:p>
        </w:tc>
        <w:tc>
          <w:tcPr>
            <w:tcW w:w="850" w:type="dxa"/>
            <w:shd w:val="clear" w:color="auto" w:fill="D9D9D9" w:themeFill="background1" w:themeFillShade="D9"/>
            <w:vAlign w:val="center"/>
          </w:tcPr>
          <w:p w14:paraId="49D9832F" w14:textId="77777777" w:rsidR="0083387C" w:rsidRPr="001A076D" w:rsidRDefault="00000000" w:rsidP="00FE4F18">
            <w:pPr>
              <w:autoSpaceDE w:val="0"/>
              <w:autoSpaceDN w:val="0"/>
              <w:adjustRightInd w:val="0"/>
              <w:jc w:val="center"/>
              <w:rPr>
                <w:sz w:val="22"/>
                <w:szCs w:val="22"/>
              </w:rPr>
            </w:pPr>
            <w:sdt>
              <w:sdtPr>
                <w:rPr>
                  <w:sz w:val="22"/>
                  <w:szCs w:val="22"/>
                </w:rPr>
                <w:id w:val="1563443322"/>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88A8641" w14:textId="77777777" w:rsidR="0083387C" w:rsidRPr="001A076D" w:rsidRDefault="0083387C" w:rsidP="00FE4F18">
            <w:pPr>
              <w:autoSpaceDE w:val="0"/>
              <w:autoSpaceDN w:val="0"/>
              <w:adjustRightInd w:val="0"/>
              <w:jc w:val="center"/>
              <w:rPr>
                <w:bCs/>
                <w:sz w:val="22"/>
                <w:szCs w:val="22"/>
              </w:rPr>
            </w:pPr>
            <w:r w:rsidRPr="001A076D">
              <w:rPr>
                <w:b/>
                <w:sz w:val="22"/>
                <w:szCs w:val="22"/>
              </w:rPr>
              <w:t>NO</w:t>
            </w:r>
          </w:p>
        </w:tc>
        <w:tc>
          <w:tcPr>
            <w:tcW w:w="851" w:type="dxa"/>
            <w:shd w:val="clear" w:color="auto" w:fill="D9D9D9" w:themeFill="background1" w:themeFillShade="D9"/>
            <w:vAlign w:val="center"/>
          </w:tcPr>
          <w:sdt>
            <w:sdtPr>
              <w:rPr>
                <w:bCs/>
                <w:sz w:val="22"/>
                <w:szCs w:val="22"/>
              </w:rPr>
              <w:id w:val="-748419000"/>
              <w14:checkbox>
                <w14:checked w14:val="1"/>
                <w14:checkedState w14:val="2612" w14:font="MS Gothic"/>
                <w14:uncheckedState w14:val="2610" w14:font="MS Gothic"/>
              </w14:checkbox>
            </w:sdtPr>
            <w:sdtContent>
              <w:p w14:paraId="354D3FD5"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2591DD97" w14:textId="77777777" w:rsidTr="00FE4F18">
        <w:tc>
          <w:tcPr>
            <w:tcW w:w="562" w:type="dxa"/>
            <w:shd w:val="clear" w:color="auto" w:fill="F2F2F2" w:themeFill="background1" w:themeFillShade="F2"/>
          </w:tcPr>
          <w:p w14:paraId="02B1B328" w14:textId="77777777" w:rsidR="0083387C" w:rsidRPr="001A076D" w:rsidRDefault="0083387C" w:rsidP="00FE4F18">
            <w:pPr>
              <w:autoSpaceDE w:val="0"/>
              <w:autoSpaceDN w:val="0"/>
              <w:adjustRightInd w:val="0"/>
              <w:rPr>
                <w:sz w:val="22"/>
                <w:szCs w:val="22"/>
              </w:rPr>
            </w:pPr>
            <w:r w:rsidRPr="001A076D">
              <w:rPr>
                <w:sz w:val="22"/>
                <w:szCs w:val="22"/>
              </w:rPr>
              <w:t>5</w:t>
            </w:r>
          </w:p>
        </w:tc>
        <w:tc>
          <w:tcPr>
            <w:tcW w:w="6232" w:type="dxa"/>
            <w:gridSpan w:val="2"/>
            <w:shd w:val="clear" w:color="auto" w:fill="F2F2F2" w:themeFill="background1" w:themeFillShade="F2"/>
          </w:tcPr>
          <w:p w14:paraId="7632B7A8" w14:textId="77777777" w:rsidR="0083387C" w:rsidRPr="001A076D" w:rsidRDefault="0083387C" w:rsidP="00FE4F18">
            <w:pPr>
              <w:autoSpaceDE w:val="0"/>
              <w:autoSpaceDN w:val="0"/>
              <w:adjustRightInd w:val="0"/>
              <w:rPr>
                <w:sz w:val="22"/>
                <w:szCs w:val="22"/>
              </w:rPr>
            </w:pPr>
            <w:r w:rsidRPr="001A076D">
              <w:rPr>
                <w:sz w:val="22"/>
                <w:szCs w:val="22"/>
              </w:rPr>
              <w:t>Are you in receipt of a KESS scholarship?</w:t>
            </w:r>
          </w:p>
        </w:tc>
        <w:tc>
          <w:tcPr>
            <w:tcW w:w="993" w:type="dxa"/>
            <w:shd w:val="clear" w:color="auto" w:fill="F2F2F2" w:themeFill="background1" w:themeFillShade="F2"/>
            <w:vAlign w:val="center"/>
          </w:tcPr>
          <w:p w14:paraId="12BC95BB" w14:textId="77777777" w:rsidR="0083387C" w:rsidRPr="001A076D" w:rsidRDefault="0083387C" w:rsidP="00FE4F18">
            <w:pPr>
              <w:autoSpaceDE w:val="0"/>
              <w:autoSpaceDN w:val="0"/>
              <w:adjustRightInd w:val="0"/>
              <w:jc w:val="center"/>
              <w:rPr>
                <w:bCs/>
                <w:sz w:val="22"/>
                <w:szCs w:val="22"/>
              </w:rPr>
            </w:pPr>
            <w:r w:rsidRPr="001A076D">
              <w:rPr>
                <w:b/>
                <w:sz w:val="22"/>
                <w:szCs w:val="22"/>
              </w:rPr>
              <w:t>YES</w:t>
            </w:r>
          </w:p>
        </w:tc>
        <w:tc>
          <w:tcPr>
            <w:tcW w:w="850" w:type="dxa"/>
            <w:shd w:val="clear" w:color="auto" w:fill="D9D9D9" w:themeFill="background1" w:themeFillShade="D9"/>
            <w:vAlign w:val="center"/>
          </w:tcPr>
          <w:p w14:paraId="67C8EE57" w14:textId="77777777" w:rsidR="0083387C" w:rsidRPr="001A076D" w:rsidRDefault="00000000" w:rsidP="00FE4F18">
            <w:pPr>
              <w:autoSpaceDE w:val="0"/>
              <w:autoSpaceDN w:val="0"/>
              <w:adjustRightInd w:val="0"/>
              <w:jc w:val="center"/>
              <w:rPr>
                <w:sz w:val="22"/>
                <w:szCs w:val="22"/>
              </w:rPr>
            </w:pPr>
            <w:sdt>
              <w:sdtPr>
                <w:rPr>
                  <w:sz w:val="22"/>
                  <w:szCs w:val="22"/>
                </w:rPr>
                <w:id w:val="1911424659"/>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26C5D6B" w14:textId="77777777" w:rsidR="0083387C" w:rsidRPr="001A076D" w:rsidRDefault="0083387C" w:rsidP="00FE4F18">
            <w:pPr>
              <w:autoSpaceDE w:val="0"/>
              <w:autoSpaceDN w:val="0"/>
              <w:adjustRightInd w:val="0"/>
              <w:jc w:val="center"/>
              <w:rPr>
                <w:bCs/>
                <w:sz w:val="22"/>
                <w:szCs w:val="22"/>
              </w:rPr>
            </w:pPr>
            <w:r w:rsidRPr="001A076D">
              <w:rPr>
                <w:b/>
                <w:sz w:val="22"/>
                <w:szCs w:val="22"/>
              </w:rPr>
              <w:t>NO</w:t>
            </w:r>
          </w:p>
        </w:tc>
        <w:tc>
          <w:tcPr>
            <w:tcW w:w="851" w:type="dxa"/>
            <w:shd w:val="clear" w:color="auto" w:fill="D9D9D9" w:themeFill="background1" w:themeFillShade="D9"/>
            <w:vAlign w:val="center"/>
          </w:tcPr>
          <w:sdt>
            <w:sdtPr>
              <w:rPr>
                <w:bCs/>
                <w:sz w:val="22"/>
                <w:szCs w:val="22"/>
              </w:rPr>
              <w:id w:val="-1876681663"/>
              <w14:checkbox>
                <w14:checked w14:val="1"/>
                <w14:checkedState w14:val="2612" w14:font="MS Gothic"/>
                <w14:uncheckedState w14:val="2610" w14:font="MS Gothic"/>
              </w14:checkbox>
            </w:sdtPr>
            <w:sdtContent>
              <w:p w14:paraId="3248953C"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0B4C9E00" w14:textId="77777777" w:rsidTr="00FE4F18">
        <w:trPr>
          <w:trHeight w:val="386"/>
        </w:trPr>
        <w:tc>
          <w:tcPr>
            <w:tcW w:w="562" w:type="dxa"/>
            <w:shd w:val="clear" w:color="auto" w:fill="F2F2F2" w:themeFill="background1" w:themeFillShade="F2"/>
          </w:tcPr>
          <w:p w14:paraId="67EEA592" w14:textId="77777777" w:rsidR="0083387C" w:rsidRPr="001A076D" w:rsidRDefault="0083387C" w:rsidP="00FE4F18">
            <w:pPr>
              <w:autoSpaceDE w:val="0"/>
              <w:autoSpaceDN w:val="0"/>
              <w:adjustRightInd w:val="0"/>
              <w:rPr>
                <w:sz w:val="22"/>
                <w:szCs w:val="22"/>
              </w:rPr>
            </w:pPr>
            <w:r w:rsidRPr="001A076D">
              <w:rPr>
                <w:sz w:val="22"/>
                <w:szCs w:val="22"/>
              </w:rPr>
              <w:t>6</w:t>
            </w:r>
          </w:p>
        </w:tc>
        <w:tc>
          <w:tcPr>
            <w:tcW w:w="3823" w:type="dxa"/>
            <w:vMerge w:val="restart"/>
            <w:shd w:val="clear" w:color="auto" w:fill="F2F2F2" w:themeFill="background1" w:themeFillShade="F2"/>
          </w:tcPr>
          <w:p w14:paraId="4952C953" w14:textId="77777777" w:rsidR="0083387C" w:rsidRPr="001A076D" w:rsidRDefault="0083387C" w:rsidP="00FE4F18">
            <w:pPr>
              <w:autoSpaceDE w:val="0"/>
              <w:autoSpaceDN w:val="0"/>
              <w:adjustRightInd w:val="0"/>
              <w:rPr>
                <w:sz w:val="22"/>
                <w:szCs w:val="22"/>
              </w:rPr>
            </w:pPr>
            <w:r w:rsidRPr="001A076D">
              <w:rPr>
                <w:sz w:val="22"/>
                <w:szCs w:val="22"/>
              </w:rPr>
              <w:t>Are you specifically employed to undertake this research in either a paid or voluntary capacity?</w:t>
            </w:r>
          </w:p>
        </w:tc>
        <w:tc>
          <w:tcPr>
            <w:tcW w:w="2409" w:type="dxa"/>
          </w:tcPr>
          <w:p w14:paraId="08025597" w14:textId="77777777" w:rsidR="0083387C" w:rsidRPr="001A076D" w:rsidRDefault="0083387C" w:rsidP="00FE4F18">
            <w:pPr>
              <w:autoSpaceDE w:val="0"/>
              <w:autoSpaceDN w:val="0"/>
              <w:adjustRightInd w:val="0"/>
              <w:rPr>
                <w:bCs/>
                <w:sz w:val="22"/>
                <w:szCs w:val="22"/>
              </w:rPr>
            </w:pPr>
            <w:r w:rsidRPr="001A076D">
              <w:rPr>
                <w:bCs/>
                <w:sz w:val="22"/>
                <w:szCs w:val="22"/>
              </w:rPr>
              <w:t>Voluntary</w:t>
            </w:r>
          </w:p>
        </w:tc>
        <w:tc>
          <w:tcPr>
            <w:tcW w:w="993" w:type="dxa"/>
            <w:shd w:val="clear" w:color="auto" w:fill="F2F2F2" w:themeFill="background1" w:themeFillShade="F2"/>
            <w:vAlign w:val="center"/>
          </w:tcPr>
          <w:p w14:paraId="5C9A2C90" w14:textId="77777777" w:rsidR="0083387C" w:rsidRPr="001A076D" w:rsidRDefault="0083387C" w:rsidP="00FE4F18">
            <w:pPr>
              <w:autoSpaceDE w:val="0"/>
              <w:autoSpaceDN w:val="0"/>
              <w:adjustRightInd w:val="0"/>
              <w:jc w:val="center"/>
              <w:rPr>
                <w:b/>
                <w:bCs/>
                <w:sz w:val="22"/>
                <w:szCs w:val="22"/>
              </w:rPr>
            </w:pPr>
            <w:r w:rsidRPr="001A076D">
              <w:rPr>
                <w:b/>
                <w:sz w:val="22"/>
                <w:szCs w:val="22"/>
              </w:rPr>
              <w:t>YES</w:t>
            </w:r>
          </w:p>
        </w:tc>
        <w:tc>
          <w:tcPr>
            <w:tcW w:w="850" w:type="dxa"/>
            <w:shd w:val="clear" w:color="auto" w:fill="D9D9D9" w:themeFill="background1" w:themeFillShade="D9"/>
            <w:vAlign w:val="center"/>
          </w:tcPr>
          <w:sdt>
            <w:sdtPr>
              <w:rPr>
                <w:sz w:val="22"/>
                <w:szCs w:val="22"/>
              </w:rPr>
              <w:id w:val="-1452555905"/>
              <w14:checkbox>
                <w14:checked w14:val="0"/>
                <w14:checkedState w14:val="2612" w14:font="MS Gothic"/>
                <w14:uncheckedState w14:val="2610" w14:font="MS Gothic"/>
              </w14:checkbox>
            </w:sdtPr>
            <w:sdtContent>
              <w:p w14:paraId="21AC7EA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184C867" w14:textId="77777777" w:rsidR="0083387C" w:rsidRPr="001A076D" w:rsidRDefault="0083387C" w:rsidP="00FE4F18">
            <w:pPr>
              <w:autoSpaceDE w:val="0"/>
              <w:autoSpaceDN w:val="0"/>
              <w:adjustRightInd w:val="0"/>
              <w:jc w:val="center"/>
              <w:rPr>
                <w:b/>
                <w:bCs/>
                <w:sz w:val="22"/>
                <w:szCs w:val="22"/>
              </w:rPr>
            </w:pPr>
            <w:r w:rsidRPr="001A076D">
              <w:rPr>
                <w:b/>
                <w:sz w:val="22"/>
                <w:szCs w:val="22"/>
              </w:rPr>
              <w:t>NO</w:t>
            </w:r>
          </w:p>
        </w:tc>
        <w:tc>
          <w:tcPr>
            <w:tcW w:w="861" w:type="dxa"/>
            <w:gridSpan w:val="2"/>
            <w:shd w:val="clear" w:color="auto" w:fill="D9D9D9" w:themeFill="background1" w:themeFillShade="D9"/>
            <w:vAlign w:val="center"/>
          </w:tcPr>
          <w:sdt>
            <w:sdtPr>
              <w:rPr>
                <w:bCs/>
                <w:sz w:val="22"/>
                <w:szCs w:val="22"/>
              </w:rPr>
              <w:id w:val="-1824587797"/>
              <w14:checkbox>
                <w14:checked w14:val="1"/>
                <w14:checkedState w14:val="2612" w14:font="MS Gothic"/>
                <w14:uncheckedState w14:val="2610" w14:font="MS Gothic"/>
              </w14:checkbox>
            </w:sdtPr>
            <w:sdtContent>
              <w:p w14:paraId="0E09068A"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3CB78704" w14:textId="77777777" w:rsidTr="00FE4F18">
        <w:trPr>
          <w:trHeight w:val="386"/>
        </w:trPr>
        <w:tc>
          <w:tcPr>
            <w:tcW w:w="562" w:type="dxa"/>
            <w:shd w:val="clear" w:color="auto" w:fill="F2F2F2" w:themeFill="background1" w:themeFillShade="F2"/>
          </w:tcPr>
          <w:p w14:paraId="15560C84" w14:textId="77777777" w:rsidR="0083387C" w:rsidRPr="001A076D" w:rsidRDefault="0083387C" w:rsidP="00FE4F18">
            <w:pPr>
              <w:autoSpaceDE w:val="0"/>
              <w:autoSpaceDN w:val="0"/>
              <w:adjustRightInd w:val="0"/>
              <w:rPr>
                <w:sz w:val="22"/>
                <w:szCs w:val="22"/>
              </w:rPr>
            </w:pPr>
            <w:r w:rsidRPr="001A076D">
              <w:rPr>
                <w:sz w:val="22"/>
                <w:szCs w:val="22"/>
              </w:rPr>
              <w:t>7</w:t>
            </w:r>
          </w:p>
        </w:tc>
        <w:tc>
          <w:tcPr>
            <w:tcW w:w="3823" w:type="dxa"/>
            <w:vMerge/>
            <w:shd w:val="clear" w:color="auto" w:fill="F2F2F2" w:themeFill="background1" w:themeFillShade="F2"/>
          </w:tcPr>
          <w:p w14:paraId="212AE55E" w14:textId="77777777" w:rsidR="0083387C" w:rsidRPr="001A076D" w:rsidRDefault="0083387C" w:rsidP="00FE4F18">
            <w:pPr>
              <w:autoSpaceDE w:val="0"/>
              <w:autoSpaceDN w:val="0"/>
              <w:adjustRightInd w:val="0"/>
              <w:rPr>
                <w:sz w:val="22"/>
                <w:szCs w:val="22"/>
              </w:rPr>
            </w:pPr>
          </w:p>
        </w:tc>
        <w:tc>
          <w:tcPr>
            <w:tcW w:w="2409" w:type="dxa"/>
          </w:tcPr>
          <w:p w14:paraId="05AE1095" w14:textId="77777777" w:rsidR="0083387C" w:rsidRPr="001A076D" w:rsidRDefault="0083387C" w:rsidP="00FE4F18">
            <w:pPr>
              <w:autoSpaceDE w:val="0"/>
              <w:autoSpaceDN w:val="0"/>
              <w:adjustRightInd w:val="0"/>
              <w:rPr>
                <w:bCs/>
                <w:sz w:val="22"/>
                <w:szCs w:val="22"/>
              </w:rPr>
            </w:pPr>
            <w:r w:rsidRPr="001A076D">
              <w:rPr>
                <w:bCs/>
                <w:sz w:val="22"/>
                <w:szCs w:val="22"/>
              </w:rPr>
              <w:t>Employed</w:t>
            </w:r>
          </w:p>
        </w:tc>
        <w:tc>
          <w:tcPr>
            <w:tcW w:w="993" w:type="dxa"/>
            <w:shd w:val="clear" w:color="auto" w:fill="F2F2F2" w:themeFill="background1" w:themeFillShade="F2"/>
            <w:vAlign w:val="center"/>
          </w:tcPr>
          <w:p w14:paraId="01BED7E9" w14:textId="77777777" w:rsidR="0083387C" w:rsidRPr="001A076D" w:rsidRDefault="0083387C" w:rsidP="00FE4F18">
            <w:pPr>
              <w:autoSpaceDE w:val="0"/>
              <w:autoSpaceDN w:val="0"/>
              <w:adjustRightInd w:val="0"/>
              <w:jc w:val="center"/>
              <w:rPr>
                <w:b/>
                <w:bCs/>
                <w:sz w:val="22"/>
                <w:szCs w:val="22"/>
              </w:rPr>
            </w:pPr>
            <w:r w:rsidRPr="001A076D">
              <w:rPr>
                <w:b/>
                <w:sz w:val="22"/>
                <w:szCs w:val="22"/>
              </w:rPr>
              <w:t>YES</w:t>
            </w:r>
          </w:p>
        </w:tc>
        <w:tc>
          <w:tcPr>
            <w:tcW w:w="850" w:type="dxa"/>
            <w:shd w:val="clear" w:color="auto" w:fill="D9D9D9" w:themeFill="background1" w:themeFillShade="D9"/>
            <w:vAlign w:val="center"/>
          </w:tcPr>
          <w:sdt>
            <w:sdtPr>
              <w:rPr>
                <w:sz w:val="22"/>
                <w:szCs w:val="22"/>
              </w:rPr>
              <w:id w:val="-361060577"/>
              <w14:checkbox>
                <w14:checked w14:val="0"/>
                <w14:checkedState w14:val="2612" w14:font="MS Gothic"/>
                <w14:uncheckedState w14:val="2610" w14:font="MS Gothic"/>
              </w14:checkbox>
            </w:sdtPr>
            <w:sdtContent>
              <w:p w14:paraId="116DA67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697EC24" w14:textId="77777777" w:rsidR="0083387C" w:rsidRPr="001A076D" w:rsidRDefault="0083387C" w:rsidP="00FE4F18">
            <w:pPr>
              <w:autoSpaceDE w:val="0"/>
              <w:autoSpaceDN w:val="0"/>
              <w:adjustRightInd w:val="0"/>
              <w:jc w:val="center"/>
              <w:rPr>
                <w:b/>
                <w:bCs/>
                <w:sz w:val="22"/>
                <w:szCs w:val="22"/>
              </w:rPr>
            </w:pPr>
            <w:r w:rsidRPr="001A076D">
              <w:rPr>
                <w:b/>
                <w:sz w:val="22"/>
                <w:szCs w:val="22"/>
              </w:rPr>
              <w:t>NO</w:t>
            </w:r>
          </w:p>
        </w:tc>
        <w:tc>
          <w:tcPr>
            <w:tcW w:w="861" w:type="dxa"/>
            <w:gridSpan w:val="2"/>
            <w:shd w:val="clear" w:color="auto" w:fill="D9D9D9" w:themeFill="background1" w:themeFillShade="D9"/>
            <w:vAlign w:val="center"/>
          </w:tcPr>
          <w:sdt>
            <w:sdtPr>
              <w:rPr>
                <w:bCs/>
                <w:sz w:val="22"/>
                <w:szCs w:val="22"/>
              </w:rPr>
              <w:id w:val="-1007364088"/>
              <w14:checkbox>
                <w14:checked w14:val="1"/>
                <w14:checkedState w14:val="2612" w14:font="MS Gothic"/>
                <w14:uncheckedState w14:val="2610" w14:font="MS Gothic"/>
              </w14:checkbox>
            </w:sdtPr>
            <w:sdtContent>
              <w:p w14:paraId="7D4AE170"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7A6D198A" w14:textId="77777777" w:rsidTr="00FE4F18">
        <w:tc>
          <w:tcPr>
            <w:tcW w:w="562" w:type="dxa"/>
            <w:shd w:val="clear" w:color="auto" w:fill="F2F2F2" w:themeFill="background1" w:themeFillShade="F2"/>
          </w:tcPr>
          <w:p w14:paraId="67C36B8F" w14:textId="77777777" w:rsidR="0083387C" w:rsidRPr="001A076D" w:rsidRDefault="0083387C" w:rsidP="00FE4F18">
            <w:pPr>
              <w:autoSpaceDE w:val="0"/>
              <w:autoSpaceDN w:val="0"/>
              <w:adjustRightInd w:val="0"/>
              <w:rPr>
                <w:sz w:val="22"/>
                <w:szCs w:val="22"/>
              </w:rPr>
            </w:pPr>
            <w:r w:rsidRPr="001A076D">
              <w:rPr>
                <w:sz w:val="22"/>
                <w:szCs w:val="22"/>
              </w:rPr>
              <w:t>8</w:t>
            </w:r>
          </w:p>
        </w:tc>
        <w:tc>
          <w:tcPr>
            <w:tcW w:w="3823" w:type="dxa"/>
            <w:shd w:val="clear" w:color="auto" w:fill="F2F2F2" w:themeFill="background1" w:themeFillShade="F2"/>
          </w:tcPr>
          <w:p w14:paraId="4F023540" w14:textId="77777777" w:rsidR="0083387C" w:rsidRPr="001A076D" w:rsidRDefault="0083387C" w:rsidP="00FE4F18">
            <w:pPr>
              <w:autoSpaceDE w:val="0"/>
              <w:autoSpaceDN w:val="0"/>
              <w:adjustRightInd w:val="0"/>
              <w:rPr>
                <w:sz w:val="22"/>
                <w:szCs w:val="22"/>
              </w:rPr>
            </w:pPr>
            <w:r w:rsidRPr="001A076D">
              <w:rPr>
                <w:sz w:val="22"/>
                <w:szCs w:val="22"/>
              </w:rPr>
              <w:t xml:space="preserve">Is the research being undertaken within an existing UWTSD </w:t>
            </w:r>
            <w:proofErr w:type="spellStart"/>
            <w:r w:rsidRPr="001A076D">
              <w:rPr>
                <w:sz w:val="22"/>
                <w:szCs w:val="22"/>
              </w:rPr>
              <w:t>Athrofa</w:t>
            </w:r>
            <w:proofErr w:type="spellEnd"/>
            <w:r w:rsidRPr="001A076D">
              <w:rPr>
                <w:sz w:val="22"/>
                <w:szCs w:val="22"/>
              </w:rPr>
              <w:t xml:space="preserve"> </w:t>
            </w:r>
            <w:r w:rsidRPr="001A076D">
              <w:rPr>
                <w:sz w:val="22"/>
                <w:szCs w:val="22"/>
              </w:rPr>
              <w:lastRenderedPageBreak/>
              <w:t>Professional Learning Partnership (APLP)?</w:t>
            </w:r>
          </w:p>
        </w:tc>
        <w:tc>
          <w:tcPr>
            <w:tcW w:w="2409" w:type="dxa"/>
          </w:tcPr>
          <w:p w14:paraId="22C1AC19" w14:textId="77777777" w:rsidR="0083387C" w:rsidRPr="001A076D" w:rsidRDefault="0083387C" w:rsidP="00FE4F18">
            <w:pPr>
              <w:autoSpaceDE w:val="0"/>
              <w:autoSpaceDN w:val="0"/>
              <w:adjustRightInd w:val="0"/>
              <w:rPr>
                <w:bCs/>
                <w:sz w:val="22"/>
                <w:szCs w:val="22"/>
              </w:rPr>
            </w:pPr>
            <w:r w:rsidRPr="001A076D">
              <w:rPr>
                <w:bCs/>
                <w:sz w:val="22"/>
                <w:szCs w:val="22"/>
              </w:rPr>
              <w:lastRenderedPageBreak/>
              <w:t xml:space="preserve">If </w:t>
            </w:r>
            <w:proofErr w:type="gramStart"/>
            <w:r w:rsidRPr="001A076D">
              <w:rPr>
                <w:bCs/>
                <w:sz w:val="22"/>
                <w:szCs w:val="22"/>
              </w:rPr>
              <w:t>YES</w:t>
            </w:r>
            <w:proofErr w:type="gramEnd"/>
            <w:r w:rsidRPr="001A076D">
              <w:rPr>
                <w:bCs/>
                <w:sz w:val="22"/>
                <w:szCs w:val="22"/>
              </w:rPr>
              <w:t xml:space="preserve"> then the permission question </w:t>
            </w:r>
            <w:r w:rsidRPr="001A076D">
              <w:rPr>
                <w:bCs/>
                <w:sz w:val="22"/>
                <w:szCs w:val="22"/>
              </w:rPr>
              <w:lastRenderedPageBreak/>
              <w:t>below does not need to be answered.</w:t>
            </w:r>
          </w:p>
        </w:tc>
        <w:tc>
          <w:tcPr>
            <w:tcW w:w="993" w:type="dxa"/>
            <w:shd w:val="clear" w:color="auto" w:fill="F2F2F2" w:themeFill="background1" w:themeFillShade="F2"/>
            <w:vAlign w:val="center"/>
          </w:tcPr>
          <w:p w14:paraId="7AF3F85F" w14:textId="77777777" w:rsidR="0083387C" w:rsidRPr="001A076D" w:rsidRDefault="0083387C" w:rsidP="00FE4F18">
            <w:pPr>
              <w:autoSpaceDE w:val="0"/>
              <w:autoSpaceDN w:val="0"/>
              <w:adjustRightInd w:val="0"/>
              <w:jc w:val="center"/>
              <w:rPr>
                <w:b/>
                <w:bCs/>
                <w:sz w:val="22"/>
                <w:szCs w:val="22"/>
              </w:rPr>
            </w:pPr>
            <w:r w:rsidRPr="001A076D">
              <w:rPr>
                <w:b/>
                <w:sz w:val="22"/>
                <w:szCs w:val="22"/>
              </w:rPr>
              <w:lastRenderedPageBreak/>
              <w:t>YES</w:t>
            </w:r>
          </w:p>
        </w:tc>
        <w:tc>
          <w:tcPr>
            <w:tcW w:w="850" w:type="dxa"/>
            <w:shd w:val="clear" w:color="auto" w:fill="D9D9D9" w:themeFill="background1" w:themeFillShade="D9"/>
            <w:vAlign w:val="center"/>
          </w:tcPr>
          <w:p w14:paraId="7C8C44AD" w14:textId="77777777" w:rsidR="0083387C" w:rsidRPr="001A076D" w:rsidRDefault="00000000" w:rsidP="00FE4F18">
            <w:pPr>
              <w:autoSpaceDE w:val="0"/>
              <w:autoSpaceDN w:val="0"/>
              <w:adjustRightInd w:val="0"/>
              <w:jc w:val="center"/>
              <w:rPr>
                <w:sz w:val="22"/>
                <w:szCs w:val="22"/>
              </w:rPr>
            </w:pPr>
            <w:sdt>
              <w:sdtPr>
                <w:rPr>
                  <w:sz w:val="22"/>
                  <w:szCs w:val="22"/>
                </w:rPr>
                <w:id w:val="48506529"/>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C339DE8" w14:textId="77777777" w:rsidR="0083387C" w:rsidRPr="001A076D" w:rsidRDefault="0083387C" w:rsidP="00FE4F18">
            <w:pPr>
              <w:autoSpaceDE w:val="0"/>
              <w:autoSpaceDN w:val="0"/>
              <w:adjustRightInd w:val="0"/>
              <w:jc w:val="center"/>
              <w:rPr>
                <w:b/>
                <w:bCs/>
                <w:sz w:val="22"/>
                <w:szCs w:val="22"/>
              </w:rPr>
            </w:pPr>
            <w:r w:rsidRPr="001A076D">
              <w:rPr>
                <w:b/>
                <w:sz w:val="22"/>
                <w:szCs w:val="22"/>
              </w:rPr>
              <w:t>NO</w:t>
            </w:r>
          </w:p>
        </w:tc>
        <w:tc>
          <w:tcPr>
            <w:tcW w:w="851" w:type="dxa"/>
            <w:shd w:val="clear" w:color="auto" w:fill="D9D9D9" w:themeFill="background1" w:themeFillShade="D9"/>
            <w:vAlign w:val="center"/>
          </w:tcPr>
          <w:sdt>
            <w:sdtPr>
              <w:rPr>
                <w:bCs/>
                <w:sz w:val="22"/>
                <w:szCs w:val="22"/>
              </w:rPr>
              <w:id w:val="1039408862"/>
              <w14:checkbox>
                <w14:checked w14:val="1"/>
                <w14:checkedState w14:val="2612" w14:font="MS Gothic"/>
                <w14:uncheckedState w14:val="2610" w14:font="MS Gothic"/>
              </w14:checkbox>
            </w:sdtPr>
            <w:sdtContent>
              <w:p w14:paraId="533D86E6"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4F2125" w:rsidRPr="001A076D" w14:paraId="5CC76FD5" w14:textId="77777777" w:rsidTr="00FE4F18">
        <w:tc>
          <w:tcPr>
            <w:tcW w:w="562" w:type="dxa"/>
            <w:shd w:val="clear" w:color="auto" w:fill="F2F2F2" w:themeFill="background1" w:themeFillShade="F2"/>
          </w:tcPr>
          <w:p w14:paraId="4679CA3A" w14:textId="77777777" w:rsidR="0083387C" w:rsidRPr="001A076D" w:rsidRDefault="0083387C" w:rsidP="00FE4F18">
            <w:pPr>
              <w:autoSpaceDE w:val="0"/>
              <w:autoSpaceDN w:val="0"/>
              <w:adjustRightInd w:val="0"/>
              <w:rPr>
                <w:sz w:val="22"/>
                <w:szCs w:val="22"/>
              </w:rPr>
            </w:pPr>
            <w:r w:rsidRPr="001A076D">
              <w:rPr>
                <w:sz w:val="22"/>
                <w:szCs w:val="22"/>
              </w:rPr>
              <w:t>9</w:t>
            </w:r>
          </w:p>
        </w:tc>
        <w:tc>
          <w:tcPr>
            <w:tcW w:w="3823" w:type="dxa"/>
            <w:shd w:val="clear" w:color="auto" w:fill="F2F2F2" w:themeFill="background1" w:themeFillShade="F2"/>
          </w:tcPr>
          <w:p w14:paraId="49500017" w14:textId="77777777" w:rsidR="0083387C" w:rsidRPr="001A076D" w:rsidRDefault="0083387C" w:rsidP="00FE4F18">
            <w:pPr>
              <w:autoSpaceDE w:val="0"/>
              <w:autoSpaceDN w:val="0"/>
              <w:adjustRightInd w:val="0"/>
              <w:rPr>
                <w:sz w:val="22"/>
                <w:szCs w:val="22"/>
              </w:rPr>
            </w:pPr>
            <w:r w:rsidRPr="001A076D">
              <w:rPr>
                <w:sz w:val="22"/>
                <w:szCs w:val="22"/>
              </w:rPr>
              <w:t>Has permission to undertake the research has been provided by the partner organisation?</w:t>
            </w:r>
          </w:p>
        </w:tc>
        <w:tc>
          <w:tcPr>
            <w:tcW w:w="2409" w:type="dxa"/>
          </w:tcPr>
          <w:p w14:paraId="1D205736" w14:textId="77777777" w:rsidR="0083387C" w:rsidRPr="001A076D" w:rsidRDefault="0083387C" w:rsidP="00FE4F18">
            <w:pPr>
              <w:autoSpaceDE w:val="0"/>
              <w:autoSpaceDN w:val="0"/>
              <w:adjustRightInd w:val="0"/>
              <w:rPr>
                <w:bCs/>
                <w:sz w:val="22"/>
                <w:szCs w:val="22"/>
              </w:rPr>
            </w:pPr>
            <w:r w:rsidRPr="001A076D">
              <w:rPr>
                <w:bCs/>
                <w:sz w:val="22"/>
                <w:szCs w:val="22"/>
              </w:rPr>
              <w:t>(If YES attach copy)</w:t>
            </w:r>
          </w:p>
          <w:p w14:paraId="7CBE78D2" w14:textId="77777777" w:rsidR="0083387C" w:rsidRPr="001A076D" w:rsidDel="008461DD" w:rsidRDefault="0083387C" w:rsidP="00FE4F18">
            <w:pPr>
              <w:autoSpaceDE w:val="0"/>
              <w:autoSpaceDN w:val="0"/>
              <w:adjustRightInd w:val="0"/>
              <w:rPr>
                <w:bCs/>
                <w:sz w:val="22"/>
                <w:szCs w:val="22"/>
              </w:rPr>
            </w:pPr>
            <w:r w:rsidRPr="001A076D">
              <w:rPr>
                <w:bCs/>
                <w:sz w:val="22"/>
                <w:szCs w:val="22"/>
              </w:rPr>
              <w:t>If NO the application cannot continue</w:t>
            </w:r>
          </w:p>
        </w:tc>
        <w:tc>
          <w:tcPr>
            <w:tcW w:w="993" w:type="dxa"/>
            <w:shd w:val="clear" w:color="auto" w:fill="F2F2F2" w:themeFill="background1" w:themeFillShade="F2"/>
            <w:vAlign w:val="center"/>
          </w:tcPr>
          <w:p w14:paraId="322E180F" w14:textId="77777777" w:rsidR="0083387C" w:rsidRPr="001A076D" w:rsidRDefault="0083387C" w:rsidP="00FE4F18">
            <w:pPr>
              <w:autoSpaceDE w:val="0"/>
              <w:autoSpaceDN w:val="0"/>
              <w:adjustRightInd w:val="0"/>
              <w:jc w:val="center"/>
              <w:rPr>
                <w:b/>
                <w:sz w:val="22"/>
                <w:szCs w:val="22"/>
              </w:rPr>
            </w:pPr>
            <w:r w:rsidRPr="001A076D">
              <w:rPr>
                <w:b/>
                <w:sz w:val="22"/>
                <w:szCs w:val="22"/>
              </w:rPr>
              <w:t>YES</w:t>
            </w:r>
          </w:p>
        </w:tc>
        <w:tc>
          <w:tcPr>
            <w:tcW w:w="850" w:type="dxa"/>
            <w:shd w:val="clear" w:color="auto" w:fill="D9D9D9" w:themeFill="background1" w:themeFillShade="D9"/>
            <w:vAlign w:val="center"/>
          </w:tcPr>
          <w:p w14:paraId="2D5DD663" w14:textId="77777777" w:rsidR="0083387C" w:rsidRPr="001A076D" w:rsidRDefault="00000000" w:rsidP="00FE4F18">
            <w:pPr>
              <w:autoSpaceDE w:val="0"/>
              <w:autoSpaceDN w:val="0"/>
              <w:adjustRightInd w:val="0"/>
              <w:jc w:val="center"/>
              <w:rPr>
                <w:sz w:val="22"/>
                <w:szCs w:val="22"/>
              </w:rPr>
            </w:pPr>
            <w:sdt>
              <w:sdtPr>
                <w:rPr>
                  <w:sz w:val="22"/>
                  <w:szCs w:val="22"/>
                </w:rPr>
                <w:id w:val="185717742"/>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3F64CC4" w14:textId="77777777" w:rsidR="0083387C" w:rsidRPr="001A076D" w:rsidRDefault="0083387C" w:rsidP="00FE4F18">
            <w:pPr>
              <w:autoSpaceDE w:val="0"/>
              <w:autoSpaceDN w:val="0"/>
              <w:adjustRightInd w:val="0"/>
              <w:jc w:val="center"/>
              <w:rPr>
                <w:b/>
                <w:sz w:val="22"/>
                <w:szCs w:val="22"/>
              </w:rPr>
            </w:pPr>
            <w:r w:rsidRPr="001A076D">
              <w:rPr>
                <w:b/>
                <w:sz w:val="22"/>
                <w:szCs w:val="22"/>
              </w:rPr>
              <w:t>NO</w:t>
            </w:r>
          </w:p>
        </w:tc>
        <w:tc>
          <w:tcPr>
            <w:tcW w:w="851" w:type="dxa"/>
            <w:shd w:val="clear" w:color="auto" w:fill="D9D9D9" w:themeFill="background1" w:themeFillShade="D9"/>
            <w:vAlign w:val="center"/>
          </w:tcPr>
          <w:sdt>
            <w:sdtPr>
              <w:rPr>
                <w:bCs/>
                <w:sz w:val="22"/>
                <w:szCs w:val="22"/>
              </w:rPr>
              <w:id w:val="-912467415"/>
              <w14:checkbox>
                <w14:checked w14:val="1"/>
                <w14:checkedState w14:val="2612" w14:font="MS Gothic"/>
                <w14:uncheckedState w14:val="2610" w14:font="MS Gothic"/>
              </w14:checkbox>
            </w:sdtPr>
            <w:sdtContent>
              <w:p w14:paraId="1AEBA28B"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bl>
    <w:p w14:paraId="6A1A2734" w14:textId="77777777" w:rsidR="0083387C" w:rsidRPr="001A076D" w:rsidRDefault="0083387C" w:rsidP="0083387C">
      <w:pPr>
        <w:rPr>
          <w:bCs/>
          <w:iCs/>
          <w:sz w:val="16"/>
          <w:szCs w:val="16"/>
        </w:rPr>
      </w:pPr>
    </w:p>
    <w:p w14:paraId="085ED427" w14:textId="77777777" w:rsidR="0083387C" w:rsidRPr="001A076D" w:rsidRDefault="0083387C" w:rsidP="0083387C">
      <w:pPr>
        <w:rPr>
          <w:b/>
          <w:bCs/>
          <w:iCs/>
          <w:sz w:val="22"/>
          <w:szCs w:val="22"/>
        </w:rPr>
      </w:pPr>
    </w:p>
    <w:p w14:paraId="38FDA2FA"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57F93" w:rsidRPr="001A076D" w14:paraId="31FDFE79" w14:textId="77777777" w:rsidTr="00FE4F18">
        <w:trPr>
          <w:trHeight w:val="507"/>
        </w:trPr>
        <w:tc>
          <w:tcPr>
            <w:tcW w:w="567" w:type="dxa"/>
            <w:shd w:val="clear" w:color="auto" w:fill="F2F2F2" w:themeFill="background1" w:themeFillShade="F2"/>
            <w:vAlign w:val="center"/>
          </w:tcPr>
          <w:p w14:paraId="75621D3F" w14:textId="77777777" w:rsidR="0083387C" w:rsidRPr="001A076D" w:rsidRDefault="0083387C" w:rsidP="00FE4F18">
            <w:pPr>
              <w:autoSpaceDE w:val="0"/>
              <w:autoSpaceDN w:val="0"/>
              <w:adjustRightInd w:val="0"/>
              <w:rPr>
                <w:bCs/>
                <w:sz w:val="22"/>
                <w:szCs w:val="22"/>
              </w:rPr>
            </w:pPr>
            <w:r w:rsidRPr="001A076D">
              <w:rPr>
                <w:bCs/>
                <w:sz w:val="22"/>
                <w:szCs w:val="22"/>
              </w:rPr>
              <w:t>10</w:t>
            </w:r>
          </w:p>
        </w:tc>
        <w:tc>
          <w:tcPr>
            <w:tcW w:w="6237" w:type="dxa"/>
            <w:shd w:val="clear" w:color="auto" w:fill="F2F2F2" w:themeFill="background1" w:themeFillShade="F2"/>
            <w:vAlign w:val="center"/>
          </w:tcPr>
          <w:p w14:paraId="5008DE37" w14:textId="77777777" w:rsidR="0083387C" w:rsidRPr="001A076D" w:rsidRDefault="0083387C" w:rsidP="00FE4F18">
            <w:pPr>
              <w:autoSpaceDE w:val="0"/>
              <w:autoSpaceDN w:val="0"/>
              <w:adjustRightInd w:val="0"/>
              <w:rPr>
                <w:bCs/>
                <w:sz w:val="22"/>
                <w:szCs w:val="22"/>
              </w:rPr>
            </w:pPr>
            <w:r w:rsidRPr="001A076D">
              <w:rPr>
                <w:bCs/>
                <w:sz w:val="22"/>
                <w:szCs w:val="22"/>
              </w:rPr>
              <w:t>Does this organisation have its own ethics approval system?</w:t>
            </w:r>
          </w:p>
        </w:tc>
        <w:tc>
          <w:tcPr>
            <w:tcW w:w="993" w:type="dxa"/>
            <w:shd w:val="clear" w:color="auto" w:fill="F2F2F2" w:themeFill="background1" w:themeFillShade="F2"/>
            <w:vAlign w:val="center"/>
          </w:tcPr>
          <w:p w14:paraId="7F41C635"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95" w:type="dxa"/>
            <w:shd w:val="clear" w:color="auto" w:fill="BFBFBF" w:themeFill="background1" w:themeFillShade="BF"/>
            <w:vAlign w:val="center"/>
          </w:tcPr>
          <w:sdt>
            <w:sdtPr>
              <w:rPr>
                <w:sz w:val="22"/>
                <w:szCs w:val="22"/>
              </w:rPr>
              <w:id w:val="-1279024073"/>
              <w14:checkbox>
                <w14:checked w14:val="0"/>
                <w14:checkedState w14:val="2612" w14:font="MS Gothic"/>
                <w14:uncheckedState w14:val="2610" w14:font="MS Gothic"/>
              </w14:checkbox>
            </w:sdtPr>
            <w:sdtContent>
              <w:p w14:paraId="195DE47B"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212F483"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c>
          <w:tcPr>
            <w:tcW w:w="851" w:type="dxa"/>
            <w:shd w:val="clear" w:color="auto" w:fill="BFBFBF" w:themeFill="background1" w:themeFillShade="BF"/>
            <w:vAlign w:val="center"/>
          </w:tcPr>
          <w:sdt>
            <w:sdtPr>
              <w:rPr>
                <w:sz w:val="22"/>
                <w:szCs w:val="22"/>
              </w:rPr>
              <w:id w:val="-711570112"/>
              <w14:checkbox>
                <w14:checked w14:val="1"/>
                <w14:checkedState w14:val="2612" w14:font="MS Gothic"/>
                <w14:uncheckedState w14:val="2610" w14:font="MS Gothic"/>
              </w14:checkbox>
            </w:sdtPr>
            <w:sdtContent>
              <w:p w14:paraId="6C3B1769"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sz w:val="22"/>
                    <w:szCs w:val="22"/>
                  </w:rPr>
                  <w:t>☒</w:t>
                </w:r>
              </w:p>
            </w:sdtContent>
          </w:sdt>
        </w:tc>
      </w:tr>
      <w:tr w:rsidR="00057F93" w:rsidRPr="001A076D" w14:paraId="583D00D4" w14:textId="77777777" w:rsidTr="00FE4F18">
        <w:tc>
          <w:tcPr>
            <w:tcW w:w="567" w:type="dxa"/>
          </w:tcPr>
          <w:p w14:paraId="78182E03" w14:textId="77777777" w:rsidR="0083387C" w:rsidRPr="001A076D" w:rsidRDefault="0083387C" w:rsidP="00FE4F18">
            <w:pPr>
              <w:autoSpaceDE w:val="0"/>
              <w:autoSpaceDN w:val="0"/>
              <w:adjustRightInd w:val="0"/>
              <w:rPr>
                <w:bCs/>
                <w:sz w:val="22"/>
                <w:szCs w:val="22"/>
              </w:rPr>
            </w:pPr>
          </w:p>
        </w:tc>
        <w:tc>
          <w:tcPr>
            <w:tcW w:w="9923" w:type="dxa"/>
            <w:gridSpan w:val="5"/>
          </w:tcPr>
          <w:p w14:paraId="52AA22EC" w14:textId="77777777" w:rsidR="0083387C" w:rsidRPr="001A076D" w:rsidRDefault="0083387C" w:rsidP="00FE4F18">
            <w:pPr>
              <w:autoSpaceDE w:val="0"/>
              <w:autoSpaceDN w:val="0"/>
              <w:adjustRightInd w:val="0"/>
              <w:rPr>
                <w:bCs/>
                <w:sz w:val="22"/>
                <w:szCs w:val="22"/>
              </w:rPr>
            </w:pPr>
          </w:p>
          <w:p w14:paraId="640A9EE9" w14:textId="77777777" w:rsidR="0083387C" w:rsidRPr="001A076D" w:rsidRDefault="0083387C" w:rsidP="00FE4F18">
            <w:pPr>
              <w:autoSpaceDE w:val="0"/>
              <w:autoSpaceDN w:val="0"/>
              <w:adjustRightInd w:val="0"/>
              <w:rPr>
                <w:bCs/>
                <w:sz w:val="22"/>
                <w:szCs w:val="22"/>
              </w:rPr>
            </w:pPr>
            <w:r w:rsidRPr="001A076D">
              <w:rPr>
                <w:bCs/>
                <w:sz w:val="22"/>
                <w:szCs w:val="22"/>
              </w:rPr>
              <w:t>If Yes, please attach a copy of any final approval (or interim approval) from the organisation (this may be a copy of an email if appropriate).</w:t>
            </w:r>
          </w:p>
          <w:p w14:paraId="067F2F0F" w14:textId="77777777" w:rsidR="0083387C" w:rsidRPr="001A076D" w:rsidRDefault="0083387C" w:rsidP="00FE4F18">
            <w:pPr>
              <w:autoSpaceDE w:val="0"/>
              <w:autoSpaceDN w:val="0"/>
              <w:adjustRightInd w:val="0"/>
              <w:rPr>
                <w:b/>
                <w:bCs/>
                <w:sz w:val="22"/>
                <w:szCs w:val="22"/>
              </w:rPr>
            </w:pPr>
          </w:p>
        </w:tc>
      </w:tr>
    </w:tbl>
    <w:p w14:paraId="3755AF91" w14:textId="77777777" w:rsidR="0083387C" w:rsidRPr="001A076D" w:rsidRDefault="0083387C" w:rsidP="0083387C">
      <w:pPr>
        <w:autoSpaceDE w:val="0"/>
        <w:autoSpaceDN w:val="0"/>
        <w:adjustRightInd w:val="0"/>
        <w:spacing w:after="240"/>
        <w:jc w:val="both"/>
        <w:rPr>
          <w:b/>
          <w:sz w:val="22"/>
          <w:szCs w:val="22"/>
        </w:rPr>
      </w:pPr>
    </w:p>
    <w:p w14:paraId="6D3D0C63"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E: Details of Research Activity</w:t>
      </w:r>
    </w:p>
    <w:tbl>
      <w:tblPr>
        <w:tblW w:w="5558"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0"/>
        <w:gridCol w:w="2404"/>
        <w:gridCol w:w="2437"/>
        <w:gridCol w:w="2437"/>
        <w:gridCol w:w="2658"/>
      </w:tblGrid>
      <w:tr w:rsidR="00057F93" w:rsidRPr="001A076D" w14:paraId="1D3721E4" w14:textId="77777777" w:rsidTr="00F37062">
        <w:trPr>
          <w:trHeight w:val="454"/>
        </w:trPr>
        <w:tc>
          <w:tcPr>
            <w:tcW w:w="26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13371" w14:textId="77777777" w:rsidR="0083387C" w:rsidRPr="001A076D" w:rsidRDefault="0083387C" w:rsidP="00FE4F18">
            <w:pPr>
              <w:rPr>
                <w:sz w:val="22"/>
                <w:szCs w:val="22"/>
              </w:rPr>
            </w:pPr>
            <w:r w:rsidRPr="001A076D">
              <w:rPr>
                <w:sz w:val="22"/>
                <w:szCs w:val="22"/>
              </w:rPr>
              <w:t>1</w:t>
            </w:r>
          </w:p>
        </w:tc>
        <w:tc>
          <w:tcPr>
            <w:tcW w:w="114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F4B18" w14:textId="77777777" w:rsidR="0083387C" w:rsidRPr="001A076D" w:rsidRDefault="0083387C" w:rsidP="00FE4F18">
            <w:pPr>
              <w:rPr>
                <w:sz w:val="22"/>
                <w:szCs w:val="22"/>
              </w:rPr>
            </w:pPr>
            <w:r w:rsidRPr="001A076D">
              <w:rPr>
                <w:sz w:val="22"/>
                <w:szCs w:val="22"/>
              </w:rPr>
              <w:t>Indicative title:</w:t>
            </w:r>
          </w:p>
        </w:tc>
        <w:tc>
          <w:tcPr>
            <w:tcW w:w="3588" w:type="pct"/>
            <w:gridSpan w:val="3"/>
            <w:tcBorders>
              <w:top w:val="single" w:sz="4" w:space="0" w:color="auto"/>
              <w:left w:val="single" w:sz="4" w:space="0" w:color="auto"/>
              <w:bottom w:val="single" w:sz="4" w:space="0" w:color="auto"/>
              <w:right w:val="single" w:sz="4" w:space="0" w:color="auto"/>
            </w:tcBorders>
            <w:vAlign w:val="center"/>
          </w:tcPr>
          <w:p w14:paraId="5720B7C7" w14:textId="77777777" w:rsidR="0083387C" w:rsidRPr="001A076D" w:rsidRDefault="0083387C" w:rsidP="00FE4F18">
            <w:pPr>
              <w:rPr>
                <w:sz w:val="22"/>
                <w:szCs w:val="22"/>
              </w:rPr>
            </w:pPr>
            <w:r w:rsidRPr="001A076D">
              <w:rPr>
                <w:i/>
                <w:iCs/>
                <w:sz w:val="22"/>
                <w:szCs w:val="22"/>
              </w:rPr>
              <w:t>Integration of Predictive Analytics into Strategic Decision-Making, using SSE PLC as the Case Study</w:t>
            </w:r>
          </w:p>
        </w:tc>
      </w:tr>
      <w:tr w:rsidR="00057F93" w:rsidRPr="001A076D" w14:paraId="1B01CFA1" w14:textId="77777777" w:rsidTr="00F37062">
        <w:trPr>
          <w:trHeight w:val="454"/>
        </w:trPr>
        <w:tc>
          <w:tcPr>
            <w:tcW w:w="26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BDE13" w14:textId="77777777" w:rsidR="0083387C" w:rsidRPr="001A076D" w:rsidRDefault="0083387C" w:rsidP="00FE4F18">
            <w:pPr>
              <w:rPr>
                <w:sz w:val="22"/>
                <w:szCs w:val="22"/>
              </w:rPr>
            </w:pPr>
            <w:r w:rsidRPr="001A076D">
              <w:rPr>
                <w:sz w:val="22"/>
                <w:szCs w:val="22"/>
              </w:rPr>
              <w:t>2</w:t>
            </w:r>
          </w:p>
        </w:tc>
        <w:tc>
          <w:tcPr>
            <w:tcW w:w="114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36C39" w14:textId="77777777" w:rsidR="0083387C" w:rsidRPr="001A076D" w:rsidRDefault="0083387C" w:rsidP="00FE4F18">
            <w:pPr>
              <w:rPr>
                <w:sz w:val="22"/>
                <w:szCs w:val="22"/>
              </w:rPr>
            </w:pPr>
            <w:r w:rsidRPr="001A076D">
              <w:rPr>
                <w:sz w:val="22"/>
                <w:szCs w:val="22"/>
              </w:rPr>
              <w:t>Proposed start date:</w:t>
            </w:r>
          </w:p>
        </w:tc>
        <w:tc>
          <w:tcPr>
            <w:tcW w:w="1161" w:type="pct"/>
            <w:tcBorders>
              <w:top w:val="single" w:sz="4" w:space="0" w:color="auto"/>
              <w:left w:val="single" w:sz="4" w:space="0" w:color="auto"/>
              <w:bottom w:val="single" w:sz="4" w:space="0" w:color="auto"/>
              <w:right w:val="single" w:sz="4" w:space="0" w:color="auto"/>
            </w:tcBorders>
            <w:vAlign w:val="center"/>
          </w:tcPr>
          <w:p w14:paraId="70FBA111" w14:textId="77777777" w:rsidR="0083387C" w:rsidRPr="001A076D" w:rsidRDefault="0083387C" w:rsidP="00FE4F18">
            <w:pPr>
              <w:rPr>
                <w:sz w:val="22"/>
                <w:szCs w:val="22"/>
              </w:rPr>
            </w:pPr>
          </w:p>
        </w:tc>
        <w:tc>
          <w:tcPr>
            <w:tcW w:w="116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F0BA1" w14:textId="77777777" w:rsidR="0083387C" w:rsidRPr="001A076D" w:rsidRDefault="0083387C" w:rsidP="00FE4F18">
            <w:pPr>
              <w:rPr>
                <w:sz w:val="22"/>
                <w:szCs w:val="22"/>
              </w:rPr>
            </w:pPr>
            <w:r w:rsidRPr="001A076D">
              <w:rPr>
                <w:sz w:val="22"/>
                <w:szCs w:val="22"/>
              </w:rPr>
              <w:t>Proposed end date:</w:t>
            </w:r>
          </w:p>
        </w:tc>
        <w:tc>
          <w:tcPr>
            <w:tcW w:w="1267" w:type="pct"/>
            <w:tcBorders>
              <w:top w:val="single" w:sz="4" w:space="0" w:color="auto"/>
              <w:left w:val="single" w:sz="4" w:space="0" w:color="auto"/>
              <w:bottom w:val="single" w:sz="4" w:space="0" w:color="auto"/>
              <w:right w:val="single" w:sz="4" w:space="0" w:color="auto"/>
            </w:tcBorders>
            <w:vAlign w:val="center"/>
          </w:tcPr>
          <w:p w14:paraId="594DDC1B" w14:textId="77777777" w:rsidR="0083387C" w:rsidRPr="001A076D" w:rsidRDefault="0083387C" w:rsidP="00FE4F18">
            <w:pPr>
              <w:rPr>
                <w:sz w:val="22"/>
                <w:szCs w:val="22"/>
              </w:rPr>
            </w:pPr>
          </w:p>
        </w:tc>
      </w:tr>
      <w:tr w:rsidR="00057F93" w:rsidRPr="001A076D" w14:paraId="2A1996C5" w14:textId="77777777" w:rsidTr="00F37062">
        <w:trPr>
          <w:trHeight w:val="454"/>
        </w:trPr>
        <w:tc>
          <w:tcPr>
            <w:tcW w:w="267" w:type="pct"/>
            <w:tcBorders>
              <w:top w:val="single" w:sz="4" w:space="0" w:color="auto"/>
            </w:tcBorders>
            <w:shd w:val="clear" w:color="auto" w:fill="F2F2F2" w:themeFill="background1" w:themeFillShade="F2"/>
            <w:vAlign w:val="center"/>
          </w:tcPr>
          <w:p w14:paraId="2F8710DB" w14:textId="77777777" w:rsidR="0083387C" w:rsidRPr="001A076D" w:rsidRDefault="0083387C" w:rsidP="00FE4F18">
            <w:pPr>
              <w:spacing w:before="120" w:after="120"/>
              <w:rPr>
                <w:sz w:val="22"/>
                <w:szCs w:val="22"/>
              </w:rPr>
            </w:pPr>
          </w:p>
        </w:tc>
        <w:tc>
          <w:tcPr>
            <w:tcW w:w="4733" w:type="pct"/>
            <w:gridSpan w:val="4"/>
            <w:tcBorders>
              <w:top w:val="single" w:sz="4" w:space="0" w:color="auto"/>
            </w:tcBorders>
            <w:shd w:val="clear" w:color="auto" w:fill="F2F2F2" w:themeFill="background1" w:themeFillShade="F2"/>
            <w:vAlign w:val="center"/>
          </w:tcPr>
          <w:p w14:paraId="6B9E7254" w14:textId="77777777" w:rsidR="0083387C" w:rsidRPr="001A076D" w:rsidRDefault="0083387C" w:rsidP="00FE4F18">
            <w:pPr>
              <w:spacing w:before="120" w:after="120"/>
              <w:rPr>
                <w:b/>
                <w:sz w:val="22"/>
                <w:szCs w:val="22"/>
              </w:rPr>
            </w:pPr>
            <w:r w:rsidRPr="001A076D">
              <w:rPr>
                <w:b/>
                <w:sz w:val="22"/>
                <w:szCs w:val="22"/>
              </w:rPr>
              <w:t>Introduction to the Research (maximum 300 words per section)</w:t>
            </w:r>
          </w:p>
          <w:p w14:paraId="3894F960" w14:textId="77777777" w:rsidR="0083387C" w:rsidRPr="001A076D" w:rsidRDefault="0083387C" w:rsidP="00FE4F18">
            <w:pPr>
              <w:spacing w:before="120" w:after="120"/>
              <w:rPr>
                <w:b/>
                <w:sz w:val="22"/>
                <w:szCs w:val="22"/>
              </w:rPr>
            </w:pPr>
            <w:r w:rsidRPr="001A076D">
              <w:rPr>
                <w:b/>
                <w:sz w:val="22"/>
                <w:szCs w:val="22"/>
              </w:rPr>
              <w:t xml:space="preserve">Ensure that you write for a </w:t>
            </w:r>
            <w:r w:rsidRPr="001A076D">
              <w:rPr>
                <w:b/>
                <w:sz w:val="22"/>
                <w:szCs w:val="22"/>
                <w:u w:val="single"/>
              </w:rPr>
              <w:t>Non-Specialist Audience</w:t>
            </w:r>
            <w:r w:rsidRPr="001A076D">
              <w:rPr>
                <w:b/>
                <w:sz w:val="22"/>
                <w:szCs w:val="22"/>
              </w:rPr>
              <w:t xml:space="preserve"> when outlining your response to the points below:</w:t>
            </w:r>
          </w:p>
          <w:p w14:paraId="462FB144" w14:textId="77777777" w:rsidR="0083387C" w:rsidRPr="001A076D" w:rsidRDefault="0083387C">
            <w:pPr>
              <w:pStyle w:val="ListParagraph"/>
              <w:numPr>
                <w:ilvl w:val="0"/>
                <w:numId w:val="1"/>
              </w:numPr>
              <w:ind w:left="0"/>
              <w:contextualSpacing w:val="0"/>
              <w:rPr>
                <w:i/>
              </w:rPr>
            </w:pPr>
            <w:r w:rsidRPr="001A076D">
              <w:rPr>
                <w:i/>
              </w:rPr>
              <w:t>Purpose of Research Activity</w:t>
            </w:r>
          </w:p>
          <w:p w14:paraId="2EB04BEE" w14:textId="77777777" w:rsidR="0083387C" w:rsidRPr="001A076D" w:rsidRDefault="0083387C">
            <w:pPr>
              <w:pStyle w:val="ListParagraph"/>
              <w:numPr>
                <w:ilvl w:val="0"/>
                <w:numId w:val="1"/>
              </w:numPr>
              <w:ind w:left="0"/>
              <w:contextualSpacing w:val="0"/>
              <w:rPr>
                <w:i/>
              </w:rPr>
            </w:pPr>
            <w:r w:rsidRPr="001A076D">
              <w:rPr>
                <w:i/>
              </w:rPr>
              <w:t>Proposed Research Question</w:t>
            </w:r>
          </w:p>
          <w:p w14:paraId="3C5DB537" w14:textId="77777777" w:rsidR="0083387C" w:rsidRPr="001A076D" w:rsidRDefault="0083387C">
            <w:pPr>
              <w:pStyle w:val="ListParagraph"/>
              <w:numPr>
                <w:ilvl w:val="0"/>
                <w:numId w:val="1"/>
              </w:numPr>
              <w:ind w:left="0"/>
              <w:contextualSpacing w:val="0"/>
              <w:rPr>
                <w:i/>
              </w:rPr>
            </w:pPr>
            <w:r w:rsidRPr="001A076D">
              <w:rPr>
                <w:i/>
              </w:rPr>
              <w:t>Aims of Research Activity</w:t>
            </w:r>
          </w:p>
          <w:p w14:paraId="71FDCAF4" w14:textId="77777777" w:rsidR="0083387C" w:rsidRPr="001A076D" w:rsidRDefault="0083387C">
            <w:pPr>
              <w:pStyle w:val="ListParagraph"/>
              <w:numPr>
                <w:ilvl w:val="0"/>
                <w:numId w:val="1"/>
              </w:numPr>
              <w:spacing w:after="240"/>
              <w:ind w:left="0" w:hanging="357"/>
              <w:contextualSpacing w:val="0"/>
              <w:rPr>
                <w:i/>
              </w:rPr>
            </w:pPr>
            <w:r w:rsidRPr="001A076D">
              <w:rPr>
                <w:i/>
              </w:rPr>
              <w:t>Objectives of Research Activity</w:t>
            </w:r>
          </w:p>
          <w:p w14:paraId="305FF9E3" w14:textId="77777777" w:rsidR="0083387C" w:rsidRPr="001A076D" w:rsidRDefault="0083387C" w:rsidP="00FE4F18">
            <w:pPr>
              <w:spacing w:after="120"/>
              <w:rPr>
                <w:sz w:val="22"/>
                <w:szCs w:val="22"/>
              </w:rPr>
            </w:pPr>
            <w:r w:rsidRPr="001A076D">
              <w:rPr>
                <w:sz w:val="22"/>
                <w:szCs w:val="22"/>
              </w:rPr>
              <w:t xml:space="preserve">Demonstrate, briefly, how </w:t>
            </w:r>
            <w:r w:rsidRPr="001A076D">
              <w:rPr>
                <w:b/>
                <w:sz w:val="22"/>
                <w:szCs w:val="22"/>
                <w:u w:val="single"/>
              </w:rPr>
              <w:t>Existing Research</w:t>
            </w:r>
            <w:r w:rsidRPr="001A076D">
              <w:rPr>
                <w:sz w:val="22"/>
                <w:szCs w:val="22"/>
              </w:rPr>
              <w:t xml:space="preserve"> has informed the proposed activity and explain</w:t>
            </w:r>
          </w:p>
          <w:p w14:paraId="6D024E0E" w14:textId="77777777" w:rsidR="0083387C" w:rsidRPr="001A076D" w:rsidRDefault="0083387C">
            <w:pPr>
              <w:pStyle w:val="ListParagraph"/>
              <w:numPr>
                <w:ilvl w:val="0"/>
                <w:numId w:val="1"/>
              </w:numPr>
              <w:ind w:left="0"/>
              <w:contextualSpacing w:val="0"/>
              <w:rPr>
                <w:i/>
              </w:rPr>
            </w:pPr>
            <w:r w:rsidRPr="001A076D">
              <w:rPr>
                <w:i/>
              </w:rPr>
              <w:t xml:space="preserve">What the research activity will add to the body of knowledge </w:t>
            </w:r>
          </w:p>
          <w:p w14:paraId="0C797210" w14:textId="77777777" w:rsidR="0083387C" w:rsidRPr="001A076D" w:rsidRDefault="0083387C">
            <w:pPr>
              <w:pStyle w:val="ListParagraph"/>
              <w:numPr>
                <w:ilvl w:val="0"/>
                <w:numId w:val="1"/>
              </w:numPr>
              <w:ind w:left="0"/>
              <w:contextualSpacing w:val="0"/>
            </w:pPr>
            <w:r w:rsidRPr="001A076D">
              <w:rPr>
                <w:i/>
              </w:rPr>
              <w:t xml:space="preserve">How it addresses an area of importance. </w:t>
            </w:r>
          </w:p>
        </w:tc>
      </w:tr>
      <w:tr w:rsidR="00057F93" w:rsidRPr="001A076D" w:rsidDel="002A152D" w14:paraId="6877687B" w14:textId="77777777" w:rsidTr="00F37062">
        <w:trPr>
          <w:trHeight w:val="454"/>
        </w:trPr>
        <w:tc>
          <w:tcPr>
            <w:tcW w:w="267" w:type="pct"/>
            <w:vAlign w:val="center"/>
          </w:tcPr>
          <w:p w14:paraId="32B9DDEE" w14:textId="77777777" w:rsidR="0083387C" w:rsidRPr="001A076D" w:rsidRDefault="0083387C" w:rsidP="00FE4F18">
            <w:pPr>
              <w:autoSpaceDE w:val="0"/>
              <w:autoSpaceDN w:val="0"/>
              <w:adjustRightInd w:val="0"/>
              <w:rPr>
                <w:sz w:val="22"/>
                <w:szCs w:val="22"/>
              </w:rPr>
            </w:pPr>
            <w:r w:rsidRPr="001A076D">
              <w:rPr>
                <w:sz w:val="22"/>
                <w:szCs w:val="22"/>
              </w:rPr>
              <w:t>3</w:t>
            </w:r>
          </w:p>
        </w:tc>
        <w:tc>
          <w:tcPr>
            <w:tcW w:w="4733" w:type="pct"/>
            <w:gridSpan w:val="4"/>
            <w:vAlign w:val="center"/>
          </w:tcPr>
          <w:p w14:paraId="1F83CF8D" w14:textId="77777777" w:rsidR="0083387C" w:rsidRPr="001A076D" w:rsidRDefault="0083387C" w:rsidP="00FE4F18">
            <w:pPr>
              <w:autoSpaceDE w:val="0"/>
              <w:autoSpaceDN w:val="0"/>
              <w:adjustRightInd w:val="0"/>
              <w:rPr>
                <w:b/>
                <w:bCs/>
                <w:sz w:val="22"/>
                <w:szCs w:val="22"/>
              </w:rPr>
            </w:pPr>
            <w:r w:rsidRPr="001A076D">
              <w:rPr>
                <w:b/>
                <w:bCs/>
                <w:sz w:val="22"/>
                <w:szCs w:val="22"/>
              </w:rPr>
              <w:t>Purpose of Research Activity</w:t>
            </w:r>
          </w:p>
          <w:p w14:paraId="1EBE10C4" w14:textId="77777777" w:rsidR="0083387C" w:rsidRPr="001A076D" w:rsidRDefault="0083387C" w:rsidP="00FE4F18"/>
          <w:p w14:paraId="7C96000C" w14:textId="77777777" w:rsidR="0083387C" w:rsidRPr="001A076D" w:rsidRDefault="0083387C" w:rsidP="00FE4F18">
            <w:pPr>
              <w:rPr>
                <w:sz w:val="22"/>
                <w:szCs w:val="22"/>
              </w:rPr>
            </w:pPr>
            <w:r w:rsidRPr="001A076D">
              <w:rPr>
                <w:sz w:val="22"/>
                <w:szCs w:val="22"/>
              </w:rPr>
              <w:t>The purpose of this research is to investigate how predictive analytics can be better integrated into strategic decision-making processes at SSE PLC, a major UK energy provider. As digital transformation becomes essential for competitive advantage, many large firms—including those in the utility sector—are exploring how to harness the power of data to make faster, smarter, and more informed decisions. However, challenges remain in embedding these capabilities effectively across the enterprise.</w:t>
            </w:r>
          </w:p>
          <w:p w14:paraId="218CCC30" w14:textId="77777777" w:rsidR="0083387C" w:rsidRPr="001A076D" w:rsidRDefault="0083387C" w:rsidP="00FE4F18">
            <w:pPr>
              <w:rPr>
                <w:sz w:val="22"/>
                <w:szCs w:val="22"/>
              </w:rPr>
            </w:pPr>
            <w:r w:rsidRPr="001A076D">
              <w:rPr>
                <w:sz w:val="22"/>
                <w:szCs w:val="22"/>
              </w:rPr>
              <w:t>This study will explore the current state of predictive analytics use at SSE, assess the enablers and barriers to its successful integration, and provide recommendations to improve data-driven strategy. The research also seeks to inform broader academic understanding of digital maturity, governance, and data culture in asset-heavy, regulated industries.</w:t>
            </w:r>
          </w:p>
          <w:p w14:paraId="318222A2" w14:textId="77777777" w:rsidR="0083387C" w:rsidRPr="001A076D" w:rsidDel="00425DA7" w:rsidRDefault="0083387C" w:rsidP="00FE4F18">
            <w:r w:rsidRPr="001A076D">
              <w:rPr>
                <w:sz w:val="18"/>
                <w:szCs w:val="18"/>
              </w:rPr>
              <w:t>(this box should expand as you type)</w:t>
            </w:r>
          </w:p>
        </w:tc>
      </w:tr>
      <w:tr w:rsidR="00057F93" w:rsidRPr="001A076D" w:rsidDel="002A152D" w14:paraId="3FA3BA6D" w14:textId="77777777" w:rsidTr="00F37062">
        <w:trPr>
          <w:trHeight w:val="454"/>
        </w:trPr>
        <w:tc>
          <w:tcPr>
            <w:tcW w:w="267" w:type="pct"/>
            <w:vAlign w:val="center"/>
          </w:tcPr>
          <w:p w14:paraId="47F02966" w14:textId="77777777" w:rsidR="0083387C" w:rsidRPr="001A076D" w:rsidRDefault="0083387C" w:rsidP="00FE4F18">
            <w:pPr>
              <w:autoSpaceDE w:val="0"/>
              <w:autoSpaceDN w:val="0"/>
              <w:adjustRightInd w:val="0"/>
              <w:rPr>
                <w:sz w:val="22"/>
                <w:szCs w:val="22"/>
              </w:rPr>
            </w:pPr>
            <w:r w:rsidRPr="001A076D">
              <w:rPr>
                <w:sz w:val="22"/>
                <w:szCs w:val="22"/>
              </w:rPr>
              <w:t>4</w:t>
            </w:r>
          </w:p>
        </w:tc>
        <w:tc>
          <w:tcPr>
            <w:tcW w:w="4733" w:type="pct"/>
            <w:gridSpan w:val="4"/>
            <w:vAlign w:val="center"/>
          </w:tcPr>
          <w:p w14:paraId="63710B6A" w14:textId="77777777" w:rsidR="0083387C" w:rsidRPr="001A076D" w:rsidRDefault="0083387C" w:rsidP="00FE4F18">
            <w:pPr>
              <w:autoSpaceDE w:val="0"/>
              <w:autoSpaceDN w:val="0"/>
              <w:adjustRightInd w:val="0"/>
              <w:rPr>
                <w:b/>
                <w:bCs/>
                <w:sz w:val="22"/>
                <w:szCs w:val="22"/>
              </w:rPr>
            </w:pPr>
            <w:r w:rsidRPr="001A076D">
              <w:rPr>
                <w:b/>
                <w:bCs/>
                <w:sz w:val="22"/>
                <w:szCs w:val="22"/>
              </w:rPr>
              <w:t>Research Question</w:t>
            </w:r>
          </w:p>
          <w:p w14:paraId="02CFC7CA" w14:textId="77777777" w:rsidR="0083387C" w:rsidRPr="001A076D" w:rsidRDefault="0083387C" w:rsidP="00FE4F18"/>
          <w:p w14:paraId="78304188" w14:textId="77777777" w:rsidR="0083387C" w:rsidRPr="001A076D" w:rsidRDefault="0083387C" w:rsidP="00FE4F18">
            <w:pPr>
              <w:rPr>
                <w:sz w:val="22"/>
                <w:szCs w:val="22"/>
              </w:rPr>
            </w:pPr>
            <w:r w:rsidRPr="001A076D">
              <w:rPr>
                <w:sz w:val="22"/>
                <w:szCs w:val="22"/>
              </w:rPr>
              <w:t>The central research question is:</w:t>
            </w:r>
            <w:r w:rsidRPr="001A076D">
              <w:rPr>
                <w:sz w:val="22"/>
                <w:szCs w:val="22"/>
              </w:rPr>
              <w:br/>
            </w:r>
            <w:r w:rsidRPr="001A076D">
              <w:rPr>
                <w:b/>
                <w:bCs/>
                <w:sz w:val="22"/>
                <w:szCs w:val="22"/>
              </w:rPr>
              <w:t>"How is predictive analytics being integrated into strategic decision-making at SSE PLC, and what organisational factors enable or hinder this process?"</w:t>
            </w:r>
          </w:p>
          <w:p w14:paraId="6E4F049A" w14:textId="77777777" w:rsidR="0083387C" w:rsidRPr="001A076D" w:rsidRDefault="0083387C" w:rsidP="00FE4F18">
            <w:pPr>
              <w:rPr>
                <w:sz w:val="22"/>
                <w:szCs w:val="22"/>
              </w:rPr>
            </w:pPr>
            <w:r w:rsidRPr="001A076D">
              <w:rPr>
                <w:sz w:val="22"/>
                <w:szCs w:val="22"/>
              </w:rPr>
              <w:t>Supporting sub-questions include:</w:t>
            </w:r>
          </w:p>
          <w:p w14:paraId="68708500" w14:textId="77777777" w:rsidR="0083387C" w:rsidRPr="001A076D" w:rsidRDefault="0083387C">
            <w:pPr>
              <w:numPr>
                <w:ilvl w:val="0"/>
                <w:numId w:val="2"/>
              </w:numPr>
              <w:rPr>
                <w:sz w:val="22"/>
                <w:szCs w:val="22"/>
              </w:rPr>
            </w:pPr>
            <w:r w:rsidRPr="001A076D">
              <w:rPr>
                <w:sz w:val="22"/>
                <w:szCs w:val="22"/>
              </w:rPr>
              <w:t>To what extent are predictive analytics currently used across SSE’s strategic functions?</w:t>
            </w:r>
          </w:p>
          <w:p w14:paraId="3FAB30FC" w14:textId="77777777" w:rsidR="0083387C" w:rsidRPr="001A076D" w:rsidRDefault="0083387C">
            <w:pPr>
              <w:numPr>
                <w:ilvl w:val="0"/>
                <w:numId w:val="2"/>
              </w:numPr>
              <w:rPr>
                <w:sz w:val="22"/>
                <w:szCs w:val="22"/>
              </w:rPr>
            </w:pPr>
            <w:r w:rsidRPr="001A076D">
              <w:rPr>
                <w:sz w:val="22"/>
                <w:szCs w:val="22"/>
              </w:rPr>
              <w:lastRenderedPageBreak/>
              <w:t>What role does data governance play in enabling or limiting analytics integration?</w:t>
            </w:r>
          </w:p>
          <w:p w14:paraId="2583012D" w14:textId="77777777" w:rsidR="0083387C" w:rsidRPr="001A076D" w:rsidRDefault="0083387C">
            <w:pPr>
              <w:numPr>
                <w:ilvl w:val="0"/>
                <w:numId w:val="2"/>
              </w:numPr>
              <w:rPr>
                <w:sz w:val="22"/>
                <w:szCs w:val="22"/>
              </w:rPr>
            </w:pPr>
            <w:r w:rsidRPr="001A076D">
              <w:rPr>
                <w:sz w:val="22"/>
                <w:szCs w:val="22"/>
              </w:rPr>
              <w:t>How do leadership, skills, and organisational culture influence SSE’s analytics maturity?</w:t>
            </w:r>
          </w:p>
          <w:p w14:paraId="2DD0D5B8" w14:textId="77777777" w:rsidR="0083387C" w:rsidRPr="001A076D" w:rsidRDefault="0083387C" w:rsidP="00FE4F18">
            <w:pPr>
              <w:autoSpaceDE w:val="0"/>
              <w:autoSpaceDN w:val="0"/>
              <w:adjustRightInd w:val="0"/>
              <w:rPr>
                <w:b/>
                <w:bCs/>
                <w:sz w:val="22"/>
                <w:szCs w:val="22"/>
              </w:rPr>
            </w:pPr>
            <w:r w:rsidRPr="001A076D">
              <w:rPr>
                <w:sz w:val="18"/>
                <w:szCs w:val="18"/>
              </w:rPr>
              <w:t>(this box should expand as you type)</w:t>
            </w:r>
          </w:p>
        </w:tc>
      </w:tr>
      <w:tr w:rsidR="00057F93" w:rsidRPr="001A076D" w14:paraId="3A0666A4" w14:textId="77777777" w:rsidTr="00F37062">
        <w:trPr>
          <w:trHeight w:val="454"/>
        </w:trPr>
        <w:tc>
          <w:tcPr>
            <w:tcW w:w="267" w:type="pct"/>
            <w:vAlign w:val="center"/>
          </w:tcPr>
          <w:p w14:paraId="0733C57D" w14:textId="77777777" w:rsidR="0083387C" w:rsidRPr="001A076D" w:rsidRDefault="0083387C" w:rsidP="00FE4F18">
            <w:pPr>
              <w:autoSpaceDE w:val="0"/>
              <w:autoSpaceDN w:val="0"/>
              <w:adjustRightInd w:val="0"/>
              <w:rPr>
                <w:sz w:val="22"/>
                <w:szCs w:val="22"/>
              </w:rPr>
            </w:pPr>
            <w:r w:rsidRPr="001A076D">
              <w:rPr>
                <w:sz w:val="22"/>
                <w:szCs w:val="22"/>
              </w:rPr>
              <w:lastRenderedPageBreak/>
              <w:t>5</w:t>
            </w:r>
          </w:p>
        </w:tc>
        <w:tc>
          <w:tcPr>
            <w:tcW w:w="4733" w:type="pct"/>
            <w:gridSpan w:val="4"/>
            <w:vAlign w:val="center"/>
          </w:tcPr>
          <w:p w14:paraId="682BF060" w14:textId="77777777" w:rsidR="0083387C" w:rsidRPr="001A076D" w:rsidRDefault="0083387C" w:rsidP="00FE4F18">
            <w:pPr>
              <w:autoSpaceDE w:val="0"/>
              <w:autoSpaceDN w:val="0"/>
              <w:adjustRightInd w:val="0"/>
              <w:rPr>
                <w:b/>
                <w:bCs/>
                <w:sz w:val="22"/>
                <w:szCs w:val="22"/>
              </w:rPr>
            </w:pPr>
            <w:r w:rsidRPr="001A076D">
              <w:rPr>
                <w:b/>
                <w:bCs/>
                <w:sz w:val="22"/>
                <w:szCs w:val="22"/>
              </w:rPr>
              <w:t>Aims of Research Activity</w:t>
            </w:r>
          </w:p>
          <w:p w14:paraId="78B173E7" w14:textId="77777777" w:rsidR="0083387C" w:rsidRPr="001A076D" w:rsidRDefault="0083387C" w:rsidP="00FE4F18"/>
          <w:p w14:paraId="4AB86DBD" w14:textId="77777777" w:rsidR="0083387C" w:rsidRPr="001A076D" w:rsidRDefault="0083387C" w:rsidP="00FE4F18">
            <w:pPr>
              <w:rPr>
                <w:sz w:val="22"/>
                <w:szCs w:val="22"/>
              </w:rPr>
            </w:pPr>
            <w:r w:rsidRPr="001A076D">
              <w:rPr>
                <w:sz w:val="22"/>
                <w:szCs w:val="22"/>
              </w:rPr>
              <w:t>This study aims to explore how SSE PLC utilises predictive analytics to support strategic decision-making, and what factors enable or hinder this progress. The focus is on moving beyond isolated efforts toward a more integrated, organisation-wide approach—identifying key enablers, barriers, and practical steps for improvement.</w:t>
            </w:r>
          </w:p>
          <w:p w14:paraId="2056B910" w14:textId="77777777" w:rsidR="0083387C" w:rsidRPr="001A076D" w:rsidRDefault="0083387C" w:rsidP="00FE4F18">
            <w:r w:rsidRPr="001A076D">
              <w:rPr>
                <w:sz w:val="18"/>
                <w:szCs w:val="18"/>
              </w:rPr>
              <w:t>(this box should expand as you type)</w:t>
            </w:r>
          </w:p>
        </w:tc>
      </w:tr>
      <w:tr w:rsidR="00057F93" w:rsidRPr="001A076D" w14:paraId="56671551" w14:textId="77777777" w:rsidTr="00F37062">
        <w:trPr>
          <w:trHeight w:val="454"/>
        </w:trPr>
        <w:tc>
          <w:tcPr>
            <w:tcW w:w="267" w:type="pct"/>
            <w:vAlign w:val="center"/>
          </w:tcPr>
          <w:p w14:paraId="229C7487" w14:textId="77777777" w:rsidR="0083387C" w:rsidRPr="001A076D" w:rsidRDefault="0083387C" w:rsidP="00FE4F18">
            <w:pPr>
              <w:autoSpaceDE w:val="0"/>
              <w:autoSpaceDN w:val="0"/>
              <w:adjustRightInd w:val="0"/>
              <w:rPr>
                <w:sz w:val="22"/>
                <w:szCs w:val="22"/>
              </w:rPr>
            </w:pPr>
            <w:r w:rsidRPr="001A076D">
              <w:rPr>
                <w:sz w:val="22"/>
                <w:szCs w:val="22"/>
              </w:rPr>
              <w:t>6</w:t>
            </w:r>
          </w:p>
        </w:tc>
        <w:tc>
          <w:tcPr>
            <w:tcW w:w="4733" w:type="pct"/>
            <w:gridSpan w:val="4"/>
            <w:vAlign w:val="center"/>
          </w:tcPr>
          <w:p w14:paraId="672F1570" w14:textId="77777777" w:rsidR="0083387C" w:rsidRPr="001A076D" w:rsidRDefault="0083387C" w:rsidP="00FE4F18">
            <w:pPr>
              <w:autoSpaceDE w:val="0"/>
              <w:autoSpaceDN w:val="0"/>
              <w:adjustRightInd w:val="0"/>
              <w:rPr>
                <w:b/>
                <w:bCs/>
                <w:sz w:val="22"/>
                <w:szCs w:val="22"/>
              </w:rPr>
            </w:pPr>
            <w:r w:rsidRPr="001A076D">
              <w:rPr>
                <w:b/>
                <w:bCs/>
                <w:sz w:val="22"/>
                <w:szCs w:val="22"/>
              </w:rPr>
              <w:t>Objectives of Research Activity</w:t>
            </w:r>
          </w:p>
          <w:p w14:paraId="145664F3" w14:textId="77777777" w:rsidR="0083387C" w:rsidRPr="001A076D" w:rsidRDefault="0083387C">
            <w:pPr>
              <w:numPr>
                <w:ilvl w:val="0"/>
                <w:numId w:val="3"/>
              </w:numPr>
              <w:rPr>
                <w:sz w:val="22"/>
                <w:szCs w:val="22"/>
              </w:rPr>
            </w:pPr>
            <w:r w:rsidRPr="001A076D">
              <w:rPr>
                <w:b/>
                <w:bCs/>
                <w:sz w:val="22"/>
                <w:szCs w:val="22"/>
              </w:rPr>
              <w:t>Assess</w:t>
            </w:r>
            <w:r w:rsidRPr="001A076D">
              <w:rPr>
                <w:sz w:val="22"/>
                <w:szCs w:val="22"/>
              </w:rPr>
              <w:t xml:space="preserve"> current usage of predictive analytics across SSE’s strategic and operational functions.</w:t>
            </w:r>
          </w:p>
          <w:p w14:paraId="516B6A09" w14:textId="77777777" w:rsidR="0083387C" w:rsidRPr="001A076D" w:rsidRDefault="0083387C">
            <w:pPr>
              <w:numPr>
                <w:ilvl w:val="0"/>
                <w:numId w:val="3"/>
              </w:numPr>
              <w:rPr>
                <w:sz w:val="22"/>
                <w:szCs w:val="22"/>
              </w:rPr>
            </w:pPr>
            <w:r w:rsidRPr="001A076D">
              <w:rPr>
                <w:b/>
                <w:bCs/>
                <w:sz w:val="22"/>
                <w:szCs w:val="22"/>
              </w:rPr>
              <w:t>Evaluate</w:t>
            </w:r>
            <w:r w:rsidRPr="001A076D">
              <w:rPr>
                <w:sz w:val="22"/>
                <w:szCs w:val="22"/>
              </w:rPr>
              <w:t xml:space="preserve"> the impact of predictive analytics on marketing segmentation and campaign optimisation.</w:t>
            </w:r>
          </w:p>
          <w:p w14:paraId="20CFB81C" w14:textId="77777777" w:rsidR="0083387C" w:rsidRPr="001A076D" w:rsidRDefault="0083387C">
            <w:pPr>
              <w:numPr>
                <w:ilvl w:val="0"/>
                <w:numId w:val="3"/>
              </w:numPr>
              <w:rPr>
                <w:sz w:val="22"/>
                <w:szCs w:val="22"/>
              </w:rPr>
            </w:pPr>
            <w:r w:rsidRPr="001A076D">
              <w:rPr>
                <w:b/>
                <w:bCs/>
                <w:sz w:val="22"/>
                <w:szCs w:val="22"/>
              </w:rPr>
              <w:t xml:space="preserve">Examine </w:t>
            </w:r>
            <w:r w:rsidRPr="001A076D">
              <w:rPr>
                <w:sz w:val="22"/>
                <w:szCs w:val="22"/>
              </w:rPr>
              <w:t>the influence of predictive analytics on strategic decision-making quality, speed, and confidence.</w:t>
            </w:r>
          </w:p>
          <w:p w14:paraId="5BD6BFAB" w14:textId="77777777" w:rsidR="0083387C" w:rsidRPr="001A076D" w:rsidRDefault="0083387C">
            <w:pPr>
              <w:numPr>
                <w:ilvl w:val="0"/>
                <w:numId w:val="3"/>
              </w:numPr>
              <w:rPr>
                <w:sz w:val="22"/>
                <w:szCs w:val="22"/>
              </w:rPr>
            </w:pPr>
            <w:r w:rsidRPr="001A076D">
              <w:rPr>
                <w:b/>
                <w:bCs/>
                <w:sz w:val="22"/>
                <w:szCs w:val="22"/>
              </w:rPr>
              <w:t xml:space="preserve">Analyse </w:t>
            </w:r>
            <w:r w:rsidRPr="001A076D">
              <w:rPr>
                <w:sz w:val="22"/>
                <w:szCs w:val="22"/>
              </w:rPr>
              <w:t>how data governance practices (quality, ownership, policies) enable, or hinder analytics use.</w:t>
            </w:r>
          </w:p>
          <w:p w14:paraId="5883F77C" w14:textId="77777777" w:rsidR="0083387C" w:rsidRPr="001A076D" w:rsidRDefault="0083387C">
            <w:pPr>
              <w:numPr>
                <w:ilvl w:val="0"/>
                <w:numId w:val="3"/>
              </w:numPr>
              <w:rPr>
                <w:sz w:val="22"/>
                <w:szCs w:val="22"/>
              </w:rPr>
            </w:pPr>
            <w:r w:rsidRPr="001A076D">
              <w:rPr>
                <w:b/>
                <w:bCs/>
                <w:sz w:val="22"/>
                <w:szCs w:val="22"/>
              </w:rPr>
              <w:t xml:space="preserve">Evaluate </w:t>
            </w:r>
            <w:r w:rsidRPr="001A076D">
              <w:rPr>
                <w:sz w:val="22"/>
                <w:szCs w:val="22"/>
              </w:rPr>
              <w:t>SSE’s organisational readiness for predictive analytics, focusing on leadership, skills, and data culture.</w:t>
            </w:r>
          </w:p>
          <w:p w14:paraId="59BA2D42" w14:textId="77777777" w:rsidR="0083387C" w:rsidRPr="001A076D" w:rsidRDefault="0083387C" w:rsidP="00FE4F18">
            <w:pPr>
              <w:rPr>
                <w:sz w:val="22"/>
                <w:szCs w:val="22"/>
              </w:rPr>
            </w:pPr>
            <w:r w:rsidRPr="001A076D">
              <w:rPr>
                <w:sz w:val="18"/>
                <w:szCs w:val="18"/>
              </w:rPr>
              <w:t>(this box should expand as you type)</w:t>
            </w:r>
          </w:p>
        </w:tc>
      </w:tr>
      <w:tr w:rsidR="00057F93" w:rsidRPr="001A076D" w14:paraId="7ABB32F2" w14:textId="77777777" w:rsidTr="00F37062">
        <w:trPr>
          <w:trHeight w:val="454"/>
        </w:trPr>
        <w:tc>
          <w:tcPr>
            <w:tcW w:w="267" w:type="pct"/>
            <w:shd w:val="clear" w:color="auto" w:fill="F2F2F2" w:themeFill="background1" w:themeFillShade="F2"/>
            <w:vAlign w:val="center"/>
          </w:tcPr>
          <w:p w14:paraId="4BA9A42F" w14:textId="77777777" w:rsidR="0083387C" w:rsidRPr="001A076D" w:rsidRDefault="0083387C" w:rsidP="00FE4F18">
            <w:pPr>
              <w:spacing w:before="120" w:after="120"/>
              <w:rPr>
                <w:sz w:val="22"/>
                <w:szCs w:val="22"/>
              </w:rPr>
            </w:pPr>
          </w:p>
        </w:tc>
        <w:tc>
          <w:tcPr>
            <w:tcW w:w="4733" w:type="pct"/>
            <w:gridSpan w:val="4"/>
            <w:shd w:val="clear" w:color="auto" w:fill="F2F2F2" w:themeFill="background1" w:themeFillShade="F2"/>
            <w:vAlign w:val="center"/>
          </w:tcPr>
          <w:p w14:paraId="460C7E28" w14:textId="77777777" w:rsidR="0083387C" w:rsidRPr="001A076D" w:rsidRDefault="0083387C" w:rsidP="00FE4F18">
            <w:pPr>
              <w:spacing w:before="120" w:after="120"/>
              <w:rPr>
                <w:b/>
                <w:sz w:val="22"/>
                <w:szCs w:val="22"/>
              </w:rPr>
            </w:pPr>
            <w:r w:rsidRPr="001A076D">
              <w:rPr>
                <w:b/>
                <w:sz w:val="22"/>
                <w:szCs w:val="22"/>
              </w:rPr>
              <w:t>Proposed methods (maximum 600 words)</w:t>
            </w:r>
          </w:p>
          <w:p w14:paraId="6850B1A0" w14:textId="77777777" w:rsidR="0083387C" w:rsidRPr="001A076D" w:rsidRDefault="0083387C" w:rsidP="00FE4F18">
            <w:pPr>
              <w:rPr>
                <w:sz w:val="22"/>
                <w:szCs w:val="22"/>
              </w:rPr>
            </w:pPr>
            <w:r w:rsidRPr="001A076D">
              <w:rPr>
                <w:sz w:val="22"/>
                <w:szCs w:val="22"/>
              </w:rPr>
              <w:t xml:space="preserve">Provide a brief summary of all the methods that </w:t>
            </w:r>
            <w:r w:rsidRPr="001A076D">
              <w:rPr>
                <w:b/>
                <w:sz w:val="22"/>
                <w:szCs w:val="22"/>
              </w:rPr>
              <w:t>may</w:t>
            </w:r>
            <w:r w:rsidRPr="001A076D">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1A076D">
              <w:rPr>
                <w:sz w:val="22"/>
                <w:szCs w:val="22"/>
              </w:rPr>
              <w:t>here, but</w:t>
            </w:r>
            <w:proofErr w:type="gramEnd"/>
            <w:r w:rsidRPr="001A076D">
              <w:rPr>
                <w:sz w:val="22"/>
                <w:szCs w:val="22"/>
              </w:rPr>
              <w:t xml:space="preserve"> should instead describe how you intend to collect the data necessary for you to complete your project.</w:t>
            </w:r>
          </w:p>
        </w:tc>
      </w:tr>
      <w:tr w:rsidR="00057F93" w:rsidRPr="001A076D" w14:paraId="2C4F3C5A" w14:textId="77777777" w:rsidTr="00F37062">
        <w:trPr>
          <w:trHeight w:val="454"/>
        </w:trPr>
        <w:tc>
          <w:tcPr>
            <w:tcW w:w="267" w:type="pct"/>
            <w:vAlign w:val="center"/>
          </w:tcPr>
          <w:p w14:paraId="7A9E565C" w14:textId="77777777" w:rsidR="0083387C" w:rsidRPr="001A076D" w:rsidRDefault="0083387C" w:rsidP="00FE4F18">
            <w:pPr>
              <w:rPr>
                <w:sz w:val="22"/>
                <w:szCs w:val="22"/>
              </w:rPr>
            </w:pPr>
            <w:r w:rsidRPr="001A076D">
              <w:rPr>
                <w:sz w:val="22"/>
                <w:szCs w:val="22"/>
              </w:rPr>
              <w:t>7</w:t>
            </w:r>
          </w:p>
        </w:tc>
        <w:tc>
          <w:tcPr>
            <w:tcW w:w="4733" w:type="pct"/>
            <w:gridSpan w:val="4"/>
            <w:vAlign w:val="center"/>
          </w:tcPr>
          <w:p w14:paraId="27640F92" w14:textId="77777777" w:rsidR="0083387C" w:rsidRPr="001A076D" w:rsidRDefault="0083387C" w:rsidP="00FE4F18">
            <w:pPr>
              <w:rPr>
                <w:sz w:val="22"/>
                <w:szCs w:val="22"/>
              </w:rPr>
            </w:pPr>
          </w:p>
          <w:p w14:paraId="44B6092A" w14:textId="77777777" w:rsidR="0083387C" w:rsidRPr="001A076D" w:rsidRDefault="0083387C" w:rsidP="00FE4F18">
            <w:pPr>
              <w:rPr>
                <w:sz w:val="22"/>
                <w:szCs w:val="22"/>
              </w:rPr>
            </w:pPr>
            <w:r w:rsidRPr="001A076D">
              <w:rPr>
                <w:sz w:val="22"/>
                <w:szCs w:val="22"/>
              </w:rPr>
              <w:t xml:space="preserve">This research adopts a </w:t>
            </w:r>
            <w:r w:rsidRPr="001A076D">
              <w:rPr>
                <w:b/>
                <w:bCs/>
                <w:sz w:val="22"/>
                <w:szCs w:val="22"/>
              </w:rPr>
              <w:t>mixed-methods</w:t>
            </w:r>
            <w:r w:rsidRPr="001A076D">
              <w:rPr>
                <w:sz w:val="22"/>
                <w:szCs w:val="22"/>
              </w:rPr>
              <w:t xml:space="preserve"> approach, combining both </w:t>
            </w:r>
            <w:r w:rsidRPr="001A076D">
              <w:rPr>
                <w:b/>
                <w:bCs/>
                <w:sz w:val="22"/>
                <w:szCs w:val="22"/>
              </w:rPr>
              <w:t>quantitative</w:t>
            </w:r>
            <w:r w:rsidRPr="001A076D">
              <w:rPr>
                <w:sz w:val="22"/>
                <w:szCs w:val="22"/>
              </w:rPr>
              <w:t xml:space="preserve"> and </w:t>
            </w:r>
            <w:r w:rsidRPr="001A076D">
              <w:rPr>
                <w:b/>
                <w:bCs/>
                <w:sz w:val="22"/>
                <w:szCs w:val="22"/>
              </w:rPr>
              <w:t>qualitative</w:t>
            </w:r>
            <w:r w:rsidRPr="001A076D">
              <w:rPr>
                <w:sz w:val="22"/>
                <w:szCs w:val="22"/>
              </w:rPr>
              <w:t xml:space="preserve"> techniques to enable a comprehensive analysis.</w:t>
            </w:r>
          </w:p>
          <w:p w14:paraId="168A61C8" w14:textId="77777777" w:rsidR="0083387C" w:rsidRPr="001A076D" w:rsidRDefault="0083387C" w:rsidP="00FE4F18">
            <w:pPr>
              <w:rPr>
                <w:sz w:val="22"/>
                <w:szCs w:val="22"/>
              </w:rPr>
            </w:pPr>
          </w:p>
          <w:p w14:paraId="55D6011C" w14:textId="77777777" w:rsidR="0083387C" w:rsidRPr="001A076D" w:rsidRDefault="0083387C" w:rsidP="00FE4F18">
            <w:pPr>
              <w:rPr>
                <w:sz w:val="22"/>
                <w:szCs w:val="22"/>
              </w:rPr>
            </w:pPr>
            <w:r w:rsidRPr="001A076D">
              <w:rPr>
                <w:b/>
                <w:bCs/>
                <w:sz w:val="22"/>
                <w:szCs w:val="22"/>
              </w:rPr>
              <w:t>Quantitative Phase:</w:t>
            </w:r>
            <w:r w:rsidRPr="001A076D">
              <w:rPr>
                <w:sz w:val="22"/>
                <w:szCs w:val="22"/>
              </w:rPr>
              <w:br/>
              <w:t xml:space="preserve">A structured online </w:t>
            </w:r>
            <w:r w:rsidRPr="001A076D">
              <w:rPr>
                <w:b/>
                <w:bCs/>
                <w:sz w:val="22"/>
                <w:szCs w:val="22"/>
              </w:rPr>
              <w:t>survey</w:t>
            </w:r>
            <w:r w:rsidRPr="001A076D">
              <w:rPr>
                <w:sz w:val="22"/>
                <w:szCs w:val="22"/>
              </w:rPr>
              <w:t xml:space="preserve"> will be distributed to SSE employees involved in strategy, marketing, data, and operations. The survey will include Likert-scale questions aligned to two established frameworks—DELTA (Davenport &amp; Harris, 2010) and DCAM (EDM Council, 2020)—to assess analytics maturity and governance factors. Responses will be statistically analysed using descriptive methods (mean, variance) and cross-tabulations.</w:t>
            </w:r>
          </w:p>
          <w:p w14:paraId="0DF565A4" w14:textId="77777777" w:rsidR="0083387C" w:rsidRPr="001A076D" w:rsidRDefault="0083387C" w:rsidP="00FE4F18">
            <w:pPr>
              <w:rPr>
                <w:sz w:val="22"/>
                <w:szCs w:val="22"/>
              </w:rPr>
            </w:pPr>
          </w:p>
          <w:p w14:paraId="1A490F95" w14:textId="77777777" w:rsidR="0083387C" w:rsidRPr="001A076D" w:rsidRDefault="0083387C" w:rsidP="00FE4F18">
            <w:pPr>
              <w:rPr>
                <w:sz w:val="22"/>
                <w:szCs w:val="22"/>
              </w:rPr>
            </w:pPr>
            <w:r w:rsidRPr="001A076D">
              <w:rPr>
                <w:b/>
                <w:bCs/>
                <w:sz w:val="22"/>
                <w:szCs w:val="22"/>
              </w:rPr>
              <w:t>Qualitative Phase:</w:t>
            </w:r>
            <w:r w:rsidRPr="001A076D">
              <w:rPr>
                <w:sz w:val="22"/>
                <w:szCs w:val="22"/>
              </w:rPr>
              <w:br/>
              <w:t xml:space="preserve">Semi-structured </w:t>
            </w:r>
            <w:r w:rsidRPr="001A076D">
              <w:rPr>
                <w:b/>
                <w:bCs/>
                <w:sz w:val="22"/>
                <w:szCs w:val="22"/>
              </w:rPr>
              <w:t>interviews</w:t>
            </w:r>
            <w:r w:rsidRPr="001A076D">
              <w:rPr>
                <w:sz w:val="22"/>
                <w:szCs w:val="22"/>
              </w:rPr>
              <w:t xml:space="preserve"> will be conducted with key stakeholders (e.g. directors, data governance leads, and senior analysts). These interviews will explore participants’ experiences, perceptions, and organisational contexts around predictive analytics. Responses will be recorded (with consent), anonymised, transcribed, and analysed thematically using NVivo.</w:t>
            </w:r>
          </w:p>
          <w:p w14:paraId="7FE79A25" w14:textId="77777777" w:rsidR="0083387C" w:rsidRPr="001A076D" w:rsidRDefault="0083387C" w:rsidP="00FE4F18">
            <w:pPr>
              <w:rPr>
                <w:sz w:val="22"/>
                <w:szCs w:val="22"/>
              </w:rPr>
            </w:pPr>
          </w:p>
          <w:p w14:paraId="73118788" w14:textId="77777777" w:rsidR="0083387C" w:rsidRPr="001A076D" w:rsidRDefault="0083387C" w:rsidP="00FE4F18">
            <w:pPr>
              <w:rPr>
                <w:sz w:val="22"/>
                <w:szCs w:val="22"/>
              </w:rPr>
            </w:pPr>
            <w:r w:rsidRPr="001A076D">
              <w:rPr>
                <w:b/>
                <w:bCs/>
                <w:sz w:val="22"/>
                <w:szCs w:val="22"/>
              </w:rPr>
              <w:t>Document Analysis:</w:t>
            </w:r>
            <w:r w:rsidRPr="001A076D">
              <w:rPr>
                <w:sz w:val="22"/>
                <w:szCs w:val="22"/>
              </w:rPr>
              <w:br/>
              <w:t>Company documents such as data strategies, analytics roadmaps, and internal governance policies will be reviewed to triangulate findings and contextualise practices.</w:t>
            </w:r>
          </w:p>
          <w:p w14:paraId="0289639F" w14:textId="77777777" w:rsidR="0083387C" w:rsidRPr="001A076D" w:rsidRDefault="0083387C" w:rsidP="00FE4F18">
            <w:pPr>
              <w:rPr>
                <w:sz w:val="22"/>
                <w:szCs w:val="22"/>
              </w:rPr>
            </w:pPr>
            <w:r w:rsidRPr="001A076D">
              <w:rPr>
                <w:sz w:val="22"/>
                <w:szCs w:val="22"/>
              </w:rPr>
              <w:t>This triangulated approach enhances credibility and allows deeper exploration of both measurable maturity indicators and contextual enablers or constraints. All participants will receive an information sheet and provide informed consent. Data will be anonymised, securely stored, and analysed in line with GDPR and the University’s data ethics policies.</w:t>
            </w:r>
          </w:p>
          <w:p w14:paraId="6BBF7DEF" w14:textId="77777777" w:rsidR="0083387C" w:rsidRPr="001A076D" w:rsidRDefault="0083387C" w:rsidP="00FE4F18">
            <w:pPr>
              <w:rPr>
                <w:b/>
                <w:sz w:val="22"/>
                <w:szCs w:val="22"/>
              </w:rPr>
            </w:pPr>
            <w:r w:rsidRPr="001A076D">
              <w:rPr>
                <w:sz w:val="18"/>
                <w:szCs w:val="18"/>
              </w:rPr>
              <w:t>(this box should expand as you type)</w:t>
            </w:r>
          </w:p>
        </w:tc>
      </w:tr>
      <w:tr w:rsidR="00057F93" w:rsidRPr="001A076D" w14:paraId="586D71E6" w14:textId="77777777" w:rsidTr="00F37062">
        <w:trPr>
          <w:trHeight w:val="454"/>
        </w:trPr>
        <w:tc>
          <w:tcPr>
            <w:tcW w:w="267" w:type="pct"/>
            <w:shd w:val="clear" w:color="auto" w:fill="F2F2F2" w:themeFill="background1" w:themeFillShade="F2"/>
            <w:vAlign w:val="center"/>
          </w:tcPr>
          <w:p w14:paraId="76CB2321" w14:textId="77777777" w:rsidR="0083387C" w:rsidRPr="001A076D" w:rsidRDefault="0083387C" w:rsidP="00FE4F18">
            <w:pPr>
              <w:spacing w:before="120"/>
              <w:rPr>
                <w:bCs/>
                <w:sz w:val="22"/>
                <w:szCs w:val="22"/>
              </w:rPr>
            </w:pPr>
            <w:r w:rsidRPr="001A076D">
              <w:br w:type="page"/>
            </w:r>
          </w:p>
        </w:tc>
        <w:tc>
          <w:tcPr>
            <w:tcW w:w="4733" w:type="pct"/>
            <w:gridSpan w:val="4"/>
            <w:shd w:val="clear" w:color="auto" w:fill="F2F2F2" w:themeFill="background1" w:themeFillShade="F2"/>
            <w:vAlign w:val="center"/>
          </w:tcPr>
          <w:p w14:paraId="6A0FB268" w14:textId="77777777" w:rsidR="0083387C" w:rsidRPr="001A076D" w:rsidRDefault="0083387C" w:rsidP="00FE4F18">
            <w:pPr>
              <w:spacing w:before="120"/>
              <w:rPr>
                <w:b/>
                <w:sz w:val="22"/>
                <w:szCs w:val="22"/>
              </w:rPr>
            </w:pPr>
            <w:r w:rsidRPr="001A076D">
              <w:rPr>
                <w:b/>
                <w:sz w:val="22"/>
                <w:szCs w:val="22"/>
              </w:rPr>
              <w:t>Location of research activity</w:t>
            </w:r>
          </w:p>
          <w:p w14:paraId="773C1E90" w14:textId="77777777" w:rsidR="0083387C" w:rsidRPr="001A076D" w:rsidRDefault="0083387C" w:rsidP="00FE4F18">
            <w:pPr>
              <w:rPr>
                <w:sz w:val="22"/>
                <w:szCs w:val="22"/>
              </w:rPr>
            </w:pPr>
            <w:r w:rsidRPr="001A076D">
              <w:rPr>
                <w:sz w:val="22"/>
                <w:szCs w:val="22"/>
              </w:rPr>
              <w:t>Identify all locations where research activity will take place.</w:t>
            </w:r>
          </w:p>
        </w:tc>
      </w:tr>
      <w:tr w:rsidR="00057F93" w:rsidRPr="001A076D" w14:paraId="563FB107" w14:textId="77777777" w:rsidTr="00F37062">
        <w:trPr>
          <w:trHeight w:val="454"/>
        </w:trPr>
        <w:tc>
          <w:tcPr>
            <w:tcW w:w="267" w:type="pct"/>
            <w:vAlign w:val="center"/>
          </w:tcPr>
          <w:p w14:paraId="79B75A7F" w14:textId="77777777" w:rsidR="0083387C" w:rsidRPr="001A076D" w:rsidRDefault="0083387C" w:rsidP="00FE4F18">
            <w:pPr>
              <w:rPr>
                <w:bCs/>
                <w:sz w:val="22"/>
                <w:szCs w:val="22"/>
              </w:rPr>
            </w:pPr>
            <w:r w:rsidRPr="001A076D">
              <w:rPr>
                <w:bCs/>
                <w:sz w:val="22"/>
                <w:szCs w:val="22"/>
              </w:rPr>
              <w:t>8</w:t>
            </w:r>
          </w:p>
        </w:tc>
        <w:tc>
          <w:tcPr>
            <w:tcW w:w="4733" w:type="pct"/>
            <w:gridSpan w:val="4"/>
            <w:vAlign w:val="center"/>
          </w:tcPr>
          <w:p w14:paraId="0A17A118" w14:textId="77777777" w:rsidR="0083387C" w:rsidRPr="001A076D" w:rsidRDefault="0083387C" w:rsidP="00FE4F18">
            <w:pPr>
              <w:rPr>
                <w:sz w:val="22"/>
                <w:szCs w:val="22"/>
              </w:rPr>
            </w:pPr>
            <w:r w:rsidRPr="001A076D">
              <w:rPr>
                <w:sz w:val="22"/>
                <w:szCs w:val="22"/>
              </w:rPr>
              <w:t xml:space="preserve">All research activities will be conducted remotely within the UK. Survey responses will be collected online. Interviews will be conducted virtually using Microsoft Teams or Zoom. No face-to-face or on-site data </w:t>
            </w:r>
            <w:r w:rsidRPr="001A076D">
              <w:rPr>
                <w:sz w:val="22"/>
                <w:szCs w:val="22"/>
              </w:rPr>
              <w:lastRenderedPageBreak/>
              <w:t>collection is required. Access to SSE’s internal documentation will be granted through official communication channels and subject to internal approval.</w:t>
            </w:r>
          </w:p>
          <w:p w14:paraId="478BB8DC" w14:textId="77777777" w:rsidR="0083387C" w:rsidRPr="001A076D" w:rsidRDefault="0083387C" w:rsidP="00FE4F18">
            <w:pPr>
              <w:rPr>
                <w:b/>
                <w:sz w:val="22"/>
                <w:szCs w:val="22"/>
              </w:rPr>
            </w:pPr>
            <w:r w:rsidRPr="001A076D">
              <w:rPr>
                <w:sz w:val="18"/>
                <w:szCs w:val="18"/>
              </w:rPr>
              <w:t>(this box should expand as you type)</w:t>
            </w:r>
          </w:p>
        </w:tc>
      </w:tr>
      <w:tr w:rsidR="00057F93" w:rsidRPr="001A076D" w14:paraId="0C6CF6B1" w14:textId="77777777" w:rsidTr="00F37062">
        <w:trPr>
          <w:trHeight w:val="454"/>
        </w:trPr>
        <w:tc>
          <w:tcPr>
            <w:tcW w:w="267" w:type="pct"/>
            <w:shd w:val="clear" w:color="auto" w:fill="F2F2F2" w:themeFill="background1" w:themeFillShade="F2"/>
            <w:vAlign w:val="center"/>
          </w:tcPr>
          <w:p w14:paraId="647742F7" w14:textId="77777777" w:rsidR="0083387C" w:rsidRPr="001A076D" w:rsidRDefault="0083387C" w:rsidP="00FE4F18">
            <w:pPr>
              <w:spacing w:before="120"/>
              <w:rPr>
                <w:bCs/>
                <w:sz w:val="22"/>
                <w:szCs w:val="22"/>
              </w:rPr>
            </w:pPr>
          </w:p>
        </w:tc>
        <w:tc>
          <w:tcPr>
            <w:tcW w:w="4733" w:type="pct"/>
            <w:gridSpan w:val="4"/>
            <w:shd w:val="clear" w:color="auto" w:fill="F2F2F2" w:themeFill="background1" w:themeFillShade="F2"/>
            <w:vAlign w:val="center"/>
          </w:tcPr>
          <w:p w14:paraId="4E50ED60" w14:textId="77777777" w:rsidR="0083387C" w:rsidRPr="001A076D" w:rsidRDefault="0083387C" w:rsidP="00FE4F18">
            <w:pPr>
              <w:spacing w:before="120"/>
              <w:rPr>
                <w:b/>
                <w:sz w:val="22"/>
                <w:szCs w:val="22"/>
              </w:rPr>
            </w:pPr>
            <w:r w:rsidRPr="001A076D">
              <w:rPr>
                <w:b/>
                <w:sz w:val="22"/>
                <w:szCs w:val="22"/>
              </w:rPr>
              <w:t>Research activity outside of the UK</w:t>
            </w:r>
          </w:p>
          <w:p w14:paraId="11AF4815" w14:textId="77777777" w:rsidR="0083387C" w:rsidRPr="001A076D" w:rsidRDefault="0083387C" w:rsidP="00FE4F18">
            <w:pPr>
              <w:autoSpaceDE w:val="0"/>
              <w:autoSpaceDN w:val="0"/>
              <w:adjustRightInd w:val="0"/>
              <w:rPr>
                <w:sz w:val="22"/>
                <w:szCs w:val="22"/>
              </w:rPr>
            </w:pPr>
            <w:r w:rsidRPr="001A076D">
              <w:rPr>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1A076D">
              <w:rPr>
                <w:sz w:val="22"/>
                <w:szCs w:val="22"/>
              </w:rPr>
              <w:t>research</w:t>
            </w:r>
            <w:proofErr w:type="gramEnd"/>
            <w:r w:rsidRPr="001A076D">
              <w:rPr>
                <w:sz w:val="22"/>
                <w:szCs w:val="22"/>
              </w:rPr>
              <w:t xml:space="preserve"> then please state this.</w:t>
            </w:r>
          </w:p>
        </w:tc>
      </w:tr>
      <w:tr w:rsidR="00057F93" w:rsidRPr="001A076D" w14:paraId="404F2273" w14:textId="77777777" w:rsidTr="00F37062">
        <w:trPr>
          <w:trHeight w:val="454"/>
        </w:trPr>
        <w:tc>
          <w:tcPr>
            <w:tcW w:w="267" w:type="pct"/>
            <w:vAlign w:val="center"/>
          </w:tcPr>
          <w:p w14:paraId="4B40AC75" w14:textId="77777777" w:rsidR="0083387C" w:rsidRPr="001A076D" w:rsidRDefault="0083387C" w:rsidP="00FE4F18">
            <w:pPr>
              <w:rPr>
                <w:bCs/>
                <w:sz w:val="22"/>
                <w:szCs w:val="22"/>
              </w:rPr>
            </w:pPr>
            <w:r w:rsidRPr="001A076D">
              <w:rPr>
                <w:bCs/>
                <w:sz w:val="22"/>
                <w:szCs w:val="22"/>
              </w:rPr>
              <w:t>9</w:t>
            </w:r>
          </w:p>
        </w:tc>
        <w:tc>
          <w:tcPr>
            <w:tcW w:w="4733" w:type="pct"/>
            <w:gridSpan w:val="4"/>
            <w:vAlign w:val="center"/>
          </w:tcPr>
          <w:p w14:paraId="0B24DB46" w14:textId="77777777" w:rsidR="0083387C" w:rsidRPr="001A076D" w:rsidRDefault="0083387C" w:rsidP="00FE4F18">
            <w:pPr>
              <w:rPr>
                <w:sz w:val="22"/>
                <w:szCs w:val="22"/>
              </w:rPr>
            </w:pPr>
            <w:r w:rsidRPr="001A076D">
              <w:rPr>
                <w:sz w:val="22"/>
                <w:szCs w:val="22"/>
              </w:rPr>
              <w:t>No research activities will be carried out outside the UK. All participants, researchers, and data collection activities are UK-based. Therefore, no additional international ethical stipulations or permissions apply.</w:t>
            </w:r>
          </w:p>
          <w:p w14:paraId="1FFCCCF2" w14:textId="77777777" w:rsidR="0083387C" w:rsidRPr="001A076D" w:rsidRDefault="0083387C" w:rsidP="00FE4F18">
            <w:pPr>
              <w:rPr>
                <w:b/>
                <w:i/>
                <w:sz w:val="22"/>
                <w:szCs w:val="22"/>
              </w:rPr>
            </w:pPr>
            <w:r w:rsidRPr="001A076D">
              <w:rPr>
                <w:i/>
                <w:sz w:val="18"/>
                <w:szCs w:val="18"/>
              </w:rPr>
              <w:t>(this box should expand as you type)</w:t>
            </w:r>
          </w:p>
        </w:tc>
      </w:tr>
    </w:tbl>
    <w:p w14:paraId="36E97B02" w14:textId="77777777" w:rsidR="0083387C" w:rsidRPr="001A076D" w:rsidRDefault="0083387C" w:rsidP="0083387C"/>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57F93" w:rsidRPr="001A076D" w14:paraId="2CB76627" w14:textId="77777777" w:rsidTr="00FE4F18">
        <w:trPr>
          <w:trHeight w:val="383"/>
        </w:trPr>
        <w:tc>
          <w:tcPr>
            <w:tcW w:w="567" w:type="dxa"/>
            <w:vMerge w:val="restart"/>
            <w:shd w:val="clear" w:color="auto" w:fill="F2F2F2" w:themeFill="background1" w:themeFillShade="F2"/>
            <w:vAlign w:val="center"/>
          </w:tcPr>
          <w:p w14:paraId="3620BE6A" w14:textId="77777777" w:rsidR="0083387C" w:rsidRPr="001A076D" w:rsidRDefault="0083387C" w:rsidP="00FE4F18">
            <w:pPr>
              <w:autoSpaceDE w:val="0"/>
              <w:autoSpaceDN w:val="0"/>
              <w:adjustRightInd w:val="0"/>
              <w:rPr>
                <w:sz w:val="22"/>
                <w:szCs w:val="22"/>
              </w:rPr>
            </w:pPr>
            <w:r w:rsidRPr="001A076D">
              <w:rPr>
                <w:sz w:val="22"/>
                <w:szCs w:val="22"/>
              </w:rPr>
              <w:t>10</w:t>
            </w:r>
          </w:p>
        </w:tc>
        <w:tc>
          <w:tcPr>
            <w:tcW w:w="7371" w:type="dxa"/>
            <w:vMerge w:val="restart"/>
            <w:shd w:val="clear" w:color="auto" w:fill="F2F2F2" w:themeFill="background1" w:themeFillShade="F2"/>
            <w:vAlign w:val="center"/>
          </w:tcPr>
          <w:p w14:paraId="2135B550" w14:textId="77777777" w:rsidR="0083387C" w:rsidRPr="001A076D" w:rsidRDefault="0083387C" w:rsidP="00FE4F18">
            <w:pPr>
              <w:autoSpaceDE w:val="0"/>
              <w:autoSpaceDN w:val="0"/>
              <w:adjustRightInd w:val="0"/>
              <w:rPr>
                <w:sz w:val="22"/>
                <w:szCs w:val="22"/>
              </w:rPr>
            </w:pPr>
            <w:r w:rsidRPr="001A076D">
              <w:rPr>
                <w:sz w:val="22"/>
                <w:szCs w:val="22"/>
              </w:rPr>
              <w:t xml:space="preserve">Use of documentation not in the public domain: Are any documents </w:t>
            </w:r>
            <w:r w:rsidRPr="001A076D">
              <w:rPr>
                <w:b/>
                <w:sz w:val="22"/>
                <w:szCs w:val="22"/>
                <w:u w:val="single"/>
              </w:rPr>
              <w:t>NOT</w:t>
            </w:r>
            <w:r w:rsidRPr="001A076D">
              <w:rPr>
                <w:sz w:val="22"/>
                <w:szCs w:val="22"/>
              </w:rPr>
              <w:t xml:space="preserve"> publicly available? </w:t>
            </w:r>
          </w:p>
          <w:p w14:paraId="24797882" w14:textId="77777777" w:rsidR="0083387C" w:rsidRPr="001A076D" w:rsidRDefault="0083387C" w:rsidP="00FE4F18">
            <w:pPr>
              <w:autoSpaceDE w:val="0"/>
              <w:autoSpaceDN w:val="0"/>
              <w:adjustRightInd w:val="0"/>
              <w:rPr>
                <w:bCs/>
                <w:sz w:val="22"/>
                <w:szCs w:val="22"/>
              </w:rPr>
            </w:pPr>
          </w:p>
        </w:tc>
        <w:tc>
          <w:tcPr>
            <w:tcW w:w="1276" w:type="dxa"/>
            <w:shd w:val="clear" w:color="auto" w:fill="F2F2F2" w:themeFill="background1" w:themeFillShade="F2"/>
            <w:vAlign w:val="center"/>
          </w:tcPr>
          <w:p w14:paraId="6310E0C7" w14:textId="77777777" w:rsidR="0083387C" w:rsidRPr="001A076D" w:rsidRDefault="0083387C" w:rsidP="00FE4F18">
            <w:pPr>
              <w:autoSpaceDE w:val="0"/>
              <w:autoSpaceDN w:val="0"/>
              <w:adjustRightInd w:val="0"/>
              <w:jc w:val="center"/>
              <w:rPr>
                <w:b/>
                <w:sz w:val="22"/>
                <w:szCs w:val="22"/>
              </w:rPr>
            </w:pPr>
            <w:r w:rsidRPr="001A076D">
              <w:rPr>
                <w:b/>
                <w:sz w:val="22"/>
                <w:szCs w:val="22"/>
              </w:rPr>
              <w:t>NO</w:t>
            </w:r>
          </w:p>
        </w:tc>
        <w:tc>
          <w:tcPr>
            <w:tcW w:w="1276" w:type="dxa"/>
            <w:shd w:val="clear" w:color="auto" w:fill="D9D9D9" w:themeFill="background1" w:themeFillShade="D9"/>
            <w:vAlign w:val="center"/>
          </w:tcPr>
          <w:sdt>
            <w:sdtPr>
              <w:rPr>
                <w:bCs/>
                <w:sz w:val="22"/>
                <w:szCs w:val="22"/>
              </w:rPr>
              <w:id w:val="1420137672"/>
              <w14:checkbox>
                <w14:checked w14:val="0"/>
                <w14:checkedState w14:val="2612" w14:font="MS Gothic"/>
                <w14:uncheckedState w14:val="2610" w14:font="MS Gothic"/>
              </w14:checkbox>
            </w:sdtPr>
            <w:sdtContent>
              <w:p w14:paraId="198C0C0F" w14:textId="77777777" w:rsidR="0083387C" w:rsidRPr="001A076D" w:rsidRDefault="0083387C" w:rsidP="00FE4F18">
                <w:pPr>
                  <w:autoSpaceDE w:val="0"/>
                  <w:autoSpaceDN w:val="0"/>
                  <w:adjustRightInd w:val="0"/>
                  <w:jc w:val="center"/>
                  <w:rPr>
                    <w:bCs/>
                    <w:sz w:val="22"/>
                    <w:szCs w:val="22"/>
                  </w:rPr>
                </w:pPr>
                <w:r w:rsidRPr="001A076D">
                  <w:rPr>
                    <w:rFonts w:ascii="Segoe UI Symbol" w:eastAsia="MS Gothic" w:hAnsi="Segoe UI Symbol" w:cs="Segoe UI Symbol"/>
                    <w:bCs/>
                    <w:sz w:val="22"/>
                    <w:szCs w:val="22"/>
                  </w:rPr>
                  <w:t>☐</w:t>
                </w:r>
              </w:p>
            </w:sdtContent>
          </w:sdt>
        </w:tc>
      </w:tr>
      <w:tr w:rsidR="00057F93" w:rsidRPr="001A076D" w14:paraId="5EF11769" w14:textId="77777777" w:rsidTr="00FE4F18">
        <w:trPr>
          <w:trHeight w:val="218"/>
        </w:trPr>
        <w:tc>
          <w:tcPr>
            <w:tcW w:w="567" w:type="dxa"/>
            <w:vMerge/>
            <w:shd w:val="clear" w:color="auto" w:fill="F2F2F2" w:themeFill="background1" w:themeFillShade="F2"/>
            <w:vAlign w:val="center"/>
          </w:tcPr>
          <w:p w14:paraId="12D6C3AE" w14:textId="77777777" w:rsidR="0083387C" w:rsidRPr="001A076D" w:rsidRDefault="0083387C" w:rsidP="00FE4F18">
            <w:pPr>
              <w:autoSpaceDE w:val="0"/>
              <w:autoSpaceDN w:val="0"/>
              <w:adjustRightInd w:val="0"/>
              <w:rPr>
                <w:bCs/>
                <w:sz w:val="22"/>
                <w:szCs w:val="22"/>
              </w:rPr>
            </w:pPr>
          </w:p>
        </w:tc>
        <w:tc>
          <w:tcPr>
            <w:tcW w:w="7371" w:type="dxa"/>
            <w:vMerge/>
            <w:shd w:val="clear" w:color="auto" w:fill="F2F2F2" w:themeFill="background1" w:themeFillShade="F2"/>
          </w:tcPr>
          <w:p w14:paraId="541DB80F" w14:textId="77777777" w:rsidR="0083387C" w:rsidRPr="001A076D" w:rsidRDefault="0083387C" w:rsidP="00FE4F18">
            <w:pPr>
              <w:autoSpaceDE w:val="0"/>
              <w:autoSpaceDN w:val="0"/>
              <w:adjustRightInd w:val="0"/>
              <w:rPr>
                <w:bCs/>
                <w:sz w:val="22"/>
                <w:szCs w:val="22"/>
              </w:rPr>
            </w:pPr>
          </w:p>
        </w:tc>
        <w:tc>
          <w:tcPr>
            <w:tcW w:w="1276" w:type="dxa"/>
            <w:shd w:val="clear" w:color="auto" w:fill="F2F2F2" w:themeFill="background1" w:themeFillShade="F2"/>
            <w:vAlign w:val="center"/>
          </w:tcPr>
          <w:p w14:paraId="132B0D17" w14:textId="77777777" w:rsidR="0083387C" w:rsidRPr="001A076D" w:rsidRDefault="0083387C" w:rsidP="00FE4F18">
            <w:pPr>
              <w:autoSpaceDE w:val="0"/>
              <w:autoSpaceDN w:val="0"/>
              <w:adjustRightInd w:val="0"/>
              <w:jc w:val="center"/>
              <w:rPr>
                <w:b/>
                <w:sz w:val="22"/>
                <w:szCs w:val="22"/>
              </w:rPr>
            </w:pPr>
            <w:r w:rsidRPr="001A076D">
              <w:rPr>
                <w:b/>
                <w:sz w:val="22"/>
                <w:szCs w:val="22"/>
              </w:rPr>
              <w:t>YES</w:t>
            </w:r>
          </w:p>
        </w:tc>
        <w:tc>
          <w:tcPr>
            <w:tcW w:w="1276" w:type="dxa"/>
            <w:shd w:val="clear" w:color="auto" w:fill="D9D9D9" w:themeFill="background1" w:themeFillShade="D9"/>
            <w:vAlign w:val="center"/>
          </w:tcPr>
          <w:p w14:paraId="75A1E592" w14:textId="77777777" w:rsidR="0083387C" w:rsidRPr="001A076D" w:rsidRDefault="00000000" w:rsidP="00FE4F18">
            <w:pPr>
              <w:autoSpaceDE w:val="0"/>
              <w:autoSpaceDN w:val="0"/>
              <w:adjustRightInd w:val="0"/>
              <w:jc w:val="center"/>
              <w:rPr>
                <w:bCs/>
                <w:sz w:val="22"/>
                <w:szCs w:val="22"/>
              </w:rPr>
            </w:pPr>
            <w:sdt>
              <w:sdtPr>
                <w:rPr>
                  <w:bCs/>
                  <w:sz w:val="22"/>
                  <w:szCs w:val="22"/>
                </w:rPr>
                <w:id w:val="1644230281"/>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bCs/>
                    <w:sz w:val="22"/>
                    <w:szCs w:val="22"/>
                  </w:rPr>
                  <w:t>☒</w:t>
                </w:r>
              </w:sdtContent>
            </w:sdt>
          </w:p>
        </w:tc>
      </w:tr>
      <w:tr w:rsidR="00057F93" w:rsidRPr="001A076D" w14:paraId="597B9DC4" w14:textId="77777777" w:rsidTr="00FE4F18">
        <w:tc>
          <w:tcPr>
            <w:tcW w:w="567" w:type="dxa"/>
            <w:shd w:val="clear" w:color="auto" w:fill="FFFFFF" w:themeFill="background1"/>
            <w:vAlign w:val="center"/>
          </w:tcPr>
          <w:p w14:paraId="621BFD45" w14:textId="77777777" w:rsidR="0083387C" w:rsidRPr="001A076D" w:rsidRDefault="0083387C" w:rsidP="00FE4F18">
            <w:pPr>
              <w:autoSpaceDE w:val="0"/>
              <w:autoSpaceDN w:val="0"/>
              <w:adjustRightInd w:val="0"/>
              <w:rPr>
                <w:sz w:val="22"/>
                <w:szCs w:val="22"/>
              </w:rPr>
            </w:pPr>
            <w:r w:rsidRPr="001A076D">
              <w:rPr>
                <w:sz w:val="22"/>
                <w:szCs w:val="22"/>
              </w:rPr>
              <w:t>11</w:t>
            </w:r>
          </w:p>
        </w:tc>
        <w:tc>
          <w:tcPr>
            <w:tcW w:w="9923" w:type="dxa"/>
            <w:gridSpan w:val="3"/>
            <w:shd w:val="clear" w:color="auto" w:fill="FFFFFF" w:themeFill="background1"/>
          </w:tcPr>
          <w:p w14:paraId="66D03002" w14:textId="77777777" w:rsidR="0083387C" w:rsidRPr="001A076D" w:rsidRDefault="0083387C" w:rsidP="00FE4F18">
            <w:pPr>
              <w:autoSpaceDE w:val="0"/>
              <w:autoSpaceDN w:val="0"/>
              <w:adjustRightInd w:val="0"/>
              <w:rPr>
                <w:sz w:val="22"/>
                <w:szCs w:val="22"/>
              </w:rPr>
            </w:pPr>
            <w:r w:rsidRPr="001A076D">
              <w:rPr>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BCEA4CD" w14:textId="77777777" w:rsidR="0083387C" w:rsidRPr="001A076D" w:rsidRDefault="0083387C" w:rsidP="00FE4F18">
            <w:pPr>
              <w:rPr>
                <w:sz w:val="22"/>
                <w:szCs w:val="22"/>
              </w:rPr>
            </w:pPr>
          </w:p>
          <w:p w14:paraId="219531C7" w14:textId="77777777" w:rsidR="0083387C" w:rsidRPr="001A076D" w:rsidRDefault="0083387C" w:rsidP="00FE4F18">
            <w:pPr>
              <w:rPr>
                <w:sz w:val="22"/>
                <w:szCs w:val="22"/>
              </w:rPr>
            </w:pPr>
            <w:r w:rsidRPr="001A076D">
              <w:rPr>
                <w:sz w:val="22"/>
                <w:szCs w:val="22"/>
              </w:rPr>
              <w:t>Some internal policy documents, strategic reports, and data governance frameworks from SSE PLC may be used in this research to support contextual analysis and triangulate survey/interview findings. These documents are not publicly available and may include internal operational documents or digital strategy reports.</w:t>
            </w:r>
          </w:p>
          <w:p w14:paraId="73A368F2" w14:textId="77777777" w:rsidR="0083387C" w:rsidRPr="001A076D" w:rsidRDefault="0083387C" w:rsidP="00FE4F18">
            <w:pPr>
              <w:rPr>
                <w:sz w:val="22"/>
                <w:szCs w:val="22"/>
              </w:rPr>
            </w:pPr>
            <w:r w:rsidRPr="001A076D">
              <w:rPr>
                <w:sz w:val="22"/>
                <w:szCs w:val="22"/>
              </w:rPr>
              <w:t xml:space="preserve">Access to these documents will be obtained formally through SSE’s internal gatekeeper or designated research liaison, with explicit written permission. No confidential or sensitive personal data will be used. All information will be anonymised and treated in accordance with the </w:t>
            </w:r>
            <w:r w:rsidRPr="001A076D">
              <w:rPr>
                <w:b/>
                <w:bCs/>
                <w:sz w:val="22"/>
                <w:szCs w:val="22"/>
              </w:rPr>
              <w:t>UK GDPR</w:t>
            </w:r>
            <w:r w:rsidRPr="001A076D">
              <w:rPr>
                <w:sz w:val="22"/>
                <w:szCs w:val="22"/>
              </w:rPr>
              <w:t xml:space="preserve"> and the </w:t>
            </w:r>
            <w:r w:rsidRPr="001A076D">
              <w:rPr>
                <w:b/>
                <w:bCs/>
                <w:sz w:val="22"/>
                <w:szCs w:val="22"/>
              </w:rPr>
              <w:t>Data Protection Act 2018</w:t>
            </w:r>
            <w:r w:rsidRPr="001A076D">
              <w:rPr>
                <w:sz w:val="22"/>
                <w:szCs w:val="22"/>
              </w:rPr>
              <w:t>.</w:t>
            </w:r>
          </w:p>
          <w:p w14:paraId="5EFDFAF5" w14:textId="77777777" w:rsidR="0083387C" w:rsidRPr="001A076D" w:rsidRDefault="0083387C" w:rsidP="00FE4F18">
            <w:pPr>
              <w:rPr>
                <w:sz w:val="22"/>
                <w:szCs w:val="22"/>
              </w:rPr>
            </w:pPr>
            <w:r w:rsidRPr="001A076D">
              <w:rPr>
                <w:sz w:val="22"/>
                <w:szCs w:val="22"/>
              </w:rPr>
              <w:t>Participants providing internal documentation will be informed of their rights and the usage context. Any material used in the dissertation or publications will be de-identified and will not disclose the source unless express written consent is given.</w:t>
            </w:r>
          </w:p>
          <w:p w14:paraId="50916A2F" w14:textId="77777777" w:rsidR="0083387C" w:rsidRPr="001A076D" w:rsidRDefault="0083387C" w:rsidP="00FE4F18">
            <w:pPr>
              <w:rPr>
                <w:sz w:val="22"/>
                <w:szCs w:val="22"/>
              </w:rPr>
            </w:pPr>
          </w:p>
          <w:p w14:paraId="75A37D77" w14:textId="77777777" w:rsidR="0083387C" w:rsidRPr="001A076D" w:rsidRDefault="0083387C" w:rsidP="00FE4F18">
            <w:pPr>
              <w:rPr>
                <w:sz w:val="22"/>
                <w:szCs w:val="22"/>
              </w:rPr>
            </w:pPr>
          </w:p>
          <w:p w14:paraId="1C1129C1" w14:textId="77777777" w:rsidR="0083387C" w:rsidRPr="001A076D" w:rsidRDefault="0083387C" w:rsidP="00FE4F18">
            <w:pPr>
              <w:autoSpaceDE w:val="0"/>
              <w:autoSpaceDN w:val="0"/>
              <w:adjustRightInd w:val="0"/>
              <w:rPr>
                <w:bCs/>
                <w:sz w:val="22"/>
                <w:szCs w:val="22"/>
              </w:rPr>
            </w:pPr>
            <w:r w:rsidRPr="001A076D">
              <w:rPr>
                <w:i/>
                <w:sz w:val="18"/>
                <w:szCs w:val="18"/>
              </w:rPr>
              <w:t>(this box should expand as you type)</w:t>
            </w:r>
          </w:p>
        </w:tc>
      </w:tr>
    </w:tbl>
    <w:p w14:paraId="76603B12" w14:textId="77777777" w:rsidR="0083387C" w:rsidRPr="001A076D" w:rsidRDefault="0083387C" w:rsidP="0083387C">
      <w:pPr>
        <w:autoSpaceDE w:val="0"/>
        <w:autoSpaceDN w:val="0"/>
        <w:adjustRightInd w:val="0"/>
        <w:spacing w:after="240"/>
        <w:jc w:val="both"/>
        <w:rPr>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57F93" w:rsidRPr="001A076D" w14:paraId="106B6E5F" w14:textId="77777777" w:rsidTr="00FE4F18">
        <w:tc>
          <w:tcPr>
            <w:tcW w:w="562" w:type="dxa"/>
            <w:shd w:val="clear" w:color="auto" w:fill="F2F2F2" w:themeFill="background1" w:themeFillShade="F2"/>
            <w:vAlign w:val="center"/>
          </w:tcPr>
          <w:p w14:paraId="64C71DB1" w14:textId="77777777" w:rsidR="0083387C" w:rsidRPr="001A076D" w:rsidRDefault="0083387C" w:rsidP="00FE4F18">
            <w:pPr>
              <w:autoSpaceDE w:val="0"/>
              <w:autoSpaceDN w:val="0"/>
              <w:adjustRightInd w:val="0"/>
              <w:jc w:val="center"/>
              <w:rPr>
                <w:b/>
                <w:sz w:val="22"/>
                <w:szCs w:val="22"/>
              </w:rPr>
            </w:pPr>
          </w:p>
        </w:tc>
        <w:tc>
          <w:tcPr>
            <w:tcW w:w="8217" w:type="dxa"/>
            <w:shd w:val="clear" w:color="auto" w:fill="F2F2F2" w:themeFill="background1" w:themeFillShade="F2"/>
          </w:tcPr>
          <w:p w14:paraId="45CB0EC1" w14:textId="77777777" w:rsidR="0083387C" w:rsidRPr="001A076D" w:rsidRDefault="0083387C" w:rsidP="00FE4F18">
            <w:pPr>
              <w:autoSpaceDE w:val="0"/>
              <w:autoSpaceDN w:val="0"/>
              <w:adjustRightInd w:val="0"/>
              <w:jc w:val="both"/>
              <w:rPr>
                <w:b/>
                <w:sz w:val="22"/>
                <w:szCs w:val="22"/>
              </w:rPr>
            </w:pPr>
            <w:r w:rsidRPr="001A076D">
              <w:rPr>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A01DAD5" w14:textId="77777777" w:rsidR="0083387C" w:rsidRPr="001A076D" w:rsidRDefault="0083387C" w:rsidP="00FE4F18">
            <w:pPr>
              <w:autoSpaceDE w:val="0"/>
              <w:autoSpaceDN w:val="0"/>
              <w:adjustRightInd w:val="0"/>
              <w:jc w:val="center"/>
              <w:rPr>
                <w:b/>
                <w:bCs/>
                <w:sz w:val="22"/>
                <w:szCs w:val="22"/>
              </w:rPr>
            </w:pPr>
          </w:p>
          <w:p w14:paraId="5434D340"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22" w:type="dxa"/>
            <w:shd w:val="clear" w:color="auto" w:fill="F2F2F2" w:themeFill="background1" w:themeFillShade="F2"/>
          </w:tcPr>
          <w:p w14:paraId="09992F18" w14:textId="77777777" w:rsidR="0083387C" w:rsidRPr="001A076D" w:rsidRDefault="0083387C" w:rsidP="00FE4F18">
            <w:pPr>
              <w:autoSpaceDE w:val="0"/>
              <w:autoSpaceDN w:val="0"/>
              <w:adjustRightInd w:val="0"/>
              <w:jc w:val="center"/>
              <w:rPr>
                <w:b/>
                <w:bCs/>
                <w:sz w:val="22"/>
                <w:szCs w:val="22"/>
              </w:rPr>
            </w:pPr>
          </w:p>
          <w:p w14:paraId="54B07453"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203A9FB0" w14:textId="77777777" w:rsidTr="00FE4F18">
        <w:trPr>
          <w:trHeight w:val="439"/>
        </w:trPr>
        <w:tc>
          <w:tcPr>
            <w:tcW w:w="562" w:type="dxa"/>
            <w:shd w:val="clear" w:color="auto" w:fill="F2F2F2" w:themeFill="background1" w:themeFillShade="F2"/>
            <w:vAlign w:val="center"/>
          </w:tcPr>
          <w:p w14:paraId="0475DA4D" w14:textId="77777777" w:rsidR="0083387C" w:rsidRPr="001A076D" w:rsidRDefault="0083387C" w:rsidP="00FE4F18">
            <w:pPr>
              <w:autoSpaceDE w:val="0"/>
              <w:autoSpaceDN w:val="0"/>
              <w:adjustRightInd w:val="0"/>
              <w:jc w:val="center"/>
              <w:rPr>
                <w:sz w:val="22"/>
                <w:szCs w:val="22"/>
              </w:rPr>
            </w:pPr>
            <w:r w:rsidRPr="001A076D">
              <w:rPr>
                <w:sz w:val="22"/>
                <w:szCs w:val="22"/>
              </w:rPr>
              <w:t>12</w:t>
            </w:r>
          </w:p>
        </w:tc>
        <w:tc>
          <w:tcPr>
            <w:tcW w:w="8217" w:type="dxa"/>
            <w:shd w:val="clear" w:color="auto" w:fill="F2F2F2" w:themeFill="background1" w:themeFillShade="F2"/>
            <w:vAlign w:val="center"/>
          </w:tcPr>
          <w:p w14:paraId="384480C2" w14:textId="77777777" w:rsidR="0083387C" w:rsidRPr="001A076D" w:rsidRDefault="0083387C" w:rsidP="00FE4F18">
            <w:pPr>
              <w:autoSpaceDE w:val="0"/>
              <w:autoSpaceDN w:val="0"/>
              <w:adjustRightInd w:val="0"/>
              <w:rPr>
                <w:sz w:val="22"/>
                <w:szCs w:val="22"/>
              </w:rPr>
            </w:pPr>
            <w:r w:rsidRPr="001A076D">
              <w:rPr>
                <w:sz w:val="22"/>
                <w:szCs w:val="22"/>
              </w:rPr>
              <w:t>A prosperous Wales</w:t>
            </w:r>
          </w:p>
        </w:tc>
        <w:tc>
          <w:tcPr>
            <w:tcW w:w="850" w:type="dxa"/>
            <w:shd w:val="clear" w:color="auto" w:fill="BFBFBF" w:themeFill="background1" w:themeFillShade="BF"/>
            <w:vAlign w:val="center"/>
          </w:tcPr>
          <w:sdt>
            <w:sdtPr>
              <w:rPr>
                <w:sz w:val="22"/>
                <w:szCs w:val="22"/>
              </w:rPr>
              <w:id w:val="-632097398"/>
              <w14:checkbox>
                <w14:checked w14:val="1"/>
                <w14:checkedState w14:val="2612" w14:font="MS Gothic"/>
                <w14:uncheckedState w14:val="2610" w14:font="MS Gothic"/>
              </w14:checkbox>
            </w:sdtPr>
            <w:sdtContent>
              <w:p w14:paraId="370C629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708457993"/>
              <w14:checkbox>
                <w14:checked w14:val="0"/>
                <w14:checkedState w14:val="2612" w14:font="MS Gothic"/>
                <w14:uncheckedState w14:val="2610" w14:font="MS Gothic"/>
              </w14:checkbox>
            </w:sdtPr>
            <w:sdtContent>
              <w:p w14:paraId="712E81E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D8FF649" w14:textId="77777777" w:rsidTr="00FE4F18">
        <w:trPr>
          <w:trHeight w:val="403"/>
        </w:trPr>
        <w:tc>
          <w:tcPr>
            <w:tcW w:w="562" w:type="dxa"/>
            <w:shd w:val="clear" w:color="auto" w:fill="F2F2F2" w:themeFill="background1" w:themeFillShade="F2"/>
            <w:vAlign w:val="center"/>
          </w:tcPr>
          <w:p w14:paraId="040CE6E7" w14:textId="77777777" w:rsidR="0083387C" w:rsidRPr="001A076D" w:rsidRDefault="0083387C" w:rsidP="00FE4F18">
            <w:pPr>
              <w:autoSpaceDE w:val="0"/>
              <w:autoSpaceDN w:val="0"/>
              <w:adjustRightInd w:val="0"/>
              <w:jc w:val="center"/>
              <w:rPr>
                <w:sz w:val="22"/>
                <w:szCs w:val="22"/>
              </w:rPr>
            </w:pPr>
            <w:r w:rsidRPr="001A076D">
              <w:rPr>
                <w:sz w:val="22"/>
                <w:szCs w:val="22"/>
              </w:rPr>
              <w:t>13</w:t>
            </w:r>
          </w:p>
        </w:tc>
        <w:tc>
          <w:tcPr>
            <w:tcW w:w="8217" w:type="dxa"/>
            <w:shd w:val="clear" w:color="auto" w:fill="F2F2F2" w:themeFill="background1" w:themeFillShade="F2"/>
            <w:vAlign w:val="center"/>
          </w:tcPr>
          <w:p w14:paraId="7E02D5B9" w14:textId="77777777" w:rsidR="0083387C" w:rsidRPr="001A076D" w:rsidRDefault="0083387C" w:rsidP="00FE4F18">
            <w:pPr>
              <w:autoSpaceDE w:val="0"/>
              <w:autoSpaceDN w:val="0"/>
              <w:adjustRightInd w:val="0"/>
              <w:rPr>
                <w:sz w:val="22"/>
                <w:szCs w:val="22"/>
              </w:rPr>
            </w:pPr>
            <w:r w:rsidRPr="001A076D">
              <w:rPr>
                <w:sz w:val="22"/>
                <w:szCs w:val="22"/>
              </w:rPr>
              <w:t>A resilient Wales</w:t>
            </w:r>
          </w:p>
        </w:tc>
        <w:tc>
          <w:tcPr>
            <w:tcW w:w="850" w:type="dxa"/>
            <w:shd w:val="clear" w:color="auto" w:fill="BFBFBF" w:themeFill="background1" w:themeFillShade="BF"/>
            <w:vAlign w:val="center"/>
          </w:tcPr>
          <w:sdt>
            <w:sdtPr>
              <w:rPr>
                <w:sz w:val="22"/>
                <w:szCs w:val="22"/>
              </w:rPr>
              <w:id w:val="1480881551"/>
              <w14:checkbox>
                <w14:checked w14:val="1"/>
                <w14:checkedState w14:val="2612" w14:font="MS Gothic"/>
                <w14:uncheckedState w14:val="2610" w14:font="MS Gothic"/>
              </w14:checkbox>
            </w:sdtPr>
            <w:sdtContent>
              <w:p w14:paraId="4DCE280C"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456593832"/>
              <w14:checkbox>
                <w14:checked w14:val="0"/>
                <w14:checkedState w14:val="2612" w14:font="MS Gothic"/>
                <w14:uncheckedState w14:val="2610" w14:font="MS Gothic"/>
              </w14:checkbox>
            </w:sdtPr>
            <w:sdtContent>
              <w:p w14:paraId="78E3285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3B86F2E" w14:textId="77777777" w:rsidTr="00FE4F18">
        <w:trPr>
          <w:trHeight w:val="439"/>
        </w:trPr>
        <w:tc>
          <w:tcPr>
            <w:tcW w:w="562" w:type="dxa"/>
            <w:shd w:val="clear" w:color="auto" w:fill="F2F2F2" w:themeFill="background1" w:themeFillShade="F2"/>
            <w:vAlign w:val="center"/>
          </w:tcPr>
          <w:p w14:paraId="56E83672" w14:textId="77777777" w:rsidR="0083387C" w:rsidRPr="001A076D" w:rsidRDefault="0083387C" w:rsidP="00FE4F18">
            <w:pPr>
              <w:autoSpaceDE w:val="0"/>
              <w:autoSpaceDN w:val="0"/>
              <w:adjustRightInd w:val="0"/>
              <w:jc w:val="center"/>
              <w:rPr>
                <w:sz w:val="22"/>
                <w:szCs w:val="22"/>
              </w:rPr>
            </w:pPr>
            <w:r w:rsidRPr="001A076D">
              <w:rPr>
                <w:sz w:val="22"/>
                <w:szCs w:val="22"/>
              </w:rPr>
              <w:t>14</w:t>
            </w:r>
          </w:p>
        </w:tc>
        <w:tc>
          <w:tcPr>
            <w:tcW w:w="8217" w:type="dxa"/>
            <w:shd w:val="clear" w:color="auto" w:fill="F2F2F2" w:themeFill="background1" w:themeFillShade="F2"/>
            <w:vAlign w:val="center"/>
          </w:tcPr>
          <w:p w14:paraId="257D8AC8" w14:textId="77777777" w:rsidR="0083387C" w:rsidRPr="001A076D" w:rsidRDefault="0083387C" w:rsidP="00FE4F18">
            <w:pPr>
              <w:autoSpaceDE w:val="0"/>
              <w:autoSpaceDN w:val="0"/>
              <w:adjustRightInd w:val="0"/>
              <w:rPr>
                <w:sz w:val="22"/>
                <w:szCs w:val="22"/>
              </w:rPr>
            </w:pPr>
            <w:r w:rsidRPr="001A076D">
              <w:rPr>
                <w:sz w:val="22"/>
                <w:szCs w:val="22"/>
              </w:rPr>
              <w:t>A healthier Wales</w:t>
            </w:r>
          </w:p>
        </w:tc>
        <w:tc>
          <w:tcPr>
            <w:tcW w:w="850" w:type="dxa"/>
            <w:shd w:val="clear" w:color="auto" w:fill="BFBFBF" w:themeFill="background1" w:themeFillShade="BF"/>
            <w:vAlign w:val="center"/>
          </w:tcPr>
          <w:sdt>
            <w:sdtPr>
              <w:rPr>
                <w:sz w:val="22"/>
                <w:szCs w:val="22"/>
              </w:rPr>
              <w:id w:val="940100198"/>
              <w14:checkbox>
                <w14:checked w14:val="0"/>
                <w14:checkedState w14:val="2612" w14:font="MS Gothic"/>
                <w14:uncheckedState w14:val="2610" w14:font="MS Gothic"/>
              </w14:checkbox>
            </w:sdtPr>
            <w:sdtContent>
              <w:p w14:paraId="5C41EC8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86722509"/>
              <w14:checkbox>
                <w14:checked w14:val="1"/>
                <w14:checkedState w14:val="2612" w14:font="MS Gothic"/>
                <w14:uncheckedState w14:val="2610" w14:font="MS Gothic"/>
              </w14:checkbox>
            </w:sdtPr>
            <w:sdtContent>
              <w:p w14:paraId="681CCB8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7CED2FA" w14:textId="77777777" w:rsidTr="00FE4F18">
        <w:trPr>
          <w:trHeight w:val="403"/>
        </w:trPr>
        <w:tc>
          <w:tcPr>
            <w:tcW w:w="562" w:type="dxa"/>
            <w:shd w:val="clear" w:color="auto" w:fill="F2F2F2" w:themeFill="background1" w:themeFillShade="F2"/>
            <w:vAlign w:val="center"/>
          </w:tcPr>
          <w:p w14:paraId="458E0496" w14:textId="77777777" w:rsidR="0083387C" w:rsidRPr="001A076D" w:rsidRDefault="0083387C" w:rsidP="00FE4F18">
            <w:pPr>
              <w:autoSpaceDE w:val="0"/>
              <w:autoSpaceDN w:val="0"/>
              <w:adjustRightInd w:val="0"/>
              <w:jc w:val="center"/>
              <w:rPr>
                <w:sz w:val="22"/>
                <w:szCs w:val="22"/>
              </w:rPr>
            </w:pPr>
            <w:r w:rsidRPr="001A076D">
              <w:rPr>
                <w:sz w:val="22"/>
                <w:szCs w:val="22"/>
              </w:rPr>
              <w:t>15</w:t>
            </w:r>
          </w:p>
        </w:tc>
        <w:tc>
          <w:tcPr>
            <w:tcW w:w="8217" w:type="dxa"/>
            <w:shd w:val="clear" w:color="auto" w:fill="F2F2F2" w:themeFill="background1" w:themeFillShade="F2"/>
            <w:vAlign w:val="center"/>
          </w:tcPr>
          <w:p w14:paraId="7452D644" w14:textId="77777777" w:rsidR="0083387C" w:rsidRPr="001A076D" w:rsidRDefault="0083387C" w:rsidP="00FE4F18">
            <w:pPr>
              <w:autoSpaceDE w:val="0"/>
              <w:autoSpaceDN w:val="0"/>
              <w:adjustRightInd w:val="0"/>
              <w:rPr>
                <w:sz w:val="22"/>
                <w:szCs w:val="22"/>
              </w:rPr>
            </w:pPr>
            <w:r w:rsidRPr="001A076D">
              <w:rPr>
                <w:sz w:val="22"/>
                <w:szCs w:val="22"/>
              </w:rPr>
              <w:t>A more equal Wales</w:t>
            </w:r>
          </w:p>
        </w:tc>
        <w:tc>
          <w:tcPr>
            <w:tcW w:w="850" w:type="dxa"/>
            <w:shd w:val="clear" w:color="auto" w:fill="BFBFBF" w:themeFill="background1" w:themeFillShade="BF"/>
            <w:vAlign w:val="center"/>
          </w:tcPr>
          <w:sdt>
            <w:sdtPr>
              <w:rPr>
                <w:sz w:val="22"/>
                <w:szCs w:val="22"/>
              </w:rPr>
              <w:id w:val="-1932964474"/>
              <w14:checkbox>
                <w14:checked w14:val="1"/>
                <w14:checkedState w14:val="2612" w14:font="MS Gothic"/>
                <w14:uncheckedState w14:val="2610" w14:font="MS Gothic"/>
              </w14:checkbox>
            </w:sdtPr>
            <w:sdtContent>
              <w:p w14:paraId="28F2DE7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580253283"/>
              <w14:checkbox>
                <w14:checked w14:val="0"/>
                <w14:checkedState w14:val="2612" w14:font="MS Gothic"/>
                <w14:uncheckedState w14:val="2610" w14:font="MS Gothic"/>
              </w14:checkbox>
            </w:sdtPr>
            <w:sdtContent>
              <w:p w14:paraId="084E884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32E7048" w14:textId="77777777" w:rsidTr="00FE4F18">
        <w:trPr>
          <w:trHeight w:val="403"/>
        </w:trPr>
        <w:tc>
          <w:tcPr>
            <w:tcW w:w="562" w:type="dxa"/>
            <w:shd w:val="clear" w:color="auto" w:fill="F2F2F2" w:themeFill="background1" w:themeFillShade="F2"/>
            <w:vAlign w:val="center"/>
          </w:tcPr>
          <w:p w14:paraId="648089B9" w14:textId="77777777" w:rsidR="0083387C" w:rsidRPr="001A076D" w:rsidRDefault="0083387C" w:rsidP="00FE4F18">
            <w:pPr>
              <w:autoSpaceDE w:val="0"/>
              <w:autoSpaceDN w:val="0"/>
              <w:adjustRightInd w:val="0"/>
              <w:jc w:val="center"/>
              <w:rPr>
                <w:sz w:val="22"/>
                <w:szCs w:val="22"/>
              </w:rPr>
            </w:pPr>
            <w:r w:rsidRPr="001A076D">
              <w:rPr>
                <w:sz w:val="22"/>
                <w:szCs w:val="22"/>
              </w:rPr>
              <w:t>16</w:t>
            </w:r>
          </w:p>
        </w:tc>
        <w:tc>
          <w:tcPr>
            <w:tcW w:w="8217" w:type="dxa"/>
            <w:shd w:val="clear" w:color="auto" w:fill="F2F2F2" w:themeFill="background1" w:themeFillShade="F2"/>
            <w:vAlign w:val="center"/>
          </w:tcPr>
          <w:p w14:paraId="3230744C" w14:textId="77777777" w:rsidR="0083387C" w:rsidRPr="001A076D" w:rsidRDefault="0083387C" w:rsidP="00FE4F18">
            <w:pPr>
              <w:autoSpaceDE w:val="0"/>
              <w:autoSpaceDN w:val="0"/>
              <w:adjustRightInd w:val="0"/>
              <w:rPr>
                <w:sz w:val="22"/>
                <w:szCs w:val="22"/>
              </w:rPr>
            </w:pPr>
            <w:r w:rsidRPr="001A076D">
              <w:rPr>
                <w:sz w:val="22"/>
                <w:szCs w:val="22"/>
              </w:rPr>
              <w:t>A Wales of cohesive communities</w:t>
            </w:r>
          </w:p>
        </w:tc>
        <w:tc>
          <w:tcPr>
            <w:tcW w:w="850" w:type="dxa"/>
            <w:shd w:val="clear" w:color="auto" w:fill="BFBFBF" w:themeFill="background1" w:themeFillShade="BF"/>
            <w:vAlign w:val="center"/>
          </w:tcPr>
          <w:sdt>
            <w:sdtPr>
              <w:rPr>
                <w:sz w:val="22"/>
                <w:szCs w:val="22"/>
              </w:rPr>
              <w:id w:val="68085425"/>
              <w14:checkbox>
                <w14:checked w14:val="1"/>
                <w14:checkedState w14:val="2612" w14:font="MS Gothic"/>
                <w14:uncheckedState w14:val="2610" w14:font="MS Gothic"/>
              </w14:checkbox>
            </w:sdtPr>
            <w:sdtContent>
              <w:p w14:paraId="07EA454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960721522"/>
              <w14:checkbox>
                <w14:checked w14:val="0"/>
                <w14:checkedState w14:val="2612" w14:font="MS Gothic"/>
                <w14:uncheckedState w14:val="2610" w14:font="MS Gothic"/>
              </w14:checkbox>
            </w:sdtPr>
            <w:sdtContent>
              <w:p w14:paraId="41707B1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7FD17A5" w14:textId="77777777" w:rsidTr="00FE4F18">
        <w:trPr>
          <w:trHeight w:val="439"/>
        </w:trPr>
        <w:tc>
          <w:tcPr>
            <w:tcW w:w="562" w:type="dxa"/>
            <w:shd w:val="clear" w:color="auto" w:fill="F2F2F2" w:themeFill="background1" w:themeFillShade="F2"/>
            <w:vAlign w:val="center"/>
          </w:tcPr>
          <w:p w14:paraId="77962E9A" w14:textId="77777777" w:rsidR="0083387C" w:rsidRPr="001A076D" w:rsidRDefault="0083387C" w:rsidP="00FE4F18">
            <w:pPr>
              <w:autoSpaceDE w:val="0"/>
              <w:autoSpaceDN w:val="0"/>
              <w:adjustRightInd w:val="0"/>
              <w:jc w:val="center"/>
              <w:rPr>
                <w:sz w:val="22"/>
                <w:szCs w:val="22"/>
              </w:rPr>
            </w:pPr>
            <w:r w:rsidRPr="001A076D">
              <w:rPr>
                <w:sz w:val="22"/>
                <w:szCs w:val="22"/>
              </w:rPr>
              <w:t>17</w:t>
            </w:r>
          </w:p>
        </w:tc>
        <w:tc>
          <w:tcPr>
            <w:tcW w:w="8217" w:type="dxa"/>
            <w:shd w:val="clear" w:color="auto" w:fill="F2F2F2" w:themeFill="background1" w:themeFillShade="F2"/>
            <w:vAlign w:val="center"/>
          </w:tcPr>
          <w:p w14:paraId="5786CFD7" w14:textId="77777777" w:rsidR="0083387C" w:rsidRPr="001A076D" w:rsidRDefault="0083387C" w:rsidP="00FE4F18">
            <w:pPr>
              <w:autoSpaceDE w:val="0"/>
              <w:autoSpaceDN w:val="0"/>
              <w:adjustRightInd w:val="0"/>
              <w:rPr>
                <w:sz w:val="22"/>
                <w:szCs w:val="22"/>
              </w:rPr>
            </w:pPr>
            <w:r w:rsidRPr="001A076D">
              <w:rPr>
                <w:sz w:val="22"/>
                <w:szCs w:val="22"/>
              </w:rPr>
              <w:t>A Wales of vibrant culture and thriving Welsh language</w:t>
            </w:r>
          </w:p>
        </w:tc>
        <w:tc>
          <w:tcPr>
            <w:tcW w:w="850" w:type="dxa"/>
            <w:shd w:val="clear" w:color="auto" w:fill="BFBFBF" w:themeFill="background1" w:themeFillShade="BF"/>
            <w:vAlign w:val="center"/>
          </w:tcPr>
          <w:sdt>
            <w:sdtPr>
              <w:rPr>
                <w:sz w:val="22"/>
                <w:szCs w:val="22"/>
              </w:rPr>
              <w:id w:val="-1823267970"/>
              <w14:checkbox>
                <w14:checked w14:val="0"/>
                <w14:checkedState w14:val="2612" w14:font="MS Gothic"/>
                <w14:uncheckedState w14:val="2610" w14:font="MS Gothic"/>
              </w14:checkbox>
            </w:sdtPr>
            <w:sdtContent>
              <w:p w14:paraId="69E05BB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412095767"/>
              <w14:checkbox>
                <w14:checked w14:val="1"/>
                <w14:checkedState w14:val="2612" w14:font="MS Gothic"/>
                <w14:uncheckedState w14:val="2610" w14:font="MS Gothic"/>
              </w14:checkbox>
            </w:sdtPr>
            <w:sdtContent>
              <w:p w14:paraId="5F2BA24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C39DBE2" w14:textId="77777777" w:rsidTr="00FE4F18">
        <w:trPr>
          <w:trHeight w:val="403"/>
        </w:trPr>
        <w:tc>
          <w:tcPr>
            <w:tcW w:w="562" w:type="dxa"/>
            <w:shd w:val="clear" w:color="auto" w:fill="F2F2F2" w:themeFill="background1" w:themeFillShade="F2"/>
            <w:vAlign w:val="center"/>
          </w:tcPr>
          <w:p w14:paraId="3380E1F8" w14:textId="77777777" w:rsidR="0083387C" w:rsidRPr="001A076D" w:rsidRDefault="0083387C" w:rsidP="00FE4F18">
            <w:pPr>
              <w:autoSpaceDE w:val="0"/>
              <w:autoSpaceDN w:val="0"/>
              <w:adjustRightInd w:val="0"/>
              <w:jc w:val="center"/>
              <w:rPr>
                <w:sz w:val="22"/>
                <w:szCs w:val="22"/>
              </w:rPr>
            </w:pPr>
            <w:r w:rsidRPr="001A076D">
              <w:rPr>
                <w:sz w:val="22"/>
                <w:szCs w:val="22"/>
              </w:rPr>
              <w:t>18</w:t>
            </w:r>
          </w:p>
        </w:tc>
        <w:tc>
          <w:tcPr>
            <w:tcW w:w="8217" w:type="dxa"/>
            <w:shd w:val="clear" w:color="auto" w:fill="F2F2F2" w:themeFill="background1" w:themeFillShade="F2"/>
            <w:vAlign w:val="center"/>
          </w:tcPr>
          <w:p w14:paraId="7269B671" w14:textId="77777777" w:rsidR="0083387C" w:rsidRPr="001A076D" w:rsidRDefault="0083387C" w:rsidP="00FE4F18">
            <w:pPr>
              <w:autoSpaceDE w:val="0"/>
              <w:autoSpaceDN w:val="0"/>
              <w:adjustRightInd w:val="0"/>
              <w:rPr>
                <w:sz w:val="22"/>
                <w:szCs w:val="22"/>
              </w:rPr>
            </w:pPr>
            <w:r w:rsidRPr="001A076D">
              <w:rPr>
                <w:sz w:val="22"/>
                <w:szCs w:val="22"/>
              </w:rPr>
              <w:t>A globally responsible Wales</w:t>
            </w:r>
          </w:p>
        </w:tc>
        <w:tc>
          <w:tcPr>
            <w:tcW w:w="850" w:type="dxa"/>
            <w:shd w:val="clear" w:color="auto" w:fill="BFBFBF" w:themeFill="background1" w:themeFillShade="BF"/>
            <w:vAlign w:val="center"/>
          </w:tcPr>
          <w:sdt>
            <w:sdtPr>
              <w:rPr>
                <w:sz w:val="22"/>
                <w:szCs w:val="22"/>
              </w:rPr>
              <w:id w:val="1462462810"/>
              <w14:checkbox>
                <w14:checked w14:val="1"/>
                <w14:checkedState w14:val="2612" w14:font="MS Gothic"/>
                <w14:uncheckedState w14:val="2610" w14:font="MS Gothic"/>
              </w14:checkbox>
            </w:sdtPr>
            <w:sdtContent>
              <w:p w14:paraId="5C88F49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53513755"/>
              <w14:checkbox>
                <w14:checked w14:val="0"/>
                <w14:checkedState w14:val="2612" w14:font="MS Gothic"/>
                <w14:uncheckedState w14:val="2610" w14:font="MS Gothic"/>
              </w14:checkbox>
            </w:sdtPr>
            <w:sdtContent>
              <w:p w14:paraId="0D1C92D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5BAF9F7" w14:textId="77777777" w:rsidTr="00FE4F18">
        <w:trPr>
          <w:trHeight w:val="403"/>
        </w:trPr>
        <w:tc>
          <w:tcPr>
            <w:tcW w:w="562" w:type="dxa"/>
            <w:shd w:val="clear" w:color="auto" w:fill="F2F2F2" w:themeFill="background1" w:themeFillShade="F2"/>
            <w:vAlign w:val="center"/>
          </w:tcPr>
          <w:p w14:paraId="72B53328" w14:textId="77777777" w:rsidR="0083387C" w:rsidRPr="001A076D" w:rsidRDefault="0083387C" w:rsidP="00FE4F18">
            <w:pPr>
              <w:autoSpaceDE w:val="0"/>
              <w:autoSpaceDN w:val="0"/>
              <w:adjustRightInd w:val="0"/>
              <w:jc w:val="center"/>
              <w:rPr>
                <w:sz w:val="22"/>
                <w:szCs w:val="22"/>
              </w:rPr>
            </w:pPr>
            <w:r w:rsidRPr="001A076D">
              <w:rPr>
                <w:sz w:val="22"/>
                <w:szCs w:val="22"/>
              </w:rPr>
              <w:t>19</w:t>
            </w:r>
          </w:p>
        </w:tc>
        <w:tc>
          <w:tcPr>
            <w:tcW w:w="9889" w:type="dxa"/>
            <w:gridSpan w:val="3"/>
            <w:shd w:val="clear" w:color="auto" w:fill="F2F2F2" w:themeFill="background1" w:themeFillShade="F2"/>
            <w:vAlign w:val="center"/>
          </w:tcPr>
          <w:p w14:paraId="2C787F5E" w14:textId="77777777" w:rsidR="0083387C" w:rsidRPr="001A076D" w:rsidRDefault="0083387C" w:rsidP="00FE4F18">
            <w:pPr>
              <w:autoSpaceDE w:val="0"/>
              <w:autoSpaceDN w:val="0"/>
              <w:adjustRightInd w:val="0"/>
              <w:rPr>
                <w:bCs/>
                <w:sz w:val="22"/>
                <w:szCs w:val="22"/>
              </w:rPr>
            </w:pPr>
            <w:r w:rsidRPr="001A076D">
              <w:rPr>
                <w:sz w:val="22"/>
                <w:szCs w:val="22"/>
              </w:rPr>
              <w:t>If YES to any of the above, please give details:</w:t>
            </w:r>
          </w:p>
        </w:tc>
      </w:tr>
      <w:tr w:rsidR="004F2125" w:rsidRPr="001A076D" w14:paraId="22F99D02" w14:textId="77777777" w:rsidTr="00FE4F18">
        <w:trPr>
          <w:trHeight w:val="403"/>
        </w:trPr>
        <w:tc>
          <w:tcPr>
            <w:tcW w:w="562" w:type="dxa"/>
            <w:vAlign w:val="center"/>
          </w:tcPr>
          <w:p w14:paraId="111430C8" w14:textId="77777777" w:rsidR="0083387C" w:rsidRPr="001A076D" w:rsidRDefault="0083387C" w:rsidP="00FE4F18">
            <w:pPr>
              <w:autoSpaceDE w:val="0"/>
              <w:autoSpaceDN w:val="0"/>
              <w:adjustRightInd w:val="0"/>
              <w:jc w:val="center"/>
              <w:rPr>
                <w:sz w:val="22"/>
                <w:szCs w:val="22"/>
              </w:rPr>
            </w:pPr>
          </w:p>
        </w:tc>
        <w:tc>
          <w:tcPr>
            <w:tcW w:w="9889" w:type="dxa"/>
            <w:gridSpan w:val="3"/>
            <w:vAlign w:val="center"/>
          </w:tcPr>
          <w:p w14:paraId="4EA01709" w14:textId="77777777" w:rsidR="0083387C" w:rsidRPr="001A076D" w:rsidRDefault="0083387C" w:rsidP="00FE4F18">
            <w:pPr>
              <w:rPr>
                <w:sz w:val="22"/>
                <w:szCs w:val="22"/>
              </w:rPr>
            </w:pPr>
            <w:r w:rsidRPr="001A076D">
              <w:rPr>
                <w:sz w:val="22"/>
                <w:szCs w:val="22"/>
              </w:rPr>
              <w:t xml:space="preserve">This research contributes to </w:t>
            </w:r>
            <w:r w:rsidRPr="001A076D">
              <w:rPr>
                <w:b/>
                <w:bCs/>
                <w:sz w:val="22"/>
                <w:szCs w:val="22"/>
              </w:rPr>
              <w:t>A Prosperous Wales</w:t>
            </w:r>
            <w:r w:rsidRPr="001A076D">
              <w:rPr>
                <w:sz w:val="22"/>
                <w:szCs w:val="22"/>
              </w:rPr>
              <w:t xml:space="preserve"> by supporting digital innovation, data literacy, and improved decision-making within the energy sector.</w:t>
            </w:r>
            <w:r w:rsidRPr="001A076D">
              <w:rPr>
                <w:sz w:val="22"/>
                <w:szCs w:val="22"/>
              </w:rPr>
              <w:br/>
              <w:t xml:space="preserve">It promotes </w:t>
            </w:r>
            <w:r w:rsidRPr="001A076D">
              <w:rPr>
                <w:b/>
                <w:bCs/>
                <w:sz w:val="22"/>
                <w:szCs w:val="22"/>
              </w:rPr>
              <w:t>A Resilient Wales</w:t>
            </w:r>
            <w:r w:rsidRPr="001A076D">
              <w:rPr>
                <w:sz w:val="22"/>
                <w:szCs w:val="22"/>
              </w:rPr>
              <w:t xml:space="preserve"> through enhanced energy infrastructure and operational foresight enabled by predictive analytics.</w:t>
            </w:r>
            <w:r w:rsidRPr="001A076D">
              <w:rPr>
                <w:sz w:val="22"/>
                <w:szCs w:val="22"/>
              </w:rPr>
              <w:br/>
              <w:t xml:space="preserve">By investigating equitable data practices and governance, it supports </w:t>
            </w:r>
            <w:r w:rsidRPr="001A076D">
              <w:rPr>
                <w:b/>
                <w:bCs/>
                <w:sz w:val="22"/>
                <w:szCs w:val="22"/>
              </w:rPr>
              <w:t>A More Equal Wales</w:t>
            </w:r>
            <w:r w:rsidRPr="001A076D">
              <w:rPr>
                <w:sz w:val="22"/>
                <w:szCs w:val="22"/>
              </w:rPr>
              <w:t>.</w:t>
            </w:r>
            <w:r w:rsidRPr="001A076D">
              <w:rPr>
                <w:sz w:val="22"/>
                <w:szCs w:val="22"/>
              </w:rPr>
              <w:br/>
              <w:t xml:space="preserve">Engaging diverse employees in the research fosters inclusion and </w:t>
            </w:r>
            <w:r w:rsidRPr="001A076D">
              <w:rPr>
                <w:b/>
                <w:bCs/>
                <w:sz w:val="22"/>
                <w:szCs w:val="22"/>
              </w:rPr>
              <w:t>Cohesive Communities</w:t>
            </w:r>
            <w:r w:rsidRPr="001A076D">
              <w:rPr>
                <w:sz w:val="22"/>
                <w:szCs w:val="22"/>
              </w:rPr>
              <w:t>.</w:t>
            </w:r>
            <w:r w:rsidRPr="001A076D">
              <w:rPr>
                <w:sz w:val="22"/>
                <w:szCs w:val="22"/>
              </w:rPr>
              <w:br/>
              <w:t xml:space="preserve">As the project addresses climate and sustainability goals through predictive modelling in a major utility, it advances </w:t>
            </w:r>
            <w:r w:rsidRPr="001A076D">
              <w:rPr>
                <w:b/>
                <w:bCs/>
                <w:sz w:val="22"/>
                <w:szCs w:val="22"/>
              </w:rPr>
              <w:t>Global Responsibility</w:t>
            </w:r>
            <w:r w:rsidRPr="001A076D">
              <w:rPr>
                <w:sz w:val="22"/>
                <w:szCs w:val="22"/>
              </w:rPr>
              <w:t>.</w:t>
            </w:r>
          </w:p>
          <w:p w14:paraId="6EA09ED1" w14:textId="77777777" w:rsidR="0083387C" w:rsidRPr="001A076D" w:rsidRDefault="0083387C" w:rsidP="00FE4F18">
            <w:pPr>
              <w:autoSpaceDE w:val="0"/>
              <w:autoSpaceDN w:val="0"/>
              <w:adjustRightInd w:val="0"/>
              <w:rPr>
                <w:b/>
                <w:bCs/>
                <w:sz w:val="22"/>
                <w:szCs w:val="22"/>
              </w:rPr>
            </w:pPr>
            <w:r w:rsidRPr="001A076D">
              <w:rPr>
                <w:sz w:val="18"/>
                <w:szCs w:val="18"/>
              </w:rPr>
              <w:t>(this box should expand as you type)</w:t>
            </w:r>
          </w:p>
        </w:tc>
      </w:tr>
    </w:tbl>
    <w:p w14:paraId="5D090A8D" w14:textId="77777777" w:rsidR="0083387C" w:rsidRPr="001A076D" w:rsidRDefault="0083387C" w:rsidP="0083387C">
      <w:pPr>
        <w:autoSpaceDE w:val="0"/>
        <w:autoSpaceDN w:val="0"/>
        <w:adjustRightInd w:val="0"/>
        <w:spacing w:after="240"/>
        <w:jc w:val="both"/>
        <w:rPr>
          <w:b/>
          <w:sz w:val="22"/>
          <w:szCs w:val="22"/>
        </w:rPr>
      </w:pPr>
    </w:p>
    <w:p w14:paraId="3EE69F3C" w14:textId="77777777" w:rsidR="0083387C" w:rsidRPr="001A076D" w:rsidRDefault="0083387C" w:rsidP="0083387C">
      <w:pPr>
        <w:spacing w:after="240"/>
        <w:rPr>
          <w:b/>
          <w:sz w:val="22"/>
          <w:szCs w:val="22"/>
        </w:rPr>
      </w:pPr>
      <w:r w:rsidRPr="001A076D">
        <w:rPr>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57F93" w:rsidRPr="001A076D" w14:paraId="78AB90F9" w14:textId="77777777" w:rsidTr="00FE4F18">
        <w:trPr>
          <w:trHeight w:val="558"/>
        </w:trPr>
        <w:tc>
          <w:tcPr>
            <w:tcW w:w="562" w:type="dxa"/>
            <w:shd w:val="clear" w:color="auto" w:fill="F2F2F2" w:themeFill="background1" w:themeFillShade="F2"/>
            <w:vAlign w:val="center"/>
          </w:tcPr>
          <w:p w14:paraId="30779CBC" w14:textId="77777777" w:rsidR="0083387C" w:rsidRPr="001A076D" w:rsidRDefault="0083387C" w:rsidP="00FE4F18">
            <w:pPr>
              <w:autoSpaceDE w:val="0"/>
              <w:autoSpaceDN w:val="0"/>
              <w:adjustRightInd w:val="0"/>
              <w:rPr>
                <w:b/>
                <w:sz w:val="22"/>
                <w:szCs w:val="22"/>
              </w:rPr>
            </w:pPr>
          </w:p>
        </w:tc>
        <w:tc>
          <w:tcPr>
            <w:tcW w:w="8227" w:type="dxa"/>
            <w:shd w:val="clear" w:color="auto" w:fill="F2F2F2" w:themeFill="background1" w:themeFillShade="F2"/>
            <w:vAlign w:val="center"/>
          </w:tcPr>
          <w:p w14:paraId="77C4AD43" w14:textId="77777777" w:rsidR="0083387C" w:rsidRPr="001A076D" w:rsidRDefault="0083387C" w:rsidP="00FE4F18">
            <w:pPr>
              <w:autoSpaceDE w:val="0"/>
              <w:autoSpaceDN w:val="0"/>
              <w:adjustRightInd w:val="0"/>
              <w:rPr>
                <w:b/>
                <w:sz w:val="22"/>
                <w:szCs w:val="22"/>
              </w:rPr>
            </w:pPr>
            <w:r w:rsidRPr="001A076D">
              <w:rPr>
                <w:b/>
                <w:sz w:val="22"/>
                <w:szCs w:val="22"/>
              </w:rPr>
              <w:t>Will the research activity include:</w:t>
            </w:r>
          </w:p>
        </w:tc>
        <w:tc>
          <w:tcPr>
            <w:tcW w:w="846" w:type="dxa"/>
            <w:shd w:val="clear" w:color="auto" w:fill="F2F2F2" w:themeFill="background1" w:themeFillShade="F2"/>
            <w:vAlign w:val="center"/>
          </w:tcPr>
          <w:p w14:paraId="4F37E2CB"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16" w:type="dxa"/>
            <w:shd w:val="clear" w:color="auto" w:fill="F2F2F2" w:themeFill="background1" w:themeFillShade="F2"/>
            <w:vAlign w:val="center"/>
          </w:tcPr>
          <w:p w14:paraId="2E045E8A"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31020BF0" w14:textId="77777777" w:rsidTr="00FE4F18">
        <w:trPr>
          <w:trHeight w:val="439"/>
        </w:trPr>
        <w:tc>
          <w:tcPr>
            <w:tcW w:w="562" w:type="dxa"/>
            <w:shd w:val="clear" w:color="auto" w:fill="F2F2F2" w:themeFill="background1" w:themeFillShade="F2"/>
            <w:vAlign w:val="center"/>
          </w:tcPr>
          <w:p w14:paraId="68E58D2D" w14:textId="77777777" w:rsidR="0083387C" w:rsidRPr="001A076D" w:rsidRDefault="0083387C" w:rsidP="00FE4F18">
            <w:pPr>
              <w:autoSpaceDE w:val="0"/>
              <w:autoSpaceDN w:val="0"/>
              <w:adjustRightInd w:val="0"/>
              <w:rPr>
                <w:sz w:val="22"/>
                <w:szCs w:val="22"/>
              </w:rPr>
            </w:pPr>
            <w:r w:rsidRPr="001A076D">
              <w:rPr>
                <w:sz w:val="22"/>
                <w:szCs w:val="22"/>
              </w:rPr>
              <w:t>1</w:t>
            </w:r>
          </w:p>
        </w:tc>
        <w:tc>
          <w:tcPr>
            <w:tcW w:w="8227" w:type="dxa"/>
            <w:shd w:val="clear" w:color="auto" w:fill="F2F2F2" w:themeFill="background1" w:themeFillShade="F2"/>
            <w:vAlign w:val="center"/>
          </w:tcPr>
          <w:p w14:paraId="4965E6C4" w14:textId="77777777" w:rsidR="0083387C" w:rsidRPr="001A076D" w:rsidRDefault="0083387C" w:rsidP="00FE4F18">
            <w:pPr>
              <w:autoSpaceDE w:val="0"/>
              <w:autoSpaceDN w:val="0"/>
              <w:adjustRightInd w:val="0"/>
              <w:rPr>
                <w:sz w:val="22"/>
                <w:szCs w:val="22"/>
              </w:rPr>
            </w:pPr>
            <w:r w:rsidRPr="001A076D">
              <w:rPr>
                <w:sz w:val="22"/>
                <w:szCs w:val="22"/>
              </w:rPr>
              <w:t>Use of a questionnaire or similar research instrument?</w:t>
            </w:r>
          </w:p>
        </w:tc>
        <w:tc>
          <w:tcPr>
            <w:tcW w:w="846" w:type="dxa"/>
            <w:shd w:val="clear" w:color="auto" w:fill="BFBFBF" w:themeFill="background1" w:themeFillShade="BF"/>
            <w:vAlign w:val="center"/>
          </w:tcPr>
          <w:sdt>
            <w:sdtPr>
              <w:rPr>
                <w:sz w:val="22"/>
                <w:szCs w:val="22"/>
              </w:rPr>
              <w:id w:val="1843739070"/>
              <w14:checkbox>
                <w14:checked w14:val="1"/>
                <w14:checkedState w14:val="2612" w14:font="MS Gothic"/>
                <w14:uncheckedState w14:val="2610" w14:font="MS Gothic"/>
              </w14:checkbox>
            </w:sdtPr>
            <w:sdtContent>
              <w:p w14:paraId="6552CAD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474143939"/>
              <w14:checkbox>
                <w14:checked w14:val="0"/>
                <w14:checkedState w14:val="2612" w14:font="MS Gothic"/>
                <w14:uncheckedState w14:val="2610" w14:font="MS Gothic"/>
              </w14:checkbox>
            </w:sdtPr>
            <w:sdtContent>
              <w:p w14:paraId="343D5C1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1C65962" w14:textId="77777777" w:rsidTr="00FE4F18">
        <w:trPr>
          <w:trHeight w:val="439"/>
        </w:trPr>
        <w:tc>
          <w:tcPr>
            <w:tcW w:w="562" w:type="dxa"/>
            <w:shd w:val="clear" w:color="auto" w:fill="F2F2F2" w:themeFill="background1" w:themeFillShade="F2"/>
            <w:vAlign w:val="center"/>
          </w:tcPr>
          <w:p w14:paraId="3690B128" w14:textId="77777777" w:rsidR="0083387C" w:rsidRPr="001A076D" w:rsidRDefault="0083387C" w:rsidP="00FE4F18">
            <w:pPr>
              <w:autoSpaceDE w:val="0"/>
              <w:autoSpaceDN w:val="0"/>
              <w:adjustRightInd w:val="0"/>
              <w:rPr>
                <w:sz w:val="22"/>
                <w:szCs w:val="22"/>
              </w:rPr>
            </w:pPr>
            <w:r w:rsidRPr="001A076D">
              <w:rPr>
                <w:sz w:val="22"/>
                <w:szCs w:val="22"/>
              </w:rPr>
              <w:t>2</w:t>
            </w:r>
          </w:p>
        </w:tc>
        <w:tc>
          <w:tcPr>
            <w:tcW w:w="8227" w:type="dxa"/>
            <w:shd w:val="clear" w:color="auto" w:fill="F2F2F2" w:themeFill="background1" w:themeFillShade="F2"/>
            <w:vAlign w:val="center"/>
          </w:tcPr>
          <w:p w14:paraId="67E9237F" w14:textId="77777777" w:rsidR="0083387C" w:rsidRPr="001A076D" w:rsidRDefault="0083387C" w:rsidP="00FE4F18">
            <w:pPr>
              <w:autoSpaceDE w:val="0"/>
              <w:autoSpaceDN w:val="0"/>
              <w:adjustRightInd w:val="0"/>
              <w:rPr>
                <w:sz w:val="22"/>
                <w:szCs w:val="22"/>
              </w:rPr>
            </w:pPr>
            <w:r w:rsidRPr="001A076D">
              <w:rPr>
                <w:sz w:val="22"/>
                <w:szCs w:val="22"/>
              </w:rPr>
              <w:t>Use of interviews?</w:t>
            </w:r>
          </w:p>
        </w:tc>
        <w:tc>
          <w:tcPr>
            <w:tcW w:w="846" w:type="dxa"/>
            <w:shd w:val="clear" w:color="auto" w:fill="BFBFBF" w:themeFill="background1" w:themeFillShade="BF"/>
            <w:vAlign w:val="center"/>
          </w:tcPr>
          <w:sdt>
            <w:sdtPr>
              <w:rPr>
                <w:sz w:val="22"/>
                <w:szCs w:val="22"/>
              </w:rPr>
              <w:id w:val="-800765487"/>
              <w14:checkbox>
                <w14:checked w14:val="1"/>
                <w14:checkedState w14:val="2612" w14:font="MS Gothic"/>
                <w14:uncheckedState w14:val="2610" w14:font="MS Gothic"/>
              </w14:checkbox>
            </w:sdtPr>
            <w:sdtContent>
              <w:p w14:paraId="7603A26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749926786"/>
              <w14:checkbox>
                <w14:checked w14:val="0"/>
                <w14:checkedState w14:val="2612" w14:font="MS Gothic"/>
                <w14:uncheckedState w14:val="2610" w14:font="MS Gothic"/>
              </w14:checkbox>
            </w:sdtPr>
            <w:sdtContent>
              <w:p w14:paraId="047AB03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D27FC3A" w14:textId="77777777" w:rsidTr="00FE4F18">
        <w:trPr>
          <w:trHeight w:val="439"/>
        </w:trPr>
        <w:tc>
          <w:tcPr>
            <w:tcW w:w="562" w:type="dxa"/>
            <w:shd w:val="clear" w:color="auto" w:fill="F2F2F2" w:themeFill="background1" w:themeFillShade="F2"/>
            <w:vAlign w:val="center"/>
          </w:tcPr>
          <w:p w14:paraId="61600208" w14:textId="77777777" w:rsidR="0083387C" w:rsidRPr="001A076D" w:rsidRDefault="0083387C" w:rsidP="00FE4F18">
            <w:pPr>
              <w:autoSpaceDE w:val="0"/>
              <w:autoSpaceDN w:val="0"/>
              <w:adjustRightInd w:val="0"/>
              <w:rPr>
                <w:sz w:val="22"/>
                <w:szCs w:val="22"/>
              </w:rPr>
            </w:pPr>
            <w:r w:rsidRPr="001A076D">
              <w:rPr>
                <w:sz w:val="22"/>
                <w:szCs w:val="22"/>
              </w:rPr>
              <w:t>3</w:t>
            </w:r>
          </w:p>
        </w:tc>
        <w:tc>
          <w:tcPr>
            <w:tcW w:w="8227" w:type="dxa"/>
            <w:shd w:val="clear" w:color="auto" w:fill="F2F2F2" w:themeFill="background1" w:themeFillShade="F2"/>
            <w:vAlign w:val="center"/>
          </w:tcPr>
          <w:p w14:paraId="3B3AC94B" w14:textId="77777777" w:rsidR="0083387C" w:rsidRPr="001A076D" w:rsidRDefault="0083387C" w:rsidP="00FE4F18">
            <w:pPr>
              <w:autoSpaceDE w:val="0"/>
              <w:autoSpaceDN w:val="0"/>
              <w:adjustRightInd w:val="0"/>
              <w:rPr>
                <w:sz w:val="22"/>
                <w:szCs w:val="22"/>
              </w:rPr>
            </w:pPr>
            <w:r w:rsidRPr="001A076D">
              <w:rPr>
                <w:sz w:val="22"/>
                <w:szCs w:val="22"/>
              </w:rPr>
              <w:t>Use of focus groups?</w:t>
            </w:r>
          </w:p>
        </w:tc>
        <w:tc>
          <w:tcPr>
            <w:tcW w:w="846" w:type="dxa"/>
            <w:shd w:val="clear" w:color="auto" w:fill="BFBFBF" w:themeFill="background1" w:themeFillShade="BF"/>
            <w:vAlign w:val="center"/>
          </w:tcPr>
          <w:sdt>
            <w:sdtPr>
              <w:rPr>
                <w:sz w:val="22"/>
                <w:szCs w:val="22"/>
              </w:rPr>
              <w:id w:val="-507049709"/>
              <w14:checkbox>
                <w14:checked w14:val="0"/>
                <w14:checkedState w14:val="2612" w14:font="MS Gothic"/>
                <w14:uncheckedState w14:val="2610" w14:font="MS Gothic"/>
              </w14:checkbox>
            </w:sdtPr>
            <w:sdtContent>
              <w:p w14:paraId="59491AA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238368725"/>
              <w14:checkbox>
                <w14:checked w14:val="1"/>
                <w14:checkedState w14:val="2612" w14:font="MS Gothic"/>
                <w14:uncheckedState w14:val="2610" w14:font="MS Gothic"/>
              </w14:checkbox>
            </w:sdtPr>
            <w:sdtContent>
              <w:p w14:paraId="6490AC1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B706FAC" w14:textId="77777777" w:rsidTr="00FE4F18">
        <w:trPr>
          <w:trHeight w:val="403"/>
        </w:trPr>
        <w:tc>
          <w:tcPr>
            <w:tcW w:w="562" w:type="dxa"/>
            <w:shd w:val="clear" w:color="auto" w:fill="F2F2F2" w:themeFill="background1" w:themeFillShade="F2"/>
            <w:vAlign w:val="center"/>
          </w:tcPr>
          <w:p w14:paraId="2204042E" w14:textId="77777777" w:rsidR="0083387C" w:rsidRPr="001A076D" w:rsidRDefault="0083387C" w:rsidP="00FE4F18">
            <w:pPr>
              <w:autoSpaceDE w:val="0"/>
              <w:autoSpaceDN w:val="0"/>
              <w:adjustRightInd w:val="0"/>
              <w:rPr>
                <w:sz w:val="22"/>
                <w:szCs w:val="22"/>
              </w:rPr>
            </w:pPr>
            <w:r w:rsidRPr="001A076D">
              <w:rPr>
                <w:sz w:val="22"/>
                <w:szCs w:val="22"/>
              </w:rPr>
              <w:t>4</w:t>
            </w:r>
          </w:p>
        </w:tc>
        <w:tc>
          <w:tcPr>
            <w:tcW w:w="8227" w:type="dxa"/>
            <w:shd w:val="clear" w:color="auto" w:fill="F2F2F2" w:themeFill="background1" w:themeFillShade="F2"/>
            <w:vAlign w:val="center"/>
          </w:tcPr>
          <w:p w14:paraId="0F211AA7" w14:textId="77777777" w:rsidR="0083387C" w:rsidRPr="001A076D" w:rsidRDefault="0083387C" w:rsidP="00FE4F18">
            <w:pPr>
              <w:autoSpaceDE w:val="0"/>
              <w:autoSpaceDN w:val="0"/>
              <w:adjustRightInd w:val="0"/>
              <w:rPr>
                <w:sz w:val="22"/>
                <w:szCs w:val="22"/>
              </w:rPr>
            </w:pPr>
            <w:r w:rsidRPr="001A076D">
              <w:rPr>
                <w:sz w:val="22"/>
                <w:szCs w:val="22"/>
              </w:rPr>
              <w:t xml:space="preserve">Use of participant diaries? </w:t>
            </w:r>
          </w:p>
        </w:tc>
        <w:tc>
          <w:tcPr>
            <w:tcW w:w="846" w:type="dxa"/>
            <w:shd w:val="clear" w:color="auto" w:fill="BFBFBF" w:themeFill="background1" w:themeFillShade="BF"/>
            <w:vAlign w:val="center"/>
          </w:tcPr>
          <w:sdt>
            <w:sdtPr>
              <w:rPr>
                <w:sz w:val="22"/>
                <w:szCs w:val="22"/>
              </w:rPr>
              <w:id w:val="319468663"/>
              <w14:checkbox>
                <w14:checked w14:val="0"/>
                <w14:checkedState w14:val="2612" w14:font="MS Gothic"/>
                <w14:uncheckedState w14:val="2610" w14:font="MS Gothic"/>
              </w14:checkbox>
            </w:sdtPr>
            <w:sdtContent>
              <w:p w14:paraId="0408262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900483589"/>
              <w14:checkbox>
                <w14:checked w14:val="1"/>
                <w14:checkedState w14:val="2612" w14:font="MS Gothic"/>
                <w14:uncheckedState w14:val="2610" w14:font="MS Gothic"/>
              </w14:checkbox>
            </w:sdtPr>
            <w:sdtContent>
              <w:p w14:paraId="47AC637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ED52D98" w14:textId="77777777" w:rsidTr="00FE4F18">
        <w:trPr>
          <w:trHeight w:val="403"/>
        </w:trPr>
        <w:tc>
          <w:tcPr>
            <w:tcW w:w="562" w:type="dxa"/>
            <w:shd w:val="clear" w:color="auto" w:fill="F2F2F2" w:themeFill="background1" w:themeFillShade="F2"/>
            <w:vAlign w:val="center"/>
          </w:tcPr>
          <w:p w14:paraId="6378F01A" w14:textId="77777777" w:rsidR="0083387C" w:rsidRPr="001A076D" w:rsidRDefault="0083387C" w:rsidP="00FE4F18">
            <w:pPr>
              <w:autoSpaceDE w:val="0"/>
              <w:autoSpaceDN w:val="0"/>
              <w:adjustRightInd w:val="0"/>
              <w:rPr>
                <w:sz w:val="22"/>
                <w:szCs w:val="22"/>
              </w:rPr>
            </w:pPr>
            <w:r w:rsidRPr="001A076D">
              <w:rPr>
                <w:sz w:val="22"/>
                <w:szCs w:val="22"/>
              </w:rPr>
              <w:t>5</w:t>
            </w:r>
          </w:p>
        </w:tc>
        <w:tc>
          <w:tcPr>
            <w:tcW w:w="8227" w:type="dxa"/>
            <w:shd w:val="clear" w:color="auto" w:fill="F2F2F2" w:themeFill="background1" w:themeFillShade="F2"/>
            <w:vAlign w:val="center"/>
          </w:tcPr>
          <w:p w14:paraId="319FEE63" w14:textId="77777777" w:rsidR="0083387C" w:rsidRPr="001A076D" w:rsidRDefault="0083387C" w:rsidP="00FE4F18">
            <w:pPr>
              <w:autoSpaceDE w:val="0"/>
              <w:autoSpaceDN w:val="0"/>
              <w:adjustRightInd w:val="0"/>
              <w:rPr>
                <w:sz w:val="22"/>
                <w:szCs w:val="22"/>
              </w:rPr>
            </w:pPr>
            <w:r w:rsidRPr="001A076D">
              <w:rPr>
                <w:sz w:val="22"/>
                <w:szCs w:val="22"/>
              </w:rPr>
              <w:t>Use of video or audio recording?</w:t>
            </w:r>
          </w:p>
        </w:tc>
        <w:tc>
          <w:tcPr>
            <w:tcW w:w="846" w:type="dxa"/>
            <w:shd w:val="clear" w:color="auto" w:fill="BFBFBF" w:themeFill="background1" w:themeFillShade="BF"/>
            <w:vAlign w:val="center"/>
          </w:tcPr>
          <w:sdt>
            <w:sdtPr>
              <w:rPr>
                <w:sz w:val="22"/>
                <w:szCs w:val="22"/>
              </w:rPr>
              <w:id w:val="-494723296"/>
              <w14:checkbox>
                <w14:checked w14:val="1"/>
                <w14:checkedState w14:val="2612" w14:font="MS Gothic"/>
                <w14:uncheckedState w14:val="2610" w14:font="MS Gothic"/>
              </w14:checkbox>
            </w:sdtPr>
            <w:sdtContent>
              <w:p w14:paraId="5F8916B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672298898"/>
              <w14:checkbox>
                <w14:checked w14:val="0"/>
                <w14:checkedState w14:val="2612" w14:font="MS Gothic"/>
                <w14:uncheckedState w14:val="2610" w14:font="MS Gothic"/>
              </w14:checkbox>
            </w:sdtPr>
            <w:sdtContent>
              <w:p w14:paraId="293A5B8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88C13C2" w14:textId="77777777" w:rsidTr="00FE4F18">
        <w:trPr>
          <w:trHeight w:val="403"/>
        </w:trPr>
        <w:tc>
          <w:tcPr>
            <w:tcW w:w="562" w:type="dxa"/>
            <w:shd w:val="clear" w:color="auto" w:fill="F2F2F2" w:themeFill="background1" w:themeFillShade="F2"/>
            <w:vAlign w:val="center"/>
          </w:tcPr>
          <w:p w14:paraId="1342EFDF" w14:textId="77777777" w:rsidR="0083387C" w:rsidRPr="001A076D" w:rsidRDefault="0083387C" w:rsidP="00FE4F18">
            <w:pPr>
              <w:autoSpaceDE w:val="0"/>
              <w:autoSpaceDN w:val="0"/>
              <w:adjustRightInd w:val="0"/>
              <w:rPr>
                <w:sz w:val="22"/>
                <w:szCs w:val="22"/>
              </w:rPr>
            </w:pPr>
            <w:r w:rsidRPr="001A076D">
              <w:rPr>
                <w:sz w:val="22"/>
                <w:szCs w:val="22"/>
              </w:rPr>
              <w:t>6</w:t>
            </w:r>
          </w:p>
        </w:tc>
        <w:tc>
          <w:tcPr>
            <w:tcW w:w="8227" w:type="dxa"/>
            <w:shd w:val="clear" w:color="auto" w:fill="F2F2F2" w:themeFill="background1" w:themeFillShade="F2"/>
            <w:vAlign w:val="center"/>
          </w:tcPr>
          <w:p w14:paraId="09F8F4B7" w14:textId="77777777" w:rsidR="0083387C" w:rsidRPr="001A076D" w:rsidRDefault="0083387C" w:rsidP="00FE4F18">
            <w:pPr>
              <w:autoSpaceDE w:val="0"/>
              <w:autoSpaceDN w:val="0"/>
              <w:adjustRightInd w:val="0"/>
              <w:rPr>
                <w:sz w:val="22"/>
                <w:szCs w:val="22"/>
              </w:rPr>
            </w:pPr>
            <w:r w:rsidRPr="001A076D">
              <w:rPr>
                <w:sz w:val="22"/>
                <w:szCs w:val="22"/>
              </w:rPr>
              <w:t>Use of computer-generated log files?</w:t>
            </w:r>
          </w:p>
        </w:tc>
        <w:tc>
          <w:tcPr>
            <w:tcW w:w="846" w:type="dxa"/>
            <w:shd w:val="clear" w:color="auto" w:fill="BFBFBF" w:themeFill="background1" w:themeFillShade="BF"/>
            <w:vAlign w:val="center"/>
          </w:tcPr>
          <w:sdt>
            <w:sdtPr>
              <w:rPr>
                <w:sz w:val="22"/>
                <w:szCs w:val="22"/>
              </w:rPr>
              <w:id w:val="282394886"/>
              <w14:checkbox>
                <w14:checked w14:val="0"/>
                <w14:checkedState w14:val="2612" w14:font="MS Gothic"/>
                <w14:uncheckedState w14:val="2610" w14:font="MS Gothic"/>
              </w14:checkbox>
            </w:sdtPr>
            <w:sdtContent>
              <w:p w14:paraId="2ED0B48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338917432"/>
              <w14:checkbox>
                <w14:checked w14:val="1"/>
                <w14:checkedState w14:val="2612" w14:font="MS Gothic"/>
                <w14:uncheckedState w14:val="2610" w14:font="MS Gothic"/>
              </w14:checkbox>
            </w:sdtPr>
            <w:sdtContent>
              <w:p w14:paraId="17AA3A5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E6BB557" w14:textId="77777777" w:rsidTr="00FE4F18">
        <w:trPr>
          <w:trHeight w:val="439"/>
        </w:trPr>
        <w:tc>
          <w:tcPr>
            <w:tcW w:w="562" w:type="dxa"/>
            <w:shd w:val="clear" w:color="auto" w:fill="F2F2F2" w:themeFill="background1" w:themeFillShade="F2"/>
            <w:vAlign w:val="center"/>
          </w:tcPr>
          <w:p w14:paraId="30DEED9E" w14:textId="77777777" w:rsidR="0083387C" w:rsidRPr="001A076D" w:rsidRDefault="0083387C" w:rsidP="00FE4F18">
            <w:pPr>
              <w:autoSpaceDE w:val="0"/>
              <w:autoSpaceDN w:val="0"/>
              <w:adjustRightInd w:val="0"/>
              <w:rPr>
                <w:sz w:val="22"/>
                <w:szCs w:val="22"/>
              </w:rPr>
            </w:pPr>
            <w:r w:rsidRPr="001A076D">
              <w:rPr>
                <w:sz w:val="22"/>
                <w:szCs w:val="22"/>
              </w:rPr>
              <w:t>7</w:t>
            </w:r>
          </w:p>
        </w:tc>
        <w:tc>
          <w:tcPr>
            <w:tcW w:w="8227" w:type="dxa"/>
            <w:shd w:val="clear" w:color="auto" w:fill="F2F2F2" w:themeFill="background1" w:themeFillShade="F2"/>
            <w:vAlign w:val="center"/>
          </w:tcPr>
          <w:p w14:paraId="734E8EB4" w14:textId="77777777" w:rsidR="0083387C" w:rsidRPr="001A076D" w:rsidRDefault="0083387C" w:rsidP="00FE4F18">
            <w:pPr>
              <w:autoSpaceDE w:val="0"/>
              <w:autoSpaceDN w:val="0"/>
              <w:adjustRightInd w:val="0"/>
              <w:rPr>
                <w:sz w:val="22"/>
                <w:szCs w:val="22"/>
              </w:rPr>
            </w:pPr>
            <w:r w:rsidRPr="001A076D">
              <w:rPr>
                <w:sz w:val="22"/>
                <w:szCs w:val="22"/>
              </w:rPr>
              <w:t>Participant observation with their knowledge?</w:t>
            </w:r>
          </w:p>
        </w:tc>
        <w:tc>
          <w:tcPr>
            <w:tcW w:w="846" w:type="dxa"/>
            <w:shd w:val="clear" w:color="auto" w:fill="BFBFBF" w:themeFill="background1" w:themeFillShade="BF"/>
            <w:vAlign w:val="center"/>
          </w:tcPr>
          <w:sdt>
            <w:sdtPr>
              <w:rPr>
                <w:sz w:val="22"/>
                <w:szCs w:val="22"/>
              </w:rPr>
              <w:id w:val="-1942599491"/>
              <w14:checkbox>
                <w14:checked w14:val="0"/>
                <w14:checkedState w14:val="2612" w14:font="MS Gothic"/>
                <w14:uncheckedState w14:val="2610" w14:font="MS Gothic"/>
              </w14:checkbox>
            </w:sdtPr>
            <w:sdtContent>
              <w:p w14:paraId="27C5741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626286741"/>
              <w14:checkbox>
                <w14:checked w14:val="1"/>
                <w14:checkedState w14:val="2612" w14:font="MS Gothic"/>
                <w14:uncheckedState w14:val="2610" w14:font="MS Gothic"/>
              </w14:checkbox>
            </w:sdtPr>
            <w:sdtContent>
              <w:p w14:paraId="5D039B5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048464D" w14:textId="77777777" w:rsidTr="00FE4F18">
        <w:trPr>
          <w:trHeight w:val="403"/>
        </w:trPr>
        <w:tc>
          <w:tcPr>
            <w:tcW w:w="562" w:type="dxa"/>
            <w:shd w:val="clear" w:color="auto" w:fill="F2F2F2" w:themeFill="background1" w:themeFillShade="F2"/>
            <w:vAlign w:val="center"/>
          </w:tcPr>
          <w:p w14:paraId="3518CF28" w14:textId="77777777" w:rsidR="0083387C" w:rsidRPr="001A076D" w:rsidRDefault="0083387C" w:rsidP="00FE4F18">
            <w:pPr>
              <w:autoSpaceDE w:val="0"/>
              <w:autoSpaceDN w:val="0"/>
              <w:adjustRightInd w:val="0"/>
              <w:rPr>
                <w:sz w:val="22"/>
                <w:szCs w:val="22"/>
              </w:rPr>
            </w:pPr>
            <w:r w:rsidRPr="001A076D">
              <w:rPr>
                <w:sz w:val="22"/>
                <w:szCs w:val="22"/>
              </w:rPr>
              <w:t>8</w:t>
            </w:r>
          </w:p>
        </w:tc>
        <w:tc>
          <w:tcPr>
            <w:tcW w:w="8227" w:type="dxa"/>
            <w:shd w:val="clear" w:color="auto" w:fill="F2F2F2" w:themeFill="background1" w:themeFillShade="F2"/>
            <w:vAlign w:val="center"/>
          </w:tcPr>
          <w:p w14:paraId="13CFF173" w14:textId="77777777" w:rsidR="0083387C" w:rsidRPr="001A076D" w:rsidRDefault="0083387C" w:rsidP="00FE4F18">
            <w:pPr>
              <w:autoSpaceDE w:val="0"/>
              <w:autoSpaceDN w:val="0"/>
              <w:adjustRightInd w:val="0"/>
              <w:rPr>
                <w:sz w:val="22"/>
                <w:szCs w:val="22"/>
              </w:rPr>
            </w:pPr>
            <w:r w:rsidRPr="001A076D">
              <w:rPr>
                <w:sz w:val="22"/>
                <w:szCs w:val="22"/>
              </w:rPr>
              <w:t>Participant observation without their knowledge?</w:t>
            </w:r>
          </w:p>
        </w:tc>
        <w:tc>
          <w:tcPr>
            <w:tcW w:w="846" w:type="dxa"/>
            <w:shd w:val="clear" w:color="auto" w:fill="BFBFBF" w:themeFill="background1" w:themeFillShade="BF"/>
            <w:vAlign w:val="center"/>
          </w:tcPr>
          <w:sdt>
            <w:sdtPr>
              <w:rPr>
                <w:sz w:val="22"/>
                <w:szCs w:val="22"/>
              </w:rPr>
              <w:id w:val="-387187341"/>
              <w14:checkbox>
                <w14:checked w14:val="0"/>
                <w14:checkedState w14:val="2612" w14:font="MS Gothic"/>
                <w14:uncheckedState w14:val="2610" w14:font="MS Gothic"/>
              </w14:checkbox>
            </w:sdtPr>
            <w:sdtContent>
              <w:p w14:paraId="2B6E79E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580675213"/>
              <w14:checkbox>
                <w14:checked w14:val="1"/>
                <w14:checkedState w14:val="2612" w14:font="MS Gothic"/>
                <w14:uncheckedState w14:val="2610" w14:font="MS Gothic"/>
              </w14:checkbox>
            </w:sdtPr>
            <w:sdtContent>
              <w:p w14:paraId="48487F4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4F55CFD" w14:textId="77777777" w:rsidTr="00FE4F18">
        <w:trPr>
          <w:trHeight w:val="439"/>
        </w:trPr>
        <w:tc>
          <w:tcPr>
            <w:tcW w:w="562" w:type="dxa"/>
            <w:shd w:val="clear" w:color="auto" w:fill="F2F2F2" w:themeFill="background1" w:themeFillShade="F2"/>
            <w:vAlign w:val="center"/>
          </w:tcPr>
          <w:p w14:paraId="0FBDBA96" w14:textId="77777777" w:rsidR="0083387C" w:rsidRPr="001A076D" w:rsidRDefault="0083387C" w:rsidP="00FE4F18">
            <w:pPr>
              <w:autoSpaceDE w:val="0"/>
              <w:autoSpaceDN w:val="0"/>
              <w:adjustRightInd w:val="0"/>
              <w:rPr>
                <w:sz w:val="22"/>
                <w:szCs w:val="22"/>
              </w:rPr>
            </w:pPr>
            <w:r w:rsidRPr="001A076D">
              <w:rPr>
                <w:sz w:val="22"/>
                <w:szCs w:val="22"/>
              </w:rPr>
              <w:t>9</w:t>
            </w:r>
          </w:p>
        </w:tc>
        <w:tc>
          <w:tcPr>
            <w:tcW w:w="8227" w:type="dxa"/>
            <w:shd w:val="clear" w:color="auto" w:fill="F2F2F2" w:themeFill="background1" w:themeFillShade="F2"/>
            <w:vAlign w:val="center"/>
          </w:tcPr>
          <w:p w14:paraId="7CABD252" w14:textId="77777777" w:rsidR="0083387C" w:rsidRPr="001A076D" w:rsidRDefault="0083387C" w:rsidP="00FE4F18">
            <w:pPr>
              <w:autoSpaceDE w:val="0"/>
              <w:autoSpaceDN w:val="0"/>
              <w:adjustRightInd w:val="0"/>
              <w:rPr>
                <w:sz w:val="22"/>
                <w:szCs w:val="22"/>
              </w:rPr>
            </w:pPr>
            <w:r w:rsidRPr="001A076D">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sz w:val="22"/>
                <w:szCs w:val="22"/>
              </w:rPr>
              <w:id w:val="-1397120567"/>
              <w14:checkbox>
                <w14:checked w14:val="0"/>
                <w14:checkedState w14:val="2612" w14:font="MS Gothic"/>
                <w14:uncheckedState w14:val="2610" w14:font="MS Gothic"/>
              </w14:checkbox>
            </w:sdtPr>
            <w:sdtContent>
              <w:p w14:paraId="66B09F1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587048268"/>
              <w14:checkbox>
                <w14:checked w14:val="1"/>
                <w14:checkedState w14:val="2612" w14:font="MS Gothic"/>
                <w14:uncheckedState w14:val="2610" w14:font="MS Gothic"/>
              </w14:checkbox>
            </w:sdtPr>
            <w:sdtContent>
              <w:p w14:paraId="20D3B5E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488BC38" w14:textId="77777777" w:rsidTr="00FE4F18">
        <w:trPr>
          <w:trHeight w:val="403"/>
        </w:trPr>
        <w:tc>
          <w:tcPr>
            <w:tcW w:w="562" w:type="dxa"/>
            <w:shd w:val="clear" w:color="auto" w:fill="F2F2F2" w:themeFill="background1" w:themeFillShade="F2"/>
            <w:vAlign w:val="center"/>
          </w:tcPr>
          <w:p w14:paraId="03FD5777" w14:textId="77777777" w:rsidR="0083387C" w:rsidRPr="001A076D" w:rsidRDefault="0083387C" w:rsidP="00FE4F18">
            <w:pPr>
              <w:autoSpaceDE w:val="0"/>
              <w:autoSpaceDN w:val="0"/>
              <w:adjustRightInd w:val="0"/>
              <w:rPr>
                <w:sz w:val="22"/>
                <w:szCs w:val="22"/>
              </w:rPr>
            </w:pPr>
            <w:r w:rsidRPr="001A076D">
              <w:rPr>
                <w:sz w:val="22"/>
                <w:szCs w:val="22"/>
              </w:rPr>
              <w:t>10</w:t>
            </w:r>
          </w:p>
        </w:tc>
        <w:tc>
          <w:tcPr>
            <w:tcW w:w="8227" w:type="dxa"/>
            <w:shd w:val="clear" w:color="auto" w:fill="F2F2F2" w:themeFill="background1" w:themeFillShade="F2"/>
            <w:vAlign w:val="center"/>
          </w:tcPr>
          <w:p w14:paraId="291125F5" w14:textId="77777777" w:rsidR="0083387C" w:rsidRPr="001A076D" w:rsidRDefault="0083387C" w:rsidP="00FE4F18">
            <w:pPr>
              <w:autoSpaceDE w:val="0"/>
              <w:autoSpaceDN w:val="0"/>
              <w:adjustRightInd w:val="0"/>
              <w:rPr>
                <w:sz w:val="22"/>
                <w:szCs w:val="22"/>
              </w:rPr>
            </w:pPr>
            <w:r w:rsidRPr="001A076D">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sz w:val="22"/>
                <w:szCs w:val="22"/>
              </w:rPr>
              <w:id w:val="-723911514"/>
              <w14:checkbox>
                <w14:checked w14:val="0"/>
                <w14:checkedState w14:val="2612" w14:font="MS Gothic"/>
                <w14:uncheckedState w14:val="2610" w14:font="MS Gothic"/>
              </w14:checkbox>
            </w:sdtPr>
            <w:sdtContent>
              <w:p w14:paraId="11E9E48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655270249"/>
              <w14:checkbox>
                <w14:checked w14:val="1"/>
                <w14:checkedState w14:val="2612" w14:font="MS Gothic"/>
                <w14:uncheckedState w14:val="2610" w14:font="MS Gothic"/>
              </w14:checkbox>
            </w:sdtPr>
            <w:sdtContent>
              <w:p w14:paraId="54F19FB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7C2DF30" w14:textId="77777777" w:rsidTr="00FE4F18">
        <w:trPr>
          <w:trHeight w:val="403"/>
        </w:trPr>
        <w:tc>
          <w:tcPr>
            <w:tcW w:w="562" w:type="dxa"/>
            <w:shd w:val="clear" w:color="auto" w:fill="F2F2F2" w:themeFill="background1" w:themeFillShade="F2"/>
            <w:vAlign w:val="center"/>
          </w:tcPr>
          <w:p w14:paraId="1CA9858A" w14:textId="77777777" w:rsidR="0083387C" w:rsidRPr="001A076D" w:rsidRDefault="0083387C" w:rsidP="00FE4F18">
            <w:pPr>
              <w:autoSpaceDE w:val="0"/>
              <w:autoSpaceDN w:val="0"/>
              <w:adjustRightInd w:val="0"/>
              <w:rPr>
                <w:sz w:val="22"/>
                <w:szCs w:val="22"/>
              </w:rPr>
            </w:pPr>
            <w:r w:rsidRPr="001A076D">
              <w:rPr>
                <w:sz w:val="22"/>
                <w:szCs w:val="22"/>
              </w:rPr>
              <w:t>11</w:t>
            </w:r>
          </w:p>
        </w:tc>
        <w:tc>
          <w:tcPr>
            <w:tcW w:w="8227" w:type="dxa"/>
            <w:shd w:val="clear" w:color="auto" w:fill="F2F2F2" w:themeFill="background1" w:themeFillShade="F2"/>
            <w:vAlign w:val="center"/>
          </w:tcPr>
          <w:p w14:paraId="2E74C6C4" w14:textId="77777777" w:rsidR="0083387C" w:rsidRPr="001A076D" w:rsidRDefault="0083387C" w:rsidP="00FE4F18">
            <w:pPr>
              <w:autoSpaceDE w:val="0"/>
              <w:autoSpaceDN w:val="0"/>
              <w:adjustRightInd w:val="0"/>
              <w:rPr>
                <w:sz w:val="22"/>
                <w:szCs w:val="22"/>
              </w:rPr>
            </w:pPr>
            <w:r w:rsidRPr="001A076D">
              <w:rPr>
                <w:sz w:val="22"/>
                <w:szCs w:val="22"/>
              </w:rPr>
              <w:t>Performance of any acts which may cause embarrassment or affect self-esteem?</w:t>
            </w:r>
          </w:p>
        </w:tc>
        <w:tc>
          <w:tcPr>
            <w:tcW w:w="846" w:type="dxa"/>
            <w:shd w:val="clear" w:color="auto" w:fill="BFBFBF" w:themeFill="background1" w:themeFillShade="BF"/>
            <w:vAlign w:val="center"/>
          </w:tcPr>
          <w:sdt>
            <w:sdtPr>
              <w:rPr>
                <w:sz w:val="22"/>
                <w:szCs w:val="22"/>
              </w:rPr>
              <w:id w:val="1994977168"/>
              <w14:checkbox>
                <w14:checked w14:val="0"/>
                <w14:checkedState w14:val="2612" w14:font="MS Gothic"/>
                <w14:uncheckedState w14:val="2610" w14:font="MS Gothic"/>
              </w14:checkbox>
            </w:sdtPr>
            <w:sdtContent>
              <w:p w14:paraId="50FA198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2119442801"/>
              <w14:checkbox>
                <w14:checked w14:val="1"/>
                <w14:checkedState w14:val="2612" w14:font="MS Gothic"/>
                <w14:uncheckedState w14:val="2610" w14:font="MS Gothic"/>
              </w14:checkbox>
            </w:sdtPr>
            <w:sdtContent>
              <w:p w14:paraId="25B339F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1FC303A" w14:textId="77777777" w:rsidTr="00FE4F18">
        <w:trPr>
          <w:trHeight w:val="403"/>
        </w:trPr>
        <w:tc>
          <w:tcPr>
            <w:tcW w:w="562" w:type="dxa"/>
            <w:shd w:val="clear" w:color="auto" w:fill="F2F2F2" w:themeFill="background1" w:themeFillShade="F2"/>
            <w:vAlign w:val="center"/>
          </w:tcPr>
          <w:p w14:paraId="39F93251" w14:textId="77777777" w:rsidR="0083387C" w:rsidRPr="001A076D" w:rsidRDefault="0083387C" w:rsidP="00FE4F18">
            <w:pPr>
              <w:autoSpaceDE w:val="0"/>
              <w:autoSpaceDN w:val="0"/>
              <w:adjustRightInd w:val="0"/>
              <w:rPr>
                <w:sz w:val="22"/>
                <w:szCs w:val="22"/>
              </w:rPr>
            </w:pPr>
            <w:r w:rsidRPr="001A076D">
              <w:rPr>
                <w:sz w:val="22"/>
                <w:szCs w:val="22"/>
              </w:rPr>
              <w:t>12</w:t>
            </w:r>
          </w:p>
        </w:tc>
        <w:tc>
          <w:tcPr>
            <w:tcW w:w="8227" w:type="dxa"/>
            <w:shd w:val="clear" w:color="auto" w:fill="F2F2F2" w:themeFill="background1" w:themeFillShade="F2"/>
            <w:vAlign w:val="center"/>
          </w:tcPr>
          <w:p w14:paraId="280C2D43" w14:textId="77777777" w:rsidR="0083387C" w:rsidRPr="001A076D" w:rsidRDefault="0083387C" w:rsidP="00FE4F18">
            <w:pPr>
              <w:autoSpaceDE w:val="0"/>
              <w:autoSpaceDN w:val="0"/>
              <w:adjustRightInd w:val="0"/>
              <w:rPr>
                <w:sz w:val="22"/>
                <w:szCs w:val="22"/>
              </w:rPr>
            </w:pPr>
            <w:r w:rsidRPr="001A076D">
              <w:rPr>
                <w:sz w:val="22"/>
                <w:szCs w:val="22"/>
              </w:rPr>
              <w:t>Investigation of participants involved in illegal activities?</w:t>
            </w:r>
          </w:p>
        </w:tc>
        <w:tc>
          <w:tcPr>
            <w:tcW w:w="846" w:type="dxa"/>
            <w:shd w:val="clear" w:color="auto" w:fill="BFBFBF" w:themeFill="background1" w:themeFillShade="BF"/>
            <w:vAlign w:val="center"/>
          </w:tcPr>
          <w:sdt>
            <w:sdtPr>
              <w:rPr>
                <w:sz w:val="22"/>
                <w:szCs w:val="22"/>
              </w:rPr>
              <w:id w:val="-570350383"/>
              <w14:checkbox>
                <w14:checked w14:val="0"/>
                <w14:checkedState w14:val="2612" w14:font="MS Gothic"/>
                <w14:uncheckedState w14:val="2610" w14:font="MS Gothic"/>
              </w14:checkbox>
            </w:sdtPr>
            <w:sdtContent>
              <w:p w14:paraId="7631230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904758639"/>
              <w14:checkbox>
                <w14:checked w14:val="1"/>
                <w14:checkedState w14:val="2612" w14:font="MS Gothic"/>
                <w14:uncheckedState w14:val="2610" w14:font="MS Gothic"/>
              </w14:checkbox>
            </w:sdtPr>
            <w:sdtContent>
              <w:p w14:paraId="5619AC8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6E2E8ED" w14:textId="77777777" w:rsidTr="00FE4F18">
        <w:trPr>
          <w:trHeight w:val="403"/>
        </w:trPr>
        <w:tc>
          <w:tcPr>
            <w:tcW w:w="562" w:type="dxa"/>
            <w:shd w:val="clear" w:color="auto" w:fill="F2F2F2" w:themeFill="background1" w:themeFillShade="F2"/>
            <w:vAlign w:val="center"/>
          </w:tcPr>
          <w:p w14:paraId="32D2E69B" w14:textId="77777777" w:rsidR="0083387C" w:rsidRPr="001A076D" w:rsidRDefault="0083387C" w:rsidP="00FE4F18">
            <w:pPr>
              <w:autoSpaceDE w:val="0"/>
              <w:autoSpaceDN w:val="0"/>
              <w:adjustRightInd w:val="0"/>
              <w:rPr>
                <w:sz w:val="22"/>
                <w:szCs w:val="22"/>
              </w:rPr>
            </w:pPr>
            <w:r w:rsidRPr="001A076D">
              <w:rPr>
                <w:sz w:val="22"/>
                <w:szCs w:val="22"/>
              </w:rPr>
              <w:t>13</w:t>
            </w:r>
          </w:p>
        </w:tc>
        <w:tc>
          <w:tcPr>
            <w:tcW w:w="8227" w:type="dxa"/>
            <w:shd w:val="clear" w:color="auto" w:fill="F2F2F2" w:themeFill="background1" w:themeFillShade="F2"/>
            <w:vAlign w:val="center"/>
          </w:tcPr>
          <w:p w14:paraId="5FE5915D" w14:textId="77777777" w:rsidR="0083387C" w:rsidRPr="001A076D" w:rsidRDefault="0083387C" w:rsidP="00FE4F18">
            <w:pPr>
              <w:autoSpaceDE w:val="0"/>
              <w:autoSpaceDN w:val="0"/>
              <w:adjustRightInd w:val="0"/>
              <w:rPr>
                <w:sz w:val="22"/>
                <w:szCs w:val="22"/>
              </w:rPr>
            </w:pPr>
            <w:r w:rsidRPr="001A076D">
              <w:rPr>
                <w:sz w:val="22"/>
                <w:szCs w:val="22"/>
              </w:rPr>
              <w:t>Use of procedures that involve deception?</w:t>
            </w:r>
          </w:p>
        </w:tc>
        <w:tc>
          <w:tcPr>
            <w:tcW w:w="846" w:type="dxa"/>
            <w:shd w:val="clear" w:color="auto" w:fill="BFBFBF" w:themeFill="background1" w:themeFillShade="BF"/>
            <w:vAlign w:val="center"/>
          </w:tcPr>
          <w:sdt>
            <w:sdtPr>
              <w:rPr>
                <w:sz w:val="22"/>
                <w:szCs w:val="22"/>
              </w:rPr>
              <w:id w:val="362719355"/>
              <w14:checkbox>
                <w14:checked w14:val="0"/>
                <w14:checkedState w14:val="2612" w14:font="MS Gothic"/>
                <w14:uncheckedState w14:val="2610" w14:font="MS Gothic"/>
              </w14:checkbox>
            </w:sdtPr>
            <w:sdtContent>
              <w:p w14:paraId="05067A7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074700241"/>
              <w14:checkbox>
                <w14:checked w14:val="1"/>
                <w14:checkedState w14:val="2612" w14:font="MS Gothic"/>
                <w14:uncheckedState w14:val="2610" w14:font="MS Gothic"/>
              </w14:checkbox>
            </w:sdtPr>
            <w:sdtContent>
              <w:p w14:paraId="6494433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632BB9C" w14:textId="77777777" w:rsidTr="00FE4F18">
        <w:trPr>
          <w:trHeight w:val="403"/>
        </w:trPr>
        <w:tc>
          <w:tcPr>
            <w:tcW w:w="562" w:type="dxa"/>
            <w:shd w:val="clear" w:color="auto" w:fill="F2F2F2" w:themeFill="background1" w:themeFillShade="F2"/>
            <w:vAlign w:val="center"/>
          </w:tcPr>
          <w:p w14:paraId="6A0E8710" w14:textId="77777777" w:rsidR="0083387C" w:rsidRPr="001A076D" w:rsidRDefault="0083387C" w:rsidP="00FE4F18">
            <w:pPr>
              <w:autoSpaceDE w:val="0"/>
              <w:autoSpaceDN w:val="0"/>
              <w:adjustRightInd w:val="0"/>
              <w:rPr>
                <w:sz w:val="22"/>
                <w:szCs w:val="22"/>
              </w:rPr>
            </w:pPr>
            <w:r w:rsidRPr="001A076D">
              <w:rPr>
                <w:sz w:val="22"/>
                <w:szCs w:val="22"/>
              </w:rPr>
              <w:t>14</w:t>
            </w:r>
          </w:p>
        </w:tc>
        <w:tc>
          <w:tcPr>
            <w:tcW w:w="8227" w:type="dxa"/>
            <w:shd w:val="clear" w:color="auto" w:fill="F2F2F2" w:themeFill="background1" w:themeFillShade="F2"/>
            <w:vAlign w:val="center"/>
          </w:tcPr>
          <w:p w14:paraId="4A606F24" w14:textId="77777777" w:rsidR="0083387C" w:rsidRPr="001A076D" w:rsidRDefault="0083387C" w:rsidP="00FE4F18">
            <w:pPr>
              <w:autoSpaceDE w:val="0"/>
              <w:autoSpaceDN w:val="0"/>
              <w:adjustRightInd w:val="0"/>
              <w:rPr>
                <w:sz w:val="22"/>
                <w:szCs w:val="22"/>
              </w:rPr>
            </w:pPr>
            <w:r w:rsidRPr="001A076D">
              <w:rPr>
                <w:sz w:val="22"/>
                <w:szCs w:val="22"/>
              </w:rPr>
              <w:t>Administration of any substance, agent or placebo?</w:t>
            </w:r>
          </w:p>
        </w:tc>
        <w:tc>
          <w:tcPr>
            <w:tcW w:w="846" w:type="dxa"/>
            <w:shd w:val="clear" w:color="auto" w:fill="BFBFBF" w:themeFill="background1" w:themeFillShade="BF"/>
            <w:vAlign w:val="center"/>
          </w:tcPr>
          <w:sdt>
            <w:sdtPr>
              <w:rPr>
                <w:sz w:val="22"/>
                <w:szCs w:val="22"/>
              </w:rPr>
              <w:id w:val="-1924798936"/>
              <w14:checkbox>
                <w14:checked w14:val="0"/>
                <w14:checkedState w14:val="2612" w14:font="MS Gothic"/>
                <w14:uncheckedState w14:val="2610" w14:font="MS Gothic"/>
              </w14:checkbox>
            </w:sdtPr>
            <w:sdtContent>
              <w:p w14:paraId="70949B5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624625241"/>
              <w14:checkbox>
                <w14:checked w14:val="1"/>
                <w14:checkedState w14:val="2612" w14:font="MS Gothic"/>
                <w14:uncheckedState w14:val="2610" w14:font="MS Gothic"/>
              </w14:checkbox>
            </w:sdtPr>
            <w:sdtContent>
              <w:p w14:paraId="1018E5C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CD13F4A" w14:textId="77777777" w:rsidTr="00FE4F18">
        <w:trPr>
          <w:trHeight w:val="403"/>
        </w:trPr>
        <w:tc>
          <w:tcPr>
            <w:tcW w:w="562" w:type="dxa"/>
            <w:shd w:val="clear" w:color="auto" w:fill="F2F2F2" w:themeFill="background1" w:themeFillShade="F2"/>
            <w:vAlign w:val="center"/>
          </w:tcPr>
          <w:p w14:paraId="035426BE" w14:textId="77777777" w:rsidR="0083387C" w:rsidRPr="001A076D" w:rsidRDefault="0083387C" w:rsidP="00FE4F18">
            <w:pPr>
              <w:autoSpaceDE w:val="0"/>
              <w:autoSpaceDN w:val="0"/>
              <w:adjustRightInd w:val="0"/>
              <w:rPr>
                <w:sz w:val="22"/>
                <w:szCs w:val="22"/>
              </w:rPr>
            </w:pPr>
            <w:r w:rsidRPr="001A076D">
              <w:rPr>
                <w:sz w:val="22"/>
                <w:szCs w:val="22"/>
              </w:rPr>
              <w:t>15</w:t>
            </w:r>
          </w:p>
        </w:tc>
        <w:tc>
          <w:tcPr>
            <w:tcW w:w="8227" w:type="dxa"/>
            <w:shd w:val="clear" w:color="auto" w:fill="F2F2F2" w:themeFill="background1" w:themeFillShade="F2"/>
            <w:vAlign w:val="center"/>
          </w:tcPr>
          <w:p w14:paraId="4E5EFD0C" w14:textId="77777777" w:rsidR="0083387C" w:rsidRPr="001A076D" w:rsidRDefault="0083387C" w:rsidP="00FE4F18">
            <w:pPr>
              <w:autoSpaceDE w:val="0"/>
              <w:autoSpaceDN w:val="0"/>
              <w:adjustRightInd w:val="0"/>
              <w:rPr>
                <w:sz w:val="22"/>
                <w:szCs w:val="22"/>
              </w:rPr>
            </w:pPr>
            <w:r w:rsidRPr="001A076D">
              <w:rPr>
                <w:sz w:val="22"/>
                <w:szCs w:val="22"/>
              </w:rPr>
              <w:t>Working with live vertebrate animals?</w:t>
            </w:r>
          </w:p>
        </w:tc>
        <w:tc>
          <w:tcPr>
            <w:tcW w:w="846" w:type="dxa"/>
            <w:shd w:val="clear" w:color="auto" w:fill="BFBFBF" w:themeFill="background1" w:themeFillShade="BF"/>
            <w:vAlign w:val="center"/>
          </w:tcPr>
          <w:sdt>
            <w:sdtPr>
              <w:rPr>
                <w:sz w:val="22"/>
                <w:szCs w:val="22"/>
              </w:rPr>
              <w:id w:val="300428637"/>
              <w14:checkbox>
                <w14:checked w14:val="0"/>
                <w14:checkedState w14:val="2612" w14:font="MS Gothic"/>
                <w14:uncheckedState w14:val="2610" w14:font="MS Gothic"/>
              </w14:checkbox>
            </w:sdtPr>
            <w:sdtContent>
              <w:p w14:paraId="2D1E8DC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236861983"/>
              <w14:checkbox>
                <w14:checked w14:val="1"/>
                <w14:checkedState w14:val="2612" w14:font="MS Gothic"/>
                <w14:uncheckedState w14:val="2610" w14:font="MS Gothic"/>
              </w14:checkbox>
            </w:sdtPr>
            <w:sdtContent>
              <w:p w14:paraId="0831E2A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B4D8538" w14:textId="77777777" w:rsidTr="00FE4F18">
        <w:trPr>
          <w:trHeight w:val="403"/>
        </w:trPr>
        <w:tc>
          <w:tcPr>
            <w:tcW w:w="562" w:type="dxa"/>
            <w:shd w:val="clear" w:color="auto" w:fill="F2F2F2" w:themeFill="background1" w:themeFillShade="F2"/>
            <w:vAlign w:val="center"/>
          </w:tcPr>
          <w:p w14:paraId="0275E82E" w14:textId="77777777" w:rsidR="0083387C" w:rsidRPr="001A076D" w:rsidRDefault="0083387C" w:rsidP="00FE4F18">
            <w:pPr>
              <w:autoSpaceDE w:val="0"/>
              <w:autoSpaceDN w:val="0"/>
              <w:adjustRightInd w:val="0"/>
              <w:rPr>
                <w:sz w:val="22"/>
                <w:szCs w:val="22"/>
              </w:rPr>
            </w:pPr>
            <w:r w:rsidRPr="001A076D">
              <w:rPr>
                <w:sz w:val="22"/>
                <w:szCs w:val="22"/>
              </w:rPr>
              <w:t>16</w:t>
            </w:r>
          </w:p>
        </w:tc>
        <w:tc>
          <w:tcPr>
            <w:tcW w:w="8227" w:type="dxa"/>
            <w:shd w:val="clear" w:color="auto" w:fill="F2F2F2" w:themeFill="background1" w:themeFillShade="F2"/>
            <w:vAlign w:val="center"/>
          </w:tcPr>
          <w:p w14:paraId="0058EE94" w14:textId="77777777" w:rsidR="0083387C" w:rsidRPr="001A076D" w:rsidRDefault="0083387C" w:rsidP="00FE4F18">
            <w:pPr>
              <w:autoSpaceDE w:val="0"/>
              <w:autoSpaceDN w:val="0"/>
              <w:adjustRightInd w:val="0"/>
              <w:rPr>
                <w:sz w:val="22"/>
                <w:szCs w:val="22"/>
              </w:rPr>
            </w:pPr>
            <w:r w:rsidRPr="001A076D">
              <w:rPr>
                <w:sz w:val="22"/>
                <w:szCs w:val="22"/>
              </w:rPr>
              <w:t>Procedures that may have a negative impact on the environment?</w:t>
            </w:r>
          </w:p>
        </w:tc>
        <w:tc>
          <w:tcPr>
            <w:tcW w:w="846" w:type="dxa"/>
            <w:shd w:val="clear" w:color="auto" w:fill="BFBFBF" w:themeFill="background1" w:themeFillShade="BF"/>
            <w:vAlign w:val="center"/>
          </w:tcPr>
          <w:sdt>
            <w:sdtPr>
              <w:rPr>
                <w:sz w:val="22"/>
                <w:szCs w:val="22"/>
              </w:rPr>
              <w:id w:val="1647247395"/>
              <w14:checkbox>
                <w14:checked w14:val="0"/>
                <w14:checkedState w14:val="2612" w14:font="MS Gothic"/>
                <w14:uncheckedState w14:val="2610" w14:font="MS Gothic"/>
              </w14:checkbox>
            </w:sdtPr>
            <w:sdtContent>
              <w:p w14:paraId="6EC54A4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sz w:val="22"/>
                <w:szCs w:val="22"/>
              </w:rPr>
              <w:id w:val="-1995170133"/>
              <w14:checkbox>
                <w14:checked w14:val="1"/>
                <w14:checkedState w14:val="2612" w14:font="MS Gothic"/>
                <w14:uncheckedState w14:val="2610" w14:font="MS Gothic"/>
              </w14:checkbox>
            </w:sdtPr>
            <w:sdtContent>
              <w:p w14:paraId="21BF849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ECF3137" w14:textId="77777777" w:rsidTr="00FE4F18">
        <w:trPr>
          <w:trHeight w:val="403"/>
        </w:trPr>
        <w:tc>
          <w:tcPr>
            <w:tcW w:w="562" w:type="dxa"/>
            <w:shd w:val="clear" w:color="auto" w:fill="F2F2F2" w:themeFill="background1" w:themeFillShade="F2"/>
            <w:vAlign w:val="center"/>
          </w:tcPr>
          <w:p w14:paraId="77FC8750" w14:textId="77777777" w:rsidR="0083387C" w:rsidRPr="001A076D" w:rsidRDefault="0083387C" w:rsidP="00FE4F18">
            <w:pPr>
              <w:autoSpaceDE w:val="0"/>
              <w:autoSpaceDN w:val="0"/>
              <w:adjustRightInd w:val="0"/>
              <w:rPr>
                <w:sz w:val="22"/>
                <w:szCs w:val="22"/>
              </w:rPr>
            </w:pPr>
            <w:r w:rsidRPr="001A076D">
              <w:rPr>
                <w:sz w:val="22"/>
                <w:szCs w:val="22"/>
              </w:rPr>
              <w:t>17</w:t>
            </w:r>
          </w:p>
        </w:tc>
        <w:tc>
          <w:tcPr>
            <w:tcW w:w="8227" w:type="dxa"/>
            <w:shd w:val="clear" w:color="auto" w:fill="F2F2F2" w:themeFill="background1" w:themeFillShade="F2"/>
            <w:vAlign w:val="center"/>
          </w:tcPr>
          <w:p w14:paraId="2DDFFD54" w14:textId="77777777" w:rsidR="0083387C" w:rsidRPr="001A076D" w:rsidRDefault="0083387C" w:rsidP="00FE4F18">
            <w:pPr>
              <w:autoSpaceDE w:val="0"/>
              <w:autoSpaceDN w:val="0"/>
              <w:adjustRightInd w:val="0"/>
              <w:rPr>
                <w:sz w:val="22"/>
                <w:szCs w:val="22"/>
              </w:rPr>
            </w:pPr>
            <w:r w:rsidRPr="001A076D">
              <w:rPr>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sz w:val="22"/>
                <w:szCs w:val="22"/>
              </w:rPr>
              <w:id w:val="2049023668"/>
              <w14:checkbox>
                <w14:checked w14:val="0"/>
                <w14:checkedState w14:val="2612" w14:font="MS Gothic"/>
                <w14:uncheckedState w14:val="2610" w14:font="MS Gothic"/>
              </w14:checkbox>
            </w:sdtPr>
            <w:sdtContent>
              <w:p w14:paraId="05063D5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sz w:val="22"/>
                <w:szCs w:val="22"/>
              </w:rPr>
              <w:id w:val="1900947946"/>
              <w14:checkbox>
                <w14:checked w14:val="0"/>
                <w14:checkedState w14:val="2612" w14:font="MS Gothic"/>
                <w14:uncheckedState w14:val="2610" w14:font="MS Gothic"/>
              </w14:checkbox>
            </w:sdtPr>
            <w:sdtContent>
              <w:p w14:paraId="5B6BBA1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78084E8" w14:textId="77777777" w:rsidTr="00FE4F18">
        <w:trPr>
          <w:trHeight w:val="403"/>
        </w:trPr>
        <w:tc>
          <w:tcPr>
            <w:tcW w:w="562" w:type="dxa"/>
            <w:vAlign w:val="center"/>
          </w:tcPr>
          <w:p w14:paraId="7D9FE68A" w14:textId="77777777" w:rsidR="0083387C" w:rsidRPr="001A076D" w:rsidRDefault="0083387C" w:rsidP="00FE4F18">
            <w:pPr>
              <w:autoSpaceDE w:val="0"/>
              <w:autoSpaceDN w:val="0"/>
              <w:adjustRightInd w:val="0"/>
              <w:rPr>
                <w:sz w:val="22"/>
                <w:szCs w:val="22"/>
              </w:rPr>
            </w:pPr>
          </w:p>
        </w:tc>
        <w:tc>
          <w:tcPr>
            <w:tcW w:w="8227" w:type="dxa"/>
            <w:vAlign w:val="center"/>
          </w:tcPr>
          <w:p w14:paraId="7A5C3AFC" w14:textId="77777777" w:rsidR="0083387C" w:rsidRPr="001A076D" w:rsidRDefault="0083387C" w:rsidP="00FE4F18">
            <w:pPr>
              <w:autoSpaceDE w:val="0"/>
              <w:autoSpaceDN w:val="0"/>
              <w:adjustRightInd w:val="0"/>
              <w:rPr>
                <w:sz w:val="22"/>
                <w:szCs w:val="22"/>
              </w:rPr>
            </w:pPr>
            <w:r w:rsidRPr="001A076D">
              <w:rPr>
                <w:sz w:val="22"/>
                <w:szCs w:val="22"/>
              </w:rPr>
              <w:t>Details of any other primary data collection method:</w:t>
            </w:r>
          </w:p>
          <w:p w14:paraId="3F4FC351" w14:textId="77777777" w:rsidR="0083387C" w:rsidRPr="001A076D" w:rsidRDefault="0083387C" w:rsidP="00FE4F18"/>
          <w:p w14:paraId="7204D84F" w14:textId="77777777" w:rsidR="0083387C" w:rsidRPr="001A076D" w:rsidRDefault="0083387C" w:rsidP="00FE4F18">
            <w:r w:rsidRPr="001A076D">
              <w:t>Not applicable.</w:t>
            </w:r>
          </w:p>
          <w:p w14:paraId="3EEB3F64" w14:textId="77777777" w:rsidR="0083387C" w:rsidRPr="001A076D" w:rsidRDefault="0083387C" w:rsidP="00FE4F18"/>
          <w:p w14:paraId="61EBC05C" w14:textId="77777777" w:rsidR="0083387C" w:rsidRPr="001A076D" w:rsidRDefault="0083387C" w:rsidP="00FE4F18">
            <w:pPr>
              <w:autoSpaceDE w:val="0"/>
              <w:autoSpaceDN w:val="0"/>
              <w:adjustRightInd w:val="0"/>
              <w:rPr>
                <w:sz w:val="22"/>
                <w:szCs w:val="22"/>
              </w:rPr>
            </w:pPr>
            <w:r w:rsidRPr="001A076D">
              <w:rPr>
                <w:sz w:val="18"/>
                <w:szCs w:val="18"/>
              </w:rPr>
              <w:t>(this box should expand as you type)</w:t>
            </w:r>
          </w:p>
        </w:tc>
        <w:tc>
          <w:tcPr>
            <w:tcW w:w="846" w:type="dxa"/>
            <w:vMerge/>
            <w:shd w:val="clear" w:color="auto" w:fill="BFBFBF" w:themeFill="background1" w:themeFillShade="BF"/>
            <w:vAlign w:val="center"/>
          </w:tcPr>
          <w:p w14:paraId="2C3F6BE1" w14:textId="77777777" w:rsidR="0083387C" w:rsidRPr="001A076D" w:rsidRDefault="0083387C" w:rsidP="00FE4F18">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181A6424" w14:textId="77777777" w:rsidR="0083387C" w:rsidRPr="001A076D" w:rsidRDefault="0083387C" w:rsidP="00FE4F18">
            <w:pPr>
              <w:autoSpaceDE w:val="0"/>
              <w:autoSpaceDN w:val="0"/>
              <w:adjustRightInd w:val="0"/>
              <w:jc w:val="center"/>
              <w:rPr>
                <w:b/>
                <w:bCs/>
                <w:sz w:val="22"/>
                <w:szCs w:val="22"/>
              </w:rPr>
            </w:pPr>
          </w:p>
        </w:tc>
      </w:tr>
    </w:tbl>
    <w:p w14:paraId="28778B3B" w14:textId="77777777" w:rsidR="0083387C" w:rsidRPr="001A076D" w:rsidRDefault="0083387C" w:rsidP="0083387C">
      <w:pPr>
        <w:jc w:val="both"/>
        <w:rPr>
          <w:bCs/>
          <w:iCs/>
          <w:sz w:val="22"/>
          <w:szCs w:val="22"/>
        </w:rPr>
      </w:pPr>
      <w:r w:rsidRPr="001A076D">
        <w:rPr>
          <w:bCs/>
          <w:iCs/>
          <w:sz w:val="22"/>
          <w:szCs w:val="22"/>
        </w:rPr>
        <w:t xml:space="preserve">If NO to every question, then the research activity is (ethically) low risk and </w:t>
      </w:r>
      <w:r w:rsidRPr="001A076D">
        <w:rPr>
          <w:b/>
          <w:bCs/>
          <w:iCs/>
          <w:sz w:val="22"/>
          <w:szCs w:val="22"/>
        </w:rPr>
        <w:t>may</w:t>
      </w:r>
      <w:r w:rsidRPr="001A076D">
        <w:rPr>
          <w:bCs/>
          <w:iCs/>
          <w:sz w:val="22"/>
          <w:szCs w:val="22"/>
        </w:rPr>
        <w:t xml:space="preserve"> be exempt from </w:t>
      </w:r>
      <w:r w:rsidRPr="001A076D">
        <w:rPr>
          <w:b/>
          <w:bCs/>
          <w:iCs/>
          <w:sz w:val="22"/>
          <w:szCs w:val="22"/>
        </w:rPr>
        <w:t>some</w:t>
      </w:r>
      <w:r w:rsidRPr="001A076D">
        <w:rPr>
          <w:bCs/>
          <w:iCs/>
          <w:sz w:val="22"/>
          <w:szCs w:val="22"/>
        </w:rPr>
        <w:t xml:space="preserve"> of the following sections (please refer to Guidance Notes).</w:t>
      </w:r>
    </w:p>
    <w:p w14:paraId="0D250CD6" w14:textId="77777777" w:rsidR="0083387C" w:rsidRPr="001A076D" w:rsidRDefault="0083387C" w:rsidP="0083387C">
      <w:pPr>
        <w:rPr>
          <w:bCs/>
          <w:iCs/>
          <w:sz w:val="22"/>
          <w:szCs w:val="22"/>
        </w:rPr>
      </w:pPr>
    </w:p>
    <w:p w14:paraId="616A1C45" w14:textId="77777777" w:rsidR="0083387C" w:rsidRPr="001A076D" w:rsidRDefault="0083387C" w:rsidP="0083387C">
      <w:pPr>
        <w:rPr>
          <w:bCs/>
          <w:iCs/>
          <w:sz w:val="22"/>
          <w:szCs w:val="22"/>
        </w:rPr>
      </w:pPr>
      <w:r w:rsidRPr="001A076D">
        <w:rPr>
          <w:bCs/>
          <w:iCs/>
          <w:sz w:val="22"/>
          <w:szCs w:val="22"/>
        </w:rPr>
        <w:t xml:space="preserve">If YES to any question, then no research activity should be undertaken until full ethical approval has been obtained. </w:t>
      </w:r>
    </w:p>
    <w:p w14:paraId="3ECB7B8D" w14:textId="77777777" w:rsidR="0083387C" w:rsidRPr="001A076D" w:rsidRDefault="0083387C" w:rsidP="0083387C">
      <w:pPr>
        <w:rPr>
          <w:bCs/>
          <w:iCs/>
          <w:sz w:val="22"/>
          <w:szCs w:val="22"/>
        </w:rPr>
      </w:pPr>
    </w:p>
    <w:p w14:paraId="1F4FAD10"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lastRenderedPageBreak/>
        <w:t>SECTION G: Intended Participants</w:t>
      </w:r>
    </w:p>
    <w:p w14:paraId="4EAEF450" w14:textId="77777777" w:rsidR="0083387C" w:rsidRPr="001A076D" w:rsidRDefault="0083387C" w:rsidP="0083387C">
      <w:pPr>
        <w:rPr>
          <w:bCs/>
        </w:rPr>
      </w:pPr>
      <w:r w:rsidRPr="001A076D">
        <w:rPr>
          <w:bCs/>
        </w:rPr>
        <w:t>If there are no participants then do not complete this section, but go directly to section H.</w:t>
      </w:r>
    </w:p>
    <w:p w14:paraId="28DF6F11" w14:textId="77777777" w:rsidR="0083387C" w:rsidRPr="001A076D" w:rsidRDefault="0083387C" w:rsidP="0083387C">
      <w:pPr>
        <w:rPr>
          <w:bCs/>
        </w:rPr>
      </w:pPr>
    </w:p>
    <w:tbl>
      <w:tblPr>
        <w:tblStyle w:val="TableGrid"/>
        <w:tblW w:w="10451" w:type="dxa"/>
        <w:tblLook w:val="04A0" w:firstRow="1" w:lastRow="0" w:firstColumn="1" w:lastColumn="0" w:noHBand="0" w:noVBand="1"/>
      </w:tblPr>
      <w:tblGrid>
        <w:gridCol w:w="562"/>
        <w:gridCol w:w="8217"/>
        <w:gridCol w:w="850"/>
        <w:gridCol w:w="822"/>
      </w:tblGrid>
      <w:tr w:rsidR="00057F93" w:rsidRPr="001A076D" w14:paraId="4A05D181" w14:textId="77777777" w:rsidTr="00FE4F18">
        <w:tc>
          <w:tcPr>
            <w:tcW w:w="562" w:type="dxa"/>
            <w:shd w:val="clear" w:color="auto" w:fill="F2F2F2" w:themeFill="background1" w:themeFillShade="F2"/>
            <w:vAlign w:val="center"/>
          </w:tcPr>
          <w:p w14:paraId="1EB49607" w14:textId="77777777" w:rsidR="0083387C" w:rsidRPr="001A076D" w:rsidRDefault="0083387C" w:rsidP="00FE4F18">
            <w:pPr>
              <w:autoSpaceDE w:val="0"/>
              <w:autoSpaceDN w:val="0"/>
              <w:adjustRightInd w:val="0"/>
              <w:jc w:val="center"/>
              <w:rPr>
                <w:b/>
                <w:sz w:val="22"/>
                <w:szCs w:val="22"/>
              </w:rPr>
            </w:pPr>
          </w:p>
        </w:tc>
        <w:tc>
          <w:tcPr>
            <w:tcW w:w="8217" w:type="dxa"/>
            <w:shd w:val="clear" w:color="auto" w:fill="F2F2F2" w:themeFill="background1" w:themeFillShade="F2"/>
          </w:tcPr>
          <w:p w14:paraId="10EC3C86" w14:textId="77777777" w:rsidR="0083387C" w:rsidRPr="001A076D" w:rsidRDefault="0083387C" w:rsidP="00FE4F18">
            <w:pPr>
              <w:autoSpaceDE w:val="0"/>
              <w:autoSpaceDN w:val="0"/>
              <w:adjustRightInd w:val="0"/>
              <w:jc w:val="both"/>
              <w:rPr>
                <w:b/>
                <w:sz w:val="22"/>
                <w:szCs w:val="22"/>
              </w:rPr>
            </w:pPr>
            <w:r w:rsidRPr="001A076D">
              <w:rPr>
                <w:b/>
                <w:sz w:val="22"/>
                <w:szCs w:val="22"/>
              </w:rPr>
              <w:t>Who are the intended participants:</w:t>
            </w:r>
          </w:p>
        </w:tc>
        <w:tc>
          <w:tcPr>
            <w:tcW w:w="850" w:type="dxa"/>
            <w:shd w:val="clear" w:color="auto" w:fill="F2F2F2" w:themeFill="background1" w:themeFillShade="F2"/>
          </w:tcPr>
          <w:p w14:paraId="51DA9A13" w14:textId="77777777" w:rsidR="0083387C" w:rsidRPr="001A076D" w:rsidRDefault="0083387C" w:rsidP="00FE4F18">
            <w:pPr>
              <w:autoSpaceDE w:val="0"/>
              <w:autoSpaceDN w:val="0"/>
              <w:adjustRightInd w:val="0"/>
              <w:jc w:val="center"/>
              <w:rPr>
                <w:b/>
                <w:bCs/>
                <w:sz w:val="22"/>
                <w:szCs w:val="22"/>
              </w:rPr>
            </w:pPr>
          </w:p>
          <w:p w14:paraId="4A55A9FC"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22" w:type="dxa"/>
            <w:shd w:val="clear" w:color="auto" w:fill="F2F2F2" w:themeFill="background1" w:themeFillShade="F2"/>
          </w:tcPr>
          <w:p w14:paraId="536715A4" w14:textId="77777777" w:rsidR="0083387C" w:rsidRPr="001A076D" w:rsidRDefault="0083387C" w:rsidP="00FE4F18">
            <w:pPr>
              <w:autoSpaceDE w:val="0"/>
              <w:autoSpaceDN w:val="0"/>
              <w:adjustRightInd w:val="0"/>
              <w:jc w:val="center"/>
              <w:rPr>
                <w:b/>
                <w:bCs/>
                <w:sz w:val="22"/>
                <w:szCs w:val="22"/>
              </w:rPr>
            </w:pPr>
          </w:p>
          <w:p w14:paraId="34B62067"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625C85C3" w14:textId="77777777" w:rsidTr="00FE4F18">
        <w:trPr>
          <w:trHeight w:val="439"/>
        </w:trPr>
        <w:tc>
          <w:tcPr>
            <w:tcW w:w="562" w:type="dxa"/>
            <w:shd w:val="clear" w:color="auto" w:fill="F2F2F2" w:themeFill="background1" w:themeFillShade="F2"/>
            <w:vAlign w:val="center"/>
          </w:tcPr>
          <w:p w14:paraId="5C4323A5" w14:textId="77777777" w:rsidR="0083387C" w:rsidRPr="001A076D" w:rsidRDefault="0083387C" w:rsidP="00FE4F18">
            <w:pPr>
              <w:autoSpaceDE w:val="0"/>
              <w:autoSpaceDN w:val="0"/>
              <w:adjustRightInd w:val="0"/>
              <w:jc w:val="center"/>
              <w:rPr>
                <w:sz w:val="22"/>
                <w:szCs w:val="22"/>
              </w:rPr>
            </w:pPr>
            <w:r w:rsidRPr="001A076D">
              <w:rPr>
                <w:sz w:val="22"/>
                <w:szCs w:val="22"/>
              </w:rPr>
              <w:t>1</w:t>
            </w:r>
          </w:p>
        </w:tc>
        <w:tc>
          <w:tcPr>
            <w:tcW w:w="8217" w:type="dxa"/>
            <w:shd w:val="clear" w:color="auto" w:fill="F2F2F2" w:themeFill="background1" w:themeFillShade="F2"/>
            <w:vAlign w:val="center"/>
          </w:tcPr>
          <w:p w14:paraId="16BB4C5B" w14:textId="77777777" w:rsidR="0083387C" w:rsidRPr="001A076D" w:rsidRDefault="0083387C" w:rsidP="00FE4F18">
            <w:pPr>
              <w:autoSpaceDE w:val="0"/>
              <w:autoSpaceDN w:val="0"/>
              <w:adjustRightInd w:val="0"/>
              <w:rPr>
                <w:sz w:val="22"/>
                <w:szCs w:val="22"/>
              </w:rPr>
            </w:pPr>
            <w:r w:rsidRPr="001A076D">
              <w:rPr>
                <w:sz w:val="22"/>
                <w:szCs w:val="22"/>
              </w:rPr>
              <w:t>Students or staff at the University?</w:t>
            </w:r>
          </w:p>
        </w:tc>
        <w:tc>
          <w:tcPr>
            <w:tcW w:w="850" w:type="dxa"/>
            <w:shd w:val="clear" w:color="auto" w:fill="BFBFBF" w:themeFill="background1" w:themeFillShade="BF"/>
            <w:vAlign w:val="center"/>
          </w:tcPr>
          <w:sdt>
            <w:sdtPr>
              <w:rPr>
                <w:sz w:val="22"/>
                <w:szCs w:val="22"/>
              </w:rPr>
              <w:id w:val="-227763996"/>
              <w14:checkbox>
                <w14:checked w14:val="0"/>
                <w14:checkedState w14:val="2612" w14:font="MS Gothic"/>
                <w14:uncheckedState w14:val="2610" w14:font="MS Gothic"/>
              </w14:checkbox>
            </w:sdtPr>
            <w:sdtContent>
              <w:p w14:paraId="2A6D099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947306252"/>
              <w14:checkbox>
                <w14:checked w14:val="1"/>
                <w14:checkedState w14:val="2612" w14:font="MS Gothic"/>
                <w14:uncheckedState w14:val="2610" w14:font="MS Gothic"/>
              </w14:checkbox>
            </w:sdtPr>
            <w:sdtContent>
              <w:p w14:paraId="34169B9C"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81465F5" w14:textId="77777777" w:rsidTr="00FE4F18">
        <w:trPr>
          <w:trHeight w:val="403"/>
        </w:trPr>
        <w:tc>
          <w:tcPr>
            <w:tcW w:w="562" w:type="dxa"/>
            <w:shd w:val="clear" w:color="auto" w:fill="F2F2F2" w:themeFill="background1" w:themeFillShade="F2"/>
            <w:vAlign w:val="center"/>
          </w:tcPr>
          <w:p w14:paraId="12847EBB" w14:textId="77777777" w:rsidR="0083387C" w:rsidRPr="001A076D" w:rsidRDefault="0083387C" w:rsidP="00FE4F18">
            <w:pPr>
              <w:autoSpaceDE w:val="0"/>
              <w:autoSpaceDN w:val="0"/>
              <w:adjustRightInd w:val="0"/>
              <w:jc w:val="center"/>
              <w:rPr>
                <w:sz w:val="22"/>
                <w:szCs w:val="22"/>
              </w:rPr>
            </w:pPr>
            <w:r w:rsidRPr="001A076D">
              <w:rPr>
                <w:sz w:val="22"/>
                <w:szCs w:val="22"/>
              </w:rPr>
              <w:t>2</w:t>
            </w:r>
          </w:p>
        </w:tc>
        <w:tc>
          <w:tcPr>
            <w:tcW w:w="8217" w:type="dxa"/>
            <w:shd w:val="clear" w:color="auto" w:fill="F2F2F2" w:themeFill="background1" w:themeFillShade="F2"/>
            <w:vAlign w:val="center"/>
          </w:tcPr>
          <w:p w14:paraId="7FFE8D31" w14:textId="77777777" w:rsidR="0083387C" w:rsidRPr="001A076D" w:rsidRDefault="0083387C" w:rsidP="00FE4F18">
            <w:pPr>
              <w:autoSpaceDE w:val="0"/>
              <w:autoSpaceDN w:val="0"/>
              <w:adjustRightInd w:val="0"/>
              <w:rPr>
                <w:sz w:val="22"/>
                <w:szCs w:val="22"/>
              </w:rPr>
            </w:pPr>
            <w:r w:rsidRPr="001A076D">
              <w:rPr>
                <w:sz w:val="22"/>
                <w:szCs w:val="22"/>
              </w:rPr>
              <w:t>Adults (over the age of 18 and competent to give consent)?</w:t>
            </w:r>
          </w:p>
        </w:tc>
        <w:tc>
          <w:tcPr>
            <w:tcW w:w="850" w:type="dxa"/>
            <w:shd w:val="clear" w:color="auto" w:fill="BFBFBF" w:themeFill="background1" w:themeFillShade="BF"/>
            <w:vAlign w:val="center"/>
          </w:tcPr>
          <w:sdt>
            <w:sdtPr>
              <w:rPr>
                <w:sz w:val="22"/>
                <w:szCs w:val="22"/>
              </w:rPr>
              <w:id w:val="-1780247199"/>
              <w14:checkbox>
                <w14:checked w14:val="1"/>
                <w14:checkedState w14:val="2612" w14:font="MS Gothic"/>
                <w14:uncheckedState w14:val="2610" w14:font="MS Gothic"/>
              </w14:checkbox>
            </w:sdtPr>
            <w:sdtContent>
              <w:p w14:paraId="637B990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666435130"/>
              <w14:checkbox>
                <w14:checked w14:val="0"/>
                <w14:checkedState w14:val="2612" w14:font="MS Gothic"/>
                <w14:uncheckedState w14:val="2610" w14:font="MS Gothic"/>
              </w14:checkbox>
            </w:sdtPr>
            <w:sdtContent>
              <w:p w14:paraId="17AA373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12BF877" w14:textId="77777777" w:rsidTr="00FE4F18">
        <w:trPr>
          <w:trHeight w:val="439"/>
        </w:trPr>
        <w:tc>
          <w:tcPr>
            <w:tcW w:w="562" w:type="dxa"/>
            <w:shd w:val="clear" w:color="auto" w:fill="F2F2F2" w:themeFill="background1" w:themeFillShade="F2"/>
            <w:vAlign w:val="center"/>
          </w:tcPr>
          <w:p w14:paraId="41985E51" w14:textId="77777777" w:rsidR="0083387C" w:rsidRPr="001A076D" w:rsidRDefault="0083387C" w:rsidP="00FE4F18">
            <w:pPr>
              <w:autoSpaceDE w:val="0"/>
              <w:autoSpaceDN w:val="0"/>
              <w:adjustRightInd w:val="0"/>
              <w:jc w:val="center"/>
              <w:rPr>
                <w:sz w:val="22"/>
                <w:szCs w:val="22"/>
              </w:rPr>
            </w:pPr>
            <w:r w:rsidRPr="001A076D">
              <w:rPr>
                <w:sz w:val="22"/>
                <w:szCs w:val="22"/>
              </w:rPr>
              <w:t>3</w:t>
            </w:r>
          </w:p>
        </w:tc>
        <w:tc>
          <w:tcPr>
            <w:tcW w:w="8217" w:type="dxa"/>
            <w:shd w:val="clear" w:color="auto" w:fill="F2F2F2" w:themeFill="background1" w:themeFillShade="F2"/>
            <w:vAlign w:val="center"/>
          </w:tcPr>
          <w:p w14:paraId="0D671C13" w14:textId="77777777" w:rsidR="0083387C" w:rsidRPr="001A076D" w:rsidRDefault="0083387C" w:rsidP="00FE4F18">
            <w:pPr>
              <w:autoSpaceDE w:val="0"/>
              <w:autoSpaceDN w:val="0"/>
              <w:adjustRightInd w:val="0"/>
              <w:rPr>
                <w:sz w:val="22"/>
                <w:szCs w:val="22"/>
              </w:rPr>
            </w:pPr>
            <w:r w:rsidRPr="001A076D">
              <w:rPr>
                <w:sz w:val="22"/>
                <w:szCs w:val="22"/>
              </w:rPr>
              <w:t>Vulnerable adults?</w:t>
            </w:r>
          </w:p>
        </w:tc>
        <w:tc>
          <w:tcPr>
            <w:tcW w:w="850" w:type="dxa"/>
            <w:shd w:val="clear" w:color="auto" w:fill="BFBFBF" w:themeFill="background1" w:themeFillShade="BF"/>
            <w:vAlign w:val="center"/>
          </w:tcPr>
          <w:sdt>
            <w:sdtPr>
              <w:rPr>
                <w:sz w:val="22"/>
                <w:szCs w:val="22"/>
              </w:rPr>
              <w:id w:val="555978563"/>
              <w14:checkbox>
                <w14:checked w14:val="0"/>
                <w14:checkedState w14:val="2612" w14:font="MS Gothic"/>
                <w14:uncheckedState w14:val="2610" w14:font="MS Gothic"/>
              </w14:checkbox>
            </w:sdtPr>
            <w:sdtContent>
              <w:p w14:paraId="47ACC5C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435668532"/>
              <w14:checkbox>
                <w14:checked w14:val="1"/>
                <w14:checkedState w14:val="2612" w14:font="MS Gothic"/>
                <w14:uncheckedState w14:val="2610" w14:font="MS Gothic"/>
              </w14:checkbox>
            </w:sdtPr>
            <w:sdtContent>
              <w:p w14:paraId="4A2CBBC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D772599" w14:textId="77777777" w:rsidTr="00FE4F18">
        <w:trPr>
          <w:trHeight w:val="403"/>
        </w:trPr>
        <w:tc>
          <w:tcPr>
            <w:tcW w:w="562" w:type="dxa"/>
            <w:shd w:val="clear" w:color="auto" w:fill="F2F2F2" w:themeFill="background1" w:themeFillShade="F2"/>
            <w:vAlign w:val="center"/>
          </w:tcPr>
          <w:p w14:paraId="7EE7B1C9" w14:textId="77777777" w:rsidR="0083387C" w:rsidRPr="001A076D" w:rsidRDefault="0083387C" w:rsidP="00FE4F18">
            <w:pPr>
              <w:autoSpaceDE w:val="0"/>
              <w:autoSpaceDN w:val="0"/>
              <w:adjustRightInd w:val="0"/>
              <w:jc w:val="center"/>
              <w:rPr>
                <w:sz w:val="22"/>
                <w:szCs w:val="22"/>
              </w:rPr>
            </w:pPr>
            <w:r w:rsidRPr="001A076D">
              <w:rPr>
                <w:sz w:val="22"/>
                <w:szCs w:val="22"/>
              </w:rPr>
              <w:t>4</w:t>
            </w:r>
          </w:p>
        </w:tc>
        <w:tc>
          <w:tcPr>
            <w:tcW w:w="8217" w:type="dxa"/>
            <w:shd w:val="clear" w:color="auto" w:fill="F2F2F2" w:themeFill="background1" w:themeFillShade="F2"/>
            <w:vAlign w:val="center"/>
          </w:tcPr>
          <w:p w14:paraId="199C73F1" w14:textId="77777777" w:rsidR="0083387C" w:rsidRPr="001A076D" w:rsidRDefault="0083387C" w:rsidP="00FE4F18">
            <w:pPr>
              <w:autoSpaceDE w:val="0"/>
              <w:autoSpaceDN w:val="0"/>
              <w:adjustRightInd w:val="0"/>
              <w:rPr>
                <w:sz w:val="22"/>
                <w:szCs w:val="22"/>
              </w:rPr>
            </w:pPr>
            <w:r w:rsidRPr="001A076D">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sz w:val="22"/>
                <w:szCs w:val="22"/>
              </w:rPr>
              <w:id w:val="-375472827"/>
              <w14:checkbox>
                <w14:checked w14:val="0"/>
                <w14:checkedState w14:val="2612" w14:font="MS Gothic"/>
                <w14:uncheckedState w14:val="2610" w14:font="MS Gothic"/>
              </w14:checkbox>
            </w:sdtPr>
            <w:sdtContent>
              <w:p w14:paraId="2218AB0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887361462"/>
              <w14:checkbox>
                <w14:checked w14:val="1"/>
                <w14:checkedState w14:val="2612" w14:font="MS Gothic"/>
                <w14:uncheckedState w14:val="2610" w14:font="MS Gothic"/>
              </w14:checkbox>
            </w:sdtPr>
            <w:sdtContent>
              <w:p w14:paraId="2767355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8EC6186" w14:textId="77777777" w:rsidTr="00FE4F18">
        <w:trPr>
          <w:trHeight w:val="403"/>
        </w:trPr>
        <w:tc>
          <w:tcPr>
            <w:tcW w:w="562" w:type="dxa"/>
            <w:shd w:val="clear" w:color="auto" w:fill="F2F2F2" w:themeFill="background1" w:themeFillShade="F2"/>
            <w:vAlign w:val="center"/>
          </w:tcPr>
          <w:p w14:paraId="1EEA3F3E" w14:textId="77777777" w:rsidR="0083387C" w:rsidRPr="001A076D" w:rsidRDefault="0083387C" w:rsidP="00FE4F18">
            <w:pPr>
              <w:autoSpaceDE w:val="0"/>
              <w:autoSpaceDN w:val="0"/>
              <w:adjustRightInd w:val="0"/>
              <w:jc w:val="center"/>
              <w:rPr>
                <w:sz w:val="22"/>
                <w:szCs w:val="22"/>
              </w:rPr>
            </w:pPr>
            <w:r w:rsidRPr="001A076D">
              <w:rPr>
                <w:sz w:val="22"/>
                <w:szCs w:val="22"/>
              </w:rPr>
              <w:t>5</w:t>
            </w:r>
          </w:p>
        </w:tc>
        <w:tc>
          <w:tcPr>
            <w:tcW w:w="8217" w:type="dxa"/>
            <w:shd w:val="clear" w:color="auto" w:fill="F2F2F2" w:themeFill="background1" w:themeFillShade="F2"/>
            <w:vAlign w:val="center"/>
          </w:tcPr>
          <w:p w14:paraId="1B88ED24" w14:textId="77777777" w:rsidR="0083387C" w:rsidRPr="001A076D" w:rsidRDefault="0083387C" w:rsidP="00FE4F18">
            <w:pPr>
              <w:autoSpaceDE w:val="0"/>
              <w:autoSpaceDN w:val="0"/>
              <w:adjustRightInd w:val="0"/>
              <w:rPr>
                <w:sz w:val="22"/>
                <w:szCs w:val="22"/>
              </w:rPr>
            </w:pPr>
            <w:r w:rsidRPr="001A076D">
              <w:rPr>
                <w:sz w:val="22"/>
                <w:szCs w:val="22"/>
              </w:rPr>
              <w:t>Prisoners?</w:t>
            </w:r>
          </w:p>
        </w:tc>
        <w:tc>
          <w:tcPr>
            <w:tcW w:w="850" w:type="dxa"/>
            <w:shd w:val="clear" w:color="auto" w:fill="BFBFBF" w:themeFill="background1" w:themeFillShade="BF"/>
            <w:vAlign w:val="center"/>
          </w:tcPr>
          <w:sdt>
            <w:sdtPr>
              <w:rPr>
                <w:sz w:val="22"/>
                <w:szCs w:val="22"/>
              </w:rPr>
              <w:id w:val="1692793907"/>
              <w14:checkbox>
                <w14:checked w14:val="0"/>
                <w14:checkedState w14:val="2612" w14:font="MS Gothic"/>
                <w14:uncheckedState w14:val="2610" w14:font="MS Gothic"/>
              </w14:checkbox>
            </w:sdtPr>
            <w:sdtContent>
              <w:p w14:paraId="6EFE39B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326411418"/>
              <w14:checkbox>
                <w14:checked w14:val="1"/>
                <w14:checkedState w14:val="2612" w14:font="MS Gothic"/>
                <w14:uncheckedState w14:val="2610" w14:font="MS Gothic"/>
              </w14:checkbox>
            </w:sdtPr>
            <w:sdtContent>
              <w:p w14:paraId="29F9382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76E5D79" w14:textId="77777777" w:rsidTr="00FE4F18">
        <w:trPr>
          <w:trHeight w:val="439"/>
        </w:trPr>
        <w:tc>
          <w:tcPr>
            <w:tcW w:w="562" w:type="dxa"/>
            <w:shd w:val="clear" w:color="auto" w:fill="F2F2F2" w:themeFill="background1" w:themeFillShade="F2"/>
            <w:vAlign w:val="center"/>
          </w:tcPr>
          <w:p w14:paraId="7F662958" w14:textId="77777777" w:rsidR="0083387C" w:rsidRPr="001A076D" w:rsidRDefault="0083387C" w:rsidP="00FE4F18">
            <w:pPr>
              <w:autoSpaceDE w:val="0"/>
              <w:autoSpaceDN w:val="0"/>
              <w:adjustRightInd w:val="0"/>
              <w:jc w:val="center"/>
              <w:rPr>
                <w:sz w:val="22"/>
                <w:szCs w:val="22"/>
              </w:rPr>
            </w:pPr>
            <w:r w:rsidRPr="001A076D">
              <w:rPr>
                <w:sz w:val="22"/>
                <w:szCs w:val="22"/>
              </w:rPr>
              <w:t>6</w:t>
            </w:r>
          </w:p>
        </w:tc>
        <w:tc>
          <w:tcPr>
            <w:tcW w:w="8217" w:type="dxa"/>
            <w:shd w:val="clear" w:color="auto" w:fill="F2F2F2" w:themeFill="background1" w:themeFillShade="F2"/>
            <w:vAlign w:val="center"/>
          </w:tcPr>
          <w:p w14:paraId="0D4D02BE" w14:textId="77777777" w:rsidR="0083387C" w:rsidRPr="001A076D" w:rsidRDefault="0083387C" w:rsidP="00FE4F18">
            <w:pPr>
              <w:autoSpaceDE w:val="0"/>
              <w:autoSpaceDN w:val="0"/>
              <w:adjustRightInd w:val="0"/>
              <w:rPr>
                <w:sz w:val="22"/>
                <w:szCs w:val="22"/>
              </w:rPr>
            </w:pPr>
            <w:r w:rsidRPr="001A076D">
              <w:rPr>
                <w:sz w:val="22"/>
                <w:szCs w:val="22"/>
              </w:rPr>
              <w:t>Young offenders?</w:t>
            </w:r>
          </w:p>
        </w:tc>
        <w:tc>
          <w:tcPr>
            <w:tcW w:w="850" w:type="dxa"/>
            <w:shd w:val="clear" w:color="auto" w:fill="BFBFBF" w:themeFill="background1" w:themeFillShade="BF"/>
            <w:vAlign w:val="center"/>
          </w:tcPr>
          <w:sdt>
            <w:sdtPr>
              <w:rPr>
                <w:sz w:val="22"/>
                <w:szCs w:val="22"/>
              </w:rPr>
              <w:id w:val="1255410168"/>
              <w14:checkbox>
                <w14:checked w14:val="0"/>
                <w14:checkedState w14:val="2612" w14:font="MS Gothic"/>
                <w14:uncheckedState w14:val="2610" w14:font="MS Gothic"/>
              </w14:checkbox>
            </w:sdtPr>
            <w:sdtContent>
              <w:p w14:paraId="5E6EEA8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236000582"/>
              <w14:checkbox>
                <w14:checked w14:val="1"/>
                <w14:checkedState w14:val="2612" w14:font="MS Gothic"/>
                <w14:uncheckedState w14:val="2610" w14:font="MS Gothic"/>
              </w14:checkbox>
            </w:sdtPr>
            <w:sdtContent>
              <w:p w14:paraId="6028C73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98CD7D3" w14:textId="77777777" w:rsidTr="00FE4F18">
        <w:trPr>
          <w:trHeight w:val="403"/>
        </w:trPr>
        <w:tc>
          <w:tcPr>
            <w:tcW w:w="562" w:type="dxa"/>
            <w:shd w:val="clear" w:color="auto" w:fill="F2F2F2" w:themeFill="background1" w:themeFillShade="F2"/>
            <w:vAlign w:val="center"/>
          </w:tcPr>
          <w:p w14:paraId="0004A70E" w14:textId="77777777" w:rsidR="0083387C" w:rsidRPr="001A076D" w:rsidRDefault="0083387C" w:rsidP="00FE4F18">
            <w:pPr>
              <w:autoSpaceDE w:val="0"/>
              <w:autoSpaceDN w:val="0"/>
              <w:adjustRightInd w:val="0"/>
              <w:jc w:val="center"/>
              <w:rPr>
                <w:sz w:val="22"/>
                <w:szCs w:val="22"/>
              </w:rPr>
            </w:pPr>
            <w:r w:rsidRPr="001A076D">
              <w:rPr>
                <w:sz w:val="22"/>
                <w:szCs w:val="22"/>
              </w:rPr>
              <w:t>7</w:t>
            </w:r>
          </w:p>
        </w:tc>
        <w:tc>
          <w:tcPr>
            <w:tcW w:w="8217" w:type="dxa"/>
            <w:shd w:val="clear" w:color="auto" w:fill="F2F2F2" w:themeFill="background1" w:themeFillShade="F2"/>
            <w:vAlign w:val="center"/>
          </w:tcPr>
          <w:p w14:paraId="4D896B20" w14:textId="77777777" w:rsidR="0083387C" w:rsidRPr="001A076D" w:rsidRDefault="0083387C" w:rsidP="00FE4F18">
            <w:pPr>
              <w:autoSpaceDE w:val="0"/>
              <w:autoSpaceDN w:val="0"/>
              <w:adjustRightInd w:val="0"/>
              <w:rPr>
                <w:sz w:val="22"/>
                <w:szCs w:val="22"/>
              </w:rPr>
            </w:pPr>
            <w:r w:rsidRPr="001A076D">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 w:val="22"/>
                <w:szCs w:val="22"/>
              </w:rPr>
              <w:id w:val="-1016453075"/>
              <w14:checkbox>
                <w14:checked w14:val="0"/>
                <w14:checkedState w14:val="2612" w14:font="MS Gothic"/>
                <w14:uncheckedState w14:val="2610" w14:font="MS Gothic"/>
              </w14:checkbox>
            </w:sdtPr>
            <w:sdtContent>
              <w:p w14:paraId="2BDF767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673070048"/>
              <w14:checkbox>
                <w14:checked w14:val="1"/>
                <w14:checkedState w14:val="2612" w14:font="MS Gothic"/>
                <w14:uncheckedState w14:val="2610" w14:font="MS Gothic"/>
              </w14:checkbox>
            </w:sdtPr>
            <w:sdtContent>
              <w:p w14:paraId="36D020F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532501F" w14:textId="77777777" w:rsidTr="00FE4F18">
        <w:trPr>
          <w:trHeight w:val="403"/>
        </w:trPr>
        <w:tc>
          <w:tcPr>
            <w:tcW w:w="562" w:type="dxa"/>
            <w:shd w:val="clear" w:color="auto" w:fill="F2F2F2" w:themeFill="background1" w:themeFillShade="F2"/>
            <w:vAlign w:val="center"/>
          </w:tcPr>
          <w:p w14:paraId="5B40B9C7" w14:textId="77777777" w:rsidR="0083387C" w:rsidRPr="001A076D" w:rsidRDefault="0083387C" w:rsidP="00FE4F18">
            <w:pPr>
              <w:autoSpaceDE w:val="0"/>
              <w:autoSpaceDN w:val="0"/>
              <w:adjustRightInd w:val="0"/>
              <w:jc w:val="center"/>
              <w:rPr>
                <w:sz w:val="22"/>
                <w:szCs w:val="22"/>
              </w:rPr>
            </w:pPr>
            <w:r w:rsidRPr="001A076D">
              <w:rPr>
                <w:sz w:val="22"/>
                <w:szCs w:val="22"/>
              </w:rPr>
              <w:t>8</w:t>
            </w:r>
          </w:p>
        </w:tc>
        <w:tc>
          <w:tcPr>
            <w:tcW w:w="8217" w:type="dxa"/>
            <w:shd w:val="clear" w:color="auto" w:fill="F2F2F2" w:themeFill="background1" w:themeFillShade="F2"/>
            <w:vAlign w:val="center"/>
          </w:tcPr>
          <w:p w14:paraId="5D23F85C" w14:textId="77777777" w:rsidR="0083387C" w:rsidRPr="001A076D" w:rsidRDefault="0083387C" w:rsidP="00FE4F18">
            <w:pPr>
              <w:autoSpaceDE w:val="0"/>
              <w:autoSpaceDN w:val="0"/>
              <w:adjustRightInd w:val="0"/>
              <w:rPr>
                <w:sz w:val="22"/>
                <w:szCs w:val="22"/>
              </w:rPr>
            </w:pPr>
            <w:r w:rsidRPr="001A076D">
              <w:rPr>
                <w:sz w:val="22"/>
                <w:szCs w:val="22"/>
              </w:rPr>
              <w:t>People engaged in illegal activities?</w:t>
            </w:r>
          </w:p>
        </w:tc>
        <w:tc>
          <w:tcPr>
            <w:tcW w:w="850" w:type="dxa"/>
            <w:shd w:val="clear" w:color="auto" w:fill="BFBFBF" w:themeFill="background1" w:themeFillShade="BF"/>
            <w:vAlign w:val="center"/>
          </w:tcPr>
          <w:sdt>
            <w:sdtPr>
              <w:rPr>
                <w:sz w:val="22"/>
                <w:szCs w:val="22"/>
              </w:rPr>
              <w:id w:val="-1519850840"/>
              <w14:checkbox>
                <w14:checked w14:val="0"/>
                <w14:checkedState w14:val="2612" w14:font="MS Gothic"/>
                <w14:uncheckedState w14:val="2610" w14:font="MS Gothic"/>
              </w14:checkbox>
            </w:sdtPr>
            <w:sdtContent>
              <w:p w14:paraId="47FBBEE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sz w:val="22"/>
                <w:szCs w:val="22"/>
              </w:rPr>
              <w:id w:val="1072859745"/>
              <w14:checkbox>
                <w14:checked w14:val="1"/>
                <w14:checkedState w14:val="2612" w14:font="MS Gothic"/>
                <w14:uncheckedState w14:val="2610" w14:font="MS Gothic"/>
              </w14:checkbox>
            </w:sdtPr>
            <w:sdtContent>
              <w:p w14:paraId="1FD8A4A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A6F0DBA" w14:textId="77777777" w:rsidTr="00FE4F18">
        <w:trPr>
          <w:trHeight w:val="403"/>
        </w:trPr>
        <w:tc>
          <w:tcPr>
            <w:tcW w:w="562" w:type="dxa"/>
            <w:shd w:val="clear" w:color="auto" w:fill="F2F2F2" w:themeFill="background1" w:themeFillShade="F2"/>
            <w:vAlign w:val="center"/>
          </w:tcPr>
          <w:p w14:paraId="063895D9" w14:textId="77777777" w:rsidR="0083387C" w:rsidRPr="001A076D" w:rsidRDefault="0083387C" w:rsidP="00FE4F18">
            <w:pPr>
              <w:autoSpaceDE w:val="0"/>
              <w:autoSpaceDN w:val="0"/>
              <w:adjustRightInd w:val="0"/>
              <w:jc w:val="center"/>
              <w:rPr>
                <w:sz w:val="22"/>
                <w:szCs w:val="22"/>
              </w:rPr>
            </w:pPr>
            <w:r w:rsidRPr="001A076D">
              <w:rPr>
                <w:sz w:val="22"/>
                <w:szCs w:val="22"/>
              </w:rPr>
              <w:t>9</w:t>
            </w:r>
          </w:p>
        </w:tc>
        <w:tc>
          <w:tcPr>
            <w:tcW w:w="8217" w:type="dxa"/>
            <w:shd w:val="clear" w:color="auto" w:fill="F2F2F2" w:themeFill="background1" w:themeFillShade="F2"/>
            <w:vAlign w:val="center"/>
          </w:tcPr>
          <w:p w14:paraId="43D95E7A" w14:textId="77777777" w:rsidR="0083387C" w:rsidRPr="001A076D" w:rsidRDefault="0083387C" w:rsidP="00FE4F18">
            <w:pPr>
              <w:autoSpaceDE w:val="0"/>
              <w:autoSpaceDN w:val="0"/>
              <w:adjustRightInd w:val="0"/>
              <w:rPr>
                <w:sz w:val="22"/>
                <w:szCs w:val="22"/>
              </w:rPr>
            </w:pPr>
            <w:r w:rsidRPr="001A076D">
              <w:rPr>
                <w:sz w:val="22"/>
                <w:szCs w:val="22"/>
              </w:rPr>
              <w:t>Others. Please indicate the participants below, and specifically any group who may be unable to give consent.</w:t>
            </w:r>
          </w:p>
          <w:p w14:paraId="050A5474" w14:textId="77777777" w:rsidR="0083387C" w:rsidRPr="001A076D" w:rsidRDefault="0083387C" w:rsidP="00FE4F18">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sz w:val="22"/>
                <w:szCs w:val="22"/>
              </w:rPr>
              <w:id w:val="-1984918035"/>
              <w14:checkbox>
                <w14:checked w14:val="0"/>
                <w14:checkedState w14:val="2612" w14:font="MS Gothic"/>
                <w14:uncheckedState w14:val="2610" w14:font="MS Gothic"/>
              </w14:checkbox>
            </w:sdtPr>
            <w:sdtContent>
              <w:p w14:paraId="7856895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sz w:val="22"/>
                <w:szCs w:val="22"/>
              </w:rPr>
              <w:id w:val="-1870052561"/>
              <w14:checkbox>
                <w14:checked w14:val="0"/>
                <w14:checkedState w14:val="2612" w14:font="MS Gothic"/>
                <w14:uncheckedState w14:val="2610" w14:font="MS Gothic"/>
              </w14:checkbox>
            </w:sdtPr>
            <w:sdtContent>
              <w:p w14:paraId="2AE0502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4F2125" w:rsidRPr="001A076D" w14:paraId="17B37FD1" w14:textId="77777777" w:rsidTr="00FE4F18">
        <w:trPr>
          <w:trHeight w:val="403"/>
        </w:trPr>
        <w:tc>
          <w:tcPr>
            <w:tcW w:w="562" w:type="dxa"/>
            <w:vAlign w:val="center"/>
          </w:tcPr>
          <w:p w14:paraId="116E8F8F" w14:textId="77777777" w:rsidR="0083387C" w:rsidRPr="001A076D" w:rsidRDefault="0083387C" w:rsidP="00FE4F18">
            <w:pPr>
              <w:autoSpaceDE w:val="0"/>
              <w:autoSpaceDN w:val="0"/>
              <w:adjustRightInd w:val="0"/>
              <w:jc w:val="center"/>
              <w:rPr>
                <w:sz w:val="22"/>
                <w:szCs w:val="22"/>
              </w:rPr>
            </w:pPr>
          </w:p>
        </w:tc>
        <w:tc>
          <w:tcPr>
            <w:tcW w:w="8217" w:type="dxa"/>
            <w:vAlign w:val="center"/>
          </w:tcPr>
          <w:p w14:paraId="59862582" w14:textId="77777777" w:rsidR="0083387C" w:rsidRPr="001A076D" w:rsidRDefault="0083387C" w:rsidP="00FE4F18">
            <w:pPr>
              <w:autoSpaceDE w:val="0"/>
              <w:autoSpaceDN w:val="0"/>
              <w:adjustRightInd w:val="0"/>
              <w:rPr>
                <w:sz w:val="22"/>
                <w:szCs w:val="22"/>
              </w:rPr>
            </w:pPr>
            <w:r w:rsidRPr="001A076D">
              <w:rPr>
                <w:sz w:val="22"/>
                <w:szCs w:val="22"/>
              </w:rPr>
              <w:t>Details of any other participant groups:</w:t>
            </w:r>
          </w:p>
          <w:p w14:paraId="0A59CDC9" w14:textId="77777777" w:rsidR="0083387C" w:rsidRPr="001A076D" w:rsidRDefault="0083387C" w:rsidP="00FE4F18"/>
          <w:p w14:paraId="32385E87" w14:textId="77777777" w:rsidR="0083387C" w:rsidRPr="001A076D" w:rsidRDefault="0083387C" w:rsidP="00FE4F18">
            <w:pPr>
              <w:rPr>
                <w:sz w:val="22"/>
                <w:szCs w:val="22"/>
              </w:rPr>
            </w:pPr>
            <w:r w:rsidRPr="001A076D">
              <w:rPr>
                <w:sz w:val="22"/>
                <w:szCs w:val="22"/>
              </w:rPr>
              <w:t>None anticipated. All participants will be SSE employees in professional roles able to give informed consent.</w:t>
            </w:r>
          </w:p>
          <w:p w14:paraId="378F37F6" w14:textId="77777777" w:rsidR="0083387C" w:rsidRPr="001A076D" w:rsidRDefault="0083387C" w:rsidP="00FE4F18">
            <w:pPr>
              <w:rPr>
                <w:sz w:val="22"/>
                <w:szCs w:val="22"/>
              </w:rPr>
            </w:pPr>
          </w:p>
          <w:p w14:paraId="0C62A6D2" w14:textId="77777777" w:rsidR="0083387C" w:rsidRPr="001A076D" w:rsidRDefault="0083387C" w:rsidP="00FE4F18">
            <w:pPr>
              <w:autoSpaceDE w:val="0"/>
              <w:autoSpaceDN w:val="0"/>
              <w:adjustRightInd w:val="0"/>
              <w:rPr>
                <w:sz w:val="22"/>
                <w:szCs w:val="22"/>
              </w:rPr>
            </w:pPr>
            <w:r w:rsidRPr="001A076D">
              <w:rPr>
                <w:sz w:val="18"/>
                <w:szCs w:val="18"/>
              </w:rPr>
              <w:t>(this box should expand as you type)</w:t>
            </w:r>
          </w:p>
        </w:tc>
        <w:tc>
          <w:tcPr>
            <w:tcW w:w="850" w:type="dxa"/>
            <w:vMerge/>
            <w:shd w:val="clear" w:color="auto" w:fill="BFBFBF" w:themeFill="background1" w:themeFillShade="BF"/>
            <w:vAlign w:val="center"/>
          </w:tcPr>
          <w:p w14:paraId="3FA68095" w14:textId="77777777" w:rsidR="0083387C" w:rsidRPr="001A076D" w:rsidRDefault="0083387C" w:rsidP="00FE4F18">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719FBA1B" w14:textId="77777777" w:rsidR="0083387C" w:rsidRPr="001A076D" w:rsidRDefault="0083387C" w:rsidP="00FE4F18">
            <w:pPr>
              <w:autoSpaceDE w:val="0"/>
              <w:autoSpaceDN w:val="0"/>
              <w:adjustRightInd w:val="0"/>
              <w:jc w:val="center"/>
              <w:rPr>
                <w:b/>
                <w:bCs/>
                <w:sz w:val="22"/>
                <w:szCs w:val="22"/>
              </w:rPr>
            </w:pPr>
          </w:p>
        </w:tc>
      </w:tr>
    </w:tbl>
    <w:p w14:paraId="5C3B3EE1" w14:textId="77777777" w:rsidR="0083387C" w:rsidRPr="001A076D" w:rsidRDefault="0083387C" w:rsidP="0083387C">
      <w:pPr>
        <w:rPr>
          <w:bCs/>
        </w:rPr>
      </w:pPr>
    </w:p>
    <w:tbl>
      <w:tblPr>
        <w:tblStyle w:val="TableGrid"/>
        <w:tblW w:w="10451" w:type="dxa"/>
        <w:tblLook w:val="04A0" w:firstRow="1" w:lastRow="0" w:firstColumn="1" w:lastColumn="0" w:noHBand="0" w:noVBand="1"/>
      </w:tblPr>
      <w:tblGrid>
        <w:gridCol w:w="562"/>
        <w:gridCol w:w="3256"/>
        <w:gridCol w:w="6633"/>
      </w:tblGrid>
      <w:tr w:rsidR="00057F93" w:rsidRPr="001A076D" w14:paraId="66BE1E7C" w14:textId="77777777" w:rsidTr="00FE4F18">
        <w:trPr>
          <w:trHeight w:val="403"/>
        </w:trPr>
        <w:tc>
          <w:tcPr>
            <w:tcW w:w="562" w:type="dxa"/>
            <w:tcBorders>
              <w:bottom w:val="single" w:sz="4" w:space="0" w:color="auto"/>
            </w:tcBorders>
            <w:shd w:val="clear" w:color="auto" w:fill="F2F2F2" w:themeFill="background1" w:themeFillShade="F2"/>
          </w:tcPr>
          <w:p w14:paraId="67E8224A" w14:textId="77777777" w:rsidR="0083387C" w:rsidRPr="001A076D" w:rsidRDefault="0083387C" w:rsidP="00FE4F18">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4F7867F1" w14:textId="77777777" w:rsidR="0083387C" w:rsidRPr="001A076D" w:rsidRDefault="0083387C" w:rsidP="00FE4F18">
            <w:pPr>
              <w:rPr>
                <w:b/>
                <w:sz w:val="22"/>
                <w:szCs w:val="22"/>
              </w:rPr>
            </w:pPr>
            <w:r w:rsidRPr="001A076D">
              <w:rPr>
                <w:b/>
                <w:sz w:val="22"/>
                <w:szCs w:val="22"/>
              </w:rPr>
              <w:t>Participant numbers and source</w:t>
            </w:r>
          </w:p>
          <w:p w14:paraId="59387A71" w14:textId="77777777" w:rsidR="0083387C" w:rsidRPr="001A076D" w:rsidRDefault="0083387C" w:rsidP="00FE4F18">
            <w:pPr>
              <w:autoSpaceDE w:val="0"/>
              <w:autoSpaceDN w:val="0"/>
              <w:adjustRightInd w:val="0"/>
              <w:rPr>
                <w:sz w:val="22"/>
                <w:szCs w:val="22"/>
              </w:rPr>
            </w:pPr>
            <w:r w:rsidRPr="001A076D">
              <w:rPr>
                <w:sz w:val="22"/>
                <w:szCs w:val="22"/>
              </w:rPr>
              <w:t xml:space="preserve">Provide an estimate of the expected number of participants. How will you identify participants and how will they be recruited? </w:t>
            </w:r>
          </w:p>
        </w:tc>
      </w:tr>
      <w:tr w:rsidR="00057F93" w:rsidRPr="001A076D" w14:paraId="78F9241C" w14:textId="77777777" w:rsidTr="00FE4F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4684B" w14:textId="77777777" w:rsidR="0083387C" w:rsidRPr="001A076D" w:rsidRDefault="0083387C" w:rsidP="00FE4F18">
            <w:pPr>
              <w:jc w:val="center"/>
              <w:rPr>
                <w:sz w:val="22"/>
                <w:szCs w:val="22"/>
              </w:rPr>
            </w:pPr>
            <w:r w:rsidRPr="001A076D">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1D8A5" w14:textId="77777777" w:rsidR="0083387C" w:rsidRPr="001A076D" w:rsidRDefault="0083387C" w:rsidP="00FE4F18">
            <w:pPr>
              <w:rPr>
                <w:sz w:val="22"/>
                <w:szCs w:val="22"/>
              </w:rPr>
            </w:pPr>
            <w:r w:rsidRPr="001A076D">
              <w:rPr>
                <w:sz w:val="22"/>
                <w:szCs w:val="22"/>
              </w:rPr>
              <w:t>How many participants are expected?</w:t>
            </w:r>
          </w:p>
          <w:p w14:paraId="5520EBC9" w14:textId="77777777" w:rsidR="0083387C" w:rsidRPr="001A076D" w:rsidRDefault="0083387C" w:rsidP="00FE4F18">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02608C" w14:textId="77777777" w:rsidR="0083387C" w:rsidRPr="001A076D" w:rsidRDefault="0083387C" w:rsidP="00FE4F18">
            <w:pPr>
              <w:rPr>
                <w:sz w:val="22"/>
                <w:szCs w:val="22"/>
              </w:rPr>
            </w:pPr>
          </w:p>
          <w:p w14:paraId="553ED597" w14:textId="69BB851E" w:rsidR="0083387C" w:rsidRPr="001A076D" w:rsidRDefault="0083387C" w:rsidP="00FE4F18">
            <w:pPr>
              <w:rPr>
                <w:sz w:val="22"/>
                <w:szCs w:val="22"/>
              </w:rPr>
            </w:pPr>
            <w:r w:rsidRPr="001A076D">
              <w:rPr>
                <w:sz w:val="22"/>
                <w:szCs w:val="22"/>
              </w:rPr>
              <w:t xml:space="preserve">Approximately </w:t>
            </w:r>
            <w:r w:rsidR="00652020" w:rsidRPr="001A076D">
              <w:rPr>
                <w:sz w:val="22"/>
                <w:szCs w:val="22"/>
              </w:rPr>
              <w:t>66</w:t>
            </w:r>
            <w:r w:rsidRPr="001A076D">
              <w:rPr>
                <w:sz w:val="22"/>
                <w:szCs w:val="22"/>
              </w:rPr>
              <w:t xml:space="preserve"> for the online survey and </w:t>
            </w:r>
            <w:r w:rsidR="00652020" w:rsidRPr="001A076D">
              <w:rPr>
                <w:sz w:val="22"/>
                <w:szCs w:val="22"/>
              </w:rPr>
              <w:t>8</w:t>
            </w:r>
            <w:r w:rsidRPr="001A076D">
              <w:rPr>
                <w:sz w:val="22"/>
                <w:szCs w:val="22"/>
              </w:rPr>
              <w:t xml:space="preserve"> for semi-structured interviews.</w:t>
            </w:r>
          </w:p>
          <w:p w14:paraId="6694EFEC" w14:textId="77777777" w:rsidR="0083387C" w:rsidRPr="001A076D" w:rsidRDefault="0083387C" w:rsidP="00FE4F18">
            <w:pPr>
              <w:rPr>
                <w:sz w:val="22"/>
                <w:szCs w:val="22"/>
              </w:rPr>
            </w:pPr>
          </w:p>
          <w:p w14:paraId="7AC52A6A" w14:textId="77777777" w:rsidR="0083387C" w:rsidRPr="001A076D" w:rsidRDefault="0083387C" w:rsidP="00FE4F18">
            <w:pPr>
              <w:rPr>
                <w:b/>
                <w:sz w:val="22"/>
                <w:szCs w:val="22"/>
              </w:rPr>
            </w:pPr>
            <w:r w:rsidRPr="001A076D">
              <w:rPr>
                <w:i/>
                <w:sz w:val="18"/>
                <w:szCs w:val="18"/>
              </w:rPr>
              <w:t>(this box should expand as you type)</w:t>
            </w:r>
          </w:p>
        </w:tc>
      </w:tr>
      <w:tr w:rsidR="00057F93" w:rsidRPr="001A076D" w14:paraId="0D83F9DC" w14:textId="77777777" w:rsidTr="00FE4F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B2CE7" w14:textId="77777777" w:rsidR="0083387C" w:rsidRPr="001A076D" w:rsidRDefault="0083387C" w:rsidP="00FE4F18">
            <w:pPr>
              <w:jc w:val="center"/>
              <w:rPr>
                <w:sz w:val="22"/>
                <w:szCs w:val="22"/>
              </w:rPr>
            </w:pPr>
            <w:r w:rsidRPr="001A076D">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64E98" w14:textId="77777777" w:rsidR="0083387C" w:rsidRPr="001A076D" w:rsidRDefault="0083387C" w:rsidP="00FE4F18">
            <w:pPr>
              <w:rPr>
                <w:sz w:val="22"/>
                <w:szCs w:val="22"/>
              </w:rPr>
            </w:pPr>
            <w:r w:rsidRPr="001A076D">
              <w:rPr>
                <w:sz w:val="22"/>
                <w:szCs w:val="22"/>
              </w:rPr>
              <w:t>Who will the participants be?</w:t>
            </w:r>
          </w:p>
          <w:p w14:paraId="75A1EB4B" w14:textId="77777777" w:rsidR="0083387C" w:rsidRPr="001A076D" w:rsidRDefault="0083387C" w:rsidP="00FE4F18">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CC806C" w14:textId="77777777" w:rsidR="0083387C" w:rsidRPr="001A076D" w:rsidRDefault="0083387C" w:rsidP="00FE4F18">
            <w:pPr>
              <w:rPr>
                <w:sz w:val="22"/>
                <w:szCs w:val="22"/>
              </w:rPr>
            </w:pPr>
          </w:p>
          <w:p w14:paraId="4367A9E4" w14:textId="77777777" w:rsidR="0083387C" w:rsidRPr="001A076D" w:rsidRDefault="0083387C" w:rsidP="00FE4F18">
            <w:pPr>
              <w:rPr>
                <w:sz w:val="22"/>
                <w:szCs w:val="22"/>
              </w:rPr>
            </w:pPr>
            <w:r w:rsidRPr="001A076D">
              <w:rPr>
                <w:sz w:val="22"/>
                <w:szCs w:val="22"/>
              </w:rPr>
              <w:t>Professionals employed at SSE PLC, including business leaders, analysts, data managers, and operational leads involved in strategic decision-making and data analytics.</w:t>
            </w:r>
          </w:p>
          <w:p w14:paraId="7AED76ED" w14:textId="77777777" w:rsidR="0083387C" w:rsidRPr="001A076D" w:rsidRDefault="0083387C" w:rsidP="00FE4F18">
            <w:pPr>
              <w:rPr>
                <w:sz w:val="22"/>
                <w:szCs w:val="22"/>
              </w:rPr>
            </w:pPr>
          </w:p>
          <w:p w14:paraId="02F85FE8" w14:textId="77777777" w:rsidR="0083387C" w:rsidRPr="001A076D" w:rsidRDefault="0083387C" w:rsidP="00FE4F18">
            <w:pPr>
              <w:rPr>
                <w:i/>
                <w:sz w:val="18"/>
                <w:szCs w:val="18"/>
              </w:rPr>
            </w:pPr>
            <w:r w:rsidRPr="001A076D">
              <w:rPr>
                <w:i/>
                <w:sz w:val="18"/>
                <w:szCs w:val="18"/>
              </w:rPr>
              <w:t>(this box should expand as you type)</w:t>
            </w:r>
          </w:p>
        </w:tc>
      </w:tr>
      <w:tr w:rsidR="004F2125" w:rsidRPr="001A076D" w14:paraId="710BBE84" w14:textId="77777777" w:rsidTr="00FE4F18">
        <w:trPr>
          <w:trHeight w:val="403"/>
        </w:trPr>
        <w:tc>
          <w:tcPr>
            <w:tcW w:w="562" w:type="dxa"/>
            <w:tcBorders>
              <w:top w:val="single" w:sz="4" w:space="0" w:color="auto"/>
            </w:tcBorders>
            <w:shd w:val="clear" w:color="auto" w:fill="F2F2F2" w:themeFill="background1" w:themeFillShade="F2"/>
            <w:vAlign w:val="center"/>
          </w:tcPr>
          <w:p w14:paraId="1B1537B5" w14:textId="77777777" w:rsidR="0083387C" w:rsidRPr="001A076D" w:rsidRDefault="0083387C" w:rsidP="00FE4F18">
            <w:pPr>
              <w:jc w:val="center"/>
              <w:rPr>
                <w:sz w:val="22"/>
                <w:szCs w:val="22"/>
              </w:rPr>
            </w:pPr>
            <w:r w:rsidRPr="001A076D">
              <w:rPr>
                <w:sz w:val="22"/>
                <w:szCs w:val="22"/>
              </w:rPr>
              <w:t>12</w:t>
            </w:r>
          </w:p>
        </w:tc>
        <w:tc>
          <w:tcPr>
            <w:tcW w:w="3256" w:type="dxa"/>
            <w:tcBorders>
              <w:top w:val="single" w:sz="4" w:space="0" w:color="auto"/>
            </w:tcBorders>
            <w:shd w:val="clear" w:color="auto" w:fill="F2F2F2" w:themeFill="background1" w:themeFillShade="F2"/>
            <w:vAlign w:val="center"/>
          </w:tcPr>
          <w:p w14:paraId="1806C983" w14:textId="77777777" w:rsidR="0083387C" w:rsidRPr="001A076D" w:rsidRDefault="0083387C" w:rsidP="00FE4F18">
            <w:pPr>
              <w:rPr>
                <w:sz w:val="22"/>
                <w:szCs w:val="22"/>
              </w:rPr>
            </w:pPr>
            <w:r w:rsidRPr="001A076D">
              <w:rPr>
                <w:sz w:val="22"/>
                <w:szCs w:val="22"/>
              </w:rPr>
              <w:t>How will you identify the participants?</w:t>
            </w:r>
          </w:p>
        </w:tc>
        <w:tc>
          <w:tcPr>
            <w:tcW w:w="6633" w:type="dxa"/>
            <w:tcBorders>
              <w:top w:val="single" w:sz="4" w:space="0" w:color="auto"/>
            </w:tcBorders>
            <w:vAlign w:val="center"/>
          </w:tcPr>
          <w:p w14:paraId="576D6740" w14:textId="77777777" w:rsidR="0083387C" w:rsidRPr="001A076D" w:rsidRDefault="0083387C" w:rsidP="00FE4F18">
            <w:pPr>
              <w:rPr>
                <w:sz w:val="22"/>
                <w:szCs w:val="22"/>
              </w:rPr>
            </w:pPr>
          </w:p>
          <w:p w14:paraId="1B1EF917" w14:textId="77777777" w:rsidR="0083387C" w:rsidRPr="001A076D" w:rsidRDefault="0083387C" w:rsidP="00FE4F18">
            <w:pPr>
              <w:rPr>
                <w:sz w:val="22"/>
                <w:szCs w:val="22"/>
              </w:rPr>
            </w:pPr>
            <w:r w:rsidRPr="001A076D">
              <w:rPr>
                <w:sz w:val="22"/>
                <w:szCs w:val="22"/>
              </w:rPr>
              <w:t>Participants will be selected using purposive sampling, with support from SSE's internal communications and data governance teams. Invitations will be distributed via internal emails and professional networks.</w:t>
            </w:r>
          </w:p>
          <w:p w14:paraId="0E469DFB" w14:textId="77777777" w:rsidR="0083387C" w:rsidRPr="001A076D" w:rsidRDefault="0083387C" w:rsidP="00FE4F18">
            <w:pPr>
              <w:rPr>
                <w:sz w:val="22"/>
                <w:szCs w:val="22"/>
              </w:rPr>
            </w:pPr>
          </w:p>
          <w:p w14:paraId="4627699E" w14:textId="77777777" w:rsidR="0083387C" w:rsidRPr="001A076D" w:rsidRDefault="0083387C" w:rsidP="00FE4F18">
            <w:pPr>
              <w:rPr>
                <w:sz w:val="18"/>
                <w:szCs w:val="18"/>
              </w:rPr>
            </w:pPr>
            <w:r w:rsidRPr="001A076D">
              <w:rPr>
                <w:i/>
                <w:sz w:val="18"/>
                <w:szCs w:val="18"/>
              </w:rPr>
              <w:t>(this box should expand as you type)</w:t>
            </w:r>
          </w:p>
        </w:tc>
      </w:tr>
    </w:tbl>
    <w:p w14:paraId="6A98D246" w14:textId="77777777" w:rsidR="0083387C" w:rsidRPr="001A076D" w:rsidRDefault="0083387C" w:rsidP="0083387C">
      <w:pPr>
        <w:rPr>
          <w:bCs/>
        </w:rPr>
      </w:pPr>
    </w:p>
    <w:p w14:paraId="03C7BF18" w14:textId="77777777" w:rsidR="0083387C" w:rsidRPr="001A076D" w:rsidRDefault="0083387C" w:rsidP="0083387C"/>
    <w:tbl>
      <w:tblPr>
        <w:tblStyle w:val="TableGrid"/>
        <w:tblW w:w="10485" w:type="dxa"/>
        <w:tblLook w:val="04A0" w:firstRow="1" w:lastRow="0" w:firstColumn="1" w:lastColumn="0" w:noHBand="0" w:noVBand="1"/>
      </w:tblPr>
      <w:tblGrid>
        <w:gridCol w:w="562"/>
        <w:gridCol w:w="7088"/>
        <w:gridCol w:w="992"/>
        <w:gridCol w:w="851"/>
        <w:gridCol w:w="992"/>
      </w:tblGrid>
      <w:tr w:rsidR="00057F93" w:rsidRPr="001A076D" w14:paraId="0B13AC5C" w14:textId="77777777" w:rsidTr="00FE4F18">
        <w:tc>
          <w:tcPr>
            <w:tcW w:w="562" w:type="dxa"/>
            <w:shd w:val="clear" w:color="auto" w:fill="F2F2F2" w:themeFill="background1" w:themeFillShade="F2"/>
            <w:vAlign w:val="center"/>
          </w:tcPr>
          <w:p w14:paraId="20FAB245" w14:textId="77777777" w:rsidR="0083387C" w:rsidRPr="001A076D" w:rsidRDefault="0083387C" w:rsidP="00FE4F18">
            <w:pPr>
              <w:autoSpaceDE w:val="0"/>
              <w:autoSpaceDN w:val="0"/>
              <w:adjustRightInd w:val="0"/>
              <w:jc w:val="center"/>
              <w:rPr>
                <w:bCs/>
                <w:sz w:val="22"/>
                <w:szCs w:val="22"/>
              </w:rPr>
            </w:pPr>
          </w:p>
        </w:tc>
        <w:tc>
          <w:tcPr>
            <w:tcW w:w="7088" w:type="dxa"/>
            <w:shd w:val="clear" w:color="auto" w:fill="F2F2F2" w:themeFill="background1" w:themeFillShade="F2"/>
          </w:tcPr>
          <w:p w14:paraId="4C95BD88" w14:textId="77777777" w:rsidR="0083387C" w:rsidRPr="001A076D" w:rsidRDefault="0083387C" w:rsidP="00FE4F18">
            <w:pPr>
              <w:autoSpaceDE w:val="0"/>
              <w:autoSpaceDN w:val="0"/>
              <w:adjustRightInd w:val="0"/>
              <w:jc w:val="both"/>
              <w:rPr>
                <w:b/>
                <w:sz w:val="22"/>
                <w:szCs w:val="22"/>
              </w:rPr>
            </w:pPr>
            <w:r w:rsidRPr="001A076D">
              <w:rPr>
                <w:b/>
                <w:sz w:val="22"/>
                <w:szCs w:val="22"/>
              </w:rPr>
              <w:t>Information for participants:</w:t>
            </w:r>
          </w:p>
        </w:tc>
        <w:tc>
          <w:tcPr>
            <w:tcW w:w="992" w:type="dxa"/>
            <w:shd w:val="clear" w:color="auto" w:fill="F2F2F2" w:themeFill="background1" w:themeFillShade="F2"/>
            <w:vAlign w:val="bottom"/>
          </w:tcPr>
          <w:p w14:paraId="2794FAA7" w14:textId="77777777" w:rsidR="0083387C" w:rsidRPr="001A076D" w:rsidRDefault="0083387C" w:rsidP="00FE4F18">
            <w:pPr>
              <w:autoSpaceDE w:val="0"/>
              <w:autoSpaceDN w:val="0"/>
              <w:adjustRightInd w:val="0"/>
              <w:jc w:val="center"/>
              <w:rPr>
                <w:b/>
                <w:bCs/>
                <w:sz w:val="16"/>
                <w:szCs w:val="16"/>
              </w:rPr>
            </w:pPr>
          </w:p>
          <w:p w14:paraId="19608FE5"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51" w:type="dxa"/>
            <w:shd w:val="clear" w:color="auto" w:fill="F2F2F2" w:themeFill="background1" w:themeFillShade="F2"/>
            <w:vAlign w:val="bottom"/>
          </w:tcPr>
          <w:p w14:paraId="287CF2A6"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c>
          <w:tcPr>
            <w:tcW w:w="992" w:type="dxa"/>
            <w:shd w:val="clear" w:color="auto" w:fill="F2F2F2" w:themeFill="background1" w:themeFillShade="F2"/>
          </w:tcPr>
          <w:p w14:paraId="5C759575" w14:textId="77777777" w:rsidR="0083387C" w:rsidRPr="001A076D" w:rsidRDefault="0083387C" w:rsidP="00FE4F18">
            <w:pPr>
              <w:autoSpaceDE w:val="0"/>
              <w:autoSpaceDN w:val="0"/>
              <w:adjustRightInd w:val="0"/>
              <w:jc w:val="center"/>
              <w:rPr>
                <w:b/>
                <w:bCs/>
                <w:sz w:val="16"/>
                <w:szCs w:val="16"/>
              </w:rPr>
            </w:pPr>
          </w:p>
          <w:p w14:paraId="25F38A77"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r w:rsidR="00057F93" w:rsidRPr="001A076D" w14:paraId="3B434752" w14:textId="77777777" w:rsidTr="00FE4F18">
        <w:trPr>
          <w:trHeight w:val="439"/>
        </w:trPr>
        <w:tc>
          <w:tcPr>
            <w:tcW w:w="562" w:type="dxa"/>
            <w:shd w:val="clear" w:color="auto" w:fill="F2F2F2" w:themeFill="background1" w:themeFillShade="F2"/>
            <w:vAlign w:val="center"/>
          </w:tcPr>
          <w:p w14:paraId="0CC7F096" w14:textId="77777777" w:rsidR="0083387C" w:rsidRPr="001A076D" w:rsidRDefault="0083387C" w:rsidP="00FE4F18">
            <w:pPr>
              <w:autoSpaceDE w:val="0"/>
              <w:autoSpaceDN w:val="0"/>
              <w:adjustRightInd w:val="0"/>
              <w:jc w:val="center"/>
              <w:rPr>
                <w:sz w:val="22"/>
                <w:szCs w:val="22"/>
              </w:rPr>
            </w:pPr>
            <w:r w:rsidRPr="001A076D">
              <w:rPr>
                <w:sz w:val="22"/>
                <w:szCs w:val="22"/>
              </w:rPr>
              <w:lastRenderedPageBreak/>
              <w:t>13</w:t>
            </w:r>
          </w:p>
        </w:tc>
        <w:tc>
          <w:tcPr>
            <w:tcW w:w="7088" w:type="dxa"/>
            <w:shd w:val="clear" w:color="auto" w:fill="F2F2F2" w:themeFill="background1" w:themeFillShade="F2"/>
            <w:vAlign w:val="center"/>
          </w:tcPr>
          <w:p w14:paraId="6D654F94" w14:textId="77777777" w:rsidR="0083387C" w:rsidRPr="001A076D" w:rsidRDefault="0083387C" w:rsidP="00FE4F18">
            <w:pPr>
              <w:autoSpaceDE w:val="0"/>
              <w:autoSpaceDN w:val="0"/>
              <w:adjustRightInd w:val="0"/>
              <w:rPr>
                <w:sz w:val="22"/>
                <w:szCs w:val="22"/>
              </w:rPr>
            </w:pPr>
            <w:r w:rsidRPr="001A076D">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sz w:val="22"/>
                <w:szCs w:val="22"/>
              </w:rPr>
              <w:id w:val="638854427"/>
              <w14:checkbox>
                <w14:checked w14:val="1"/>
                <w14:checkedState w14:val="2612" w14:font="MS Gothic"/>
                <w14:uncheckedState w14:val="2610" w14:font="MS Gothic"/>
              </w14:checkbox>
            </w:sdtPr>
            <w:sdtContent>
              <w:p w14:paraId="62AADD9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838415725"/>
              <w14:checkbox>
                <w14:checked w14:val="0"/>
                <w14:checkedState w14:val="2612" w14:font="MS Gothic"/>
                <w14:uncheckedState w14:val="2610" w14:font="MS Gothic"/>
              </w14:checkbox>
            </w:sdtPr>
            <w:sdtContent>
              <w:p w14:paraId="5004019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018272357"/>
              <w14:checkbox>
                <w14:checked w14:val="0"/>
                <w14:checkedState w14:val="2612" w14:font="MS Gothic"/>
                <w14:uncheckedState w14:val="2610" w14:font="MS Gothic"/>
              </w14:checkbox>
            </w:sdtPr>
            <w:sdtContent>
              <w:p w14:paraId="44BDAA8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0267C61" w14:textId="77777777" w:rsidTr="00FE4F18">
        <w:trPr>
          <w:trHeight w:val="403"/>
        </w:trPr>
        <w:tc>
          <w:tcPr>
            <w:tcW w:w="562" w:type="dxa"/>
            <w:shd w:val="clear" w:color="auto" w:fill="F2F2F2" w:themeFill="background1" w:themeFillShade="F2"/>
            <w:vAlign w:val="center"/>
          </w:tcPr>
          <w:p w14:paraId="1F13E590" w14:textId="77777777" w:rsidR="0083387C" w:rsidRPr="001A076D" w:rsidRDefault="0083387C" w:rsidP="00FE4F18">
            <w:pPr>
              <w:autoSpaceDE w:val="0"/>
              <w:autoSpaceDN w:val="0"/>
              <w:adjustRightInd w:val="0"/>
              <w:jc w:val="center"/>
              <w:rPr>
                <w:sz w:val="22"/>
                <w:szCs w:val="22"/>
              </w:rPr>
            </w:pPr>
            <w:r w:rsidRPr="001A076D">
              <w:rPr>
                <w:sz w:val="22"/>
                <w:szCs w:val="22"/>
              </w:rPr>
              <w:t>14</w:t>
            </w:r>
          </w:p>
        </w:tc>
        <w:tc>
          <w:tcPr>
            <w:tcW w:w="7088" w:type="dxa"/>
            <w:shd w:val="clear" w:color="auto" w:fill="F2F2F2" w:themeFill="background1" w:themeFillShade="F2"/>
            <w:vAlign w:val="center"/>
          </w:tcPr>
          <w:p w14:paraId="595A97CF" w14:textId="77777777" w:rsidR="0083387C" w:rsidRPr="001A076D" w:rsidRDefault="0083387C" w:rsidP="00FE4F18">
            <w:pPr>
              <w:autoSpaceDE w:val="0"/>
              <w:autoSpaceDN w:val="0"/>
              <w:adjustRightInd w:val="0"/>
              <w:rPr>
                <w:sz w:val="22"/>
                <w:szCs w:val="22"/>
              </w:rPr>
            </w:pPr>
            <w:r w:rsidRPr="001A076D">
              <w:rPr>
                <w:sz w:val="22"/>
                <w:szCs w:val="22"/>
              </w:rPr>
              <w:t>Will you tell participants that their participation is voluntary?</w:t>
            </w:r>
          </w:p>
        </w:tc>
        <w:tc>
          <w:tcPr>
            <w:tcW w:w="992" w:type="dxa"/>
            <w:shd w:val="clear" w:color="auto" w:fill="BFBFBF" w:themeFill="background1" w:themeFillShade="BF"/>
            <w:vAlign w:val="center"/>
          </w:tcPr>
          <w:sdt>
            <w:sdtPr>
              <w:rPr>
                <w:sz w:val="22"/>
                <w:szCs w:val="22"/>
              </w:rPr>
              <w:id w:val="1917978816"/>
              <w14:checkbox>
                <w14:checked w14:val="1"/>
                <w14:checkedState w14:val="2612" w14:font="MS Gothic"/>
                <w14:uncheckedState w14:val="2610" w14:font="MS Gothic"/>
              </w14:checkbox>
            </w:sdtPr>
            <w:sdtContent>
              <w:p w14:paraId="037EB98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66745090"/>
              <w14:checkbox>
                <w14:checked w14:val="0"/>
                <w14:checkedState w14:val="2612" w14:font="MS Gothic"/>
                <w14:uncheckedState w14:val="2610" w14:font="MS Gothic"/>
              </w14:checkbox>
            </w:sdtPr>
            <w:sdtContent>
              <w:p w14:paraId="2F9FC43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964613576"/>
              <w14:checkbox>
                <w14:checked w14:val="0"/>
                <w14:checkedState w14:val="2612" w14:font="MS Gothic"/>
                <w14:uncheckedState w14:val="2610" w14:font="MS Gothic"/>
              </w14:checkbox>
            </w:sdtPr>
            <w:sdtContent>
              <w:p w14:paraId="1F371B7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9ACD46E" w14:textId="77777777" w:rsidTr="00FE4F18">
        <w:trPr>
          <w:trHeight w:val="439"/>
        </w:trPr>
        <w:tc>
          <w:tcPr>
            <w:tcW w:w="562" w:type="dxa"/>
            <w:shd w:val="clear" w:color="auto" w:fill="F2F2F2" w:themeFill="background1" w:themeFillShade="F2"/>
            <w:vAlign w:val="center"/>
          </w:tcPr>
          <w:p w14:paraId="7F7E5346" w14:textId="77777777" w:rsidR="0083387C" w:rsidRPr="001A076D" w:rsidRDefault="0083387C" w:rsidP="00FE4F18">
            <w:pPr>
              <w:autoSpaceDE w:val="0"/>
              <w:autoSpaceDN w:val="0"/>
              <w:adjustRightInd w:val="0"/>
              <w:jc w:val="center"/>
              <w:rPr>
                <w:sz w:val="22"/>
                <w:szCs w:val="22"/>
              </w:rPr>
            </w:pPr>
            <w:r w:rsidRPr="001A076D">
              <w:rPr>
                <w:sz w:val="22"/>
                <w:szCs w:val="22"/>
              </w:rPr>
              <w:t>15</w:t>
            </w:r>
          </w:p>
        </w:tc>
        <w:tc>
          <w:tcPr>
            <w:tcW w:w="7088" w:type="dxa"/>
            <w:shd w:val="clear" w:color="auto" w:fill="F2F2F2" w:themeFill="background1" w:themeFillShade="F2"/>
            <w:vAlign w:val="center"/>
          </w:tcPr>
          <w:p w14:paraId="2C4DB3EB" w14:textId="77777777" w:rsidR="0083387C" w:rsidRPr="001A076D" w:rsidRDefault="0083387C" w:rsidP="00FE4F18">
            <w:pPr>
              <w:autoSpaceDE w:val="0"/>
              <w:autoSpaceDN w:val="0"/>
              <w:adjustRightInd w:val="0"/>
              <w:rPr>
                <w:sz w:val="22"/>
                <w:szCs w:val="22"/>
              </w:rPr>
            </w:pPr>
            <w:r w:rsidRPr="001A076D">
              <w:rPr>
                <w:sz w:val="22"/>
                <w:szCs w:val="22"/>
              </w:rPr>
              <w:t>Will you obtain written consent for participation?</w:t>
            </w:r>
          </w:p>
        </w:tc>
        <w:tc>
          <w:tcPr>
            <w:tcW w:w="992" w:type="dxa"/>
            <w:shd w:val="clear" w:color="auto" w:fill="BFBFBF" w:themeFill="background1" w:themeFillShade="BF"/>
            <w:vAlign w:val="center"/>
          </w:tcPr>
          <w:sdt>
            <w:sdtPr>
              <w:rPr>
                <w:sz w:val="22"/>
                <w:szCs w:val="22"/>
              </w:rPr>
              <w:id w:val="173071009"/>
              <w14:checkbox>
                <w14:checked w14:val="1"/>
                <w14:checkedState w14:val="2612" w14:font="MS Gothic"/>
                <w14:uncheckedState w14:val="2610" w14:font="MS Gothic"/>
              </w14:checkbox>
            </w:sdtPr>
            <w:sdtContent>
              <w:p w14:paraId="3BFC123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777214799"/>
              <w14:checkbox>
                <w14:checked w14:val="0"/>
                <w14:checkedState w14:val="2612" w14:font="MS Gothic"/>
                <w14:uncheckedState w14:val="2610" w14:font="MS Gothic"/>
              </w14:checkbox>
            </w:sdtPr>
            <w:sdtContent>
              <w:p w14:paraId="5053ABA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046200750"/>
              <w14:checkbox>
                <w14:checked w14:val="0"/>
                <w14:checkedState w14:val="2612" w14:font="MS Gothic"/>
                <w14:uncheckedState w14:val="2610" w14:font="MS Gothic"/>
              </w14:checkbox>
            </w:sdtPr>
            <w:sdtContent>
              <w:p w14:paraId="34EC560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AB85C7A" w14:textId="77777777" w:rsidTr="00FE4F18">
        <w:trPr>
          <w:trHeight w:val="403"/>
        </w:trPr>
        <w:tc>
          <w:tcPr>
            <w:tcW w:w="562" w:type="dxa"/>
            <w:shd w:val="clear" w:color="auto" w:fill="F2F2F2" w:themeFill="background1" w:themeFillShade="F2"/>
            <w:vAlign w:val="center"/>
          </w:tcPr>
          <w:p w14:paraId="265E7F44" w14:textId="77777777" w:rsidR="0083387C" w:rsidRPr="001A076D" w:rsidRDefault="0083387C" w:rsidP="00FE4F18">
            <w:pPr>
              <w:autoSpaceDE w:val="0"/>
              <w:autoSpaceDN w:val="0"/>
              <w:adjustRightInd w:val="0"/>
              <w:jc w:val="center"/>
              <w:rPr>
                <w:sz w:val="22"/>
                <w:szCs w:val="22"/>
              </w:rPr>
            </w:pPr>
            <w:r w:rsidRPr="001A076D">
              <w:rPr>
                <w:sz w:val="22"/>
                <w:szCs w:val="22"/>
              </w:rPr>
              <w:t>16</w:t>
            </w:r>
          </w:p>
        </w:tc>
        <w:tc>
          <w:tcPr>
            <w:tcW w:w="7088" w:type="dxa"/>
            <w:shd w:val="clear" w:color="auto" w:fill="F2F2F2" w:themeFill="background1" w:themeFillShade="F2"/>
            <w:vAlign w:val="center"/>
          </w:tcPr>
          <w:p w14:paraId="12451E7C" w14:textId="77777777" w:rsidR="0083387C" w:rsidRPr="001A076D" w:rsidRDefault="0083387C" w:rsidP="00FE4F18">
            <w:pPr>
              <w:autoSpaceDE w:val="0"/>
              <w:autoSpaceDN w:val="0"/>
              <w:adjustRightInd w:val="0"/>
              <w:rPr>
                <w:sz w:val="22"/>
                <w:szCs w:val="22"/>
              </w:rPr>
            </w:pPr>
            <w:r w:rsidRPr="001A076D">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2"/>
                <w:szCs w:val="22"/>
              </w:rPr>
              <w:id w:val="1907947677"/>
              <w14:checkbox>
                <w14:checked w14:val="1"/>
                <w14:checkedState w14:val="2612" w14:font="MS Gothic"/>
                <w14:uncheckedState w14:val="2610" w14:font="MS Gothic"/>
              </w14:checkbox>
            </w:sdtPr>
            <w:sdtContent>
              <w:p w14:paraId="00AF392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997954874"/>
              <w14:checkbox>
                <w14:checked w14:val="0"/>
                <w14:checkedState w14:val="2612" w14:font="MS Gothic"/>
                <w14:uncheckedState w14:val="2610" w14:font="MS Gothic"/>
              </w14:checkbox>
            </w:sdtPr>
            <w:sdtContent>
              <w:p w14:paraId="5D30C9FC"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833887313"/>
              <w14:checkbox>
                <w14:checked w14:val="0"/>
                <w14:checkedState w14:val="2612" w14:font="MS Gothic"/>
                <w14:uncheckedState w14:val="2610" w14:font="MS Gothic"/>
              </w14:checkbox>
            </w:sdtPr>
            <w:sdtContent>
              <w:p w14:paraId="33C1BE9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8282F73" w14:textId="77777777" w:rsidTr="00FE4F18">
        <w:trPr>
          <w:trHeight w:val="439"/>
        </w:trPr>
        <w:tc>
          <w:tcPr>
            <w:tcW w:w="562" w:type="dxa"/>
            <w:shd w:val="clear" w:color="auto" w:fill="F2F2F2" w:themeFill="background1" w:themeFillShade="F2"/>
            <w:vAlign w:val="center"/>
          </w:tcPr>
          <w:p w14:paraId="7DC076B4" w14:textId="77777777" w:rsidR="0083387C" w:rsidRPr="001A076D" w:rsidRDefault="0083387C" w:rsidP="00FE4F18">
            <w:pPr>
              <w:autoSpaceDE w:val="0"/>
              <w:autoSpaceDN w:val="0"/>
              <w:adjustRightInd w:val="0"/>
              <w:jc w:val="center"/>
              <w:rPr>
                <w:sz w:val="22"/>
                <w:szCs w:val="22"/>
              </w:rPr>
            </w:pPr>
            <w:r w:rsidRPr="001A076D">
              <w:rPr>
                <w:sz w:val="22"/>
                <w:szCs w:val="22"/>
              </w:rPr>
              <w:t>17</w:t>
            </w:r>
          </w:p>
        </w:tc>
        <w:tc>
          <w:tcPr>
            <w:tcW w:w="7088" w:type="dxa"/>
            <w:shd w:val="clear" w:color="auto" w:fill="F2F2F2" w:themeFill="background1" w:themeFillShade="F2"/>
            <w:vAlign w:val="center"/>
          </w:tcPr>
          <w:p w14:paraId="5B96D50B" w14:textId="77777777" w:rsidR="0083387C" w:rsidRPr="001A076D" w:rsidRDefault="0083387C" w:rsidP="00FE4F18">
            <w:pPr>
              <w:autoSpaceDE w:val="0"/>
              <w:autoSpaceDN w:val="0"/>
              <w:adjustRightInd w:val="0"/>
              <w:rPr>
                <w:sz w:val="22"/>
                <w:szCs w:val="22"/>
              </w:rPr>
            </w:pPr>
            <w:r w:rsidRPr="001A076D">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sz w:val="22"/>
                <w:szCs w:val="22"/>
              </w:rPr>
              <w:id w:val="-65498961"/>
              <w14:checkbox>
                <w14:checked w14:val="0"/>
                <w14:checkedState w14:val="2612" w14:font="MS Gothic"/>
                <w14:uncheckedState w14:val="2610" w14:font="MS Gothic"/>
              </w14:checkbox>
            </w:sdtPr>
            <w:sdtContent>
              <w:p w14:paraId="4477F85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327907113"/>
              <w14:checkbox>
                <w14:checked w14:val="0"/>
                <w14:checkedState w14:val="2612" w14:font="MS Gothic"/>
                <w14:uncheckedState w14:val="2610" w14:font="MS Gothic"/>
              </w14:checkbox>
            </w:sdtPr>
            <w:sdtContent>
              <w:p w14:paraId="497FDAC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843242132"/>
              <w14:checkbox>
                <w14:checked w14:val="1"/>
                <w14:checkedState w14:val="2612" w14:font="MS Gothic"/>
                <w14:uncheckedState w14:val="2610" w14:font="MS Gothic"/>
              </w14:checkbox>
            </w:sdtPr>
            <w:sdtContent>
              <w:p w14:paraId="48F9F49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570FA73" w14:textId="77777777" w:rsidTr="00FE4F18">
        <w:trPr>
          <w:trHeight w:val="403"/>
        </w:trPr>
        <w:tc>
          <w:tcPr>
            <w:tcW w:w="562" w:type="dxa"/>
            <w:shd w:val="clear" w:color="auto" w:fill="F2F2F2" w:themeFill="background1" w:themeFillShade="F2"/>
            <w:vAlign w:val="center"/>
          </w:tcPr>
          <w:p w14:paraId="78B12145" w14:textId="77777777" w:rsidR="0083387C" w:rsidRPr="001A076D" w:rsidRDefault="0083387C" w:rsidP="00FE4F18">
            <w:pPr>
              <w:autoSpaceDE w:val="0"/>
              <w:autoSpaceDN w:val="0"/>
              <w:adjustRightInd w:val="0"/>
              <w:jc w:val="center"/>
              <w:rPr>
                <w:sz w:val="22"/>
                <w:szCs w:val="22"/>
              </w:rPr>
            </w:pPr>
            <w:r w:rsidRPr="001A076D">
              <w:rPr>
                <w:sz w:val="22"/>
                <w:szCs w:val="22"/>
              </w:rPr>
              <w:t>18</w:t>
            </w:r>
          </w:p>
        </w:tc>
        <w:tc>
          <w:tcPr>
            <w:tcW w:w="7088" w:type="dxa"/>
            <w:shd w:val="clear" w:color="auto" w:fill="F2F2F2" w:themeFill="background1" w:themeFillShade="F2"/>
            <w:vAlign w:val="center"/>
          </w:tcPr>
          <w:p w14:paraId="3E5653BF" w14:textId="77777777" w:rsidR="0083387C" w:rsidRPr="001A076D" w:rsidRDefault="0083387C" w:rsidP="00FE4F18">
            <w:pPr>
              <w:autoSpaceDE w:val="0"/>
              <w:autoSpaceDN w:val="0"/>
              <w:adjustRightInd w:val="0"/>
              <w:rPr>
                <w:sz w:val="22"/>
                <w:szCs w:val="22"/>
              </w:rPr>
            </w:pPr>
            <w:r w:rsidRPr="001A076D">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sz w:val="22"/>
                <w:szCs w:val="22"/>
              </w:rPr>
              <w:id w:val="-1689744163"/>
              <w14:checkbox>
                <w14:checked w14:val="1"/>
                <w14:checkedState w14:val="2612" w14:font="MS Gothic"/>
                <w14:uncheckedState w14:val="2610" w14:font="MS Gothic"/>
              </w14:checkbox>
            </w:sdtPr>
            <w:sdtContent>
              <w:p w14:paraId="10D78DA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160307203"/>
              <w14:checkbox>
                <w14:checked w14:val="0"/>
                <w14:checkedState w14:val="2612" w14:font="MS Gothic"/>
                <w14:uncheckedState w14:val="2610" w14:font="MS Gothic"/>
              </w14:checkbox>
            </w:sdtPr>
            <w:sdtContent>
              <w:p w14:paraId="3861C2D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70004211"/>
              <w14:checkbox>
                <w14:checked w14:val="0"/>
                <w14:checkedState w14:val="2612" w14:font="MS Gothic"/>
                <w14:uncheckedState w14:val="2610" w14:font="MS Gothic"/>
              </w14:checkbox>
            </w:sdtPr>
            <w:sdtContent>
              <w:p w14:paraId="197B978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999EB2C" w14:textId="77777777" w:rsidTr="00FE4F18">
        <w:trPr>
          <w:trHeight w:val="439"/>
        </w:trPr>
        <w:tc>
          <w:tcPr>
            <w:tcW w:w="562" w:type="dxa"/>
            <w:shd w:val="clear" w:color="auto" w:fill="F2F2F2" w:themeFill="background1" w:themeFillShade="F2"/>
            <w:vAlign w:val="center"/>
          </w:tcPr>
          <w:p w14:paraId="4A44D08A" w14:textId="77777777" w:rsidR="0083387C" w:rsidRPr="001A076D" w:rsidRDefault="0083387C" w:rsidP="00FE4F18">
            <w:pPr>
              <w:autoSpaceDE w:val="0"/>
              <w:autoSpaceDN w:val="0"/>
              <w:adjustRightInd w:val="0"/>
              <w:jc w:val="center"/>
              <w:rPr>
                <w:sz w:val="22"/>
                <w:szCs w:val="22"/>
              </w:rPr>
            </w:pPr>
            <w:r w:rsidRPr="001A076D">
              <w:rPr>
                <w:sz w:val="22"/>
                <w:szCs w:val="22"/>
              </w:rPr>
              <w:t>19</w:t>
            </w:r>
          </w:p>
        </w:tc>
        <w:tc>
          <w:tcPr>
            <w:tcW w:w="7088" w:type="dxa"/>
            <w:shd w:val="clear" w:color="auto" w:fill="F2F2F2" w:themeFill="background1" w:themeFillShade="F2"/>
            <w:vAlign w:val="center"/>
          </w:tcPr>
          <w:p w14:paraId="4D0111E7" w14:textId="77777777" w:rsidR="0083387C" w:rsidRPr="001A076D" w:rsidRDefault="0083387C" w:rsidP="00FE4F18">
            <w:pPr>
              <w:autoSpaceDE w:val="0"/>
              <w:autoSpaceDN w:val="0"/>
              <w:adjustRightInd w:val="0"/>
              <w:rPr>
                <w:sz w:val="22"/>
                <w:szCs w:val="22"/>
              </w:rPr>
            </w:pPr>
            <w:r w:rsidRPr="001A076D">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2"/>
                <w:szCs w:val="22"/>
              </w:rPr>
              <w:id w:val="-120004605"/>
              <w14:checkbox>
                <w14:checked w14:val="1"/>
                <w14:checkedState w14:val="2612" w14:font="MS Gothic"/>
                <w14:uncheckedState w14:val="2610" w14:font="MS Gothic"/>
              </w14:checkbox>
            </w:sdtPr>
            <w:sdtContent>
              <w:p w14:paraId="3D18A79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502748247"/>
              <w14:checkbox>
                <w14:checked w14:val="0"/>
                <w14:checkedState w14:val="2612" w14:font="MS Gothic"/>
                <w14:uncheckedState w14:val="2610" w14:font="MS Gothic"/>
              </w14:checkbox>
            </w:sdtPr>
            <w:sdtContent>
              <w:p w14:paraId="75E2B33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96125454"/>
              <w14:checkbox>
                <w14:checked w14:val="0"/>
                <w14:checkedState w14:val="2612" w14:font="MS Gothic"/>
                <w14:uncheckedState w14:val="2610" w14:font="MS Gothic"/>
              </w14:checkbox>
            </w:sdtPr>
            <w:sdtContent>
              <w:p w14:paraId="1502DB0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A85119F" w14:textId="77777777" w:rsidTr="00FE4F18">
        <w:trPr>
          <w:trHeight w:val="403"/>
        </w:trPr>
        <w:tc>
          <w:tcPr>
            <w:tcW w:w="562" w:type="dxa"/>
            <w:shd w:val="clear" w:color="auto" w:fill="F2F2F2" w:themeFill="background1" w:themeFillShade="F2"/>
            <w:vAlign w:val="center"/>
          </w:tcPr>
          <w:p w14:paraId="10DFB6FA" w14:textId="77777777" w:rsidR="0083387C" w:rsidRPr="001A076D" w:rsidRDefault="0083387C" w:rsidP="00FE4F18">
            <w:pPr>
              <w:autoSpaceDE w:val="0"/>
              <w:autoSpaceDN w:val="0"/>
              <w:adjustRightInd w:val="0"/>
              <w:jc w:val="center"/>
              <w:rPr>
                <w:sz w:val="22"/>
                <w:szCs w:val="22"/>
              </w:rPr>
            </w:pPr>
            <w:r w:rsidRPr="001A076D">
              <w:rPr>
                <w:sz w:val="22"/>
                <w:szCs w:val="22"/>
              </w:rPr>
              <w:t>20</w:t>
            </w:r>
          </w:p>
        </w:tc>
        <w:tc>
          <w:tcPr>
            <w:tcW w:w="7088" w:type="dxa"/>
            <w:shd w:val="clear" w:color="auto" w:fill="F2F2F2" w:themeFill="background1" w:themeFillShade="F2"/>
            <w:vAlign w:val="center"/>
          </w:tcPr>
          <w:p w14:paraId="717B4CF0" w14:textId="77777777" w:rsidR="0083387C" w:rsidRPr="001A076D" w:rsidRDefault="0083387C" w:rsidP="00FE4F18">
            <w:pPr>
              <w:autoSpaceDE w:val="0"/>
              <w:autoSpaceDN w:val="0"/>
              <w:adjustRightInd w:val="0"/>
              <w:rPr>
                <w:sz w:val="22"/>
                <w:szCs w:val="22"/>
              </w:rPr>
            </w:pPr>
            <w:r w:rsidRPr="001A076D">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2"/>
                <w:szCs w:val="22"/>
              </w:rPr>
              <w:id w:val="96221617"/>
              <w14:checkbox>
                <w14:checked w14:val="1"/>
                <w14:checkedState w14:val="2612" w14:font="MS Gothic"/>
                <w14:uncheckedState w14:val="2610" w14:font="MS Gothic"/>
              </w14:checkbox>
            </w:sdtPr>
            <w:sdtContent>
              <w:p w14:paraId="2243954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715357891"/>
              <w14:checkbox>
                <w14:checked w14:val="0"/>
                <w14:checkedState w14:val="2612" w14:font="MS Gothic"/>
                <w14:uncheckedState w14:val="2610" w14:font="MS Gothic"/>
              </w14:checkbox>
            </w:sdtPr>
            <w:sdtContent>
              <w:p w14:paraId="15C211C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861819308"/>
              <w14:checkbox>
                <w14:checked w14:val="0"/>
                <w14:checkedState w14:val="2612" w14:font="MS Gothic"/>
                <w14:uncheckedState w14:val="2610" w14:font="MS Gothic"/>
              </w14:checkbox>
            </w:sdtPr>
            <w:sdtContent>
              <w:p w14:paraId="513071A8"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0AFF498" w14:textId="77777777" w:rsidTr="00FE4F18">
        <w:trPr>
          <w:trHeight w:val="439"/>
        </w:trPr>
        <w:tc>
          <w:tcPr>
            <w:tcW w:w="562" w:type="dxa"/>
            <w:shd w:val="clear" w:color="auto" w:fill="F2F2F2" w:themeFill="background1" w:themeFillShade="F2"/>
            <w:vAlign w:val="center"/>
          </w:tcPr>
          <w:p w14:paraId="6E01E790" w14:textId="77777777" w:rsidR="0083387C" w:rsidRPr="001A076D" w:rsidRDefault="0083387C" w:rsidP="00FE4F18">
            <w:pPr>
              <w:autoSpaceDE w:val="0"/>
              <w:autoSpaceDN w:val="0"/>
              <w:adjustRightInd w:val="0"/>
              <w:jc w:val="center"/>
              <w:rPr>
                <w:sz w:val="22"/>
                <w:szCs w:val="22"/>
              </w:rPr>
            </w:pPr>
            <w:r w:rsidRPr="001A076D">
              <w:rPr>
                <w:sz w:val="22"/>
                <w:szCs w:val="22"/>
              </w:rPr>
              <w:t>21</w:t>
            </w:r>
          </w:p>
        </w:tc>
        <w:tc>
          <w:tcPr>
            <w:tcW w:w="7088" w:type="dxa"/>
            <w:shd w:val="clear" w:color="auto" w:fill="F2F2F2" w:themeFill="background1" w:themeFillShade="F2"/>
            <w:vAlign w:val="center"/>
          </w:tcPr>
          <w:p w14:paraId="5A1D613E" w14:textId="77777777" w:rsidR="0083387C" w:rsidRPr="001A076D" w:rsidRDefault="0083387C" w:rsidP="00FE4F18">
            <w:pPr>
              <w:autoSpaceDE w:val="0"/>
              <w:autoSpaceDN w:val="0"/>
              <w:adjustRightInd w:val="0"/>
              <w:rPr>
                <w:sz w:val="22"/>
                <w:szCs w:val="22"/>
              </w:rPr>
            </w:pPr>
            <w:r w:rsidRPr="001A076D">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2"/>
                <w:szCs w:val="22"/>
              </w:rPr>
              <w:id w:val="1507015635"/>
              <w14:checkbox>
                <w14:checked w14:val="1"/>
                <w14:checkedState w14:val="2612" w14:font="MS Gothic"/>
                <w14:uncheckedState w14:val="2610" w14:font="MS Gothic"/>
              </w14:checkbox>
            </w:sdtPr>
            <w:sdtContent>
              <w:p w14:paraId="342870F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82701375"/>
              <w14:checkbox>
                <w14:checked w14:val="0"/>
                <w14:checkedState w14:val="2612" w14:font="MS Gothic"/>
                <w14:uncheckedState w14:val="2610" w14:font="MS Gothic"/>
              </w14:checkbox>
            </w:sdtPr>
            <w:sdtContent>
              <w:p w14:paraId="0E81E39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075428902"/>
              <w14:checkbox>
                <w14:checked w14:val="0"/>
                <w14:checkedState w14:val="2612" w14:font="MS Gothic"/>
                <w14:uncheckedState w14:val="2610" w14:font="MS Gothic"/>
              </w14:checkbox>
            </w:sdtPr>
            <w:sdtContent>
              <w:p w14:paraId="2803B12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450D3A74" w14:textId="77777777" w:rsidTr="00FE4F18">
        <w:trPr>
          <w:trHeight w:val="403"/>
        </w:trPr>
        <w:tc>
          <w:tcPr>
            <w:tcW w:w="562" w:type="dxa"/>
            <w:tcBorders>
              <w:bottom w:val="single" w:sz="4" w:space="0" w:color="auto"/>
            </w:tcBorders>
            <w:shd w:val="clear" w:color="auto" w:fill="F2F2F2" w:themeFill="background1" w:themeFillShade="F2"/>
            <w:vAlign w:val="center"/>
          </w:tcPr>
          <w:p w14:paraId="6947335F" w14:textId="77777777" w:rsidR="0083387C" w:rsidRPr="001A076D" w:rsidRDefault="0083387C" w:rsidP="00FE4F18">
            <w:pPr>
              <w:autoSpaceDE w:val="0"/>
              <w:autoSpaceDN w:val="0"/>
              <w:adjustRightInd w:val="0"/>
              <w:jc w:val="center"/>
              <w:rPr>
                <w:sz w:val="22"/>
                <w:szCs w:val="22"/>
              </w:rPr>
            </w:pPr>
            <w:r w:rsidRPr="001A076D">
              <w:rPr>
                <w:sz w:val="22"/>
                <w:szCs w:val="22"/>
              </w:rPr>
              <w:t>22</w:t>
            </w:r>
          </w:p>
        </w:tc>
        <w:tc>
          <w:tcPr>
            <w:tcW w:w="9923" w:type="dxa"/>
            <w:gridSpan w:val="4"/>
            <w:tcBorders>
              <w:bottom w:val="single" w:sz="4" w:space="0" w:color="auto"/>
            </w:tcBorders>
            <w:shd w:val="clear" w:color="auto" w:fill="F2F2F2" w:themeFill="background1" w:themeFillShade="F2"/>
            <w:vAlign w:val="center"/>
          </w:tcPr>
          <w:p w14:paraId="6B8AC0A4" w14:textId="77777777" w:rsidR="0083387C" w:rsidRPr="001A076D" w:rsidRDefault="0083387C" w:rsidP="00FE4F18">
            <w:pPr>
              <w:autoSpaceDE w:val="0"/>
              <w:autoSpaceDN w:val="0"/>
              <w:adjustRightInd w:val="0"/>
              <w:rPr>
                <w:sz w:val="22"/>
                <w:szCs w:val="22"/>
              </w:rPr>
            </w:pPr>
            <w:r w:rsidRPr="001A076D">
              <w:rPr>
                <w:sz w:val="22"/>
                <w:szCs w:val="22"/>
              </w:rPr>
              <w:t>If NO</w:t>
            </w:r>
            <w:r w:rsidRPr="001A076D">
              <w:rPr>
                <w:b/>
                <w:bCs/>
                <w:sz w:val="22"/>
                <w:szCs w:val="22"/>
              </w:rPr>
              <w:t xml:space="preserve"> </w:t>
            </w:r>
            <w:r w:rsidRPr="001A076D">
              <w:rPr>
                <w:sz w:val="22"/>
                <w:szCs w:val="22"/>
              </w:rPr>
              <w:t xml:space="preserve">to any of above questions, please give an explanation </w:t>
            </w:r>
          </w:p>
        </w:tc>
      </w:tr>
      <w:tr w:rsidR="004F2125" w:rsidRPr="001A076D" w14:paraId="3CDB2276" w14:textId="77777777" w:rsidTr="00FE4F18">
        <w:trPr>
          <w:trHeight w:val="403"/>
        </w:trPr>
        <w:tc>
          <w:tcPr>
            <w:tcW w:w="562" w:type="dxa"/>
            <w:vAlign w:val="center"/>
          </w:tcPr>
          <w:p w14:paraId="27885D1E" w14:textId="77777777" w:rsidR="0083387C" w:rsidRPr="001A076D" w:rsidRDefault="0083387C" w:rsidP="00FE4F18">
            <w:pPr>
              <w:jc w:val="center"/>
              <w:rPr>
                <w:sz w:val="22"/>
                <w:szCs w:val="22"/>
              </w:rPr>
            </w:pPr>
          </w:p>
        </w:tc>
        <w:tc>
          <w:tcPr>
            <w:tcW w:w="9923" w:type="dxa"/>
            <w:gridSpan w:val="4"/>
            <w:vAlign w:val="center"/>
          </w:tcPr>
          <w:p w14:paraId="35690DBC" w14:textId="77777777" w:rsidR="0083387C" w:rsidRPr="001A076D" w:rsidRDefault="0083387C" w:rsidP="00FE4F18">
            <w:pPr>
              <w:rPr>
                <w:sz w:val="22"/>
                <w:szCs w:val="22"/>
              </w:rPr>
            </w:pPr>
            <w:r w:rsidRPr="001A076D">
              <w:rPr>
                <w:sz w:val="22"/>
                <w:szCs w:val="22"/>
              </w:rPr>
              <w:t>Not applicable.</w:t>
            </w:r>
          </w:p>
          <w:p w14:paraId="1A40A3DD" w14:textId="77777777" w:rsidR="0083387C" w:rsidRPr="001A076D" w:rsidRDefault="0083387C" w:rsidP="00FE4F18">
            <w:pPr>
              <w:autoSpaceDE w:val="0"/>
              <w:autoSpaceDN w:val="0"/>
              <w:adjustRightInd w:val="0"/>
            </w:pPr>
            <w:r w:rsidRPr="001A076D">
              <w:rPr>
                <w:i/>
                <w:sz w:val="18"/>
                <w:szCs w:val="18"/>
              </w:rPr>
              <w:t>(this box should expand as you type)</w:t>
            </w:r>
          </w:p>
        </w:tc>
      </w:tr>
    </w:tbl>
    <w:p w14:paraId="3DC5E627" w14:textId="77777777" w:rsidR="0083387C" w:rsidRPr="001A076D" w:rsidRDefault="0083387C" w:rsidP="0083387C"/>
    <w:tbl>
      <w:tblPr>
        <w:tblStyle w:val="TableGrid"/>
        <w:tblW w:w="10485" w:type="dxa"/>
        <w:tblLook w:val="04A0" w:firstRow="1" w:lastRow="0" w:firstColumn="1" w:lastColumn="0" w:noHBand="0" w:noVBand="1"/>
      </w:tblPr>
      <w:tblGrid>
        <w:gridCol w:w="562"/>
        <w:gridCol w:w="7088"/>
        <w:gridCol w:w="992"/>
        <w:gridCol w:w="851"/>
        <w:gridCol w:w="992"/>
      </w:tblGrid>
      <w:tr w:rsidR="00057F93" w:rsidRPr="001A076D" w14:paraId="2A6C753C" w14:textId="77777777" w:rsidTr="00FE4F18">
        <w:tc>
          <w:tcPr>
            <w:tcW w:w="562" w:type="dxa"/>
            <w:shd w:val="clear" w:color="auto" w:fill="F2F2F2" w:themeFill="background1" w:themeFillShade="F2"/>
          </w:tcPr>
          <w:p w14:paraId="6C1B4579" w14:textId="77777777" w:rsidR="0083387C" w:rsidRPr="001A076D" w:rsidRDefault="0083387C" w:rsidP="00FE4F18">
            <w:pPr>
              <w:autoSpaceDE w:val="0"/>
              <w:autoSpaceDN w:val="0"/>
              <w:adjustRightInd w:val="0"/>
              <w:jc w:val="both"/>
              <w:rPr>
                <w:bCs/>
                <w:sz w:val="22"/>
                <w:szCs w:val="22"/>
              </w:rPr>
            </w:pPr>
          </w:p>
        </w:tc>
        <w:tc>
          <w:tcPr>
            <w:tcW w:w="7088" w:type="dxa"/>
            <w:shd w:val="clear" w:color="auto" w:fill="F2F2F2" w:themeFill="background1" w:themeFillShade="F2"/>
            <w:vAlign w:val="center"/>
          </w:tcPr>
          <w:p w14:paraId="6D4534F5" w14:textId="77777777" w:rsidR="0083387C" w:rsidRPr="001A076D" w:rsidRDefault="0083387C" w:rsidP="00FE4F18">
            <w:pPr>
              <w:autoSpaceDE w:val="0"/>
              <w:autoSpaceDN w:val="0"/>
              <w:adjustRightInd w:val="0"/>
              <w:rPr>
                <w:b/>
                <w:sz w:val="22"/>
                <w:szCs w:val="22"/>
              </w:rPr>
            </w:pPr>
            <w:r w:rsidRPr="001A076D">
              <w:rPr>
                <w:b/>
                <w:sz w:val="22"/>
                <w:szCs w:val="22"/>
              </w:rPr>
              <w:t>Information for participants:</w:t>
            </w:r>
          </w:p>
        </w:tc>
        <w:tc>
          <w:tcPr>
            <w:tcW w:w="992" w:type="dxa"/>
            <w:shd w:val="clear" w:color="auto" w:fill="F2F2F2" w:themeFill="background1" w:themeFillShade="F2"/>
            <w:vAlign w:val="bottom"/>
          </w:tcPr>
          <w:p w14:paraId="130D7A8A" w14:textId="77777777" w:rsidR="0083387C" w:rsidRPr="001A076D" w:rsidRDefault="0083387C" w:rsidP="00FE4F18">
            <w:pPr>
              <w:autoSpaceDE w:val="0"/>
              <w:autoSpaceDN w:val="0"/>
              <w:adjustRightInd w:val="0"/>
              <w:jc w:val="center"/>
              <w:rPr>
                <w:b/>
                <w:bCs/>
                <w:sz w:val="16"/>
                <w:szCs w:val="16"/>
              </w:rPr>
            </w:pPr>
          </w:p>
          <w:p w14:paraId="0722CA64"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851" w:type="dxa"/>
            <w:shd w:val="clear" w:color="auto" w:fill="F2F2F2" w:themeFill="background1" w:themeFillShade="F2"/>
            <w:vAlign w:val="bottom"/>
          </w:tcPr>
          <w:p w14:paraId="5CBB1207"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c>
          <w:tcPr>
            <w:tcW w:w="992" w:type="dxa"/>
            <w:shd w:val="clear" w:color="auto" w:fill="F2F2F2" w:themeFill="background1" w:themeFillShade="F2"/>
            <w:vAlign w:val="bottom"/>
          </w:tcPr>
          <w:p w14:paraId="0FAF7D20" w14:textId="77777777" w:rsidR="0083387C" w:rsidRPr="001A076D" w:rsidRDefault="0083387C" w:rsidP="00FE4F18">
            <w:pPr>
              <w:autoSpaceDE w:val="0"/>
              <w:autoSpaceDN w:val="0"/>
              <w:adjustRightInd w:val="0"/>
              <w:jc w:val="center"/>
              <w:rPr>
                <w:b/>
                <w:bCs/>
                <w:sz w:val="16"/>
                <w:szCs w:val="16"/>
              </w:rPr>
            </w:pPr>
          </w:p>
          <w:p w14:paraId="5A5FDB49"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r w:rsidR="00057F93" w:rsidRPr="001A076D" w14:paraId="6FF5BBAF" w14:textId="77777777" w:rsidTr="00FE4F18">
        <w:trPr>
          <w:trHeight w:val="439"/>
        </w:trPr>
        <w:tc>
          <w:tcPr>
            <w:tcW w:w="562" w:type="dxa"/>
            <w:shd w:val="clear" w:color="auto" w:fill="F2F2F2" w:themeFill="background1" w:themeFillShade="F2"/>
            <w:vAlign w:val="center"/>
          </w:tcPr>
          <w:p w14:paraId="1DDA3FFD" w14:textId="77777777" w:rsidR="0083387C" w:rsidRPr="001A076D" w:rsidRDefault="0083387C" w:rsidP="00FE4F18">
            <w:pPr>
              <w:autoSpaceDE w:val="0"/>
              <w:autoSpaceDN w:val="0"/>
              <w:adjustRightInd w:val="0"/>
              <w:jc w:val="center"/>
              <w:rPr>
                <w:sz w:val="22"/>
                <w:szCs w:val="22"/>
              </w:rPr>
            </w:pPr>
            <w:r w:rsidRPr="001A076D">
              <w:rPr>
                <w:sz w:val="22"/>
                <w:szCs w:val="22"/>
              </w:rPr>
              <w:t>24</w:t>
            </w:r>
          </w:p>
        </w:tc>
        <w:tc>
          <w:tcPr>
            <w:tcW w:w="7088" w:type="dxa"/>
            <w:shd w:val="clear" w:color="auto" w:fill="F2F2F2" w:themeFill="background1" w:themeFillShade="F2"/>
            <w:vAlign w:val="center"/>
          </w:tcPr>
          <w:p w14:paraId="58D5816F" w14:textId="77777777" w:rsidR="0083387C" w:rsidRPr="001A076D" w:rsidRDefault="0083387C" w:rsidP="00FE4F18">
            <w:pPr>
              <w:autoSpaceDE w:val="0"/>
              <w:autoSpaceDN w:val="0"/>
              <w:adjustRightInd w:val="0"/>
              <w:rPr>
                <w:sz w:val="22"/>
                <w:szCs w:val="22"/>
              </w:rPr>
            </w:pPr>
            <w:r w:rsidRPr="001A076D">
              <w:rPr>
                <w:sz w:val="22"/>
                <w:szCs w:val="22"/>
              </w:rPr>
              <w:t>Will participants be paid?</w:t>
            </w:r>
          </w:p>
        </w:tc>
        <w:tc>
          <w:tcPr>
            <w:tcW w:w="992" w:type="dxa"/>
            <w:shd w:val="clear" w:color="auto" w:fill="BFBFBF" w:themeFill="background1" w:themeFillShade="BF"/>
            <w:vAlign w:val="center"/>
          </w:tcPr>
          <w:sdt>
            <w:sdtPr>
              <w:rPr>
                <w:sz w:val="22"/>
                <w:szCs w:val="22"/>
              </w:rPr>
              <w:id w:val="51043762"/>
              <w14:checkbox>
                <w14:checked w14:val="0"/>
                <w14:checkedState w14:val="2612" w14:font="MS Gothic"/>
                <w14:uncheckedState w14:val="2610" w14:font="MS Gothic"/>
              </w14:checkbox>
            </w:sdtPr>
            <w:sdtContent>
              <w:p w14:paraId="11D365D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56140063"/>
              <w14:checkbox>
                <w14:checked w14:val="1"/>
                <w14:checkedState w14:val="2612" w14:font="MS Gothic"/>
                <w14:uncheckedState w14:val="2610" w14:font="MS Gothic"/>
              </w14:checkbox>
            </w:sdtPr>
            <w:sdtContent>
              <w:p w14:paraId="75F63C1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634219724"/>
              <w14:checkbox>
                <w14:checked w14:val="0"/>
                <w14:checkedState w14:val="2612" w14:font="MS Gothic"/>
                <w14:uncheckedState w14:val="2610" w14:font="MS Gothic"/>
              </w14:checkbox>
            </w:sdtPr>
            <w:sdtContent>
              <w:p w14:paraId="026B786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05EB3972" w14:textId="77777777" w:rsidTr="00FE4F18">
        <w:trPr>
          <w:trHeight w:val="403"/>
        </w:trPr>
        <w:tc>
          <w:tcPr>
            <w:tcW w:w="562" w:type="dxa"/>
            <w:shd w:val="clear" w:color="auto" w:fill="F2F2F2" w:themeFill="background1" w:themeFillShade="F2"/>
            <w:vAlign w:val="center"/>
          </w:tcPr>
          <w:p w14:paraId="412E2D5A" w14:textId="77777777" w:rsidR="0083387C" w:rsidRPr="001A076D" w:rsidRDefault="0083387C" w:rsidP="00FE4F18">
            <w:pPr>
              <w:autoSpaceDE w:val="0"/>
              <w:autoSpaceDN w:val="0"/>
              <w:adjustRightInd w:val="0"/>
              <w:jc w:val="center"/>
              <w:rPr>
                <w:sz w:val="22"/>
                <w:szCs w:val="22"/>
              </w:rPr>
            </w:pPr>
            <w:r w:rsidRPr="001A076D">
              <w:rPr>
                <w:sz w:val="22"/>
                <w:szCs w:val="22"/>
              </w:rPr>
              <w:t>25</w:t>
            </w:r>
          </w:p>
        </w:tc>
        <w:tc>
          <w:tcPr>
            <w:tcW w:w="7088" w:type="dxa"/>
            <w:shd w:val="clear" w:color="auto" w:fill="F2F2F2" w:themeFill="background1" w:themeFillShade="F2"/>
            <w:vAlign w:val="center"/>
          </w:tcPr>
          <w:p w14:paraId="238E9B02" w14:textId="77777777" w:rsidR="0083387C" w:rsidRPr="001A076D" w:rsidRDefault="0083387C" w:rsidP="00FE4F18">
            <w:pPr>
              <w:autoSpaceDE w:val="0"/>
              <w:autoSpaceDN w:val="0"/>
              <w:adjustRightInd w:val="0"/>
              <w:rPr>
                <w:sz w:val="22"/>
                <w:szCs w:val="22"/>
              </w:rPr>
            </w:pPr>
            <w:r w:rsidRPr="001A076D">
              <w:rPr>
                <w:sz w:val="22"/>
                <w:szCs w:val="22"/>
              </w:rPr>
              <w:t>Is specialist electrical or other equipment to be used with participants?</w:t>
            </w:r>
          </w:p>
        </w:tc>
        <w:tc>
          <w:tcPr>
            <w:tcW w:w="992" w:type="dxa"/>
            <w:shd w:val="clear" w:color="auto" w:fill="BFBFBF" w:themeFill="background1" w:themeFillShade="BF"/>
            <w:vAlign w:val="center"/>
          </w:tcPr>
          <w:sdt>
            <w:sdtPr>
              <w:rPr>
                <w:sz w:val="22"/>
                <w:szCs w:val="22"/>
              </w:rPr>
              <w:id w:val="-1438982454"/>
              <w14:checkbox>
                <w14:checked w14:val="0"/>
                <w14:checkedState w14:val="2612" w14:font="MS Gothic"/>
                <w14:uncheckedState w14:val="2610" w14:font="MS Gothic"/>
              </w14:checkbox>
            </w:sdtPr>
            <w:sdtContent>
              <w:p w14:paraId="30DD4FE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2089267095"/>
              <w14:checkbox>
                <w14:checked w14:val="1"/>
                <w14:checkedState w14:val="2612" w14:font="MS Gothic"/>
                <w14:uncheckedState w14:val="2610" w14:font="MS Gothic"/>
              </w14:checkbox>
            </w:sdtPr>
            <w:sdtContent>
              <w:p w14:paraId="354E2E66"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425468845"/>
              <w14:checkbox>
                <w14:checked w14:val="0"/>
                <w14:checkedState w14:val="2612" w14:font="MS Gothic"/>
                <w14:uncheckedState w14:val="2610" w14:font="MS Gothic"/>
              </w14:checkbox>
            </w:sdtPr>
            <w:sdtContent>
              <w:p w14:paraId="1356D9B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62B1159" w14:textId="77777777" w:rsidTr="00FE4F18">
        <w:trPr>
          <w:trHeight w:val="439"/>
        </w:trPr>
        <w:tc>
          <w:tcPr>
            <w:tcW w:w="562" w:type="dxa"/>
            <w:shd w:val="clear" w:color="auto" w:fill="F2F2F2" w:themeFill="background1" w:themeFillShade="F2"/>
            <w:vAlign w:val="center"/>
          </w:tcPr>
          <w:p w14:paraId="2C077679" w14:textId="77777777" w:rsidR="0083387C" w:rsidRPr="001A076D" w:rsidRDefault="0083387C" w:rsidP="00FE4F18">
            <w:pPr>
              <w:autoSpaceDE w:val="0"/>
              <w:autoSpaceDN w:val="0"/>
              <w:adjustRightInd w:val="0"/>
              <w:jc w:val="center"/>
              <w:rPr>
                <w:sz w:val="22"/>
                <w:szCs w:val="22"/>
              </w:rPr>
            </w:pPr>
            <w:r w:rsidRPr="001A076D">
              <w:rPr>
                <w:sz w:val="22"/>
                <w:szCs w:val="22"/>
              </w:rPr>
              <w:t>26</w:t>
            </w:r>
          </w:p>
        </w:tc>
        <w:tc>
          <w:tcPr>
            <w:tcW w:w="7088" w:type="dxa"/>
            <w:shd w:val="clear" w:color="auto" w:fill="F2F2F2" w:themeFill="background1" w:themeFillShade="F2"/>
            <w:vAlign w:val="center"/>
          </w:tcPr>
          <w:p w14:paraId="3558D24E" w14:textId="77777777" w:rsidR="0083387C" w:rsidRPr="001A076D" w:rsidRDefault="0083387C" w:rsidP="00FE4F18">
            <w:pPr>
              <w:autoSpaceDE w:val="0"/>
              <w:autoSpaceDN w:val="0"/>
              <w:adjustRightInd w:val="0"/>
              <w:rPr>
                <w:sz w:val="22"/>
                <w:szCs w:val="22"/>
              </w:rPr>
            </w:pPr>
            <w:r w:rsidRPr="001A076D">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2"/>
                <w:szCs w:val="22"/>
              </w:rPr>
              <w:id w:val="-225606969"/>
              <w14:checkbox>
                <w14:checked w14:val="0"/>
                <w14:checkedState w14:val="2612" w14:font="MS Gothic"/>
                <w14:uncheckedState w14:val="2610" w14:font="MS Gothic"/>
              </w14:checkbox>
            </w:sdtPr>
            <w:sdtContent>
              <w:p w14:paraId="2B88C5B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565337314"/>
              <w14:checkbox>
                <w14:checked w14:val="1"/>
                <w14:checkedState w14:val="2612" w14:font="MS Gothic"/>
                <w14:uncheckedState w14:val="2610" w14:font="MS Gothic"/>
              </w14:checkbox>
            </w:sdtPr>
            <w:sdtContent>
              <w:p w14:paraId="3915CCF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133575194"/>
              <w14:checkbox>
                <w14:checked w14:val="0"/>
                <w14:checkedState w14:val="2612" w14:font="MS Gothic"/>
                <w14:uncheckedState w14:val="2610" w14:font="MS Gothic"/>
              </w14:checkbox>
            </w:sdtPr>
            <w:sdtContent>
              <w:p w14:paraId="1465885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69E27EE4" w14:textId="77777777" w:rsidTr="00FE4F18">
        <w:trPr>
          <w:trHeight w:val="403"/>
        </w:trPr>
        <w:tc>
          <w:tcPr>
            <w:tcW w:w="562" w:type="dxa"/>
            <w:shd w:val="clear" w:color="auto" w:fill="F2F2F2" w:themeFill="background1" w:themeFillShade="F2"/>
            <w:vAlign w:val="center"/>
          </w:tcPr>
          <w:p w14:paraId="0D454439" w14:textId="77777777" w:rsidR="0083387C" w:rsidRPr="001A076D" w:rsidRDefault="0083387C" w:rsidP="00FE4F18">
            <w:pPr>
              <w:autoSpaceDE w:val="0"/>
              <w:autoSpaceDN w:val="0"/>
              <w:adjustRightInd w:val="0"/>
              <w:jc w:val="center"/>
              <w:rPr>
                <w:sz w:val="22"/>
                <w:szCs w:val="22"/>
              </w:rPr>
            </w:pPr>
            <w:r w:rsidRPr="001A076D">
              <w:rPr>
                <w:sz w:val="22"/>
                <w:szCs w:val="22"/>
              </w:rPr>
              <w:t>27</w:t>
            </w:r>
          </w:p>
        </w:tc>
        <w:tc>
          <w:tcPr>
            <w:tcW w:w="7088" w:type="dxa"/>
            <w:shd w:val="clear" w:color="auto" w:fill="F2F2F2" w:themeFill="background1" w:themeFillShade="F2"/>
            <w:vAlign w:val="center"/>
          </w:tcPr>
          <w:p w14:paraId="3556FDB9" w14:textId="77777777" w:rsidR="0083387C" w:rsidRPr="001A076D" w:rsidRDefault="0083387C" w:rsidP="00FE4F18">
            <w:pPr>
              <w:autoSpaceDE w:val="0"/>
              <w:autoSpaceDN w:val="0"/>
              <w:adjustRightInd w:val="0"/>
              <w:rPr>
                <w:sz w:val="22"/>
                <w:szCs w:val="22"/>
              </w:rPr>
            </w:pPr>
            <w:r w:rsidRPr="001A076D">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2"/>
                <w:szCs w:val="22"/>
              </w:rPr>
              <w:id w:val="-873932248"/>
              <w14:checkbox>
                <w14:checked w14:val="0"/>
                <w14:checkedState w14:val="2612" w14:font="MS Gothic"/>
                <w14:uncheckedState w14:val="2610" w14:font="MS Gothic"/>
              </w14:checkbox>
            </w:sdtPr>
            <w:sdtContent>
              <w:p w14:paraId="655072D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sz w:val="22"/>
                <w:szCs w:val="22"/>
              </w:rPr>
              <w:id w:val="-1867361740"/>
              <w14:checkbox>
                <w14:checked w14:val="1"/>
                <w14:checkedState w14:val="2612" w14:font="MS Gothic"/>
                <w14:uncheckedState w14:val="2610" w14:font="MS Gothic"/>
              </w14:checkbox>
            </w:sdtPr>
            <w:sdtContent>
              <w:p w14:paraId="5A5219F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sz w:val="22"/>
                <w:szCs w:val="22"/>
              </w:rPr>
              <w:id w:val="214328365"/>
              <w14:checkbox>
                <w14:checked w14:val="0"/>
                <w14:checkedState w14:val="2612" w14:font="MS Gothic"/>
                <w14:uncheckedState w14:val="2610" w14:font="MS Gothic"/>
              </w14:checkbox>
            </w:sdtPr>
            <w:sdtContent>
              <w:p w14:paraId="1AB9EDBF"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4BC926B" w14:textId="77777777" w:rsidTr="00FE4F18">
        <w:trPr>
          <w:trHeight w:val="403"/>
        </w:trPr>
        <w:tc>
          <w:tcPr>
            <w:tcW w:w="562" w:type="dxa"/>
            <w:shd w:val="clear" w:color="auto" w:fill="F2F2F2" w:themeFill="background1" w:themeFillShade="F2"/>
            <w:vAlign w:val="center"/>
          </w:tcPr>
          <w:p w14:paraId="312AEE1C" w14:textId="77777777" w:rsidR="0083387C" w:rsidRPr="001A076D" w:rsidRDefault="0083387C" w:rsidP="00FE4F18">
            <w:pPr>
              <w:autoSpaceDE w:val="0"/>
              <w:autoSpaceDN w:val="0"/>
              <w:adjustRightInd w:val="0"/>
              <w:jc w:val="center"/>
              <w:rPr>
                <w:sz w:val="22"/>
                <w:szCs w:val="22"/>
              </w:rPr>
            </w:pPr>
            <w:r w:rsidRPr="001A076D">
              <w:rPr>
                <w:sz w:val="22"/>
                <w:szCs w:val="22"/>
              </w:rPr>
              <w:t>28</w:t>
            </w:r>
          </w:p>
        </w:tc>
        <w:tc>
          <w:tcPr>
            <w:tcW w:w="9923" w:type="dxa"/>
            <w:gridSpan w:val="4"/>
            <w:shd w:val="clear" w:color="auto" w:fill="F2F2F2" w:themeFill="background1" w:themeFillShade="F2"/>
            <w:vAlign w:val="center"/>
          </w:tcPr>
          <w:p w14:paraId="56FD769F" w14:textId="77777777" w:rsidR="0083387C" w:rsidRPr="001A076D" w:rsidRDefault="0083387C" w:rsidP="00FE4F18">
            <w:pPr>
              <w:autoSpaceDE w:val="0"/>
              <w:autoSpaceDN w:val="0"/>
              <w:adjustRightInd w:val="0"/>
              <w:rPr>
                <w:sz w:val="22"/>
                <w:szCs w:val="22"/>
              </w:rPr>
            </w:pPr>
            <w:r w:rsidRPr="001A076D">
              <w:rPr>
                <w:sz w:val="22"/>
                <w:szCs w:val="22"/>
              </w:rPr>
              <w:t>If YES</w:t>
            </w:r>
            <w:r w:rsidRPr="001A076D">
              <w:rPr>
                <w:b/>
                <w:bCs/>
                <w:sz w:val="22"/>
                <w:szCs w:val="22"/>
              </w:rPr>
              <w:t xml:space="preserve"> </w:t>
            </w:r>
            <w:r w:rsidRPr="001A076D">
              <w:rPr>
                <w:sz w:val="22"/>
                <w:szCs w:val="22"/>
              </w:rPr>
              <w:t xml:space="preserve">to any question, please provide full details </w:t>
            </w:r>
          </w:p>
        </w:tc>
      </w:tr>
      <w:tr w:rsidR="004F2125" w:rsidRPr="001A076D" w14:paraId="7F76F2EE" w14:textId="77777777" w:rsidTr="00FE4F18">
        <w:trPr>
          <w:trHeight w:val="403"/>
        </w:trPr>
        <w:tc>
          <w:tcPr>
            <w:tcW w:w="562" w:type="dxa"/>
            <w:vAlign w:val="center"/>
          </w:tcPr>
          <w:p w14:paraId="6149F8D9" w14:textId="77777777" w:rsidR="0083387C" w:rsidRPr="001A076D" w:rsidRDefault="0083387C" w:rsidP="00FE4F18">
            <w:pPr>
              <w:jc w:val="center"/>
              <w:rPr>
                <w:sz w:val="22"/>
                <w:szCs w:val="22"/>
              </w:rPr>
            </w:pPr>
          </w:p>
        </w:tc>
        <w:tc>
          <w:tcPr>
            <w:tcW w:w="9923" w:type="dxa"/>
            <w:gridSpan w:val="4"/>
            <w:vAlign w:val="center"/>
          </w:tcPr>
          <w:p w14:paraId="6DDC7ED6" w14:textId="77777777" w:rsidR="0083387C" w:rsidRPr="001A076D" w:rsidRDefault="0083387C" w:rsidP="00FE4F18">
            <w:pPr>
              <w:rPr>
                <w:sz w:val="22"/>
                <w:szCs w:val="22"/>
              </w:rPr>
            </w:pPr>
            <w:r w:rsidRPr="001A076D">
              <w:rPr>
                <w:sz w:val="22"/>
                <w:szCs w:val="22"/>
              </w:rPr>
              <w:t>Not applicable.</w:t>
            </w:r>
          </w:p>
          <w:p w14:paraId="3EFAC80F" w14:textId="77777777" w:rsidR="0083387C" w:rsidRPr="001A076D" w:rsidRDefault="0083387C" w:rsidP="00FE4F18">
            <w:pPr>
              <w:rPr>
                <w:sz w:val="22"/>
                <w:szCs w:val="22"/>
              </w:rPr>
            </w:pPr>
          </w:p>
          <w:p w14:paraId="35D9CC14" w14:textId="77777777" w:rsidR="0083387C" w:rsidRPr="001A076D" w:rsidRDefault="0083387C" w:rsidP="00FE4F18">
            <w:pPr>
              <w:autoSpaceDE w:val="0"/>
              <w:autoSpaceDN w:val="0"/>
              <w:adjustRightInd w:val="0"/>
            </w:pPr>
            <w:r w:rsidRPr="001A076D">
              <w:rPr>
                <w:i/>
                <w:sz w:val="18"/>
                <w:szCs w:val="18"/>
              </w:rPr>
              <w:t>(this box should expand as you type)</w:t>
            </w:r>
          </w:p>
        </w:tc>
      </w:tr>
    </w:tbl>
    <w:p w14:paraId="1152823C" w14:textId="77777777" w:rsidR="0083387C" w:rsidRPr="001A076D" w:rsidRDefault="0083387C" w:rsidP="0083387C">
      <w:pPr>
        <w:autoSpaceDE w:val="0"/>
        <w:autoSpaceDN w:val="0"/>
        <w:adjustRightInd w:val="0"/>
        <w:spacing w:after="240"/>
        <w:jc w:val="both"/>
        <w:rPr>
          <w:b/>
          <w:sz w:val="22"/>
          <w:szCs w:val="22"/>
        </w:rPr>
      </w:pPr>
    </w:p>
    <w:p w14:paraId="255AEF52" w14:textId="77777777" w:rsidR="0083387C" w:rsidRPr="001A076D" w:rsidRDefault="0083387C" w:rsidP="0083387C">
      <w:pPr>
        <w:rPr>
          <w:b/>
          <w:sz w:val="22"/>
          <w:szCs w:val="22"/>
        </w:rPr>
      </w:pPr>
      <w:r w:rsidRPr="001A076D">
        <w:rPr>
          <w:b/>
          <w:sz w:val="22"/>
          <w:szCs w:val="22"/>
        </w:rPr>
        <w:t>SECTION H: Anticipated Risks</w:t>
      </w:r>
    </w:p>
    <w:p w14:paraId="2C9BE71F" w14:textId="77777777" w:rsidR="0083387C" w:rsidRPr="001A076D" w:rsidRDefault="0083387C" w:rsidP="0083387C">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57F93" w:rsidRPr="001A076D" w14:paraId="2A9E4A4B" w14:textId="77777777" w:rsidTr="00FE4F18">
        <w:tc>
          <w:tcPr>
            <w:tcW w:w="596" w:type="dxa"/>
            <w:tcBorders>
              <w:bottom w:val="single" w:sz="4" w:space="0" w:color="auto"/>
            </w:tcBorders>
            <w:shd w:val="clear" w:color="auto" w:fill="F2F2F2" w:themeFill="background1" w:themeFillShade="F2"/>
          </w:tcPr>
          <w:p w14:paraId="73FE4AED" w14:textId="77777777" w:rsidR="0083387C" w:rsidRPr="001A076D" w:rsidRDefault="0083387C" w:rsidP="00FE4F18">
            <w:pPr>
              <w:pStyle w:val="Heading1"/>
              <w:rPr>
                <w:rFonts w:ascii="Times New Roman" w:hAnsi="Times New Roman" w:cs="Times New Roman"/>
                <w:b/>
                <w:bCs/>
                <w:color w:val="auto"/>
              </w:rPr>
            </w:pPr>
          </w:p>
        </w:tc>
        <w:tc>
          <w:tcPr>
            <w:tcW w:w="9923" w:type="dxa"/>
            <w:gridSpan w:val="4"/>
            <w:tcBorders>
              <w:bottom w:val="single" w:sz="4" w:space="0" w:color="auto"/>
            </w:tcBorders>
            <w:shd w:val="clear" w:color="auto" w:fill="F2F2F2" w:themeFill="background1" w:themeFillShade="F2"/>
          </w:tcPr>
          <w:p w14:paraId="7D8D6EEA" w14:textId="77777777" w:rsidR="0083387C" w:rsidRPr="001A076D" w:rsidRDefault="0083387C" w:rsidP="009038E0">
            <w:r w:rsidRPr="001A076D">
              <w:br w:type="page"/>
              <w:t>Outline any anticipated risks</w:t>
            </w:r>
            <w:r w:rsidRPr="001A076D">
              <w:rPr>
                <w:rFonts w:eastAsia="SimSun"/>
                <w:lang w:eastAsia="zh-CN"/>
              </w:rPr>
              <w:t xml:space="preserve"> </w:t>
            </w:r>
            <w:r w:rsidRPr="001A076D">
              <w:t xml:space="preserve">that may adversely affect any of the participants, the researchers and/or the University, and the steps that will be taken to address them. </w:t>
            </w:r>
          </w:p>
          <w:p w14:paraId="35E4FAC6" w14:textId="77777777" w:rsidR="0083387C" w:rsidRPr="001A076D" w:rsidRDefault="0083387C" w:rsidP="009038E0"/>
          <w:p w14:paraId="2C7549D5" w14:textId="77777777" w:rsidR="0083387C" w:rsidRPr="001A076D" w:rsidRDefault="0083387C" w:rsidP="009038E0">
            <w:r w:rsidRPr="001A076D">
              <w:rPr>
                <w:sz w:val="22"/>
              </w:rPr>
              <w:t>If you have completed a full risk assessment (for example as required by a laboratory, or external research collaborator) you may append that to this form.</w:t>
            </w:r>
            <w:r w:rsidRPr="001A076D">
              <w:t xml:space="preserve">  </w:t>
            </w:r>
          </w:p>
        </w:tc>
      </w:tr>
      <w:tr w:rsidR="00057F93" w:rsidRPr="001A076D" w14:paraId="02DE0DC2" w14:textId="77777777" w:rsidTr="00FE4F18">
        <w:tc>
          <w:tcPr>
            <w:tcW w:w="596" w:type="dxa"/>
            <w:vMerge w:val="restart"/>
            <w:shd w:val="clear" w:color="auto" w:fill="F2F2F2" w:themeFill="background1" w:themeFillShade="F2"/>
            <w:vAlign w:val="center"/>
          </w:tcPr>
          <w:p w14:paraId="1594F7E4" w14:textId="77777777" w:rsidR="0083387C" w:rsidRPr="001A076D" w:rsidRDefault="0083387C" w:rsidP="009038E0">
            <w:pPr>
              <w:rPr>
                <w:b/>
                <w:bCs/>
              </w:rPr>
            </w:pPr>
            <w:r w:rsidRPr="001A076D">
              <w:t>1</w:t>
            </w:r>
          </w:p>
        </w:tc>
        <w:tc>
          <w:tcPr>
            <w:tcW w:w="8393" w:type="dxa"/>
            <w:gridSpan w:val="2"/>
            <w:vMerge w:val="restart"/>
            <w:shd w:val="clear" w:color="auto" w:fill="F2F2F2" w:themeFill="background1" w:themeFillShade="F2"/>
            <w:vAlign w:val="center"/>
          </w:tcPr>
          <w:p w14:paraId="0EF694BD" w14:textId="77777777" w:rsidR="0083387C" w:rsidRPr="001A076D" w:rsidRDefault="0083387C" w:rsidP="009038E0">
            <w:pPr>
              <w:rPr>
                <w:sz w:val="20"/>
                <w:szCs w:val="16"/>
              </w:rPr>
            </w:pPr>
            <w:r w:rsidRPr="001A076D">
              <w:rPr>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4B4BEE6" w14:textId="77777777" w:rsidR="0083387C" w:rsidRPr="001A076D" w:rsidRDefault="0083387C" w:rsidP="009038E0">
            <w:r w:rsidRPr="001A076D">
              <w:t xml:space="preserve">Yes </w:t>
            </w:r>
          </w:p>
        </w:tc>
        <w:tc>
          <w:tcPr>
            <w:tcW w:w="680" w:type="dxa"/>
            <w:tcBorders>
              <w:bottom w:val="single" w:sz="4" w:space="0" w:color="auto"/>
            </w:tcBorders>
            <w:shd w:val="clear" w:color="auto" w:fill="BFBFBF" w:themeFill="background1" w:themeFillShade="BF"/>
          </w:tcPr>
          <w:p w14:paraId="450C45C9" w14:textId="77777777" w:rsidR="0083387C" w:rsidRPr="001A076D" w:rsidRDefault="00000000" w:rsidP="009038E0">
            <w:pPr>
              <w:rPr>
                <w:sz w:val="20"/>
                <w:szCs w:val="16"/>
              </w:rPr>
            </w:pPr>
            <w:sdt>
              <w:sdtPr>
                <w:id w:val="-2006964611"/>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rPr>
                  <w:t>☐</w:t>
                </w:r>
              </w:sdtContent>
            </w:sdt>
          </w:p>
        </w:tc>
      </w:tr>
      <w:tr w:rsidR="00057F93" w:rsidRPr="001A076D" w14:paraId="16E7393F" w14:textId="77777777" w:rsidTr="00FE4F18">
        <w:tc>
          <w:tcPr>
            <w:tcW w:w="596" w:type="dxa"/>
            <w:vMerge/>
            <w:tcBorders>
              <w:bottom w:val="single" w:sz="4" w:space="0" w:color="auto"/>
            </w:tcBorders>
            <w:shd w:val="clear" w:color="auto" w:fill="F2F2F2" w:themeFill="background1" w:themeFillShade="F2"/>
            <w:vAlign w:val="center"/>
          </w:tcPr>
          <w:p w14:paraId="1BC287DF" w14:textId="77777777" w:rsidR="0083387C" w:rsidRPr="001A076D" w:rsidRDefault="0083387C" w:rsidP="00FE4F18">
            <w:pPr>
              <w:pStyle w:val="Heading1"/>
              <w:rPr>
                <w:rFonts w:ascii="Times New Roman" w:hAnsi="Times New Roman" w:cs="Times New Roman"/>
                <w:b/>
                <w:bCs/>
                <w:color w:val="auto"/>
                <w:sz w:val="20"/>
                <w:szCs w:val="16"/>
              </w:rPr>
            </w:pPr>
          </w:p>
        </w:tc>
        <w:tc>
          <w:tcPr>
            <w:tcW w:w="8393" w:type="dxa"/>
            <w:gridSpan w:val="2"/>
            <w:vMerge/>
            <w:tcBorders>
              <w:bottom w:val="single" w:sz="4" w:space="0" w:color="auto"/>
            </w:tcBorders>
            <w:shd w:val="clear" w:color="auto" w:fill="F2F2F2" w:themeFill="background1" w:themeFillShade="F2"/>
          </w:tcPr>
          <w:p w14:paraId="10E338EE" w14:textId="77777777" w:rsidR="0083387C" w:rsidRPr="001A076D" w:rsidRDefault="0083387C" w:rsidP="009038E0">
            <w:pPr>
              <w:rPr>
                <w:sz w:val="20"/>
                <w:szCs w:val="16"/>
              </w:rPr>
            </w:pPr>
          </w:p>
        </w:tc>
        <w:tc>
          <w:tcPr>
            <w:tcW w:w="850" w:type="dxa"/>
            <w:tcBorders>
              <w:bottom w:val="single" w:sz="4" w:space="0" w:color="auto"/>
            </w:tcBorders>
            <w:shd w:val="clear" w:color="auto" w:fill="F2F2F2" w:themeFill="background1" w:themeFillShade="F2"/>
          </w:tcPr>
          <w:p w14:paraId="780BAE71" w14:textId="77777777" w:rsidR="0083387C" w:rsidRPr="001A076D" w:rsidRDefault="0083387C" w:rsidP="009038E0">
            <w:r w:rsidRPr="001A076D">
              <w:t>No</w:t>
            </w:r>
          </w:p>
        </w:tc>
        <w:tc>
          <w:tcPr>
            <w:tcW w:w="680" w:type="dxa"/>
            <w:tcBorders>
              <w:bottom w:val="single" w:sz="4" w:space="0" w:color="auto"/>
            </w:tcBorders>
            <w:shd w:val="clear" w:color="auto" w:fill="BFBFBF" w:themeFill="background1" w:themeFillShade="BF"/>
          </w:tcPr>
          <w:p w14:paraId="733016CA" w14:textId="77777777" w:rsidR="0083387C" w:rsidRPr="001A076D" w:rsidRDefault="00000000" w:rsidP="009038E0">
            <w:sdt>
              <w:sdtPr>
                <w:id w:val="-389729326"/>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rPr>
                  <w:t>☒</w:t>
                </w:r>
              </w:sdtContent>
            </w:sdt>
          </w:p>
        </w:tc>
      </w:tr>
      <w:tr w:rsidR="00057F93" w:rsidRPr="001A076D" w14:paraId="1DAC0D84" w14:textId="77777777" w:rsidTr="00FE4F18">
        <w:tc>
          <w:tcPr>
            <w:tcW w:w="596" w:type="dxa"/>
            <w:tcBorders>
              <w:bottom w:val="single" w:sz="4" w:space="0" w:color="auto"/>
            </w:tcBorders>
            <w:shd w:val="clear" w:color="auto" w:fill="F2F2F2" w:themeFill="background1" w:themeFillShade="F2"/>
            <w:vAlign w:val="center"/>
          </w:tcPr>
          <w:p w14:paraId="3F8BF516" w14:textId="77777777" w:rsidR="0083387C" w:rsidRPr="001A076D" w:rsidRDefault="0083387C" w:rsidP="00FE4F18">
            <w:pPr>
              <w:jc w:val="center"/>
              <w:rPr>
                <w:sz w:val="22"/>
                <w:szCs w:val="22"/>
              </w:rPr>
            </w:pPr>
            <w:r w:rsidRPr="001A076D">
              <w:rPr>
                <w:sz w:val="22"/>
                <w:szCs w:val="22"/>
              </w:rPr>
              <w:t>2</w:t>
            </w:r>
          </w:p>
        </w:tc>
        <w:tc>
          <w:tcPr>
            <w:tcW w:w="9923" w:type="dxa"/>
            <w:gridSpan w:val="4"/>
            <w:tcBorders>
              <w:bottom w:val="single" w:sz="4" w:space="0" w:color="auto"/>
            </w:tcBorders>
            <w:shd w:val="clear" w:color="auto" w:fill="F2F2F2" w:themeFill="background1" w:themeFillShade="F2"/>
          </w:tcPr>
          <w:p w14:paraId="7746269A" w14:textId="77777777" w:rsidR="0083387C" w:rsidRPr="001A076D" w:rsidRDefault="0083387C" w:rsidP="009038E0">
            <w:pPr>
              <w:rPr>
                <w:sz w:val="22"/>
                <w:szCs w:val="22"/>
              </w:rPr>
            </w:pPr>
            <w:r w:rsidRPr="001A076D">
              <w:rPr>
                <w:sz w:val="22"/>
                <w:szCs w:val="22"/>
              </w:rPr>
              <w:t>Risks to participants</w:t>
            </w:r>
          </w:p>
          <w:p w14:paraId="5943EB70" w14:textId="77777777" w:rsidR="0083387C" w:rsidRPr="001A076D" w:rsidRDefault="0083387C" w:rsidP="009038E0">
            <w:pPr>
              <w:rPr>
                <w:sz w:val="22"/>
                <w:szCs w:val="22"/>
              </w:rPr>
            </w:pPr>
            <w:r w:rsidRPr="001A076D">
              <w:rPr>
                <w:sz w:val="22"/>
                <w:szCs w:val="22"/>
              </w:rPr>
              <w:t>For example: sector-specific health &amp; safety, emotional distress, financial disclosure, physical harm, transfer of personal data, sensitive organisational information</w:t>
            </w:r>
          </w:p>
        </w:tc>
      </w:tr>
      <w:tr w:rsidR="00057F93" w:rsidRPr="001A076D" w14:paraId="232BB1B9" w14:textId="77777777" w:rsidTr="00FE4F18">
        <w:tc>
          <w:tcPr>
            <w:tcW w:w="596" w:type="dxa"/>
            <w:tcBorders>
              <w:top w:val="single" w:sz="4" w:space="0" w:color="auto"/>
              <w:bottom w:val="single" w:sz="4" w:space="0" w:color="auto"/>
            </w:tcBorders>
            <w:vAlign w:val="center"/>
          </w:tcPr>
          <w:p w14:paraId="6C8F5505" w14:textId="77777777" w:rsidR="0083387C" w:rsidRPr="001A076D" w:rsidRDefault="0083387C" w:rsidP="00FE4F18">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51BD9960" w14:textId="77777777" w:rsidR="0083387C" w:rsidRPr="001A076D" w:rsidRDefault="0083387C" w:rsidP="009038E0">
            <w:pPr>
              <w:rPr>
                <w:sz w:val="22"/>
                <w:szCs w:val="22"/>
              </w:rPr>
            </w:pPr>
          </w:p>
          <w:p w14:paraId="71B1DBC0" w14:textId="77777777" w:rsidR="0083387C" w:rsidRPr="001A076D" w:rsidRDefault="0083387C" w:rsidP="009038E0">
            <w:pPr>
              <w:rPr>
                <w:sz w:val="22"/>
                <w:szCs w:val="22"/>
              </w:rPr>
            </w:pPr>
            <w:r w:rsidRPr="001A076D">
              <w:rPr>
                <w:sz w:val="22"/>
                <w:szCs w:val="22"/>
              </w:rPr>
              <w:t>There is minimal risk to participants. Risks include minor emotional discomfort due to discussing internal organisational processes or personal views on leadership, governance, or digital readiness.</w:t>
            </w:r>
          </w:p>
          <w:p w14:paraId="4F4859D2" w14:textId="77777777" w:rsidR="0083387C" w:rsidRPr="001A076D" w:rsidRDefault="0083387C" w:rsidP="009038E0">
            <w:pPr>
              <w:rPr>
                <w:sz w:val="22"/>
                <w:szCs w:val="22"/>
              </w:rPr>
            </w:pPr>
          </w:p>
          <w:p w14:paraId="25AABDE9" w14:textId="77777777" w:rsidR="0083387C" w:rsidRPr="001A076D" w:rsidRDefault="0083387C" w:rsidP="009038E0">
            <w:pPr>
              <w:rPr>
                <w:sz w:val="22"/>
                <w:szCs w:val="22"/>
              </w:rPr>
            </w:pPr>
            <w:r w:rsidRPr="001A076D">
              <w:rPr>
                <w:i/>
                <w:sz w:val="18"/>
                <w:szCs w:val="18"/>
              </w:rPr>
              <w:t>(this box should expand as you type)</w:t>
            </w:r>
          </w:p>
        </w:tc>
        <w:tc>
          <w:tcPr>
            <w:tcW w:w="4932" w:type="dxa"/>
            <w:gridSpan w:val="3"/>
            <w:tcBorders>
              <w:top w:val="single" w:sz="4" w:space="0" w:color="auto"/>
              <w:bottom w:val="single" w:sz="4" w:space="0" w:color="auto"/>
            </w:tcBorders>
          </w:tcPr>
          <w:p w14:paraId="22444759" w14:textId="77777777" w:rsidR="0083387C" w:rsidRPr="001A076D" w:rsidRDefault="0083387C" w:rsidP="009038E0">
            <w:pPr>
              <w:rPr>
                <w:i/>
                <w:sz w:val="18"/>
                <w:szCs w:val="18"/>
              </w:rPr>
            </w:pPr>
            <w:r w:rsidRPr="001A076D">
              <w:rPr>
                <w:i/>
                <w:sz w:val="18"/>
                <w:szCs w:val="18"/>
              </w:rPr>
              <w:lastRenderedPageBreak/>
              <w:t>How you will mitigate the risk to participants:</w:t>
            </w:r>
          </w:p>
          <w:p w14:paraId="3071E18C" w14:textId="77777777" w:rsidR="0083387C" w:rsidRPr="001A076D" w:rsidRDefault="0083387C" w:rsidP="009038E0">
            <w:pPr>
              <w:rPr>
                <w:sz w:val="22"/>
                <w:szCs w:val="22"/>
              </w:rPr>
            </w:pPr>
          </w:p>
          <w:p w14:paraId="1BE684E3" w14:textId="77777777" w:rsidR="0083387C" w:rsidRPr="001A076D" w:rsidRDefault="0083387C" w:rsidP="009038E0">
            <w:pPr>
              <w:rPr>
                <w:sz w:val="22"/>
                <w:szCs w:val="22"/>
              </w:rPr>
            </w:pPr>
            <w:r w:rsidRPr="001A076D">
              <w:rPr>
                <w:sz w:val="22"/>
                <w:szCs w:val="22"/>
              </w:rPr>
              <w:t>All participation is voluntary and based on informed consent.</w:t>
            </w:r>
          </w:p>
          <w:p w14:paraId="7584C7D0" w14:textId="77777777" w:rsidR="0083387C" w:rsidRPr="001A076D" w:rsidRDefault="0083387C" w:rsidP="009038E0">
            <w:pPr>
              <w:rPr>
                <w:sz w:val="22"/>
                <w:szCs w:val="22"/>
              </w:rPr>
            </w:pPr>
            <w:r w:rsidRPr="001A076D">
              <w:rPr>
                <w:sz w:val="22"/>
                <w:szCs w:val="22"/>
              </w:rPr>
              <w:lastRenderedPageBreak/>
              <w:t>No sensitive personal or financial data will be collected.</w:t>
            </w:r>
          </w:p>
          <w:p w14:paraId="01F25E1E" w14:textId="77777777" w:rsidR="0083387C" w:rsidRPr="001A076D" w:rsidRDefault="0083387C" w:rsidP="009038E0">
            <w:pPr>
              <w:rPr>
                <w:sz w:val="22"/>
                <w:szCs w:val="22"/>
              </w:rPr>
            </w:pPr>
            <w:r w:rsidRPr="001A076D">
              <w:rPr>
                <w:sz w:val="22"/>
                <w:szCs w:val="22"/>
              </w:rPr>
              <w:t>Responses will be anonymised and participants can skip any question or withdraw at any time.</w:t>
            </w:r>
          </w:p>
          <w:p w14:paraId="4A11596C" w14:textId="77777777" w:rsidR="0083387C" w:rsidRPr="001A076D" w:rsidRDefault="0083387C" w:rsidP="009038E0">
            <w:pPr>
              <w:rPr>
                <w:sz w:val="22"/>
                <w:szCs w:val="22"/>
              </w:rPr>
            </w:pPr>
            <w:r w:rsidRPr="001A076D">
              <w:rPr>
                <w:sz w:val="22"/>
                <w:szCs w:val="22"/>
              </w:rPr>
              <w:t>Participants will receive an information sheet clearly explaining the purpose and nature of the study.</w:t>
            </w:r>
          </w:p>
          <w:p w14:paraId="16A06ABE" w14:textId="77777777" w:rsidR="0083387C" w:rsidRPr="001A076D" w:rsidRDefault="0083387C" w:rsidP="009038E0">
            <w:pPr>
              <w:rPr>
                <w:i/>
              </w:rPr>
            </w:pPr>
            <w:r w:rsidRPr="001A076D">
              <w:rPr>
                <w:i/>
                <w:sz w:val="18"/>
                <w:szCs w:val="18"/>
              </w:rPr>
              <w:t>(this box should expand as you type)</w:t>
            </w:r>
          </w:p>
        </w:tc>
      </w:tr>
      <w:tr w:rsidR="00057F93" w:rsidRPr="001A076D" w14:paraId="07AD1CD3" w14:textId="77777777" w:rsidTr="00FE4F18">
        <w:tc>
          <w:tcPr>
            <w:tcW w:w="596" w:type="dxa"/>
            <w:tcBorders>
              <w:bottom w:val="single" w:sz="4" w:space="0" w:color="auto"/>
            </w:tcBorders>
            <w:shd w:val="clear" w:color="auto" w:fill="F2F2F2" w:themeFill="background1" w:themeFillShade="F2"/>
            <w:vAlign w:val="center"/>
          </w:tcPr>
          <w:p w14:paraId="5E4DD09C" w14:textId="77777777" w:rsidR="0083387C" w:rsidRPr="001A076D" w:rsidRDefault="0083387C" w:rsidP="00FE4F18">
            <w:pPr>
              <w:jc w:val="center"/>
              <w:rPr>
                <w:sz w:val="22"/>
                <w:szCs w:val="22"/>
              </w:rPr>
            </w:pPr>
            <w:r w:rsidRPr="001A076D">
              <w:rPr>
                <w:sz w:val="22"/>
                <w:szCs w:val="22"/>
              </w:rPr>
              <w:lastRenderedPageBreak/>
              <w:t>3</w:t>
            </w:r>
          </w:p>
        </w:tc>
        <w:tc>
          <w:tcPr>
            <w:tcW w:w="9923" w:type="dxa"/>
            <w:gridSpan w:val="4"/>
            <w:tcBorders>
              <w:bottom w:val="single" w:sz="4" w:space="0" w:color="auto"/>
            </w:tcBorders>
            <w:shd w:val="clear" w:color="auto" w:fill="F2F2F2" w:themeFill="background1" w:themeFillShade="F2"/>
          </w:tcPr>
          <w:p w14:paraId="6A48D8AC" w14:textId="77777777" w:rsidR="0083387C" w:rsidRPr="001A076D" w:rsidRDefault="0083387C" w:rsidP="009038E0">
            <w:pPr>
              <w:rPr>
                <w:sz w:val="22"/>
                <w:szCs w:val="22"/>
              </w:rPr>
            </w:pPr>
            <w:r w:rsidRPr="001A076D">
              <w:rPr>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057F93" w:rsidRPr="001A076D" w14:paraId="29DA1C4F" w14:textId="77777777" w:rsidTr="00FE4F18">
        <w:tc>
          <w:tcPr>
            <w:tcW w:w="596" w:type="dxa"/>
            <w:tcBorders>
              <w:top w:val="single" w:sz="4" w:space="0" w:color="auto"/>
              <w:bottom w:val="single" w:sz="4" w:space="0" w:color="auto"/>
            </w:tcBorders>
            <w:vAlign w:val="center"/>
          </w:tcPr>
          <w:p w14:paraId="17377211" w14:textId="77777777" w:rsidR="0083387C" w:rsidRPr="001A076D" w:rsidRDefault="0083387C" w:rsidP="00FE4F18">
            <w:pPr>
              <w:jc w:val="center"/>
              <w:rPr>
                <w:sz w:val="22"/>
                <w:szCs w:val="22"/>
              </w:rPr>
            </w:pPr>
          </w:p>
        </w:tc>
        <w:tc>
          <w:tcPr>
            <w:tcW w:w="9923" w:type="dxa"/>
            <w:gridSpan w:val="4"/>
            <w:tcBorders>
              <w:top w:val="single" w:sz="4" w:space="0" w:color="auto"/>
              <w:bottom w:val="single" w:sz="4" w:space="0" w:color="auto"/>
            </w:tcBorders>
          </w:tcPr>
          <w:p w14:paraId="451FBE7B" w14:textId="77777777" w:rsidR="0083387C" w:rsidRPr="001A076D" w:rsidRDefault="0083387C" w:rsidP="009038E0">
            <w:pPr>
              <w:rPr>
                <w:sz w:val="22"/>
                <w:szCs w:val="22"/>
              </w:rPr>
            </w:pPr>
          </w:p>
          <w:p w14:paraId="6DDB5962" w14:textId="77777777" w:rsidR="0083387C" w:rsidRPr="001A076D" w:rsidRDefault="0083387C" w:rsidP="009038E0">
            <w:pPr>
              <w:rPr>
                <w:sz w:val="22"/>
                <w:szCs w:val="22"/>
              </w:rPr>
            </w:pPr>
            <w:r w:rsidRPr="001A076D">
              <w:rPr>
                <w:sz w:val="22"/>
                <w:szCs w:val="22"/>
              </w:rPr>
              <w:t>The research does not include questions related to illegal activity, trauma, or distressing topics. It is limited to organisational behaviour, governance, and technology adoption.</w:t>
            </w:r>
            <w:r w:rsidRPr="001A076D">
              <w:rPr>
                <w:sz w:val="22"/>
                <w:szCs w:val="22"/>
              </w:rPr>
              <w:br/>
              <w:t xml:space="preserve">Should a participant become </w:t>
            </w:r>
            <w:proofErr w:type="gramStart"/>
            <w:r w:rsidRPr="001A076D">
              <w:rPr>
                <w:sz w:val="22"/>
                <w:szCs w:val="22"/>
              </w:rPr>
              <w:t>uncomfortable,</w:t>
            </w:r>
            <w:proofErr w:type="gramEnd"/>
            <w:r w:rsidRPr="001A076D">
              <w:rPr>
                <w:sz w:val="22"/>
                <w:szCs w:val="22"/>
              </w:rPr>
              <w:t xml:space="preserve"> they may stop the interview or withdraw without consequence. Participants will be reminded that disclosures about illegal activities are not solicited. However, if disclosed, relevant legal obligations may </w:t>
            </w:r>
            <w:proofErr w:type="gramStart"/>
            <w:r w:rsidRPr="001A076D">
              <w:rPr>
                <w:sz w:val="22"/>
                <w:szCs w:val="22"/>
              </w:rPr>
              <w:t>apply</w:t>
            </w:r>
            <w:proofErr w:type="gramEnd"/>
            <w:r w:rsidRPr="001A076D">
              <w:rPr>
                <w:sz w:val="22"/>
                <w:szCs w:val="22"/>
              </w:rPr>
              <w:t xml:space="preserve"> and this is stated in the consent form.</w:t>
            </w:r>
          </w:p>
          <w:p w14:paraId="1301099A" w14:textId="77777777" w:rsidR="0083387C" w:rsidRPr="001A076D" w:rsidRDefault="0083387C" w:rsidP="009038E0">
            <w:r w:rsidRPr="001A076D">
              <w:rPr>
                <w:i/>
                <w:sz w:val="18"/>
                <w:szCs w:val="18"/>
              </w:rPr>
              <w:t>(this box should expand as you type)</w:t>
            </w:r>
          </w:p>
        </w:tc>
      </w:tr>
      <w:tr w:rsidR="00057F93" w:rsidRPr="001A076D" w14:paraId="670A4118" w14:textId="77777777" w:rsidTr="00FE4F18">
        <w:tc>
          <w:tcPr>
            <w:tcW w:w="596" w:type="dxa"/>
            <w:tcBorders>
              <w:top w:val="single" w:sz="4" w:space="0" w:color="auto"/>
              <w:bottom w:val="single" w:sz="4" w:space="0" w:color="auto"/>
            </w:tcBorders>
            <w:shd w:val="clear" w:color="auto" w:fill="F2F2F2" w:themeFill="background1" w:themeFillShade="F2"/>
            <w:vAlign w:val="center"/>
          </w:tcPr>
          <w:p w14:paraId="2F7CC17E" w14:textId="77777777" w:rsidR="0083387C" w:rsidRPr="001A076D" w:rsidRDefault="0083387C" w:rsidP="00FE4F18">
            <w:pPr>
              <w:jc w:val="center"/>
              <w:rPr>
                <w:sz w:val="22"/>
                <w:szCs w:val="22"/>
              </w:rPr>
            </w:pPr>
            <w:r w:rsidRPr="001A076D">
              <w:rPr>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017BA7D" w14:textId="77777777" w:rsidR="0083387C" w:rsidRPr="001A076D" w:rsidRDefault="0083387C" w:rsidP="009038E0">
            <w:pPr>
              <w:rPr>
                <w:sz w:val="22"/>
                <w:szCs w:val="22"/>
              </w:rPr>
            </w:pPr>
            <w:r w:rsidRPr="001A076D">
              <w:rPr>
                <w:sz w:val="22"/>
                <w:szCs w:val="22"/>
              </w:rPr>
              <w:t>Risks to the investigator</w:t>
            </w:r>
          </w:p>
          <w:p w14:paraId="095A44B3" w14:textId="77777777" w:rsidR="0083387C" w:rsidRPr="001A076D" w:rsidRDefault="0083387C" w:rsidP="009038E0">
            <w:pPr>
              <w:rPr>
                <w:sz w:val="22"/>
                <w:szCs w:val="22"/>
              </w:rPr>
            </w:pPr>
            <w:r w:rsidRPr="001A076D">
              <w:rPr>
                <w:sz w:val="22"/>
                <w:szCs w:val="22"/>
              </w:rPr>
              <w:t>For example: personal health &amp; safety, physical harm, emotional distress, risk of accusation of harm/impropriety, conflict of interest</w:t>
            </w:r>
          </w:p>
        </w:tc>
      </w:tr>
      <w:tr w:rsidR="00057F93" w:rsidRPr="001A076D" w14:paraId="0280BEEC" w14:textId="77777777" w:rsidTr="00FE4F18">
        <w:tc>
          <w:tcPr>
            <w:tcW w:w="596" w:type="dxa"/>
            <w:tcBorders>
              <w:top w:val="single" w:sz="4" w:space="0" w:color="auto"/>
              <w:bottom w:val="single" w:sz="4" w:space="0" w:color="auto"/>
            </w:tcBorders>
            <w:vAlign w:val="center"/>
          </w:tcPr>
          <w:p w14:paraId="0F702D28" w14:textId="77777777" w:rsidR="0083387C" w:rsidRPr="001A076D" w:rsidRDefault="0083387C" w:rsidP="00FE4F18">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5D811F89" w14:textId="77777777" w:rsidR="0083387C" w:rsidRPr="001A076D" w:rsidRDefault="0083387C" w:rsidP="009038E0">
            <w:pPr>
              <w:rPr>
                <w:sz w:val="22"/>
                <w:szCs w:val="22"/>
              </w:rPr>
            </w:pPr>
            <w:r w:rsidRPr="001A076D">
              <w:rPr>
                <w:sz w:val="22"/>
                <w:szCs w:val="22"/>
              </w:rPr>
              <w:t>Risk to the investigator:</w:t>
            </w:r>
          </w:p>
          <w:p w14:paraId="3DA3B9F7" w14:textId="77777777" w:rsidR="0083387C" w:rsidRPr="001A076D" w:rsidRDefault="0083387C" w:rsidP="009038E0">
            <w:pPr>
              <w:rPr>
                <w:sz w:val="22"/>
                <w:szCs w:val="22"/>
              </w:rPr>
            </w:pPr>
            <w:r w:rsidRPr="001A076D">
              <w:rPr>
                <w:sz w:val="22"/>
                <w:szCs w:val="22"/>
              </w:rPr>
              <w:t>Risks are minimal but may include emotional fatigue due to workload or perceived pressure from engaging with senior stakeholders.</w:t>
            </w:r>
          </w:p>
          <w:p w14:paraId="4D22017C" w14:textId="77777777" w:rsidR="0083387C" w:rsidRPr="001A076D" w:rsidRDefault="0083387C" w:rsidP="009038E0">
            <w:pPr>
              <w:rPr>
                <w:sz w:val="22"/>
                <w:szCs w:val="22"/>
              </w:rPr>
            </w:pPr>
          </w:p>
          <w:p w14:paraId="2C9FDA33" w14:textId="77777777" w:rsidR="0083387C" w:rsidRPr="001A076D" w:rsidRDefault="0083387C" w:rsidP="009038E0">
            <w:pPr>
              <w:rPr>
                <w:sz w:val="22"/>
                <w:szCs w:val="22"/>
              </w:rPr>
            </w:pPr>
            <w:r w:rsidRPr="001A076D">
              <w:rPr>
                <w:i/>
                <w:sz w:val="18"/>
                <w:szCs w:val="18"/>
              </w:rPr>
              <w:t>(this box should expand as you type)</w:t>
            </w:r>
          </w:p>
        </w:tc>
        <w:tc>
          <w:tcPr>
            <w:tcW w:w="4932" w:type="dxa"/>
            <w:gridSpan w:val="3"/>
            <w:tcBorders>
              <w:top w:val="single" w:sz="4" w:space="0" w:color="auto"/>
              <w:bottom w:val="single" w:sz="4" w:space="0" w:color="auto"/>
            </w:tcBorders>
          </w:tcPr>
          <w:p w14:paraId="0B829C70" w14:textId="77777777" w:rsidR="0083387C" w:rsidRPr="001A076D" w:rsidRDefault="0083387C" w:rsidP="009038E0">
            <w:pPr>
              <w:rPr>
                <w:i/>
                <w:sz w:val="18"/>
                <w:szCs w:val="18"/>
              </w:rPr>
            </w:pPr>
            <w:r w:rsidRPr="001A076D">
              <w:rPr>
                <w:i/>
                <w:sz w:val="18"/>
                <w:szCs w:val="18"/>
              </w:rPr>
              <w:t>How you will mitigate the risk to the investigator:</w:t>
            </w:r>
          </w:p>
          <w:p w14:paraId="2CB83A39" w14:textId="77777777" w:rsidR="0083387C" w:rsidRPr="001A076D" w:rsidRDefault="0083387C" w:rsidP="009038E0">
            <w:r w:rsidRPr="001A076D">
              <w:t>Virtual interviews reduce physical risk.</w:t>
            </w:r>
          </w:p>
          <w:p w14:paraId="329E65C3" w14:textId="77777777" w:rsidR="0083387C" w:rsidRPr="001A076D" w:rsidRDefault="0083387C" w:rsidP="009038E0">
            <w:r w:rsidRPr="001A076D">
              <w:t>Communication will be professional, recorded with permission, and limited to research purposes.</w:t>
            </w:r>
          </w:p>
          <w:p w14:paraId="01B2C781" w14:textId="77777777" w:rsidR="0083387C" w:rsidRPr="001A076D" w:rsidRDefault="0083387C" w:rsidP="009038E0">
            <w:r w:rsidRPr="001A076D">
              <w:t>A clear ethics protocol will be followed to protect researcher impartiality and reputation.</w:t>
            </w:r>
          </w:p>
          <w:p w14:paraId="429C554A" w14:textId="77777777" w:rsidR="0083387C" w:rsidRPr="001A076D" w:rsidRDefault="0083387C" w:rsidP="009038E0">
            <w:r w:rsidRPr="001A076D">
              <w:rPr>
                <w:i/>
                <w:sz w:val="18"/>
                <w:szCs w:val="18"/>
              </w:rPr>
              <w:t>(this box should expand as you type)</w:t>
            </w:r>
          </w:p>
        </w:tc>
      </w:tr>
      <w:tr w:rsidR="00057F93" w:rsidRPr="001A076D" w14:paraId="63C472A9" w14:textId="77777777" w:rsidTr="00FE4F18">
        <w:tc>
          <w:tcPr>
            <w:tcW w:w="596" w:type="dxa"/>
            <w:tcBorders>
              <w:top w:val="single" w:sz="4" w:space="0" w:color="auto"/>
              <w:bottom w:val="single" w:sz="4" w:space="0" w:color="auto"/>
            </w:tcBorders>
            <w:shd w:val="clear" w:color="auto" w:fill="F2F2F2" w:themeFill="background1" w:themeFillShade="F2"/>
            <w:vAlign w:val="center"/>
          </w:tcPr>
          <w:p w14:paraId="20290F58" w14:textId="77777777" w:rsidR="0083387C" w:rsidRPr="001A076D" w:rsidRDefault="0083387C" w:rsidP="00FE4F18">
            <w:pPr>
              <w:jc w:val="center"/>
              <w:rPr>
                <w:sz w:val="22"/>
                <w:szCs w:val="22"/>
              </w:rPr>
            </w:pPr>
            <w:r w:rsidRPr="001A076D">
              <w:rPr>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23E71DE" w14:textId="77777777" w:rsidR="0083387C" w:rsidRPr="001A076D" w:rsidRDefault="0083387C" w:rsidP="009038E0">
            <w:pPr>
              <w:rPr>
                <w:sz w:val="22"/>
                <w:szCs w:val="22"/>
              </w:rPr>
            </w:pPr>
            <w:r w:rsidRPr="001A076D">
              <w:rPr>
                <w:sz w:val="22"/>
                <w:szCs w:val="22"/>
              </w:rPr>
              <w:t>University/institutional risks</w:t>
            </w:r>
          </w:p>
          <w:p w14:paraId="10A34CC2" w14:textId="77777777" w:rsidR="0083387C" w:rsidRPr="001A076D" w:rsidRDefault="0083387C" w:rsidP="009038E0">
            <w:pPr>
              <w:rPr>
                <w:sz w:val="22"/>
                <w:szCs w:val="22"/>
              </w:rPr>
            </w:pPr>
            <w:r w:rsidRPr="001A076D">
              <w:rPr>
                <w:sz w:val="22"/>
                <w:szCs w:val="22"/>
              </w:rPr>
              <w:t>For example: adverse publicity, financial loss, data protection</w:t>
            </w:r>
          </w:p>
        </w:tc>
      </w:tr>
      <w:tr w:rsidR="00057F93" w:rsidRPr="001A076D" w14:paraId="7478CCC2" w14:textId="77777777" w:rsidTr="00FE4F18">
        <w:tc>
          <w:tcPr>
            <w:tcW w:w="596" w:type="dxa"/>
            <w:tcBorders>
              <w:top w:val="single" w:sz="4" w:space="0" w:color="auto"/>
              <w:bottom w:val="single" w:sz="4" w:space="0" w:color="auto"/>
            </w:tcBorders>
            <w:vAlign w:val="center"/>
          </w:tcPr>
          <w:p w14:paraId="026FA27A" w14:textId="77777777" w:rsidR="0083387C" w:rsidRPr="001A076D" w:rsidRDefault="0083387C" w:rsidP="00FE4F18">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0FB8D713" w14:textId="77777777" w:rsidR="0083387C" w:rsidRPr="001A076D" w:rsidRDefault="0083387C" w:rsidP="009038E0">
            <w:pPr>
              <w:rPr>
                <w:sz w:val="22"/>
                <w:szCs w:val="22"/>
              </w:rPr>
            </w:pPr>
            <w:r w:rsidRPr="001A076D">
              <w:rPr>
                <w:sz w:val="22"/>
                <w:szCs w:val="22"/>
              </w:rPr>
              <w:t>Risk to the University:</w:t>
            </w:r>
          </w:p>
          <w:p w14:paraId="411FA296" w14:textId="77777777" w:rsidR="0083387C" w:rsidRPr="001A076D" w:rsidRDefault="0083387C" w:rsidP="009038E0">
            <w:pPr>
              <w:rPr>
                <w:sz w:val="22"/>
                <w:szCs w:val="22"/>
              </w:rPr>
            </w:pPr>
          </w:p>
          <w:p w14:paraId="75AD2530" w14:textId="77777777" w:rsidR="0083387C" w:rsidRPr="001A076D" w:rsidRDefault="0083387C" w:rsidP="009038E0">
            <w:pPr>
              <w:rPr>
                <w:sz w:val="22"/>
                <w:szCs w:val="22"/>
              </w:rPr>
            </w:pPr>
            <w:r w:rsidRPr="001A076D">
              <w:rPr>
                <w:sz w:val="22"/>
                <w:szCs w:val="22"/>
              </w:rPr>
              <w:t>The risk includes reputational harm if sensitive organisational data is mishandled, or data breaches occur.</w:t>
            </w:r>
          </w:p>
          <w:p w14:paraId="0E789455" w14:textId="77777777" w:rsidR="0083387C" w:rsidRPr="001A076D" w:rsidRDefault="0083387C" w:rsidP="009038E0">
            <w:pPr>
              <w:rPr>
                <w:sz w:val="22"/>
                <w:szCs w:val="22"/>
              </w:rPr>
            </w:pPr>
            <w:r w:rsidRPr="001A076D">
              <w:rPr>
                <w:i/>
                <w:sz w:val="18"/>
                <w:szCs w:val="18"/>
              </w:rPr>
              <w:t>(this box should expand as you type)</w:t>
            </w:r>
          </w:p>
        </w:tc>
        <w:tc>
          <w:tcPr>
            <w:tcW w:w="4932" w:type="dxa"/>
            <w:gridSpan w:val="3"/>
            <w:tcBorders>
              <w:top w:val="single" w:sz="4" w:space="0" w:color="auto"/>
              <w:bottom w:val="single" w:sz="4" w:space="0" w:color="auto"/>
            </w:tcBorders>
          </w:tcPr>
          <w:p w14:paraId="42DF37F4" w14:textId="77777777" w:rsidR="0083387C" w:rsidRPr="001A076D" w:rsidRDefault="0083387C" w:rsidP="009038E0">
            <w:pPr>
              <w:rPr>
                <w:i/>
                <w:sz w:val="18"/>
                <w:szCs w:val="18"/>
              </w:rPr>
            </w:pPr>
            <w:r w:rsidRPr="001A076D">
              <w:rPr>
                <w:i/>
                <w:sz w:val="18"/>
                <w:szCs w:val="18"/>
              </w:rPr>
              <w:t>How you will mitigate the risk to the University:</w:t>
            </w:r>
          </w:p>
          <w:p w14:paraId="08725287" w14:textId="77777777" w:rsidR="0083387C" w:rsidRPr="001A076D" w:rsidRDefault="0083387C" w:rsidP="009038E0">
            <w:pPr>
              <w:rPr>
                <w:sz w:val="22"/>
                <w:szCs w:val="22"/>
              </w:rPr>
            </w:pPr>
            <w:r w:rsidRPr="001A076D">
              <w:rPr>
                <w:sz w:val="22"/>
                <w:szCs w:val="22"/>
              </w:rPr>
              <w:t>All data will be anonymised.</w:t>
            </w:r>
          </w:p>
          <w:p w14:paraId="24D4B214" w14:textId="77777777" w:rsidR="0083387C" w:rsidRPr="001A076D" w:rsidRDefault="0083387C" w:rsidP="009038E0">
            <w:pPr>
              <w:rPr>
                <w:sz w:val="22"/>
                <w:szCs w:val="22"/>
              </w:rPr>
            </w:pPr>
            <w:r w:rsidRPr="001A076D">
              <w:rPr>
                <w:sz w:val="22"/>
                <w:szCs w:val="22"/>
              </w:rPr>
              <w:t>Consent forms and participant materials include University logos and disclaimers.</w:t>
            </w:r>
          </w:p>
          <w:p w14:paraId="0EC0631D" w14:textId="77777777" w:rsidR="0083387C" w:rsidRPr="001A076D" w:rsidRDefault="0083387C" w:rsidP="009038E0">
            <w:pPr>
              <w:rPr>
                <w:sz w:val="22"/>
                <w:szCs w:val="22"/>
              </w:rPr>
            </w:pPr>
            <w:r w:rsidRPr="001A076D">
              <w:rPr>
                <w:sz w:val="22"/>
                <w:szCs w:val="22"/>
              </w:rPr>
              <w:t>Data will be securely stored in line with GDPR and UWTSD data protection policies.</w:t>
            </w:r>
          </w:p>
          <w:p w14:paraId="05A70BB5" w14:textId="77777777" w:rsidR="0083387C" w:rsidRPr="001A076D" w:rsidRDefault="0083387C" w:rsidP="009038E0">
            <w:r w:rsidRPr="001A076D">
              <w:rPr>
                <w:i/>
                <w:sz w:val="18"/>
                <w:szCs w:val="18"/>
              </w:rPr>
              <w:t>(this box should expand as you type)</w:t>
            </w:r>
          </w:p>
        </w:tc>
      </w:tr>
      <w:tr w:rsidR="00057F93" w:rsidRPr="001A076D" w14:paraId="4AD6ADD2" w14:textId="77777777" w:rsidTr="00FE4F18">
        <w:tc>
          <w:tcPr>
            <w:tcW w:w="596" w:type="dxa"/>
            <w:tcBorders>
              <w:top w:val="single" w:sz="4" w:space="0" w:color="auto"/>
              <w:bottom w:val="single" w:sz="4" w:space="0" w:color="auto"/>
            </w:tcBorders>
            <w:shd w:val="clear" w:color="auto" w:fill="F2F2F2" w:themeFill="background1" w:themeFillShade="F2"/>
            <w:vAlign w:val="center"/>
          </w:tcPr>
          <w:p w14:paraId="59541C8C" w14:textId="77777777" w:rsidR="0083387C" w:rsidRPr="001A076D" w:rsidRDefault="0083387C" w:rsidP="00FE4F18">
            <w:pPr>
              <w:jc w:val="center"/>
              <w:rPr>
                <w:sz w:val="22"/>
                <w:szCs w:val="22"/>
              </w:rPr>
            </w:pPr>
            <w:r w:rsidRPr="001A076D">
              <w:rPr>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AD7FA42" w14:textId="77777777" w:rsidR="0083387C" w:rsidRPr="001A076D" w:rsidRDefault="0083387C" w:rsidP="009038E0">
            <w:pPr>
              <w:rPr>
                <w:sz w:val="22"/>
                <w:szCs w:val="22"/>
              </w:rPr>
            </w:pPr>
            <w:r w:rsidRPr="001A076D">
              <w:rPr>
                <w:sz w:val="22"/>
                <w:szCs w:val="22"/>
              </w:rPr>
              <w:t>Environmental risks</w:t>
            </w:r>
          </w:p>
          <w:p w14:paraId="1AA86FD3" w14:textId="77777777" w:rsidR="0083387C" w:rsidRPr="001A076D" w:rsidRDefault="0083387C" w:rsidP="009038E0">
            <w:pPr>
              <w:rPr>
                <w:sz w:val="22"/>
                <w:szCs w:val="22"/>
              </w:rPr>
            </w:pPr>
            <w:r w:rsidRPr="001A076D">
              <w:rPr>
                <w:sz w:val="22"/>
                <w:szCs w:val="22"/>
              </w:rPr>
              <w:t>For example: accidental spillage of pollutants, damage to local ecosystems</w:t>
            </w:r>
          </w:p>
        </w:tc>
      </w:tr>
      <w:tr w:rsidR="00057F93" w:rsidRPr="001A076D" w14:paraId="5FC7ECEC" w14:textId="77777777" w:rsidTr="00FE4F18">
        <w:tc>
          <w:tcPr>
            <w:tcW w:w="596" w:type="dxa"/>
            <w:tcBorders>
              <w:top w:val="single" w:sz="4" w:space="0" w:color="auto"/>
              <w:bottom w:val="single" w:sz="4" w:space="0" w:color="auto"/>
            </w:tcBorders>
            <w:vAlign w:val="center"/>
          </w:tcPr>
          <w:p w14:paraId="28D725A9" w14:textId="77777777" w:rsidR="0083387C" w:rsidRPr="001A076D" w:rsidRDefault="0083387C" w:rsidP="00FE4F18">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60CC8C19" w14:textId="77777777" w:rsidR="0083387C" w:rsidRPr="001A076D" w:rsidRDefault="0083387C" w:rsidP="009038E0">
            <w:pPr>
              <w:rPr>
                <w:sz w:val="22"/>
                <w:szCs w:val="22"/>
              </w:rPr>
            </w:pPr>
            <w:r w:rsidRPr="001A076D">
              <w:rPr>
                <w:sz w:val="22"/>
                <w:szCs w:val="22"/>
              </w:rPr>
              <w:t>Risk to the environment:</w:t>
            </w:r>
          </w:p>
          <w:p w14:paraId="222794C5" w14:textId="77777777" w:rsidR="0083387C" w:rsidRPr="001A076D" w:rsidRDefault="0083387C" w:rsidP="009038E0">
            <w:pPr>
              <w:rPr>
                <w:sz w:val="22"/>
                <w:szCs w:val="22"/>
              </w:rPr>
            </w:pPr>
          </w:p>
          <w:p w14:paraId="6382FC71" w14:textId="77777777" w:rsidR="0083387C" w:rsidRPr="001A076D" w:rsidRDefault="0083387C" w:rsidP="009038E0">
            <w:pPr>
              <w:rPr>
                <w:sz w:val="22"/>
                <w:szCs w:val="22"/>
              </w:rPr>
            </w:pPr>
            <w:r w:rsidRPr="001A076D">
              <w:rPr>
                <w:sz w:val="22"/>
                <w:szCs w:val="22"/>
              </w:rPr>
              <w:t>None anticipated. The study is conducted virtually and does not involve physical materials or site visits.</w:t>
            </w:r>
          </w:p>
          <w:p w14:paraId="331B61B4" w14:textId="77777777" w:rsidR="0083387C" w:rsidRPr="001A076D" w:rsidRDefault="0083387C" w:rsidP="009038E0">
            <w:pPr>
              <w:rPr>
                <w:sz w:val="22"/>
                <w:szCs w:val="22"/>
              </w:rPr>
            </w:pPr>
            <w:r w:rsidRPr="001A076D">
              <w:rPr>
                <w:i/>
                <w:sz w:val="18"/>
                <w:szCs w:val="18"/>
              </w:rPr>
              <w:t>(this box should expand as you type)</w:t>
            </w:r>
          </w:p>
        </w:tc>
        <w:tc>
          <w:tcPr>
            <w:tcW w:w="4932" w:type="dxa"/>
            <w:gridSpan w:val="3"/>
            <w:tcBorders>
              <w:top w:val="single" w:sz="4" w:space="0" w:color="auto"/>
              <w:bottom w:val="single" w:sz="4" w:space="0" w:color="auto"/>
            </w:tcBorders>
          </w:tcPr>
          <w:p w14:paraId="3C800A63" w14:textId="77777777" w:rsidR="0083387C" w:rsidRPr="001A076D" w:rsidRDefault="0083387C" w:rsidP="009038E0">
            <w:pPr>
              <w:rPr>
                <w:i/>
                <w:sz w:val="18"/>
                <w:szCs w:val="18"/>
              </w:rPr>
            </w:pPr>
            <w:r w:rsidRPr="001A076D">
              <w:rPr>
                <w:i/>
                <w:sz w:val="18"/>
                <w:szCs w:val="18"/>
              </w:rPr>
              <w:t>How you will mitigate the risk to environment:</w:t>
            </w:r>
          </w:p>
          <w:p w14:paraId="171B4332" w14:textId="77777777" w:rsidR="0083387C" w:rsidRPr="001A076D" w:rsidRDefault="0083387C" w:rsidP="009038E0">
            <w:pPr>
              <w:rPr>
                <w:sz w:val="22"/>
                <w:szCs w:val="22"/>
              </w:rPr>
            </w:pPr>
          </w:p>
          <w:p w14:paraId="0BED96BB" w14:textId="77777777" w:rsidR="0083387C" w:rsidRPr="001A076D" w:rsidRDefault="0083387C" w:rsidP="009038E0">
            <w:pPr>
              <w:rPr>
                <w:sz w:val="22"/>
                <w:szCs w:val="22"/>
              </w:rPr>
            </w:pPr>
            <w:r w:rsidRPr="001A076D">
              <w:rPr>
                <w:sz w:val="22"/>
                <w:szCs w:val="22"/>
              </w:rPr>
              <w:t>N/A</w:t>
            </w:r>
          </w:p>
          <w:p w14:paraId="34BC34F0" w14:textId="77777777" w:rsidR="0083387C" w:rsidRPr="001A076D" w:rsidRDefault="0083387C" w:rsidP="009038E0">
            <w:pPr>
              <w:rPr>
                <w:sz w:val="22"/>
                <w:szCs w:val="22"/>
              </w:rPr>
            </w:pPr>
          </w:p>
          <w:p w14:paraId="3347AD16" w14:textId="77777777" w:rsidR="0083387C" w:rsidRPr="001A076D" w:rsidRDefault="0083387C" w:rsidP="009038E0">
            <w:r w:rsidRPr="001A076D">
              <w:rPr>
                <w:i/>
                <w:sz w:val="18"/>
                <w:szCs w:val="18"/>
              </w:rPr>
              <w:t>(this box should expand as you type)</w:t>
            </w:r>
          </w:p>
        </w:tc>
      </w:tr>
    </w:tbl>
    <w:p w14:paraId="13D901F6" w14:textId="77777777" w:rsidR="0083387C" w:rsidRPr="001A076D" w:rsidRDefault="0083387C" w:rsidP="0083387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57F93" w:rsidRPr="001A076D" w14:paraId="5719FC67" w14:textId="77777777" w:rsidTr="00FE4F1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72D073F" w14:textId="77777777" w:rsidR="0083387C" w:rsidRPr="001A076D" w:rsidRDefault="0083387C" w:rsidP="00FE4F18">
            <w:pPr>
              <w:autoSpaceDE w:val="0"/>
              <w:autoSpaceDN w:val="0"/>
              <w:adjustRightInd w:val="0"/>
              <w:jc w:val="center"/>
              <w:rPr>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57BBD4C" w14:textId="77777777" w:rsidR="0083387C" w:rsidRPr="001A076D" w:rsidRDefault="0083387C" w:rsidP="00FE4F18">
            <w:pPr>
              <w:autoSpaceDE w:val="0"/>
              <w:autoSpaceDN w:val="0"/>
              <w:adjustRightInd w:val="0"/>
              <w:rPr>
                <w:b/>
                <w:sz w:val="22"/>
                <w:szCs w:val="22"/>
              </w:rPr>
            </w:pPr>
            <w:r w:rsidRPr="001A076D">
              <w:rPr>
                <w:b/>
                <w:sz w:val="22"/>
                <w:szCs w:val="22"/>
              </w:rPr>
              <w:t>Disclosure and Barring Service</w:t>
            </w:r>
          </w:p>
        </w:tc>
      </w:tr>
      <w:tr w:rsidR="00057F93" w:rsidRPr="001A076D" w14:paraId="795D09FE" w14:textId="77777777" w:rsidTr="00FE4F18">
        <w:tc>
          <w:tcPr>
            <w:tcW w:w="596" w:type="dxa"/>
            <w:tcBorders>
              <w:top w:val="single" w:sz="4" w:space="0" w:color="auto"/>
              <w:bottom w:val="single" w:sz="4" w:space="0" w:color="auto"/>
            </w:tcBorders>
            <w:shd w:val="clear" w:color="auto" w:fill="F2F2F2" w:themeFill="background1" w:themeFillShade="F2"/>
            <w:vAlign w:val="center"/>
          </w:tcPr>
          <w:p w14:paraId="1AF4D58F" w14:textId="77777777" w:rsidR="0083387C" w:rsidRPr="001A076D" w:rsidRDefault="0083387C" w:rsidP="00FE4F18">
            <w:pPr>
              <w:autoSpaceDE w:val="0"/>
              <w:autoSpaceDN w:val="0"/>
              <w:adjustRightInd w:val="0"/>
              <w:jc w:val="center"/>
              <w:rPr>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DB19622" w14:textId="77777777" w:rsidR="0083387C" w:rsidRPr="001A076D" w:rsidRDefault="0083387C" w:rsidP="00FE4F18">
            <w:pPr>
              <w:autoSpaceDE w:val="0"/>
              <w:autoSpaceDN w:val="0"/>
              <w:adjustRightInd w:val="0"/>
              <w:rPr>
                <w:sz w:val="16"/>
                <w:szCs w:val="16"/>
              </w:rPr>
            </w:pPr>
            <w:r w:rsidRPr="001A076D">
              <w:rPr>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0D95F41"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p w14:paraId="0E2836B4" w14:textId="77777777" w:rsidR="0083387C" w:rsidRPr="001A076D" w:rsidRDefault="0083387C" w:rsidP="00FE4F18">
            <w:pPr>
              <w:autoSpaceDE w:val="0"/>
              <w:autoSpaceDN w:val="0"/>
              <w:adjustRightInd w:val="0"/>
              <w:jc w:val="center"/>
              <w:rPr>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7C7550F"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p w14:paraId="7516E6BB" w14:textId="77777777" w:rsidR="0083387C" w:rsidRPr="001A076D" w:rsidRDefault="0083387C" w:rsidP="00FE4F18">
            <w:pPr>
              <w:autoSpaceDE w:val="0"/>
              <w:autoSpaceDN w:val="0"/>
              <w:adjustRightInd w:val="0"/>
              <w:jc w:val="center"/>
              <w:rPr>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A9E7C50"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p w14:paraId="7D13BD95" w14:textId="77777777" w:rsidR="0083387C" w:rsidRPr="001A076D" w:rsidRDefault="0083387C" w:rsidP="00FE4F18">
            <w:pPr>
              <w:autoSpaceDE w:val="0"/>
              <w:autoSpaceDN w:val="0"/>
              <w:adjustRightInd w:val="0"/>
              <w:jc w:val="center"/>
              <w:rPr>
                <w:b/>
                <w:sz w:val="22"/>
                <w:szCs w:val="22"/>
              </w:rPr>
            </w:pPr>
          </w:p>
        </w:tc>
      </w:tr>
      <w:tr w:rsidR="00057F93" w:rsidRPr="001A076D" w14:paraId="1C4ED04B" w14:textId="77777777" w:rsidTr="00FE4F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15541B3" w14:textId="77777777" w:rsidR="0083387C" w:rsidRPr="001A076D" w:rsidRDefault="0083387C" w:rsidP="00FE4F18">
            <w:pPr>
              <w:autoSpaceDE w:val="0"/>
              <w:autoSpaceDN w:val="0"/>
              <w:adjustRightInd w:val="0"/>
              <w:jc w:val="center"/>
              <w:rPr>
                <w:bCs/>
                <w:sz w:val="22"/>
                <w:szCs w:val="22"/>
              </w:rPr>
            </w:pPr>
            <w:r w:rsidRPr="001A076D">
              <w:rPr>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EC61D36" w14:textId="77777777" w:rsidR="0083387C" w:rsidRPr="001A076D" w:rsidRDefault="0083387C" w:rsidP="00FE4F18">
            <w:pPr>
              <w:autoSpaceDE w:val="0"/>
              <w:autoSpaceDN w:val="0"/>
              <w:adjustRightInd w:val="0"/>
              <w:rPr>
                <w:sz w:val="22"/>
                <w:szCs w:val="22"/>
              </w:rPr>
            </w:pPr>
            <w:r w:rsidRPr="001A076D">
              <w:rPr>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15B6866" w14:textId="77777777" w:rsidR="0083387C" w:rsidRPr="001A076D" w:rsidRDefault="00000000" w:rsidP="00FE4F18">
            <w:pPr>
              <w:autoSpaceDE w:val="0"/>
              <w:autoSpaceDN w:val="0"/>
              <w:adjustRightInd w:val="0"/>
              <w:jc w:val="center"/>
              <w:rPr>
                <w:sz w:val="16"/>
                <w:szCs w:val="16"/>
              </w:rPr>
            </w:pPr>
            <w:sdt>
              <w:sdtPr>
                <w:rPr>
                  <w:sz w:val="22"/>
                  <w:szCs w:val="22"/>
                </w:rPr>
                <w:id w:val="-1418780434"/>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C0F6CF" w14:textId="77777777" w:rsidR="0083387C" w:rsidRPr="001A076D" w:rsidRDefault="00000000" w:rsidP="00FE4F18">
            <w:pPr>
              <w:autoSpaceDE w:val="0"/>
              <w:autoSpaceDN w:val="0"/>
              <w:adjustRightInd w:val="0"/>
              <w:jc w:val="center"/>
              <w:rPr>
                <w:sz w:val="16"/>
                <w:szCs w:val="16"/>
              </w:rPr>
            </w:pPr>
            <w:sdt>
              <w:sdtPr>
                <w:rPr>
                  <w:sz w:val="22"/>
                  <w:szCs w:val="22"/>
                </w:rPr>
                <w:id w:val="-2018915239"/>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7C9304E" w14:textId="77777777" w:rsidR="0083387C" w:rsidRPr="001A076D" w:rsidRDefault="00000000" w:rsidP="00FE4F18">
            <w:pPr>
              <w:autoSpaceDE w:val="0"/>
              <w:autoSpaceDN w:val="0"/>
              <w:adjustRightInd w:val="0"/>
              <w:jc w:val="center"/>
              <w:rPr>
                <w:sz w:val="16"/>
                <w:szCs w:val="16"/>
              </w:rPr>
            </w:pPr>
            <w:sdt>
              <w:sdtPr>
                <w:rPr>
                  <w:sz w:val="22"/>
                  <w:szCs w:val="22"/>
                </w:rPr>
                <w:id w:val="-774482751"/>
                <w14:checkbox>
                  <w14:checked w14:val="0"/>
                  <w14:checkedState w14:val="2612" w14:font="MS Gothic"/>
                  <w14:uncheckedState w14:val="2610" w14:font="MS Gothic"/>
                </w14:checkbox>
              </w:sdtPr>
              <w:sdtContent>
                <w:r w:rsidR="0083387C" w:rsidRPr="001A076D">
                  <w:rPr>
                    <w:rFonts w:ascii="Segoe UI Symbol" w:eastAsia="MS Gothic" w:hAnsi="Segoe UI Symbol" w:cs="Segoe UI Symbol"/>
                    <w:sz w:val="22"/>
                    <w:szCs w:val="22"/>
                  </w:rPr>
                  <w:t>☐</w:t>
                </w:r>
              </w:sdtContent>
            </w:sdt>
          </w:p>
        </w:tc>
      </w:tr>
      <w:tr w:rsidR="00057F93" w:rsidRPr="001A076D" w14:paraId="1E60612B" w14:textId="77777777" w:rsidTr="00FE4F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998A51" w14:textId="77777777" w:rsidR="0083387C" w:rsidRPr="001A076D" w:rsidRDefault="0083387C" w:rsidP="00FE4F18">
            <w:pPr>
              <w:autoSpaceDE w:val="0"/>
              <w:autoSpaceDN w:val="0"/>
              <w:adjustRightInd w:val="0"/>
              <w:jc w:val="center"/>
              <w:rPr>
                <w:bCs/>
                <w:sz w:val="22"/>
                <w:szCs w:val="22"/>
              </w:rPr>
            </w:pPr>
            <w:r w:rsidRPr="001A076D">
              <w:rPr>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1B5BFA54" w14:textId="77777777" w:rsidR="0083387C" w:rsidRPr="001A076D" w:rsidRDefault="0083387C" w:rsidP="00FE4F18">
            <w:pPr>
              <w:autoSpaceDE w:val="0"/>
              <w:autoSpaceDN w:val="0"/>
              <w:adjustRightInd w:val="0"/>
              <w:rPr>
                <w:sz w:val="22"/>
                <w:szCs w:val="22"/>
              </w:rPr>
            </w:pPr>
            <w:r w:rsidRPr="001A076D">
              <w:rPr>
                <w:sz w:val="22"/>
                <w:szCs w:val="22"/>
              </w:rPr>
              <w:t xml:space="preserve">If YES, please give the certificate number. If the certificate number is not </w:t>
            </w:r>
            <w:proofErr w:type="gramStart"/>
            <w:r w:rsidRPr="001A076D">
              <w:rPr>
                <w:sz w:val="22"/>
                <w:szCs w:val="22"/>
              </w:rPr>
              <w:t>available</w:t>
            </w:r>
            <w:proofErr w:type="gramEnd"/>
            <w:r w:rsidRPr="001A076D">
              <w:rPr>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329F2522"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N/A</w:t>
            </w:r>
          </w:p>
        </w:tc>
      </w:tr>
    </w:tbl>
    <w:p w14:paraId="727C83F6" w14:textId="77777777" w:rsidR="0083387C" w:rsidRPr="001A076D" w:rsidRDefault="0083387C" w:rsidP="0083387C">
      <w:pPr>
        <w:autoSpaceDE w:val="0"/>
        <w:autoSpaceDN w:val="0"/>
        <w:adjustRightInd w:val="0"/>
        <w:spacing w:after="240"/>
        <w:jc w:val="both"/>
        <w:rPr>
          <w:b/>
          <w:sz w:val="22"/>
          <w:szCs w:val="22"/>
        </w:rPr>
      </w:pPr>
    </w:p>
    <w:p w14:paraId="2DDF704D" w14:textId="77777777" w:rsidR="0083387C" w:rsidRPr="001A076D" w:rsidRDefault="0083387C" w:rsidP="0083387C">
      <w:pPr>
        <w:rPr>
          <w:b/>
          <w:sz w:val="22"/>
          <w:szCs w:val="22"/>
        </w:rPr>
      </w:pPr>
      <w:r w:rsidRPr="001A076D">
        <w:rPr>
          <w:b/>
          <w:sz w:val="22"/>
          <w:szCs w:val="22"/>
        </w:rPr>
        <w:t>SECTION I: Feedback, Consent and Confidentiality</w:t>
      </w:r>
    </w:p>
    <w:p w14:paraId="6FE3FE14" w14:textId="77777777" w:rsidR="0083387C" w:rsidRPr="001A076D" w:rsidRDefault="0083387C" w:rsidP="0083387C">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57F93" w:rsidRPr="001A076D" w14:paraId="1D4D3281" w14:textId="77777777" w:rsidTr="00FE4F18">
        <w:tc>
          <w:tcPr>
            <w:tcW w:w="596" w:type="dxa"/>
            <w:tcBorders>
              <w:top w:val="single" w:sz="4" w:space="0" w:color="auto"/>
              <w:bottom w:val="single" w:sz="4" w:space="0" w:color="auto"/>
            </w:tcBorders>
            <w:shd w:val="clear" w:color="auto" w:fill="F2F2F2" w:themeFill="background1" w:themeFillShade="F2"/>
          </w:tcPr>
          <w:p w14:paraId="189749BE" w14:textId="77777777" w:rsidR="0083387C" w:rsidRPr="001A076D" w:rsidRDefault="0083387C" w:rsidP="00FE4F18">
            <w:pPr>
              <w:rPr>
                <w:bCs/>
                <w:sz w:val="22"/>
                <w:szCs w:val="22"/>
              </w:rPr>
            </w:pPr>
            <w:r w:rsidRPr="001A076D">
              <w:rPr>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EF4B6E4" w14:textId="77777777" w:rsidR="0083387C" w:rsidRPr="001A076D" w:rsidRDefault="0083387C" w:rsidP="00FE4F18">
            <w:pPr>
              <w:rPr>
                <w:sz w:val="22"/>
                <w:szCs w:val="22"/>
              </w:rPr>
            </w:pPr>
            <w:r w:rsidRPr="001A076D">
              <w:rPr>
                <w:b/>
                <w:sz w:val="22"/>
                <w:szCs w:val="22"/>
              </w:rPr>
              <w:t>Feedback</w:t>
            </w:r>
          </w:p>
          <w:p w14:paraId="0D1943DD" w14:textId="77777777" w:rsidR="0083387C" w:rsidRPr="001A076D" w:rsidRDefault="0083387C" w:rsidP="00FE4F18">
            <w:pPr>
              <w:rPr>
                <w:sz w:val="22"/>
                <w:szCs w:val="22"/>
              </w:rPr>
            </w:pPr>
            <w:r w:rsidRPr="001A076D">
              <w:rPr>
                <w:sz w:val="22"/>
                <w:szCs w:val="22"/>
              </w:rPr>
              <w:t xml:space="preserve">What de-briefing and feedback will be provided to participants, how will this be done and when? </w:t>
            </w:r>
          </w:p>
        </w:tc>
      </w:tr>
      <w:tr w:rsidR="00057F93" w:rsidRPr="001A076D" w14:paraId="2331DF5F" w14:textId="77777777" w:rsidTr="00FE4F18">
        <w:tc>
          <w:tcPr>
            <w:tcW w:w="596" w:type="dxa"/>
            <w:tcBorders>
              <w:top w:val="single" w:sz="4" w:space="0" w:color="auto"/>
              <w:bottom w:val="single" w:sz="4" w:space="0" w:color="auto"/>
            </w:tcBorders>
          </w:tcPr>
          <w:p w14:paraId="359741B3" w14:textId="77777777" w:rsidR="0083387C" w:rsidRPr="001A076D" w:rsidRDefault="0083387C" w:rsidP="00FE4F18">
            <w:pPr>
              <w:rPr>
                <w:bCs/>
                <w:sz w:val="22"/>
                <w:szCs w:val="22"/>
              </w:rPr>
            </w:pPr>
          </w:p>
        </w:tc>
        <w:tc>
          <w:tcPr>
            <w:tcW w:w="9923" w:type="dxa"/>
            <w:tcBorders>
              <w:top w:val="single" w:sz="4" w:space="0" w:color="auto"/>
              <w:bottom w:val="single" w:sz="4" w:space="0" w:color="auto"/>
            </w:tcBorders>
          </w:tcPr>
          <w:p w14:paraId="06C04AC5" w14:textId="77777777" w:rsidR="0083387C" w:rsidRPr="001A076D" w:rsidRDefault="0083387C" w:rsidP="00FE4F18">
            <w:pPr>
              <w:rPr>
                <w:sz w:val="22"/>
                <w:szCs w:val="22"/>
              </w:rPr>
            </w:pPr>
          </w:p>
          <w:p w14:paraId="1A0119C5" w14:textId="77777777" w:rsidR="0083387C" w:rsidRPr="001A076D" w:rsidRDefault="0083387C" w:rsidP="00FE4F18">
            <w:pPr>
              <w:rPr>
                <w:sz w:val="22"/>
                <w:szCs w:val="22"/>
              </w:rPr>
            </w:pPr>
            <w:r w:rsidRPr="001A076D">
              <w:rPr>
                <w:sz w:val="22"/>
                <w:szCs w:val="22"/>
              </w:rPr>
              <w:t>Participants will be debriefed at the end of the interview or survey. A summary of research findings will be offered upon request. The researcher will also provide a university email address for post-interview follow-up or withdrawal.</w:t>
            </w:r>
          </w:p>
          <w:p w14:paraId="374668DE" w14:textId="77777777" w:rsidR="0083387C" w:rsidRPr="001A076D" w:rsidRDefault="0083387C" w:rsidP="00FE4F18">
            <w:pPr>
              <w:autoSpaceDE w:val="0"/>
              <w:autoSpaceDN w:val="0"/>
              <w:adjustRightInd w:val="0"/>
            </w:pPr>
            <w:r w:rsidRPr="001A076D">
              <w:rPr>
                <w:i/>
                <w:sz w:val="18"/>
                <w:szCs w:val="18"/>
              </w:rPr>
              <w:t>(this box should expand as you type)</w:t>
            </w:r>
          </w:p>
        </w:tc>
      </w:tr>
      <w:tr w:rsidR="00057F93" w:rsidRPr="001A076D" w14:paraId="403DD9B2" w14:textId="77777777" w:rsidTr="00FE4F18">
        <w:tc>
          <w:tcPr>
            <w:tcW w:w="596" w:type="dxa"/>
            <w:tcBorders>
              <w:top w:val="single" w:sz="4" w:space="0" w:color="auto"/>
              <w:bottom w:val="single" w:sz="4" w:space="0" w:color="auto"/>
            </w:tcBorders>
            <w:shd w:val="clear" w:color="auto" w:fill="F2F2F2" w:themeFill="background1" w:themeFillShade="F2"/>
          </w:tcPr>
          <w:p w14:paraId="4B53075E" w14:textId="77777777" w:rsidR="0083387C" w:rsidRPr="001A076D" w:rsidRDefault="0083387C" w:rsidP="00FE4F18">
            <w:pPr>
              <w:rPr>
                <w:bCs/>
                <w:sz w:val="22"/>
                <w:szCs w:val="22"/>
              </w:rPr>
            </w:pPr>
            <w:r w:rsidRPr="001A076D">
              <w:rPr>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4E8268" w14:textId="77777777" w:rsidR="0083387C" w:rsidRPr="001A076D" w:rsidRDefault="0083387C" w:rsidP="00FE4F18">
            <w:pPr>
              <w:rPr>
                <w:sz w:val="22"/>
                <w:szCs w:val="22"/>
              </w:rPr>
            </w:pPr>
            <w:r w:rsidRPr="001A076D">
              <w:rPr>
                <w:b/>
                <w:sz w:val="22"/>
                <w:szCs w:val="22"/>
              </w:rPr>
              <w:t>Informed consent</w:t>
            </w:r>
          </w:p>
          <w:p w14:paraId="1DEDA0C8" w14:textId="77777777" w:rsidR="0083387C" w:rsidRPr="001A076D" w:rsidRDefault="0083387C" w:rsidP="00FE4F18">
            <w:pPr>
              <w:autoSpaceDE w:val="0"/>
              <w:autoSpaceDN w:val="0"/>
              <w:adjustRightInd w:val="0"/>
              <w:rPr>
                <w:sz w:val="22"/>
                <w:szCs w:val="22"/>
              </w:rPr>
            </w:pPr>
            <w:r w:rsidRPr="001A076D">
              <w:rPr>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57F93" w:rsidRPr="001A076D" w14:paraId="530D7386" w14:textId="77777777" w:rsidTr="00FE4F18">
        <w:tc>
          <w:tcPr>
            <w:tcW w:w="596" w:type="dxa"/>
            <w:tcBorders>
              <w:top w:val="single" w:sz="4" w:space="0" w:color="auto"/>
              <w:bottom w:val="single" w:sz="4" w:space="0" w:color="auto"/>
            </w:tcBorders>
          </w:tcPr>
          <w:p w14:paraId="1FD54E9E" w14:textId="77777777" w:rsidR="0083387C" w:rsidRPr="001A076D" w:rsidRDefault="0083387C" w:rsidP="00FE4F18">
            <w:pPr>
              <w:rPr>
                <w:bCs/>
                <w:sz w:val="22"/>
                <w:szCs w:val="22"/>
              </w:rPr>
            </w:pPr>
          </w:p>
        </w:tc>
        <w:tc>
          <w:tcPr>
            <w:tcW w:w="9923" w:type="dxa"/>
            <w:tcBorders>
              <w:top w:val="single" w:sz="4" w:space="0" w:color="auto"/>
              <w:bottom w:val="single" w:sz="4" w:space="0" w:color="auto"/>
            </w:tcBorders>
          </w:tcPr>
          <w:p w14:paraId="5535CBC7" w14:textId="77777777" w:rsidR="0083387C" w:rsidRPr="001A076D" w:rsidRDefault="0083387C" w:rsidP="00FE4F18">
            <w:pPr>
              <w:rPr>
                <w:sz w:val="22"/>
                <w:szCs w:val="22"/>
              </w:rPr>
            </w:pPr>
          </w:p>
          <w:p w14:paraId="0BD77CF8" w14:textId="77777777" w:rsidR="0083387C" w:rsidRPr="001A076D" w:rsidRDefault="0083387C" w:rsidP="00FE4F18">
            <w:pPr>
              <w:rPr>
                <w:sz w:val="22"/>
                <w:szCs w:val="22"/>
              </w:rPr>
            </w:pPr>
            <w:r w:rsidRPr="001A076D">
              <w:rPr>
                <w:sz w:val="22"/>
                <w:szCs w:val="22"/>
              </w:rPr>
              <w:t>All participants will receive a participant information sheet and consent form in advance. Consent will be obtained in writing (via digital signature or email confirmation) before data collection. Participants will be informed of their rights and data protection provisions</w:t>
            </w:r>
          </w:p>
          <w:p w14:paraId="64E1EA3E" w14:textId="77777777" w:rsidR="0083387C" w:rsidRPr="001A076D" w:rsidRDefault="0083387C" w:rsidP="00FE4F18">
            <w:pPr>
              <w:rPr>
                <w:sz w:val="22"/>
                <w:szCs w:val="22"/>
              </w:rPr>
            </w:pPr>
          </w:p>
          <w:p w14:paraId="49E4368C" w14:textId="77777777" w:rsidR="0083387C" w:rsidRPr="001A076D" w:rsidRDefault="0083387C" w:rsidP="00FE4F18">
            <w:pPr>
              <w:autoSpaceDE w:val="0"/>
              <w:autoSpaceDN w:val="0"/>
              <w:adjustRightInd w:val="0"/>
            </w:pPr>
            <w:r w:rsidRPr="001A076D">
              <w:rPr>
                <w:i/>
                <w:sz w:val="18"/>
                <w:szCs w:val="18"/>
              </w:rPr>
              <w:t>(this box should expand as you type)</w:t>
            </w:r>
          </w:p>
        </w:tc>
      </w:tr>
      <w:tr w:rsidR="00057F93" w:rsidRPr="001A076D" w14:paraId="183E38E5" w14:textId="77777777" w:rsidTr="00FE4F18">
        <w:tc>
          <w:tcPr>
            <w:tcW w:w="596" w:type="dxa"/>
            <w:tcBorders>
              <w:top w:val="single" w:sz="4" w:space="0" w:color="auto"/>
              <w:bottom w:val="single" w:sz="4" w:space="0" w:color="auto"/>
            </w:tcBorders>
            <w:shd w:val="clear" w:color="auto" w:fill="F2F2F2" w:themeFill="background1" w:themeFillShade="F2"/>
          </w:tcPr>
          <w:p w14:paraId="4615AD47" w14:textId="77777777" w:rsidR="0083387C" w:rsidRPr="001A076D" w:rsidRDefault="0083387C" w:rsidP="00FE4F18">
            <w:pPr>
              <w:rPr>
                <w:bCs/>
                <w:sz w:val="22"/>
                <w:szCs w:val="22"/>
              </w:rPr>
            </w:pPr>
            <w:r w:rsidRPr="001A076D">
              <w:rPr>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8A54F37" w14:textId="77777777" w:rsidR="0083387C" w:rsidRPr="001A076D" w:rsidRDefault="0083387C" w:rsidP="00FE4F18">
            <w:pPr>
              <w:rPr>
                <w:b/>
                <w:sz w:val="22"/>
                <w:szCs w:val="22"/>
              </w:rPr>
            </w:pPr>
            <w:r w:rsidRPr="001A076D">
              <w:rPr>
                <w:b/>
                <w:sz w:val="22"/>
                <w:szCs w:val="22"/>
              </w:rPr>
              <w:t>Confidentiality / Anonymity</w:t>
            </w:r>
          </w:p>
          <w:p w14:paraId="08DCC355" w14:textId="77777777" w:rsidR="0083387C" w:rsidRPr="001A076D" w:rsidRDefault="0083387C" w:rsidP="00FE4F18">
            <w:pPr>
              <w:rPr>
                <w:sz w:val="22"/>
                <w:szCs w:val="22"/>
              </w:rPr>
            </w:pPr>
            <w:r w:rsidRPr="001A076D">
              <w:rPr>
                <w:sz w:val="22"/>
                <w:szCs w:val="22"/>
              </w:rPr>
              <w:t xml:space="preserve">Set out how anonymity of participants and confidentiality will be ensured in any outputs. If anonymity is not being offered, explain why this is the case. </w:t>
            </w:r>
          </w:p>
        </w:tc>
      </w:tr>
      <w:tr w:rsidR="00057F93" w:rsidRPr="001A076D" w14:paraId="6F841252" w14:textId="77777777" w:rsidTr="00FE4F18">
        <w:tc>
          <w:tcPr>
            <w:tcW w:w="596" w:type="dxa"/>
            <w:tcBorders>
              <w:top w:val="single" w:sz="4" w:space="0" w:color="auto"/>
              <w:bottom w:val="single" w:sz="4" w:space="0" w:color="auto"/>
            </w:tcBorders>
          </w:tcPr>
          <w:p w14:paraId="261978B1" w14:textId="77777777" w:rsidR="0083387C" w:rsidRPr="001A076D" w:rsidRDefault="0083387C" w:rsidP="00FE4F18">
            <w:pPr>
              <w:rPr>
                <w:bCs/>
                <w:sz w:val="22"/>
                <w:szCs w:val="22"/>
              </w:rPr>
            </w:pPr>
          </w:p>
        </w:tc>
        <w:tc>
          <w:tcPr>
            <w:tcW w:w="9923" w:type="dxa"/>
            <w:tcBorders>
              <w:top w:val="single" w:sz="4" w:space="0" w:color="auto"/>
              <w:bottom w:val="single" w:sz="4" w:space="0" w:color="auto"/>
            </w:tcBorders>
          </w:tcPr>
          <w:p w14:paraId="3A37ED6D" w14:textId="77777777" w:rsidR="0083387C" w:rsidRPr="001A076D" w:rsidRDefault="0083387C" w:rsidP="00FE4F18">
            <w:pPr>
              <w:rPr>
                <w:sz w:val="22"/>
                <w:szCs w:val="22"/>
              </w:rPr>
            </w:pPr>
          </w:p>
          <w:p w14:paraId="0E9C413F" w14:textId="77777777" w:rsidR="0083387C" w:rsidRPr="001A076D" w:rsidRDefault="0083387C" w:rsidP="00FE4F18">
            <w:pPr>
              <w:rPr>
                <w:sz w:val="22"/>
                <w:szCs w:val="22"/>
              </w:rPr>
            </w:pPr>
            <w:r w:rsidRPr="001A076D">
              <w:rPr>
                <w:sz w:val="22"/>
                <w:szCs w:val="22"/>
              </w:rPr>
              <w:t>Participants will not be identified in any publication or reporting. Quotes used from interviews will be anonymised, with job titles or departments removed or generalised. Data will be stored in encrypted, access-controlled folders.</w:t>
            </w:r>
          </w:p>
          <w:p w14:paraId="1B7FCEC7" w14:textId="77777777" w:rsidR="0083387C" w:rsidRPr="001A076D" w:rsidRDefault="0083387C" w:rsidP="00FE4F18">
            <w:pPr>
              <w:rPr>
                <w:sz w:val="22"/>
                <w:szCs w:val="22"/>
              </w:rPr>
            </w:pPr>
          </w:p>
          <w:p w14:paraId="112C6750" w14:textId="77777777" w:rsidR="0083387C" w:rsidRPr="001A076D" w:rsidRDefault="0083387C" w:rsidP="00FE4F18">
            <w:pPr>
              <w:autoSpaceDE w:val="0"/>
              <w:autoSpaceDN w:val="0"/>
              <w:adjustRightInd w:val="0"/>
            </w:pPr>
            <w:r w:rsidRPr="001A076D">
              <w:rPr>
                <w:i/>
                <w:sz w:val="18"/>
                <w:szCs w:val="18"/>
              </w:rPr>
              <w:t>(this box should expand as you type)</w:t>
            </w:r>
          </w:p>
        </w:tc>
      </w:tr>
    </w:tbl>
    <w:p w14:paraId="38BFBEB6" w14:textId="77777777" w:rsidR="0083387C" w:rsidRPr="001A076D" w:rsidRDefault="0083387C" w:rsidP="0083387C">
      <w:pPr>
        <w:rPr>
          <w:sz w:val="22"/>
          <w:szCs w:val="22"/>
        </w:rPr>
      </w:pPr>
    </w:p>
    <w:p w14:paraId="2F042DC0" w14:textId="77777777" w:rsidR="0083387C" w:rsidRPr="001A076D" w:rsidRDefault="0083387C" w:rsidP="0083387C">
      <w:pPr>
        <w:rPr>
          <w:b/>
          <w:sz w:val="22"/>
          <w:szCs w:val="22"/>
        </w:rPr>
      </w:pPr>
      <w:r w:rsidRPr="001A076D">
        <w:rPr>
          <w:b/>
          <w:sz w:val="22"/>
          <w:szCs w:val="22"/>
        </w:rPr>
        <w:t>SECTION J: Data Protection and Storage</w:t>
      </w:r>
    </w:p>
    <w:p w14:paraId="4E5BEC3A" w14:textId="77777777" w:rsidR="0083387C" w:rsidRPr="001A076D" w:rsidRDefault="0083387C" w:rsidP="0083387C">
      <w:pPr>
        <w:rPr>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57F93" w:rsidRPr="001A076D" w14:paraId="16C8DD3D" w14:textId="77777777" w:rsidTr="00FE4F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823FDE" w14:textId="77777777" w:rsidR="0083387C" w:rsidRPr="001A076D" w:rsidRDefault="0083387C" w:rsidP="00FE4F18">
            <w:pPr>
              <w:pStyle w:val="NormalWeb"/>
              <w:autoSpaceDE w:val="0"/>
              <w:autoSpaceDN w:val="0"/>
              <w:adjustRightInd w:val="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D8F67A" w14:textId="77777777" w:rsidR="0083387C" w:rsidRPr="001A076D" w:rsidRDefault="0083387C" w:rsidP="00FE4F18">
            <w:pPr>
              <w:pStyle w:val="NormalWeb"/>
              <w:autoSpaceDE w:val="0"/>
              <w:autoSpaceDN w:val="0"/>
              <w:adjustRightInd w:val="0"/>
              <w:rPr>
                <w:sz w:val="22"/>
                <w:szCs w:val="22"/>
              </w:rPr>
            </w:pPr>
            <w:r w:rsidRPr="001A076D">
              <w:rPr>
                <w:sz w:val="22"/>
                <w:szCs w:val="22"/>
              </w:rPr>
              <w:t>Does the research activity involve personal da</w:t>
            </w:r>
            <w:r w:rsidRPr="001A076D">
              <w:rPr>
                <w:sz w:val="22"/>
                <w:szCs w:val="22"/>
                <w:shd w:val="clear" w:color="auto" w:fill="F2F2F2" w:themeFill="background1" w:themeFillShade="F2"/>
              </w:rPr>
              <w:t>t</w:t>
            </w:r>
            <w:r w:rsidRPr="001A076D">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745D19" w14:textId="77777777" w:rsidR="0083387C" w:rsidRPr="001A076D" w:rsidRDefault="0083387C" w:rsidP="00FE4F18">
            <w:pPr>
              <w:pStyle w:val="NormalWeb"/>
              <w:autoSpaceDE w:val="0"/>
              <w:autoSpaceDN w:val="0"/>
              <w:adjustRightInd w:val="0"/>
              <w:jc w:val="center"/>
              <w:rPr>
                <w:rFonts w:eastAsia="MS Gothic"/>
                <w:b/>
                <w:bCs/>
                <w:sz w:val="22"/>
                <w:szCs w:val="22"/>
              </w:rPr>
            </w:pPr>
            <w:r w:rsidRPr="001A076D">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43317" w14:textId="77777777" w:rsidR="0083387C" w:rsidRPr="001A076D" w:rsidRDefault="0083387C" w:rsidP="00FE4F18">
            <w:pPr>
              <w:pStyle w:val="NormalWeb"/>
              <w:autoSpaceDE w:val="0"/>
              <w:autoSpaceDN w:val="0"/>
              <w:adjustRightInd w:val="0"/>
              <w:jc w:val="center"/>
              <w:rPr>
                <w:rFonts w:eastAsia="MS Gothic"/>
                <w:b/>
                <w:bCs/>
                <w:sz w:val="22"/>
                <w:szCs w:val="22"/>
              </w:rPr>
            </w:pPr>
            <w:r w:rsidRPr="001A076D">
              <w:rPr>
                <w:b/>
                <w:bCs/>
                <w:sz w:val="22"/>
                <w:szCs w:val="22"/>
              </w:rPr>
              <w:t>NO</w:t>
            </w:r>
          </w:p>
        </w:tc>
      </w:tr>
      <w:tr w:rsidR="00057F93" w:rsidRPr="001A076D" w14:paraId="13E337C3" w14:textId="77777777" w:rsidTr="00FE4F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2DC2582" w14:textId="77777777" w:rsidR="0083387C" w:rsidRPr="001A076D" w:rsidRDefault="0083387C" w:rsidP="00FE4F18">
            <w:pPr>
              <w:pStyle w:val="NormalWeb"/>
              <w:autoSpaceDE w:val="0"/>
              <w:autoSpaceDN w:val="0"/>
              <w:adjustRightInd w:val="0"/>
              <w:spacing w:before="0" w:beforeAutospacing="0" w:after="0" w:afterAutospacing="0"/>
              <w:jc w:val="center"/>
              <w:rPr>
                <w:bCs/>
                <w:iCs/>
                <w:sz w:val="22"/>
                <w:szCs w:val="22"/>
              </w:rPr>
            </w:pPr>
            <w:r w:rsidRPr="001A076D">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97B67B" w14:textId="77777777" w:rsidR="0083387C" w:rsidRPr="001A076D" w:rsidRDefault="0083387C" w:rsidP="00FE4F18">
            <w:pPr>
              <w:pStyle w:val="NormalWeb"/>
              <w:autoSpaceDE w:val="0"/>
              <w:autoSpaceDN w:val="0"/>
              <w:adjustRightInd w:val="0"/>
              <w:spacing w:before="0" w:beforeAutospacing="0" w:after="0" w:afterAutospacing="0"/>
              <w:rPr>
                <w:sz w:val="22"/>
                <w:szCs w:val="22"/>
              </w:rPr>
            </w:pPr>
            <w:r w:rsidRPr="001A076D">
              <w:rPr>
                <w:b/>
                <w:bCs/>
                <w:i/>
                <w:iCs/>
                <w:sz w:val="22"/>
                <w:szCs w:val="22"/>
              </w:rPr>
              <w:t>“Personal data”</w:t>
            </w:r>
            <w:r w:rsidRPr="001A076D">
              <w:rPr>
                <w:i/>
                <w:iCs/>
                <w:sz w:val="22"/>
                <w:szCs w:val="22"/>
              </w:rPr>
              <w:t xml:space="preserve"> </w:t>
            </w:r>
            <w:r w:rsidRPr="001A076D">
              <w:rPr>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066BF" w14:textId="77777777" w:rsidR="0083387C" w:rsidRPr="001A076D" w:rsidRDefault="0083387C" w:rsidP="00FE4F18">
            <w:pPr>
              <w:pStyle w:val="NormalWeb"/>
              <w:autoSpaceDE w:val="0"/>
              <w:autoSpaceDN w:val="0"/>
              <w:adjustRightInd w:val="0"/>
              <w:jc w:val="center"/>
              <w:rPr>
                <w:rFonts w:eastAsia="MS Gothic"/>
                <w:sz w:val="22"/>
                <w:szCs w:val="22"/>
              </w:rPr>
            </w:pPr>
            <w:r w:rsidRPr="001A076D">
              <w:rPr>
                <w:rFonts w:eastAsia="MS Gothic"/>
                <w:sz w:val="22"/>
                <w:szCs w:val="22"/>
              </w:rPr>
              <w:t>X</w:t>
            </w:r>
            <w:r w:rsidRPr="001A076D">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B293F7" w14:textId="77777777" w:rsidR="0083387C" w:rsidRPr="001A076D" w:rsidRDefault="0083387C" w:rsidP="00FE4F18">
            <w:pPr>
              <w:pStyle w:val="NormalWeb"/>
              <w:autoSpaceDE w:val="0"/>
              <w:autoSpaceDN w:val="0"/>
              <w:adjustRightInd w:val="0"/>
              <w:jc w:val="center"/>
              <w:rPr>
                <w:rFonts w:eastAsia="MS Gothic"/>
                <w:sz w:val="22"/>
                <w:szCs w:val="22"/>
              </w:rPr>
            </w:pPr>
            <w:r w:rsidRPr="001A076D">
              <w:rPr>
                <w:rFonts w:ascii="Segoe UI Symbol" w:eastAsia="MS Gothic" w:hAnsi="Segoe UI Symbol" w:cs="Segoe UI Symbol"/>
                <w:sz w:val="22"/>
                <w:szCs w:val="22"/>
              </w:rPr>
              <w:t>☐</w:t>
            </w:r>
          </w:p>
        </w:tc>
      </w:tr>
      <w:tr w:rsidR="00057F93" w:rsidRPr="001A076D" w14:paraId="6F8C0FC7"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DEDCD4" w14:textId="77777777" w:rsidR="0083387C" w:rsidRPr="001A076D" w:rsidRDefault="0083387C" w:rsidP="00FE4F18">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CA7235" w14:textId="77777777" w:rsidR="0083387C" w:rsidRPr="001A076D" w:rsidRDefault="0083387C" w:rsidP="00FE4F18">
            <w:pPr>
              <w:pStyle w:val="NormalWeb"/>
              <w:autoSpaceDE w:val="0"/>
              <w:autoSpaceDN w:val="0"/>
              <w:adjustRightInd w:val="0"/>
            </w:pPr>
            <w:r w:rsidRPr="001A076D">
              <w:rPr>
                <w:sz w:val="22"/>
                <w:szCs w:val="22"/>
              </w:rPr>
              <w:t>If YES, provide a</w:t>
            </w:r>
            <w:r w:rsidRPr="001A076D">
              <w:rPr>
                <w:b/>
                <w:bCs/>
                <w:sz w:val="22"/>
                <w:szCs w:val="22"/>
              </w:rPr>
              <w:t xml:space="preserve"> </w:t>
            </w:r>
            <w:r w:rsidRPr="001A076D">
              <w:rPr>
                <w:sz w:val="22"/>
                <w:szCs w:val="22"/>
              </w:rPr>
              <w:t>description of the data and explain why this data needs to be collected:</w:t>
            </w:r>
          </w:p>
        </w:tc>
      </w:tr>
      <w:tr w:rsidR="00057F93" w:rsidRPr="001A076D" w14:paraId="5ED1DE93"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B462BCB" w14:textId="77777777" w:rsidR="0083387C" w:rsidRPr="001A076D" w:rsidRDefault="0083387C" w:rsidP="00FE4F18">
            <w:pPr>
              <w:jc w:val="center"/>
              <w:rPr>
                <w:sz w:val="22"/>
                <w:szCs w:val="22"/>
              </w:rPr>
            </w:pPr>
            <w:r w:rsidRPr="001A076D">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0AF72A" w14:textId="77777777" w:rsidR="0083387C" w:rsidRPr="001A076D" w:rsidRDefault="0083387C" w:rsidP="00FE4F18">
            <w:pPr>
              <w:rPr>
                <w:sz w:val="22"/>
                <w:szCs w:val="22"/>
              </w:rPr>
            </w:pPr>
          </w:p>
          <w:p w14:paraId="05B9002C" w14:textId="77777777" w:rsidR="0083387C" w:rsidRPr="001A076D" w:rsidRDefault="0083387C" w:rsidP="00FE4F18">
            <w:pPr>
              <w:rPr>
                <w:sz w:val="22"/>
                <w:szCs w:val="22"/>
              </w:rPr>
            </w:pPr>
            <w:r w:rsidRPr="001A076D">
              <w:rPr>
                <w:sz w:val="22"/>
                <w:szCs w:val="22"/>
              </w:rPr>
              <w:t>Names, roles, or contact details (only for scheduling purposes), and audio recordings of interviews (with consent). These are collected to facilitate interviews and ensure accurate transcription and analysis.</w:t>
            </w:r>
          </w:p>
          <w:p w14:paraId="2548397B" w14:textId="77777777" w:rsidR="0083387C" w:rsidRPr="001A076D" w:rsidRDefault="0083387C" w:rsidP="00FE4F18">
            <w:pPr>
              <w:autoSpaceDE w:val="0"/>
              <w:autoSpaceDN w:val="0"/>
              <w:adjustRightInd w:val="0"/>
              <w:rPr>
                <w:i/>
              </w:rPr>
            </w:pPr>
            <w:r w:rsidRPr="001A076D">
              <w:rPr>
                <w:i/>
                <w:sz w:val="18"/>
                <w:szCs w:val="18"/>
              </w:rPr>
              <w:t>(this box should expand as you type)</w:t>
            </w:r>
          </w:p>
        </w:tc>
      </w:tr>
      <w:tr w:rsidR="00057F93" w:rsidRPr="001A076D" w14:paraId="660C21B3" w14:textId="77777777" w:rsidTr="00FE4F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454A4C4" w14:textId="77777777" w:rsidR="0083387C" w:rsidRPr="001A076D" w:rsidRDefault="0083387C" w:rsidP="00FE4F18">
            <w:pPr>
              <w:pStyle w:val="NormalWeb"/>
              <w:autoSpaceDE w:val="0"/>
              <w:autoSpaceDN w:val="0"/>
              <w:adjustRightInd w:val="0"/>
              <w:spacing w:before="0" w:beforeAutospacing="0" w:after="0" w:afterAutospacing="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41B43E" w14:textId="77777777" w:rsidR="0083387C" w:rsidRPr="001A076D" w:rsidRDefault="0083387C" w:rsidP="00FE4F18">
            <w:pPr>
              <w:pStyle w:val="NormalWeb"/>
              <w:autoSpaceDE w:val="0"/>
              <w:autoSpaceDN w:val="0"/>
              <w:adjustRightInd w:val="0"/>
              <w:spacing w:before="0" w:beforeAutospacing="0" w:after="0" w:afterAutospacing="0"/>
              <w:rPr>
                <w:rFonts w:eastAsiaTheme="minorHAnsi"/>
              </w:rPr>
            </w:pPr>
            <w:r w:rsidRPr="001A076D">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AC7B7A" w14:textId="77777777" w:rsidR="0083387C" w:rsidRPr="001A076D" w:rsidRDefault="0083387C" w:rsidP="00FE4F18">
            <w:pPr>
              <w:pStyle w:val="NormalWeb"/>
              <w:autoSpaceDE w:val="0"/>
              <w:autoSpaceDN w:val="0"/>
              <w:adjustRightInd w:val="0"/>
              <w:jc w:val="center"/>
              <w:rPr>
                <w:rFonts w:eastAsia="MS Gothic"/>
                <w:b/>
                <w:bCs/>
                <w:sz w:val="22"/>
                <w:szCs w:val="22"/>
              </w:rPr>
            </w:pPr>
            <w:r w:rsidRPr="001A076D">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9BFB3" w14:textId="77777777" w:rsidR="0083387C" w:rsidRPr="001A076D" w:rsidRDefault="0083387C" w:rsidP="00FE4F18">
            <w:pPr>
              <w:pStyle w:val="NormalWeb"/>
              <w:autoSpaceDE w:val="0"/>
              <w:autoSpaceDN w:val="0"/>
              <w:adjustRightInd w:val="0"/>
              <w:jc w:val="center"/>
              <w:rPr>
                <w:rFonts w:eastAsia="MS Gothic"/>
                <w:b/>
                <w:bCs/>
                <w:sz w:val="22"/>
                <w:szCs w:val="22"/>
              </w:rPr>
            </w:pPr>
            <w:r w:rsidRPr="001A076D">
              <w:rPr>
                <w:b/>
                <w:bCs/>
                <w:sz w:val="22"/>
                <w:szCs w:val="22"/>
              </w:rPr>
              <w:t>NO</w:t>
            </w:r>
          </w:p>
        </w:tc>
      </w:tr>
      <w:tr w:rsidR="00057F93" w:rsidRPr="001A076D" w14:paraId="2AB764E0"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75AA8A" w14:textId="77777777" w:rsidR="0083387C" w:rsidRPr="001A076D" w:rsidRDefault="0083387C" w:rsidP="00FE4F18">
            <w:pPr>
              <w:pStyle w:val="NormalWeb"/>
              <w:spacing w:before="0" w:beforeAutospacing="0" w:after="0" w:afterAutospacing="0"/>
              <w:jc w:val="center"/>
              <w:rPr>
                <w:rStyle w:val="Strong"/>
                <w:b w:val="0"/>
                <w:iCs/>
                <w:sz w:val="20"/>
                <w:szCs w:val="23"/>
              </w:rPr>
            </w:pPr>
            <w:r w:rsidRPr="001A076D">
              <w:rPr>
                <w:rStyle w:val="Strong"/>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1C5A29" w14:textId="77777777" w:rsidR="0083387C" w:rsidRPr="001A076D" w:rsidRDefault="0083387C" w:rsidP="00FE4F18">
            <w:pPr>
              <w:pStyle w:val="NormalWeb"/>
              <w:spacing w:before="0" w:beforeAutospacing="0" w:after="0" w:afterAutospacing="0"/>
            </w:pPr>
            <w:r w:rsidRPr="001A076D">
              <w:rPr>
                <w:rStyle w:val="Strong"/>
                <w:sz w:val="20"/>
                <w:szCs w:val="23"/>
              </w:rPr>
              <w:t>“Special category data”</w:t>
            </w:r>
            <w:r w:rsidRPr="001A076D">
              <w:rPr>
                <w:i/>
                <w:iCs/>
                <w:sz w:val="20"/>
                <w:szCs w:val="23"/>
              </w:rPr>
              <w:t xml:space="preserve"> means sensitive personal data consisting of information as to the data </w:t>
            </w:r>
            <w:proofErr w:type="gramStart"/>
            <w:r w:rsidRPr="001A076D">
              <w:rPr>
                <w:i/>
                <w:iCs/>
                <w:sz w:val="20"/>
                <w:szCs w:val="23"/>
              </w:rPr>
              <w:t>subjects’</w:t>
            </w:r>
            <w:proofErr w:type="gramEnd"/>
            <w:r w:rsidRPr="001A076D">
              <w:rPr>
                <w:i/>
                <w:iCs/>
                <w:sz w:val="20"/>
                <w:szCs w:val="23"/>
              </w:rPr>
              <w:t xml:space="preserve"> –</w:t>
            </w:r>
          </w:p>
          <w:p w14:paraId="4DBB8B45" w14:textId="77777777" w:rsidR="0083387C" w:rsidRPr="001A076D" w:rsidRDefault="0083387C" w:rsidP="00FE4F18">
            <w:pPr>
              <w:pStyle w:val="NormalWeb"/>
              <w:spacing w:before="0" w:beforeAutospacing="0" w:after="0" w:afterAutospacing="0"/>
            </w:pPr>
            <w:r w:rsidRPr="001A076D">
              <w:rPr>
                <w:i/>
                <w:iCs/>
                <w:sz w:val="20"/>
                <w:szCs w:val="23"/>
              </w:rPr>
              <w:t>(a) racial or ethnic origin,</w:t>
            </w:r>
          </w:p>
          <w:p w14:paraId="2EDAAEA2" w14:textId="77777777" w:rsidR="0083387C" w:rsidRPr="001A076D" w:rsidRDefault="0083387C" w:rsidP="00FE4F18">
            <w:pPr>
              <w:pStyle w:val="NormalWeb"/>
              <w:spacing w:before="0" w:beforeAutospacing="0" w:after="0" w:afterAutospacing="0"/>
            </w:pPr>
            <w:r w:rsidRPr="001A076D">
              <w:rPr>
                <w:i/>
                <w:iCs/>
                <w:sz w:val="20"/>
                <w:szCs w:val="23"/>
              </w:rPr>
              <w:lastRenderedPageBreak/>
              <w:t>(b) political opinions,</w:t>
            </w:r>
          </w:p>
          <w:p w14:paraId="166A4B28" w14:textId="77777777" w:rsidR="0083387C" w:rsidRPr="001A076D" w:rsidRDefault="0083387C" w:rsidP="00FE4F18">
            <w:pPr>
              <w:pStyle w:val="NormalWeb"/>
              <w:spacing w:before="0" w:beforeAutospacing="0" w:after="0" w:afterAutospacing="0"/>
            </w:pPr>
            <w:r w:rsidRPr="001A076D">
              <w:rPr>
                <w:i/>
                <w:iCs/>
                <w:sz w:val="20"/>
                <w:szCs w:val="23"/>
              </w:rPr>
              <w:t>(c ) religious beliefs or other beliefs of a similar nature,</w:t>
            </w:r>
          </w:p>
          <w:p w14:paraId="06D1E9E5" w14:textId="77777777" w:rsidR="0083387C" w:rsidRPr="001A076D" w:rsidRDefault="0083387C" w:rsidP="00FE4F18">
            <w:pPr>
              <w:pStyle w:val="NormalWeb"/>
              <w:spacing w:before="0" w:beforeAutospacing="0" w:after="0" w:afterAutospacing="0"/>
            </w:pPr>
            <w:r w:rsidRPr="001A076D">
              <w:rPr>
                <w:i/>
                <w:iCs/>
                <w:sz w:val="20"/>
                <w:szCs w:val="23"/>
              </w:rPr>
              <w:t>(d) membership of a trade union (within the meaning of the Trade Union and Labour Relations (Consolidation) Act 1992),</w:t>
            </w:r>
          </w:p>
          <w:p w14:paraId="3E0697AF" w14:textId="77777777" w:rsidR="0083387C" w:rsidRPr="001A076D" w:rsidRDefault="0083387C" w:rsidP="00FE4F18">
            <w:pPr>
              <w:pStyle w:val="NormalWeb"/>
              <w:spacing w:before="0" w:beforeAutospacing="0" w:after="0" w:afterAutospacing="0"/>
            </w:pPr>
            <w:r w:rsidRPr="001A076D">
              <w:rPr>
                <w:i/>
                <w:iCs/>
                <w:sz w:val="20"/>
                <w:szCs w:val="23"/>
              </w:rPr>
              <w:t>(e) physical or mental health or condition,</w:t>
            </w:r>
          </w:p>
          <w:p w14:paraId="1DF5F5D5" w14:textId="77777777" w:rsidR="0083387C" w:rsidRPr="001A076D" w:rsidRDefault="0083387C" w:rsidP="00FE4F18">
            <w:pPr>
              <w:pStyle w:val="NormalWeb"/>
              <w:spacing w:before="0" w:beforeAutospacing="0" w:after="0" w:afterAutospacing="0"/>
            </w:pPr>
            <w:r w:rsidRPr="001A076D">
              <w:rPr>
                <w:i/>
                <w:iCs/>
                <w:sz w:val="20"/>
                <w:szCs w:val="23"/>
              </w:rPr>
              <w:t>(f) sexual life,</w:t>
            </w:r>
          </w:p>
          <w:p w14:paraId="7FE4BD5F" w14:textId="77777777" w:rsidR="0083387C" w:rsidRPr="001A076D" w:rsidRDefault="0083387C" w:rsidP="00FE4F18">
            <w:pPr>
              <w:pStyle w:val="NormalWeb"/>
              <w:spacing w:before="0" w:beforeAutospacing="0" w:after="0" w:afterAutospacing="0"/>
            </w:pPr>
            <w:r w:rsidRPr="001A076D">
              <w:rPr>
                <w:i/>
                <w:iCs/>
                <w:sz w:val="20"/>
                <w:szCs w:val="23"/>
              </w:rPr>
              <w:t>(g) genetics,</w:t>
            </w:r>
          </w:p>
          <w:p w14:paraId="0541F348" w14:textId="77777777" w:rsidR="0083387C" w:rsidRPr="001A076D" w:rsidRDefault="0083387C" w:rsidP="00FE4F18">
            <w:pPr>
              <w:pStyle w:val="NormalWeb"/>
              <w:spacing w:before="0" w:beforeAutospacing="0" w:after="0" w:afterAutospacing="0"/>
              <w:rPr>
                <w:i/>
                <w:iCs/>
                <w:sz w:val="20"/>
                <w:szCs w:val="23"/>
              </w:rPr>
            </w:pPr>
            <w:r w:rsidRPr="001A076D">
              <w:rPr>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1EB7BE" w14:textId="77777777" w:rsidR="0083387C" w:rsidRPr="001A076D" w:rsidRDefault="0083387C" w:rsidP="00FE4F18">
            <w:pPr>
              <w:pStyle w:val="NormalWeb"/>
              <w:autoSpaceDE w:val="0"/>
              <w:autoSpaceDN w:val="0"/>
              <w:adjustRightInd w:val="0"/>
              <w:jc w:val="center"/>
            </w:pPr>
            <w:r w:rsidRPr="001A076D">
              <w:rPr>
                <w:rFonts w:ascii="Segoe UI Symbol" w:eastAsia="MS Gothic" w:hAnsi="Segoe UI Symbol" w:cs="Segoe UI Symbol"/>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7BE2C5" w14:textId="77777777" w:rsidR="0083387C" w:rsidRPr="001A076D" w:rsidRDefault="0083387C" w:rsidP="00FE4F18">
            <w:pPr>
              <w:pStyle w:val="NormalWeb"/>
              <w:autoSpaceDE w:val="0"/>
              <w:autoSpaceDN w:val="0"/>
              <w:adjustRightInd w:val="0"/>
              <w:jc w:val="center"/>
            </w:pPr>
            <w:r w:rsidRPr="001A076D">
              <w:rPr>
                <w:rFonts w:eastAsia="MS Gothic"/>
                <w:sz w:val="22"/>
                <w:szCs w:val="22"/>
              </w:rPr>
              <w:t>X</w:t>
            </w:r>
            <w:r w:rsidRPr="001A076D">
              <w:rPr>
                <w:rFonts w:ascii="Segoe UI Symbol" w:eastAsia="MS Gothic" w:hAnsi="Segoe UI Symbol" w:cs="Segoe UI Symbol"/>
                <w:sz w:val="22"/>
                <w:szCs w:val="22"/>
              </w:rPr>
              <w:t>☐</w:t>
            </w:r>
          </w:p>
        </w:tc>
      </w:tr>
      <w:tr w:rsidR="00057F93" w:rsidRPr="001A076D" w14:paraId="6BA60312"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5BFE3" w14:textId="77777777" w:rsidR="0083387C" w:rsidRPr="001A076D" w:rsidRDefault="0083387C" w:rsidP="00FE4F18">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BF517C" w14:textId="77777777" w:rsidR="0083387C" w:rsidRPr="001A076D" w:rsidRDefault="0083387C" w:rsidP="00FE4F18">
            <w:pPr>
              <w:pStyle w:val="NormalWeb"/>
              <w:autoSpaceDE w:val="0"/>
              <w:autoSpaceDN w:val="0"/>
              <w:adjustRightInd w:val="0"/>
            </w:pPr>
            <w:r w:rsidRPr="001A076D">
              <w:rPr>
                <w:sz w:val="22"/>
                <w:szCs w:val="22"/>
              </w:rPr>
              <w:t>If YES, provide a</w:t>
            </w:r>
            <w:r w:rsidRPr="001A076D">
              <w:rPr>
                <w:b/>
                <w:bCs/>
                <w:sz w:val="22"/>
                <w:szCs w:val="22"/>
              </w:rPr>
              <w:t xml:space="preserve"> </w:t>
            </w:r>
            <w:r w:rsidRPr="001A076D">
              <w:rPr>
                <w:sz w:val="22"/>
                <w:szCs w:val="22"/>
              </w:rPr>
              <w:t>description of the special category data and explain why this data needs to be collected:</w:t>
            </w:r>
          </w:p>
        </w:tc>
      </w:tr>
      <w:tr w:rsidR="00057F93" w:rsidRPr="001A076D" w14:paraId="0CA25991" w14:textId="77777777" w:rsidTr="00FE4F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D0C17F" w14:textId="77777777" w:rsidR="0083387C" w:rsidRPr="001A076D" w:rsidRDefault="0083387C" w:rsidP="00FE4F18">
            <w:pPr>
              <w:jc w:val="center"/>
              <w:rPr>
                <w:sz w:val="22"/>
                <w:szCs w:val="22"/>
              </w:rPr>
            </w:pPr>
            <w:r w:rsidRPr="001A076D">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59C1E00" w14:textId="77777777" w:rsidR="0083387C" w:rsidRPr="001A076D" w:rsidRDefault="0083387C" w:rsidP="00FE4F18">
            <w:pPr>
              <w:rPr>
                <w:sz w:val="22"/>
                <w:szCs w:val="22"/>
              </w:rPr>
            </w:pPr>
          </w:p>
          <w:p w14:paraId="213798F4" w14:textId="77777777" w:rsidR="0083387C" w:rsidRPr="001A076D" w:rsidRDefault="0083387C" w:rsidP="00FE4F18">
            <w:pPr>
              <w:rPr>
                <w:sz w:val="22"/>
                <w:szCs w:val="22"/>
              </w:rPr>
            </w:pPr>
            <w:r w:rsidRPr="001A076D">
              <w:rPr>
                <w:sz w:val="22"/>
                <w:szCs w:val="22"/>
              </w:rPr>
              <w:t>N/A</w:t>
            </w:r>
          </w:p>
          <w:p w14:paraId="6CF38FE5" w14:textId="77777777" w:rsidR="0083387C" w:rsidRPr="001A076D" w:rsidRDefault="0083387C" w:rsidP="00FE4F18">
            <w:pPr>
              <w:rPr>
                <w:sz w:val="22"/>
                <w:szCs w:val="22"/>
              </w:rPr>
            </w:pPr>
          </w:p>
          <w:p w14:paraId="56E43A6D" w14:textId="77777777" w:rsidR="0083387C" w:rsidRPr="001A076D" w:rsidRDefault="0083387C" w:rsidP="00FE4F18">
            <w:pPr>
              <w:autoSpaceDE w:val="0"/>
              <w:autoSpaceDN w:val="0"/>
              <w:adjustRightInd w:val="0"/>
            </w:pPr>
            <w:r w:rsidRPr="001A076D">
              <w:rPr>
                <w:i/>
                <w:sz w:val="18"/>
                <w:szCs w:val="18"/>
              </w:rPr>
              <w:t>(this box should expand as you type)</w:t>
            </w:r>
          </w:p>
        </w:tc>
      </w:tr>
    </w:tbl>
    <w:p w14:paraId="4B52CDB7" w14:textId="77777777" w:rsidR="0083387C" w:rsidRPr="001A076D" w:rsidRDefault="0083387C" w:rsidP="0083387C"/>
    <w:tbl>
      <w:tblPr>
        <w:tblStyle w:val="TableGrid"/>
        <w:tblW w:w="10485" w:type="dxa"/>
        <w:tblLook w:val="04A0" w:firstRow="1" w:lastRow="0" w:firstColumn="1" w:lastColumn="0" w:noHBand="0" w:noVBand="1"/>
      </w:tblPr>
      <w:tblGrid>
        <w:gridCol w:w="562"/>
        <w:gridCol w:w="7905"/>
        <w:gridCol w:w="992"/>
        <w:gridCol w:w="1026"/>
      </w:tblGrid>
      <w:tr w:rsidR="00057F93" w:rsidRPr="001A076D" w14:paraId="4C201DEB" w14:textId="77777777" w:rsidTr="00FE4F18">
        <w:trPr>
          <w:trHeight w:val="439"/>
        </w:trPr>
        <w:tc>
          <w:tcPr>
            <w:tcW w:w="562" w:type="dxa"/>
            <w:shd w:val="clear" w:color="auto" w:fill="F2F2F2" w:themeFill="background1" w:themeFillShade="F2"/>
            <w:vAlign w:val="center"/>
          </w:tcPr>
          <w:p w14:paraId="42AACE9B" w14:textId="77777777" w:rsidR="0083387C" w:rsidRPr="001A076D" w:rsidRDefault="0083387C" w:rsidP="00FE4F18">
            <w:pPr>
              <w:autoSpaceDE w:val="0"/>
              <w:autoSpaceDN w:val="0"/>
              <w:adjustRightInd w:val="0"/>
              <w:jc w:val="center"/>
              <w:rPr>
                <w:sz w:val="22"/>
                <w:szCs w:val="22"/>
              </w:rPr>
            </w:pPr>
          </w:p>
        </w:tc>
        <w:tc>
          <w:tcPr>
            <w:tcW w:w="7905" w:type="dxa"/>
            <w:shd w:val="clear" w:color="auto" w:fill="F2F2F2" w:themeFill="background1" w:themeFillShade="F2"/>
          </w:tcPr>
          <w:p w14:paraId="2DC4E414" w14:textId="77777777" w:rsidR="0083387C" w:rsidRPr="001A076D" w:rsidRDefault="0083387C" w:rsidP="00FE4F18">
            <w:pPr>
              <w:autoSpaceDE w:val="0"/>
              <w:autoSpaceDN w:val="0"/>
              <w:adjustRightInd w:val="0"/>
              <w:rPr>
                <w:b/>
                <w:bCs/>
                <w:sz w:val="22"/>
                <w:szCs w:val="22"/>
              </w:rPr>
            </w:pPr>
            <w:r w:rsidRPr="001A076D">
              <w:rPr>
                <w:b/>
              </w:rPr>
              <w:br w:type="page"/>
            </w:r>
            <w:r w:rsidRPr="001A076D">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56EAFF3"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1026" w:type="dxa"/>
            <w:shd w:val="clear" w:color="auto" w:fill="F2F2F2" w:themeFill="background1" w:themeFillShade="F2"/>
          </w:tcPr>
          <w:p w14:paraId="3260F191"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284360B3" w14:textId="77777777" w:rsidTr="00FE4F18">
        <w:trPr>
          <w:trHeight w:val="439"/>
        </w:trPr>
        <w:tc>
          <w:tcPr>
            <w:tcW w:w="562" w:type="dxa"/>
            <w:shd w:val="clear" w:color="auto" w:fill="F2F2F2" w:themeFill="background1" w:themeFillShade="F2"/>
            <w:vAlign w:val="center"/>
          </w:tcPr>
          <w:p w14:paraId="07289CD6" w14:textId="77777777" w:rsidR="0083387C" w:rsidRPr="001A076D" w:rsidRDefault="0083387C" w:rsidP="00FE4F18">
            <w:pPr>
              <w:autoSpaceDE w:val="0"/>
              <w:autoSpaceDN w:val="0"/>
              <w:adjustRightInd w:val="0"/>
              <w:jc w:val="center"/>
              <w:rPr>
                <w:sz w:val="22"/>
                <w:szCs w:val="22"/>
              </w:rPr>
            </w:pPr>
            <w:r w:rsidRPr="001A076D">
              <w:rPr>
                <w:sz w:val="22"/>
                <w:szCs w:val="22"/>
              </w:rPr>
              <w:t>5</w:t>
            </w:r>
          </w:p>
        </w:tc>
        <w:tc>
          <w:tcPr>
            <w:tcW w:w="7905" w:type="dxa"/>
            <w:shd w:val="clear" w:color="auto" w:fill="F2F2F2" w:themeFill="background1" w:themeFillShade="F2"/>
            <w:vAlign w:val="center"/>
          </w:tcPr>
          <w:p w14:paraId="3C1576C3" w14:textId="77777777" w:rsidR="0083387C" w:rsidRPr="001A076D" w:rsidRDefault="0083387C" w:rsidP="00FE4F18">
            <w:pPr>
              <w:autoSpaceDE w:val="0"/>
              <w:autoSpaceDN w:val="0"/>
              <w:adjustRightInd w:val="0"/>
              <w:rPr>
                <w:sz w:val="22"/>
                <w:szCs w:val="22"/>
              </w:rPr>
            </w:pPr>
            <w:r w:rsidRPr="001A076D">
              <w:rPr>
                <w:sz w:val="22"/>
                <w:szCs w:val="22"/>
              </w:rPr>
              <w:t>Manual files (i.e. in paper form)?</w:t>
            </w:r>
          </w:p>
        </w:tc>
        <w:tc>
          <w:tcPr>
            <w:tcW w:w="992" w:type="dxa"/>
            <w:shd w:val="clear" w:color="auto" w:fill="BFBFBF" w:themeFill="background1" w:themeFillShade="BF"/>
          </w:tcPr>
          <w:sdt>
            <w:sdtPr>
              <w:rPr>
                <w:sz w:val="22"/>
                <w:szCs w:val="22"/>
              </w:rPr>
              <w:id w:val="-716891366"/>
              <w14:checkbox>
                <w14:checked w14:val="1"/>
                <w14:checkedState w14:val="2612" w14:font="MS Gothic"/>
                <w14:uncheckedState w14:val="2610" w14:font="MS Gothic"/>
              </w14:checkbox>
            </w:sdtPr>
            <w:sdtContent>
              <w:p w14:paraId="1E79F97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24512450"/>
              <w14:checkbox>
                <w14:checked w14:val="0"/>
                <w14:checkedState w14:val="2612" w14:font="MS Gothic"/>
                <w14:uncheckedState w14:val="2610" w14:font="MS Gothic"/>
              </w14:checkbox>
            </w:sdtPr>
            <w:sdtContent>
              <w:p w14:paraId="486365C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E60A5AE" w14:textId="77777777" w:rsidTr="00FE4F18">
        <w:trPr>
          <w:trHeight w:val="403"/>
        </w:trPr>
        <w:tc>
          <w:tcPr>
            <w:tcW w:w="562" w:type="dxa"/>
            <w:shd w:val="clear" w:color="auto" w:fill="F2F2F2" w:themeFill="background1" w:themeFillShade="F2"/>
            <w:vAlign w:val="center"/>
          </w:tcPr>
          <w:p w14:paraId="3BE186B9" w14:textId="77777777" w:rsidR="0083387C" w:rsidRPr="001A076D" w:rsidRDefault="0083387C" w:rsidP="00FE4F18">
            <w:pPr>
              <w:autoSpaceDE w:val="0"/>
              <w:autoSpaceDN w:val="0"/>
              <w:adjustRightInd w:val="0"/>
              <w:jc w:val="center"/>
              <w:rPr>
                <w:sz w:val="22"/>
                <w:szCs w:val="22"/>
              </w:rPr>
            </w:pPr>
            <w:r w:rsidRPr="001A076D">
              <w:rPr>
                <w:sz w:val="22"/>
                <w:szCs w:val="22"/>
              </w:rPr>
              <w:t>6</w:t>
            </w:r>
          </w:p>
        </w:tc>
        <w:tc>
          <w:tcPr>
            <w:tcW w:w="7905" w:type="dxa"/>
            <w:shd w:val="clear" w:color="auto" w:fill="F2F2F2" w:themeFill="background1" w:themeFillShade="F2"/>
            <w:vAlign w:val="center"/>
          </w:tcPr>
          <w:p w14:paraId="55FA3CED" w14:textId="77777777" w:rsidR="0083387C" w:rsidRPr="001A076D" w:rsidRDefault="0083387C" w:rsidP="00FE4F18">
            <w:pPr>
              <w:autoSpaceDE w:val="0"/>
              <w:autoSpaceDN w:val="0"/>
              <w:adjustRightInd w:val="0"/>
              <w:rPr>
                <w:sz w:val="22"/>
                <w:szCs w:val="22"/>
              </w:rPr>
            </w:pPr>
            <w:r w:rsidRPr="001A076D">
              <w:rPr>
                <w:sz w:val="22"/>
                <w:szCs w:val="22"/>
              </w:rPr>
              <w:t>University computers?</w:t>
            </w:r>
          </w:p>
        </w:tc>
        <w:tc>
          <w:tcPr>
            <w:tcW w:w="992" w:type="dxa"/>
            <w:shd w:val="clear" w:color="auto" w:fill="BFBFBF" w:themeFill="background1" w:themeFillShade="BF"/>
          </w:tcPr>
          <w:sdt>
            <w:sdtPr>
              <w:rPr>
                <w:sz w:val="22"/>
                <w:szCs w:val="22"/>
              </w:rPr>
              <w:id w:val="-1058942064"/>
              <w14:checkbox>
                <w14:checked w14:val="1"/>
                <w14:checkedState w14:val="2612" w14:font="MS Gothic"/>
                <w14:uncheckedState w14:val="2610" w14:font="MS Gothic"/>
              </w14:checkbox>
            </w:sdtPr>
            <w:sdtContent>
              <w:p w14:paraId="7C00222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525707884"/>
              <w14:checkbox>
                <w14:checked w14:val="0"/>
                <w14:checkedState w14:val="2612" w14:font="MS Gothic"/>
                <w14:uncheckedState w14:val="2610" w14:font="MS Gothic"/>
              </w14:checkbox>
            </w:sdtPr>
            <w:sdtContent>
              <w:p w14:paraId="2C2ABB5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7C866E16" w14:textId="77777777" w:rsidTr="00FE4F18">
        <w:trPr>
          <w:trHeight w:val="439"/>
        </w:trPr>
        <w:tc>
          <w:tcPr>
            <w:tcW w:w="562" w:type="dxa"/>
            <w:shd w:val="clear" w:color="auto" w:fill="F2F2F2" w:themeFill="background1" w:themeFillShade="F2"/>
            <w:vAlign w:val="center"/>
          </w:tcPr>
          <w:p w14:paraId="5CC0F833" w14:textId="77777777" w:rsidR="0083387C" w:rsidRPr="001A076D" w:rsidRDefault="0083387C" w:rsidP="00FE4F18">
            <w:pPr>
              <w:autoSpaceDE w:val="0"/>
              <w:autoSpaceDN w:val="0"/>
              <w:adjustRightInd w:val="0"/>
              <w:jc w:val="center"/>
              <w:rPr>
                <w:sz w:val="22"/>
                <w:szCs w:val="22"/>
              </w:rPr>
            </w:pPr>
            <w:r w:rsidRPr="001A076D">
              <w:rPr>
                <w:sz w:val="22"/>
                <w:szCs w:val="22"/>
              </w:rPr>
              <w:t>7</w:t>
            </w:r>
          </w:p>
        </w:tc>
        <w:tc>
          <w:tcPr>
            <w:tcW w:w="7905" w:type="dxa"/>
            <w:shd w:val="clear" w:color="auto" w:fill="F2F2F2" w:themeFill="background1" w:themeFillShade="F2"/>
            <w:vAlign w:val="center"/>
          </w:tcPr>
          <w:p w14:paraId="71FE9D42" w14:textId="77777777" w:rsidR="0083387C" w:rsidRPr="001A076D" w:rsidRDefault="0083387C" w:rsidP="00FE4F18">
            <w:pPr>
              <w:autoSpaceDE w:val="0"/>
              <w:autoSpaceDN w:val="0"/>
              <w:adjustRightInd w:val="0"/>
              <w:rPr>
                <w:sz w:val="22"/>
                <w:szCs w:val="22"/>
              </w:rPr>
            </w:pPr>
            <w:r w:rsidRPr="001A076D">
              <w:rPr>
                <w:sz w:val="22"/>
                <w:szCs w:val="22"/>
              </w:rPr>
              <w:t>Private company computers?</w:t>
            </w:r>
          </w:p>
        </w:tc>
        <w:tc>
          <w:tcPr>
            <w:tcW w:w="992" w:type="dxa"/>
            <w:shd w:val="clear" w:color="auto" w:fill="BFBFBF" w:themeFill="background1" w:themeFillShade="BF"/>
          </w:tcPr>
          <w:sdt>
            <w:sdtPr>
              <w:rPr>
                <w:sz w:val="22"/>
                <w:szCs w:val="22"/>
              </w:rPr>
              <w:id w:val="428779520"/>
              <w14:checkbox>
                <w14:checked w14:val="0"/>
                <w14:checkedState w14:val="2612" w14:font="MS Gothic"/>
                <w14:uncheckedState w14:val="2610" w14:font="MS Gothic"/>
              </w14:checkbox>
            </w:sdtPr>
            <w:sdtContent>
              <w:p w14:paraId="4FE3D9EC"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738441066"/>
              <w14:checkbox>
                <w14:checked w14:val="1"/>
                <w14:checkedState w14:val="2612" w14:font="MS Gothic"/>
                <w14:uncheckedState w14:val="2610" w14:font="MS Gothic"/>
              </w14:checkbox>
            </w:sdtPr>
            <w:sdtContent>
              <w:p w14:paraId="732C109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B638B25" w14:textId="77777777" w:rsidTr="00FE4F18">
        <w:trPr>
          <w:trHeight w:val="403"/>
        </w:trPr>
        <w:tc>
          <w:tcPr>
            <w:tcW w:w="562" w:type="dxa"/>
            <w:shd w:val="clear" w:color="auto" w:fill="F2F2F2" w:themeFill="background1" w:themeFillShade="F2"/>
            <w:vAlign w:val="center"/>
          </w:tcPr>
          <w:p w14:paraId="4C3A4963" w14:textId="77777777" w:rsidR="0083387C" w:rsidRPr="001A076D" w:rsidRDefault="0083387C" w:rsidP="00FE4F18">
            <w:pPr>
              <w:autoSpaceDE w:val="0"/>
              <w:autoSpaceDN w:val="0"/>
              <w:adjustRightInd w:val="0"/>
              <w:jc w:val="center"/>
              <w:rPr>
                <w:sz w:val="22"/>
                <w:szCs w:val="22"/>
              </w:rPr>
            </w:pPr>
            <w:r w:rsidRPr="001A076D">
              <w:rPr>
                <w:sz w:val="22"/>
                <w:szCs w:val="22"/>
              </w:rPr>
              <w:t>8</w:t>
            </w:r>
          </w:p>
        </w:tc>
        <w:tc>
          <w:tcPr>
            <w:tcW w:w="7905" w:type="dxa"/>
            <w:shd w:val="clear" w:color="auto" w:fill="F2F2F2" w:themeFill="background1" w:themeFillShade="F2"/>
            <w:vAlign w:val="center"/>
          </w:tcPr>
          <w:p w14:paraId="731E3D7E" w14:textId="77777777" w:rsidR="0083387C" w:rsidRPr="001A076D" w:rsidRDefault="0083387C" w:rsidP="00FE4F18">
            <w:pPr>
              <w:autoSpaceDE w:val="0"/>
              <w:autoSpaceDN w:val="0"/>
              <w:adjustRightInd w:val="0"/>
              <w:rPr>
                <w:sz w:val="22"/>
                <w:szCs w:val="22"/>
              </w:rPr>
            </w:pPr>
            <w:r w:rsidRPr="001A076D">
              <w:rPr>
                <w:sz w:val="22"/>
                <w:szCs w:val="22"/>
              </w:rPr>
              <w:t>Home or other personal computers?</w:t>
            </w:r>
          </w:p>
        </w:tc>
        <w:tc>
          <w:tcPr>
            <w:tcW w:w="992" w:type="dxa"/>
            <w:shd w:val="clear" w:color="auto" w:fill="BFBFBF" w:themeFill="background1" w:themeFillShade="BF"/>
          </w:tcPr>
          <w:sdt>
            <w:sdtPr>
              <w:rPr>
                <w:sz w:val="22"/>
                <w:szCs w:val="22"/>
              </w:rPr>
              <w:id w:val="666676712"/>
              <w14:checkbox>
                <w14:checked w14:val="1"/>
                <w14:checkedState w14:val="2612" w14:font="MS Gothic"/>
                <w14:uncheckedState w14:val="2610" w14:font="MS Gothic"/>
              </w14:checkbox>
            </w:sdtPr>
            <w:sdtContent>
              <w:p w14:paraId="6A2A058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243309197"/>
              <w14:checkbox>
                <w14:checked w14:val="0"/>
                <w14:checkedState w14:val="2612" w14:font="MS Gothic"/>
                <w14:uncheckedState w14:val="2610" w14:font="MS Gothic"/>
              </w14:checkbox>
            </w:sdtPr>
            <w:sdtContent>
              <w:p w14:paraId="692213E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84DEA87" w14:textId="77777777" w:rsidTr="00FE4F18">
        <w:trPr>
          <w:trHeight w:val="403"/>
        </w:trPr>
        <w:tc>
          <w:tcPr>
            <w:tcW w:w="562" w:type="dxa"/>
            <w:shd w:val="clear" w:color="auto" w:fill="F2F2F2" w:themeFill="background1" w:themeFillShade="F2"/>
            <w:vAlign w:val="center"/>
          </w:tcPr>
          <w:p w14:paraId="14DDE3AF" w14:textId="77777777" w:rsidR="0083387C" w:rsidRPr="001A076D" w:rsidRDefault="0083387C" w:rsidP="00FE4F18">
            <w:pPr>
              <w:autoSpaceDE w:val="0"/>
              <w:autoSpaceDN w:val="0"/>
              <w:adjustRightInd w:val="0"/>
              <w:jc w:val="center"/>
              <w:rPr>
                <w:sz w:val="22"/>
                <w:szCs w:val="22"/>
              </w:rPr>
            </w:pPr>
            <w:r w:rsidRPr="001A076D">
              <w:rPr>
                <w:sz w:val="22"/>
                <w:szCs w:val="22"/>
              </w:rPr>
              <w:t>9</w:t>
            </w:r>
          </w:p>
        </w:tc>
        <w:tc>
          <w:tcPr>
            <w:tcW w:w="7905" w:type="dxa"/>
            <w:shd w:val="clear" w:color="auto" w:fill="F2F2F2" w:themeFill="background1" w:themeFillShade="F2"/>
            <w:vAlign w:val="center"/>
          </w:tcPr>
          <w:p w14:paraId="1F7470DD" w14:textId="77777777" w:rsidR="0083387C" w:rsidRPr="001A076D" w:rsidRDefault="0083387C" w:rsidP="00FE4F18">
            <w:pPr>
              <w:autoSpaceDE w:val="0"/>
              <w:autoSpaceDN w:val="0"/>
              <w:adjustRightInd w:val="0"/>
              <w:rPr>
                <w:sz w:val="22"/>
                <w:szCs w:val="22"/>
              </w:rPr>
            </w:pPr>
            <w:r w:rsidRPr="001A076D">
              <w:rPr>
                <w:sz w:val="22"/>
                <w:szCs w:val="22"/>
              </w:rPr>
              <w:t>Laptop computers/ CDs/ Portable disk-drives/ memory sticks?</w:t>
            </w:r>
          </w:p>
        </w:tc>
        <w:tc>
          <w:tcPr>
            <w:tcW w:w="992" w:type="dxa"/>
            <w:shd w:val="clear" w:color="auto" w:fill="BFBFBF" w:themeFill="background1" w:themeFillShade="BF"/>
          </w:tcPr>
          <w:sdt>
            <w:sdtPr>
              <w:rPr>
                <w:sz w:val="22"/>
                <w:szCs w:val="22"/>
              </w:rPr>
              <w:id w:val="1761182650"/>
              <w14:checkbox>
                <w14:checked w14:val="1"/>
                <w14:checkedState w14:val="2612" w14:font="MS Gothic"/>
                <w14:uncheckedState w14:val="2610" w14:font="MS Gothic"/>
              </w14:checkbox>
            </w:sdtPr>
            <w:sdtContent>
              <w:p w14:paraId="511AA24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1031489010"/>
              <w14:checkbox>
                <w14:checked w14:val="0"/>
                <w14:checkedState w14:val="2612" w14:font="MS Gothic"/>
                <w14:uncheckedState w14:val="2610" w14:font="MS Gothic"/>
              </w14:checkbox>
            </w:sdtPr>
            <w:sdtContent>
              <w:p w14:paraId="05D06F6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0C3B2808" w14:textId="77777777" w:rsidTr="00FE4F18">
        <w:trPr>
          <w:trHeight w:val="403"/>
        </w:trPr>
        <w:tc>
          <w:tcPr>
            <w:tcW w:w="562" w:type="dxa"/>
            <w:shd w:val="clear" w:color="auto" w:fill="F2F2F2" w:themeFill="background1" w:themeFillShade="F2"/>
            <w:vAlign w:val="center"/>
          </w:tcPr>
          <w:p w14:paraId="502B1469" w14:textId="77777777" w:rsidR="0083387C" w:rsidRPr="001A076D" w:rsidRDefault="0083387C" w:rsidP="00FE4F18">
            <w:pPr>
              <w:autoSpaceDE w:val="0"/>
              <w:autoSpaceDN w:val="0"/>
              <w:adjustRightInd w:val="0"/>
              <w:jc w:val="center"/>
              <w:rPr>
                <w:sz w:val="22"/>
                <w:szCs w:val="22"/>
              </w:rPr>
            </w:pPr>
            <w:r w:rsidRPr="001A076D">
              <w:rPr>
                <w:sz w:val="22"/>
                <w:szCs w:val="22"/>
              </w:rPr>
              <w:t>10</w:t>
            </w:r>
          </w:p>
        </w:tc>
        <w:tc>
          <w:tcPr>
            <w:tcW w:w="7905" w:type="dxa"/>
            <w:shd w:val="clear" w:color="auto" w:fill="F2F2F2" w:themeFill="background1" w:themeFillShade="F2"/>
            <w:vAlign w:val="center"/>
          </w:tcPr>
          <w:p w14:paraId="1FBAD20B" w14:textId="77777777" w:rsidR="0083387C" w:rsidRPr="001A076D" w:rsidRDefault="0083387C" w:rsidP="00FE4F18">
            <w:pPr>
              <w:autoSpaceDE w:val="0"/>
              <w:autoSpaceDN w:val="0"/>
              <w:adjustRightInd w:val="0"/>
              <w:rPr>
                <w:sz w:val="22"/>
                <w:szCs w:val="22"/>
              </w:rPr>
            </w:pPr>
            <w:r w:rsidRPr="001A076D">
              <w:rPr>
                <w:sz w:val="22"/>
                <w:szCs w:val="22"/>
              </w:rPr>
              <w:t>“Cloud” storage or websites?</w:t>
            </w:r>
          </w:p>
        </w:tc>
        <w:tc>
          <w:tcPr>
            <w:tcW w:w="992" w:type="dxa"/>
            <w:shd w:val="clear" w:color="auto" w:fill="BFBFBF" w:themeFill="background1" w:themeFillShade="BF"/>
          </w:tcPr>
          <w:sdt>
            <w:sdtPr>
              <w:rPr>
                <w:sz w:val="22"/>
                <w:szCs w:val="22"/>
              </w:rPr>
              <w:id w:val="-40376448"/>
              <w14:checkbox>
                <w14:checked w14:val="1"/>
                <w14:checkedState w14:val="2612" w14:font="MS Gothic"/>
                <w14:uncheckedState w14:val="2610" w14:font="MS Gothic"/>
              </w14:checkbox>
            </w:sdtPr>
            <w:sdtContent>
              <w:p w14:paraId="5D18B7ED"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sz w:val="22"/>
                <w:szCs w:val="22"/>
              </w:rPr>
              <w:id w:val="-2004037841"/>
              <w14:checkbox>
                <w14:checked w14:val="0"/>
                <w14:checkedState w14:val="2612" w14:font="MS Gothic"/>
                <w14:uncheckedState w14:val="2610" w14:font="MS Gothic"/>
              </w14:checkbox>
            </w:sdtPr>
            <w:sdtContent>
              <w:p w14:paraId="1854E753"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B99BA54" w14:textId="77777777" w:rsidTr="00FE4F18">
        <w:trPr>
          <w:trHeight w:val="403"/>
        </w:trPr>
        <w:tc>
          <w:tcPr>
            <w:tcW w:w="562" w:type="dxa"/>
            <w:shd w:val="clear" w:color="auto" w:fill="F2F2F2" w:themeFill="background1" w:themeFillShade="F2"/>
            <w:vAlign w:val="center"/>
          </w:tcPr>
          <w:p w14:paraId="547B7C51" w14:textId="77777777" w:rsidR="0083387C" w:rsidRPr="001A076D" w:rsidRDefault="0083387C" w:rsidP="00FE4F18">
            <w:pPr>
              <w:autoSpaceDE w:val="0"/>
              <w:autoSpaceDN w:val="0"/>
              <w:adjustRightInd w:val="0"/>
              <w:jc w:val="center"/>
              <w:rPr>
                <w:sz w:val="22"/>
                <w:szCs w:val="22"/>
              </w:rPr>
            </w:pPr>
            <w:r w:rsidRPr="001A076D">
              <w:rPr>
                <w:sz w:val="22"/>
                <w:szCs w:val="22"/>
              </w:rPr>
              <w:t>11</w:t>
            </w:r>
          </w:p>
        </w:tc>
        <w:tc>
          <w:tcPr>
            <w:tcW w:w="7905" w:type="dxa"/>
            <w:shd w:val="clear" w:color="auto" w:fill="F2F2F2" w:themeFill="background1" w:themeFillShade="F2"/>
          </w:tcPr>
          <w:p w14:paraId="205D1F39" w14:textId="77777777" w:rsidR="0083387C" w:rsidRPr="001A076D" w:rsidRDefault="0083387C" w:rsidP="00FE4F18">
            <w:pPr>
              <w:autoSpaceDE w:val="0"/>
              <w:autoSpaceDN w:val="0"/>
              <w:adjustRightInd w:val="0"/>
              <w:rPr>
                <w:sz w:val="22"/>
                <w:szCs w:val="22"/>
              </w:rPr>
            </w:pPr>
            <w:r w:rsidRPr="001A076D">
              <w:rPr>
                <w:sz w:val="22"/>
                <w:szCs w:val="22"/>
              </w:rPr>
              <w:t>Other – specify:</w:t>
            </w:r>
          </w:p>
          <w:p w14:paraId="2F83817C" w14:textId="77777777" w:rsidR="0083387C" w:rsidRPr="001A076D" w:rsidRDefault="0083387C" w:rsidP="00FE4F18">
            <w:pPr>
              <w:autoSpaceDE w:val="0"/>
              <w:autoSpaceDN w:val="0"/>
              <w:adjustRightInd w:val="0"/>
              <w:rPr>
                <w:sz w:val="22"/>
                <w:szCs w:val="22"/>
              </w:rPr>
            </w:pPr>
          </w:p>
        </w:tc>
        <w:tc>
          <w:tcPr>
            <w:tcW w:w="992" w:type="dxa"/>
            <w:shd w:val="clear" w:color="auto" w:fill="BFBFBF" w:themeFill="background1" w:themeFillShade="BF"/>
            <w:vAlign w:val="center"/>
          </w:tcPr>
          <w:sdt>
            <w:sdtPr>
              <w:rPr>
                <w:sz w:val="22"/>
                <w:szCs w:val="22"/>
              </w:rPr>
              <w:id w:val="-1556230815"/>
              <w14:checkbox>
                <w14:checked w14:val="0"/>
                <w14:checkedState w14:val="2612" w14:font="MS Gothic"/>
                <w14:uncheckedState w14:val="2610" w14:font="MS Gothic"/>
              </w14:checkbox>
            </w:sdtPr>
            <w:sdtContent>
              <w:p w14:paraId="630B393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1575544959"/>
              <w14:checkbox>
                <w14:checked w14:val="1"/>
                <w14:checkedState w14:val="2612" w14:font="MS Gothic"/>
                <w14:uncheckedState w14:val="2610" w14:font="MS Gothic"/>
              </w14:checkbox>
            </w:sdtPr>
            <w:sdtContent>
              <w:p w14:paraId="409F555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65ED675" w14:textId="77777777" w:rsidTr="00FE4F18">
        <w:trPr>
          <w:trHeight w:val="403"/>
        </w:trPr>
        <w:tc>
          <w:tcPr>
            <w:tcW w:w="562" w:type="dxa"/>
            <w:shd w:val="clear" w:color="auto" w:fill="F2F2F2" w:themeFill="background1" w:themeFillShade="F2"/>
            <w:vAlign w:val="center"/>
          </w:tcPr>
          <w:p w14:paraId="138E0C8C" w14:textId="77777777" w:rsidR="0083387C" w:rsidRPr="001A076D" w:rsidRDefault="0083387C" w:rsidP="00FE4F18">
            <w:pPr>
              <w:autoSpaceDE w:val="0"/>
              <w:autoSpaceDN w:val="0"/>
              <w:adjustRightInd w:val="0"/>
              <w:jc w:val="center"/>
              <w:rPr>
                <w:bCs/>
                <w:sz w:val="22"/>
                <w:szCs w:val="22"/>
              </w:rPr>
            </w:pPr>
            <w:r w:rsidRPr="001A076D">
              <w:rPr>
                <w:sz w:val="22"/>
                <w:szCs w:val="22"/>
              </w:rPr>
              <w:t>12</w:t>
            </w:r>
          </w:p>
        </w:tc>
        <w:tc>
          <w:tcPr>
            <w:tcW w:w="9923" w:type="dxa"/>
            <w:gridSpan w:val="3"/>
            <w:shd w:val="clear" w:color="auto" w:fill="F2F2F2" w:themeFill="background1" w:themeFillShade="F2"/>
          </w:tcPr>
          <w:p w14:paraId="4B841D24" w14:textId="77777777" w:rsidR="0083387C" w:rsidRPr="001A076D" w:rsidRDefault="0083387C" w:rsidP="00FE4F18">
            <w:pPr>
              <w:autoSpaceDE w:val="0"/>
              <w:autoSpaceDN w:val="0"/>
              <w:adjustRightInd w:val="0"/>
              <w:rPr>
                <w:b/>
                <w:bCs/>
                <w:sz w:val="22"/>
                <w:szCs w:val="22"/>
              </w:rPr>
            </w:pPr>
            <w:r w:rsidRPr="001A076D">
              <w:rPr>
                <w:bCs/>
                <w:sz w:val="22"/>
                <w:szCs w:val="22"/>
              </w:rPr>
              <w:t xml:space="preserve">For all stored data, explain the measures in place to ensure the security of the data collected, data confidentiality, including details of backup procedures, </w:t>
            </w:r>
            <w:r w:rsidRPr="001A076D">
              <w:rPr>
                <w:bCs/>
                <w:sz w:val="22"/>
                <w:szCs w:val="22"/>
                <w:shd w:val="clear" w:color="auto" w:fill="F2F2F2" w:themeFill="background1" w:themeFillShade="F2"/>
              </w:rPr>
              <w:t>password</w:t>
            </w:r>
            <w:r w:rsidRPr="001A076D">
              <w:rPr>
                <w:bCs/>
                <w:sz w:val="22"/>
                <w:szCs w:val="22"/>
              </w:rPr>
              <w:t xml:space="preserve"> protection, encryption, anonymisation and pseudonymisation</w:t>
            </w:r>
            <w:r w:rsidRPr="001A076D">
              <w:rPr>
                <w:sz w:val="22"/>
                <w:szCs w:val="22"/>
              </w:rPr>
              <w:t>:</w:t>
            </w:r>
          </w:p>
        </w:tc>
      </w:tr>
      <w:tr w:rsidR="004F2125" w:rsidRPr="001A076D" w14:paraId="3F1F1166" w14:textId="77777777" w:rsidTr="00FE4F18">
        <w:trPr>
          <w:trHeight w:val="403"/>
        </w:trPr>
        <w:tc>
          <w:tcPr>
            <w:tcW w:w="562" w:type="dxa"/>
            <w:vAlign w:val="center"/>
          </w:tcPr>
          <w:p w14:paraId="1F55FAF5" w14:textId="77777777" w:rsidR="0083387C" w:rsidRPr="001A076D" w:rsidRDefault="0083387C" w:rsidP="00FE4F18">
            <w:pPr>
              <w:jc w:val="center"/>
              <w:rPr>
                <w:sz w:val="22"/>
                <w:szCs w:val="22"/>
              </w:rPr>
            </w:pPr>
          </w:p>
        </w:tc>
        <w:tc>
          <w:tcPr>
            <w:tcW w:w="9923" w:type="dxa"/>
            <w:gridSpan w:val="3"/>
          </w:tcPr>
          <w:p w14:paraId="4089422D" w14:textId="77777777" w:rsidR="0083387C" w:rsidRPr="001A076D" w:rsidRDefault="0083387C" w:rsidP="00FE4F18">
            <w:pPr>
              <w:rPr>
                <w:sz w:val="22"/>
                <w:szCs w:val="22"/>
              </w:rPr>
            </w:pPr>
          </w:p>
          <w:p w14:paraId="6CBC8286" w14:textId="77777777" w:rsidR="0083387C" w:rsidRPr="001A076D" w:rsidRDefault="0083387C" w:rsidP="00FE4F18">
            <w:pPr>
              <w:rPr>
                <w:sz w:val="22"/>
                <w:szCs w:val="22"/>
              </w:rPr>
            </w:pPr>
            <w:r w:rsidRPr="001A076D">
              <w:rPr>
                <w:sz w:val="22"/>
                <w:szCs w:val="22"/>
              </w:rPr>
              <w:t>Data will be:</w:t>
            </w:r>
          </w:p>
          <w:p w14:paraId="16E84824" w14:textId="77777777" w:rsidR="0083387C" w:rsidRPr="001A076D" w:rsidRDefault="0083387C">
            <w:pPr>
              <w:numPr>
                <w:ilvl w:val="0"/>
                <w:numId w:val="4"/>
              </w:numPr>
              <w:rPr>
                <w:sz w:val="22"/>
                <w:szCs w:val="22"/>
              </w:rPr>
            </w:pPr>
            <w:r w:rsidRPr="001A076D">
              <w:rPr>
                <w:sz w:val="22"/>
                <w:szCs w:val="22"/>
              </w:rPr>
              <w:t>Encrypted during storage and transfer</w:t>
            </w:r>
          </w:p>
          <w:p w14:paraId="6824517C" w14:textId="77777777" w:rsidR="0083387C" w:rsidRPr="001A076D" w:rsidRDefault="0083387C">
            <w:pPr>
              <w:numPr>
                <w:ilvl w:val="0"/>
                <w:numId w:val="4"/>
              </w:numPr>
              <w:rPr>
                <w:sz w:val="22"/>
                <w:szCs w:val="22"/>
              </w:rPr>
            </w:pPr>
            <w:r w:rsidRPr="001A076D">
              <w:rPr>
                <w:sz w:val="22"/>
                <w:szCs w:val="22"/>
              </w:rPr>
              <w:t>Password-protected</w:t>
            </w:r>
          </w:p>
          <w:p w14:paraId="5456FC07" w14:textId="77777777" w:rsidR="0083387C" w:rsidRPr="001A076D" w:rsidRDefault="0083387C">
            <w:pPr>
              <w:numPr>
                <w:ilvl w:val="0"/>
                <w:numId w:val="4"/>
              </w:numPr>
              <w:rPr>
                <w:sz w:val="22"/>
                <w:szCs w:val="22"/>
              </w:rPr>
            </w:pPr>
            <w:r w:rsidRPr="001A076D">
              <w:rPr>
                <w:sz w:val="22"/>
                <w:szCs w:val="22"/>
              </w:rPr>
              <w:t>Stored only on approved UWTSD systems (e.g., Microsoft 365, OneDrive)</w:t>
            </w:r>
          </w:p>
          <w:p w14:paraId="280F8DA8" w14:textId="77777777" w:rsidR="0083387C" w:rsidRPr="001A076D" w:rsidRDefault="0083387C">
            <w:pPr>
              <w:numPr>
                <w:ilvl w:val="0"/>
                <w:numId w:val="4"/>
              </w:numPr>
              <w:rPr>
                <w:sz w:val="22"/>
                <w:szCs w:val="22"/>
              </w:rPr>
            </w:pPr>
            <w:r w:rsidRPr="001A076D">
              <w:rPr>
                <w:sz w:val="22"/>
                <w:szCs w:val="22"/>
              </w:rPr>
              <w:t>Transcriptions and recordings will be pseudonymised and deleted once coded.</w:t>
            </w:r>
          </w:p>
          <w:p w14:paraId="77BA3C32" w14:textId="77777777" w:rsidR="0083387C" w:rsidRPr="001A076D" w:rsidRDefault="0083387C">
            <w:pPr>
              <w:numPr>
                <w:ilvl w:val="0"/>
                <w:numId w:val="4"/>
              </w:numPr>
              <w:rPr>
                <w:sz w:val="22"/>
                <w:szCs w:val="22"/>
              </w:rPr>
            </w:pPr>
            <w:r w:rsidRPr="001A076D">
              <w:rPr>
                <w:sz w:val="22"/>
                <w:szCs w:val="22"/>
              </w:rPr>
              <w:t>Consent forms will be stored separately from data.</w:t>
            </w:r>
          </w:p>
          <w:p w14:paraId="3EA44605" w14:textId="77777777" w:rsidR="0083387C" w:rsidRPr="001A076D" w:rsidRDefault="0083387C" w:rsidP="00FE4F18">
            <w:pPr>
              <w:autoSpaceDE w:val="0"/>
              <w:autoSpaceDN w:val="0"/>
              <w:adjustRightInd w:val="0"/>
              <w:rPr>
                <w:b/>
                <w:bCs/>
                <w:sz w:val="22"/>
                <w:szCs w:val="22"/>
              </w:rPr>
            </w:pPr>
            <w:r w:rsidRPr="001A076D">
              <w:rPr>
                <w:i/>
                <w:sz w:val="18"/>
                <w:szCs w:val="18"/>
              </w:rPr>
              <w:t>(this box should expand as you type)</w:t>
            </w:r>
          </w:p>
        </w:tc>
      </w:tr>
    </w:tbl>
    <w:p w14:paraId="25EB38E5" w14:textId="77777777" w:rsidR="0083387C" w:rsidRPr="001A076D" w:rsidRDefault="0083387C" w:rsidP="0083387C"/>
    <w:tbl>
      <w:tblPr>
        <w:tblStyle w:val="TableGrid"/>
        <w:tblW w:w="10485" w:type="dxa"/>
        <w:tblLook w:val="04A0" w:firstRow="1" w:lastRow="0" w:firstColumn="1" w:lastColumn="0" w:noHBand="0" w:noVBand="1"/>
      </w:tblPr>
      <w:tblGrid>
        <w:gridCol w:w="562"/>
        <w:gridCol w:w="7905"/>
        <w:gridCol w:w="992"/>
        <w:gridCol w:w="1026"/>
      </w:tblGrid>
      <w:tr w:rsidR="00057F93" w:rsidRPr="001A076D" w14:paraId="0B6B84D4" w14:textId="77777777" w:rsidTr="00FE4F18">
        <w:trPr>
          <w:trHeight w:val="439"/>
        </w:trPr>
        <w:tc>
          <w:tcPr>
            <w:tcW w:w="562" w:type="dxa"/>
            <w:shd w:val="clear" w:color="auto" w:fill="F2F2F2" w:themeFill="background1" w:themeFillShade="F2"/>
          </w:tcPr>
          <w:p w14:paraId="4BF25D91" w14:textId="77777777" w:rsidR="0083387C" w:rsidRPr="001A076D" w:rsidRDefault="0083387C" w:rsidP="00FE4F18">
            <w:pPr>
              <w:autoSpaceDE w:val="0"/>
              <w:autoSpaceDN w:val="0"/>
              <w:adjustRightInd w:val="0"/>
              <w:rPr>
                <w:sz w:val="22"/>
                <w:szCs w:val="22"/>
              </w:rPr>
            </w:pPr>
          </w:p>
        </w:tc>
        <w:tc>
          <w:tcPr>
            <w:tcW w:w="9923" w:type="dxa"/>
            <w:gridSpan w:val="3"/>
            <w:shd w:val="clear" w:color="auto" w:fill="F2F2F2" w:themeFill="background1" w:themeFillShade="F2"/>
            <w:vAlign w:val="center"/>
          </w:tcPr>
          <w:p w14:paraId="2BFC5C3E" w14:textId="77777777" w:rsidR="0083387C" w:rsidRPr="001A076D" w:rsidRDefault="0083387C" w:rsidP="00FE4F18">
            <w:pPr>
              <w:autoSpaceDE w:val="0"/>
              <w:autoSpaceDN w:val="0"/>
              <w:adjustRightInd w:val="0"/>
              <w:rPr>
                <w:b/>
                <w:bCs/>
                <w:sz w:val="22"/>
                <w:szCs w:val="22"/>
              </w:rPr>
            </w:pPr>
            <w:r w:rsidRPr="001A076D">
              <w:rPr>
                <w:b/>
                <w:bCs/>
                <w:sz w:val="22"/>
                <w:szCs w:val="22"/>
              </w:rPr>
              <w:t>Data Protection</w:t>
            </w:r>
          </w:p>
        </w:tc>
      </w:tr>
      <w:tr w:rsidR="00057F93" w:rsidRPr="001A076D" w14:paraId="1CA6A796" w14:textId="77777777" w:rsidTr="00FE4F18">
        <w:trPr>
          <w:trHeight w:val="439"/>
        </w:trPr>
        <w:tc>
          <w:tcPr>
            <w:tcW w:w="562" w:type="dxa"/>
            <w:shd w:val="clear" w:color="auto" w:fill="F2F2F2" w:themeFill="background1" w:themeFillShade="F2"/>
            <w:vAlign w:val="center"/>
          </w:tcPr>
          <w:p w14:paraId="36D36560" w14:textId="77777777" w:rsidR="0083387C" w:rsidRPr="001A076D" w:rsidRDefault="0083387C" w:rsidP="00FE4F18">
            <w:pPr>
              <w:autoSpaceDE w:val="0"/>
              <w:autoSpaceDN w:val="0"/>
              <w:adjustRightInd w:val="0"/>
              <w:jc w:val="center"/>
              <w:rPr>
                <w:sz w:val="22"/>
                <w:szCs w:val="22"/>
              </w:rPr>
            </w:pPr>
          </w:p>
        </w:tc>
        <w:tc>
          <w:tcPr>
            <w:tcW w:w="7905" w:type="dxa"/>
            <w:shd w:val="clear" w:color="auto" w:fill="F2F2F2" w:themeFill="background1" w:themeFillShade="F2"/>
            <w:vAlign w:val="center"/>
          </w:tcPr>
          <w:p w14:paraId="66E4DBBB" w14:textId="77777777" w:rsidR="0083387C" w:rsidRPr="001A076D" w:rsidRDefault="0083387C" w:rsidP="00FE4F18">
            <w:pPr>
              <w:autoSpaceDE w:val="0"/>
              <w:autoSpaceDN w:val="0"/>
              <w:adjustRightInd w:val="0"/>
              <w:rPr>
                <w:b/>
                <w:bCs/>
                <w:sz w:val="22"/>
                <w:szCs w:val="22"/>
              </w:rPr>
            </w:pPr>
            <w:r w:rsidRPr="001A076D">
              <w:rPr>
                <w:sz w:val="22"/>
                <w:szCs w:val="22"/>
              </w:rPr>
              <w:t xml:space="preserve">Will the research activity </w:t>
            </w:r>
            <w:r w:rsidRPr="001A076D">
              <w:rPr>
                <w:bCs/>
                <w:sz w:val="22"/>
                <w:szCs w:val="22"/>
              </w:rPr>
              <w:t>involve any of the following activities:</w:t>
            </w:r>
          </w:p>
        </w:tc>
        <w:tc>
          <w:tcPr>
            <w:tcW w:w="992" w:type="dxa"/>
            <w:shd w:val="clear" w:color="auto" w:fill="F2F2F2" w:themeFill="background1" w:themeFillShade="F2"/>
            <w:vAlign w:val="center"/>
          </w:tcPr>
          <w:p w14:paraId="74CE7630" w14:textId="77777777" w:rsidR="0083387C" w:rsidRPr="001A076D" w:rsidRDefault="0083387C" w:rsidP="00FE4F18">
            <w:pPr>
              <w:autoSpaceDE w:val="0"/>
              <w:autoSpaceDN w:val="0"/>
              <w:adjustRightInd w:val="0"/>
              <w:jc w:val="center"/>
              <w:rPr>
                <w:b/>
                <w:bCs/>
                <w:sz w:val="22"/>
                <w:szCs w:val="22"/>
              </w:rPr>
            </w:pPr>
            <w:r w:rsidRPr="001A076D">
              <w:rPr>
                <w:b/>
                <w:bCs/>
                <w:sz w:val="22"/>
                <w:szCs w:val="22"/>
              </w:rPr>
              <w:t>YES</w:t>
            </w:r>
          </w:p>
        </w:tc>
        <w:tc>
          <w:tcPr>
            <w:tcW w:w="1026" w:type="dxa"/>
            <w:shd w:val="clear" w:color="auto" w:fill="F2F2F2" w:themeFill="background1" w:themeFillShade="F2"/>
            <w:vAlign w:val="center"/>
          </w:tcPr>
          <w:p w14:paraId="2F9906CD" w14:textId="77777777" w:rsidR="0083387C" w:rsidRPr="001A076D" w:rsidRDefault="0083387C" w:rsidP="00FE4F18">
            <w:pPr>
              <w:autoSpaceDE w:val="0"/>
              <w:autoSpaceDN w:val="0"/>
              <w:adjustRightInd w:val="0"/>
              <w:jc w:val="center"/>
              <w:rPr>
                <w:b/>
                <w:bCs/>
                <w:sz w:val="22"/>
                <w:szCs w:val="22"/>
              </w:rPr>
            </w:pPr>
            <w:r w:rsidRPr="001A076D">
              <w:rPr>
                <w:b/>
                <w:bCs/>
                <w:sz w:val="22"/>
                <w:szCs w:val="22"/>
              </w:rPr>
              <w:t>NO</w:t>
            </w:r>
          </w:p>
        </w:tc>
      </w:tr>
      <w:tr w:rsidR="00057F93" w:rsidRPr="001A076D" w14:paraId="0B847FF2" w14:textId="77777777" w:rsidTr="00FE4F18">
        <w:trPr>
          <w:trHeight w:val="439"/>
        </w:trPr>
        <w:tc>
          <w:tcPr>
            <w:tcW w:w="562" w:type="dxa"/>
            <w:shd w:val="clear" w:color="auto" w:fill="F2F2F2" w:themeFill="background1" w:themeFillShade="F2"/>
            <w:vAlign w:val="center"/>
          </w:tcPr>
          <w:p w14:paraId="4077F96A" w14:textId="77777777" w:rsidR="0083387C" w:rsidRPr="001A076D" w:rsidRDefault="0083387C" w:rsidP="00FE4F18">
            <w:pPr>
              <w:autoSpaceDE w:val="0"/>
              <w:autoSpaceDN w:val="0"/>
              <w:adjustRightInd w:val="0"/>
              <w:jc w:val="center"/>
              <w:rPr>
                <w:sz w:val="22"/>
                <w:szCs w:val="22"/>
              </w:rPr>
            </w:pPr>
            <w:r w:rsidRPr="001A076D">
              <w:rPr>
                <w:sz w:val="22"/>
                <w:szCs w:val="22"/>
              </w:rPr>
              <w:t>13</w:t>
            </w:r>
          </w:p>
        </w:tc>
        <w:tc>
          <w:tcPr>
            <w:tcW w:w="7905" w:type="dxa"/>
            <w:shd w:val="clear" w:color="auto" w:fill="F2F2F2" w:themeFill="background1" w:themeFillShade="F2"/>
            <w:vAlign w:val="center"/>
          </w:tcPr>
          <w:p w14:paraId="55A81BC4" w14:textId="77777777" w:rsidR="0083387C" w:rsidRPr="001A076D" w:rsidRDefault="0083387C" w:rsidP="00FE4F18">
            <w:pPr>
              <w:autoSpaceDE w:val="0"/>
              <w:autoSpaceDN w:val="0"/>
              <w:adjustRightInd w:val="0"/>
              <w:rPr>
                <w:sz w:val="22"/>
                <w:szCs w:val="22"/>
              </w:rPr>
            </w:pPr>
            <w:r w:rsidRPr="001A076D">
              <w:rPr>
                <w:sz w:val="22"/>
                <w:szCs w:val="22"/>
              </w:rPr>
              <w:t>Electronic transfer of data in any form?</w:t>
            </w:r>
          </w:p>
        </w:tc>
        <w:tc>
          <w:tcPr>
            <w:tcW w:w="992" w:type="dxa"/>
            <w:shd w:val="clear" w:color="auto" w:fill="BFBFBF" w:themeFill="background1" w:themeFillShade="BF"/>
            <w:vAlign w:val="center"/>
          </w:tcPr>
          <w:sdt>
            <w:sdtPr>
              <w:rPr>
                <w:sz w:val="22"/>
                <w:szCs w:val="22"/>
              </w:rPr>
              <w:id w:val="-243347341"/>
              <w14:checkbox>
                <w14:checked w14:val="1"/>
                <w14:checkedState w14:val="2612" w14:font="MS Gothic"/>
                <w14:uncheckedState w14:val="2610" w14:font="MS Gothic"/>
              </w14:checkbox>
            </w:sdtPr>
            <w:sdtContent>
              <w:p w14:paraId="2D3E1A40"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809138048"/>
              <w14:checkbox>
                <w14:checked w14:val="0"/>
                <w14:checkedState w14:val="2612" w14:font="MS Gothic"/>
                <w14:uncheckedState w14:val="2610" w14:font="MS Gothic"/>
              </w14:checkbox>
            </w:sdtPr>
            <w:sdtContent>
              <w:p w14:paraId="4281E03E"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CE35F9F" w14:textId="77777777" w:rsidTr="00FE4F18">
        <w:trPr>
          <w:trHeight w:val="403"/>
        </w:trPr>
        <w:tc>
          <w:tcPr>
            <w:tcW w:w="562" w:type="dxa"/>
            <w:shd w:val="clear" w:color="auto" w:fill="F2F2F2" w:themeFill="background1" w:themeFillShade="F2"/>
            <w:vAlign w:val="center"/>
          </w:tcPr>
          <w:p w14:paraId="752D1D16" w14:textId="77777777" w:rsidR="0083387C" w:rsidRPr="001A076D" w:rsidRDefault="0083387C" w:rsidP="00FE4F18">
            <w:pPr>
              <w:autoSpaceDE w:val="0"/>
              <w:autoSpaceDN w:val="0"/>
              <w:adjustRightInd w:val="0"/>
              <w:jc w:val="center"/>
              <w:rPr>
                <w:sz w:val="22"/>
                <w:szCs w:val="22"/>
              </w:rPr>
            </w:pPr>
            <w:r w:rsidRPr="001A076D">
              <w:rPr>
                <w:sz w:val="22"/>
                <w:szCs w:val="22"/>
              </w:rPr>
              <w:t>14</w:t>
            </w:r>
          </w:p>
        </w:tc>
        <w:tc>
          <w:tcPr>
            <w:tcW w:w="7905" w:type="dxa"/>
            <w:shd w:val="clear" w:color="auto" w:fill="F2F2F2" w:themeFill="background1" w:themeFillShade="F2"/>
            <w:vAlign w:val="center"/>
          </w:tcPr>
          <w:p w14:paraId="5EC1BB58" w14:textId="77777777" w:rsidR="0083387C" w:rsidRPr="001A076D" w:rsidRDefault="0083387C" w:rsidP="00FE4F18">
            <w:pPr>
              <w:autoSpaceDE w:val="0"/>
              <w:autoSpaceDN w:val="0"/>
              <w:adjustRightInd w:val="0"/>
              <w:rPr>
                <w:sz w:val="22"/>
                <w:szCs w:val="22"/>
              </w:rPr>
            </w:pPr>
            <w:r w:rsidRPr="001A076D">
              <w:rPr>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sz w:val="22"/>
                <w:szCs w:val="22"/>
              </w:rPr>
              <w:id w:val="206609976"/>
              <w14:checkbox>
                <w14:checked w14:val="0"/>
                <w14:checkedState w14:val="2612" w14:font="MS Gothic"/>
                <w14:uncheckedState w14:val="2610" w14:font="MS Gothic"/>
              </w14:checkbox>
            </w:sdtPr>
            <w:sdtContent>
              <w:p w14:paraId="493CFD7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1162969108"/>
              <w14:checkbox>
                <w14:checked w14:val="1"/>
                <w14:checkedState w14:val="2612" w14:font="MS Gothic"/>
                <w14:uncheckedState w14:val="2610" w14:font="MS Gothic"/>
              </w14:checkbox>
            </w:sdtPr>
            <w:sdtContent>
              <w:p w14:paraId="43D426D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74DA261" w14:textId="77777777" w:rsidTr="00FE4F18">
        <w:trPr>
          <w:trHeight w:val="439"/>
        </w:trPr>
        <w:tc>
          <w:tcPr>
            <w:tcW w:w="562" w:type="dxa"/>
            <w:shd w:val="clear" w:color="auto" w:fill="F2F2F2" w:themeFill="background1" w:themeFillShade="F2"/>
            <w:vAlign w:val="center"/>
          </w:tcPr>
          <w:p w14:paraId="79D83C36" w14:textId="77777777" w:rsidR="0083387C" w:rsidRPr="001A076D" w:rsidRDefault="0083387C" w:rsidP="00FE4F18">
            <w:pPr>
              <w:autoSpaceDE w:val="0"/>
              <w:autoSpaceDN w:val="0"/>
              <w:adjustRightInd w:val="0"/>
              <w:jc w:val="center"/>
              <w:rPr>
                <w:sz w:val="22"/>
                <w:szCs w:val="22"/>
              </w:rPr>
            </w:pPr>
            <w:r w:rsidRPr="001A076D">
              <w:rPr>
                <w:sz w:val="22"/>
                <w:szCs w:val="22"/>
              </w:rPr>
              <w:t>15</w:t>
            </w:r>
          </w:p>
        </w:tc>
        <w:tc>
          <w:tcPr>
            <w:tcW w:w="7905" w:type="dxa"/>
            <w:shd w:val="clear" w:color="auto" w:fill="F2F2F2" w:themeFill="background1" w:themeFillShade="F2"/>
            <w:vAlign w:val="center"/>
          </w:tcPr>
          <w:p w14:paraId="778AE192" w14:textId="77777777" w:rsidR="0083387C" w:rsidRPr="001A076D" w:rsidRDefault="0083387C" w:rsidP="00FE4F18">
            <w:pPr>
              <w:autoSpaceDE w:val="0"/>
              <w:autoSpaceDN w:val="0"/>
              <w:adjustRightInd w:val="0"/>
              <w:rPr>
                <w:sz w:val="22"/>
                <w:szCs w:val="22"/>
              </w:rPr>
            </w:pPr>
            <w:r w:rsidRPr="001A076D">
              <w:rPr>
                <w:sz w:val="22"/>
                <w:szCs w:val="22"/>
              </w:rPr>
              <w:t>Sharing of data with other organisations?</w:t>
            </w:r>
          </w:p>
        </w:tc>
        <w:tc>
          <w:tcPr>
            <w:tcW w:w="992" w:type="dxa"/>
            <w:shd w:val="clear" w:color="auto" w:fill="BFBFBF" w:themeFill="background1" w:themeFillShade="BF"/>
            <w:vAlign w:val="center"/>
          </w:tcPr>
          <w:sdt>
            <w:sdtPr>
              <w:rPr>
                <w:sz w:val="22"/>
                <w:szCs w:val="22"/>
              </w:rPr>
              <w:id w:val="-853718064"/>
              <w14:checkbox>
                <w14:checked w14:val="0"/>
                <w14:checkedState w14:val="2612" w14:font="MS Gothic"/>
                <w14:uncheckedState w14:val="2610" w14:font="MS Gothic"/>
              </w14:checkbox>
            </w:sdtPr>
            <w:sdtContent>
              <w:p w14:paraId="25FC84E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692922631"/>
              <w14:checkbox>
                <w14:checked w14:val="1"/>
                <w14:checkedState w14:val="2612" w14:font="MS Gothic"/>
                <w14:uncheckedState w14:val="2610" w14:font="MS Gothic"/>
              </w14:checkbox>
            </w:sdtPr>
            <w:sdtContent>
              <w:p w14:paraId="6383EDFB"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59E0BAA3" w14:textId="77777777" w:rsidTr="00FE4F18">
        <w:trPr>
          <w:trHeight w:val="403"/>
        </w:trPr>
        <w:tc>
          <w:tcPr>
            <w:tcW w:w="562" w:type="dxa"/>
            <w:shd w:val="clear" w:color="auto" w:fill="F2F2F2" w:themeFill="background1" w:themeFillShade="F2"/>
            <w:vAlign w:val="center"/>
          </w:tcPr>
          <w:p w14:paraId="585B482A" w14:textId="77777777" w:rsidR="0083387C" w:rsidRPr="001A076D" w:rsidRDefault="0083387C" w:rsidP="00FE4F18">
            <w:pPr>
              <w:autoSpaceDE w:val="0"/>
              <w:autoSpaceDN w:val="0"/>
              <w:adjustRightInd w:val="0"/>
              <w:jc w:val="center"/>
              <w:rPr>
                <w:sz w:val="22"/>
                <w:szCs w:val="22"/>
              </w:rPr>
            </w:pPr>
            <w:r w:rsidRPr="001A076D">
              <w:rPr>
                <w:sz w:val="22"/>
                <w:szCs w:val="22"/>
              </w:rPr>
              <w:t>16</w:t>
            </w:r>
          </w:p>
        </w:tc>
        <w:tc>
          <w:tcPr>
            <w:tcW w:w="7905" w:type="dxa"/>
            <w:shd w:val="clear" w:color="auto" w:fill="F2F2F2" w:themeFill="background1" w:themeFillShade="F2"/>
            <w:vAlign w:val="center"/>
          </w:tcPr>
          <w:p w14:paraId="40EC66CC" w14:textId="77777777" w:rsidR="0083387C" w:rsidRPr="001A076D" w:rsidRDefault="0083387C" w:rsidP="00FE4F18">
            <w:pPr>
              <w:autoSpaceDE w:val="0"/>
              <w:autoSpaceDN w:val="0"/>
              <w:adjustRightInd w:val="0"/>
              <w:rPr>
                <w:sz w:val="22"/>
                <w:szCs w:val="22"/>
              </w:rPr>
            </w:pPr>
            <w:r w:rsidRPr="001A076D">
              <w:rPr>
                <w:sz w:val="22"/>
                <w:szCs w:val="22"/>
              </w:rPr>
              <w:t>Export of data outside the UK or importing of data from outside the UK?</w:t>
            </w:r>
          </w:p>
        </w:tc>
        <w:tc>
          <w:tcPr>
            <w:tcW w:w="992" w:type="dxa"/>
            <w:shd w:val="clear" w:color="auto" w:fill="BFBFBF" w:themeFill="background1" w:themeFillShade="BF"/>
            <w:vAlign w:val="center"/>
          </w:tcPr>
          <w:sdt>
            <w:sdtPr>
              <w:rPr>
                <w:sz w:val="22"/>
                <w:szCs w:val="22"/>
              </w:rPr>
              <w:id w:val="-1311477419"/>
              <w14:checkbox>
                <w14:checked w14:val="0"/>
                <w14:checkedState w14:val="2612" w14:font="MS Gothic"/>
                <w14:uncheckedState w14:val="2610" w14:font="MS Gothic"/>
              </w14:checkbox>
            </w:sdtPr>
            <w:sdtContent>
              <w:p w14:paraId="48307D6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982232726"/>
              <w14:checkbox>
                <w14:checked w14:val="1"/>
                <w14:checkedState w14:val="2612" w14:font="MS Gothic"/>
                <w14:uncheckedState w14:val="2610" w14:font="MS Gothic"/>
              </w14:checkbox>
            </w:sdtPr>
            <w:sdtContent>
              <w:p w14:paraId="07476B01"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1CDD3DCE" w14:textId="77777777" w:rsidTr="00FE4F18">
        <w:trPr>
          <w:trHeight w:val="403"/>
        </w:trPr>
        <w:tc>
          <w:tcPr>
            <w:tcW w:w="562" w:type="dxa"/>
            <w:shd w:val="clear" w:color="auto" w:fill="F2F2F2" w:themeFill="background1" w:themeFillShade="F2"/>
            <w:vAlign w:val="center"/>
          </w:tcPr>
          <w:p w14:paraId="1D64DEAD" w14:textId="77777777" w:rsidR="0083387C" w:rsidRPr="001A076D" w:rsidRDefault="0083387C" w:rsidP="00FE4F18">
            <w:pPr>
              <w:autoSpaceDE w:val="0"/>
              <w:autoSpaceDN w:val="0"/>
              <w:adjustRightInd w:val="0"/>
              <w:jc w:val="center"/>
              <w:rPr>
                <w:sz w:val="22"/>
                <w:szCs w:val="22"/>
              </w:rPr>
            </w:pPr>
            <w:r w:rsidRPr="001A076D">
              <w:rPr>
                <w:sz w:val="22"/>
                <w:szCs w:val="22"/>
              </w:rPr>
              <w:t>17</w:t>
            </w:r>
          </w:p>
        </w:tc>
        <w:tc>
          <w:tcPr>
            <w:tcW w:w="7905" w:type="dxa"/>
            <w:shd w:val="clear" w:color="auto" w:fill="F2F2F2" w:themeFill="background1" w:themeFillShade="F2"/>
            <w:vAlign w:val="center"/>
          </w:tcPr>
          <w:p w14:paraId="41BF560F" w14:textId="77777777" w:rsidR="0083387C" w:rsidRPr="001A076D" w:rsidRDefault="0083387C" w:rsidP="00FE4F18">
            <w:pPr>
              <w:autoSpaceDE w:val="0"/>
              <w:autoSpaceDN w:val="0"/>
              <w:adjustRightInd w:val="0"/>
              <w:rPr>
                <w:sz w:val="22"/>
                <w:szCs w:val="22"/>
              </w:rPr>
            </w:pPr>
            <w:r w:rsidRPr="001A076D">
              <w:rPr>
                <w:sz w:val="22"/>
                <w:szCs w:val="22"/>
              </w:rPr>
              <w:t>Use of personal addresses, postcodes, faxes, emails or telephone numbers?</w:t>
            </w:r>
          </w:p>
        </w:tc>
        <w:tc>
          <w:tcPr>
            <w:tcW w:w="992" w:type="dxa"/>
            <w:shd w:val="clear" w:color="auto" w:fill="BFBFBF" w:themeFill="background1" w:themeFillShade="BF"/>
            <w:vAlign w:val="center"/>
          </w:tcPr>
          <w:sdt>
            <w:sdtPr>
              <w:rPr>
                <w:sz w:val="22"/>
                <w:szCs w:val="22"/>
              </w:rPr>
              <w:id w:val="580263657"/>
              <w14:checkbox>
                <w14:checked w14:val="1"/>
                <w14:checkedState w14:val="2612" w14:font="MS Gothic"/>
                <w14:uncheckedState w14:val="2610" w14:font="MS Gothic"/>
              </w14:checkbox>
            </w:sdtPr>
            <w:sdtContent>
              <w:p w14:paraId="645554A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705679297"/>
              <w14:checkbox>
                <w14:checked w14:val="0"/>
                <w14:checkedState w14:val="2612" w14:font="MS Gothic"/>
                <w14:uncheckedState w14:val="2610" w14:font="MS Gothic"/>
              </w14:checkbox>
            </w:sdtPr>
            <w:sdtContent>
              <w:p w14:paraId="389DE815"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6BE680A" w14:textId="77777777" w:rsidTr="00FE4F18">
        <w:trPr>
          <w:trHeight w:val="403"/>
        </w:trPr>
        <w:tc>
          <w:tcPr>
            <w:tcW w:w="562" w:type="dxa"/>
            <w:shd w:val="clear" w:color="auto" w:fill="F2F2F2" w:themeFill="background1" w:themeFillShade="F2"/>
            <w:vAlign w:val="center"/>
          </w:tcPr>
          <w:p w14:paraId="6E98C8F2" w14:textId="77777777" w:rsidR="0083387C" w:rsidRPr="001A076D" w:rsidRDefault="0083387C" w:rsidP="00FE4F18">
            <w:pPr>
              <w:autoSpaceDE w:val="0"/>
              <w:autoSpaceDN w:val="0"/>
              <w:adjustRightInd w:val="0"/>
              <w:jc w:val="center"/>
              <w:rPr>
                <w:sz w:val="22"/>
                <w:szCs w:val="22"/>
              </w:rPr>
            </w:pPr>
            <w:r w:rsidRPr="001A076D">
              <w:rPr>
                <w:sz w:val="22"/>
                <w:szCs w:val="22"/>
              </w:rPr>
              <w:t>18</w:t>
            </w:r>
          </w:p>
        </w:tc>
        <w:tc>
          <w:tcPr>
            <w:tcW w:w="7905" w:type="dxa"/>
            <w:shd w:val="clear" w:color="auto" w:fill="F2F2F2" w:themeFill="background1" w:themeFillShade="F2"/>
            <w:vAlign w:val="center"/>
          </w:tcPr>
          <w:p w14:paraId="7661E632" w14:textId="77777777" w:rsidR="0083387C" w:rsidRPr="001A076D" w:rsidRDefault="0083387C" w:rsidP="00FE4F18">
            <w:pPr>
              <w:autoSpaceDE w:val="0"/>
              <w:autoSpaceDN w:val="0"/>
              <w:adjustRightInd w:val="0"/>
              <w:rPr>
                <w:sz w:val="22"/>
                <w:szCs w:val="22"/>
              </w:rPr>
            </w:pPr>
            <w:r w:rsidRPr="001A076D">
              <w:rPr>
                <w:sz w:val="22"/>
                <w:szCs w:val="22"/>
              </w:rPr>
              <w:t>Publication of data that might allow identification of individuals?</w:t>
            </w:r>
          </w:p>
        </w:tc>
        <w:tc>
          <w:tcPr>
            <w:tcW w:w="992" w:type="dxa"/>
            <w:shd w:val="clear" w:color="auto" w:fill="BFBFBF" w:themeFill="background1" w:themeFillShade="BF"/>
            <w:vAlign w:val="center"/>
          </w:tcPr>
          <w:sdt>
            <w:sdtPr>
              <w:rPr>
                <w:sz w:val="22"/>
                <w:szCs w:val="22"/>
              </w:rPr>
              <w:id w:val="1833259881"/>
              <w14:checkbox>
                <w14:checked w14:val="0"/>
                <w14:checkedState w14:val="2612" w14:font="MS Gothic"/>
                <w14:uncheckedState w14:val="2610" w14:font="MS Gothic"/>
              </w14:checkbox>
            </w:sdtPr>
            <w:sdtContent>
              <w:p w14:paraId="24C8F6CA"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48495840"/>
              <w14:checkbox>
                <w14:checked w14:val="1"/>
                <w14:checkedState w14:val="2612" w14:font="MS Gothic"/>
                <w14:uncheckedState w14:val="2610" w14:font="MS Gothic"/>
              </w14:checkbox>
            </w:sdtPr>
            <w:sdtContent>
              <w:p w14:paraId="4CB06924"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2FB1696B" w14:textId="77777777" w:rsidTr="00FE4F18">
        <w:trPr>
          <w:trHeight w:val="403"/>
        </w:trPr>
        <w:tc>
          <w:tcPr>
            <w:tcW w:w="562" w:type="dxa"/>
            <w:shd w:val="clear" w:color="auto" w:fill="F2F2F2" w:themeFill="background1" w:themeFillShade="F2"/>
            <w:vAlign w:val="center"/>
          </w:tcPr>
          <w:p w14:paraId="71AA18ED" w14:textId="77777777" w:rsidR="0083387C" w:rsidRPr="001A076D" w:rsidRDefault="0083387C" w:rsidP="00FE4F18">
            <w:pPr>
              <w:autoSpaceDE w:val="0"/>
              <w:autoSpaceDN w:val="0"/>
              <w:adjustRightInd w:val="0"/>
              <w:jc w:val="center"/>
              <w:rPr>
                <w:sz w:val="22"/>
                <w:szCs w:val="22"/>
              </w:rPr>
            </w:pPr>
            <w:r w:rsidRPr="001A076D">
              <w:rPr>
                <w:sz w:val="22"/>
                <w:szCs w:val="22"/>
              </w:rPr>
              <w:t>19</w:t>
            </w:r>
          </w:p>
        </w:tc>
        <w:tc>
          <w:tcPr>
            <w:tcW w:w="7905" w:type="dxa"/>
            <w:shd w:val="clear" w:color="auto" w:fill="F2F2F2" w:themeFill="background1" w:themeFillShade="F2"/>
            <w:vAlign w:val="center"/>
          </w:tcPr>
          <w:p w14:paraId="258B3F60" w14:textId="77777777" w:rsidR="0083387C" w:rsidRPr="001A076D" w:rsidRDefault="0083387C" w:rsidP="00FE4F18">
            <w:pPr>
              <w:autoSpaceDE w:val="0"/>
              <w:autoSpaceDN w:val="0"/>
              <w:adjustRightInd w:val="0"/>
              <w:rPr>
                <w:sz w:val="22"/>
                <w:szCs w:val="22"/>
              </w:rPr>
            </w:pPr>
            <w:r w:rsidRPr="001A076D">
              <w:rPr>
                <w:sz w:val="22"/>
                <w:szCs w:val="22"/>
              </w:rPr>
              <w:t>Use of data management system?</w:t>
            </w:r>
          </w:p>
        </w:tc>
        <w:tc>
          <w:tcPr>
            <w:tcW w:w="992" w:type="dxa"/>
            <w:shd w:val="clear" w:color="auto" w:fill="BFBFBF" w:themeFill="background1" w:themeFillShade="BF"/>
            <w:vAlign w:val="center"/>
          </w:tcPr>
          <w:sdt>
            <w:sdtPr>
              <w:rPr>
                <w:sz w:val="22"/>
                <w:szCs w:val="22"/>
              </w:rPr>
              <w:id w:val="-1317182428"/>
              <w14:checkbox>
                <w14:checked w14:val="0"/>
                <w14:checkedState w14:val="2612" w14:font="MS Gothic"/>
                <w14:uncheckedState w14:val="2610" w14:font="MS Gothic"/>
              </w14:checkbox>
            </w:sdtPr>
            <w:sdtContent>
              <w:p w14:paraId="6A0B0257"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1535304944"/>
              <w14:checkbox>
                <w14:checked w14:val="1"/>
                <w14:checkedState w14:val="2612" w14:font="MS Gothic"/>
                <w14:uncheckedState w14:val="2610" w14:font="MS Gothic"/>
              </w14:checkbox>
            </w:sdtPr>
            <w:sdtContent>
              <w:p w14:paraId="4365B3D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36228207" w14:textId="77777777" w:rsidTr="00FE4F18">
        <w:trPr>
          <w:trHeight w:val="403"/>
        </w:trPr>
        <w:tc>
          <w:tcPr>
            <w:tcW w:w="562" w:type="dxa"/>
            <w:shd w:val="clear" w:color="auto" w:fill="F2F2F2" w:themeFill="background1" w:themeFillShade="F2"/>
            <w:vAlign w:val="center"/>
          </w:tcPr>
          <w:p w14:paraId="442602B1" w14:textId="77777777" w:rsidR="0083387C" w:rsidRPr="001A076D" w:rsidRDefault="0083387C" w:rsidP="00FE4F18">
            <w:pPr>
              <w:autoSpaceDE w:val="0"/>
              <w:autoSpaceDN w:val="0"/>
              <w:adjustRightInd w:val="0"/>
              <w:jc w:val="center"/>
              <w:rPr>
                <w:sz w:val="22"/>
                <w:szCs w:val="22"/>
              </w:rPr>
            </w:pPr>
            <w:r w:rsidRPr="001A076D">
              <w:rPr>
                <w:sz w:val="22"/>
                <w:szCs w:val="22"/>
              </w:rPr>
              <w:lastRenderedPageBreak/>
              <w:t>20</w:t>
            </w:r>
          </w:p>
        </w:tc>
        <w:tc>
          <w:tcPr>
            <w:tcW w:w="7905" w:type="dxa"/>
            <w:shd w:val="clear" w:color="auto" w:fill="F2F2F2" w:themeFill="background1" w:themeFillShade="F2"/>
            <w:vAlign w:val="center"/>
          </w:tcPr>
          <w:p w14:paraId="01420B75" w14:textId="77777777" w:rsidR="0083387C" w:rsidRPr="001A076D" w:rsidRDefault="0083387C" w:rsidP="00FE4F18">
            <w:pPr>
              <w:autoSpaceDE w:val="0"/>
              <w:autoSpaceDN w:val="0"/>
              <w:adjustRightInd w:val="0"/>
              <w:rPr>
                <w:b/>
                <w:bCs/>
                <w:sz w:val="22"/>
                <w:szCs w:val="22"/>
              </w:rPr>
            </w:pPr>
            <w:r w:rsidRPr="001A076D">
              <w:rPr>
                <w:sz w:val="22"/>
                <w:szCs w:val="22"/>
              </w:rPr>
              <w:t>Data archiving?</w:t>
            </w:r>
          </w:p>
        </w:tc>
        <w:tc>
          <w:tcPr>
            <w:tcW w:w="992" w:type="dxa"/>
            <w:shd w:val="clear" w:color="auto" w:fill="BFBFBF" w:themeFill="background1" w:themeFillShade="BF"/>
            <w:vAlign w:val="center"/>
          </w:tcPr>
          <w:sdt>
            <w:sdtPr>
              <w:rPr>
                <w:sz w:val="22"/>
                <w:szCs w:val="22"/>
              </w:rPr>
              <w:id w:val="337199998"/>
              <w14:checkbox>
                <w14:checked w14:val="1"/>
                <w14:checkedState w14:val="2612" w14:font="MS Gothic"/>
                <w14:uncheckedState w14:val="2610" w14:font="MS Gothic"/>
              </w14:checkbox>
            </w:sdtPr>
            <w:sdtContent>
              <w:p w14:paraId="5DBE4219"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sz w:val="22"/>
                <w:szCs w:val="22"/>
              </w:rPr>
              <w:id w:val="-433046498"/>
              <w14:checkbox>
                <w14:checked w14:val="0"/>
                <w14:checkedState w14:val="2612" w14:font="MS Gothic"/>
                <w14:uncheckedState w14:val="2610" w14:font="MS Gothic"/>
              </w14:checkbox>
            </w:sdtPr>
            <w:sdtContent>
              <w:p w14:paraId="66FA9492" w14:textId="77777777" w:rsidR="0083387C" w:rsidRPr="001A076D" w:rsidRDefault="0083387C" w:rsidP="00FE4F18">
                <w:pPr>
                  <w:autoSpaceDE w:val="0"/>
                  <w:autoSpaceDN w:val="0"/>
                  <w:adjustRightInd w:val="0"/>
                  <w:jc w:val="center"/>
                  <w:rPr>
                    <w:sz w:val="22"/>
                    <w:szCs w:val="22"/>
                  </w:rPr>
                </w:pPr>
                <w:r w:rsidRPr="001A076D">
                  <w:rPr>
                    <w:rFonts w:ascii="Segoe UI Symbol" w:eastAsia="MS Gothic" w:hAnsi="Segoe UI Symbol" w:cs="Segoe UI Symbol"/>
                    <w:sz w:val="22"/>
                    <w:szCs w:val="22"/>
                  </w:rPr>
                  <w:t>☐</w:t>
                </w:r>
              </w:p>
            </w:sdtContent>
          </w:sdt>
        </w:tc>
      </w:tr>
      <w:tr w:rsidR="00057F93" w:rsidRPr="001A076D" w14:paraId="01F1A684" w14:textId="77777777" w:rsidTr="00FE4F18">
        <w:trPr>
          <w:trHeight w:val="403"/>
        </w:trPr>
        <w:tc>
          <w:tcPr>
            <w:tcW w:w="562" w:type="dxa"/>
            <w:shd w:val="clear" w:color="auto" w:fill="F2F2F2" w:themeFill="background1" w:themeFillShade="F2"/>
            <w:vAlign w:val="center"/>
          </w:tcPr>
          <w:p w14:paraId="64E309FA" w14:textId="77777777" w:rsidR="0083387C" w:rsidRPr="001A076D" w:rsidRDefault="0083387C" w:rsidP="00FE4F18">
            <w:pPr>
              <w:spacing w:before="120" w:after="120"/>
              <w:jc w:val="center"/>
              <w:rPr>
                <w:sz w:val="22"/>
                <w:szCs w:val="22"/>
              </w:rPr>
            </w:pPr>
            <w:r w:rsidRPr="001A076D">
              <w:rPr>
                <w:sz w:val="22"/>
                <w:szCs w:val="22"/>
              </w:rPr>
              <w:t>21</w:t>
            </w:r>
          </w:p>
        </w:tc>
        <w:tc>
          <w:tcPr>
            <w:tcW w:w="9923" w:type="dxa"/>
            <w:gridSpan w:val="3"/>
            <w:shd w:val="clear" w:color="auto" w:fill="F2F2F2" w:themeFill="background1" w:themeFillShade="F2"/>
            <w:vAlign w:val="center"/>
          </w:tcPr>
          <w:p w14:paraId="7502A7F0" w14:textId="77777777" w:rsidR="0083387C" w:rsidRPr="001A076D" w:rsidRDefault="0083387C" w:rsidP="00FE4F18">
            <w:pPr>
              <w:spacing w:before="120" w:after="120"/>
              <w:rPr>
                <w:bCs/>
                <w:sz w:val="22"/>
                <w:szCs w:val="22"/>
              </w:rPr>
            </w:pPr>
            <w:r w:rsidRPr="001A076D">
              <w:rPr>
                <w:sz w:val="22"/>
                <w:szCs w:val="22"/>
              </w:rPr>
              <w:t>If YES</w:t>
            </w:r>
            <w:r w:rsidRPr="001A076D">
              <w:rPr>
                <w:b/>
                <w:bCs/>
                <w:sz w:val="22"/>
                <w:szCs w:val="22"/>
              </w:rPr>
              <w:t xml:space="preserve"> </w:t>
            </w:r>
            <w:r w:rsidRPr="001A076D">
              <w:rPr>
                <w:sz w:val="22"/>
                <w:szCs w:val="22"/>
              </w:rPr>
              <w:t xml:space="preserve">to any question, please provide full details, </w:t>
            </w:r>
            <w:r w:rsidRPr="001A076D">
              <w:rPr>
                <w:bCs/>
                <w:sz w:val="22"/>
                <w:szCs w:val="22"/>
              </w:rPr>
              <w:t>explaining how this will be conducted in accordance with the GDPR and Data Protection Act (2018) (and any international equivalents, where appropriate):</w:t>
            </w:r>
          </w:p>
        </w:tc>
      </w:tr>
      <w:tr w:rsidR="00057F93" w:rsidRPr="001A076D" w14:paraId="2DB217DF" w14:textId="77777777" w:rsidTr="00FE4F18">
        <w:trPr>
          <w:trHeight w:val="403"/>
        </w:trPr>
        <w:tc>
          <w:tcPr>
            <w:tcW w:w="562" w:type="dxa"/>
            <w:vAlign w:val="center"/>
          </w:tcPr>
          <w:p w14:paraId="2E8DC0E3" w14:textId="77777777" w:rsidR="0083387C" w:rsidRPr="001A076D" w:rsidRDefault="0083387C" w:rsidP="00FE4F18">
            <w:pPr>
              <w:autoSpaceDE w:val="0"/>
              <w:autoSpaceDN w:val="0"/>
              <w:adjustRightInd w:val="0"/>
              <w:jc w:val="center"/>
              <w:rPr>
                <w:sz w:val="22"/>
                <w:szCs w:val="22"/>
              </w:rPr>
            </w:pPr>
          </w:p>
        </w:tc>
        <w:tc>
          <w:tcPr>
            <w:tcW w:w="9923" w:type="dxa"/>
            <w:gridSpan w:val="3"/>
            <w:vAlign w:val="center"/>
          </w:tcPr>
          <w:p w14:paraId="0F2DA162" w14:textId="77777777" w:rsidR="0083387C" w:rsidRPr="001A076D" w:rsidRDefault="0083387C" w:rsidP="00FE4F18">
            <w:pPr>
              <w:autoSpaceDE w:val="0"/>
              <w:autoSpaceDN w:val="0"/>
              <w:adjustRightInd w:val="0"/>
              <w:rPr>
                <w:sz w:val="22"/>
                <w:szCs w:val="22"/>
              </w:rPr>
            </w:pPr>
          </w:p>
          <w:p w14:paraId="6494D9B5" w14:textId="77777777" w:rsidR="0083387C" w:rsidRPr="001A076D" w:rsidRDefault="0083387C" w:rsidP="00FE4F18">
            <w:pPr>
              <w:autoSpaceDE w:val="0"/>
              <w:autoSpaceDN w:val="0"/>
              <w:adjustRightInd w:val="0"/>
              <w:rPr>
                <w:sz w:val="22"/>
                <w:szCs w:val="22"/>
              </w:rPr>
            </w:pPr>
            <w:r w:rsidRPr="001A076D">
              <w:rPr>
                <w:sz w:val="22"/>
                <w:szCs w:val="22"/>
              </w:rPr>
              <w:t>Data will be transferred using university-secured cloud systems (Microsoft 365). No identifiable data will be published. Survey tools will anonymise responses and transcription software will be used securely.</w:t>
            </w:r>
          </w:p>
          <w:p w14:paraId="3D70DBEE" w14:textId="77777777" w:rsidR="0083387C" w:rsidRPr="001A076D" w:rsidRDefault="0083387C" w:rsidP="00FE4F18">
            <w:pPr>
              <w:autoSpaceDE w:val="0"/>
              <w:autoSpaceDN w:val="0"/>
              <w:adjustRightInd w:val="0"/>
            </w:pPr>
            <w:r w:rsidRPr="001A076D">
              <w:rPr>
                <w:i/>
                <w:sz w:val="18"/>
                <w:szCs w:val="18"/>
              </w:rPr>
              <w:t>(this box should expand as you type)</w:t>
            </w:r>
          </w:p>
        </w:tc>
      </w:tr>
      <w:tr w:rsidR="00057F93" w:rsidRPr="001A076D" w14:paraId="2761E07A" w14:textId="77777777" w:rsidTr="00FE4F18">
        <w:trPr>
          <w:trHeight w:val="403"/>
        </w:trPr>
        <w:tc>
          <w:tcPr>
            <w:tcW w:w="562" w:type="dxa"/>
            <w:shd w:val="clear" w:color="auto" w:fill="F2F2F2" w:themeFill="background1" w:themeFillShade="F2"/>
            <w:vAlign w:val="center"/>
          </w:tcPr>
          <w:p w14:paraId="244A9AC2" w14:textId="77777777" w:rsidR="0083387C" w:rsidRPr="001A076D" w:rsidRDefault="0083387C" w:rsidP="00FE4F18">
            <w:pPr>
              <w:autoSpaceDE w:val="0"/>
              <w:autoSpaceDN w:val="0"/>
              <w:adjustRightInd w:val="0"/>
              <w:jc w:val="center"/>
              <w:rPr>
                <w:bCs/>
                <w:sz w:val="22"/>
                <w:szCs w:val="22"/>
              </w:rPr>
            </w:pPr>
            <w:r w:rsidRPr="001A076D">
              <w:rPr>
                <w:sz w:val="22"/>
                <w:szCs w:val="22"/>
              </w:rPr>
              <w:t>22</w:t>
            </w:r>
          </w:p>
        </w:tc>
        <w:tc>
          <w:tcPr>
            <w:tcW w:w="9923" w:type="dxa"/>
            <w:gridSpan w:val="3"/>
            <w:shd w:val="clear" w:color="auto" w:fill="F2F2F2" w:themeFill="background1" w:themeFillShade="F2"/>
            <w:vAlign w:val="center"/>
          </w:tcPr>
          <w:p w14:paraId="5D1FC8A9" w14:textId="77777777" w:rsidR="0083387C" w:rsidRPr="001A076D" w:rsidRDefault="0083387C" w:rsidP="00FE4F18">
            <w:pPr>
              <w:autoSpaceDE w:val="0"/>
              <w:autoSpaceDN w:val="0"/>
              <w:adjustRightInd w:val="0"/>
              <w:rPr>
                <w:sz w:val="22"/>
                <w:szCs w:val="22"/>
              </w:rPr>
            </w:pPr>
            <w:r w:rsidRPr="001A076D">
              <w:rPr>
                <w:bCs/>
                <w:sz w:val="22"/>
                <w:szCs w:val="22"/>
              </w:rPr>
              <w:t>List all who will have access to the data generated by the research activity</w:t>
            </w:r>
            <w:r w:rsidRPr="001A076D">
              <w:rPr>
                <w:sz w:val="22"/>
                <w:szCs w:val="22"/>
              </w:rPr>
              <w:t>:</w:t>
            </w:r>
          </w:p>
        </w:tc>
      </w:tr>
      <w:tr w:rsidR="00057F93" w:rsidRPr="001A076D" w14:paraId="01973909" w14:textId="77777777" w:rsidTr="00FE4F18">
        <w:trPr>
          <w:trHeight w:val="403"/>
        </w:trPr>
        <w:tc>
          <w:tcPr>
            <w:tcW w:w="562" w:type="dxa"/>
            <w:vAlign w:val="center"/>
          </w:tcPr>
          <w:p w14:paraId="70ED5D11" w14:textId="77777777" w:rsidR="0083387C" w:rsidRPr="001A076D" w:rsidRDefault="0083387C" w:rsidP="00FE4F18">
            <w:pPr>
              <w:autoSpaceDE w:val="0"/>
              <w:autoSpaceDN w:val="0"/>
              <w:adjustRightInd w:val="0"/>
              <w:jc w:val="center"/>
              <w:rPr>
                <w:sz w:val="22"/>
                <w:szCs w:val="22"/>
              </w:rPr>
            </w:pPr>
          </w:p>
        </w:tc>
        <w:tc>
          <w:tcPr>
            <w:tcW w:w="9923" w:type="dxa"/>
            <w:gridSpan w:val="3"/>
            <w:vAlign w:val="center"/>
          </w:tcPr>
          <w:p w14:paraId="5D185095" w14:textId="77777777" w:rsidR="0083387C" w:rsidRPr="001A076D" w:rsidRDefault="0083387C" w:rsidP="00FE4F18">
            <w:pPr>
              <w:autoSpaceDE w:val="0"/>
              <w:autoSpaceDN w:val="0"/>
              <w:adjustRightInd w:val="0"/>
              <w:rPr>
                <w:sz w:val="22"/>
                <w:szCs w:val="22"/>
              </w:rPr>
            </w:pPr>
          </w:p>
          <w:p w14:paraId="08D84444" w14:textId="77777777" w:rsidR="0083387C" w:rsidRPr="001A076D" w:rsidRDefault="0083387C">
            <w:pPr>
              <w:pStyle w:val="ListParagraph"/>
              <w:numPr>
                <w:ilvl w:val="0"/>
                <w:numId w:val="5"/>
              </w:numPr>
              <w:autoSpaceDE w:val="0"/>
              <w:autoSpaceDN w:val="0"/>
              <w:adjustRightInd w:val="0"/>
            </w:pPr>
            <w:r w:rsidRPr="001A076D">
              <w:t>Principal researcher (Joshua Depiver)</w:t>
            </w:r>
          </w:p>
          <w:p w14:paraId="6BBF99E6" w14:textId="77777777" w:rsidR="0083387C" w:rsidRPr="001A076D" w:rsidRDefault="0083387C">
            <w:pPr>
              <w:pStyle w:val="ListParagraph"/>
              <w:numPr>
                <w:ilvl w:val="0"/>
                <w:numId w:val="5"/>
              </w:numPr>
              <w:autoSpaceDE w:val="0"/>
              <w:autoSpaceDN w:val="0"/>
              <w:adjustRightInd w:val="0"/>
            </w:pPr>
            <w:r w:rsidRPr="001A076D">
              <w:t>Academic supervisor (as needed)</w:t>
            </w:r>
          </w:p>
          <w:p w14:paraId="30800B69" w14:textId="77777777" w:rsidR="0083387C" w:rsidRPr="001A076D" w:rsidRDefault="0083387C">
            <w:pPr>
              <w:pStyle w:val="ListParagraph"/>
              <w:numPr>
                <w:ilvl w:val="0"/>
                <w:numId w:val="5"/>
              </w:numPr>
              <w:autoSpaceDE w:val="0"/>
              <w:autoSpaceDN w:val="0"/>
              <w:adjustRightInd w:val="0"/>
            </w:pPr>
            <w:r w:rsidRPr="001A076D">
              <w:t>UWTSD Ethics Committee (if required)</w:t>
            </w:r>
          </w:p>
          <w:p w14:paraId="3B42828D" w14:textId="77777777" w:rsidR="0083387C" w:rsidRPr="001A076D" w:rsidRDefault="0083387C" w:rsidP="00FE4F18">
            <w:pPr>
              <w:autoSpaceDE w:val="0"/>
              <w:autoSpaceDN w:val="0"/>
              <w:adjustRightInd w:val="0"/>
              <w:rPr>
                <w:sz w:val="22"/>
                <w:szCs w:val="22"/>
              </w:rPr>
            </w:pPr>
            <w:r w:rsidRPr="001A076D">
              <w:rPr>
                <w:i/>
                <w:sz w:val="18"/>
                <w:szCs w:val="18"/>
              </w:rPr>
              <w:t>(this box should expand as you type)</w:t>
            </w:r>
          </w:p>
        </w:tc>
      </w:tr>
      <w:tr w:rsidR="00057F93" w:rsidRPr="001A076D" w14:paraId="2A926B2A" w14:textId="77777777" w:rsidTr="00FE4F18">
        <w:trPr>
          <w:trHeight w:val="403"/>
        </w:trPr>
        <w:tc>
          <w:tcPr>
            <w:tcW w:w="562" w:type="dxa"/>
            <w:shd w:val="clear" w:color="auto" w:fill="F2F2F2" w:themeFill="background1" w:themeFillShade="F2"/>
            <w:vAlign w:val="center"/>
          </w:tcPr>
          <w:p w14:paraId="2173D1A2" w14:textId="77777777" w:rsidR="0083387C" w:rsidRPr="001A076D" w:rsidRDefault="0083387C" w:rsidP="00FE4F18">
            <w:pPr>
              <w:autoSpaceDE w:val="0"/>
              <w:autoSpaceDN w:val="0"/>
              <w:adjustRightInd w:val="0"/>
              <w:jc w:val="center"/>
              <w:rPr>
                <w:bCs/>
                <w:sz w:val="22"/>
                <w:szCs w:val="22"/>
              </w:rPr>
            </w:pPr>
            <w:r w:rsidRPr="001A076D">
              <w:rPr>
                <w:sz w:val="22"/>
                <w:szCs w:val="22"/>
              </w:rPr>
              <w:t>23</w:t>
            </w:r>
          </w:p>
        </w:tc>
        <w:tc>
          <w:tcPr>
            <w:tcW w:w="9923" w:type="dxa"/>
            <w:gridSpan w:val="3"/>
            <w:shd w:val="clear" w:color="auto" w:fill="F2F2F2" w:themeFill="background1" w:themeFillShade="F2"/>
          </w:tcPr>
          <w:p w14:paraId="733DF2A4" w14:textId="77777777" w:rsidR="0083387C" w:rsidRPr="001A076D" w:rsidRDefault="0083387C" w:rsidP="00FE4F18">
            <w:pPr>
              <w:autoSpaceDE w:val="0"/>
              <w:autoSpaceDN w:val="0"/>
              <w:adjustRightInd w:val="0"/>
              <w:rPr>
                <w:sz w:val="22"/>
                <w:szCs w:val="22"/>
              </w:rPr>
            </w:pPr>
            <w:r w:rsidRPr="001A076D">
              <w:rPr>
                <w:bCs/>
                <w:sz w:val="22"/>
                <w:szCs w:val="22"/>
              </w:rPr>
              <w:t>List who will have control of, and act as custodian(s) for, data generated by the research activity</w:t>
            </w:r>
            <w:r w:rsidRPr="001A076D">
              <w:rPr>
                <w:sz w:val="22"/>
                <w:szCs w:val="22"/>
              </w:rPr>
              <w:t>:</w:t>
            </w:r>
          </w:p>
        </w:tc>
      </w:tr>
      <w:tr w:rsidR="00057F93" w:rsidRPr="001A076D" w14:paraId="75642903" w14:textId="77777777" w:rsidTr="00FE4F18">
        <w:trPr>
          <w:trHeight w:val="403"/>
        </w:trPr>
        <w:tc>
          <w:tcPr>
            <w:tcW w:w="562" w:type="dxa"/>
            <w:vAlign w:val="center"/>
          </w:tcPr>
          <w:p w14:paraId="4E25E36D" w14:textId="77777777" w:rsidR="0083387C" w:rsidRPr="001A076D" w:rsidRDefault="0083387C" w:rsidP="00FE4F18">
            <w:pPr>
              <w:autoSpaceDE w:val="0"/>
              <w:autoSpaceDN w:val="0"/>
              <w:adjustRightInd w:val="0"/>
              <w:jc w:val="center"/>
              <w:rPr>
                <w:sz w:val="22"/>
                <w:szCs w:val="22"/>
              </w:rPr>
            </w:pPr>
          </w:p>
        </w:tc>
        <w:tc>
          <w:tcPr>
            <w:tcW w:w="9923" w:type="dxa"/>
            <w:gridSpan w:val="3"/>
          </w:tcPr>
          <w:p w14:paraId="1E92BD24" w14:textId="77777777" w:rsidR="0083387C" w:rsidRPr="001A076D" w:rsidRDefault="0083387C" w:rsidP="00FE4F18">
            <w:pPr>
              <w:autoSpaceDE w:val="0"/>
              <w:autoSpaceDN w:val="0"/>
              <w:adjustRightInd w:val="0"/>
              <w:rPr>
                <w:sz w:val="22"/>
                <w:szCs w:val="22"/>
              </w:rPr>
            </w:pPr>
          </w:p>
          <w:p w14:paraId="7E6EE12C" w14:textId="77777777" w:rsidR="0083387C" w:rsidRPr="001A076D" w:rsidRDefault="0083387C">
            <w:pPr>
              <w:pStyle w:val="ListParagraph"/>
              <w:numPr>
                <w:ilvl w:val="0"/>
                <w:numId w:val="6"/>
              </w:numPr>
              <w:autoSpaceDE w:val="0"/>
              <w:autoSpaceDN w:val="0"/>
              <w:adjustRightInd w:val="0"/>
            </w:pPr>
            <w:r w:rsidRPr="001A076D">
              <w:t>Joshua Depiver (Principal Researcher)</w:t>
            </w:r>
          </w:p>
          <w:p w14:paraId="7EC13FAE" w14:textId="77777777" w:rsidR="0083387C" w:rsidRPr="001A076D" w:rsidRDefault="0083387C">
            <w:pPr>
              <w:pStyle w:val="ListParagraph"/>
              <w:numPr>
                <w:ilvl w:val="0"/>
                <w:numId w:val="6"/>
              </w:numPr>
              <w:autoSpaceDE w:val="0"/>
              <w:autoSpaceDN w:val="0"/>
              <w:adjustRightInd w:val="0"/>
            </w:pPr>
            <w:r w:rsidRPr="001A076D">
              <w:t>UWTSD IT systems will host secured storage</w:t>
            </w:r>
          </w:p>
          <w:p w14:paraId="56B4E93A" w14:textId="77777777" w:rsidR="0083387C" w:rsidRPr="001A076D" w:rsidRDefault="0083387C" w:rsidP="00FE4F18">
            <w:pPr>
              <w:autoSpaceDE w:val="0"/>
              <w:autoSpaceDN w:val="0"/>
              <w:adjustRightInd w:val="0"/>
              <w:rPr>
                <w:sz w:val="22"/>
                <w:szCs w:val="22"/>
              </w:rPr>
            </w:pPr>
            <w:r w:rsidRPr="001A076D">
              <w:rPr>
                <w:i/>
                <w:sz w:val="18"/>
                <w:szCs w:val="18"/>
              </w:rPr>
              <w:t>(this box should expand as you type)</w:t>
            </w:r>
          </w:p>
        </w:tc>
      </w:tr>
      <w:tr w:rsidR="00057F93" w:rsidRPr="001A076D" w14:paraId="202E6080" w14:textId="77777777" w:rsidTr="00FE4F18">
        <w:trPr>
          <w:trHeight w:val="403"/>
        </w:trPr>
        <w:tc>
          <w:tcPr>
            <w:tcW w:w="562" w:type="dxa"/>
            <w:shd w:val="clear" w:color="auto" w:fill="F2F2F2" w:themeFill="background1" w:themeFillShade="F2"/>
            <w:vAlign w:val="center"/>
          </w:tcPr>
          <w:p w14:paraId="1E865B37" w14:textId="77777777" w:rsidR="0083387C" w:rsidRPr="001A076D" w:rsidRDefault="0083387C" w:rsidP="00FE4F18">
            <w:pPr>
              <w:autoSpaceDE w:val="0"/>
              <w:autoSpaceDN w:val="0"/>
              <w:adjustRightInd w:val="0"/>
              <w:jc w:val="center"/>
              <w:rPr>
                <w:bCs/>
                <w:sz w:val="22"/>
                <w:szCs w:val="22"/>
              </w:rPr>
            </w:pPr>
            <w:r w:rsidRPr="001A076D">
              <w:rPr>
                <w:sz w:val="22"/>
                <w:szCs w:val="22"/>
              </w:rPr>
              <w:t>24</w:t>
            </w:r>
          </w:p>
        </w:tc>
        <w:tc>
          <w:tcPr>
            <w:tcW w:w="9923" w:type="dxa"/>
            <w:gridSpan w:val="3"/>
            <w:shd w:val="clear" w:color="auto" w:fill="F2F2F2" w:themeFill="background1" w:themeFillShade="F2"/>
          </w:tcPr>
          <w:p w14:paraId="236621E0" w14:textId="77777777" w:rsidR="0083387C" w:rsidRPr="001A076D" w:rsidRDefault="0083387C" w:rsidP="00FE4F18">
            <w:pPr>
              <w:autoSpaceDE w:val="0"/>
              <w:autoSpaceDN w:val="0"/>
              <w:adjustRightInd w:val="0"/>
              <w:rPr>
                <w:sz w:val="22"/>
                <w:szCs w:val="22"/>
              </w:rPr>
            </w:pPr>
            <w:r w:rsidRPr="001A076D">
              <w:rPr>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1A076D">
              <w:rPr>
                <w:bCs/>
                <w:sz w:val="22"/>
                <w:szCs w:val="22"/>
              </w:rPr>
              <w:t>why not</w:t>
            </w:r>
            <w:proofErr w:type="gramEnd"/>
            <w:r w:rsidRPr="001A076D">
              <w:rPr>
                <w:bCs/>
                <w:sz w:val="22"/>
                <w:szCs w:val="22"/>
              </w:rPr>
              <w:t xml:space="preserve">.  </w:t>
            </w:r>
          </w:p>
        </w:tc>
      </w:tr>
      <w:tr w:rsidR="00057F93" w:rsidRPr="001A076D" w14:paraId="6817E88F" w14:textId="77777777" w:rsidTr="00FE4F18">
        <w:trPr>
          <w:trHeight w:val="403"/>
        </w:trPr>
        <w:tc>
          <w:tcPr>
            <w:tcW w:w="562" w:type="dxa"/>
            <w:vAlign w:val="center"/>
          </w:tcPr>
          <w:p w14:paraId="2E38C4F9" w14:textId="77777777" w:rsidR="0083387C" w:rsidRPr="001A076D" w:rsidRDefault="0083387C" w:rsidP="00FE4F18">
            <w:pPr>
              <w:autoSpaceDE w:val="0"/>
              <w:autoSpaceDN w:val="0"/>
              <w:adjustRightInd w:val="0"/>
              <w:jc w:val="center"/>
              <w:rPr>
                <w:sz w:val="22"/>
                <w:szCs w:val="22"/>
              </w:rPr>
            </w:pPr>
          </w:p>
        </w:tc>
        <w:tc>
          <w:tcPr>
            <w:tcW w:w="9923" w:type="dxa"/>
            <w:gridSpan w:val="3"/>
          </w:tcPr>
          <w:p w14:paraId="52E96051" w14:textId="77777777" w:rsidR="0083387C" w:rsidRPr="001A076D" w:rsidRDefault="0083387C" w:rsidP="00FE4F18">
            <w:pPr>
              <w:autoSpaceDE w:val="0"/>
              <w:autoSpaceDN w:val="0"/>
              <w:adjustRightInd w:val="0"/>
              <w:rPr>
                <w:sz w:val="22"/>
                <w:szCs w:val="22"/>
              </w:rPr>
            </w:pPr>
          </w:p>
          <w:p w14:paraId="5E20F7CA" w14:textId="77777777" w:rsidR="0083387C" w:rsidRPr="001A076D" w:rsidRDefault="0083387C" w:rsidP="00FE4F18">
            <w:pPr>
              <w:autoSpaceDE w:val="0"/>
              <w:autoSpaceDN w:val="0"/>
              <w:adjustRightInd w:val="0"/>
              <w:rPr>
                <w:sz w:val="22"/>
                <w:szCs w:val="22"/>
              </w:rPr>
            </w:pPr>
            <w:r w:rsidRPr="001A076D">
              <w:rPr>
                <w:sz w:val="22"/>
                <w:szCs w:val="22"/>
              </w:rPr>
              <w:t>Data will be stored on UWTSD OneDrive and encrypted USB drive. Retention will be for 3 years post-project completion (to allow for publication). After that, data will be deleted unless needed for research archiving.</w:t>
            </w:r>
          </w:p>
          <w:p w14:paraId="31CEDD98" w14:textId="77777777" w:rsidR="0083387C" w:rsidRPr="001A076D" w:rsidRDefault="0083387C" w:rsidP="00FE4F18">
            <w:pPr>
              <w:autoSpaceDE w:val="0"/>
              <w:autoSpaceDN w:val="0"/>
              <w:adjustRightInd w:val="0"/>
              <w:rPr>
                <w:sz w:val="22"/>
                <w:szCs w:val="22"/>
              </w:rPr>
            </w:pPr>
            <w:r w:rsidRPr="001A076D">
              <w:rPr>
                <w:i/>
                <w:sz w:val="18"/>
                <w:szCs w:val="18"/>
              </w:rPr>
              <w:t>(this box should expand as you type)</w:t>
            </w:r>
          </w:p>
        </w:tc>
      </w:tr>
      <w:tr w:rsidR="00057F93" w:rsidRPr="001A076D" w14:paraId="69E741E9" w14:textId="77777777" w:rsidTr="00FE4F18">
        <w:trPr>
          <w:trHeight w:val="403"/>
        </w:trPr>
        <w:tc>
          <w:tcPr>
            <w:tcW w:w="562" w:type="dxa"/>
            <w:shd w:val="clear" w:color="auto" w:fill="F2F2F2" w:themeFill="background1" w:themeFillShade="F2"/>
            <w:vAlign w:val="center"/>
          </w:tcPr>
          <w:p w14:paraId="784195B4" w14:textId="77777777" w:rsidR="0083387C" w:rsidRPr="001A076D" w:rsidRDefault="0083387C" w:rsidP="00FE4F18">
            <w:pPr>
              <w:autoSpaceDE w:val="0"/>
              <w:autoSpaceDN w:val="0"/>
              <w:adjustRightInd w:val="0"/>
              <w:jc w:val="center"/>
              <w:rPr>
                <w:sz w:val="22"/>
                <w:szCs w:val="22"/>
              </w:rPr>
            </w:pPr>
            <w:r w:rsidRPr="001A076D">
              <w:rPr>
                <w:sz w:val="22"/>
                <w:szCs w:val="22"/>
              </w:rPr>
              <w:t>25</w:t>
            </w:r>
          </w:p>
        </w:tc>
        <w:tc>
          <w:tcPr>
            <w:tcW w:w="9923" w:type="dxa"/>
            <w:gridSpan w:val="3"/>
            <w:shd w:val="clear" w:color="auto" w:fill="F2F2F2" w:themeFill="background1" w:themeFillShade="F2"/>
          </w:tcPr>
          <w:p w14:paraId="07191FD7" w14:textId="77777777" w:rsidR="0083387C" w:rsidRPr="001A076D" w:rsidRDefault="0083387C" w:rsidP="00FE4F18">
            <w:pPr>
              <w:autoSpaceDE w:val="0"/>
              <w:autoSpaceDN w:val="0"/>
              <w:adjustRightInd w:val="0"/>
              <w:rPr>
                <w:sz w:val="22"/>
                <w:szCs w:val="22"/>
              </w:rPr>
            </w:pPr>
            <w:r w:rsidRPr="001A076D">
              <w:rPr>
                <w:sz w:val="22"/>
                <w:szCs w:val="22"/>
              </w:rPr>
              <w:t xml:space="preserve">Please indicate if your data will be stored in the UWTSD Research Data Repository (see </w:t>
            </w:r>
            <w:hyperlink r:id="rId100" w:history="1">
              <w:r w:rsidRPr="001A076D">
                <w:rPr>
                  <w:rStyle w:val="Hyperlink"/>
                  <w:rFonts w:eastAsiaTheme="majorEastAsia"/>
                  <w:color w:val="auto"/>
                  <w:sz w:val="22"/>
                  <w:szCs w:val="22"/>
                </w:rPr>
                <w:t>https://researchdata.uwtsd.ac.uk/</w:t>
              </w:r>
            </w:hyperlink>
            <w:r w:rsidRPr="001A076D">
              <w:rPr>
                <w:sz w:val="22"/>
                <w:szCs w:val="22"/>
              </w:rPr>
              <w:t xml:space="preserve"> ).   If </w:t>
            </w:r>
            <w:proofErr w:type="gramStart"/>
            <w:r w:rsidRPr="001A076D">
              <w:rPr>
                <w:sz w:val="22"/>
                <w:szCs w:val="22"/>
              </w:rPr>
              <w:t>so</w:t>
            </w:r>
            <w:proofErr w:type="gramEnd"/>
            <w:r w:rsidRPr="001A076D">
              <w:rPr>
                <w:sz w:val="22"/>
                <w:szCs w:val="22"/>
              </w:rPr>
              <w:t xml:space="preserve"> please explain. (</w:t>
            </w:r>
            <w:r w:rsidRPr="001A076D">
              <w:rPr>
                <w:i/>
                <w:sz w:val="22"/>
                <w:szCs w:val="22"/>
              </w:rPr>
              <w:t>Most relevant to academic staff)</w:t>
            </w:r>
            <w:r w:rsidRPr="001A076D">
              <w:t xml:space="preserve"> </w:t>
            </w:r>
          </w:p>
        </w:tc>
      </w:tr>
      <w:tr w:rsidR="00057F93" w:rsidRPr="001A076D" w14:paraId="53924CA5" w14:textId="77777777" w:rsidTr="00FE4F18">
        <w:trPr>
          <w:trHeight w:val="403"/>
        </w:trPr>
        <w:tc>
          <w:tcPr>
            <w:tcW w:w="562" w:type="dxa"/>
            <w:vAlign w:val="center"/>
          </w:tcPr>
          <w:p w14:paraId="67D87A6F" w14:textId="77777777" w:rsidR="0083387C" w:rsidRPr="001A076D" w:rsidRDefault="0083387C" w:rsidP="00FE4F18">
            <w:pPr>
              <w:autoSpaceDE w:val="0"/>
              <w:autoSpaceDN w:val="0"/>
              <w:adjustRightInd w:val="0"/>
              <w:jc w:val="center"/>
              <w:rPr>
                <w:sz w:val="22"/>
                <w:szCs w:val="22"/>
              </w:rPr>
            </w:pPr>
          </w:p>
        </w:tc>
        <w:tc>
          <w:tcPr>
            <w:tcW w:w="9923" w:type="dxa"/>
            <w:gridSpan w:val="3"/>
          </w:tcPr>
          <w:p w14:paraId="76DDD8A6" w14:textId="77777777" w:rsidR="0083387C" w:rsidRPr="001A076D" w:rsidRDefault="0083387C" w:rsidP="00FE4F18">
            <w:pPr>
              <w:autoSpaceDE w:val="0"/>
              <w:autoSpaceDN w:val="0"/>
              <w:adjustRightInd w:val="0"/>
              <w:rPr>
                <w:sz w:val="22"/>
                <w:szCs w:val="22"/>
              </w:rPr>
            </w:pPr>
          </w:p>
          <w:p w14:paraId="37CD60D3" w14:textId="2F62379B" w:rsidR="0083387C" w:rsidRPr="001A076D" w:rsidRDefault="0083387C" w:rsidP="00FE4F18">
            <w:pPr>
              <w:autoSpaceDE w:val="0"/>
              <w:autoSpaceDN w:val="0"/>
              <w:adjustRightInd w:val="0"/>
              <w:rPr>
                <w:sz w:val="22"/>
                <w:szCs w:val="22"/>
              </w:rPr>
            </w:pPr>
            <w:r w:rsidRPr="001A076D">
              <w:rPr>
                <w:sz w:val="22"/>
                <w:szCs w:val="22"/>
              </w:rPr>
              <w:t xml:space="preserve"> Not applicable (for taught postgraduate students).</w:t>
            </w:r>
          </w:p>
          <w:p w14:paraId="5D08568B" w14:textId="77777777" w:rsidR="0083387C" w:rsidRPr="001A076D" w:rsidRDefault="0083387C" w:rsidP="00FE4F18">
            <w:pPr>
              <w:autoSpaceDE w:val="0"/>
              <w:autoSpaceDN w:val="0"/>
              <w:adjustRightInd w:val="0"/>
              <w:rPr>
                <w:sz w:val="22"/>
                <w:szCs w:val="22"/>
              </w:rPr>
            </w:pPr>
          </w:p>
          <w:p w14:paraId="23ECEECF" w14:textId="77777777" w:rsidR="0083387C" w:rsidRPr="001A076D" w:rsidRDefault="0083387C" w:rsidP="00FE4F18">
            <w:pPr>
              <w:autoSpaceDE w:val="0"/>
              <w:autoSpaceDN w:val="0"/>
              <w:adjustRightInd w:val="0"/>
              <w:rPr>
                <w:sz w:val="22"/>
                <w:szCs w:val="22"/>
              </w:rPr>
            </w:pPr>
            <w:r w:rsidRPr="001A076D">
              <w:rPr>
                <w:i/>
                <w:sz w:val="18"/>
                <w:szCs w:val="18"/>
              </w:rPr>
              <w:t>(this box should expand as you type)</w:t>
            </w:r>
          </w:p>
        </w:tc>
      </w:tr>
      <w:tr w:rsidR="00057F93" w:rsidRPr="001A076D" w14:paraId="5C56C1BD" w14:textId="77777777" w:rsidTr="00FE4F18">
        <w:trPr>
          <w:trHeight w:val="606"/>
        </w:trPr>
        <w:tc>
          <w:tcPr>
            <w:tcW w:w="562" w:type="dxa"/>
            <w:shd w:val="clear" w:color="auto" w:fill="F2F2F2" w:themeFill="background1" w:themeFillShade="F2"/>
            <w:vAlign w:val="center"/>
          </w:tcPr>
          <w:p w14:paraId="2E9340CA" w14:textId="77777777" w:rsidR="0083387C" w:rsidRPr="001A076D" w:rsidRDefault="0083387C" w:rsidP="00FE4F18">
            <w:pPr>
              <w:autoSpaceDE w:val="0"/>
              <w:autoSpaceDN w:val="0"/>
              <w:adjustRightInd w:val="0"/>
              <w:jc w:val="center"/>
              <w:rPr>
                <w:bCs/>
                <w:sz w:val="22"/>
                <w:szCs w:val="22"/>
              </w:rPr>
            </w:pPr>
            <w:r w:rsidRPr="001A076D">
              <w:rPr>
                <w:bCs/>
                <w:sz w:val="22"/>
                <w:szCs w:val="22"/>
              </w:rPr>
              <w:t>26</w:t>
            </w:r>
          </w:p>
        </w:tc>
        <w:tc>
          <w:tcPr>
            <w:tcW w:w="7905" w:type="dxa"/>
            <w:shd w:val="clear" w:color="auto" w:fill="F2F2F2" w:themeFill="background1" w:themeFillShade="F2"/>
          </w:tcPr>
          <w:p w14:paraId="62295FF8" w14:textId="77777777" w:rsidR="0083387C" w:rsidRPr="001A076D" w:rsidRDefault="0083387C" w:rsidP="00FE4F18">
            <w:pPr>
              <w:autoSpaceDE w:val="0"/>
              <w:autoSpaceDN w:val="0"/>
              <w:adjustRightInd w:val="0"/>
              <w:rPr>
                <w:sz w:val="22"/>
                <w:szCs w:val="22"/>
              </w:rPr>
            </w:pPr>
            <w:r w:rsidRPr="001A076D">
              <w:rPr>
                <w:bCs/>
                <w:sz w:val="22"/>
                <w:szCs w:val="22"/>
              </w:rPr>
              <w:t xml:space="preserve">Confirm that you have read the UWTSD guidance on data management (see </w:t>
            </w:r>
            <w:hyperlink r:id="rId101" w:history="1">
              <w:r w:rsidRPr="001A076D">
                <w:rPr>
                  <w:rStyle w:val="Hyperlink"/>
                  <w:rFonts w:eastAsiaTheme="majorEastAsia"/>
                  <w:color w:val="auto"/>
                  <w:sz w:val="22"/>
                  <w:szCs w:val="22"/>
                </w:rPr>
                <w:t>https://www.uwtsd.ac.uk/library/research-data-management/</w:t>
              </w:r>
            </w:hyperlink>
            <w:r w:rsidRPr="001A076D">
              <w:rPr>
                <w:sz w:val="22"/>
                <w:szCs w:val="22"/>
              </w:rPr>
              <w:t>)</w:t>
            </w:r>
          </w:p>
        </w:tc>
        <w:tc>
          <w:tcPr>
            <w:tcW w:w="992" w:type="dxa"/>
            <w:shd w:val="clear" w:color="auto" w:fill="F2F2F2" w:themeFill="background1" w:themeFillShade="F2"/>
            <w:vAlign w:val="center"/>
          </w:tcPr>
          <w:p w14:paraId="68539E15" w14:textId="77777777" w:rsidR="0083387C" w:rsidRPr="001A076D" w:rsidRDefault="0083387C" w:rsidP="00FE4F18">
            <w:pPr>
              <w:autoSpaceDE w:val="0"/>
              <w:autoSpaceDN w:val="0"/>
              <w:adjustRightInd w:val="0"/>
              <w:jc w:val="center"/>
              <w:rPr>
                <w:b/>
                <w:sz w:val="22"/>
                <w:szCs w:val="22"/>
              </w:rPr>
            </w:pPr>
            <w:r w:rsidRPr="001A076D">
              <w:rPr>
                <w:b/>
                <w:sz w:val="22"/>
              </w:rPr>
              <w:t>YES</w:t>
            </w:r>
          </w:p>
        </w:tc>
        <w:tc>
          <w:tcPr>
            <w:tcW w:w="1026" w:type="dxa"/>
            <w:shd w:val="clear" w:color="auto" w:fill="BFBFBF" w:themeFill="background1" w:themeFillShade="BF"/>
            <w:vAlign w:val="center"/>
          </w:tcPr>
          <w:p w14:paraId="6AE48888" w14:textId="77777777" w:rsidR="0083387C" w:rsidRPr="001A076D" w:rsidRDefault="00000000" w:rsidP="00FE4F18">
            <w:pPr>
              <w:autoSpaceDE w:val="0"/>
              <w:autoSpaceDN w:val="0"/>
              <w:adjustRightInd w:val="0"/>
              <w:jc w:val="center"/>
              <w:rPr>
                <w:sz w:val="22"/>
                <w:szCs w:val="22"/>
              </w:rPr>
            </w:pPr>
            <w:sdt>
              <w:sdtPr>
                <w:id w:val="1912113242"/>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rPr>
                  <w:t>☒</w:t>
                </w:r>
              </w:sdtContent>
            </w:sdt>
          </w:p>
        </w:tc>
      </w:tr>
      <w:tr w:rsidR="004F2125" w:rsidRPr="001A076D" w14:paraId="07D9B941" w14:textId="77777777" w:rsidTr="00FE4F18">
        <w:trPr>
          <w:trHeight w:val="632"/>
        </w:trPr>
        <w:tc>
          <w:tcPr>
            <w:tcW w:w="562" w:type="dxa"/>
            <w:shd w:val="clear" w:color="auto" w:fill="F2F2F2" w:themeFill="background1" w:themeFillShade="F2"/>
            <w:vAlign w:val="center"/>
          </w:tcPr>
          <w:p w14:paraId="075364ED" w14:textId="77777777" w:rsidR="0083387C" w:rsidRPr="001A076D" w:rsidRDefault="0083387C" w:rsidP="00FE4F18">
            <w:pPr>
              <w:autoSpaceDE w:val="0"/>
              <w:autoSpaceDN w:val="0"/>
              <w:adjustRightInd w:val="0"/>
              <w:jc w:val="center"/>
              <w:rPr>
                <w:bCs/>
                <w:sz w:val="22"/>
                <w:szCs w:val="22"/>
              </w:rPr>
            </w:pPr>
            <w:r w:rsidRPr="001A076D">
              <w:rPr>
                <w:bCs/>
                <w:sz w:val="22"/>
                <w:szCs w:val="22"/>
              </w:rPr>
              <w:t>27</w:t>
            </w:r>
          </w:p>
        </w:tc>
        <w:tc>
          <w:tcPr>
            <w:tcW w:w="7905" w:type="dxa"/>
            <w:shd w:val="clear" w:color="auto" w:fill="F2F2F2" w:themeFill="background1" w:themeFillShade="F2"/>
          </w:tcPr>
          <w:p w14:paraId="255395D7" w14:textId="77777777" w:rsidR="0083387C" w:rsidRPr="001A076D" w:rsidRDefault="0083387C" w:rsidP="00FE4F18">
            <w:pPr>
              <w:autoSpaceDE w:val="0"/>
              <w:autoSpaceDN w:val="0"/>
              <w:adjustRightInd w:val="0"/>
              <w:rPr>
                <w:sz w:val="22"/>
                <w:szCs w:val="22"/>
              </w:rPr>
            </w:pPr>
            <w:r w:rsidRPr="001A076D">
              <w:rPr>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2A8265C" w14:textId="77777777" w:rsidR="0083387C" w:rsidRPr="001A076D" w:rsidRDefault="0083387C" w:rsidP="00FE4F18">
            <w:pPr>
              <w:autoSpaceDE w:val="0"/>
              <w:autoSpaceDN w:val="0"/>
              <w:adjustRightInd w:val="0"/>
              <w:jc w:val="center"/>
              <w:rPr>
                <w:b/>
                <w:sz w:val="22"/>
                <w:szCs w:val="22"/>
              </w:rPr>
            </w:pPr>
            <w:r w:rsidRPr="001A076D">
              <w:rPr>
                <w:b/>
                <w:sz w:val="22"/>
              </w:rPr>
              <w:t>YES</w:t>
            </w:r>
          </w:p>
        </w:tc>
        <w:tc>
          <w:tcPr>
            <w:tcW w:w="1026" w:type="dxa"/>
            <w:shd w:val="clear" w:color="auto" w:fill="BFBFBF" w:themeFill="background1" w:themeFillShade="BF"/>
            <w:vAlign w:val="center"/>
          </w:tcPr>
          <w:p w14:paraId="57D45550" w14:textId="77777777" w:rsidR="0083387C" w:rsidRPr="001A076D" w:rsidRDefault="00000000" w:rsidP="00FE4F18">
            <w:pPr>
              <w:autoSpaceDE w:val="0"/>
              <w:autoSpaceDN w:val="0"/>
              <w:adjustRightInd w:val="0"/>
              <w:jc w:val="center"/>
              <w:rPr>
                <w:sz w:val="22"/>
                <w:szCs w:val="22"/>
              </w:rPr>
            </w:pPr>
            <w:sdt>
              <w:sdtPr>
                <w:id w:val="1277371831"/>
                <w14:checkbox>
                  <w14:checked w14:val="1"/>
                  <w14:checkedState w14:val="2612" w14:font="MS Gothic"/>
                  <w14:uncheckedState w14:val="2610" w14:font="MS Gothic"/>
                </w14:checkbox>
              </w:sdtPr>
              <w:sdtContent>
                <w:r w:rsidR="0083387C" w:rsidRPr="001A076D">
                  <w:rPr>
                    <w:rFonts w:ascii="Segoe UI Symbol" w:eastAsia="MS Gothic" w:hAnsi="Segoe UI Symbol" w:cs="Segoe UI Symbol"/>
                  </w:rPr>
                  <w:t>☒</w:t>
                </w:r>
              </w:sdtContent>
            </w:sdt>
          </w:p>
        </w:tc>
      </w:tr>
    </w:tbl>
    <w:p w14:paraId="46A4A843" w14:textId="77777777" w:rsidR="0083387C" w:rsidRPr="001A076D" w:rsidRDefault="0083387C" w:rsidP="0083387C">
      <w:pPr>
        <w:rPr>
          <w:b/>
          <w:bCs/>
          <w:sz w:val="22"/>
          <w:szCs w:val="22"/>
        </w:rPr>
      </w:pPr>
    </w:p>
    <w:p w14:paraId="35D7EE47" w14:textId="330ACC7A" w:rsidR="0083387C" w:rsidRPr="001A076D" w:rsidRDefault="0083387C" w:rsidP="0083387C">
      <w:pPr>
        <w:rPr>
          <w:b/>
          <w:bCs/>
          <w:sz w:val="22"/>
          <w:szCs w:val="22"/>
        </w:rPr>
      </w:pPr>
    </w:p>
    <w:p w14:paraId="37DCEEC3" w14:textId="77777777" w:rsidR="0083387C" w:rsidRPr="001A076D" w:rsidRDefault="0083387C" w:rsidP="0083387C">
      <w:pPr>
        <w:autoSpaceDE w:val="0"/>
        <w:autoSpaceDN w:val="0"/>
        <w:adjustRightInd w:val="0"/>
        <w:spacing w:after="240"/>
        <w:jc w:val="both"/>
        <w:rPr>
          <w:b/>
          <w:sz w:val="22"/>
          <w:szCs w:val="22"/>
        </w:rPr>
      </w:pPr>
      <w:r w:rsidRPr="001A076D">
        <w:rPr>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57F93" w:rsidRPr="001A076D" w14:paraId="2FF97D10" w14:textId="77777777" w:rsidTr="00FE4F18">
        <w:trPr>
          <w:trHeight w:val="1807"/>
        </w:trPr>
        <w:tc>
          <w:tcPr>
            <w:tcW w:w="554" w:type="dxa"/>
            <w:shd w:val="clear" w:color="auto" w:fill="F2F2F2" w:themeFill="background1" w:themeFillShade="F2"/>
            <w:vAlign w:val="center"/>
          </w:tcPr>
          <w:p w14:paraId="31C087EE" w14:textId="77777777" w:rsidR="0083387C" w:rsidRPr="001A076D" w:rsidRDefault="0083387C" w:rsidP="00FE4F18">
            <w:pPr>
              <w:jc w:val="center"/>
              <w:rPr>
                <w:sz w:val="22"/>
                <w:szCs w:val="22"/>
              </w:rPr>
            </w:pPr>
          </w:p>
        </w:tc>
        <w:tc>
          <w:tcPr>
            <w:tcW w:w="9923" w:type="dxa"/>
            <w:gridSpan w:val="3"/>
            <w:shd w:val="clear" w:color="auto" w:fill="F2F2F2" w:themeFill="background1" w:themeFillShade="F2"/>
            <w:vAlign w:val="center"/>
          </w:tcPr>
          <w:p w14:paraId="422B8E2D" w14:textId="77777777" w:rsidR="0083387C" w:rsidRPr="001A076D" w:rsidRDefault="0083387C" w:rsidP="00FE4F18">
            <w:pPr>
              <w:jc w:val="both"/>
              <w:rPr>
                <w:b/>
                <w:bCs/>
                <w:sz w:val="22"/>
                <w:szCs w:val="22"/>
              </w:rPr>
            </w:pPr>
            <w:r w:rsidRPr="001A076D">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A076D">
              <w:rPr>
                <w:b/>
                <w:bCs/>
                <w:sz w:val="22"/>
                <w:szCs w:val="22"/>
              </w:rPr>
              <w:t>.</w:t>
            </w:r>
          </w:p>
          <w:p w14:paraId="1BFA3096" w14:textId="77777777" w:rsidR="0083387C" w:rsidRPr="001A076D" w:rsidRDefault="0083387C" w:rsidP="00FE4F18">
            <w:pPr>
              <w:jc w:val="both"/>
              <w:rPr>
                <w:b/>
                <w:bCs/>
                <w:sz w:val="22"/>
                <w:szCs w:val="22"/>
              </w:rPr>
            </w:pPr>
          </w:p>
          <w:p w14:paraId="6826B4F8" w14:textId="77777777" w:rsidR="0083387C" w:rsidRPr="001A076D" w:rsidRDefault="0083387C" w:rsidP="00FE4F18">
            <w:pPr>
              <w:jc w:val="both"/>
              <w:rPr>
                <w:sz w:val="22"/>
                <w:szCs w:val="22"/>
              </w:rPr>
            </w:pPr>
            <w:r w:rsidRPr="001A076D">
              <w:rPr>
                <w:sz w:val="22"/>
                <w:szCs w:val="22"/>
              </w:rPr>
              <w:t xml:space="preserve">In submitting this </w:t>
            </w:r>
            <w:proofErr w:type="gramStart"/>
            <w:r w:rsidRPr="001A076D">
              <w:rPr>
                <w:sz w:val="22"/>
                <w:szCs w:val="22"/>
              </w:rPr>
              <w:t>application</w:t>
            </w:r>
            <w:proofErr w:type="gramEnd"/>
            <w:r w:rsidRPr="001A076D">
              <w:rPr>
                <w:sz w:val="22"/>
                <w:szCs w:val="22"/>
              </w:rPr>
              <w:t xml:space="preserve"> I hereby confirm that I undertake to ensure that the </w:t>
            </w:r>
            <w:proofErr w:type="gramStart"/>
            <w:r w:rsidRPr="001A076D">
              <w:rPr>
                <w:sz w:val="22"/>
                <w:szCs w:val="22"/>
              </w:rPr>
              <w:t>above named</w:t>
            </w:r>
            <w:proofErr w:type="gramEnd"/>
            <w:r w:rsidRPr="001A076D">
              <w:rPr>
                <w:sz w:val="22"/>
                <w:szCs w:val="22"/>
              </w:rPr>
              <w:t xml:space="preserve"> research activity will meet the University’s Research Ethics and Integrity Code of Practice which is published on the website: </w:t>
            </w:r>
            <w:hyperlink r:id="rId102" w:history="1">
              <w:r w:rsidRPr="001A076D">
                <w:rPr>
                  <w:rStyle w:val="Hyperlink"/>
                  <w:rFonts w:eastAsiaTheme="majorEastAsia"/>
                  <w:color w:val="auto"/>
                  <w:sz w:val="22"/>
                  <w:szCs w:val="22"/>
                </w:rPr>
                <w:t>https://www.uwtsd.ac.uk/research/research-ethics/</w:t>
              </w:r>
            </w:hyperlink>
            <w:r w:rsidRPr="001A076D">
              <w:rPr>
                <w:sz w:val="22"/>
                <w:szCs w:val="22"/>
              </w:rPr>
              <w:t xml:space="preserve"> </w:t>
            </w:r>
          </w:p>
        </w:tc>
      </w:tr>
      <w:tr w:rsidR="004F2125" w:rsidRPr="001A076D" w14:paraId="03AC64E3" w14:textId="77777777" w:rsidTr="00FE4F1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3FA908" w14:textId="77777777" w:rsidR="0083387C" w:rsidRPr="001A076D" w:rsidRDefault="0083387C" w:rsidP="00FE4F18">
            <w:pPr>
              <w:spacing w:before="100" w:beforeAutospacing="1" w:after="100" w:afterAutospacing="1"/>
              <w:jc w:val="center"/>
              <w:rPr>
                <w:bCs/>
                <w:sz w:val="22"/>
                <w:szCs w:val="22"/>
              </w:rPr>
            </w:pPr>
            <w:r w:rsidRPr="001A076D">
              <w:rPr>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443FB1" w14:textId="77777777" w:rsidR="0083387C" w:rsidRPr="001A076D" w:rsidRDefault="0083387C" w:rsidP="00FE4F18">
            <w:pPr>
              <w:spacing w:before="100" w:beforeAutospacing="1" w:after="100" w:afterAutospacing="1"/>
              <w:rPr>
                <w:sz w:val="22"/>
                <w:szCs w:val="22"/>
              </w:rPr>
            </w:pPr>
            <w:r w:rsidRPr="001A076D">
              <w:rPr>
                <w:b/>
                <w:bCs/>
                <w:sz w:val="22"/>
                <w:szCs w:val="22"/>
              </w:rPr>
              <w:t>Signature of applicant:</w:t>
            </w:r>
          </w:p>
        </w:tc>
        <w:tc>
          <w:tcPr>
            <w:tcW w:w="4820" w:type="dxa"/>
            <w:tcBorders>
              <w:left w:val="single" w:sz="4" w:space="0" w:color="auto"/>
            </w:tcBorders>
            <w:vAlign w:val="center"/>
          </w:tcPr>
          <w:p w14:paraId="1F4C5473" w14:textId="77777777" w:rsidR="0083387C" w:rsidRPr="001A076D" w:rsidRDefault="0083387C" w:rsidP="00FE4F18">
            <w:pPr>
              <w:spacing w:before="100" w:beforeAutospacing="1" w:after="100" w:afterAutospacing="1"/>
              <w:rPr>
                <w:sz w:val="22"/>
                <w:szCs w:val="22"/>
              </w:rPr>
            </w:pPr>
            <w:r w:rsidRPr="001A076D">
              <w:rPr>
                <w:sz w:val="22"/>
                <w:szCs w:val="22"/>
              </w:rPr>
              <w:t>Joshua Adeniyi Depiver</w:t>
            </w:r>
          </w:p>
        </w:tc>
        <w:tc>
          <w:tcPr>
            <w:tcW w:w="2139" w:type="dxa"/>
            <w:vAlign w:val="center"/>
          </w:tcPr>
          <w:p w14:paraId="4E508FE0" w14:textId="77777777" w:rsidR="0083387C" w:rsidRPr="001A076D" w:rsidRDefault="0083387C" w:rsidP="00FE4F18">
            <w:pPr>
              <w:spacing w:before="100" w:beforeAutospacing="1" w:after="100" w:afterAutospacing="1"/>
              <w:rPr>
                <w:b/>
                <w:bCs/>
                <w:sz w:val="22"/>
                <w:szCs w:val="22"/>
              </w:rPr>
            </w:pPr>
            <w:r w:rsidRPr="001A076D">
              <w:rPr>
                <w:b/>
                <w:bCs/>
                <w:sz w:val="22"/>
                <w:szCs w:val="22"/>
              </w:rPr>
              <w:t>Date: 13 October 2025</w:t>
            </w:r>
          </w:p>
        </w:tc>
      </w:tr>
    </w:tbl>
    <w:p w14:paraId="07A70A25" w14:textId="77777777" w:rsidR="0083387C" w:rsidRPr="001A076D" w:rsidRDefault="0083387C" w:rsidP="0083387C">
      <w:pPr>
        <w:rPr>
          <w:sz w:val="22"/>
          <w:szCs w:val="22"/>
        </w:rPr>
      </w:pPr>
    </w:p>
    <w:p w14:paraId="2E3CF154" w14:textId="77777777" w:rsidR="0083387C" w:rsidRPr="001A076D" w:rsidRDefault="0083387C" w:rsidP="0083387C">
      <w:pPr>
        <w:rPr>
          <w:b/>
          <w:i/>
          <w:sz w:val="22"/>
          <w:szCs w:val="22"/>
        </w:rPr>
      </w:pPr>
      <w:r w:rsidRPr="001A076D">
        <w:rPr>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0"/>
        <w:gridCol w:w="2728"/>
        <w:gridCol w:w="4109"/>
        <w:gridCol w:w="1915"/>
      </w:tblGrid>
      <w:tr w:rsidR="00057F93" w:rsidRPr="001A076D" w14:paraId="5B19FF13" w14:textId="77777777" w:rsidTr="00FE4F18">
        <w:trPr>
          <w:trHeight w:val="346"/>
        </w:trPr>
        <w:tc>
          <w:tcPr>
            <w:tcW w:w="365" w:type="pct"/>
            <w:shd w:val="clear" w:color="auto" w:fill="F2F2F2" w:themeFill="background1" w:themeFillShade="F2"/>
            <w:vAlign w:val="center"/>
          </w:tcPr>
          <w:p w14:paraId="7302ECB8" w14:textId="77777777" w:rsidR="0083387C" w:rsidRPr="001A076D" w:rsidRDefault="0083387C" w:rsidP="00FE4F18">
            <w:pPr>
              <w:pStyle w:val="ListParagraph"/>
              <w:ind w:left="0"/>
              <w:jc w:val="center"/>
            </w:pPr>
            <w:r w:rsidRPr="001A076D">
              <w:lastRenderedPageBreak/>
              <w:t>2</w:t>
            </w:r>
          </w:p>
        </w:tc>
        <w:tc>
          <w:tcPr>
            <w:tcW w:w="1444" w:type="pct"/>
            <w:shd w:val="clear" w:color="auto" w:fill="F2F2F2" w:themeFill="background1" w:themeFillShade="F2"/>
            <w:vAlign w:val="center"/>
          </w:tcPr>
          <w:p w14:paraId="52403A71" w14:textId="77777777" w:rsidR="0083387C" w:rsidRPr="001A076D" w:rsidRDefault="0083387C" w:rsidP="00FE4F18">
            <w:pPr>
              <w:pStyle w:val="ListParagraph"/>
              <w:ind w:left="0"/>
            </w:pPr>
            <w:r w:rsidRPr="001A076D">
              <w:t>Director of Studies/Supervisor:</w:t>
            </w:r>
          </w:p>
        </w:tc>
        <w:tc>
          <w:tcPr>
            <w:tcW w:w="2176" w:type="pct"/>
            <w:vAlign w:val="center"/>
          </w:tcPr>
          <w:p w14:paraId="050ED49A" w14:textId="77777777" w:rsidR="0083387C" w:rsidRPr="001A076D" w:rsidRDefault="0083387C" w:rsidP="00FE4F18">
            <w:pPr>
              <w:pStyle w:val="ListParagraph"/>
              <w:ind w:left="0"/>
            </w:pPr>
            <w:r w:rsidRPr="001A076D">
              <w:t>Helen Evans</w:t>
            </w:r>
          </w:p>
        </w:tc>
        <w:tc>
          <w:tcPr>
            <w:tcW w:w="1014" w:type="pct"/>
            <w:vMerge w:val="restart"/>
          </w:tcPr>
          <w:p w14:paraId="24FEB95E" w14:textId="19B75A34" w:rsidR="0083387C" w:rsidRPr="001A076D" w:rsidRDefault="0083387C" w:rsidP="00FE4F18">
            <w:pPr>
              <w:pStyle w:val="ListParagraph"/>
              <w:ind w:left="0"/>
            </w:pPr>
            <w:r w:rsidRPr="001A076D">
              <w:rPr>
                <w:b/>
                <w:bCs/>
              </w:rPr>
              <w:t>Date:</w:t>
            </w:r>
            <w:r w:rsidR="00685192" w:rsidRPr="001A076D">
              <w:rPr>
                <w:b/>
                <w:bCs/>
              </w:rPr>
              <w:t xml:space="preserve"> October 2026</w:t>
            </w:r>
          </w:p>
        </w:tc>
      </w:tr>
      <w:tr w:rsidR="004F2125" w:rsidRPr="001A076D" w14:paraId="5BDB66CC" w14:textId="77777777" w:rsidTr="00FE4F18">
        <w:trPr>
          <w:trHeight w:val="347"/>
        </w:trPr>
        <w:tc>
          <w:tcPr>
            <w:tcW w:w="365" w:type="pct"/>
            <w:shd w:val="clear" w:color="auto" w:fill="F2F2F2" w:themeFill="background1" w:themeFillShade="F2"/>
            <w:vAlign w:val="center"/>
          </w:tcPr>
          <w:p w14:paraId="0F5B5106" w14:textId="77777777" w:rsidR="0083387C" w:rsidRPr="001A076D" w:rsidRDefault="0083387C" w:rsidP="00FE4F18">
            <w:pPr>
              <w:pStyle w:val="ListParagraph"/>
              <w:ind w:left="0"/>
              <w:jc w:val="center"/>
            </w:pPr>
            <w:r w:rsidRPr="001A076D">
              <w:t>3</w:t>
            </w:r>
          </w:p>
        </w:tc>
        <w:tc>
          <w:tcPr>
            <w:tcW w:w="1444" w:type="pct"/>
            <w:shd w:val="clear" w:color="auto" w:fill="F2F2F2" w:themeFill="background1" w:themeFillShade="F2"/>
            <w:vAlign w:val="center"/>
          </w:tcPr>
          <w:p w14:paraId="3D4013D8" w14:textId="77777777" w:rsidR="0083387C" w:rsidRPr="001A076D" w:rsidRDefault="0083387C" w:rsidP="00FE4F18">
            <w:pPr>
              <w:pStyle w:val="ListParagraph"/>
              <w:ind w:left="0"/>
            </w:pPr>
            <w:r w:rsidRPr="001A076D">
              <w:t>Signature:</w:t>
            </w:r>
          </w:p>
        </w:tc>
        <w:tc>
          <w:tcPr>
            <w:tcW w:w="2176" w:type="pct"/>
            <w:vAlign w:val="center"/>
          </w:tcPr>
          <w:p w14:paraId="5E4615F1" w14:textId="77777777" w:rsidR="0083387C" w:rsidRPr="001A076D" w:rsidRDefault="0083387C" w:rsidP="00FE4F18">
            <w:pPr>
              <w:pStyle w:val="ListParagraph"/>
              <w:ind w:left="0"/>
            </w:pPr>
          </w:p>
          <w:p w14:paraId="41C49B89" w14:textId="77777777" w:rsidR="0083387C" w:rsidRPr="001A076D" w:rsidRDefault="0083387C" w:rsidP="00FE4F18">
            <w:pPr>
              <w:pStyle w:val="ListParagraph"/>
              <w:ind w:left="0"/>
            </w:pPr>
          </w:p>
        </w:tc>
        <w:tc>
          <w:tcPr>
            <w:tcW w:w="1014" w:type="pct"/>
            <w:vMerge/>
            <w:vAlign w:val="center"/>
          </w:tcPr>
          <w:p w14:paraId="2E8FC092" w14:textId="77777777" w:rsidR="0083387C" w:rsidRPr="001A076D" w:rsidRDefault="0083387C" w:rsidP="00FE4F18">
            <w:pPr>
              <w:pStyle w:val="ListParagraph"/>
              <w:ind w:left="0"/>
            </w:pPr>
          </w:p>
        </w:tc>
      </w:tr>
    </w:tbl>
    <w:p w14:paraId="0B037E13" w14:textId="77777777" w:rsidR="0083387C" w:rsidRPr="001A076D" w:rsidRDefault="0083387C" w:rsidP="0083387C">
      <w:pPr>
        <w:rPr>
          <w:sz w:val="22"/>
          <w:szCs w:val="22"/>
        </w:rPr>
      </w:pPr>
    </w:p>
    <w:p w14:paraId="200849D7" w14:textId="77777777" w:rsidR="0083387C" w:rsidRPr="001A076D" w:rsidRDefault="0083387C" w:rsidP="0083387C">
      <w:pPr>
        <w:rPr>
          <w:b/>
          <w:i/>
          <w:sz w:val="22"/>
          <w:szCs w:val="22"/>
        </w:rPr>
      </w:pPr>
      <w:r w:rsidRPr="001A076D">
        <w:rPr>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2"/>
        <w:gridCol w:w="2729"/>
        <w:gridCol w:w="4111"/>
        <w:gridCol w:w="1914"/>
      </w:tblGrid>
      <w:tr w:rsidR="00057F93" w:rsidRPr="001A076D" w14:paraId="713A135C" w14:textId="77777777" w:rsidTr="00FE4F18">
        <w:trPr>
          <w:trHeight w:val="346"/>
        </w:trPr>
        <w:tc>
          <w:tcPr>
            <w:tcW w:w="366" w:type="pct"/>
            <w:shd w:val="clear" w:color="auto" w:fill="F2F2F2" w:themeFill="background1" w:themeFillShade="F2"/>
            <w:vAlign w:val="center"/>
          </w:tcPr>
          <w:p w14:paraId="790573A6" w14:textId="77777777" w:rsidR="0083387C" w:rsidRPr="001A076D" w:rsidRDefault="0083387C" w:rsidP="00FE4F18">
            <w:pPr>
              <w:pStyle w:val="ListParagraph"/>
              <w:ind w:left="0"/>
              <w:jc w:val="center"/>
            </w:pPr>
            <w:r w:rsidRPr="001A076D">
              <w:t>4</w:t>
            </w:r>
          </w:p>
        </w:tc>
        <w:tc>
          <w:tcPr>
            <w:tcW w:w="1444" w:type="pct"/>
            <w:shd w:val="clear" w:color="auto" w:fill="F2F2F2" w:themeFill="background1" w:themeFillShade="F2"/>
            <w:vAlign w:val="center"/>
          </w:tcPr>
          <w:p w14:paraId="6132B07F" w14:textId="77777777" w:rsidR="0083387C" w:rsidRPr="001A076D" w:rsidRDefault="0083387C" w:rsidP="00FE4F18">
            <w:pPr>
              <w:pStyle w:val="ListParagraph"/>
              <w:ind w:left="0"/>
            </w:pPr>
            <w:r w:rsidRPr="001A076D">
              <w:t>Academic Director/ Assistant Dean:</w:t>
            </w:r>
          </w:p>
        </w:tc>
        <w:tc>
          <w:tcPr>
            <w:tcW w:w="2176" w:type="pct"/>
            <w:vAlign w:val="center"/>
          </w:tcPr>
          <w:p w14:paraId="70A9E874" w14:textId="77777777" w:rsidR="0083387C" w:rsidRPr="001A076D" w:rsidRDefault="0083387C" w:rsidP="00FE4F18">
            <w:pPr>
              <w:pStyle w:val="ListParagraph"/>
              <w:ind w:left="0"/>
            </w:pPr>
          </w:p>
        </w:tc>
        <w:tc>
          <w:tcPr>
            <w:tcW w:w="1013" w:type="pct"/>
            <w:vMerge w:val="restart"/>
          </w:tcPr>
          <w:p w14:paraId="41478EB2" w14:textId="77777777" w:rsidR="0083387C" w:rsidRPr="001A076D" w:rsidRDefault="0083387C" w:rsidP="00FE4F18">
            <w:pPr>
              <w:pStyle w:val="ListParagraph"/>
              <w:ind w:left="0"/>
            </w:pPr>
            <w:r w:rsidRPr="001A076D">
              <w:rPr>
                <w:b/>
                <w:bCs/>
              </w:rPr>
              <w:t>Date:</w:t>
            </w:r>
          </w:p>
        </w:tc>
      </w:tr>
      <w:tr w:rsidR="004F2125" w:rsidRPr="001A076D" w14:paraId="64CA0DFF" w14:textId="77777777" w:rsidTr="00FE4F18">
        <w:trPr>
          <w:trHeight w:val="347"/>
        </w:trPr>
        <w:tc>
          <w:tcPr>
            <w:tcW w:w="366" w:type="pct"/>
            <w:shd w:val="clear" w:color="auto" w:fill="F2F2F2" w:themeFill="background1" w:themeFillShade="F2"/>
            <w:vAlign w:val="center"/>
          </w:tcPr>
          <w:p w14:paraId="5C05A250" w14:textId="77777777" w:rsidR="0083387C" w:rsidRPr="001A076D" w:rsidRDefault="0083387C" w:rsidP="00FE4F18">
            <w:pPr>
              <w:pStyle w:val="ListParagraph"/>
              <w:ind w:left="0"/>
              <w:jc w:val="center"/>
            </w:pPr>
            <w:r w:rsidRPr="001A076D">
              <w:t>5</w:t>
            </w:r>
          </w:p>
        </w:tc>
        <w:tc>
          <w:tcPr>
            <w:tcW w:w="1444" w:type="pct"/>
            <w:shd w:val="clear" w:color="auto" w:fill="F2F2F2" w:themeFill="background1" w:themeFillShade="F2"/>
            <w:vAlign w:val="center"/>
          </w:tcPr>
          <w:p w14:paraId="5F30B47F" w14:textId="77777777" w:rsidR="0083387C" w:rsidRPr="001A076D" w:rsidRDefault="0083387C" w:rsidP="00FE4F18">
            <w:pPr>
              <w:pStyle w:val="ListParagraph"/>
              <w:ind w:left="0"/>
            </w:pPr>
            <w:r w:rsidRPr="001A076D">
              <w:t>Signature:</w:t>
            </w:r>
          </w:p>
        </w:tc>
        <w:tc>
          <w:tcPr>
            <w:tcW w:w="2176" w:type="pct"/>
            <w:vAlign w:val="center"/>
          </w:tcPr>
          <w:p w14:paraId="6A895961" w14:textId="77777777" w:rsidR="0083387C" w:rsidRPr="001A076D" w:rsidRDefault="0083387C" w:rsidP="00FE4F18">
            <w:pPr>
              <w:pStyle w:val="ListParagraph"/>
              <w:ind w:left="0"/>
            </w:pPr>
          </w:p>
          <w:p w14:paraId="3236D7FF" w14:textId="77777777" w:rsidR="0083387C" w:rsidRPr="001A076D" w:rsidRDefault="0083387C" w:rsidP="00FE4F18">
            <w:pPr>
              <w:pStyle w:val="ListParagraph"/>
              <w:ind w:left="0"/>
            </w:pPr>
          </w:p>
        </w:tc>
        <w:tc>
          <w:tcPr>
            <w:tcW w:w="1013" w:type="pct"/>
            <w:vMerge/>
            <w:vAlign w:val="center"/>
          </w:tcPr>
          <w:p w14:paraId="7D0931D7" w14:textId="77777777" w:rsidR="0083387C" w:rsidRPr="001A076D" w:rsidRDefault="0083387C" w:rsidP="00FE4F18">
            <w:pPr>
              <w:pStyle w:val="ListParagraph"/>
              <w:ind w:left="0"/>
            </w:pPr>
          </w:p>
        </w:tc>
      </w:tr>
    </w:tbl>
    <w:p w14:paraId="3687EA72" w14:textId="77777777" w:rsidR="0083387C" w:rsidRPr="001A076D" w:rsidRDefault="0083387C" w:rsidP="0083387C">
      <w:pPr>
        <w:rPr>
          <w:b/>
          <w:sz w:val="22"/>
          <w:szCs w:val="22"/>
        </w:rPr>
      </w:pPr>
    </w:p>
    <w:p w14:paraId="1739E617" w14:textId="77777777" w:rsidR="0083387C" w:rsidRPr="001A076D" w:rsidRDefault="0083387C" w:rsidP="0083387C">
      <w:pPr>
        <w:autoSpaceDE w:val="0"/>
        <w:autoSpaceDN w:val="0"/>
        <w:adjustRightInd w:val="0"/>
        <w:spacing w:after="240"/>
        <w:jc w:val="both"/>
        <w:rPr>
          <w:bCs/>
          <w:sz w:val="22"/>
          <w:szCs w:val="22"/>
        </w:rPr>
      </w:pPr>
      <w:r w:rsidRPr="001A076D">
        <w:rPr>
          <w:b/>
          <w:sz w:val="22"/>
          <w:szCs w:val="22"/>
        </w:rPr>
        <w:t xml:space="preserve">Checklist: </w:t>
      </w:r>
      <w:r w:rsidRPr="001A076D">
        <w:rPr>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57F93" w:rsidRPr="001A076D" w14:paraId="07F20BA9" w14:textId="77777777" w:rsidTr="00FE4F18">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233CCF8F" w14:textId="77777777" w:rsidR="0083387C" w:rsidRPr="001A076D" w:rsidRDefault="0083387C" w:rsidP="00FE4F18">
                <w:pPr>
                  <w:jc w:val="center"/>
                  <w:rPr>
                    <w:rFonts w:eastAsia="MS Gothic"/>
                    <w:sz w:val="22"/>
                    <w:szCs w:val="22"/>
                  </w:rPr>
                </w:pPr>
                <w:r w:rsidRPr="001A076D">
                  <w:rPr>
                    <w:rFonts w:ascii="Segoe UI Symbol" w:eastAsia="MS Gothic" w:hAnsi="Segoe UI Symbol" w:cs="Segoe UI Symbol"/>
                  </w:rPr>
                  <w:t>☒</w:t>
                </w:r>
              </w:p>
            </w:sdtContent>
          </w:sdt>
        </w:tc>
        <w:tc>
          <w:tcPr>
            <w:tcW w:w="9810" w:type="dxa"/>
            <w:vAlign w:val="center"/>
          </w:tcPr>
          <w:p w14:paraId="6EF35433" w14:textId="77777777" w:rsidR="0083387C" w:rsidRPr="001A076D" w:rsidRDefault="0083387C" w:rsidP="00FE4F18">
            <w:pPr>
              <w:rPr>
                <w:rFonts w:eastAsia="MS Gothic"/>
                <w:bCs/>
                <w:sz w:val="22"/>
                <w:szCs w:val="22"/>
              </w:rPr>
            </w:pPr>
            <w:r w:rsidRPr="001A076D">
              <w:rPr>
                <w:rFonts w:eastAsia="MS Gothic"/>
                <w:bCs/>
                <w:sz w:val="22"/>
                <w:szCs w:val="22"/>
              </w:rPr>
              <w:t>I have read the guidance notes supplied before completing the form.</w:t>
            </w:r>
          </w:p>
        </w:tc>
      </w:tr>
      <w:tr w:rsidR="00057F93" w:rsidRPr="001A076D" w14:paraId="7277FA78" w14:textId="77777777" w:rsidTr="00FE4F18">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6BB611DB" w14:textId="77777777" w:rsidR="0083387C" w:rsidRPr="001A076D" w:rsidRDefault="0083387C" w:rsidP="00FE4F18">
                <w:pPr>
                  <w:jc w:val="center"/>
                  <w:rPr>
                    <w:rFonts w:eastAsia="MS Gothic"/>
                    <w:sz w:val="22"/>
                    <w:szCs w:val="22"/>
                  </w:rPr>
                </w:pPr>
                <w:r w:rsidRPr="001A076D">
                  <w:rPr>
                    <w:rFonts w:ascii="Segoe UI Symbol" w:eastAsia="MS Gothic" w:hAnsi="Segoe UI Symbol" w:cs="Segoe UI Symbol"/>
                  </w:rPr>
                  <w:t>☒</w:t>
                </w:r>
              </w:p>
            </w:sdtContent>
          </w:sdt>
        </w:tc>
        <w:tc>
          <w:tcPr>
            <w:tcW w:w="9810" w:type="dxa"/>
            <w:vAlign w:val="center"/>
          </w:tcPr>
          <w:p w14:paraId="42D7F8FE" w14:textId="77777777" w:rsidR="0083387C" w:rsidRPr="001A076D" w:rsidRDefault="0083387C" w:rsidP="00FE4F18">
            <w:pPr>
              <w:rPr>
                <w:sz w:val="22"/>
                <w:szCs w:val="22"/>
              </w:rPr>
            </w:pPr>
            <w:r w:rsidRPr="001A076D">
              <w:rPr>
                <w:sz w:val="22"/>
                <w:szCs w:val="22"/>
              </w:rPr>
              <w:t xml:space="preserve">I have completed </w:t>
            </w:r>
            <w:r w:rsidRPr="001A076D">
              <w:rPr>
                <w:b/>
                <w:sz w:val="22"/>
                <w:szCs w:val="22"/>
              </w:rPr>
              <w:t>ALL RELEVANT</w:t>
            </w:r>
            <w:r w:rsidRPr="001A076D">
              <w:rPr>
                <w:sz w:val="22"/>
                <w:szCs w:val="22"/>
              </w:rPr>
              <w:t xml:space="preserve"> sections of the form in full.</w:t>
            </w:r>
          </w:p>
        </w:tc>
      </w:tr>
      <w:tr w:rsidR="00057F93" w:rsidRPr="001A076D" w14:paraId="1DAAF990" w14:textId="77777777" w:rsidTr="00FE4F18">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7FD0B165" w14:textId="77777777" w:rsidR="0083387C" w:rsidRPr="001A076D" w:rsidRDefault="0083387C" w:rsidP="00FE4F18">
                <w:pPr>
                  <w:jc w:val="center"/>
                  <w:rPr>
                    <w:sz w:val="22"/>
                    <w:szCs w:val="22"/>
                  </w:rPr>
                </w:pPr>
                <w:r w:rsidRPr="001A076D">
                  <w:rPr>
                    <w:rFonts w:ascii="Segoe UI Symbol" w:eastAsia="MS Gothic" w:hAnsi="Segoe UI Symbol" w:cs="Segoe UI Symbol"/>
                  </w:rPr>
                  <w:t>☒</w:t>
                </w:r>
              </w:p>
            </w:sdtContent>
          </w:sdt>
        </w:tc>
        <w:tc>
          <w:tcPr>
            <w:tcW w:w="9810" w:type="dxa"/>
            <w:vAlign w:val="center"/>
          </w:tcPr>
          <w:p w14:paraId="04326DCD" w14:textId="77777777" w:rsidR="0083387C" w:rsidRPr="001A076D" w:rsidRDefault="0083387C" w:rsidP="00FE4F18">
            <w:pPr>
              <w:rPr>
                <w:sz w:val="22"/>
                <w:szCs w:val="22"/>
              </w:rPr>
            </w:pPr>
            <w:r w:rsidRPr="001A076D">
              <w:rPr>
                <w:sz w:val="22"/>
                <w:szCs w:val="22"/>
              </w:rPr>
              <w:t>I confirm that the research activity has received approval in principle</w:t>
            </w:r>
          </w:p>
        </w:tc>
      </w:tr>
      <w:tr w:rsidR="00057F93" w:rsidRPr="001A076D" w14:paraId="095B8D88" w14:textId="77777777" w:rsidTr="00FE4F18">
        <w:trPr>
          <w:trHeight w:val="492"/>
        </w:trPr>
        <w:tc>
          <w:tcPr>
            <w:tcW w:w="675"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Content>
              <w:p w14:paraId="4334C39B" w14:textId="77777777" w:rsidR="0083387C" w:rsidRPr="001A076D" w:rsidRDefault="0083387C" w:rsidP="00FE4F18">
                <w:pPr>
                  <w:jc w:val="center"/>
                  <w:rPr>
                    <w:sz w:val="22"/>
                    <w:szCs w:val="22"/>
                  </w:rPr>
                </w:pPr>
                <w:r w:rsidRPr="001A076D">
                  <w:rPr>
                    <w:rFonts w:ascii="Segoe UI Symbol" w:eastAsia="MS Gothic" w:hAnsi="Segoe UI Symbol" w:cs="Segoe UI Symbol"/>
                  </w:rPr>
                  <w:t>☒</w:t>
                </w:r>
              </w:p>
            </w:sdtContent>
          </w:sdt>
        </w:tc>
        <w:tc>
          <w:tcPr>
            <w:tcW w:w="9810" w:type="dxa"/>
            <w:vAlign w:val="center"/>
          </w:tcPr>
          <w:p w14:paraId="5A40F749" w14:textId="77777777" w:rsidR="0083387C" w:rsidRPr="001A076D" w:rsidRDefault="0083387C" w:rsidP="00FE4F18">
            <w:pPr>
              <w:rPr>
                <w:sz w:val="22"/>
                <w:szCs w:val="22"/>
              </w:rPr>
            </w:pPr>
            <w:r w:rsidRPr="001A076D">
              <w:rPr>
                <w:sz w:val="22"/>
                <w:szCs w:val="22"/>
              </w:rPr>
              <w:t>I have attached a copy of final/interim approval from external organisation (</w:t>
            </w:r>
            <w:r w:rsidRPr="001A076D">
              <w:rPr>
                <w:b/>
                <w:sz w:val="22"/>
                <w:szCs w:val="22"/>
              </w:rPr>
              <w:t>where appropriate</w:t>
            </w:r>
            <w:r w:rsidRPr="001A076D">
              <w:rPr>
                <w:sz w:val="22"/>
                <w:szCs w:val="22"/>
              </w:rPr>
              <w:t>)</w:t>
            </w:r>
          </w:p>
        </w:tc>
      </w:tr>
      <w:tr w:rsidR="00057F93" w:rsidRPr="001A076D" w14:paraId="2778DC80" w14:textId="77777777" w:rsidTr="00FE4F18">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Content>
              <w:p w14:paraId="18513E00" w14:textId="77777777" w:rsidR="0083387C" w:rsidRPr="001A076D" w:rsidRDefault="0083387C" w:rsidP="00FE4F18">
                <w:pPr>
                  <w:jc w:val="center"/>
                </w:pPr>
                <w:r w:rsidRPr="001A076D">
                  <w:rPr>
                    <w:rFonts w:ascii="Segoe UI Symbol" w:eastAsia="MS Gothic" w:hAnsi="Segoe UI Symbol" w:cs="Segoe UI Symbol"/>
                  </w:rPr>
                  <w:t>☐</w:t>
                </w:r>
              </w:p>
            </w:sdtContent>
          </w:sdt>
        </w:tc>
        <w:tc>
          <w:tcPr>
            <w:tcW w:w="9810" w:type="dxa"/>
            <w:vAlign w:val="center"/>
          </w:tcPr>
          <w:p w14:paraId="7FC44430" w14:textId="77777777" w:rsidR="0083387C" w:rsidRPr="001A076D" w:rsidRDefault="0083387C" w:rsidP="00FE4F18">
            <w:pPr>
              <w:rPr>
                <w:sz w:val="22"/>
                <w:szCs w:val="22"/>
              </w:rPr>
            </w:pPr>
            <w:r w:rsidRPr="001A076D">
              <w:rPr>
                <w:sz w:val="22"/>
                <w:szCs w:val="22"/>
              </w:rPr>
              <w:t xml:space="preserve">I have attached a full risk assessment (where appropriate)  </w:t>
            </w:r>
            <w:r w:rsidRPr="001A076D">
              <w:rPr>
                <w:i/>
                <w:sz w:val="22"/>
                <w:szCs w:val="22"/>
              </w:rPr>
              <w:t>ONLY TICK IF YOU HAVE</w:t>
            </w:r>
            <w:r w:rsidRPr="001A076D">
              <w:rPr>
                <w:b/>
                <w:i/>
                <w:sz w:val="22"/>
                <w:szCs w:val="22"/>
              </w:rPr>
              <w:t xml:space="preserve"> ATTACHED A FULL RISK ASSESSMENT</w:t>
            </w:r>
          </w:p>
        </w:tc>
      </w:tr>
      <w:tr w:rsidR="00057F93" w:rsidRPr="001A076D" w14:paraId="610608F4" w14:textId="77777777" w:rsidTr="00FE4F18">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62AFE61A" w14:textId="77777777" w:rsidR="0083387C" w:rsidRPr="001A076D" w:rsidRDefault="0083387C" w:rsidP="00FE4F18">
                <w:pPr>
                  <w:jc w:val="center"/>
                  <w:rPr>
                    <w:sz w:val="22"/>
                    <w:szCs w:val="22"/>
                  </w:rPr>
                </w:pPr>
                <w:r w:rsidRPr="001A076D">
                  <w:rPr>
                    <w:rFonts w:ascii="Segoe UI Symbol" w:eastAsia="MS Gothic" w:hAnsi="Segoe UI Symbol" w:cs="Segoe UI Symbol"/>
                  </w:rPr>
                  <w:t>☒</w:t>
                </w:r>
              </w:p>
            </w:sdtContent>
          </w:sdt>
        </w:tc>
        <w:tc>
          <w:tcPr>
            <w:tcW w:w="9810" w:type="dxa"/>
            <w:vAlign w:val="center"/>
          </w:tcPr>
          <w:p w14:paraId="111B57DA" w14:textId="77777777" w:rsidR="0083387C" w:rsidRPr="001A076D" w:rsidRDefault="0083387C" w:rsidP="00FE4F18">
            <w:pPr>
              <w:rPr>
                <w:sz w:val="22"/>
                <w:szCs w:val="22"/>
              </w:rPr>
            </w:pPr>
            <w:r w:rsidRPr="001A076D">
              <w:rPr>
                <w:sz w:val="22"/>
                <w:szCs w:val="22"/>
              </w:rPr>
              <w:t xml:space="preserve">I understand that it is my responsibility to ensure that the </w:t>
            </w:r>
            <w:proofErr w:type="gramStart"/>
            <w:r w:rsidRPr="001A076D">
              <w:rPr>
                <w:sz w:val="22"/>
                <w:szCs w:val="22"/>
              </w:rPr>
              <w:t>above named</w:t>
            </w:r>
            <w:proofErr w:type="gramEnd"/>
            <w:r w:rsidRPr="001A076D">
              <w:rPr>
                <w:sz w:val="22"/>
                <w:szCs w:val="22"/>
              </w:rPr>
              <w:t xml:space="preserve"> research activity will meet the University’s Research Ethics and Integrity Code of Practice.</w:t>
            </w:r>
          </w:p>
        </w:tc>
      </w:tr>
      <w:tr w:rsidR="004F2125" w:rsidRPr="001A076D" w14:paraId="5FED6552" w14:textId="77777777" w:rsidTr="00FE4F18">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3F9272C6" w14:textId="77777777" w:rsidR="0083387C" w:rsidRPr="001A076D" w:rsidRDefault="0083387C" w:rsidP="00FE4F18">
                <w:pPr>
                  <w:jc w:val="center"/>
                  <w:rPr>
                    <w:sz w:val="22"/>
                    <w:szCs w:val="22"/>
                  </w:rPr>
                </w:pPr>
                <w:r w:rsidRPr="001A076D">
                  <w:rPr>
                    <w:rFonts w:ascii="Segoe UI Symbol" w:eastAsia="MS Gothic" w:hAnsi="Segoe UI Symbol" w:cs="Segoe UI Symbol"/>
                  </w:rPr>
                  <w:t>☒</w:t>
                </w:r>
              </w:p>
            </w:sdtContent>
          </w:sdt>
        </w:tc>
        <w:tc>
          <w:tcPr>
            <w:tcW w:w="9810" w:type="dxa"/>
            <w:vAlign w:val="center"/>
          </w:tcPr>
          <w:p w14:paraId="7049F29D" w14:textId="77777777" w:rsidR="0083387C" w:rsidRPr="001A076D" w:rsidRDefault="0083387C" w:rsidP="00FE4F18">
            <w:pPr>
              <w:rPr>
                <w:sz w:val="22"/>
                <w:szCs w:val="22"/>
              </w:rPr>
            </w:pPr>
            <w:r w:rsidRPr="001A076D">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154F765" w14:textId="77777777" w:rsidR="0083387C" w:rsidRPr="001A076D" w:rsidRDefault="0083387C" w:rsidP="0083387C">
      <w:pPr>
        <w:tabs>
          <w:tab w:val="left" w:pos="5103"/>
        </w:tabs>
        <w:rPr>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57F93" w:rsidRPr="001A076D" w14:paraId="0849085B" w14:textId="77777777" w:rsidTr="00FE4F18">
        <w:tc>
          <w:tcPr>
            <w:tcW w:w="10485" w:type="dxa"/>
            <w:shd w:val="clear" w:color="auto" w:fill="D9D9D9" w:themeFill="background1" w:themeFillShade="D9"/>
          </w:tcPr>
          <w:p w14:paraId="23A3BA28" w14:textId="77777777" w:rsidR="0083387C" w:rsidRPr="001A076D" w:rsidRDefault="0083387C" w:rsidP="00FE4F18">
            <w:pPr>
              <w:rPr>
                <w:b/>
                <w:sz w:val="22"/>
                <w:szCs w:val="22"/>
              </w:rPr>
            </w:pPr>
            <w:r w:rsidRPr="001A076D">
              <w:rPr>
                <w:b/>
                <w:sz w:val="22"/>
                <w:szCs w:val="22"/>
              </w:rPr>
              <w:t>RESEARCH STUDENTS ONLY</w:t>
            </w:r>
          </w:p>
          <w:p w14:paraId="5B29498D" w14:textId="77777777" w:rsidR="0083387C" w:rsidRPr="001A076D" w:rsidRDefault="0083387C" w:rsidP="00FE4F18">
            <w:pPr>
              <w:rPr>
                <w:sz w:val="22"/>
                <w:szCs w:val="22"/>
              </w:rPr>
            </w:pPr>
            <w:r w:rsidRPr="001A076D">
              <w:rPr>
                <w:sz w:val="22"/>
                <w:szCs w:val="22"/>
              </w:rPr>
              <w:t xml:space="preserve">Once complete, submit this form via the </w:t>
            </w:r>
            <w:proofErr w:type="spellStart"/>
            <w:r w:rsidRPr="001A076D">
              <w:rPr>
                <w:b/>
                <w:bCs/>
                <w:sz w:val="22"/>
                <w:szCs w:val="22"/>
                <w:u w:val="single"/>
              </w:rPr>
              <w:t>MyTSD</w:t>
            </w:r>
            <w:proofErr w:type="spellEnd"/>
            <w:r w:rsidRPr="001A076D">
              <w:rPr>
                <w:b/>
                <w:bCs/>
                <w:sz w:val="22"/>
                <w:szCs w:val="22"/>
                <w:u w:val="single"/>
              </w:rPr>
              <w:t xml:space="preserve"> Doctoral College Portal</w:t>
            </w:r>
            <w:r w:rsidRPr="001A076D">
              <w:rPr>
                <w:sz w:val="22"/>
                <w:szCs w:val="22"/>
              </w:rPr>
              <w:t xml:space="preserve"> at (</w:t>
            </w:r>
            <w:hyperlink r:id="rId103" w:history="1">
              <w:r w:rsidRPr="001A076D">
                <w:rPr>
                  <w:rStyle w:val="Hyperlink"/>
                  <w:rFonts w:eastAsiaTheme="majorEastAsia"/>
                  <w:color w:val="auto"/>
                  <w:sz w:val="22"/>
                  <w:szCs w:val="22"/>
                </w:rPr>
                <w:t>https://mytsd.uwtsd.ac.uk</w:t>
              </w:r>
            </w:hyperlink>
            <w:r w:rsidRPr="001A076D">
              <w:rPr>
                <w:sz w:val="22"/>
                <w:szCs w:val="22"/>
              </w:rPr>
              <w:t>).</w:t>
            </w:r>
          </w:p>
          <w:p w14:paraId="59F788D4" w14:textId="77777777" w:rsidR="0083387C" w:rsidRPr="001A076D" w:rsidRDefault="0083387C" w:rsidP="00FE4F18">
            <w:pPr>
              <w:rPr>
                <w:sz w:val="22"/>
                <w:szCs w:val="22"/>
              </w:rPr>
            </w:pPr>
          </w:p>
        </w:tc>
      </w:tr>
      <w:tr w:rsidR="00057F93" w:rsidRPr="001A076D" w14:paraId="1B28B7BE" w14:textId="77777777" w:rsidTr="00FE4F18">
        <w:tc>
          <w:tcPr>
            <w:tcW w:w="10485" w:type="dxa"/>
            <w:shd w:val="clear" w:color="auto" w:fill="D9D9D9" w:themeFill="background1" w:themeFillShade="D9"/>
          </w:tcPr>
          <w:p w14:paraId="74D24EA4" w14:textId="77777777" w:rsidR="0083387C" w:rsidRPr="001A076D" w:rsidRDefault="0083387C" w:rsidP="00FE4F18">
            <w:pPr>
              <w:rPr>
                <w:b/>
                <w:sz w:val="22"/>
                <w:szCs w:val="22"/>
              </w:rPr>
            </w:pPr>
            <w:r w:rsidRPr="001A076D">
              <w:rPr>
                <w:b/>
                <w:sz w:val="22"/>
                <w:szCs w:val="22"/>
              </w:rPr>
              <w:t>RESEARCH STAFF ONLY</w:t>
            </w:r>
          </w:p>
          <w:p w14:paraId="431FE3A3" w14:textId="77777777" w:rsidR="0083387C" w:rsidRPr="001A076D" w:rsidRDefault="0083387C" w:rsidP="00FE4F18">
            <w:pPr>
              <w:rPr>
                <w:sz w:val="22"/>
                <w:szCs w:val="22"/>
              </w:rPr>
            </w:pPr>
            <w:r w:rsidRPr="001A076D">
              <w:rPr>
                <w:sz w:val="22"/>
                <w:szCs w:val="22"/>
              </w:rPr>
              <w:t xml:space="preserve">All communications relating to this application during its processing must be in writing and emailed to </w:t>
            </w:r>
            <w:hyperlink r:id="rId104" w:history="1">
              <w:r w:rsidRPr="001A076D">
                <w:rPr>
                  <w:rStyle w:val="Hyperlink"/>
                  <w:rFonts w:eastAsiaTheme="majorEastAsia"/>
                  <w:color w:val="auto"/>
                  <w:sz w:val="22"/>
                  <w:szCs w:val="22"/>
                </w:rPr>
                <w:t>pgresearch@uwtsd.ac.uk</w:t>
              </w:r>
            </w:hyperlink>
            <w:r w:rsidRPr="001A076D">
              <w:rPr>
                <w:sz w:val="22"/>
                <w:szCs w:val="22"/>
              </w:rPr>
              <w:t xml:space="preserve"> , with the title ‘Ethical Approval’ followed by your name.</w:t>
            </w:r>
          </w:p>
          <w:p w14:paraId="396CBA02" w14:textId="77777777" w:rsidR="0083387C" w:rsidRPr="001A076D" w:rsidRDefault="0083387C" w:rsidP="00FE4F18">
            <w:pPr>
              <w:rPr>
                <w:sz w:val="22"/>
                <w:szCs w:val="22"/>
              </w:rPr>
            </w:pPr>
          </w:p>
        </w:tc>
      </w:tr>
      <w:tr w:rsidR="004F2125" w:rsidRPr="001A076D" w14:paraId="0538F6EE" w14:textId="77777777" w:rsidTr="00FE4F18">
        <w:tc>
          <w:tcPr>
            <w:tcW w:w="10485" w:type="dxa"/>
            <w:shd w:val="clear" w:color="auto" w:fill="D9D9D9" w:themeFill="background1" w:themeFillShade="D9"/>
          </w:tcPr>
          <w:p w14:paraId="041DC5C6" w14:textId="77777777" w:rsidR="0083387C" w:rsidRPr="001A076D" w:rsidRDefault="0083387C" w:rsidP="00FE4F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szCs w:val="22"/>
              </w:rPr>
            </w:pPr>
            <w:r w:rsidRPr="001A076D">
              <w:rPr>
                <w:b/>
                <w:bCs/>
                <w:sz w:val="22"/>
                <w:szCs w:val="22"/>
              </w:rPr>
              <w:t xml:space="preserve">STUDENTS ON UNDERGRADUATE OR TAUGHT MASTERS PROGRAMMES </w:t>
            </w:r>
            <w:r w:rsidRPr="001A076D">
              <w:rPr>
                <w:bCs/>
                <w:sz w:val="22"/>
                <w:szCs w:val="22"/>
              </w:rPr>
              <w:t>should submit this form (and receive the outcome) via systems explained to you by the supervisor/module leader.</w:t>
            </w:r>
          </w:p>
        </w:tc>
      </w:tr>
    </w:tbl>
    <w:p w14:paraId="66DAAC8B" w14:textId="185E992C" w:rsidR="00F7035F" w:rsidRPr="001A076D" w:rsidRDefault="00F7035F" w:rsidP="00F7035F"/>
    <w:p w14:paraId="7DE52AC1" w14:textId="78C02F46" w:rsidR="00F7035F" w:rsidRPr="001A076D" w:rsidRDefault="00F7035F" w:rsidP="00F7035F">
      <w:pPr>
        <w:pStyle w:val="Heading2"/>
        <w:rPr>
          <w:rFonts w:ascii="Times New Roman" w:hAnsi="Times New Roman" w:cs="Times New Roman"/>
          <w:b/>
          <w:bCs/>
          <w:color w:val="auto"/>
        </w:rPr>
      </w:pPr>
      <w:bookmarkStart w:id="114" w:name="_Toc236033404"/>
      <w:r w:rsidRPr="001A076D">
        <w:rPr>
          <w:rFonts w:ascii="Times New Roman" w:hAnsi="Times New Roman" w:cs="Times New Roman"/>
          <w:b/>
          <w:bCs/>
          <w:color w:val="auto"/>
        </w:rPr>
        <w:t xml:space="preserve">Appendix </w:t>
      </w:r>
      <w:r w:rsidR="009038E0" w:rsidRPr="001A076D">
        <w:rPr>
          <w:rFonts w:ascii="Times New Roman" w:hAnsi="Times New Roman" w:cs="Times New Roman"/>
          <w:b/>
          <w:bCs/>
          <w:color w:val="auto"/>
        </w:rPr>
        <w:t>2</w:t>
      </w:r>
      <w:r w:rsidRPr="001A076D">
        <w:rPr>
          <w:rFonts w:ascii="Times New Roman" w:hAnsi="Times New Roman" w:cs="Times New Roman"/>
          <w:b/>
          <w:bCs/>
          <w:color w:val="auto"/>
        </w:rPr>
        <w:t>: Participant Information and Consent Form</w:t>
      </w:r>
      <w:bookmarkEnd w:id="114"/>
    </w:p>
    <w:p w14:paraId="09B3BE31" w14:textId="15DA12D8" w:rsidR="00166741" w:rsidRPr="001A076D" w:rsidRDefault="00166741" w:rsidP="00E512B1">
      <w:pPr>
        <w:jc w:val="both"/>
      </w:pPr>
      <w:r w:rsidRPr="001A076D">
        <w:t>This appendix includes the information sheet and consent form provided to interview participants. These documents explain the purpose of the research, participation requirements, confidentiality provisions, and the voluntary nature of participation.</w:t>
      </w:r>
    </w:p>
    <w:p w14:paraId="5BA62A1E" w14:textId="77777777" w:rsidR="00F7035F" w:rsidRPr="001A076D" w:rsidRDefault="00F7035F" w:rsidP="00E512B1">
      <w:pPr>
        <w:pStyle w:val="NormalWeb"/>
        <w:jc w:val="both"/>
      </w:pPr>
      <w:r w:rsidRPr="001A076D">
        <w:t>MBA Dissertation – University of Wales Trinity Saint David</w:t>
      </w:r>
    </w:p>
    <w:p w14:paraId="10AAB26B" w14:textId="77777777" w:rsidR="00F7035F" w:rsidRPr="001A076D" w:rsidRDefault="00F7035F" w:rsidP="00F7035F">
      <w:pPr>
        <w:rPr>
          <w:b/>
          <w:bCs/>
        </w:rPr>
      </w:pPr>
      <w:r w:rsidRPr="001A076D">
        <w:rPr>
          <w:b/>
          <w:bCs/>
        </w:rPr>
        <w:t>Study Title</w:t>
      </w:r>
    </w:p>
    <w:p w14:paraId="7F8B6D76" w14:textId="77777777" w:rsidR="00F7035F" w:rsidRPr="001A076D" w:rsidRDefault="00F7035F" w:rsidP="00F7035F">
      <w:pPr>
        <w:pStyle w:val="NormalWeb"/>
      </w:pPr>
      <w:r w:rsidRPr="001A076D">
        <w:rPr>
          <w:rStyle w:val="Strong"/>
          <w:rFonts w:eastAsiaTheme="majorEastAsia"/>
        </w:rPr>
        <w:lastRenderedPageBreak/>
        <w:t>Integrating Predictive Analytics into Strategic Decision-Making: A Mixed Methods Study of Organisational Readiness and Governance at SSE PLC</w:t>
      </w:r>
    </w:p>
    <w:p w14:paraId="22F349B8" w14:textId="77777777" w:rsidR="00F7035F" w:rsidRPr="001A076D" w:rsidRDefault="00F7035F" w:rsidP="00F7035F">
      <w:pPr>
        <w:rPr>
          <w:b/>
          <w:bCs/>
        </w:rPr>
      </w:pPr>
      <w:r w:rsidRPr="001A076D">
        <w:rPr>
          <w:b/>
          <w:bCs/>
        </w:rPr>
        <w:t>Researcher</w:t>
      </w:r>
    </w:p>
    <w:p w14:paraId="7C8B6678" w14:textId="0C35C14B" w:rsidR="00F7035F" w:rsidRPr="001A076D" w:rsidRDefault="00F7035F" w:rsidP="00F7035F">
      <w:pPr>
        <w:pStyle w:val="NormalWeb"/>
      </w:pPr>
      <w:r w:rsidRPr="001A076D">
        <w:t>Joshua Depiver (MBA Candidate)</w:t>
      </w:r>
      <w:r w:rsidRPr="001A076D">
        <w:br/>
        <w:t>University of Wales Trinity Saint David</w:t>
      </w:r>
    </w:p>
    <w:p w14:paraId="0AE7024F" w14:textId="77777777" w:rsidR="00F7035F" w:rsidRPr="001A076D" w:rsidRDefault="00F7035F" w:rsidP="00F7035F">
      <w:pPr>
        <w:rPr>
          <w:b/>
          <w:bCs/>
        </w:rPr>
      </w:pPr>
      <w:r w:rsidRPr="001A076D">
        <w:rPr>
          <w:b/>
          <w:bCs/>
        </w:rPr>
        <w:t>Purpose of the Study</w:t>
      </w:r>
    </w:p>
    <w:p w14:paraId="5B5035CA" w14:textId="77777777" w:rsidR="00F7035F" w:rsidRPr="001A076D" w:rsidRDefault="00F7035F" w:rsidP="00F7035F">
      <w:pPr>
        <w:pStyle w:val="NormalWeb"/>
      </w:pPr>
      <w:r w:rsidRPr="001A076D">
        <w:t>This research examines how predictive analytics capability, governance maturity, and executive trust influence the embedding of predictive analytics within strategic decision-making at SSE PLC.</w:t>
      </w:r>
    </w:p>
    <w:p w14:paraId="53F2E233" w14:textId="4871787D" w:rsidR="00F7035F" w:rsidRPr="001A076D" w:rsidRDefault="00F7035F" w:rsidP="00F7035F">
      <w:pPr>
        <w:pStyle w:val="NormalWeb"/>
      </w:pPr>
      <w:r w:rsidRPr="001A076D">
        <w:t xml:space="preserve">The study aims to develop practical insights to strengthen </w:t>
      </w:r>
      <w:r w:rsidR="00336A08" w:rsidRPr="001A076D">
        <w:t xml:space="preserve">the integration of governance-supported analytics </w:t>
      </w:r>
      <w:r w:rsidRPr="001A076D">
        <w:t>in regulated organisational contexts.</w:t>
      </w:r>
    </w:p>
    <w:p w14:paraId="27DC918D" w14:textId="77777777" w:rsidR="00F7035F" w:rsidRPr="001A076D" w:rsidRDefault="00F7035F" w:rsidP="00F7035F">
      <w:pPr>
        <w:rPr>
          <w:b/>
          <w:bCs/>
        </w:rPr>
      </w:pPr>
      <w:r w:rsidRPr="001A076D">
        <w:rPr>
          <w:b/>
          <w:bCs/>
        </w:rPr>
        <w:t>What Participation Involves</w:t>
      </w:r>
    </w:p>
    <w:p w14:paraId="53C88B97" w14:textId="77777777" w:rsidR="00F7035F" w:rsidRPr="001A076D" w:rsidRDefault="00F7035F">
      <w:pPr>
        <w:pStyle w:val="NormalWeb"/>
        <w:numPr>
          <w:ilvl w:val="0"/>
          <w:numId w:val="8"/>
        </w:numPr>
      </w:pPr>
      <w:r w:rsidRPr="001A076D">
        <w:t>A semi-structured interview (approximately 45–60 minutes).</w:t>
      </w:r>
    </w:p>
    <w:p w14:paraId="4F9FF0A1" w14:textId="59969671" w:rsidR="00F7035F" w:rsidRPr="001A076D" w:rsidRDefault="00F7035F">
      <w:pPr>
        <w:pStyle w:val="NormalWeb"/>
        <w:numPr>
          <w:ilvl w:val="0"/>
          <w:numId w:val="8"/>
        </w:numPr>
      </w:pPr>
      <w:r w:rsidRPr="001A076D">
        <w:t xml:space="preserve">Discussion of analytics </w:t>
      </w:r>
      <w:r w:rsidR="00F37062" w:rsidRPr="001A076D">
        <w:t>use</w:t>
      </w:r>
      <w:r w:rsidRPr="001A076D">
        <w:t xml:space="preserve"> governance practices, leadership engagement, and decision-making processes.</w:t>
      </w:r>
    </w:p>
    <w:p w14:paraId="45DF22FC" w14:textId="77777777" w:rsidR="00F7035F" w:rsidRPr="001A076D" w:rsidRDefault="00F7035F">
      <w:pPr>
        <w:pStyle w:val="NormalWeb"/>
        <w:numPr>
          <w:ilvl w:val="0"/>
          <w:numId w:val="8"/>
        </w:numPr>
      </w:pPr>
      <w:r w:rsidRPr="001A076D">
        <w:t>With your permission, the interview will be audio recorded for transcription accuracy.</w:t>
      </w:r>
    </w:p>
    <w:p w14:paraId="1C4DF6DD" w14:textId="77777777" w:rsidR="00F7035F" w:rsidRPr="001A076D" w:rsidRDefault="00F7035F">
      <w:pPr>
        <w:pStyle w:val="NormalWeb"/>
        <w:numPr>
          <w:ilvl w:val="0"/>
          <w:numId w:val="8"/>
        </w:numPr>
      </w:pPr>
      <w:r w:rsidRPr="001A076D">
        <w:t>You may decline to answer any question.</w:t>
      </w:r>
    </w:p>
    <w:p w14:paraId="1C9FFB5F" w14:textId="5F20F1EA" w:rsidR="00F7035F" w:rsidRPr="001A076D" w:rsidRDefault="00F7035F" w:rsidP="00F7035F">
      <w:pPr>
        <w:pStyle w:val="NormalWeb"/>
      </w:pPr>
      <w:r w:rsidRPr="001A076D">
        <w:t>Participation is entirely voluntary.</w:t>
      </w:r>
    </w:p>
    <w:p w14:paraId="407B371D" w14:textId="77777777" w:rsidR="00F7035F" w:rsidRPr="001A076D" w:rsidRDefault="00F7035F" w:rsidP="00F7035F">
      <w:pPr>
        <w:rPr>
          <w:b/>
          <w:bCs/>
        </w:rPr>
      </w:pPr>
      <w:r w:rsidRPr="001A076D">
        <w:rPr>
          <w:b/>
          <w:bCs/>
        </w:rPr>
        <w:t>Confidentiality and Data Protection</w:t>
      </w:r>
    </w:p>
    <w:p w14:paraId="51FE37F0" w14:textId="77777777" w:rsidR="00F7035F" w:rsidRPr="001A076D" w:rsidRDefault="00F7035F">
      <w:pPr>
        <w:pStyle w:val="NormalWeb"/>
        <w:numPr>
          <w:ilvl w:val="0"/>
          <w:numId w:val="9"/>
        </w:numPr>
      </w:pPr>
      <w:r w:rsidRPr="001A076D">
        <w:t>Your identity will remain confidential and anonymised in the dissertation.</w:t>
      </w:r>
    </w:p>
    <w:p w14:paraId="20B4DB50" w14:textId="77777777" w:rsidR="00F7035F" w:rsidRPr="001A076D" w:rsidRDefault="00F7035F">
      <w:pPr>
        <w:pStyle w:val="NormalWeb"/>
        <w:numPr>
          <w:ilvl w:val="0"/>
          <w:numId w:val="9"/>
        </w:numPr>
      </w:pPr>
      <w:r w:rsidRPr="001A076D">
        <w:t>No identifiable information will be included.</w:t>
      </w:r>
    </w:p>
    <w:p w14:paraId="554E5FD5" w14:textId="77777777" w:rsidR="00F7035F" w:rsidRPr="001A076D" w:rsidRDefault="00F7035F">
      <w:pPr>
        <w:pStyle w:val="NormalWeb"/>
        <w:numPr>
          <w:ilvl w:val="0"/>
          <w:numId w:val="9"/>
        </w:numPr>
      </w:pPr>
      <w:r w:rsidRPr="001A076D">
        <w:t>Data will be stored securely and handled in accordance with UK GDPR and university ethical requirements.</w:t>
      </w:r>
    </w:p>
    <w:p w14:paraId="57AF991A" w14:textId="48EE13D3" w:rsidR="00F7035F" w:rsidRPr="001A076D" w:rsidRDefault="00F7035F">
      <w:pPr>
        <w:pStyle w:val="NormalWeb"/>
        <w:numPr>
          <w:ilvl w:val="0"/>
          <w:numId w:val="9"/>
        </w:numPr>
      </w:pPr>
      <w:r w:rsidRPr="001A076D">
        <w:t>Audio recordings will be deleted after transcription and verification.</w:t>
      </w:r>
    </w:p>
    <w:p w14:paraId="069150B1" w14:textId="77777777" w:rsidR="00F7035F" w:rsidRPr="001A076D" w:rsidRDefault="00F7035F" w:rsidP="00F7035F">
      <w:pPr>
        <w:rPr>
          <w:b/>
          <w:bCs/>
        </w:rPr>
      </w:pPr>
      <w:r w:rsidRPr="001A076D">
        <w:rPr>
          <w:b/>
          <w:bCs/>
        </w:rPr>
        <w:t>Voluntary Participation</w:t>
      </w:r>
    </w:p>
    <w:p w14:paraId="6B6CC470" w14:textId="382F81C0" w:rsidR="00F7035F" w:rsidRPr="001A076D" w:rsidRDefault="00F7035F" w:rsidP="00F7035F">
      <w:pPr>
        <w:pStyle w:val="NormalWeb"/>
      </w:pPr>
      <w:r w:rsidRPr="001A076D">
        <w:t>You may withdraw at any time prior to anonymised analysis without consequence.</w:t>
      </w:r>
    </w:p>
    <w:p w14:paraId="46B8DF4B" w14:textId="77777777" w:rsidR="00F7035F" w:rsidRPr="001A076D" w:rsidRDefault="00F7035F" w:rsidP="00F7035F">
      <w:pPr>
        <w:rPr>
          <w:b/>
          <w:bCs/>
        </w:rPr>
      </w:pPr>
      <w:r w:rsidRPr="001A076D">
        <w:rPr>
          <w:b/>
          <w:bCs/>
        </w:rPr>
        <w:t>Consent</w:t>
      </w:r>
    </w:p>
    <w:p w14:paraId="3D5B1B96" w14:textId="77777777" w:rsidR="00F7035F" w:rsidRPr="001A076D" w:rsidRDefault="00F7035F" w:rsidP="00F7035F">
      <w:pPr>
        <w:pStyle w:val="NormalWeb"/>
      </w:pPr>
      <w:r w:rsidRPr="001A076D">
        <w:t>Please confirm your agreement by signing below:</w:t>
      </w:r>
    </w:p>
    <w:p w14:paraId="46888BF6" w14:textId="1AF3C361" w:rsidR="00F7035F" w:rsidRPr="001A076D" w:rsidRDefault="00F7035F" w:rsidP="00F7035F">
      <w:pPr>
        <w:pStyle w:val="NormalWeb"/>
      </w:pPr>
      <w:r w:rsidRPr="001A076D">
        <w:rPr>
          <w:rFonts w:ascii="Segoe UI Symbol" w:hAnsi="Segoe UI Symbol" w:cs="Segoe UI Symbol"/>
        </w:rPr>
        <w:t>☐</w:t>
      </w:r>
      <w:r w:rsidRPr="001A076D">
        <w:t xml:space="preserve"> I have read and understood the information above.</w:t>
      </w:r>
      <w:r w:rsidRPr="001A076D">
        <w:br/>
      </w:r>
      <w:r w:rsidRPr="001A076D">
        <w:rPr>
          <w:rFonts w:ascii="Segoe UI Symbol" w:hAnsi="Segoe UI Symbol" w:cs="Segoe UI Symbol"/>
        </w:rPr>
        <w:t>☐</w:t>
      </w:r>
      <w:r w:rsidRPr="001A076D">
        <w:t xml:space="preserve"> I understand participation is voluntary.</w:t>
      </w:r>
      <w:r w:rsidRPr="001A076D">
        <w:br/>
      </w:r>
      <w:r w:rsidRPr="001A076D">
        <w:rPr>
          <w:rFonts w:ascii="Segoe UI Symbol" w:hAnsi="Segoe UI Symbol" w:cs="Segoe UI Symbol"/>
        </w:rPr>
        <w:t>☐</w:t>
      </w:r>
      <w:r w:rsidRPr="001A076D">
        <w:t xml:space="preserve"> I consent to the interview being audio recorded.</w:t>
      </w:r>
      <w:r w:rsidRPr="001A076D">
        <w:br/>
      </w:r>
      <w:r w:rsidRPr="001A076D">
        <w:rPr>
          <w:rFonts w:ascii="Segoe UI Symbol" w:hAnsi="Segoe UI Symbol" w:cs="Segoe UI Symbol"/>
        </w:rPr>
        <w:t>☐</w:t>
      </w:r>
      <w:r w:rsidRPr="001A076D">
        <w:t xml:space="preserve"> I agree for my anonymised responses to be used in this MBA dissertation.</w:t>
      </w:r>
    </w:p>
    <w:p w14:paraId="7F6E3228" w14:textId="77777777" w:rsidR="00F7035F" w:rsidRPr="001A076D" w:rsidRDefault="00F7035F" w:rsidP="00F7035F">
      <w:pPr>
        <w:pStyle w:val="NormalWeb"/>
      </w:pPr>
      <w:r w:rsidRPr="001A076D">
        <w:t>Participant Name: ___________________________</w:t>
      </w:r>
    </w:p>
    <w:p w14:paraId="418727E9" w14:textId="77777777" w:rsidR="00F7035F" w:rsidRPr="001A076D" w:rsidRDefault="00F7035F" w:rsidP="00F7035F">
      <w:pPr>
        <w:pStyle w:val="NormalWeb"/>
      </w:pPr>
      <w:r w:rsidRPr="001A076D">
        <w:lastRenderedPageBreak/>
        <w:t>Signature: _________________________________</w:t>
      </w:r>
    </w:p>
    <w:p w14:paraId="7912E763" w14:textId="77777777" w:rsidR="00F7035F" w:rsidRPr="001A076D" w:rsidRDefault="00F7035F" w:rsidP="00F7035F">
      <w:pPr>
        <w:pStyle w:val="NormalWeb"/>
      </w:pPr>
      <w:r w:rsidRPr="001A076D">
        <w:t>Date: ______________________</w:t>
      </w:r>
    </w:p>
    <w:p w14:paraId="6543C7AF" w14:textId="77777777" w:rsidR="00F7035F" w:rsidRPr="001A076D" w:rsidRDefault="00F7035F" w:rsidP="00F7035F">
      <w:pPr>
        <w:pStyle w:val="NormalWeb"/>
      </w:pPr>
      <w:r w:rsidRPr="001A076D">
        <w:t>Researcher Signature: _______________________</w:t>
      </w:r>
    </w:p>
    <w:p w14:paraId="7450750A" w14:textId="77777777" w:rsidR="00F7035F" w:rsidRPr="001A076D" w:rsidRDefault="00F7035F" w:rsidP="00F7035F">
      <w:pPr>
        <w:pStyle w:val="NormalWeb"/>
      </w:pPr>
      <w:r w:rsidRPr="001A076D">
        <w:t>Date: ______________________</w:t>
      </w:r>
    </w:p>
    <w:p w14:paraId="2AFAE161" w14:textId="04446B8E" w:rsidR="0083387C" w:rsidRPr="001A076D" w:rsidRDefault="0083387C" w:rsidP="00577272">
      <w:pPr>
        <w:pStyle w:val="Heading2"/>
        <w:rPr>
          <w:rFonts w:ascii="Times New Roman" w:hAnsi="Times New Roman" w:cs="Times New Roman"/>
          <w:b/>
          <w:bCs/>
          <w:color w:val="auto"/>
        </w:rPr>
      </w:pPr>
      <w:bookmarkStart w:id="115" w:name="_Toc236033405"/>
      <w:r w:rsidRPr="001A076D">
        <w:rPr>
          <w:rFonts w:ascii="Times New Roman" w:hAnsi="Times New Roman" w:cs="Times New Roman"/>
          <w:b/>
          <w:bCs/>
          <w:color w:val="auto"/>
        </w:rPr>
        <w:t xml:space="preserve">Appendix </w:t>
      </w:r>
      <w:r w:rsidR="00F7035F" w:rsidRPr="001A076D">
        <w:rPr>
          <w:rFonts w:ascii="Times New Roman" w:hAnsi="Times New Roman" w:cs="Times New Roman"/>
          <w:b/>
          <w:bCs/>
          <w:color w:val="auto"/>
        </w:rPr>
        <w:t>3</w:t>
      </w:r>
      <w:r w:rsidRPr="001A076D">
        <w:rPr>
          <w:rFonts w:ascii="Times New Roman" w:hAnsi="Times New Roman" w:cs="Times New Roman"/>
          <w:b/>
          <w:bCs/>
          <w:color w:val="auto"/>
        </w:rPr>
        <w:t xml:space="preserve">. </w:t>
      </w:r>
      <w:r w:rsidR="007F3767" w:rsidRPr="001A076D">
        <w:rPr>
          <w:rFonts w:ascii="Times New Roman" w:hAnsi="Times New Roman" w:cs="Times New Roman"/>
          <w:b/>
          <w:bCs/>
          <w:color w:val="auto"/>
        </w:rPr>
        <w:t>Quantitative Survey Instrument and Summary Results</w:t>
      </w:r>
      <w:bookmarkEnd w:id="115"/>
    </w:p>
    <w:p w14:paraId="6200EDF5" w14:textId="1DF8455E" w:rsidR="00901724" w:rsidRPr="001A076D" w:rsidRDefault="00901724" w:rsidP="00166741">
      <w:pPr>
        <w:pStyle w:val="NormalWeb"/>
      </w:pPr>
      <w:r>
        <w:t>This appendix presents the quantitative survey instrument and summary results used in the study. It includes the questionnaire structure, response scale, survey response distributions, descriptive statistics, reliability summary, and an overview of the quantitative analysis framework. Together, these materials provide an overview of the quantitative data collected from SSE plc stakeholders and support the statistical analyses presented in Chapter 4.</w:t>
      </w:r>
    </w:p>
    <w:p w14:paraId="16505A3B" w14:textId="59DB10C8" w:rsidR="00AD6F4A" w:rsidRPr="001A076D" w:rsidRDefault="00EF7B28" w:rsidP="0083387C">
      <w:r w:rsidRPr="001A076D">
        <w:rPr>
          <w:rFonts w:ascii="Apple Color Emoji" w:hAnsi="Apple Color Emoji" w:cs="Apple Color Emoji"/>
        </w:rPr>
        <w:t>📊</w:t>
      </w:r>
      <w:r w:rsidRPr="001A076D">
        <w:t xml:space="preserve">  </w:t>
      </w:r>
      <w:hyperlink r:id="rId105" w:history="1">
        <w:r w:rsidR="0083387C" w:rsidRPr="001A076D">
          <w:rPr>
            <w:rStyle w:val="Hyperlink"/>
            <w:rFonts w:eastAsiaTheme="majorEastAsia"/>
            <w:color w:val="auto"/>
          </w:rPr>
          <w:t>Predictive Analytics and Data Governance Survey – Results</w:t>
        </w:r>
      </w:hyperlink>
    </w:p>
    <w:p w14:paraId="2E5B14E9" w14:textId="77777777" w:rsidR="000D79D7" w:rsidRPr="001A076D" w:rsidRDefault="000D79D7" w:rsidP="0083387C"/>
    <w:p w14:paraId="189A4FED" w14:textId="77777777" w:rsidR="000D79D7" w:rsidRPr="001A076D" w:rsidRDefault="000D79D7" w:rsidP="000D79D7">
      <w:pPr>
        <w:rPr>
          <w:b/>
          <w:bCs/>
        </w:rPr>
      </w:pPr>
      <w:r w:rsidRPr="001A076D">
        <w:rPr>
          <w:b/>
          <w:bCs/>
        </w:rPr>
        <w:t>1. Overview of the Survey</w:t>
      </w:r>
    </w:p>
    <w:p w14:paraId="72F8F489" w14:textId="00C9E648" w:rsidR="000D79D7" w:rsidRPr="001A076D" w:rsidRDefault="000D79D7" w:rsidP="000D79D7">
      <w:pPr>
        <w:pStyle w:val="NormalWeb"/>
      </w:pPr>
      <w:r w:rsidRPr="001A076D">
        <w:t xml:space="preserve">A quantitative questionnaire survey was conducted to evaluate perceptions of predictive analytics </w:t>
      </w:r>
      <w:r w:rsidR="00DB1E5E" w:rsidRPr="001A076D">
        <w:t>capabilities, data governance maturity, and organisational</w:t>
      </w:r>
      <w:r w:rsidRPr="001A076D">
        <w:t xml:space="preserve"> readiness for analytics-driven strategic decision-making within SSE PLC.</w:t>
      </w:r>
    </w:p>
    <w:p w14:paraId="53CA29DF" w14:textId="77777777" w:rsidR="000D79D7" w:rsidRPr="001A076D" w:rsidRDefault="000D79D7" w:rsidP="000D79D7">
      <w:pPr>
        <w:pStyle w:val="NormalWeb"/>
      </w:pPr>
      <w:r w:rsidRPr="001A076D">
        <w:t xml:space="preserve">The survey was distributed to stakeholders involved in data management, analytics, governance, and decision-making functions. A total of </w:t>
      </w:r>
      <w:r w:rsidRPr="001A076D">
        <w:rPr>
          <w:rStyle w:val="Strong"/>
          <w:rFonts w:eastAsiaTheme="majorEastAsia"/>
          <w:b w:val="0"/>
          <w:bCs w:val="0"/>
        </w:rPr>
        <w:t>66 valid responses</w:t>
      </w:r>
      <w:r w:rsidRPr="001A076D">
        <w:t xml:space="preserve"> were collected.</w:t>
      </w:r>
    </w:p>
    <w:p w14:paraId="0DB544D4" w14:textId="77777777" w:rsidR="000D79D7" w:rsidRPr="001A076D" w:rsidRDefault="000D79D7" w:rsidP="000D79D7">
      <w:pPr>
        <w:pStyle w:val="NormalWeb"/>
      </w:pPr>
      <w:r w:rsidRPr="001A076D">
        <w:t xml:space="preserve">The questionnaire consisted of structured Likert-scale questions covering five key thematic constructs aligned with the research objectives and the integrated </w:t>
      </w:r>
      <w:r w:rsidRPr="001A076D">
        <w:rPr>
          <w:rStyle w:val="Strong"/>
          <w:rFonts w:eastAsiaTheme="majorEastAsia"/>
          <w:b w:val="0"/>
          <w:bCs w:val="0"/>
        </w:rPr>
        <w:t>DELTA and DCAM</w:t>
      </w:r>
      <w:r w:rsidRPr="001A076D">
        <w:rPr>
          <w:rStyle w:val="Strong"/>
          <w:rFonts w:eastAsiaTheme="majorEastAsia"/>
        </w:rPr>
        <w:t xml:space="preserve"> frameworks</w:t>
      </w:r>
      <w:r w:rsidRPr="001A076D">
        <w:t xml:space="preserve"> used in this study:</w:t>
      </w:r>
    </w:p>
    <w:p w14:paraId="7E1E334E" w14:textId="77777777" w:rsidR="000D79D7" w:rsidRPr="001A076D" w:rsidRDefault="000D79D7">
      <w:pPr>
        <w:pStyle w:val="NormalWeb"/>
        <w:numPr>
          <w:ilvl w:val="0"/>
          <w:numId w:val="10"/>
        </w:numPr>
      </w:pPr>
      <w:r w:rsidRPr="001A076D">
        <w:rPr>
          <w:rStyle w:val="Strong"/>
          <w:rFonts w:eastAsiaTheme="majorEastAsia"/>
        </w:rPr>
        <w:t>Section B:</w:t>
      </w:r>
      <w:r w:rsidRPr="001A076D">
        <w:t xml:space="preserve"> Organisational Readiness</w:t>
      </w:r>
    </w:p>
    <w:p w14:paraId="67A343AD" w14:textId="77777777" w:rsidR="000D79D7" w:rsidRPr="001A076D" w:rsidRDefault="000D79D7">
      <w:pPr>
        <w:pStyle w:val="NormalWeb"/>
        <w:numPr>
          <w:ilvl w:val="0"/>
          <w:numId w:val="10"/>
        </w:numPr>
      </w:pPr>
      <w:r w:rsidRPr="001A076D">
        <w:rPr>
          <w:rStyle w:val="Strong"/>
          <w:rFonts w:eastAsiaTheme="majorEastAsia"/>
        </w:rPr>
        <w:t>Section C:</w:t>
      </w:r>
      <w:r w:rsidRPr="001A076D">
        <w:t xml:space="preserve"> Data Governance Maturity</w:t>
      </w:r>
    </w:p>
    <w:p w14:paraId="7D6825ED" w14:textId="77777777" w:rsidR="000D79D7" w:rsidRPr="001A076D" w:rsidRDefault="000D79D7">
      <w:pPr>
        <w:pStyle w:val="NormalWeb"/>
        <w:numPr>
          <w:ilvl w:val="0"/>
          <w:numId w:val="10"/>
        </w:numPr>
      </w:pPr>
      <w:r w:rsidRPr="001A076D">
        <w:rPr>
          <w:rStyle w:val="Strong"/>
          <w:rFonts w:eastAsiaTheme="majorEastAsia"/>
        </w:rPr>
        <w:t>Section D:</w:t>
      </w:r>
      <w:r w:rsidRPr="001A076D">
        <w:t xml:space="preserve"> Predictive Analytics Capability</w:t>
      </w:r>
    </w:p>
    <w:p w14:paraId="1F83EC63" w14:textId="77777777" w:rsidR="000D79D7" w:rsidRPr="001A076D" w:rsidRDefault="000D79D7">
      <w:pPr>
        <w:pStyle w:val="NormalWeb"/>
        <w:numPr>
          <w:ilvl w:val="0"/>
          <w:numId w:val="10"/>
        </w:numPr>
      </w:pPr>
      <w:r w:rsidRPr="001A076D">
        <w:rPr>
          <w:rStyle w:val="Strong"/>
          <w:rFonts w:eastAsiaTheme="majorEastAsia"/>
        </w:rPr>
        <w:t>Section E:</w:t>
      </w:r>
      <w:r w:rsidRPr="001A076D">
        <w:t xml:space="preserve"> Strategic Embedding of Analytics</w:t>
      </w:r>
    </w:p>
    <w:p w14:paraId="23104C09" w14:textId="77777777" w:rsidR="000D79D7" w:rsidRPr="001A076D" w:rsidRDefault="000D79D7">
      <w:pPr>
        <w:pStyle w:val="NormalWeb"/>
        <w:numPr>
          <w:ilvl w:val="0"/>
          <w:numId w:val="10"/>
        </w:numPr>
      </w:pPr>
      <w:r w:rsidRPr="001A076D">
        <w:rPr>
          <w:rStyle w:val="Strong"/>
          <w:rFonts w:eastAsiaTheme="majorEastAsia"/>
        </w:rPr>
        <w:t>Section G:</w:t>
      </w:r>
      <w:r w:rsidRPr="001A076D">
        <w:t xml:space="preserve"> Barriers and Enablers</w:t>
      </w:r>
    </w:p>
    <w:p w14:paraId="4D62E5F9" w14:textId="0465F48C" w:rsidR="000D79D7" w:rsidRPr="001A076D" w:rsidRDefault="000D79D7" w:rsidP="000D79D7">
      <w:pPr>
        <w:pStyle w:val="NormalWeb"/>
      </w:pPr>
      <w:r w:rsidRPr="001A076D">
        <w:t>Respondents evaluated each statement using a six-point Likert scale.</w:t>
      </w:r>
    </w:p>
    <w:p w14:paraId="661D70A6" w14:textId="2EC76FBC" w:rsidR="000D79D7" w:rsidRPr="001A076D" w:rsidRDefault="00F374B6" w:rsidP="000D79D7">
      <w:pPr>
        <w:rPr>
          <w:b/>
          <w:bCs/>
        </w:rPr>
      </w:pPr>
      <w:r w:rsidRPr="001A076D">
        <w:rPr>
          <w:b/>
          <w:bCs/>
        </w:rPr>
        <w:t>Table A3.1 – Survey Response Scale and Coding Scheme</w:t>
      </w:r>
    </w:p>
    <w:p w14:paraId="2EC7EAEF" w14:textId="77777777" w:rsidR="00F374B6" w:rsidRPr="001A076D" w:rsidRDefault="00F374B6" w:rsidP="000D79D7">
      <w:pPr>
        <w:rPr>
          <w:b/>
          <w:bCs/>
        </w:rPr>
      </w:pPr>
    </w:p>
    <w:tbl>
      <w:tblPr>
        <w:tblStyle w:val="TableGrid"/>
        <w:tblW w:w="0" w:type="auto"/>
        <w:tblLook w:val="04A0" w:firstRow="1" w:lastRow="0" w:firstColumn="1" w:lastColumn="0" w:noHBand="0" w:noVBand="1"/>
      </w:tblPr>
      <w:tblGrid>
        <w:gridCol w:w="2875"/>
        <w:gridCol w:w="1703"/>
      </w:tblGrid>
      <w:tr w:rsidR="00057F93" w:rsidRPr="001A076D" w14:paraId="3FACADE0" w14:textId="77777777" w:rsidTr="000D79D7">
        <w:tc>
          <w:tcPr>
            <w:tcW w:w="0" w:type="auto"/>
            <w:hideMark/>
          </w:tcPr>
          <w:p w14:paraId="12777F6D" w14:textId="77777777" w:rsidR="000D79D7" w:rsidRPr="001A076D" w:rsidRDefault="000D79D7">
            <w:pPr>
              <w:jc w:val="center"/>
              <w:rPr>
                <w:b/>
                <w:bCs/>
              </w:rPr>
            </w:pPr>
            <w:r w:rsidRPr="001A076D">
              <w:rPr>
                <w:b/>
                <w:bCs/>
              </w:rPr>
              <w:t>Response Option</w:t>
            </w:r>
          </w:p>
        </w:tc>
        <w:tc>
          <w:tcPr>
            <w:tcW w:w="0" w:type="auto"/>
            <w:hideMark/>
          </w:tcPr>
          <w:p w14:paraId="0D603A63" w14:textId="77777777" w:rsidR="000D79D7" w:rsidRPr="001A076D" w:rsidRDefault="000D79D7" w:rsidP="001D287B">
            <w:pPr>
              <w:jc w:val="center"/>
              <w:rPr>
                <w:b/>
                <w:bCs/>
              </w:rPr>
            </w:pPr>
            <w:r w:rsidRPr="001A076D">
              <w:rPr>
                <w:b/>
                <w:bCs/>
              </w:rPr>
              <w:t>Numeric Code</w:t>
            </w:r>
          </w:p>
        </w:tc>
      </w:tr>
      <w:tr w:rsidR="00057F93" w:rsidRPr="001A076D" w14:paraId="03749EB1" w14:textId="77777777" w:rsidTr="000D79D7">
        <w:tc>
          <w:tcPr>
            <w:tcW w:w="0" w:type="auto"/>
            <w:hideMark/>
          </w:tcPr>
          <w:p w14:paraId="5E972FE8" w14:textId="77777777" w:rsidR="000D79D7" w:rsidRPr="001A076D" w:rsidRDefault="000D79D7">
            <w:r w:rsidRPr="001A076D">
              <w:t>Strongly Disagree</w:t>
            </w:r>
          </w:p>
        </w:tc>
        <w:tc>
          <w:tcPr>
            <w:tcW w:w="0" w:type="auto"/>
            <w:hideMark/>
          </w:tcPr>
          <w:p w14:paraId="6915C6B3" w14:textId="77777777" w:rsidR="000D79D7" w:rsidRPr="001A076D" w:rsidRDefault="000D79D7" w:rsidP="001D287B">
            <w:pPr>
              <w:jc w:val="center"/>
            </w:pPr>
            <w:r w:rsidRPr="001A076D">
              <w:t>1</w:t>
            </w:r>
          </w:p>
        </w:tc>
      </w:tr>
      <w:tr w:rsidR="00057F93" w:rsidRPr="001A076D" w14:paraId="359FAC47" w14:textId="77777777" w:rsidTr="000D79D7">
        <w:tc>
          <w:tcPr>
            <w:tcW w:w="0" w:type="auto"/>
            <w:hideMark/>
          </w:tcPr>
          <w:p w14:paraId="2BF8A1BA" w14:textId="77777777" w:rsidR="000D79D7" w:rsidRPr="001A076D" w:rsidRDefault="000D79D7">
            <w:r w:rsidRPr="001A076D">
              <w:t>Disagree</w:t>
            </w:r>
          </w:p>
        </w:tc>
        <w:tc>
          <w:tcPr>
            <w:tcW w:w="0" w:type="auto"/>
            <w:hideMark/>
          </w:tcPr>
          <w:p w14:paraId="7C612399" w14:textId="77777777" w:rsidR="000D79D7" w:rsidRPr="001A076D" w:rsidRDefault="000D79D7" w:rsidP="001D287B">
            <w:pPr>
              <w:jc w:val="center"/>
            </w:pPr>
            <w:r w:rsidRPr="001A076D">
              <w:t>2</w:t>
            </w:r>
          </w:p>
        </w:tc>
      </w:tr>
      <w:tr w:rsidR="00057F93" w:rsidRPr="001A076D" w14:paraId="10C939B2" w14:textId="77777777" w:rsidTr="000D79D7">
        <w:tc>
          <w:tcPr>
            <w:tcW w:w="0" w:type="auto"/>
            <w:hideMark/>
          </w:tcPr>
          <w:p w14:paraId="49A0F7D5" w14:textId="77777777" w:rsidR="000D79D7" w:rsidRPr="001A076D" w:rsidRDefault="000D79D7">
            <w:r w:rsidRPr="001A076D">
              <w:t>Neither Agree nor Disagree</w:t>
            </w:r>
          </w:p>
        </w:tc>
        <w:tc>
          <w:tcPr>
            <w:tcW w:w="0" w:type="auto"/>
            <w:hideMark/>
          </w:tcPr>
          <w:p w14:paraId="3F5090A1" w14:textId="77777777" w:rsidR="000D79D7" w:rsidRPr="001A076D" w:rsidRDefault="000D79D7" w:rsidP="001D287B">
            <w:pPr>
              <w:jc w:val="center"/>
            </w:pPr>
            <w:r w:rsidRPr="001A076D">
              <w:t>3</w:t>
            </w:r>
          </w:p>
        </w:tc>
      </w:tr>
      <w:tr w:rsidR="00057F93" w:rsidRPr="001A076D" w14:paraId="433BC23A" w14:textId="77777777" w:rsidTr="000D79D7">
        <w:tc>
          <w:tcPr>
            <w:tcW w:w="0" w:type="auto"/>
            <w:hideMark/>
          </w:tcPr>
          <w:p w14:paraId="12B726E7" w14:textId="77777777" w:rsidR="000D79D7" w:rsidRPr="001A076D" w:rsidRDefault="000D79D7">
            <w:r w:rsidRPr="001A076D">
              <w:t>Agree</w:t>
            </w:r>
          </w:p>
        </w:tc>
        <w:tc>
          <w:tcPr>
            <w:tcW w:w="0" w:type="auto"/>
            <w:hideMark/>
          </w:tcPr>
          <w:p w14:paraId="175C191A" w14:textId="77777777" w:rsidR="000D79D7" w:rsidRPr="001A076D" w:rsidRDefault="000D79D7" w:rsidP="001D287B">
            <w:pPr>
              <w:jc w:val="center"/>
            </w:pPr>
            <w:r w:rsidRPr="001A076D">
              <w:t>4</w:t>
            </w:r>
          </w:p>
        </w:tc>
      </w:tr>
      <w:tr w:rsidR="00057F93" w:rsidRPr="001A076D" w14:paraId="2D84E829" w14:textId="77777777" w:rsidTr="000D79D7">
        <w:tc>
          <w:tcPr>
            <w:tcW w:w="0" w:type="auto"/>
            <w:hideMark/>
          </w:tcPr>
          <w:p w14:paraId="6697055B" w14:textId="77777777" w:rsidR="000D79D7" w:rsidRPr="001A076D" w:rsidRDefault="000D79D7">
            <w:r w:rsidRPr="001A076D">
              <w:t>Strongly Agree</w:t>
            </w:r>
          </w:p>
        </w:tc>
        <w:tc>
          <w:tcPr>
            <w:tcW w:w="0" w:type="auto"/>
            <w:hideMark/>
          </w:tcPr>
          <w:p w14:paraId="4AB56F8A" w14:textId="77777777" w:rsidR="000D79D7" w:rsidRPr="001A076D" w:rsidRDefault="000D79D7" w:rsidP="001D287B">
            <w:pPr>
              <w:jc w:val="center"/>
            </w:pPr>
            <w:r w:rsidRPr="001A076D">
              <w:t>5</w:t>
            </w:r>
          </w:p>
        </w:tc>
      </w:tr>
      <w:tr w:rsidR="000D79D7" w:rsidRPr="001A076D" w14:paraId="708A2E26" w14:textId="77777777" w:rsidTr="000D79D7">
        <w:tc>
          <w:tcPr>
            <w:tcW w:w="0" w:type="auto"/>
            <w:hideMark/>
          </w:tcPr>
          <w:p w14:paraId="5ECB3D5E" w14:textId="77777777" w:rsidR="000D79D7" w:rsidRPr="001A076D" w:rsidRDefault="000D79D7">
            <w:r w:rsidRPr="001A076D">
              <w:t>Not Sure</w:t>
            </w:r>
          </w:p>
        </w:tc>
        <w:tc>
          <w:tcPr>
            <w:tcW w:w="0" w:type="auto"/>
            <w:hideMark/>
          </w:tcPr>
          <w:p w14:paraId="35FE1C23" w14:textId="77777777" w:rsidR="000D79D7" w:rsidRPr="001A076D" w:rsidRDefault="000D79D7" w:rsidP="001D287B">
            <w:pPr>
              <w:jc w:val="center"/>
            </w:pPr>
            <w:r w:rsidRPr="001A076D">
              <w:t>6</w:t>
            </w:r>
          </w:p>
        </w:tc>
      </w:tr>
    </w:tbl>
    <w:p w14:paraId="001953EE" w14:textId="1E6F90BA" w:rsidR="000D79D7" w:rsidRPr="001A076D" w:rsidRDefault="000D79D7" w:rsidP="000D79D7"/>
    <w:p w14:paraId="66B58921" w14:textId="65F1F8F3" w:rsidR="000D79D7" w:rsidRPr="001A076D" w:rsidRDefault="00F374B6" w:rsidP="000D79D7">
      <w:pPr>
        <w:rPr>
          <w:b/>
          <w:bCs/>
        </w:rPr>
      </w:pPr>
      <w:r w:rsidRPr="001A076D">
        <w:rPr>
          <w:b/>
          <w:bCs/>
        </w:rPr>
        <w:t>Table A3.2 – Summary Distribution of Survey Responses</w:t>
      </w:r>
    </w:p>
    <w:p w14:paraId="1CDA322B" w14:textId="54316A17" w:rsidR="00F374B6" w:rsidRPr="001A076D" w:rsidRDefault="00F374B6" w:rsidP="000D79D7">
      <w:pPr>
        <w:rPr>
          <w:b/>
          <w:bCs/>
        </w:rPr>
      </w:pPr>
    </w:p>
    <w:tbl>
      <w:tblPr>
        <w:tblStyle w:val="TableGrid"/>
        <w:tblW w:w="0" w:type="auto"/>
        <w:tblLook w:val="04A0" w:firstRow="1" w:lastRow="0" w:firstColumn="1" w:lastColumn="0" w:noHBand="0" w:noVBand="1"/>
      </w:tblPr>
      <w:tblGrid>
        <w:gridCol w:w="2875"/>
        <w:gridCol w:w="1769"/>
        <w:gridCol w:w="2443"/>
        <w:gridCol w:w="1809"/>
      </w:tblGrid>
      <w:tr w:rsidR="00057F93" w:rsidRPr="001A076D" w14:paraId="3AC7EEDB" w14:textId="77777777" w:rsidTr="000D79D7">
        <w:tc>
          <w:tcPr>
            <w:tcW w:w="0" w:type="auto"/>
            <w:hideMark/>
          </w:tcPr>
          <w:p w14:paraId="5D5AB59E" w14:textId="77777777" w:rsidR="000D79D7" w:rsidRPr="001A076D" w:rsidRDefault="000D79D7">
            <w:pPr>
              <w:jc w:val="center"/>
              <w:rPr>
                <w:b/>
                <w:bCs/>
              </w:rPr>
            </w:pPr>
            <w:r w:rsidRPr="001A076D">
              <w:rPr>
                <w:b/>
                <w:bCs/>
              </w:rPr>
              <w:t>Response Category</w:t>
            </w:r>
          </w:p>
        </w:tc>
        <w:tc>
          <w:tcPr>
            <w:tcW w:w="0" w:type="auto"/>
            <w:hideMark/>
          </w:tcPr>
          <w:p w14:paraId="7BF654D2" w14:textId="77777777" w:rsidR="000D79D7" w:rsidRPr="001A076D" w:rsidRDefault="000D79D7" w:rsidP="001D287B">
            <w:pPr>
              <w:jc w:val="center"/>
              <w:rPr>
                <w:b/>
                <w:bCs/>
              </w:rPr>
            </w:pPr>
            <w:r w:rsidRPr="001A076D">
              <w:rPr>
                <w:b/>
                <w:bCs/>
              </w:rPr>
              <w:t>Numeric Value</w:t>
            </w:r>
          </w:p>
        </w:tc>
        <w:tc>
          <w:tcPr>
            <w:tcW w:w="0" w:type="auto"/>
            <w:hideMark/>
          </w:tcPr>
          <w:p w14:paraId="3421081B" w14:textId="77777777" w:rsidR="000D79D7" w:rsidRPr="001A076D" w:rsidRDefault="000D79D7" w:rsidP="001D287B">
            <w:pPr>
              <w:jc w:val="center"/>
              <w:rPr>
                <w:b/>
                <w:bCs/>
              </w:rPr>
            </w:pPr>
            <w:r w:rsidRPr="001A076D">
              <w:rPr>
                <w:b/>
                <w:bCs/>
              </w:rPr>
              <w:t>Number of Responses</w:t>
            </w:r>
          </w:p>
        </w:tc>
        <w:tc>
          <w:tcPr>
            <w:tcW w:w="0" w:type="auto"/>
            <w:hideMark/>
          </w:tcPr>
          <w:p w14:paraId="7240CB66" w14:textId="77777777" w:rsidR="000D79D7" w:rsidRPr="001A076D" w:rsidRDefault="000D79D7" w:rsidP="001D287B">
            <w:pPr>
              <w:jc w:val="center"/>
              <w:rPr>
                <w:b/>
                <w:bCs/>
              </w:rPr>
            </w:pPr>
            <w:r w:rsidRPr="001A076D">
              <w:rPr>
                <w:b/>
                <w:bCs/>
              </w:rPr>
              <w:t>Percentage (%)</w:t>
            </w:r>
          </w:p>
        </w:tc>
      </w:tr>
      <w:tr w:rsidR="00057F93" w:rsidRPr="001A076D" w14:paraId="2E0D78D3" w14:textId="77777777" w:rsidTr="000D79D7">
        <w:tc>
          <w:tcPr>
            <w:tcW w:w="0" w:type="auto"/>
            <w:hideMark/>
          </w:tcPr>
          <w:p w14:paraId="2323297E" w14:textId="77777777" w:rsidR="000D79D7" w:rsidRPr="001A076D" w:rsidRDefault="000D79D7">
            <w:r w:rsidRPr="001A076D">
              <w:t>Strongly Disagree</w:t>
            </w:r>
          </w:p>
        </w:tc>
        <w:tc>
          <w:tcPr>
            <w:tcW w:w="0" w:type="auto"/>
            <w:hideMark/>
          </w:tcPr>
          <w:p w14:paraId="16FB89C3" w14:textId="77777777" w:rsidR="000D79D7" w:rsidRPr="001A076D" w:rsidRDefault="000D79D7" w:rsidP="001D287B">
            <w:pPr>
              <w:jc w:val="center"/>
            </w:pPr>
            <w:r w:rsidRPr="001A076D">
              <w:t>1</w:t>
            </w:r>
          </w:p>
        </w:tc>
        <w:tc>
          <w:tcPr>
            <w:tcW w:w="0" w:type="auto"/>
            <w:hideMark/>
          </w:tcPr>
          <w:p w14:paraId="4AE0C027" w14:textId="77777777" w:rsidR="000D79D7" w:rsidRPr="001A076D" w:rsidRDefault="000D79D7" w:rsidP="001D287B">
            <w:pPr>
              <w:jc w:val="center"/>
            </w:pPr>
            <w:r w:rsidRPr="001A076D">
              <w:t>5</w:t>
            </w:r>
          </w:p>
        </w:tc>
        <w:tc>
          <w:tcPr>
            <w:tcW w:w="0" w:type="auto"/>
            <w:hideMark/>
          </w:tcPr>
          <w:p w14:paraId="2B38687E" w14:textId="77777777" w:rsidR="000D79D7" w:rsidRPr="001A076D" w:rsidRDefault="000D79D7" w:rsidP="001D287B">
            <w:pPr>
              <w:jc w:val="center"/>
            </w:pPr>
            <w:r w:rsidRPr="001A076D">
              <w:t>1.6%</w:t>
            </w:r>
          </w:p>
        </w:tc>
      </w:tr>
      <w:tr w:rsidR="00057F93" w:rsidRPr="001A076D" w14:paraId="04B676D4" w14:textId="77777777" w:rsidTr="000D79D7">
        <w:tc>
          <w:tcPr>
            <w:tcW w:w="0" w:type="auto"/>
            <w:hideMark/>
          </w:tcPr>
          <w:p w14:paraId="55E10254" w14:textId="77777777" w:rsidR="000D79D7" w:rsidRPr="001A076D" w:rsidRDefault="000D79D7">
            <w:r w:rsidRPr="001A076D">
              <w:t>Disagree</w:t>
            </w:r>
          </w:p>
        </w:tc>
        <w:tc>
          <w:tcPr>
            <w:tcW w:w="0" w:type="auto"/>
            <w:hideMark/>
          </w:tcPr>
          <w:p w14:paraId="34233BE4" w14:textId="77777777" w:rsidR="000D79D7" w:rsidRPr="001A076D" w:rsidRDefault="000D79D7" w:rsidP="001D287B">
            <w:pPr>
              <w:jc w:val="center"/>
            </w:pPr>
            <w:r w:rsidRPr="001A076D">
              <w:t>2</w:t>
            </w:r>
          </w:p>
        </w:tc>
        <w:tc>
          <w:tcPr>
            <w:tcW w:w="0" w:type="auto"/>
            <w:hideMark/>
          </w:tcPr>
          <w:p w14:paraId="46BD5878" w14:textId="77777777" w:rsidR="000D79D7" w:rsidRPr="001A076D" w:rsidRDefault="000D79D7" w:rsidP="001D287B">
            <w:pPr>
              <w:jc w:val="center"/>
            </w:pPr>
            <w:r w:rsidRPr="001A076D">
              <w:t>18</w:t>
            </w:r>
          </w:p>
        </w:tc>
        <w:tc>
          <w:tcPr>
            <w:tcW w:w="0" w:type="auto"/>
            <w:hideMark/>
          </w:tcPr>
          <w:p w14:paraId="68F7C7BC" w14:textId="77777777" w:rsidR="000D79D7" w:rsidRPr="001A076D" w:rsidRDefault="000D79D7" w:rsidP="001D287B">
            <w:pPr>
              <w:jc w:val="center"/>
            </w:pPr>
            <w:r w:rsidRPr="001A076D">
              <w:t>5.5%</w:t>
            </w:r>
          </w:p>
        </w:tc>
      </w:tr>
      <w:tr w:rsidR="00057F93" w:rsidRPr="001A076D" w14:paraId="67723C58" w14:textId="77777777" w:rsidTr="000D79D7">
        <w:tc>
          <w:tcPr>
            <w:tcW w:w="0" w:type="auto"/>
            <w:hideMark/>
          </w:tcPr>
          <w:p w14:paraId="66F95C55" w14:textId="77777777" w:rsidR="000D79D7" w:rsidRPr="001A076D" w:rsidRDefault="000D79D7">
            <w:r w:rsidRPr="001A076D">
              <w:t>Neither Agree nor Disagree</w:t>
            </w:r>
          </w:p>
        </w:tc>
        <w:tc>
          <w:tcPr>
            <w:tcW w:w="0" w:type="auto"/>
            <w:hideMark/>
          </w:tcPr>
          <w:p w14:paraId="0758275D" w14:textId="77777777" w:rsidR="000D79D7" w:rsidRPr="001A076D" w:rsidRDefault="000D79D7" w:rsidP="001D287B">
            <w:pPr>
              <w:jc w:val="center"/>
            </w:pPr>
            <w:r w:rsidRPr="001A076D">
              <w:t>3</w:t>
            </w:r>
          </w:p>
        </w:tc>
        <w:tc>
          <w:tcPr>
            <w:tcW w:w="0" w:type="auto"/>
            <w:hideMark/>
          </w:tcPr>
          <w:p w14:paraId="5BEABF46" w14:textId="77777777" w:rsidR="000D79D7" w:rsidRPr="001A076D" w:rsidRDefault="000D79D7" w:rsidP="001D287B">
            <w:pPr>
              <w:jc w:val="center"/>
            </w:pPr>
            <w:r w:rsidRPr="001A076D">
              <w:t>72</w:t>
            </w:r>
          </w:p>
        </w:tc>
        <w:tc>
          <w:tcPr>
            <w:tcW w:w="0" w:type="auto"/>
            <w:hideMark/>
          </w:tcPr>
          <w:p w14:paraId="57B8CBE0" w14:textId="77777777" w:rsidR="000D79D7" w:rsidRPr="001A076D" w:rsidRDefault="000D79D7" w:rsidP="001D287B">
            <w:pPr>
              <w:jc w:val="center"/>
            </w:pPr>
            <w:r w:rsidRPr="001A076D">
              <w:t>21.8%</w:t>
            </w:r>
          </w:p>
        </w:tc>
      </w:tr>
      <w:tr w:rsidR="00057F93" w:rsidRPr="001A076D" w14:paraId="121AAD49" w14:textId="77777777" w:rsidTr="000D79D7">
        <w:tc>
          <w:tcPr>
            <w:tcW w:w="0" w:type="auto"/>
            <w:hideMark/>
          </w:tcPr>
          <w:p w14:paraId="2481F25C" w14:textId="77777777" w:rsidR="000D79D7" w:rsidRPr="001A076D" w:rsidRDefault="000D79D7">
            <w:r w:rsidRPr="001A076D">
              <w:t>Agree</w:t>
            </w:r>
          </w:p>
        </w:tc>
        <w:tc>
          <w:tcPr>
            <w:tcW w:w="0" w:type="auto"/>
            <w:hideMark/>
          </w:tcPr>
          <w:p w14:paraId="283B669A" w14:textId="77777777" w:rsidR="000D79D7" w:rsidRPr="001A076D" w:rsidRDefault="000D79D7" w:rsidP="001D287B">
            <w:pPr>
              <w:jc w:val="center"/>
            </w:pPr>
            <w:r w:rsidRPr="001A076D">
              <w:t>4</w:t>
            </w:r>
          </w:p>
        </w:tc>
        <w:tc>
          <w:tcPr>
            <w:tcW w:w="0" w:type="auto"/>
            <w:hideMark/>
          </w:tcPr>
          <w:p w14:paraId="09DBD7BF" w14:textId="77777777" w:rsidR="000D79D7" w:rsidRPr="001A076D" w:rsidRDefault="000D79D7" w:rsidP="001D287B">
            <w:pPr>
              <w:jc w:val="center"/>
            </w:pPr>
            <w:r w:rsidRPr="001A076D">
              <w:t>171</w:t>
            </w:r>
          </w:p>
        </w:tc>
        <w:tc>
          <w:tcPr>
            <w:tcW w:w="0" w:type="auto"/>
            <w:hideMark/>
          </w:tcPr>
          <w:p w14:paraId="51F07DE5" w14:textId="77777777" w:rsidR="000D79D7" w:rsidRPr="001A076D" w:rsidRDefault="000D79D7" w:rsidP="001D287B">
            <w:pPr>
              <w:jc w:val="center"/>
            </w:pPr>
            <w:r w:rsidRPr="001A076D">
              <w:t>51.8%</w:t>
            </w:r>
          </w:p>
        </w:tc>
      </w:tr>
      <w:tr w:rsidR="00057F93" w:rsidRPr="001A076D" w14:paraId="18BDD3C1" w14:textId="77777777" w:rsidTr="000D79D7">
        <w:tc>
          <w:tcPr>
            <w:tcW w:w="0" w:type="auto"/>
            <w:hideMark/>
          </w:tcPr>
          <w:p w14:paraId="24767CFF" w14:textId="77777777" w:rsidR="000D79D7" w:rsidRPr="001A076D" w:rsidRDefault="000D79D7">
            <w:r w:rsidRPr="001A076D">
              <w:t>Strongly Agree</w:t>
            </w:r>
          </w:p>
        </w:tc>
        <w:tc>
          <w:tcPr>
            <w:tcW w:w="0" w:type="auto"/>
            <w:hideMark/>
          </w:tcPr>
          <w:p w14:paraId="70A6144E" w14:textId="77777777" w:rsidR="000D79D7" w:rsidRPr="001A076D" w:rsidRDefault="000D79D7" w:rsidP="001D287B">
            <w:pPr>
              <w:jc w:val="center"/>
            </w:pPr>
            <w:r w:rsidRPr="001A076D">
              <w:t>5</w:t>
            </w:r>
          </w:p>
        </w:tc>
        <w:tc>
          <w:tcPr>
            <w:tcW w:w="0" w:type="auto"/>
            <w:hideMark/>
          </w:tcPr>
          <w:p w14:paraId="2E65F417" w14:textId="77777777" w:rsidR="000D79D7" w:rsidRPr="001A076D" w:rsidRDefault="000D79D7" w:rsidP="001D287B">
            <w:pPr>
              <w:jc w:val="center"/>
            </w:pPr>
            <w:r w:rsidRPr="001A076D">
              <w:t>55</w:t>
            </w:r>
          </w:p>
        </w:tc>
        <w:tc>
          <w:tcPr>
            <w:tcW w:w="0" w:type="auto"/>
            <w:hideMark/>
          </w:tcPr>
          <w:p w14:paraId="1851E4A9" w14:textId="77777777" w:rsidR="000D79D7" w:rsidRPr="001A076D" w:rsidRDefault="000D79D7" w:rsidP="001D287B">
            <w:pPr>
              <w:jc w:val="center"/>
            </w:pPr>
            <w:r w:rsidRPr="001A076D">
              <w:t>16.7%</w:t>
            </w:r>
          </w:p>
        </w:tc>
      </w:tr>
      <w:tr w:rsidR="00057F93" w:rsidRPr="001A076D" w14:paraId="367A8558" w14:textId="77777777" w:rsidTr="000D79D7">
        <w:tc>
          <w:tcPr>
            <w:tcW w:w="0" w:type="auto"/>
            <w:hideMark/>
          </w:tcPr>
          <w:p w14:paraId="45715AF8" w14:textId="77777777" w:rsidR="000D79D7" w:rsidRPr="001A076D" w:rsidRDefault="000D79D7">
            <w:r w:rsidRPr="001A076D">
              <w:t>Not Sure</w:t>
            </w:r>
          </w:p>
        </w:tc>
        <w:tc>
          <w:tcPr>
            <w:tcW w:w="0" w:type="auto"/>
            <w:hideMark/>
          </w:tcPr>
          <w:p w14:paraId="28BBBD5A" w14:textId="77777777" w:rsidR="000D79D7" w:rsidRPr="001A076D" w:rsidRDefault="000D79D7" w:rsidP="001D287B">
            <w:pPr>
              <w:jc w:val="center"/>
            </w:pPr>
            <w:r w:rsidRPr="001A076D">
              <w:t>6</w:t>
            </w:r>
          </w:p>
        </w:tc>
        <w:tc>
          <w:tcPr>
            <w:tcW w:w="0" w:type="auto"/>
            <w:hideMark/>
          </w:tcPr>
          <w:p w14:paraId="455BF6B1" w14:textId="77777777" w:rsidR="000D79D7" w:rsidRPr="001A076D" w:rsidRDefault="000D79D7" w:rsidP="001D287B">
            <w:pPr>
              <w:jc w:val="center"/>
            </w:pPr>
            <w:r w:rsidRPr="001A076D">
              <w:t>9</w:t>
            </w:r>
          </w:p>
        </w:tc>
        <w:tc>
          <w:tcPr>
            <w:tcW w:w="0" w:type="auto"/>
            <w:hideMark/>
          </w:tcPr>
          <w:p w14:paraId="7413CBB3" w14:textId="77777777" w:rsidR="000D79D7" w:rsidRPr="001A076D" w:rsidRDefault="000D79D7" w:rsidP="001D287B">
            <w:pPr>
              <w:jc w:val="center"/>
            </w:pPr>
            <w:r w:rsidRPr="001A076D">
              <w:t>2.6%</w:t>
            </w:r>
          </w:p>
        </w:tc>
      </w:tr>
      <w:tr w:rsidR="000D79D7" w:rsidRPr="001A076D" w14:paraId="113E8D17" w14:textId="77777777" w:rsidTr="000D79D7">
        <w:tc>
          <w:tcPr>
            <w:tcW w:w="0" w:type="auto"/>
            <w:hideMark/>
          </w:tcPr>
          <w:p w14:paraId="155A496D" w14:textId="77777777" w:rsidR="000D79D7" w:rsidRPr="001A076D" w:rsidRDefault="000D79D7">
            <w:r w:rsidRPr="001A076D">
              <w:rPr>
                <w:rStyle w:val="Strong"/>
                <w:rFonts w:eastAsiaTheme="majorEastAsia"/>
              </w:rPr>
              <w:t>Total Responses</w:t>
            </w:r>
          </w:p>
        </w:tc>
        <w:tc>
          <w:tcPr>
            <w:tcW w:w="0" w:type="auto"/>
            <w:hideMark/>
          </w:tcPr>
          <w:p w14:paraId="43BFA6E0" w14:textId="77777777" w:rsidR="000D79D7" w:rsidRPr="001A076D" w:rsidRDefault="000D79D7"/>
        </w:tc>
        <w:tc>
          <w:tcPr>
            <w:tcW w:w="0" w:type="auto"/>
            <w:hideMark/>
          </w:tcPr>
          <w:p w14:paraId="2A71B5C5" w14:textId="77777777" w:rsidR="000D79D7" w:rsidRPr="001A076D" w:rsidRDefault="000D79D7" w:rsidP="00EA46BA">
            <w:pPr>
              <w:jc w:val="center"/>
            </w:pPr>
            <w:r w:rsidRPr="001A076D">
              <w:rPr>
                <w:rStyle w:val="Strong"/>
                <w:rFonts w:eastAsiaTheme="majorEastAsia"/>
              </w:rPr>
              <w:t>330</w:t>
            </w:r>
          </w:p>
        </w:tc>
        <w:tc>
          <w:tcPr>
            <w:tcW w:w="0" w:type="auto"/>
            <w:hideMark/>
          </w:tcPr>
          <w:p w14:paraId="67570A99" w14:textId="77777777" w:rsidR="000D79D7" w:rsidRPr="001A076D" w:rsidRDefault="000D79D7" w:rsidP="00EA46BA">
            <w:pPr>
              <w:jc w:val="center"/>
            </w:pPr>
            <w:r w:rsidRPr="001A076D">
              <w:rPr>
                <w:rStyle w:val="Strong"/>
                <w:rFonts w:eastAsiaTheme="majorEastAsia"/>
              </w:rPr>
              <w:t>100%</w:t>
            </w:r>
          </w:p>
        </w:tc>
      </w:tr>
    </w:tbl>
    <w:p w14:paraId="27B76859" w14:textId="62ECB9FB" w:rsidR="000D79D7" w:rsidRPr="001A076D" w:rsidRDefault="000D79D7" w:rsidP="000D79D7"/>
    <w:p w14:paraId="422AF2A0" w14:textId="3DEB1138" w:rsidR="000D79D7" w:rsidRPr="001A076D" w:rsidRDefault="00F374B6" w:rsidP="000D79D7">
      <w:pPr>
        <w:rPr>
          <w:b/>
          <w:bCs/>
        </w:rPr>
      </w:pPr>
      <w:r w:rsidRPr="001A076D">
        <w:rPr>
          <w:b/>
          <w:bCs/>
        </w:rPr>
        <w:t>Table A3.3 – Summary of Key Survey Indicators</w:t>
      </w:r>
    </w:p>
    <w:p w14:paraId="08CBD507" w14:textId="77777777" w:rsidR="00F374B6" w:rsidRPr="001A076D" w:rsidRDefault="00F374B6" w:rsidP="000D79D7">
      <w:pPr>
        <w:rPr>
          <w:b/>
          <w:bCs/>
        </w:rPr>
      </w:pPr>
    </w:p>
    <w:tbl>
      <w:tblPr>
        <w:tblStyle w:val="TableGrid"/>
        <w:tblW w:w="0" w:type="auto"/>
        <w:tblLook w:val="04A0" w:firstRow="1" w:lastRow="0" w:firstColumn="1" w:lastColumn="0" w:noHBand="0" w:noVBand="1"/>
      </w:tblPr>
      <w:tblGrid>
        <w:gridCol w:w="5899"/>
        <w:gridCol w:w="2970"/>
      </w:tblGrid>
      <w:tr w:rsidR="00057F93" w:rsidRPr="001A076D" w14:paraId="5B1B4574" w14:textId="77777777" w:rsidTr="000D79D7">
        <w:tc>
          <w:tcPr>
            <w:tcW w:w="0" w:type="auto"/>
            <w:hideMark/>
          </w:tcPr>
          <w:p w14:paraId="04AACB3B" w14:textId="77777777" w:rsidR="000D79D7" w:rsidRPr="001A076D" w:rsidRDefault="000D79D7">
            <w:pPr>
              <w:jc w:val="center"/>
              <w:rPr>
                <w:b/>
                <w:bCs/>
              </w:rPr>
            </w:pPr>
            <w:r w:rsidRPr="001A076D">
              <w:rPr>
                <w:b/>
                <w:bCs/>
              </w:rPr>
              <w:t>Indicator</w:t>
            </w:r>
          </w:p>
        </w:tc>
        <w:tc>
          <w:tcPr>
            <w:tcW w:w="0" w:type="auto"/>
            <w:hideMark/>
          </w:tcPr>
          <w:p w14:paraId="27434783" w14:textId="77777777" w:rsidR="000D79D7" w:rsidRPr="001A076D" w:rsidRDefault="000D79D7">
            <w:pPr>
              <w:jc w:val="center"/>
              <w:rPr>
                <w:b/>
                <w:bCs/>
              </w:rPr>
            </w:pPr>
            <w:r w:rsidRPr="001A076D">
              <w:rPr>
                <w:b/>
                <w:bCs/>
              </w:rPr>
              <w:t>Result</w:t>
            </w:r>
          </w:p>
        </w:tc>
      </w:tr>
      <w:tr w:rsidR="00057F93" w:rsidRPr="001A076D" w14:paraId="7685791C" w14:textId="77777777" w:rsidTr="000D79D7">
        <w:tc>
          <w:tcPr>
            <w:tcW w:w="0" w:type="auto"/>
            <w:hideMark/>
          </w:tcPr>
          <w:p w14:paraId="40445D50" w14:textId="77777777" w:rsidR="000D79D7" w:rsidRPr="001A076D" w:rsidRDefault="000D79D7">
            <w:pPr>
              <w:rPr>
                <w:b/>
                <w:bCs/>
              </w:rPr>
            </w:pPr>
            <w:r w:rsidRPr="001A076D">
              <w:rPr>
                <w:b/>
                <w:bCs/>
              </w:rPr>
              <w:t>Total Survey Participants</w:t>
            </w:r>
          </w:p>
        </w:tc>
        <w:tc>
          <w:tcPr>
            <w:tcW w:w="0" w:type="auto"/>
            <w:hideMark/>
          </w:tcPr>
          <w:p w14:paraId="19BCAEAA" w14:textId="77777777" w:rsidR="000D79D7" w:rsidRPr="001A076D" w:rsidRDefault="000D79D7" w:rsidP="00EA46BA">
            <w:pPr>
              <w:jc w:val="center"/>
              <w:rPr>
                <w:b/>
                <w:bCs/>
              </w:rPr>
            </w:pPr>
            <w:r w:rsidRPr="001A076D">
              <w:rPr>
                <w:rStyle w:val="Strong"/>
                <w:rFonts w:eastAsiaTheme="majorEastAsia"/>
                <w:b w:val="0"/>
                <w:bCs w:val="0"/>
              </w:rPr>
              <w:t>66 respondents</w:t>
            </w:r>
          </w:p>
        </w:tc>
      </w:tr>
      <w:tr w:rsidR="00057F93" w:rsidRPr="001A076D" w14:paraId="39CE870E" w14:textId="77777777" w:rsidTr="000D79D7">
        <w:tc>
          <w:tcPr>
            <w:tcW w:w="0" w:type="auto"/>
            <w:hideMark/>
          </w:tcPr>
          <w:p w14:paraId="798420B4" w14:textId="77777777" w:rsidR="000D79D7" w:rsidRPr="001A076D" w:rsidRDefault="000D79D7">
            <w:pPr>
              <w:rPr>
                <w:b/>
                <w:bCs/>
              </w:rPr>
            </w:pPr>
            <w:r w:rsidRPr="001A076D">
              <w:rPr>
                <w:b/>
                <w:bCs/>
              </w:rPr>
              <w:t>Total Survey Items Analysed</w:t>
            </w:r>
          </w:p>
        </w:tc>
        <w:tc>
          <w:tcPr>
            <w:tcW w:w="0" w:type="auto"/>
            <w:hideMark/>
          </w:tcPr>
          <w:p w14:paraId="5CE78B0E" w14:textId="77777777" w:rsidR="000D79D7" w:rsidRPr="001A076D" w:rsidRDefault="000D79D7" w:rsidP="00EA46BA">
            <w:pPr>
              <w:jc w:val="center"/>
              <w:rPr>
                <w:b/>
                <w:bCs/>
              </w:rPr>
            </w:pPr>
            <w:r w:rsidRPr="001A076D">
              <w:rPr>
                <w:rStyle w:val="Strong"/>
                <w:rFonts w:eastAsiaTheme="majorEastAsia"/>
                <w:b w:val="0"/>
                <w:bCs w:val="0"/>
              </w:rPr>
              <w:t>22 questions (Sections B–G)</w:t>
            </w:r>
          </w:p>
        </w:tc>
      </w:tr>
      <w:tr w:rsidR="00057F93" w:rsidRPr="001A076D" w14:paraId="649DF668" w14:textId="77777777" w:rsidTr="000D79D7">
        <w:tc>
          <w:tcPr>
            <w:tcW w:w="0" w:type="auto"/>
            <w:hideMark/>
          </w:tcPr>
          <w:p w14:paraId="431FFE4D" w14:textId="77777777" w:rsidR="000D79D7" w:rsidRPr="001A076D" w:rsidRDefault="000D79D7">
            <w:pPr>
              <w:rPr>
                <w:b/>
                <w:bCs/>
              </w:rPr>
            </w:pPr>
            <w:r w:rsidRPr="001A076D">
              <w:rPr>
                <w:b/>
                <w:bCs/>
              </w:rPr>
              <w:t>Dominant Response Category</w:t>
            </w:r>
          </w:p>
        </w:tc>
        <w:tc>
          <w:tcPr>
            <w:tcW w:w="0" w:type="auto"/>
            <w:hideMark/>
          </w:tcPr>
          <w:p w14:paraId="3D6B9E20" w14:textId="77777777" w:rsidR="000D79D7" w:rsidRPr="001A076D" w:rsidRDefault="000D79D7" w:rsidP="00EA46BA">
            <w:pPr>
              <w:jc w:val="center"/>
              <w:rPr>
                <w:b/>
                <w:bCs/>
              </w:rPr>
            </w:pPr>
            <w:r w:rsidRPr="001A076D">
              <w:rPr>
                <w:rStyle w:val="Strong"/>
                <w:rFonts w:eastAsiaTheme="majorEastAsia"/>
                <w:b w:val="0"/>
                <w:bCs w:val="0"/>
              </w:rPr>
              <w:t>Agree (51.8%)</w:t>
            </w:r>
          </w:p>
        </w:tc>
      </w:tr>
      <w:tr w:rsidR="00057F93" w:rsidRPr="001A076D" w14:paraId="2E8963F3" w14:textId="77777777" w:rsidTr="000D79D7">
        <w:tc>
          <w:tcPr>
            <w:tcW w:w="0" w:type="auto"/>
            <w:hideMark/>
          </w:tcPr>
          <w:p w14:paraId="1B02EA3F" w14:textId="77777777" w:rsidR="000D79D7" w:rsidRPr="001A076D" w:rsidRDefault="000D79D7">
            <w:pPr>
              <w:rPr>
                <w:b/>
                <w:bCs/>
              </w:rPr>
            </w:pPr>
            <w:r w:rsidRPr="001A076D">
              <w:rPr>
                <w:b/>
                <w:bCs/>
              </w:rPr>
              <w:t>Combined Positive Responses (Agree + Strongly Agree)</w:t>
            </w:r>
          </w:p>
        </w:tc>
        <w:tc>
          <w:tcPr>
            <w:tcW w:w="0" w:type="auto"/>
            <w:hideMark/>
          </w:tcPr>
          <w:p w14:paraId="59E12D08" w14:textId="77777777" w:rsidR="000D79D7" w:rsidRPr="001A076D" w:rsidRDefault="000D79D7" w:rsidP="00EA46BA">
            <w:pPr>
              <w:jc w:val="center"/>
              <w:rPr>
                <w:b/>
                <w:bCs/>
              </w:rPr>
            </w:pPr>
            <w:r w:rsidRPr="001A076D">
              <w:rPr>
                <w:rStyle w:val="Strong"/>
                <w:rFonts w:eastAsiaTheme="majorEastAsia"/>
                <w:b w:val="0"/>
                <w:bCs w:val="0"/>
              </w:rPr>
              <w:t>68.5%</w:t>
            </w:r>
          </w:p>
        </w:tc>
      </w:tr>
      <w:tr w:rsidR="00057F93" w:rsidRPr="001A076D" w14:paraId="179EEB78" w14:textId="77777777" w:rsidTr="000D79D7">
        <w:tc>
          <w:tcPr>
            <w:tcW w:w="0" w:type="auto"/>
            <w:hideMark/>
          </w:tcPr>
          <w:p w14:paraId="67CC2529" w14:textId="77777777" w:rsidR="000D79D7" w:rsidRPr="001A076D" w:rsidRDefault="000D79D7">
            <w:pPr>
              <w:rPr>
                <w:b/>
                <w:bCs/>
              </w:rPr>
            </w:pPr>
            <w:r w:rsidRPr="001A076D">
              <w:rPr>
                <w:b/>
                <w:bCs/>
              </w:rPr>
              <w:t>Neutral Responses</w:t>
            </w:r>
          </w:p>
        </w:tc>
        <w:tc>
          <w:tcPr>
            <w:tcW w:w="0" w:type="auto"/>
            <w:hideMark/>
          </w:tcPr>
          <w:p w14:paraId="1DBA8577" w14:textId="77777777" w:rsidR="000D79D7" w:rsidRPr="001A076D" w:rsidRDefault="000D79D7" w:rsidP="00EA46BA">
            <w:pPr>
              <w:jc w:val="center"/>
              <w:rPr>
                <w:b/>
                <w:bCs/>
              </w:rPr>
            </w:pPr>
            <w:r w:rsidRPr="001A076D">
              <w:rPr>
                <w:rStyle w:val="Strong"/>
                <w:rFonts w:eastAsiaTheme="majorEastAsia"/>
                <w:b w:val="0"/>
                <w:bCs w:val="0"/>
              </w:rPr>
              <w:t>21.8%</w:t>
            </w:r>
          </w:p>
        </w:tc>
      </w:tr>
      <w:tr w:rsidR="00057F93" w:rsidRPr="001A076D" w14:paraId="60322430" w14:textId="77777777" w:rsidTr="000D79D7">
        <w:tc>
          <w:tcPr>
            <w:tcW w:w="0" w:type="auto"/>
            <w:hideMark/>
          </w:tcPr>
          <w:p w14:paraId="46BC07C7" w14:textId="77777777" w:rsidR="000D79D7" w:rsidRPr="001A076D" w:rsidRDefault="000D79D7">
            <w:pPr>
              <w:rPr>
                <w:b/>
                <w:bCs/>
              </w:rPr>
            </w:pPr>
            <w:r w:rsidRPr="001A076D">
              <w:rPr>
                <w:b/>
                <w:bCs/>
              </w:rPr>
              <w:t>Negative Responses</w:t>
            </w:r>
          </w:p>
        </w:tc>
        <w:tc>
          <w:tcPr>
            <w:tcW w:w="0" w:type="auto"/>
            <w:hideMark/>
          </w:tcPr>
          <w:p w14:paraId="36832513" w14:textId="77777777" w:rsidR="000D79D7" w:rsidRPr="001A076D" w:rsidRDefault="000D79D7" w:rsidP="00EA46BA">
            <w:pPr>
              <w:jc w:val="center"/>
              <w:rPr>
                <w:b/>
                <w:bCs/>
              </w:rPr>
            </w:pPr>
            <w:r w:rsidRPr="001A076D">
              <w:rPr>
                <w:rStyle w:val="Strong"/>
                <w:rFonts w:eastAsiaTheme="majorEastAsia"/>
                <w:b w:val="0"/>
                <w:bCs w:val="0"/>
              </w:rPr>
              <w:t>7.1%</w:t>
            </w:r>
          </w:p>
        </w:tc>
      </w:tr>
      <w:tr w:rsidR="000D79D7" w:rsidRPr="001A076D" w14:paraId="54783F9A" w14:textId="77777777" w:rsidTr="000D79D7">
        <w:tc>
          <w:tcPr>
            <w:tcW w:w="0" w:type="auto"/>
            <w:hideMark/>
          </w:tcPr>
          <w:p w14:paraId="7EA340EA" w14:textId="77777777" w:rsidR="000D79D7" w:rsidRPr="001A076D" w:rsidRDefault="000D79D7">
            <w:pPr>
              <w:rPr>
                <w:b/>
                <w:bCs/>
              </w:rPr>
            </w:pPr>
            <w:r w:rsidRPr="001A076D">
              <w:rPr>
                <w:b/>
                <w:bCs/>
              </w:rPr>
              <w:t>Uncertain Responses</w:t>
            </w:r>
          </w:p>
        </w:tc>
        <w:tc>
          <w:tcPr>
            <w:tcW w:w="0" w:type="auto"/>
            <w:hideMark/>
          </w:tcPr>
          <w:p w14:paraId="57FE5E65" w14:textId="77777777" w:rsidR="000D79D7" w:rsidRPr="001A076D" w:rsidRDefault="000D79D7" w:rsidP="00EA46BA">
            <w:pPr>
              <w:jc w:val="center"/>
              <w:rPr>
                <w:b/>
                <w:bCs/>
              </w:rPr>
            </w:pPr>
            <w:r w:rsidRPr="001A076D">
              <w:rPr>
                <w:rStyle w:val="Strong"/>
                <w:rFonts w:eastAsiaTheme="majorEastAsia"/>
                <w:b w:val="0"/>
                <w:bCs w:val="0"/>
              </w:rPr>
              <w:t>2.6%</w:t>
            </w:r>
          </w:p>
        </w:tc>
      </w:tr>
    </w:tbl>
    <w:p w14:paraId="50F55174" w14:textId="58D1E352" w:rsidR="00A27CB4" w:rsidRPr="001A076D" w:rsidRDefault="00A27CB4" w:rsidP="000D79D7"/>
    <w:p w14:paraId="754E36E1" w14:textId="1A85A749" w:rsidR="00B77BED" w:rsidRPr="001A076D" w:rsidRDefault="00B77BED" w:rsidP="000D79D7">
      <w:pPr>
        <w:rPr>
          <w:b/>
          <w:bCs/>
        </w:rPr>
      </w:pPr>
      <w:r w:rsidRPr="001A076D">
        <w:rPr>
          <w:b/>
          <w:bCs/>
        </w:rPr>
        <w:t>Table A3.4 – Overall Summary of Quantitative Analysis Framework</w:t>
      </w:r>
    </w:p>
    <w:tbl>
      <w:tblPr>
        <w:tblStyle w:val="TableGrid"/>
        <w:tblW w:w="0" w:type="auto"/>
        <w:tblLook w:val="04A0" w:firstRow="1" w:lastRow="0" w:firstColumn="1" w:lastColumn="0" w:noHBand="0" w:noVBand="1"/>
      </w:tblPr>
      <w:tblGrid>
        <w:gridCol w:w="2972"/>
        <w:gridCol w:w="6470"/>
      </w:tblGrid>
      <w:tr w:rsidR="00B77BED" w:rsidRPr="001A076D" w14:paraId="3393B749" w14:textId="77777777" w:rsidTr="00A00B95">
        <w:tc>
          <w:tcPr>
            <w:tcW w:w="2972" w:type="dxa"/>
            <w:vAlign w:val="center"/>
            <w:hideMark/>
          </w:tcPr>
          <w:p w14:paraId="2964C2A7" w14:textId="77777777" w:rsidR="00B77BED" w:rsidRPr="001A076D" w:rsidRDefault="00B77BED" w:rsidP="00B77BED">
            <w:pPr>
              <w:rPr>
                <w:b/>
                <w:bCs/>
              </w:rPr>
            </w:pPr>
            <w:r w:rsidRPr="001A076D">
              <w:rPr>
                <w:b/>
                <w:bCs/>
              </w:rPr>
              <w:t>Component</w:t>
            </w:r>
          </w:p>
        </w:tc>
        <w:tc>
          <w:tcPr>
            <w:tcW w:w="6470" w:type="dxa"/>
            <w:vAlign w:val="center"/>
            <w:hideMark/>
          </w:tcPr>
          <w:p w14:paraId="198C39D7" w14:textId="77777777" w:rsidR="00B77BED" w:rsidRPr="001A076D" w:rsidRDefault="00B77BED" w:rsidP="00B77BED">
            <w:pPr>
              <w:rPr>
                <w:b/>
                <w:bCs/>
              </w:rPr>
            </w:pPr>
            <w:r w:rsidRPr="001A076D">
              <w:rPr>
                <w:b/>
                <w:bCs/>
              </w:rPr>
              <w:t>Summary</w:t>
            </w:r>
          </w:p>
        </w:tc>
      </w:tr>
      <w:tr w:rsidR="00B77BED" w:rsidRPr="001A076D" w14:paraId="6BA5B3F2" w14:textId="77777777" w:rsidTr="00A00B95">
        <w:tc>
          <w:tcPr>
            <w:tcW w:w="2972" w:type="dxa"/>
            <w:vAlign w:val="center"/>
            <w:hideMark/>
          </w:tcPr>
          <w:p w14:paraId="44EB3E9D" w14:textId="77777777" w:rsidR="00B77BED" w:rsidRPr="001A076D" w:rsidRDefault="00B77BED" w:rsidP="00B77BED">
            <w:r w:rsidRPr="001A076D">
              <w:t>Research Method</w:t>
            </w:r>
          </w:p>
        </w:tc>
        <w:tc>
          <w:tcPr>
            <w:tcW w:w="6470" w:type="dxa"/>
            <w:vAlign w:val="center"/>
            <w:hideMark/>
          </w:tcPr>
          <w:p w14:paraId="0FCDF7BC" w14:textId="29D7A6B7" w:rsidR="00B77BED" w:rsidRPr="001A076D" w:rsidRDefault="00B77BED" w:rsidP="00B77BED">
            <w:pPr>
              <w:rPr>
                <w:lang w:val="fr-FR"/>
              </w:rPr>
            </w:pPr>
            <w:r w:rsidRPr="001A076D">
              <w:rPr>
                <w:lang w:val="fr-FR"/>
              </w:rPr>
              <w:t xml:space="preserve">Quantitative </w:t>
            </w:r>
            <w:proofErr w:type="spellStart"/>
            <w:r w:rsidRPr="001A076D">
              <w:rPr>
                <w:lang w:val="fr-FR"/>
              </w:rPr>
              <w:t>survey</w:t>
            </w:r>
            <w:proofErr w:type="spellEnd"/>
            <w:r w:rsidRPr="001A076D">
              <w:rPr>
                <w:lang w:val="fr-FR"/>
              </w:rPr>
              <w:t xml:space="preserve"> </w:t>
            </w:r>
            <w:proofErr w:type="spellStart"/>
            <w:r w:rsidRPr="001A076D">
              <w:rPr>
                <w:lang w:val="fr-FR"/>
              </w:rPr>
              <w:t>using</w:t>
            </w:r>
            <w:proofErr w:type="spellEnd"/>
            <w:r w:rsidRPr="001A076D">
              <w:rPr>
                <w:lang w:val="fr-FR"/>
              </w:rPr>
              <w:t xml:space="preserve"> </w:t>
            </w:r>
            <w:r w:rsidR="00C95567" w:rsidRPr="001A076D">
              <w:rPr>
                <w:lang w:val="fr-FR"/>
              </w:rPr>
              <w:t xml:space="preserve">a </w:t>
            </w:r>
            <w:proofErr w:type="spellStart"/>
            <w:r w:rsidRPr="001A076D">
              <w:rPr>
                <w:lang w:val="fr-FR"/>
              </w:rPr>
              <w:t>structured</w:t>
            </w:r>
            <w:proofErr w:type="spellEnd"/>
            <w:r w:rsidRPr="001A076D">
              <w:rPr>
                <w:lang w:val="fr-FR"/>
              </w:rPr>
              <w:t xml:space="preserve"> Likert-</w:t>
            </w:r>
            <w:proofErr w:type="spellStart"/>
            <w:r w:rsidRPr="001A076D">
              <w:rPr>
                <w:lang w:val="fr-FR"/>
              </w:rPr>
              <w:t>scale</w:t>
            </w:r>
            <w:proofErr w:type="spellEnd"/>
            <w:r w:rsidRPr="001A076D">
              <w:rPr>
                <w:lang w:val="fr-FR"/>
              </w:rPr>
              <w:t xml:space="preserve"> questionnaire</w:t>
            </w:r>
          </w:p>
        </w:tc>
      </w:tr>
      <w:tr w:rsidR="00B77BED" w:rsidRPr="001A076D" w14:paraId="7EAF3598" w14:textId="77777777" w:rsidTr="00A00B95">
        <w:tc>
          <w:tcPr>
            <w:tcW w:w="2972" w:type="dxa"/>
            <w:vAlign w:val="center"/>
            <w:hideMark/>
          </w:tcPr>
          <w:p w14:paraId="4EF54426" w14:textId="77777777" w:rsidR="00B77BED" w:rsidRPr="001A076D" w:rsidRDefault="00B77BED" w:rsidP="00B77BED">
            <w:r w:rsidRPr="001A076D">
              <w:t>Research Design</w:t>
            </w:r>
          </w:p>
        </w:tc>
        <w:tc>
          <w:tcPr>
            <w:tcW w:w="6470" w:type="dxa"/>
            <w:vAlign w:val="center"/>
            <w:hideMark/>
          </w:tcPr>
          <w:p w14:paraId="32443B99" w14:textId="77777777" w:rsidR="00B77BED" w:rsidRPr="001A076D" w:rsidRDefault="00B77BED" w:rsidP="00B77BED">
            <w:r w:rsidRPr="001A076D">
              <w:t xml:space="preserve">Sequential explanatory </w:t>
            </w:r>
            <w:proofErr w:type="gramStart"/>
            <w:r w:rsidRPr="001A076D">
              <w:t>mixed-methods</w:t>
            </w:r>
            <w:proofErr w:type="gramEnd"/>
          </w:p>
        </w:tc>
      </w:tr>
      <w:tr w:rsidR="00B77BED" w:rsidRPr="001A076D" w14:paraId="78DD1959" w14:textId="77777777" w:rsidTr="00A00B95">
        <w:tc>
          <w:tcPr>
            <w:tcW w:w="2972" w:type="dxa"/>
            <w:vAlign w:val="center"/>
            <w:hideMark/>
          </w:tcPr>
          <w:p w14:paraId="22A80055" w14:textId="77777777" w:rsidR="00B77BED" w:rsidRPr="001A076D" w:rsidRDefault="00B77BED" w:rsidP="00B77BED">
            <w:r w:rsidRPr="001A076D">
              <w:t>Sample Size</w:t>
            </w:r>
          </w:p>
        </w:tc>
        <w:tc>
          <w:tcPr>
            <w:tcW w:w="6470" w:type="dxa"/>
            <w:vAlign w:val="center"/>
            <w:hideMark/>
          </w:tcPr>
          <w:p w14:paraId="222176F3" w14:textId="77777777" w:rsidR="00B77BED" w:rsidRPr="001A076D" w:rsidRDefault="00B77BED" w:rsidP="00B77BED">
            <w:r w:rsidRPr="001A076D">
              <w:t>66 respondents</w:t>
            </w:r>
          </w:p>
        </w:tc>
      </w:tr>
      <w:tr w:rsidR="00B77BED" w:rsidRPr="001A076D" w14:paraId="7A028E54" w14:textId="77777777" w:rsidTr="00A00B95">
        <w:tc>
          <w:tcPr>
            <w:tcW w:w="2972" w:type="dxa"/>
            <w:vAlign w:val="center"/>
            <w:hideMark/>
          </w:tcPr>
          <w:p w14:paraId="552259B3" w14:textId="77777777" w:rsidR="00B77BED" w:rsidRPr="001A076D" w:rsidRDefault="00B77BED" w:rsidP="00B77BED">
            <w:r w:rsidRPr="001A076D">
              <w:t>Survey Sections Analysed</w:t>
            </w:r>
          </w:p>
        </w:tc>
        <w:tc>
          <w:tcPr>
            <w:tcW w:w="6470" w:type="dxa"/>
            <w:vAlign w:val="center"/>
            <w:hideMark/>
          </w:tcPr>
          <w:p w14:paraId="21D8174C" w14:textId="77777777" w:rsidR="00B77BED" w:rsidRPr="001A076D" w:rsidRDefault="00B77BED" w:rsidP="00B77BED">
            <w:r w:rsidRPr="001A076D">
              <w:t>Sections B–G</w:t>
            </w:r>
          </w:p>
        </w:tc>
      </w:tr>
      <w:tr w:rsidR="00B77BED" w:rsidRPr="001A076D" w14:paraId="0CE1A259" w14:textId="77777777" w:rsidTr="00A00B95">
        <w:tc>
          <w:tcPr>
            <w:tcW w:w="2972" w:type="dxa"/>
            <w:vAlign w:val="center"/>
            <w:hideMark/>
          </w:tcPr>
          <w:p w14:paraId="4F1B36E8" w14:textId="77777777" w:rsidR="00B77BED" w:rsidRPr="001A076D" w:rsidRDefault="00B77BED" w:rsidP="00B77BED">
            <w:r w:rsidRPr="001A076D">
              <w:t>Core Analytical Constructs</w:t>
            </w:r>
          </w:p>
        </w:tc>
        <w:tc>
          <w:tcPr>
            <w:tcW w:w="6470" w:type="dxa"/>
            <w:vAlign w:val="center"/>
            <w:hideMark/>
          </w:tcPr>
          <w:p w14:paraId="62164F00" w14:textId="77777777" w:rsidR="00B77BED" w:rsidRPr="001A076D" w:rsidRDefault="00B77BED" w:rsidP="00B77BED">
            <w:r w:rsidRPr="001A076D">
              <w:t>PAC, GM, TE, and SE</w:t>
            </w:r>
          </w:p>
        </w:tc>
      </w:tr>
      <w:tr w:rsidR="00B77BED" w:rsidRPr="001A076D" w14:paraId="285FDDFF" w14:textId="77777777" w:rsidTr="00A00B95">
        <w:tc>
          <w:tcPr>
            <w:tcW w:w="2972" w:type="dxa"/>
            <w:vAlign w:val="center"/>
            <w:hideMark/>
          </w:tcPr>
          <w:p w14:paraId="471DE0A9" w14:textId="77777777" w:rsidR="00B77BED" w:rsidRPr="001A076D" w:rsidRDefault="00B77BED" w:rsidP="00B77BED">
            <w:r w:rsidRPr="001A076D">
              <w:t>Total Construct Items</w:t>
            </w:r>
          </w:p>
        </w:tc>
        <w:tc>
          <w:tcPr>
            <w:tcW w:w="6470" w:type="dxa"/>
            <w:vAlign w:val="center"/>
            <w:hideMark/>
          </w:tcPr>
          <w:p w14:paraId="6040934D" w14:textId="77777777" w:rsidR="00B77BED" w:rsidRPr="001A076D" w:rsidRDefault="00B77BED" w:rsidP="00B77BED">
            <w:r w:rsidRPr="001A076D">
              <w:t>20</w:t>
            </w:r>
          </w:p>
        </w:tc>
      </w:tr>
      <w:tr w:rsidR="00B77BED" w:rsidRPr="001A076D" w14:paraId="2C3EE593" w14:textId="77777777" w:rsidTr="00A00B95">
        <w:tc>
          <w:tcPr>
            <w:tcW w:w="2972" w:type="dxa"/>
            <w:vAlign w:val="center"/>
            <w:hideMark/>
          </w:tcPr>
          <w:p w14:paraId="00D43E22" w14:textId="77777777" w:rsidR="00B77BED" w:rsidRPr="001A076D" w:rsidRDefault="00B77BED" w:rsidP="00B77BED">
            <w:r w:rsidRPr="001A076D">
              <w:t>Total Questionnaire Items</w:t>
            </w:r>
          </w:p>
        </w:tc>
        <w:tc>
          <w:tcPr>
            <w:tcW w:w="6470" w:type="dxa"/>
            <w:vAlign w:val="center"/>
            <w:hideMark/>
          </w:tcPr>
          <w:p w14:paraId="69603E32" w14:textId="77777777" w:rsidR="00B77BED" w:rsidRPr="001A076D" w:rsidRDefault="00B77BED" w:rsidP="00B77BED">
            <w:r w:rsidRPr="001A076D">
              <w:t>25</w:t>
            </w:r>
          </w:p>
        </w:tc>
      </w:tr>
      <w:tr w:rsidR="00B77BED" w:rsidRPr="001A076D" w14:paraId="0CDC4760" w14:textId="77777777" w:rsidTr="00A00B95">
        <w:tc>
          <w:tcPr>
            <w:tcW w:w="2972" w:type="dxa"/>
            <w:vAlign w:val="center"/>
            <w:hideMark/>
          </w:tcPr>
          <w:p w14:paraId="03F9FC71" w14:textId="77777777" w:rsidR="00B77BED" w:rsidRPr="001A076D" w:rsidRDefault="00B77BED" w:rsidP="00B77BED">
            <w:r w:rsidRPr="001A076D">
              <w:t>Scale Type</w:t>
            </w:r>
          </w:p>
        </w:tc>
        <w:tc>
          <w:tcPr>
            <w:tcW w:w="6470" w:type="dxa"/>
            <w:vAlign w:val="center"/>
            <w:hideMark/>
          </w:tcPr>
          <w:p w14:paraId="28562BD5" w14:textId="77777777" w:rsidR="00B77BED" w:rsidRPr="001A076D" w:rsidRDefault="00B77BED" w:rsidP="00B77BED">
            <w:r w:rsidRPr="001A076D">
              <w:t>5-point Likert scale with additional “Not Sure” option</w:t>
            </w:r>
          </w:p>
        </w:tc>
      </w:tr>
      <w:tr w:rsidR="00B77BED" w:rsidRPr="001A076D" w14:paraId="092A52A2" w14:textId="77777777" w:rsidTr="00A00B95">
        <w:tc>
          <w:tcPr>
            <w:tcW w:w="2972" w:type="dxa"/>
            <w:vAlign w:val="center"/>
            <w:hideMark/>
          </w:tcPr>
          <w:p w14:paraId="79AADBCE" w14:textId="77777777" w:rsidR="00B77BED" w:rsidRPr="001A076D" w:rsidRDefault="00B77BED" w:rsidP="00B77BED">
            <w:r w:rsidRPr="001A076D">
              <w:t>Dominant Response Pattern</w:t>
            </w:r>
          </w:p>
        </w:tc>
        <w:tc>
          <w:tcPr>
            <w:tcW w:w="6470" w:type="dxa"/>
            <w:vAlign w:val="center"/>
            <w:hideMark/>
          </w:tcPr>
          <w:p w14:paraId="2ABF54F0" w14:textId="77777777" w:rsidR="00B77BED" w:rsidRPr="001A076D" w:rsidRDefault="00B77BED" w:rsidP="00B77BED">
            <w:r w:rsidRPr="001A076D">
              <w:t>Agree (51.8%)</w:t>
            </w:r>
          </w:p>
        </w:tc>
      </w:tr>
      <w:tr w:rsidR="00B77BED" w:rsidRPr="001A076D" w14:paraId="15A95640" w14:textId="77777777" w:rsidTr="00A00B95">
        <w:tc>
          <w:tcPr>
            <w:tcW w:w="2972" w:type="dxa"/>
            <w:vAlign w:val="center"/>
            <w:hideMark/>
          </w:tcPr>
          <w:p w14:paraId="37B0C35B" w14:textId="77777777" w:rsidR="00B77BED" w:rsidRPr="001A076D" w:rsidRDefault="00B77BED" w:rsidP="00B77BED">
            <w:r w:rsidRPr="001A076D">
              <w:t>Combined Positive Responses</w:t>
            </w:r>
          </w:p>
        </w:tc>
        <w:tc>
          <w:tcPr>
            <w:tcW w:w="6470" w:type="dxa"/>
            <w:vAlign w:val="center"/>
            <w:hideMark/>
          </w:tcPr>
          <w:p w14:paraId="13433DDF" w14:textId="77777777" w:rsidR="00B77BED" w:rsidRPr="001A076D" w:rsidRDefault="00B77BED" w:rsidP="00B77BED">
            <w:r w:rsidRPr="001A076D">
              <w:t>68.5%</w:t>
            </w:r>
          </w:p>
        </w:tc>
      </w:tr>
      <w:tr w:rsidR="00B77BED" w:rsidRPr="001A076D" w14:paraId="541600FC" w14:textId="77777777" w:rsidTr="00A00B95">
        <w:tc>
          <w:tcPr>
            <w:tcW w:w="2972" w:type="dxa"/>
            <w:vAlign w:val="center"/>
            <w:hideMark/>
          </w:tcPr>
          <w:p w14:paraId="1C5E9E9B" w14:textId="77777777" w:rsidR="00B77BED" w:rsidRPr="001A076D" w:rsidRDefault="00B77BED" w:rsidP="00B77BED">
            <w:r w:rsidRPr="001A076D">
              <w:t>Statistical Software Used</w:t>
            </w:r>
          </w:p>
        </w:tc>
        <w:tc>
          <w:tcPr>
            <w:tcW w:w="6470" w:type="dxa"/>
            <w:vAlign w:val="center"/>
            <w:hideMark/>
          </w:tcPr>
          <w:p w14:paraId="74F7737A" w14:textId="77777777" w:rsidR="00B77BED" w:rsidRPr="001A076D" w:rsidRDefault="00B77BED" w:rsidP="00B77BED">
            <w:r w:rsidRPr="001A076D">
              <w:t>IBM SPSS Statistics</w:t>
            </w:r>
          </w:p>
        </w:tc>
      </w:tr>
      <w:tr w:rsidR="00B77BED" w:rsidRPr="001A076D" w14:paraId="389FDBC6" w14:textId="77777777" w:rsidTr="00A00B95">
        <w:tc>
          <w:tcPr>
            <w:tcW w:w="2972" w:type="dxa"/>
            <w:vAlign w:val="center"/>
            <w:hideMark/>
          </w:tcPr>
          <w:p w14:paraId="6B30B283" w14:textId="77777777" w:rsidR="00B77BED" w:rsidRPr="001A076D" w:rsidRDefault="00B77BED" w:rsidP="00B77BED">
            <w:r w:rsidRPr="001A076D">
              <w:t>Reliability Testing</w:t>
            </w:r>
          </w:p>
        </w:tc>
        <w:tc>
          <w:tcPr>
            <w:tcW w:w="6470" w:type="dxa"/>
            <w:vAlign w:val="center"/>
            <w:hideMark/>
          </w:tcPr>
          <w:p w14:paraId="463D4C2B" w14:textId="77777777" w:rsidR="00B77BED" w:rsidRPr="001A076D" w:rsidRDefault="00B77BED" w:rsidP="00B77BED">
            <w:r w:rsidRPr="001A076D">
              <w:t>Cronbach’s Alpha</w:t>
            </w:r>
          </w:p>
        </w:tc>
      </w:tr>
      <w:tr w:rsidR="00B77BED" w:rsidRPr="001A076D" w14:paraId="29E21146" w14:textId="77777777" w:rsidTr="00A00B95">
        <w:tc>
          <w:tcPr>
            <w:tcW w:w="2972" w:type="dxa"/>
            <w:vAlign w:val="center"/>
            <w:hideMark/>
          </w:tcPr>
          <w:p w14:paraId="67BEFFB6" w14:textId="77777777" w:rsidR="00B77BED" w:rsidRPr="001A076D" w:rsidRDefault="00B77BED" w:rsidP="00B77BED">
            <w:r w:rsidRPr="001A076D">
              <w:t>Descriptive Analysis</w:t>
            </w:r>
          </w:p>
        </w:tc>
        <w:tc>
          <w:tcPr>
            <w:tcW w:w="6470" w:type="dxa"/>
            <w:vAlign w:val="center"/>
            <w:hideMark/>
          </w:tcPr>
          <w:p w14:paraId="2564DF95" w14:textId="77777777" w:rsidR="00B77BED" w:rsidRPr="001A076D" w:rsidRDefault="00B77BED" w:rsidP="00B77BED">
            <w:r w:rsidRPr="001A076D">
              <w:t>Frequencies, means, standard deviations</w:t>
            </w:r>
          </w:p>
        </w:tc>
      </w:tr>
      <w:tr w:rsidR="00B77BED" w:rsidRPr="001A076D" w14:paraId="67296AAC" w14:textId="77777777" w:rsidTr="00A00B95">
        <w:tc>
          <w:tcPr>
            <w:tcW w:w="2972" w:type="dxa"/>
            <w:vAlign w:val="center"/>
            <w:hideMark/>
          </w:tcPr>
          <w:p w14:paraId="60BD8278" w14:textId="77777777" w:rsidR="00B77BED" w:rsidRPr="001A076D" w:rsidRDefault="00B77BED" w:rsidP="00B77BED">
            <w:r w:rsidRPr="001A076D">
              <w:t>Correlation Analysis</w:t>
            </w:r>
          </w:p>
        </w:tc>
        <w:tc>
          <w:tcPr>
            <w:tcW w:w="6470" w:type="dxa"/>
            <w:vAlign w:val="center"/>
            <w:hideMark/>
          </w:tcPr>
          <w:p w14:paraId="61431FD7" w14:textId="77777777" w:rsidR="00B77BED" w:rsidRPr="001A076D" w:rsidRDefault="00B77BED" w:rsidP="00B77BED">
            <w:r w:rsidRPr="001A076D">
              <w:t>Pearson correlation</w:t>
            </w:r>
          </w:p>
        </w:tc>
      </w:tr>
      <w:tr w:rsidR="00B77BED" w:rsidRPr="001A076D" w14:paraId="3C41CF21" w14:textId="77777777" w:rsidTr="00A00B95">
        <w:tc>
          <w:tcPr>
            <w:tcW w:w="2972" w:type="dxa"/>
            <w:vAlign w:val="center"/>
            <w:hideMark/>
          </w:tcPr>
          <w:p w14:paraId="3AEE3415" w14:textId="77777777" w:rsidR="00B77BED" w:rsidRPr="001A076D" w:rsidRDefault="00B77BED" w:rsidP="00B77BED">
            <w:r w:rsidRPr="001A076D">
              <w:t>Regression Analysis</w:t>
            </w:r>
          </w:p>
        </w:tc>
        <w:tc>
          <w:tcPr>
            <w:tcW w:w="6470" w:type="dxa"/>
            <w:vAlign w:val="center"/>
            <w:hideMark/>
          </w:tcPr>
          <w:p w14:paraId="5F50DD2C" w14:textId="77777777" w:rsidR="00B77BED" w:rsidRPr="001A076D" w:rsidRDefault="00B77BED" w:rsidP="00B77BED">
            <w:r w:rsidRPr="001A076D">
              <w:t>Multiple linear regression</w:t>
            </w:r>
          </w:p>
        </w:tc>
      </w:tr>
      <w:tr w:rsidR="00B77BED" w:rsidRPr="001A076D" w14:paraId="3B1CA0AC" w14:textId="77777777" w:rsidTr="00A00B95">
        <w:tc>
          <w:tcPr>
            <w:tcW w:w="2972" w:type="dxa"/>
            <w:vAlign w:val="center"/>
            <w:hideMark/>
          </w:tcPr>
          <w:p w14:paraId="43B3FF47" w14:textId="77777777" w:rsidR="00B77BED" w:rsidRPr="001A076D" w:rsidRDefault="00B77BED" w:rsidP="00B77BED">
            <w:r w:rsidRPr="001A076D">
              <w:t>Regression Model Fit</w:t>
            </w:r>
          </w:p>
        </w:tc>
        <w:tc>
          <w:tcPr>
            <w:tcW w:w="6470" w:type="dxa"/>
            <w:vAlign w:val="center"/>
            <w:hideMark/>
          </w:tcPr>
          <w:p w14:paraId="6B551BE9" w14:textId="77777777" w:rsidR="00B77BED" w:rsidRPr="001A076D" w:rsidRDefault="00B77BED" w:rsidP="00B77BED">
            <w:r w:rsidRPr="001A076D">
              <w:t>R² = 0.474</w:t>
            </w:r>
          </w:p>
        </w:tc>
      </w:tr>
      <w:tr w:rsidR="00B77BED" w:rsidRPr="001A076D" w14:paraId="62E68A99" w14:textId="77777777" w:rsidTr="00A00B95">
        <w:tc>
          <w:tcPr>
            <w:tcW w:w="2972" w:type="dxa"/>
            <w:vAlign w:val="center"/>
            <w:hideMark/>
          </w:tcPr>
          <w:p w14:paraId="544CB708" w14:textId="77777777" w:rsidR="00B77BED" w:rsidRPr="001A076D" w:rsidRDefault="00B77BED" w:rsidP="00B77BED">
            <w:r w:rsidRPr="001A076D">
              <w:t>Strongest Predictor</w:t>
            </w:r>
          </w:p>
        </w:tc>
        <w:tc>
          <w:tcPr>
            <w:tcW w:w="6470" w:type="dxa"/>
            <w:vAlign w:val="center"/>
            <w:hideMark/>
          </w:tcPr>
          <w:p w14:paraId="1E1691DD" w14:textId="77777777" w:rsidR="00B77BED" w:rsidRPr="001A076D" w:rsidRDefault="00B77BED" w:rsidP="00B77BED">
            <w:r w:rsidRPr="001A076D">
              <w:t>Trust &amp; Explainability (β = 0.311, p &lt; .05)</w:t>
            </w:r>
          </w:p>
        </w:tc>
      </w:tr>
      <w:tr w:rsidR="00B77BED" w:rsidRPr="001A076D" w14:paraId="7F888D71" w14:textId="77777777" w:rsidTr="00A00B95">
        <w:tc>
          <w:tcPr>
            <w:tcW w:w="2972" w:type="dxa"/>
            <w:vAlign w:val="center"/>
            <w:hideMark/>
          </w:tcPr>
          <w:p w14:paraId="415FFC14" w14:textId="77777777" w:rsidR="00B77BED" w:rsidRPr="001A076D" w:rsidRDefault="00B77BED" w:rsidP="00B77BED">
            <w:r w:rsidRPr="001A076D">
              <w:t>Key Quantitative Insight</w:t>
            </w:r>
          </w:p>
        </w:tc>
        <w:tc>
          <w:tcPr>
            <w:tcW w:w="6470" w:type="dxa"/>
            <w:vAlign w:val="center"/>
            <w:hideMark/>
          </w:tcPr>
          <w:p w14:paraId="1A5665B5" w14:textId="51408C2F" w:rsidR="00B77BED" w:rsidRPr="001A076D" w:rsidRDefault="00B77BED" w:rsidP="00B77BED">
            <w:r w:rsidRPr="001A076D">
              <w:t xml:space="preserve">Governance maturity and trust significantly influence </w:t>
            </w:r>
            <w:r w:rsidR="006D056D" w:rsidRPr="001A076D">
              <w:t xml:space="preserve">the </w:t>
            </w:r>
            <w:r w:rsidRPr="001A076D">
              <w:t>strategic embedding of predictive analytics</w:t>
            </w:r>
          </w:p>
        </w:tc>
      </w:tr>
    </w:tbl>
    <w:p w14:paraId="1B0DF835" w14:textId="77777777" w:rsidR="00B77BED" w:rsidRPr="001A076D" w:rsidRDefault="00B77BED" w:rsidP="000D79D7"/>
    <w:p w14:paraId="68CD4C01" w14:textId="2CBBDE13" w:rsidR="00B77BED" w:rsidRPr="001A076D" w:rsidRDefault="00B77BED" w:rsidP="000D79D7">
      <w:pPr>
        <w:rPr>
          <w:b/>
          <w:bCs/>
        </w:rPr>
      </w:pPr>
      <w:r w:rsidRPr="001A076D">
        <w:rPr>
          <w:b/>
          <w:bCs/>
        </w:rPr>
        <w:t>Table A3.5 – Reliability Summary of Survey Constructs</w:t>
      </w:r>
    </w:p>
    <w:p w14:paraId="2955B206" w14:textId="77777777" w:rsidR="00B77BED" w:rsidRPr="001A076D" w:rsidRDefault="00B77BED" w:rsidP="000D79D7">
      <w:pPr>
        <w:rPr>
          <w:b/>
          <w:bCs/>
        </w:rPr>
      </w:pPr>
    </w:p>
    <w:tbl>
      <w:tblPr>
        <w:tblStyle w:val="TableGrid"/>
        <w:tblW w:w="0" w:type="auto"/>
        <w:tblLook w:val="04A0" w:firstRow="1" w:lastRow="0" w:firstColumn="1" w:lastColumn="0" w:noHBand="0" w:noVBand="1"/>
      </w:tblPr>
      <w:tblGrid>
        <w:gridCol w:w="3290"/>
        <w:gridCol w:w="1724"/>
        <w:gridCol w:w="1920"/>
        <w:gridCol w:w="2508"/>
      </w:tblGrid>
      <w:tr w:rsidR="00B77BED" w:rsidRPr="001A076D" w14:paraId="79684D35" w14:textId="77777777" w:rsidTr="00B77BED">
        <w:tc>
          <w:tcPr>
            <w:tcW w:w="0" w:type="auto"/>
            <w:vAlign w:val="center"/>
            <w:hideMark/>
          </w:tcPr>
          <w:p w14:paraId="3F11E2F7" w14:textId="77777777" w:rsidR="00B77BED" w:rsidRPr="001A076D" w:rsidRDefault="00B77BED" w:rsidP="00B77BED">
            <w:pPr>
              <w:jc w:val="center"/>
              <w:rPr>
                <w:b/>
                <w:bCs/>
              </w:rPr>
            </w:pPr>
            <w:r w:rsidRPr="001A076D">
              <w:rPr>
                <w:b/>
                <w:bCs/>
              </w:rPr>
              <w:t>Construct</w:t>
            </w:r>
          </w:p>
        </w:tc>
        <w:tc>
          <w:tcPr>
            <w:tcW w:w="0" w:type="auto"/>
            <w:vAlign w:val="center"/>
            <w:hideMark/>
          </w:tcPr>
          <w:p w14:paraId="2C3CFBEB" w14:textId="77777777" w:rsidR="00B77BED" w:rsidRPr="001A076D" w:rsidRDefault="00B77BED" w:rsidP="00B77BED">
            <w:pPr>
              <w:jc w:val="center"/>
              <w:rPr>
                <w:b/>
                <w:bCs/>
              </w:rPr>
            </w:pPr>
            <w:r w:rsidRPr="001A076D">
              <w:rPr>
                <w:b/>
                <w:bCs/>
              </w:rPr>
              <w:t>Number of Items</w:t>
            </w:r>
          </w:p>
        </w:tc>
        <w:tc>
          <w:tcPr>
            <w:tcW w:w="0" w:type="auto"/>
            <w:vAlign w:val="center"/>
            <w:hideMark/>
          </w:tcPr>
          <w:p w14:paraId="3A992636" w14:textId="77777777" w:rsidR="00B77BED" w:rsidRPr="001A076D" w:rsidRDefault="00B77BED" w:rsidP="00B77BED">
            <w:pPr>
              <w:jc w:val="center"/>
              <w:rPr>
                <w:b/>
                <w:bCs/>
              </w:rPr>
            </w:pPr>
            <w:r w:rsidRPr="001A076D">
              <w:rPr>
                <w:b/>
                <w:bCs/>
              </w:rPr>
              <w:t>Cronbach’s Alpha</w:t>
            </w:r>
          </w:p>
        </w:tc>
        <w:tc>
          <w:tcPr>
            <w:tcW w:w="0" w:type="auto"/>
            <w:vAlign w:val="center"/>
            <w:hideMark/>
          </w:tcPr>
          <w:p w14:paraId="205BB62B" w14:textId="77777777" w:rsidR="00B77BED" w:rsidRPr="001A076D" w:rsidRDefault="00B77BED" w:rsidP="00B77BED">
            <w:pPr>
              <w:jc w:val="center"/>
              <w:rPr>
                <w:b/>
                <w:bCs/>
              </w:rPr>
            </w:pPr>
            <w:r w:rsidRPr="001A076D">
              <w:rPr>
                <w:b/>
                <w:bCs/>
              </w:rPr>
              <w:t>Reliability Interpretation</w:t>
            </w:r>
          </w:p>
        </w:tc>
      </w:tr>
      <w:tr w:rsidR="00B77BED" w:rsidRPr="001A076D" w14:paraId="796007B8" w14:textId="77777777" w:rsidTr="00B77BED">
        <w:tc>
          <w:tcPr>
            <w:tcW w:w="0" w:type="auto"/>
            <w:vAlign w:val="center"/>
            <w:hideMark/>
          </w:tcPr>
          <w:p w14:paraId="3166F64C" w14:textId="77777777" w:rsidR="00B77BED" w:rsidRPr="001A076D" w:rsidRDefault="00B77BED" w:rsidP="00B77BED">
            <w:r w:rsidRPr="001A076D">
              <w:t>Predictive Analytics Capability (PAC)</w:t>
            </w:r>
          </w:p>
        </w:tc>
        <w:tc>
          <w:tcPr>
            <w:tcW w:w="0" w:type="auto"/>
            <w:vAlign w:val="center"/>
            <w:hideMark/>
          </w:tcPr>
          <w:p w14:paraId="560387D1" w14:textId="77777777" w:rsidR="00B77BED" w:rsidRPr="001A076D" w:rsidRDefault="00B77BED" w:rsidP="003847E8">
            <w:pPr>
              <w:jc w:val="center"/>
            </w:pPr>
            <w:r w:rsidRPr="001A076D">
              <w:t>6</w:t>
            </w:r>
          </w:p>
        </w:tc>
        <w:tc>
          <w:tcPr>
            <w:tcW w:w="0" w:type="auto"/>
            <w:vAlign w:val="center"/>
            <w:hideMark/>
          </w:tcPr>
          <w:p w14:paraId="607E3E55" w14:textId="77777777" w:rsidR="00B77BED" w:rsidRPr="001A076D" w:rsidRDefault="00B77BED" w:rsidP="003847E8">
            <w:pPr>
              <w:jc w:val="center"/>
            </w:pPr>
            <w:r w:rsidRPr="001A076D">
              <w:t>0.822</w:t>
            </w:r>
          </w:p>
        </w:tc>
        <w:tc>
          <w:tcPr>
            <w:tcW w:w="0" w:type="auto"/>
            <w:vAlign w:val="center"/>
            <w:hideMark/>
          </w:tcPr>
          <w:p w14:paraId="662A21D0" w14:textId="77777777" w:rsidR="00B77BED" w:rsidRPr="001A076D" w:rsidRDefault="00B77BED" w:rsidP="003847E8">
            <w:pPr>
              <w:jc w:val="center"/>
            </w:pPr>
            <w:r w:rsidRPr="001A076D">
              <w:t>Good</w:t>
            </w:r>
          </w:p>
        </w:tc>
      </w:tr>
      <w:tr w:rsidR="00B77BED" w:rsidRPr="001A076D" w14:paraId="0BF31AD0" w14:textId="77777777" w:rsidTr="00B77BED">
        <w:tc>
          <w:tcPr>
            <w:tcW w:w="0" w:type="auto"/>
            <w:vAlign w:val="center"/>
            <w:hideMark/>
          </w:tcPr>
          <w:p w14:paraId="741511E8" w14:textId="77777777" w:rsidR="00B77BED" w:rsidRPr="001A076D" w:rsidRDefault="00B77BED" w:rsidP="00B77BED">
            <w:r w:rsidRPr="001A076D">
              <w:lastRenderedPageBreak/>
              <w:t>Governance Maturity (GM)</w:t>
            </w:r>
          </w:p>
        </w:tc>
        <w:tc>
          <w:tcPr>
            <w:tcW w:w="0" w:type="auto"/>
            <w:vAlign w:val="center"/>
            <w:hideMark/>
          </w:tcPr>
          <w:p w14:paraId="675CD90E" w14:textId="77777777" w:rsidR="00B77BED" w:rsidRPr="001A076D" w:rsidRDefault="00B77BED" w:rsidP="003847E8">
            <w:pPr>
              <w:jc w:val="center"/>
            </w:pPr>
            <w:r w:rsidRPr="001A076D">
              <w:t>5</w:t>
            </w:r>
          </w:p>
        </w:tc>
        <w:tc>
          <w:tcPr>
            <w:tcW w:w="0" w:type="auto"/>
            <w:vAlign w:val="center"/>
            <w:hideMark/>
          </w:tcPr>
          <w:p w14:paraId="6FFFDDF4" w14:textId="77777777" w:rsidR="00B77BED" w:rsidRPr="001A076D" w:rsidRDefault="00B77BED" w:rsidP="003847E8">
            <w:pPr>
              <w:jc w:val="center"/>
            </w:pPr>
            <w:r w:rsidRPr="001A076D">
              <w:t>0.832</w:t>
            </w:r>
          </w:p>
        </w:tc>
        <w:tc>
          <w:tcPr>
            <w:tcW w:w="0" w:type="auto"/>
            <w:vAlign w:val="center"/>
            <w:hideMark/>
          </w:tcPr>
          <w:p w14:paraId="45F2BABF" w14:textId="77777777" w:rsidR="00B77BED" w:rsidRPr="001A076D" w:rsidRDefault="00B77BED" w:rsidP="003847E8">
            <w:pPr>
              <w:jc w:val="center"/>
            </w:pPr>
            <w:r w:rsidRPr="001A076D">
              <w:t>Good</w:t>
            </w:r>
          </w:p>
        </w:tc>
      </w:tr>
      <w:tr w:rsidR="00B77BED" w:rsidRPr="001A076D" w14:paraId="181E4E3E" w14:textId="77777777" w:rsidTr="00B77BED">
        <w:tc>
          <w:tcPr>
            <w:tcW w:w="0" w:type="auto"/>
            <w:vAlign w:val="center"/>
            <w:hideMark/>
          </w:tcPr>
          <w:p w14:paraId="085866D9" w14:textId="77777777" w:rsidR="00B77BED" w:rsidRPr="001A076D" w:rsidRDefault="00B77BED" w:rsidP="00B77BED">
            <w:r w:rsidRPr="001A076D">
              <w:t>Trust &amp; Explainability (TE)</w:t>
            </w:r>
          </w:p>
        </w:tc>
        <w:tc>
          <w:tcPr>
            <w:tcW w:w="0" w:type="auto"/>
            <w:vAlign w:val="center"/>
            <w:hideMark/>
          </w:tcPr>
          <w:p w14:paraId="426E38AC" w14:textId="77777777" w:rsidR="00B77BED" w:rsidRPr="001A076D" w:rsidRDefault="00B77BED" w:rsidP="003847E8">
            <w:pPr>
              <w:jc w:val="center"/>
            </w:pPr>
            <w:r w:rsidRPr="001A076D">
              <w:t>5</w:t>
            </w:r>
          </w:p>
        </w:tc>
        <w:tc>
          <w:tcPr>
            <w:tcW w:w="0" w:type="auto"/>
            <w:vAlign w:val="center"/>
            <w:hideMark/>
          </w:tcPr>
          <w:p w14:paraId="1980EDE9" w14:textId="77777777" w:rsidR="00B77BED" w:rsidRPr="001A076D" w:rsidRDefault="00B77BED" w:rsidP="003847E8">
            <w:pPr>
              <w:jc w:val="center"/>
            </w:pPr>
            <w:r w:rsidRPr="001A076D">
              <w:t>0.844</w:t>
            </w:r>
          </w:p>
        </w:tc>
        <w:tc>
          <w:tcPr>
            <w:tcW w:w="0" w:type="auto"/>
            <w:vAlign w:val="center"/>
            <w:hideMark/>
          </w:tcPr>
          <w:p w14:paraId="0233CBCE" w14:textId="77777777" w:rsidR="00B77BED" w:rsidRPr="001A076D" w:rsidRDefault="00B77BED" w:rsidP="003847E8">
            <w:pPr>
              <w:jc w:val="center"/>
            </w:pPr>
            <w:r w:rsidRPr="001A076D">
              <w:t>Good</w:t>
            </w:r>
          </w:p>
        </w:tc>
      </w:tr>
      <w:tr w:rsidR="00B77BED" w:rsidRPr="001A076D" w14:paraId="65A77326" w14:textId="77777777" w:rsidTr="00B77BED">
        <w:tc>
          <w:tcPr>
            <w:tcW w:w="0" w:type="auto"/>
            <w:vAlign w:val="center"/>
            <w:hideMark/>
          </w:tcPr>
          <w:p w14:paraId="5DAC610A" w14:textId="77777777" w:rsidR="00B77BED" w:rsidRPr="001A076D" w:rsidRDefault="00B77BED" w:rsidP="00B77BED">
            <w:r w:rsidRPr="001A076D">
              <w:t>Strategic Embedding (SE)</w:t>
            </w:r>
          </w:p>
        </w:tc>
        <w:tc>
          <w:tcPr>
            <w:tcW w:w="0" w:type="auto"/>
            <w:vAlign w:val="center"/>
            <w:hideMark/>
          </w:tcPr>
          <w:p w14:paraId="3913962C" w14:textId="77777777" w:rsidR="00B77BED" w:rsidRPr="001A076D" w:rsidRDefault="00B77BED" w:rsidP="003847E8">
            <w:pPr>
              <w:jc w:val="center"/>
            </w:pPr>
            <w:r w:rsidRPr="001A076D">
              <w:t>4</w:t>
            </w:r>
          </w:p>
        </w:tc>
        <w:tc>
          <w:tcPr>
            <w:tcW w:w="0" w:type="auto"/>
            <w:vAlign w:val="center"/>
            <w:hideMark/>
          </w:tcPr>
          <w:p w14:paraId="3F74F226" w14:textId="77777777" w:rsidR="00B77BED" w:rsidRPr="001A076D" w:rsidRDefault="00B77BED" w:rsidP="003847E8">
            <w:pPr>
              <w:jc w:val="center"/>
            </w:pPr>
            <w:r w:rsidRPr="001A076D">
              <w:t>0.713</w:t>
            </w:r>
          </w:p>
        </w:tc>
        <w:tc>
          <w:tcPr>
            <w:tcW w:w="0" w:type="auto"/>
            <w:vAlign w:val="center"/>
            <w:hideMark/>
          </w:tcPr>
          <w:p w14:paraId="047A5F52" w14:textId="77777777" w:rsidR="00B77BED" w:rsidRPr="001A076D" w:rsidRDefault="00B77BED" w:rsidP="003847E8">
            <w:pPr>
              <w:jc w:val="center"/>
            </w:pPr>
            <w:r w:rsidRPr="001A076D">
              <w:t>Acceptable</w:t>
            </w:r>
          </w:p>
        </w:tc>
      </w:tr>
      <w:tr w:rsidR="00B77BED" w:rsidRPr="001A076D" w14:paraId="6FF2C733" w14:textId="77777777" w:rsidTr="00B77BED">
        <w:tc>
          <w:tcPr>
            <w:tcW w:w="0" w:type="auto"/>
            <w:vAlign w:val="center"/>
            <w:hideMark/>
          </w:tcPr>
          <w:p w14:paraId="63F97901" w14:textId="77777777" w:rsidR="00B77BED" w:rsidRPr="001A076D" w:rsidRDefault="00B77BED" w:rsidP="00B77BED">
            <w:r w:rsidRPr="001A076D">
              <w:t>Overall Instrument Reliability</w:t>
            </w:r>
          </w:p>
        </w:tc>
        <w:tc>
          <w:tcPr>
            <w:tcW w:w="0" w:type="auto"/>
            <w:vAlign w:val="center"/>
            <w:hideMark/>
          </w:tcPr>
          <w:p w14:paraId="74A41365" w14:textId="77777777" w:rsidR="00B77BED" w:rsidRPr="001A076D" w:rsidRDefault="00B77BED" w:rsidP="003847E8">
            <w:pPr>
              <w:jc w:val="center"/>
            </w:pPr>
            <w:r w:rsidRPr="001A076D">
              <w:t>20</w:t>
            </w:r>
          </w:p>
        </w:tc>
        <w:tc>
          <w:tcPr>
            <w:tcW w:w="0" w:type="auto"/>
            <w:vAlign w:val="center"/>
            <w:hideMark/>
          </w:tcPr>
          <w:p w14:paraId="55890971" w14:textId="77777777" w:rsidR="00B77BED" w:rsidRPr="001A076D" w:rsidRDefault="00B77BED" w:rsidP="003847E8">
            <w:pPr>
              <w:jc w:val="center"/>
            </w:pPr>
            <w:r w:rsidRPr="001A076D">
              <w:t>0.839*</w:t>
            </w:r>
          </w:p>
        </w:tc>
        <w:tc>
          <w:tcPr>
            <w:tcW w:w="0" w:type="auto"/>
            <w:vAlign w:val="center"/>
            <w:hideMark/>
          </w:tcPr>
          <w:p w14:paraId="053C28B8" w14:textId="77777777" w:rsidR="00B77BED" w:rsidRPr="001A076D" w:rsidRDefault="00B77BED" w:rsidP="003847E8">
            <w:pPr>
              <w:jc w:val="center"/>
            </w:pPr>
            <w:r w:rsidRPr="001A076D">
              <w:t>Good Overall Reliability</w:t>
            </w:r>
          </w:p>
        </w:tc>
      </w:tr>
    </w:tbl>
    <w:p w14:paraId="38D880E3" w14:textId="77777777" w:rsidR="00B77BED" w:rsidRPr="001A076D" w:rsidRDefault="00B77BED" w:rsidP="000D79D7">
      <w:pPr>
        <w:rPr>
          <w:b/>
          <w:bCs/>
        </w:rPr>
      </w:pPr>
    </w:p>
    <w:p w14:paraId="5016C829" w14:textId="77777777" w:rsidR="00B77BED" w:rsidRPr="001A076D" w:rsidRDefault="00B77BED" w:rsidP="000D79D7"/>
    <w:p w14:paraId="67D68F3B" w14:textId="47A0FA96" w:rsidR="000D79D7" w:rsidRPr="001A076D" w:rsidRDefault="000D79D7" w:rsidP="000D79D7">
      <w:pPr>
        <w:rPr>
          <w:b/>
          <w:bCs/>
        </w:rPr>
      </w:pPr>
      <w:r w:rsidRPr="001A076D">
        <w:rPr>
          <w:b/>
          <w:bCs/>
        </w:rPr>
        <w:t>Interpretation of the Results</w:t>
      </w:r>
    </w:p>
    <w:p w14:paraId="2D41B6EE" w14:textId="7EFCDDF9" w:rsidR="000D79D7" w:rsidRPr="001A076D" w:rsidRDefault="000D79D7" w:rsidP="008B1E0C">
      <w:pPr>
        <w:pStyle w:val="NormalWeb"/>
        <w:jc w:val="both"/>
      </w:pPr>
      <w:r w:rsidRPr="001A076D">
        <w:t xml:space="preserve">The overall distribution of responses indicates a </w:t>
      </w:r>
      <w:r w:rsidRPr="001A076D">
        <w:rPr>
          <w:rStyle w:val="Strong"/>
          <w:rFonts w:eastAsiaTheme="majorEastAsia"/>
          <w:b w:val="0"/>
          <w:bCs w:val="0"/>
        </w:rPr>
        <w:t xml:space="preserve">generally positive perception of </w:t>
      </w:r>
      <w:r w:rsidR="00C95567" w:rsidRPr="001A076D">
        <w:rPr>
          <w:rStyle w:val="Strong"/>
          <w:rFonts w:eastAsiaTheme="majorEastAsia"/>
          <w:b w:val="0"/>
          <w:bCs w:val="0"/>
        </w:rPr>
        <w:t xml:space="preserve">the adoption of predictive analytics </w:t>
      </w:r>
      <w:r w:rsidRPr="001A076D">
        <w:rPr>
          <w:rStyle w:val="Strong"/>
          <w:rFonts w:eastAsiaTheme="majorEastAsia"/>
          <w:b w:val="0"/>
          <w:bCs w:val="0"/>
        </w:rPr>
        <w:t>and data governance practices within SSE PLC</w:t>
      </w:r>
      <w:r w:rsidRPr="001A076D">
        <w:t xml:space="preserve">. A significant proportion of respondents selected </w:t>
      </w:r>
      <w:r w:rsidRPr="001A076D">
        <w:rPr>
          <w:rStyle w:val="Strong"/>
          <w:rFonts w:eastAsiaTheme="majorEastAsia"/>
          <w:b w:val="0"/>
          <w:bCs w:val="0"/>
        </w:rPr>
        <w:t>“Agree” or “Strongly Agree,” representing approximately 68.5% of responses</w:t>
      </w:r>
      <w:r w:rsidRPr="001A076D">
        <w:t>, suggesting that stakeholders broadly recognise the growing importance of predictive analytics and structured governance practices in supporting organisational decision-making.</w:t>
      </w:r>
    </w:p>
    <w:p w14:paraId="4D13A2E6" w14:textId="77777777" w:rsidR="000D79D7" w:rsidRPr="001A076D" w:rsidRDefault="000D79D7" w:rsidP="008B1E0C">
      <w:pPr>
        <w:pStyle w:val="NormalWeb"/>
        <w:jc w:val="both"/>
      </w:pPr>
      <w:r w:rsidRPr="001A076D">
        <w:t xml:space="preserve">Neutral responses accounted for 21.8%, indicating that while many respondents acknowledge progress, there may still be </w:t>
      </w:r>
      <w:r w:rsidRPr="001A076D">
        <w:rPr>
          <w:rStyle w:val="Strong"/>
          <w:rFonts w:eastAsiaTheme="majorEastAsia"/>
          <w:b w:val="0"/>
          <w:bCs w:val="0"/>
        </w:rPr>
        <w:t>variability in awareness or implementation across business units</w:t>
      </w:r>
      <w:r w:rsidRPr="001A076D">
        <w:rPr>
          <w:b/>
          <w:bCs/>
        </w:rPr>
        <w:t>.</w:t>
      </w:r>
      <w:r w:rsidRPr="001A076D">
        <w:t xml:space="preserve"> Negative responses were relatively limited, suggesting that most respondents view current initiatives positively.</w:t>
      </w:r>
    </w:p>
    <w:p w14:paraId="055D349D" w14:textId="3EB7D43A" w:rsidR="000D79D7" w:rsidRPr="001A076D" w:rsidRDefault="000D79D7" w:rsidP="008B1E0C">
      <w:pPr>
        <w:pStyle w:val="NormalWeb"/>
        <w:jc w:val="both"/>
      </w:pPr>
      <w:r w:rsidRPr="001A076D">
        <w:t xml:space="preserve">These results provide an initial quantitative indication that </w:t>
      </w:r>
      <w:r w:rsidRPr="001A076D">
        <w:rPr>
          <w:rStyle w:val="Strong"/>
          <w:rFonts w:eastAsiaTheme="majorEastAsia"/>
          <w:b w:val="0"/>
          <w:bCs w:val="0"/>
        </w:rPr>
        <w:t xml:space="preserve">SSE PLC demonstrates a </w:t>
      </w:r>
      <w:r w:rsidR="005977AD" w:rsidRPr="001A076D">
        <w:rPr>
          <w:rStyle w:val="Strong"/>
          <w:rFonts w:eastAsiaTheme="majorEastAsia"/>
          <w:b w:val="0"/>
          <w:bCs w:val="0"/>
        </w:rPr>
        <w:t>moderate to strong</w:t>
      </w:r>
      <w:r w:rsidR="00DB1E5E" w:rsidRPr="001A076D">
        <w:rPr>
          <w:rStyle w:val="Strong"/>
          <w:rFonts w:eastAsiaTheme="majorEastAsia"/>
          <w:b w:val="0"/>
          <w:bCs w:val="0"/>
        </w:rPr>
        <w:t xml:space="preserve"> level of organisational</w:t>
      </w:r>
      <w:r w:rsidR="00C95567" w:rsidRPr="001A076D">
        <w:rPr>
          <w:rStyle w:val="Strong"/>
          <w:rFonts w:eastAsiaTheme="majorEastAsia"/>
          <w:b w:val="0"/>
          <w:bCs w:val="0"/>
        </w:rPr>
        <w:t xml:space="preserve"> readiness </w:t>
      </w:r>
      <w:r w:rsidR="006D056D" w:rsidRPr="001A076D">
        <w:rPr>
          <w:rStyle w:val="Strong"/>
          <w:rFonts w:eastAsiaTheme="majorEastAsia"/>
          <w:b w:val="0"/>
          <w:bCs w:val="0"/>
        </w:rPr>
        <w:t>to adopt</w:t>
      </w:r>
      <w:r w:rsidR="00C95567" w:rsidRPr="001A076D">
        <w:rPr>
          <w:rStyle w:val="Strong"/>
          <w:rFonts w:eastAsiaTheme="majorEastAsia"/>
          <w:b w:val="0"/>
          <w:bCs w:val="0"/>
        </w:rPr>
        <w:t xml:space="preserve"> predictive analytics</w:t>
      </w:r>
      <w:r w:rsidRPr="001A076D">
        <w:rPr>
          <w:b/>
          <w:bCs/>
        </w:rPr>
        <w:t>,</w:t>
      </w:r>
      <w:r w:rsidRPr="001A076D">
        <w:t xml:space="preserve"> although further qualitative insights are required to fully understand governance challenges, cultural barriers, and operational constraints.</w:t>
      </w:r>
    </w:p>
    <w:p w14:paraId="2A3510BA" w14:textId="7AF2FB1B" w:rsidR="000D79D7" w:rsidRPr="001A076D" w:rsidRDefault="000D79D7" w:rsidP="000D79D7">
      <w:r w:rsidRPr="001A076D">
        <w:rPr>
          <w:b/>
          <w:bCs/>
        </w:rPr>
        <w:t>Link to Detailed Statistical Analysis</w:t>
      </w:r>
    </w:p>
    <w:p w14:paraId="4441D98B" w14:textId="145B4FE6" w:rsidR="000D79D7" w:rsidRPr="001A076D" w:rsidRDefault="00DB1E5E" w:rsidP="008B1E0C">
      <w:pPr>
        <w:pStyle w:val="NormalWeb"/>
        <w:jc w:val="both"/>
      </w:pPr>
      <w:r w:rsidRPr="001A076D">
        <w:t>Appendix 5 – SPSS Quantitative Analysis Output provides the detailed statistical outputs used to analyse the survey results.</w:t>
      </w:r>
      <w:r w:rsidR="001D287B" w:rsidRPr="001A076D">
        <w:t xml:space="preserve"> </w:t>
      </w:r>
      <w:r w:rsidR="000D79D7" w:rsidRPr="001A076D">
        <w:rPr>
          <w:rStyle w:val="Strong"/>
          <w:rFonts w:eastAsiaTheme="majorEastAsia"/>
          <w:b w:val="0"/>
          <w:bCs w:val="0"/>
        </w:rPr>
        <w:t>Appendix 5 – SPSS Quantitative Analysis Output</w:t>
      </w:r>
    </w:p>
    <w:p w14:paraId="2D437301" w14:textId="77777777" w:rsidR="000D79D7" w:rsidRPr="001A076D" w:rsidRDefault="000D79D7" w:rsidP="008B1E0C">
      <w:pPr>
        <w:pStyle w:val="NormalWeb"/>
        <w:jc w:val="both"/>
      </w:pPr>
      <w:r w:rsidRPr="001A076D">
        <w:t>This appendix includes:</w:t>
      </w:r>
    </w:p>
    <w:p w14:paraId="0F9FA81C" w14:textId="77777777" w:rsidR="000D79D7" w:rsidRPr="001A076D" w:rsidRDefault="000D79D7" w:rsidP="008B1E0C">
      <w:pPr>
        <w:pStyle w:val="NormalWeb"/>
        <w:numPr>
          <w:ilvl w:val="0"/>
          <w:numId w:val="11"/>
        </w:numPr>
        <w:jc w:val="both"/>
      </w:pPr>
      <w:r w:rsidRPr="001A076D">
        <w:t>Descriptive statistics</w:t>
      </w:r>
    </w:p>
    <w:p w14:paraId="7B00FD3B" w14:textId="77777777" w:rsidR="000D79D7" w:rsidRPr="001A076D" w:rsidRDefault="000D79D7" w:rsidP="008B1E0C">
      <w:pPr>
        <w:pStyle w:val="NormalWeb"/>
        <w:numPr>
          <w:ilvl w:val="0"/>
          <w:numId w:val="11"/>
        </w:numPr>
        <w:jc w:val="both"/>
      </w:pPr>
      <w:r w:rsidRPr="001A076D">
        <w:t>Regression analysis results</w:t>
      </w:r>
    </w:p>
    <w:p w14:paraId="6FFFB013" w14:textId="77777777" w:rsidR="000D79D7" w:rsidRPr="001A076D" w:rsidRDefault="000D79D7" w:rsidP="008B1E0C">
      <w:pPr>
        <w:pStyle w:val="NormalWeb"/>
        <w:numPr>
          <w:ilvl w:val="0"/>
          <w:numId w:val="11"/>
        </w:numPr>
        <w:jc w:val="both"/>
      </w:pPr>
      <w:r w:rsidRPr="001A076D">
        <w:t>Residual diagnostics and normality tests</w:t>
      </w:r>
    </w:p>
    <w:p w14:paraId="3F12BB78" w14:textId="77777777" w:rsidR="000D79D7" w:rsidRPr="001A076D" w:rsidRDefault="000D79D7" w:rsidP="008B1E0C">
      <w:pPr>
        <w:pStyle w:val="NormalWeb"/>
        <w:numPr>
          <w:ilvl w:val="0"/>
          <w:numId w:val="11"/>
        </w:numPr>
        <w:jc w:val="both"/>
      </w:pPr>
      <w:r w:rsidRPr="001A076D">
        <w:t>Model validation outputs</w:t>
      </w:r>
    </w:p>
    <w:p w14:paraId="4E623AD1" w14:textId="5A7EBA9D" w:rsidR="00490568" w:rsidRPr="001A076D" w:rsidRDefault="000D79D7" w:rsidP="008B1E0C">
      <w:pPr>
        <w:pStyle w:val="NormalWeb"/>
        <w:jc w:val="both"/>
      </w:pPr>
      <w:r w:rsidRPr="001A076D">
        <w:t>These statistical analyses support the interpretation presented in Chapter 4: Quantitative Results Analysis.</w:t>
      </w:r>
    </w:p>
    <w:p w14:paraId="2B6C0757" w14:textId="4F22067C" w:rsidR="0083387C" w:rsidRPr="001A076D" w:rsidRDefault="0083387C" w:rsidP="00577272">
      <w:pPr>
        <w:pStyle w:val="Heading2"/>
        <w:rPr>
          <w:rFonts w:ascii="Times New Roman" w:hAnsi="Times New Roman" w:cs="Times New Roman"/>
          <w:b/>
          <w:bCs/>
          <w:color w:val="auto"/>
        </w:rPr>
      </w:pPr>
      <w:bookmarkStart w:id="116" w:name="_Toc236033406"/>
      <w:r w:rsidRPr="001A076D">
        <w:rPr>
          <w:rFonts w:ascii="Times New Roman" w:hAnsi="Times New Roman" w:cs="Times New Roman"/>
          <w:b/>
          <w:bCs/>
          <w:color w:val="auto"/>
        </w:rPr>
        <w:t xml:space="preserve">Appendix </w:t>
      </w:r>
      <w:r w:rsidR="00F7035F" w:rsidRPr="001A076D">
        <w:rPr>
          <w:rFonts w:ascii="Times New Roman" w:hAnsi="Times New Roman" w:cs="Times New Roman"/>
          <w:b/>
          <w:bCs/>
          <w:color w:val="auto"/>
        </w:rPr>
        <w:t>4</w:t>
      </w:r>
      <w:r w:rsidRPr="001A076D">
        <w:rPr>
          <w:rFonts w:ascii="Times New Roman" w:hAnsi="Times New Roman" w:cs="Times New Roman"/>
          <w:b/>
          <w:bCs/>
          <w:color w:val="auto"/>
        </w:rPr>
        <w:t xml:space="preserve">. </w:t>
      </w:r>
      <w:r w:rsidR="007F3767" w:rsidRPr="001A076D">
        <w:rPr>
          <w:rFonts w:ascii="Times New Roman" w:hAnsi="Times New Roman" w:cs="Times New Roman"/>
          <w:b/>
          <w:bCs/>
          <w:color w:val="auto"/>
        </w:rPr>
        <w:t>Qualitative Interview Materials and Transcript Extracts</w:t>
      </w:r>
      <w:bookmarkEnd w:id="116"/>
    </w:p>
    <w:p w14:paraId="7FDEEE1D" w14:textId="56FB7101" w:rsidR="00901724" w:rsidRPr="001A076D" w:rsidRDefault="00901724" w:rsidP="008B1E0C">
      <w:pPr>
        <w:jc w:val="both"/>
      </w:pPr>
      <w:r>
        <w:t>This appendix presents the qualitative data collection materials used in the study. It includes the semi-structured interview guide, an overview of the interview design and thematic structure, confidentiality arrangements, and anonymised interview transcript extracts from participants across strategy, governance, data, analytics, architecture, marketing, and commercial functions within SSE plc. These materials provide an audit trail supporting the thematic analysis presented in Chapter 4 and demonstrate the credibility and trustworthiness of the qualitative findings.</w:t>
      </w:r>
    </w:p>
    <w:p w14:paraId="355DBA73" w14:textId="77777777" w:rsidR="005A2164" w:rsidRPr="001A076D" w:rsidRDefault="005A2164" w:rsidP="008B1E0C">
      <w:pPr>
        <w:jc w:val="both"/>
      </w:pPr>
    </w:p>
    <w:p w14:paraId="0558ECFA" w14:textId="77777777" w:rsidR="005A2164" w:rsidRPr="001A076D" w:rsidRDefault="005A2164" w:rsidP="008B1E0C">
      <w:pPr>
        <w:jc w:val="both"/>
      </w:pPr>
      <w:r w:rsidRPr="001A076D">
        <w:rPr>
          <w:rStyle w:val="Strong"/>
          <w:rFonts w:eastAsiaTheme="majorEastAsia"/>
        </w:rPr>
        <w:t>4.1 Introduction</w:t>
      </w:r>
    </w:p>
    <w:p w14:paraId="7C85EA17" w14:textId="5C3506EF" w:rsidR="00901724" w:rsidRPr="001A076D" w:rsidRDefault="00901724" w:rsidP="008B1E0C">
      <w:pPr>
        <w:pStyle w:val="NormalWeb"/>
        <w:jc w:val="both"/>
      </w:pPr>
      <w:r>
        <w:lastRenderedPageBreak/>
        <w:t>This appendix provides the qualitative evidence underpinning the study. Semi-structured interviews were conducted with senior professionals from SSE plc to explore perspectives on predictive analytics capability, governance maturity, organisational readiness, executive trust, and strategic decision-making. The qualitative findings complement the quantitative survey results by providing deeper contextual insights into the organisational, technical, and governance factors influencing the strategic use of predictive analytics.</w:t>
      </w:r>
    </w:p>
    <w:p w14:paraId="657B76AD" w14:textId="77777777" w:rsidR="005A2164" w:rsidRPr="001A076D" w:rsidRDefault="005A2164" w:rsidP="005A2164">
      <w:r w:rsidRPr="001A076D">
        <w:rPr>
          <w:rStyle w:val="Strong"/>
          <w:rFonts w:eastAsiaTheme="majorEastAsia"/>
        </w:rPr>
        <w:t>4.2 Purpose of the Interviews</w:t>
      </w:r>
    </w:p>
    <w:p w14:paraId="1B8579F1" w14:textId="77777777" w:rsidR="00901724" w:rsidRDefault="00901724" w:rsidP="00901724">
      <w:pPr>
        <w:pStyle w:val="pdq2pgselectionanchorcontainer"/>
      </w:pPr>
      <w:r>
        <w:t>The interviews were designed to address the research questions and objectives by exploring participants' experiences and perspectives relating to:</w:t>
      </w:r>
    </w:p>
    <w:p w14:paraId="6AA3D04A" w14:textId="77777777" w:rsidR="00901724" w:rsidRDefault="00901724" w:rsidP="00901724">
      <w:pPr>
        <w:numPr>
          <w:ilvl w:val="0"/>
          <w:numId w:val="47"/>
        </w:numPr>
        <w:spacing w:before="100" w:beforeAutospacing="1" w:after="100" w:afterAutospacing="1"/>
      </w:pPr>
      <w:r>
        <w:t xml:space="preserve">Predictive analytics capability and organisational readiness </w:t>
      </w:r>
    </w:p>
    <w:p w14:paraId="297A9A80" w14:textId="77777777" w:rsidR="00901724" w:rsidRDefault="00901724" w:rsidP="00901724">
      <w:pPr>
        <w:numPr>
          <w:ilvl w:val="0"/>
          <w:numId w:val="47"/>
        </w:numPr>
        <w:spacing w:before="100" w:beforeAutospacing="1" w:after="100" w:afterAutospacing="1"/>
      </w:pPr>
      <w:r>
        <w:t xml:space="preserve">Data governance maturity and accountability </w:t>
      </w:r>
    </w:p>
    <w:p w14:paraId="5F85DE64" w14:textId="77777777" w:rsidR="00901724" w:rsidRDefault="00901724" w:rsidP="00901724">
      <w:pPr>
        <w:numPr>
          <w:ilvl w:val="0"/>
          <w:numId w:val="47"/>
        </w:numPr>
        <w:spacing w:before="100" w:beforeAutospacing="1" w:after="100" w:afterAutospacing="1"/>
      </w:pPr>
      <w:r>
        <w:t xml:space="preserve">Trust, explainability, and regulatory defensibility </w:t>
      </w:r>
    </w:p>
    <w:p w14:paraId="2DB17D84" w14:textId="77777777" w:rsidR="00901724" w:rsidRDefault="00901724" w:rsidP="00901724">
      <w:pPr>
        <w:numPr>
          <w:ilvl w:val="0"/>
          <w:numId w:val="47"/>
        </w:numPr>
        <w:spacing w:before="100" w:beforeAutospacing="1" w:after="100" w:afterAutospacing="1"/>
      </w:pPr>
      <w:r>
        <w:t xml:space="preserve">Organisational barriers and enablers to analytics adoption </w:t>
      </w:r>
    </w:p>
    <w:p w14:paraId="19645D9B" w14:textId="65F7BC49" w:rsidR="00901724" w:rsidRPr="001A076D" w:rsidRDefault="00901724" w:rsidP="00901724">
      <w:pPr>
        <w:numPr>
          <w:ilvl w:val="0"/>
          <w:numId w:val="47"/>
        </w:numPr>
        <w:spacing w:before="100" w:beforeAutospacing="1" w:after="100" w:afterAutospacing="1"/>
      </w:pPr>
      <w:r>
        <w:t>The influence of predictive analytics on strategic decision-making</w:t>
      </w:r>
    </w:p>
    <w:p w14:paraId="77CEB878" w14:textId="77777777" w:rsidR="005A2164" w:rsidRPr="001A076D" w:rsidRDefault="005A2164" w:rsidP="008B1E0C">
      <w:pPr>
        <w:jc w:val="both"/>
      </w:pPr>
      <w:r w:rsidRPr="001A076D">
        <w:rPr>
          <w:rStyle w:val="Strong"/>
          <w:rFonts w:eastAsiaTheme="majorEastAsia"/>
        </w:rPr>
        <w:t>4.3 Interview Structure</w:t>
      </w:r>
    </w:p>
    <w:p w14:paraId="38706666" w14:textId="7E77F9F5" w:rsidR="00901724" w:rsidRPr="001A076D" w:rsidRDefault="00901724" w:rsidP="008B1E0C">
      <w:pPr>
        <w:pStyle w:val="NormalWeb"/>
        <w:jc w:val="both"/>
      </w:pPr>
      <w:r>
        <w:t>A semi-structured interview approach was adopted to provide consistency across interviews while allowing participants the flexibility to elaborate on issues relevant to their professional roles and experience. The interview guide comprised seven thematic sections aligned with the study's research questions, hypotheses, and conceptual framework, as summarised in Table A4.1.</w:t>
      </w:r>
    </w:p>
    <w:p w14:paraId="6600704A" w14:textId="78431257" w:rsidR="00F374B6" w:rsidRPr="001A076D" w:rsidRDefault="00F374B6" w:rsidP="005A2164">
      <w:pPr>
        <w:pStyle w:val="NormalWeb"/>
        <w:rPr>
          <w:b/>
          <w:bCs/>
        </w:rPr>
      </w:pPr>
      <w:r w:rsidRPr="001A076D">
        <w:rPr>
          <w:b/>
          <w:bCs/>
        </w:rPr>
        <w:t>Table A4.1 – Thematic Structure of the Semi-Structured Interview Guide</w:t>
      </w:r>
    </w:p>
    <w:tbl>
      <w:tblPr>
        <w:tblStyle w:val="TableGrid"/>
        <w:tblW w:w="9288" w:type="dxa"/>
        <w:tblLook w:val="04A0" w:firstRow="1" w:lastRow="0" w:firstColumn="1" w:lastColumn="0" w:noHBand="0" w:noVBand="1"/>
      </w:tblPr>
      <w:tblGrid>
        <w:gridCol w:w="1785"/>
        <w:gridCol w:w="7503"/>
      </w:tblGrid>
      <w:tr w:rsidR="00057F93" w:rsidRPr="001A076D" w14:paraId="0B5C38A1" w14:textId="77777777" w:rsidTr="00874B84">
        <w:trPr>
          <w:trHeight w:val="274"/>
        </w:trPr>
        <w:tc>
          <w:tcPr>
            <w:tcW w:w="0" w:type="auto"/>
            <w:hideMark/>
          </w:tcPr>
          <w:p w14:paraId="032EA962" w14:textId="77777777" w:rsidR="005A2164" w:rsidRPr="001A076D" w:rsidRDefault="005A2164">
            <w:pPr>
              <w:jc w:val="center"/>
              <w:rPr>
                <w:b/>
                <w:bCs/>
              </w:rPr>
            </w:pPr>
            <w:r w:rsidRPr="001A076D">
              <w:rPr>
                <w:b/>
                <w:bCs/>
              </w:rPr>
              <w:t>Theme</w:t>
            </w:r>
          </w:p>
        </w:tc>
        <w:tc>
          <w:tcPr>
            <w:tcW w:w="0" w:type="auto"/>
            <w:hideMark/>
          </w:tcPr>
          <w:p w14:paraId="3024B5B9" w14:textId="77777777" w:rsidR="005A2164" w:rsidRPr="001A076D" w:rsidRDefault="005A2164">
            <w:pPr>
              <w:jc w:val="center"/>
              <w:rPr>
                <w:b/>
                <w:bCs/>
              </w:rPr>
            </w:pPr>
            <w:r w:rsidRPr="001A076D">
              <w:rPr>
                <w:b/>
                <w:bCs/>
              </w:rPr>
              <w:t>Focus</w:t>
            </w:r>
          </w:p>
        </w:tc>
      </w:tr>
      <w:tr w:rsidR="00057F93" w:rsidRPr="001A076D" w14:paraId="0DDE920F" w14:textId="77777777" w:rsidTr="00874B84">
        <w:trPr>
          <w:trHeight w:val="287"/>
        </w:trPr>
        <w:tc>
          <w:tcPr>
            <w:tcW w:w="0" w:type="auto"/>
            <w:hideMark/>
          </w:tcPr>
          <w:p w14:paraId="6BF5285D" w14:textId="77777777" w:rsidR="005A2164" w:rsidRPr="001A076D" w:rsidRDefault="005A2164">
            <w:r w:rsidRPr="001A076D">
              <w:t>Theme 1</w:t>
            </w:r>
          </w:p>
        </w:tc>
        <w:tc>
          <w:tcPr>
            <w:tcW w:w="0" w:type="auto"/>
            <w:hideMark/>
          </w:tcPr>
          <w:p w14:paraId="371A7A9C" w14:textId="77777777" w:rsidR="005A2164" w:rsidRPr="001A076D" w:rsidRDefault="005A2164">
            <w:r w:rsidRPr="001A076D">
              <w:t>Role and organisational context</w:t>
            </w:r>
          </w:p>
        </w:tc>
      </w:tr>
      <w:tr w:rsidR="00057F93" w:rsidRPr="001A076D" w14:paraId="61548129" w14:textId="77777777" w:rsidTr="00874B84">
        <w:trPr>
          <w:trHeight w:val="274"/>
        </w:trPr>
        <w:tc>
          <w:tcPr>
            <w:tcW w:w="0" w:type="auto"/>
            <w:hideMark/>
          </w:tcPr>
          <w:p w14:paraId="2E9605B1" w14:textId="77777777" w:rsidR="005A2164" w:rsidRPr="001A076D" w:rsidRDefault="005A2164">
            <w:r w:rsidRPr="001A076D">
              <w:t>Theme 2</w:t>
            </w:r>
          </w:p>
        </w:tc>
        <w:tc>
          <w:tcPr>
            <w:tcW w:w="0" w:type="auto"/>
            <w:hideMark/>
          </w:tcPr>
          <w:p w14:paraId="4C6532A3" w14:textId="77777777" w:rsidR="005A2164" w:rsidRPr="001A076D" w:rsidRDefault="005A2164">
            <w:r w:rsidRPr="001A076D">
              <w:t>Predictive analytics capability and readiness</w:t>
            </w:r>
          </w:p>
        </w:tc>
      </w:tr>
      <w:tr w:rsidR="00057F93" w:rsidRPr="001A076D" w14:paraId="50C7BC78" w14:textId="77777777" w:rsidTr="00874B84">
        <w:trPr>
          <w:trHeight w:val="287"/>
        </w:trPr>
        <w:tc>
          <w:tcPr>
            <w:tcW w:w="0" w:type="auto"/>
            <w:hideMark/>
          </w:tcPr>
          <w:p w14:paraId="01EBFBF5" w14:textId="77777777" w:rsidR="005A2164" w:rsidRPr="001A076D" w:rsidRDefault="005A2164">
            <w:r w:rsidRPr="001A076D">
              <w:t>Theme 3</w:t>
            </w:r>
          </w:p>
        </w:tc>
        <w:tc>
          <w:tcPr>
            <w:tcW w:w="0" w:type="auto"/>
            <w:hideMark/>
          </w:tcPr>
          <w:p w14:paraId="552D955C" w14:textId="77777777" w:rsidR="005A2164" w:rsidRPr="001A076D" w:rsidRDefault="005A2164">
            <w:r w:rsidRPr="001A076D">
              <w:t>Data governance maturity</w:t>
            </w:r>
          </w:p>
        </w:tc>
      </w:tr>
      <w:tr w:rsidR="00057F93" w:rsidRPr="001A076D" w14:paraId="4A11D041" w14:textId="77777777" w:rsidTr="00874B84">
        <w:trPr>
          <w:trHeight w:val="274"/>
        </w:trPr>
        <w:tc>
          <w:tcPr>
            <w:tcW w:w="0" w:type="auto"/>
            <w:hideMark/>
          </w:tcPr>
          <w:p w14:paraId="19963478" w14:textId="77777777" w:rsidR="005A2164" w:rsidRPr="001A076D" w:rsidRDefault="005A2164">
            <w:r w:rsidRPr="001A076D">
              <w:t>Theme 4</w:t>
            </w:r>
          </w:p>
        </w:tc>
        <w:tc>
          <w:tcPr>
            <w:tcW w:w="0" w:type="auto"/>
            <w:hideMark/>
          </w:tcPr>
          <w:p w14:paraId="32679026" w14:textId="77777777" w:rsidR="005A2164" w:rsidRPr="001A076D" w:rsidRDefault="005A2164">
            <w:r w:rsidRPr="001A076D">
              <w:t>Trust and explainability</w:t>
            </w:r>
          </w:p>
        </w:tc>
      </w:tr>
      <w:tr w:rsidR="00057F93" w:rsidRPr="001A076D" w14:paraId="0BCECF01" w14:textId="77777777" w:rsidTr="00874B84">
        <w:trPr>
          <w:trHeight w:val="287"/>
        </w:trPr>
        <w:tc>
          <w:tcPr>
            <w:tcW w:w="0" w:type="auto"/>
            <w:hideMark/>
          </w:tcPr>
          <w:p w14:paraId="286F2E46" w14:textId="77777777" w:rsidR="005A2164" w:rsidRPr="001A076D" w:rsidRDefault="005A2164">
            <w:r w:rsidRPr="001A076D">
              <w:t>Theme 5</w:t>
            </w:r>
          </w:p>
        </w:tc>
        <w:tc>
          <w:tcPr>
            <w:tcW w:w="0" w:type="auto"/>
            <w:hideMark/>
          </w:tcPr>
          <w:p w14:paraId="4C4EF30B" w14:textId="77777777" w:rsidR="005A2164" w:rsidRPr="001A076D" w:rsidRDefault="005A2164">
            <w:r w:rsidRPr="001A076D">
              <w:t>Strategic decision-making impact</w:t>
            </w:r>
          </w:p>
        </w:tc>
      </w:tr>
      <w:tr w:rsidR="00057F93" w:rsidRPr="001A076D" w14:paraId="6E6E73E1" w14:textId="77777777" w:rsidTr="00874B84">
        <w:trPr>
          <w:trHeight w:val="274"/>
        </w:trPr>
        <w:tc>
          <w:tcPr>
            <w:tcW w:w="0" w:type="auto"/>
            <w:hideMark/>
          </w:tcPr>
          <w:p w14:paraId="17E82352" w14:textId="77777777" w:rsidR="005A2164" w:rsidRPr="001A076D" w:rsidRDefault="005A2164">
            <w:r w:rsidRPr="001A076D">
              <w:t>Theme 6</w:t>
            </w:r>
          </w:p>
        </w:tc>
        <w:tc>
          <w:tcPr>
            <w:tcW w:w="0" w:type="auto"/>
            <w:hideMark/>
          </w:tcPr>
          <w:p w14:paraId="3F9FBEFB" w14:textId="77777777" w:rsidR="005A2164" w:rsidRPr="001A076D" w:rsidRDefault="005A2164">
            <w:r w:rsidRPr="001A076D">
              <w:t>Barriers and enablers</w:t>
            </w:r>
          </w:p>
        </w:tc>
      </w:tr>
      <w:tr w:rsidR="005A2164" w:rsidRPr="001A076D" w14:paraId="119623FC" w14:textId="77777777" w:rsidTr="00874B84">
        <w:trPr>
          <w:trHeight w:val="274"/>
        </w:trPr>
        <w:tc>
          <w:tcPr>
            <w:tcW w:w="0" w:type="auto"/>
            <w:hideMark/>
          </w:tcPr>
          <w:p w14:paraId="1E6070A2" w14:textId="77777777" w:rsidR="005A2164" w:rsidRPr="001A076D" w:rsidRDefault="005A2164">
            <w:r w:rsidRPr="001A076D">
              <w:t>Theme 7</w:t>
            </w:r>
          </w:p>
        </w:tc>
        <w:tc>
          <w:tcPr>
            <w:tcW w:w="0" w:type="auto"/>
            <w:hideMark/>
          </w:tcPr>
          <w:p w14:paraId="74CDADEC" w14:textId="77777777" w:rsidR="005A2164" w:rsidRPr="001A076D" w:rsidRDefault="005A2164">
            <w:r w:rsidRPr="001A076D">
              <w:t>Integration and reflection</w:t>
            </w:r>
          </w:p>
        </w:tc>
      </w:tr>
    </w:tbl>
    <w:p w14:paraId="47EF2794" w14:textId="6127F8B5" w:rsidR="005A2164" w:rsidRPr="001A076D" w:rsidRDefault="005A2164" w:rsidP="005A2164"/>
    <w:p w14:paraId="3CCE38F9" w14:textId="77777777" w:rsidR="005A2164" w:rsidRPr="001A076D" w:rsidRDefault="005A2164" w:rsidP="005A2164">
      <w:r w:rsidRPr="001A076D">
        <w:rPr>
          <w:rStyle w:val="Strong"/>
          <w:rFonts w:eastAsiaTheme="majorEastAsia"/>
        </w:rPr>
        <w:t>4.4 Participant Coverage</w:t>
      </w:r>
    </w:p>
    <w:p w14:paraId="351CE048" w14:textId="62B93054" w:rsidR="005A2164" w:rsidRPr="001A076D" w:rsidRDefault="005A2164" w:rsidP="005A2164">
      <w:pPr>
        <w:pStyle w:val="NormalWeb"/>
      </w:pPr>
      <w:r w:rsidRPr="001A076D">
        <w:t xml:space="preserve">Interview participants were drawn from a range of relevant functions within SSE PLC, including strategy, risk, data engineering, data governance, data science, architecture, marketing, and commercial leadership. Participants are presented </w:t>
      </w:r>
      <w:r w:rsidR="005977AD" w:rsidRPr="001A076D">
        <w:t>by their role</w:t>
      </w:r>
      <w:r w:rsidRPr="001A076D">
        <w:t xml:space="preserve"> </w:t>
      </w:r>
      <w:r w:rsidR="0088535B" w:rsidRPr="001A076D">
        <w:t>titles</w:t>
      </w:r>
      <w:r w:rsidRPr="001A076D">
        <w:t xml:space="preserve"> to preserve confidentiality.</w:t>
      </w:r>
    </w:p>
    <w:p w14:paraId="4D1B17E6" w14:textId="316BB782" w:rsidR="007F2555" w:rsidRPr="001A076D" w:rsidRDefault="005C4669" w:rsidP="00CF6338">
      <w:r w:rsidRPr="001A076D">
        <w:rPr>
          <w:rStyle w:val="Strong"/>
        </w:rPr>
        <w:t>4.5 Appendix Contents and Confidentiality Statement</w:t>
      </w:r>
    </w:p>
    <w:p w14:paraId="53428975" w14:textId="77777777" w:rsidR="007F2555" w:rsidRPr="001A076D" w:rsidRDefault="007F2555" w:rsidP="007F2555">
      <w:pPr>
        <w:pStyle w:val="pdq2pgselectionanchorcontainer"/>
        <w:jc w:val="both"/>
      </w:pPr>
      <w:r w:rsidRPr="001A076D">
        <w:t>This appendix includes:</w:t>
      </w:r>
    </w:p>
    <w:p w14:paraId="3AA03308" w14:textId="77777777" w:rsidR="007F2555" w:rsidRPr="001A076D" w:rsidRDefault="007F2555" w:rsidP="007F2555">
      <w:pPr>
        <w:numPr>
          <w:ilvl w:val="0"/>
          <w:numId w:val="45"/>
        </w:numPr>
        <w:spacing w:before="100" w:beforeAutospacing="1" w:after="100" w:afterAutospacing="1"/>
        <w:jc w:val="both"/>
      </w:pPr>
      <w:r w:rsidRPr="001A076D">
        <w:rPr>
          <w:rStyle w:val="Strong"/>
        </w:rPr>
        <w:t>Appendix 4.5.1</w:t>
      </w:r>
      <w:r w:rsidRPr="001A076D">
        <w:t xml:space="preserve"> – Semi-Structured Interview Guide </w:t>
      </w:r>
    </w:p>
    <w:p w14:paraId="2ED29878" w14:textId="77777777" w:rsidR="007F2555" w:rsidRPr="001A076D" w:rsidRDefault="007F2555" w:rsidP="007F2555">
      <w:pPr>
        <w:numPr>
          <w:ilvl w:val="0"/>
          <w:numId w:val="45"/>
        </w:numPr>
        <w:spacing w:before="100" w:beforeAutospacing="1" w:after="100" w:afterAutospacing="1"/>
        <w:jc w:val="both"/>
      </w:pPr>
      <w:r w:rsidRPr="001A076D">
        <w:rPr>
          <w:rStyle w:val="Strong"/>
        </w:rPr>
        <w:t>Appendix 4.5.2</w:t>
      </w:r>
      <w:r w:rsidRPr="001A076D">
        <w:t xml:space="preserve"> – Interview Transcript Extracts </w:t>
      </w:r>
    </w:p>
    <w:p w14:paraId="602FEFE9" w14:textId="62AD2C62" w:rsidR="007F2555" w:rsidRPr="001A076D" w:rsidRDefault="007F2555" w:rsidP="007F2555">
      <w:pPr>
        <w:pStyle w:val="NormalWeb"/>
        <w:jc w:val="both"/>
      </w:pPr>
      <w:r w:rsidRPr="001A076D">
        <w:t xml:space="preserve">The qualitative interviews were conducted with employees of SSE plc under informed consent and ethical approval. Participants discussed internal governance practices, strategic decision-making, </w:t>
      </w:r>
      <w:r w:rsidRPr="001A076D">
        <w:lastRenderedPageBreak/>
        <w:t xml:space="preserve">predictive analytics, and other commercially sensitive organisational </w:t>
      </w:r>
      <w:r w:rsidR="00CD7535" w:rsidRPr="001A076D">
        <w:t>issues.</w:t>
      </w:r>
      <w:r w:rsidRPr="001A076D">
        <w:t xml:space="preserve"> </w:t>
      </w:r>
      <w:r w:rsidR="00CD7535" w:rsidRPr="001A076D">
        <w:t>This appendix presents only carefully selected and anonymised interview extracts to protect participant anonymity and honour the confidentiality commitments made during the research.</w:t>
      </w:r>
      <w:r w:rsidRPr="001A076D">
        <w:t xml:space="preserve"> Minor edits have been made solely to improve readability and remove information that could reasonably identify participants, specific business activities, or confidential organisational information, without changing the meaning of the responses.</w:t>
      </w:r>
    </w:p>
    <w:p w14:paraId="2A139FF4" w14:textId="67295934" w:rsidR="007F2555" w:rsidRPr="001A076D" w:rsidRDefault="007F2555" w:rsidP="007F2555">
      <w:pPr>
        <w:pStyle w:val="NormalWeb"/>
        <w:jc w:val="both"/>
      </w:pPr>
      <w:r w:rsidRPr="001A076D">
        <w:t xml:space="preserve">As the researcher was employed by SSE plc in a senior management role during the study, some interview discussions extended beyond general organisational practices and included information shared in confidence as part of </w:t>
      </w:r>
      <w:r w:rsidR="00CD7535" w:rsidRPr="001A076D">
        <w:t>the participants' professional roles.</w:t>
      </w:r>
      <w:r w:rsidRPr="001A076D">
        <w:t xml:space="preserve"> </w:t>
      </w:r>
      <w:r w:rsidR="00CD7535" w:rsidRPr="001A076D">
        <w:t>Therefore, this dissertation does not include the complete interview transcripts and audio recordings.</w:t>
      </w:r>
      <w:r w:rsidRPr="001A076D">
        <w:t xml:space="preserve"> These materials contain commercially sensitive information belonging to SSE plc and information disclosed to the researcher in confidence, and their wider disclosure would not be consistent with the ethical approval for this study, the assurances given to participants, or the organisation's confidentiality obligations.</w:t>
      </w:r>
    </w:p>
    <w:p w14:paraId="336D3D8E" w14:textId="0C6BCAE6" w:rsidR="007F2555" w:rsidRPr="001A076D" w:rsidRDefault="007F2555" w:rsidP="007F2555">
      <w:pPr>
        <w:pStyle w:val="NormalWeb"/>
        <w:jc w:val="both"/>
      </w:pPr>
      <w:r w:rsidRPr="001A076D">
        <w:t>To support transparency and enable the qualitative findings to be evaluated, the dissertation provides an appropriate audit trail through the interview guide, anonymised interview extracts, the NVivo coding framework, coding hierarchy, theme development process, participant coverage across themes, and evidence of data saturation presented within the dissertation and its appendices. These materials provide sufficient evidence for readers and examiners to assess the rigour and trustworthiness of the qualitative analysis while maintaining participant confidentiality and protecting commercially sensitive organisational information.</w:t>
      </w:r>
    </w:p>
    <w:p w14:paraId="1A26ACB9" w14:textId="631C67ED" w:rsidR="005A2164" w:rsidRPr="001A076D" w:rsidRDefault="005A2164" w:rsidP="005A2164">
      <w:pPr>
        <w:rPr>
          <w:rStyle w:val="Strong"/>
          <w:rFonts w:eastAsiaTheme="majorEastAsia"/>
        </w:rPr>
      </w:pPr>
      <w:r w:rsidRPr="001A076D">
        <w:rPr>
          <w:rStyle w:val="Strong"/>
          <w:rFonts w:eastAsiaTheme="majorEastAsia"/>
        </w:rPr>
        <w:t>Appendix 4.</w:t>
      </w:r>
      <w:r w:rsidR="00CE6898" w:rsidRPr="001A076D">
        <w:rPr>
          <w:rStyle w:val="Strong"/>
          <w:rFonts w:eastAsiaTheme="majorEastAsia"/>
        </w:rPr>
        <w:t>5.</w:t>
      </w:r>
      <w:r w:rsidRPr="001A076D">
        <w:rPr>
          <w:rStyle w:val="Strong"/>
          <w:rFonts w:eastAsiaTheme="majorEastAsia"/>
        </w:rPr>
        <w:t>1 – Semi-Structured Interview Guide</w:t>
      </w:r>
    </w:p>
    <w:p w14:paraId="7376E7C0" w14:textId="77777777" w:rsidR="005A2164" w:rsidRPr="001A076D" w:rsidRDefault="005A2164" w:rsidP="005A2164">
      <w:pPr>
        <w:rPr>
          <w:rStyle w:val="Strong"/>
          <w:rFonts w:eastAsiaTheme="majorEastAsia"/>
        </w:rPr>
      </w:pPr>
    </w:p>
    <w:p w14:paraId="3CFA0BC7" w14:textId="77777777" w:rsidR="005A2164" w:rsidRPr="001A076D" w:rsidRDefault="005A2164" w:rsidP="00B903D9">
      <w:pPr>
        <w:rPr>
          <w:rStyle w:val="Strong"/>
          <w:rFonts w:eastAsiaTheme="majorEastAsia"/>
        </w:rPr>
      </w:pPr>
      <w:r w:rsidRPr="001A076D">
        <w:rPr>
          <w:rStyle w:val="Strong"/>
          <w:rFonts w:eastAsiaTheme="majorEastAsia"/>
        </w:rPr>
        <w:t>Interview Guide: Predictive Analytics and Data Governance at SSE PLC</w:t>
      </w:r>
    </w:p>
    <w:p w14:paraId="24D2D06B" w14:textId="77777777" w:rsidR="00B903D9" w:rsidRPr="001A076D" w:rsidRDefault="00B903D9" w:rsidP="00B903D9"/>
    <w:p w14:paraId="5FA294BA" w14:textId="77777777" w:rsidR="005A2164" w:rsidRPr="001A076D" w:rsidRDefault="005A2164" w:rsidP="008B1E0C">
      <w:pPr>
        <w:jc w:val="both"/>
      </w:pPr>
      <w:r w:rsidRPr="001A076D">
        <w:rPr>
          <w:rStyle w:val="Strong"/>
          <w:rFonts w:eastAsiaTheme="majorEastAsia"/>
        </w:rPr>
        <w:t>Introduction to Participants</w:t>
      </w:r>
    </w:p>
    <w:p w14:paraId="7B308FB0" w14:textId="77777777" w:rsidR="005A2164" w:rsidRPr="001A076D" w:rsidRDefault="005A2164" w:rsidP="008B1E0C">
      <w:pPr>
        <w:pStyle w:val="NormalWeb"/>
        <w:jc w:val="both"/>
      </w:pPr>
      <w:r w:rsidRPr="001A076D">
        <w:t>Thank you for agreeing to participate in this interview. The purpose of this research is to explore how predictive analytics and data governance practices influence strategic decision-making within SSE PLC.</w:t>
      </w:r>
    </w:p>
    <w:p w14:paraId="11055744" w14:textId="65E3ED1B" w:rsidR="005A2164" w:rsidRPr="001A076D" w:rsidRDefault="005A2164" w:rsidP="008B1E0C">
      <w:pPr>
        <w:pStyle w:val="NormalWeb"/>
        <w:jc w:val="both"/>
      </w:pPr>
      <w:r w:rsidRPr="001A076D">
        <w:t xml:space="preserve">The interview is part of an academic study examining organisational readiness, governance maturity, and the role of predictive analytics in decision-making processes. Your responses will be used only for research purposes and will remain confidential. Participants will be </w:t>
      </w:r>
      <w:r w:rsidR="0004374F" w:rsidRPr="001A076D">
        <w:t xml:space="preserve">referred to by role title rather than by </w:t>
      </w:r>
      <w:r w:rsidRPr="001A076D">
        <w:rPr>
          <w:rStyle w:val="Strong"/>
          <w:rFonts w:eastAsiaTheme="majorEastAsia"/>
          <w:b w:val="0"/>
          <w:bCs w:val="0"/>
        </w:rPr>
        <w:t>personal name</w:t>
      </w:r>
      <w:r w:rsidRPr="001A076D">
        <w:rPr>
          <w:b/>
          <w:bCs/>
        </w:rPr>
        <w:t>.</w:t>
      </w:r>
    </w:p>
    <w:p w14:paraId="0E612821" w14:textId="774FAAE7" w:rsidR="005A2164" w:rsidRPr="001A076D" w:rsidRDefault="00DB1E5E" w:rsidP="008B1E0C">
      <w:pPr>
        <w:pStyle w:val="NormalWeb"/>
        <w:jc w:val="both"/>
      </w:pPr>
      <w:r w:rsidRPr="001A076D">
        <w:t xml:space="preserve">The interview will last approximately </w:t>
      </w:r>
      <w:r w:rsidR="00CD7535" w:rsidRPr="001A076D">
        <w:t>45 to 60</w:t>
      </w:r>
      <w:r w:rsidRPr="001A076D">
        <w:t xml:space="preserve"> minutes and will focus on your experiences and perspectives regarding predictive analytics, governance practices, and strategic decision-making within the </w:t>
      </w:r>
      <w:r w:rsidR="0088535B" w:rsidRPr="001A076D">
        <w:t>organisation.</w:t>
      </w:r>
    </w:p>
    <w:p w14:paraId="404D3675" w14:textId="77777777" w:rsidR="005A2164" w:rsidRPr="001A076D" w:rsidRDefault="005A2164" w:rsidP="005A2164">
      <w:r w:rsidRPr="001A076D">
        <w:rPr>
          <w:rStyle w:val="Strong"/>
          <w:rFonts w:eastAsiaTheme="majorEastAsia"/>
        </w:rPr>
        <w:t>Theme 1 – Role and Organisational Context (RQ2)</w:t>
      </w:r>
    </w:p>
    <w:p w14:paraId="6D2EF061" w14:textId="77777777" w:rsidR="005A2164" w:rsidRPr="001A076D" w:rsidRDefault="005A2164">
      <w:pPr>
        <w:pStyle w:val="NormalWeb"/>
        <w:numPr>
          <w:ilvl w:val="0"/>
          <w:numId w:val="14"/>
        </w:numPr>
      </w:pPr>
      <w:r w:rsidRPr="001A076D">
        <w:t>Can you describe your current role and responsibilities within SSE PLC?</w:t>
      </w:r>
    </w:p>
    <w:p w14:paraId="3CC8BD30" w14:textId="77777777" w:rsidR="005A2164" w:rsidRPr="001A076D" w:rsidRDefault="005A2164">
      <w:pPr>
        <w:pStyle w:val="NormalWeb"/>
        <w:numPr>
          <w:ilvl w:val="0"/>
          <w:numId w:val="14"/>
        </w:numPr>
      </w:pPr>
      <w:r w:rsidRPr="001A076D">
        <w:t>How does predictive analytics feature in your day-to-day work?</w:t>
      </w:r>
    </w:p>
    <w:p w14:paraId="5A692200" w14:textId="46E6F0F7" w:rsidR="005A2164" w:rsidRPr="001A076D" w:rsidRDefault="005A2164">
      <w:pPr>
        <w:pStyle w:val="NormalWeb"/>
        <w:numPr>
          <w:ilvl w:val="0"/>
          <w:numId w:val="14"/>
        </w:numPr>
      </w:pPr>
      <w:r w:rsidRPr="001A076D">
        <w:t>In what types of decisions are analytics outputs most commonly used within your area?</w:t>
      </w:r>
    </w:p>
    <w:p w14:paraId="0E4A36D7" w14:textId="77777777" w:rsidR="005A2164" w:rsidRPr="001A076D" w:rsidRDefault="005A2164" w:rsidP="005A2164">
      <w:r w:rsidRPr="001A076D">
        <w:rPr>
          <w:rStyle w:val="Strong"/>
          <w:rFonts w:eastAsiaTheme="majorEastAsia"/>
        </w:rPr>
        <w:t>Theme 2 – Predictive Analytics Capability and Organisational Readiness (H1, RQ2)</w:t>
      </w:r>
    </w:p>
    <w:p w14:paraId="50268B9B" w14:textId="77777777" w:rsidR="005A2164" w:rsidRPr="001A076D" w:rsidRDefault="005A2164">
      <w:pPr>
        <w:pStyle w:val="NormalWeb"/>
        <w:numPr>
          <w:ilvl w:val="0"/>
          <w:numId w:val="15"/>
        </w:numPr>
      </w:pPr>
      <w:r w:rsidRPr="001A076D">
        <w:lastRenderedPageBreak/>
        <w:t>How would you describe SSE PLC’s current capability in relation to predictive analytics?</w:t>
      </w:r>
    </w:p>
    <w:p w14:paraId="71C6874E" w14:textId="77777777" w:rsidR="005A2164" w:rsidRPr="001A076D" w:rsidRDefault="005A2164">
      <w:pPr>
        <w:pStyle w:val="NormalWeb"/>
        <w:numPr>
          <w:ilvl w:val="0"/>
          <w:numId w:val="15"/>
        </w:numPr>
      </w:pPr>
      <w:r w:rsidRPr="001A076D">
        <w:t>To what extent do leadership practices influence the use of analytics in decision-making?</w:t>
      </w:r>
    </w:p>
    <w:p w14:paraId="6841BEE8" w14:textId="77777777" w:rsidR="005A2164" w:rsidRPr="001A076D" w:rsidRDefault="005A2164">
      <w:pPr>
        <w:pStyle w:val="NormalWeb"/>
        <w:numPr>
          <w:ilvl w:val="0"/>
          <w:numId w:val="15"/>
        </w:numPr>
      </w:pPr>
      <w:r w:rsidRPr="001A076D">
        <w:t>How would you characterise organisational attitudes toward data-driven decision-making?</w:t>
      </w:r>
    </w:p>
    <w:p w14:paraId="393C4B4E" w14:textId="3EEFC13C" w:rsidR="005A2164" w:rsidRPr="001A076D" w:rsidRDefault="005A2164">
      <w:pPr>
        <w:pStyle w:val="NormalWeb"/>
        <w:numPr>
          <w:ilvl w:val="0"/>
          <w:numId w:val="15"/>
        </w:numPr>
      </w:pPr>
      <w:r w:rsidRPr="001A076D">
        <w:t>Do you believe analytical skills and understanding are sufficient at senior decision-making levels? Why or why not?</w:t>
      </w:r>
    </w:p>
    <w:p w14:paraId="5921CE6B" w14:textId="77777777" w:rsidR="005A2164" w:rsidRPr="001A076D" w:rsidRDefault="005A2164" w:rsidP="005A2164">
      <w:r w:rsidRPr="001A076D">
        <w:rPr>
          <w:rStyle w:val="Strong"/>
          <w:rFonts w:eastAsiaTheme="majorEastAsia"/>
        </w:rPr>
        <w:t>Theme 3 – Data Governance Maturity (H2, H4, RQ1)</w:t>
      </w:r>
    </w:p>
    <w:p w14:paraId="00F8CBF9" w14:textId="77777777" w:rsidR="005A2164" w:rsidRPr="001A076D" w:rsidRDefault="005A2164">
      <w:pPr>
        <w:pStyle w:val="NormalWeb"/>
        <w:numPr>
          <w:ilvl w:val="0"/>
          <w:numId w:val="16"/>
        </w:numPr>
      </w:pPr>
      <w:r w:rsidRPr="001A076D">
        <w:t>How clear are data ownership, accountability, and governance responsibilities within your organisation?</w:t>
      </w:r>
    </w:p>
    <w:p w14:paraId="63B5AE8D" w14:textId="77777777" w:rsidR="005A2164" w:rsidRPr="001A076D" w:rsidRDefault="005A2164">
      <w:pPr>
        <w:pStyle w:val="NormalWeb"/>
        <w:numPr>
          <w:ilvl w:val="0"/>
          <w:numId w:val="16"/>
        </w:numPr>
      </w:pPr>
      <w:r w:rsidRPr="001A076D">
        <w:t>How do data quality, metadata, or lineage practices affect confidence in analytics outputs?</w:t>
      </w:r>
    </w:p>
    <w:p w14:paraId="40F596BB" w14:textId="7F71577F" w:rsidR="005A2164" w:rsidRPr="001A076D" w:rsidRDefault="005A2164">
      <w:pPr>
        <w:pStyle w:val="NormalWeb"/>
        <w:numPr>
          <w:ilvl w:val="0"/>
          <w:numId w:val="16"/>
        </w:numPr>
      </w:pPr>
      <w:r w:rsidRPr="001A076D">
        <w:t>In your experience, does data governance enable or constrain the use of predictive analytics?</w:t>
      </w:r>
    </w:p>
    <w:p w14:paraId="28A45755" w14:textId="0C70F376" w:rsidR="005A2164" w:rsidRPr="001A076D" w:rsidRDefault="005A2164" w:rsidP="005A2164">
      <w:r w:rsidRPr="001A076D">
        <w:rPr>
          <w:rStyle w:val="Strong"/>
          <w:rFonts w:eastAsiaTheme="majorEastAsia"/>
        </w:rPr>
        <w:t>Theme 4 – Trust and Explainability (H2, H3,</w:t>
      </w:r>
      <w:r w:rsidR="008300E6" w:rsidRPr="001A076D">
        <w:rPr>
          <w:rStyle w:val="Strong"/>
          <w:rFonts w:eastAsiaTheme="majorEastAsia"/>
        </w:rPr>
        <w:t xml:space="preserve"> </w:t>
      </w:r>
      <w:r w:rsidRPr="001A076D">
        <w:rPr>
          <w:rStyle w:val="Strong"/>
          <w:rFonts w:eastAsiaTheme="majorEastAsia"/>
        </w:rPr>
        <w:t>RQ3)</w:t>
      </w:r>
    </w:p>
    <w:p w14:paraId="43B711B9" w14:textId="77777777" w:rsidR="005A2164" w:rsidRPr="001A076D" w:rsidRDefault="005A2164">
      <w:pPr>
        <w:pStyle w:val="NormalWeb"/>
        <w:numPr>
          <w:ilvl w:val="0"/>
          <w:numId w:val="17"/>
        </w:numPr>
      </w:pPr>
      <w:r w:rsidRPr="001A076D">
        <w:t>What factors increase trust in predictive analytics outputs among decision-makers?</w:t>
      </w:r>
    </w:p>
    <w:p w14:paraId="612FC8BC" w14:textId="77777777" w:rsidR="005A2164" w:rsidRPr="001A076D" w:rsidRDefault="005A2164">
      <w:pPr>
        <w:pStyle w:val="NormalWeb"/>
        <w:numPr>
          <w:ilvl w:val="0"/>
          <w:numId w:val="17"/>
        </w:numPr>
      </w:pPr>
      <w:r w:rsidRPr="001A076D">
        <w:t>What factors tend to reduce trust or create scepticism toward analytics results?</w:t>
      </w:r>
    </w:p>
    <w:p w14:paraId="0134CF09" w14:textId="77777777" w:rsidR="005A2164" w:rsidRPr="001A076D" w:rsidRDefault="005A2164">
      <w:pPr>
        <w:pStyle w:val="NormalWeb"/>
        <w:numPr>
          <w:ilvl w:val="0"/>
          <w:numId w:val="17"/>
        </w:numPr>
      </w:pPr>
      <w:r w:rsidRPr="001A076D">
        <w:t>How important is explainability when analytics informs strategic decisions?</w:t>
      </w:r>
    </w:p>
    <w:p w14:paraId="629DB35B" w14:textId="330E0A0F" w:rsidR="005A2164" w:rsidRPr="001A076D" w:rsidRDefault="005A2164">
      <w:pPr>
        <w:pStyle w:val="NormalWeb"/>
        <w:numPr>
          <w:ilvl w:val="0"/>
          <w:numId w:val="17"/>
        </w:numPr>
      </w:pPr>
      <w:r w:rsidRPr="001A076D">
        <w:t>How are ethical, regulatory, or compliance considerations addressed when predictive analytics is used?</w:t>
      </w:r>
    </w:p>
    <w:p w14:paraId="56F68EC3" w14:textId="77777777" w:rsidR="005A2164" w:rsidRPr="001A076D" w:rsidRDefault="005A2164" w:rsidP="005A2164">
      <w:r w:rsidRPr="001A076D">
        <w:rPr>
          <w:rStyle w:val="Strong"/>
          <w:rFonts w:eastAsiaTheme="majorEastAsia"/>
        </w:rPr>
        <w:t>Theme 5 – Strategic Decision-Making Impact (H3, RQ3)</w:t>
      </w:r>
    </w:p>
    <w:p w14:paraId="4BCFAD79" w14:textId="77777777" w:rsidR="005A2164" w:rsidRPr="001A076D" w:rsidRDefault="005A2164">
      <w:pPr>
        <w:pStyle w:val="NormalWeb"/>
        <w:numPr>
          <w:ilvl w:val="0"/>
          <w:numId w:val="18"/>
        </w:numPr>
      </w:pPr>
      <w:r w:rsidRPr="001A076D">
        <w:t>Can you describe a situation where predictive analytics significantly influenced a strategic decision?</w:t>
      </w:r>
    </w:p>
    <w:p w14:paraId="793EE49A" w14:textId="77777777" w:rsidR="005A2164" w:rsidRPr="001A076D" w:rsidRDefault="005A2164">
      <w:pPr>
        <w:pStyle w:val="NormalWeb"/>
        <w:numPr>
          <w:ilvl w:val="0"/>
          <w:numId w:val="18"/>
        </w:numPr>
      </w:pPr>
      <w:r w:rsidRPr="001A076D">
        <w:t>Have there been occasions where analytics outputs were overridden or ignored? What were the reasons?</w:t>
      </w:r>
    </w:p>
    <w:p w14:paraId="0F81840E" w14:textId="3A690460" w:rsidR="005A2164" w:rsidRPr="001A076D" w:rsidRDefault="005A2164">
      <w:pPr>
        <w:pStyle w:val="NormalWeb"/>
        <w:numPr>
          <w:ilvl w:val="0"/>
          <w:numId w:val="18"/>
        </w:numPr>
      </w:pPr>
      <w:r w:rsidRPr="001A076D">
        <w:t>How does executive trust affect whether analytics insights influence final decisions?</w:t>
      </w:r>
    </w:p>
    <w:p w14:paraId="76B3BE50" w14:textId="6D46C0D2" w:rsidR="005A2164" w:rsidRPr="001A076D" w:rsidRDefault="005A2164" w:rsidP="005A2164">
      <w:r w:rsidRPr="001A076D">
        <w:rPr>
          <w:rStyle w:val="Strong"/>
          <w:rFonts w:eastAsiaTheme="majorEastAsia"/>
        </w:rPr>
        <w:t>Theme 6 – Barriers and Enablers (H</w:t>
      </w:r>
      <w:r w:rsidR="008300E6" w:rsidRPr="001A076D">
        <w:rPr>
          <w:rStyle w:val="Strong"/>
          <w:rFonts w:eastAsiaTheme="majorEastAsia"/>
        </w:rPr>
        <w:t>4</w:t>
      </w:r>
      <w:r w:rsidRPr="001A076D">
        <w:rPr>
          <w:rStyle w:val="Strong"/>
          <w:rFonts w:eastAsiaTheme="majorEastAsia"/>
        </w:rPr>
        <w:t>)</w:t>
      </w:r>
    </w:p>
    <w:p w14:paraId="6898E9DD" w14:textId="77777777" w:rsidR="005A2164" w:rsidRPr="001A076D" w:rsidRDefault="005A2164">
      <w:pPr>
        <w:pStyle w:val="NormalWeb"/>
        <w:numPr>
          <w:ilvl w:val="0"/>
          <w:numId w:val="19"/>
        </w:numPr>
      </w:pPr>
      <w:r w:rsidRPr="001A076D">
        <w:t>What organisational barriers limit the effective use of predictive analytics?</w:t>
      </w:r>
    </w:p>
    <w:p w14:paraId="4D50A537" w14:textId="77777777" w:rsidR="005A2164" w:rsidRPr="001A076D" w:rsidRDefault="005A2164">
      <w:pPr>
        <w:pStyle w:val="NormalWeb"/>
        <w:numPr>
          <w:ilvl w:val="0"/>
          <w:numId w:val="19"/>
        </w:numPr>
      </w:pPr>
      <w:r w:rsidRPr="001A076D">
        <w:t>How do organisational culture, data literacy, or regulatory pressures influence analytics adoption?</w:t>
      </w:r>
    </w:p>
    <w:p w14:paraId="6EB53730" w14:textId="13B48943" w:rsidR="005A2164" w:rsidRPr="001A076D" w:rsidRDefault="005A2164">
      <w:pPr>
        <w:pStyle w:val="NormalWeb"/>
        <w:numPr>
          <w:ilvl w:val="0"/>
          <w:numId w:val="19"/>
        </w:numPr>
      </w:pPr>
      <w:r w:rsidRPr="001A076D">
        <w:t>What factors most strongly enable predictive analytics to be embedded into decision-making?</w:t>
      </w:r>
    </w:p>
    <w:p w14:paraId="39132320" w14:textId="035865E8" w:rsidR="005A2164" w:rsidRPr="001A076D" w:rsidRDefault="005A2164" w:rsidP="005A2164">
      <w:r w:rsidRPr="001A076D">
        <w:rPr>
          <w:rStyle w:val="Strong"/>
          <w:rFonts w:eastAsiaTheme="majorEastAsia"/>
        </w:rPr>
        <w:t>Theme 7 – Integration and Reflection</w:t>
      </w:r>
    </w:p>
    <w:p w14:paraId="2E3751AD" w14:textId="77777777" w:rsidR="005A2164" w:rsidRPr="001A076D" w:rsidRDefault="005A2164">
      <w:pPr>
        <w:pStyle w:val="NormalWeb"/>
        <w:numPr>
          <w:ilvl w:val="0"/>
          <w:numId w:val="20"/>
        </w:numPr>
      </w:pPr>
      <w:r w:rsidRPr="001A076D">
        <w:t>What conditions are necessary for predictive analytics to be fully trusted at the executive level?</w:t>
      </w:r>
    </w:p>
    <w:p w14:paraId="1B452587" w14:textId="77777777" w:rsidR="005A2164" w:rsidRPr="001A076D" w:rsidRDefault="005A2164">
      <w:pPr>
        <w:pStyle w:val="NormalWeb"/>
        <w:numPr>
          <w:ilvl w:val="0"/>
          <w:numId w:val="20"/>
        </w:numPr>
      </w:pPr>
      <w:r w:rsidRPr="001A076D">
        <w:t>How could governance arrangements and organisational capability better support strategic use of analytics?</w:t>
      </w:r>
    </w:p>
    <w:p w14:paraId="7454AB79" w14:textId="59996AE6" w:rsidR="005A2164" w:rsidRPr="001A076D" w:rsidRDefault="005A2164">
      <w:pPr>
        <w:pStyle w:val="NormalWeb"/>
        <w:numPr>
          <w:ilvl w:val="0"/>
          <w:numId w:val="20"/>
        </w:numPr>
        <w:rPr>
          <w:rStyle w:val="Strong"/>
          <w:b w:val="0"/>
          <w:bCs w:val="0"/>
        </w:rPr>
      </w:pPr>
      <w:r w:rsidRPr="001A076D">
        <w:t>Is there anything else you believe is critical to understanding predictive analytics readiness at SSE PLC?</w:t>
      </w:r>
    </w:p>
    <w:p w14:paraId="0235F2ED" w14:textId="4DBCFBC7" w:rsidR="005A2164" w:rsidRPr="001A076D" w:rsidRDefault="005A2164" w:rsidP="005A2164">
      <w:r w:rsidRPr="001A076D">
        <w:rPr>
          <w:b/>
          <w:bCs/>
        </w:rPr>
        <w:t>Appendix 4.</w:t>
      </w:r>
      <w:r w:rsidR="00CE6898" w:rsidRPr="001A076D">
        <w:rPr>
          <w:b/>
          <w:bCs/>
        </w:rPr>
        <w:t>5.</w:t>
      </w:r>
      <w:r w:rsidRPr="001A076D">
        <w:rPr>
          <w:b/>
          <w:bCs/>
        </w:rPr>
        <w:t>2 – Interview Transcript Extracts</w:t>
      </w:r>
    </w:p>
    <w:p w14:paraId="092EAA6F" w14:textId="77777777" w:rsidR="00BE65C8" w:rsidRPr="001A076D" w:rsidRDefault="00BE65C8" w:rsidP="00BE65C8">
      <w:pPr>
        <w:pStyle w:val="NormalWeb"/>
      </w:pPr>
      <w:r w:rsidRPr="001A076D">
        <w:rPr>
          <w:rStyle w:val="Strong"/>
        </w:rPr>
        <w:t>Participant Code:</w:t>
      </w:r>
      <w:r w:rsidRPr="001A076D">
        <w:t xml:space="preserve"> P1</w:t>
      </w:r>
      <w:r w:rsidRPr="001A076D">
        <w:br/>
      </w:r>
      <w:r w:rsidRPr="001A076D">
        <w:rPr>
          <w:rStyle w:val="Strong"/>
        </w:rPr>
        <w:t>Role:</w:t>
      </w:r>
      <w:r w:rsidRPr="001A076D">
        <w:t xml:space="preserve"> Senior Strategy &amp; Investment Executive</w:t>
      </w:r>
      <w:r w:rsidRPr="001A076D">
        <w:br/>
      </w:r>
      <w:r w:rsidRPr="001A076D">
        <w:rPr>
          <w:rStyle w:val="Strong"/>
        </w:rPr>
        <w:lastRenderedPageBreak/>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56 minutes</w:t>
      </w:r>
    </w:p>
    <w:p w14:paraId="5E4D14CD" w14:textId="77777777"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4E23EA51" w14:textId="77777777" w:rsidR="00BE65C8" w:rsidRPr="001A076D" w:rsidRDefault="00BE65C8" w:rsidP="008B1E0C">
      <w:pPr>
        <w:jc w:val="both"/>
      </w:pPr>
      <w:r w:rsidRPr="001A076D">
        <w:rPr>
          <w:rStyle w:val="Strong"/>
        </w:rPr>
        <w:t>Theme 1: Role and Context (RQ2)</w:t>
      </w:r>
    </w:p>
    <w:p w14:paraId="52E10A34" w14:textId="77777777" w:rsidR="00BE65C8" w:rsidRPr="001A076D" w:rsidRDefault="00BE65C8" w:rsidP="008B1E0C">
      <w:pPr>
        <w:pStyle w:val="NormalWeb"/>
        <w:jc w:val="both"/>
      </w:pPr>
      <w:r w:rsidRPr="001A076D">
        <w:rPr>
          <w:rStyle w:val="Strong"/>
        </w:rPr>
        <w:t>Question 1: Can you describe your role and responsibilities within SSE PLC?</w:t>
      </w:r>
      <w:r w:rsidRPr="001A076D">
        <w:br/>
      </w:r>
      <w:r w:rsidRPr="001A076D">
        <w:rPr>
          <w:rStyle w:val="Strong"/>
        </w:rPr>
        <w:t>Response:</w:t>
      </w:r>
      <w:r w:rsidRPr="001A076D">
        <w:t xml:space="preserve"> I work within Group Strategy and Investment Planning. My role focuses on long-term capital allocation, aligning investment decisions with Net Zero objectives, and evaluating major infrastructure projects. I collaborate closely with Finance, Asset Management, and Regulatory teams to ensure that decisions are both commercially sound and aligned with regulatory expectations.</w:t>
      </w:r>
    </w:p>
    <w:p w14:paraId="1E51527F" w14:textId="77777777" w:rsidR="00BE65C8" w:rsidRPr="001A076D" w:rsidRDefault="00BE65C8" w:rsidP="008B1E0C">
      <w:pPr>
        <w:pStyle w:val="NormalWeb"/>
        <w:jc w:val="both"/>
      </w:pPr>
      <w:r w:rsidRPr="001A076D">
        <w:rPr>
          <w:rStyle w:val="Strong"/>
        </w:rPr>
        <w:t>Question 2: How does predictive analytics feature in your day-to-day work?</w:t>
      </w:r>
      <w:r w:rsidRPr="001A076D">
        <w:br/>
      </w:r>
      <w:r w:rsidRPr="001A076D">
        <w:rPr>
          <w:rStyle w:val="Strong"/>
        </w:rPr>
        <w:t>Response:</w:t>
      </w:r>
      <w:r w:rsidRPr="001A076D">
        <w:t xml:space="preserve"> Predictive analytics is increasingly embedded in our forecasting processes. We use it extensively for demand forecasting, generational performance modelling, and scenario-based risk analysis. It doesn’t replace judgement, but it plays an important role in shaping it by offering forward-looking insight rather than relying solely on historical reporting.</w:t>
      </w:r>
    </w:p>
    <w:p w14:paraId="30D6914D" w14:textId="77777777" w:rsidR="00BE65C8" w:rsidRPr="001A076D" w:rsidRDefault="00BE65C8" w:rsidP="008B1E0C">
      <w:pPr>
        <w:pStyle w:val="NormalWeb"/>
        <w:jc w:val="both"/>
      </w:pPr>
      <w:r w:rsidRPr="001A076D">
        <w:rPr>
          <w:rStyle w:val="Strong"/>
        </w:rPr>
        <w:t>Question 3: In what types of decisions are analytics outputs most commonly used?</w:t>
      </w:r>
      <w:r w:rsidRPr="001A076D">
        <w:br/>
      </w:r>
      <w:r w:rsidRPr="001A076D">
        <w:rPr>
          <w:rStyle w:val="Strong"/>
        </w:rPr>
        <w:t>Response:</w:t>
      </w:r>
      <w:r w:rsidRPr="001A076D">
        <w:t xml:space="preserve"> It is applied across both strategic and tactical decisions. On a strategic level, it supports long-term investment plans and decarbonisation pathways. It influences risk management and asset optimisation on a tactical level. Operational teams also rely on it for predictive maintenance and outage forecasting.</w:t>
      </w:r>
    </w:p>
    <w:p w14:paraId="32911589" w14:textId="77777777" w:rsidR="00BE65C8" w:rsidRPr="001A076D" w:rsidRDefault="00BE65C8" w:rsidP="00BE65C8">
      <w:r w:rsidRPr="001A076D">
        <w:rPr>
          <w:rStyle w:val="Strong"/>
        </w:rPr>
        <w:t>Theme 2: Predictive Analytics Capability and Readiness (H1, RQ2)</w:t>
      </w:r>
    </w:p>
    <w:p w14:paraId="02F3E517" w14:textId="7C59B246" w:rsidR="00BE65C8" w:rsidRPr="001A076D" w:rsidRDefault="00BE65C8" w:rsidP="00BE65C8">
      <w:pPr>
        <w:pStyle w:val="NormalWeb"/>
      </w:pPr>
      <w:r w:rsidRPr="001A076D">
        <w:rPr>
          <w:rStyle w:val="Strong"/>
        </w:rPr>
        <w:t>Question 4: How would you describe SSE’s current capability?</w:t>
      </w:r>
      <w:r w:rsidRPr="001A076D">
        <w:br/>
      </w:r>
      <w:r w:rsidRPr="001A076D">
        <w:rPr>
          <w:rStyle w:val="Strong"/>
        </w:rPr>
        <w:t>Response:</w:t>
      </w:r>
      <w:r w:rsidRPr="001A076D">
        <w:t xml:space="preserve"> There are clear </w:t>
      </w:r>
      <w:r w:rsidR="006F5852" w:rsidRPr="001A076D">
        <w:t>strengths in</w:t>
      </w:r>
      <w:r w:rsidRPr="001A076D">
        <w:t xml:space="preserve"> technical capability, particularly in forecasting and asset analytics. However, maturity is not consistent across organisations. Some functions are quite advanced, while others </w:t>
      </w:r>
      <w:r w:rsidR="006F5852" w:rsidRPr="001A076D">
        <w:t xml:space="preserve">still operate at a more descriptive level rather than being </w:t>
      </w:r>
      <w:r w:rsidRPr="001A076D">
        <w:t>fully predictive.</w:t>
      </w:r>
    </w:p>
    <w:p w14:paraId="61A85F4C" w14:textId="77777777" w:rsidR="00BE65C8" w:rsidRPr="001A076D" w:rsidRDefault="00BE65C8" w:rsidP="00BE65C8">
      <w:pPr>
        <w:pStyle w:val="NormalWeb"/>
      </w:pPr>
      <w:r w:rsidRPr="001A076D">
        <w:rPr>
          <w:rStyle w:val="Strong"/>
        </w:rPr>
        <w:t>Question 5: To what extent do leadership practices influence analytics use?</w:t>
      </w:r>
      <w:r w:rsidRPr="001A076D">
        <w:br/>
      </w:r>
      <w:r w:rsidRPr="001A076D">
        <w:rPr>
          <w:rStyle w:val="Strong"/>
        </w:rPr>
        <w:t>Response:</w:t>
      </w:r>
      <w:r w:rsidRPr="001A076D">
        <w:t xml:space="preserve"> Leadership has a significant influence. When leaders actively ask for data-driven insights, analytics becomes part of everyday decision-making. Prioritising intuition tends to make analytics more advisory and less central.</w:t>
      </w:r>
    </w:p>
    <w:p w14:paraId="135CCC71" w14:textId="41D35860" w:rsidR="00BE65C8" w:rsidRPr="001A076D" w:rsidRDefault="00BE65C8" w:rsidP="00BE65C8">
      <w:pPr>
        <w:pStyle w:val="NormalWeb"/>
      </w:pPr>
      <w:r w:rsidRPr="001A076D">
        <w:rPr>
          <w:rStyle w:val="Strong"/>
        </w:rPr>
        <w:t>Question 6: What are organisational attitudes toward data-driven decision-making?</w:t>
      </w:r>
      <w:r w:rsidRPr="001A076D">
        <w:br/>
      </w:r>
      <w:r w:rsidRPr="001A076D">
        <w:rPr>
          <w:rStyle w:val="Strong"/>
        </w:rPr>
        <w:t>Response:</w:t>
      </w:r>
      <w:r w:rsidRPr="001A076D">
        <w:t xml:space="preserve"> Overall, attitudes are positive, but there is </w:t>
      </w:r>
      <w:r w:rsidR="006F5852" w:rsidRPr="001A076D">
        <w:t>some</w:t>
      </w:r>
      <w:r w:rsidRPr="001A076D">
        <w:t xml:space="preserve"> caution. Given the regulatory environment, people want a high degree of confidence before relying on analytical outputs.</w:t>
      </w:r>
    </w:p>
    <w:p w14:paraId="6A1BCFC2" w14:textId="52656493" w:rsidR="00BE65C8" w:rsidRPr="001A076D" w:rsidRDefault="00BE65C8" w:rsidP="00BE65C8">
      <w:pPr>
        <w:pStyle w:val="NormalWeb"/>
      </w:pPr>
      <w:r w:rsidRPr="001A076D">
        <w:rPr>
          <w:rStyle w:val="Strong"/>
        </w:rPr>
        <w:t>Question 7: Are analytical skills sufficient at senior level?</w:t>
      </w:r>
      <w:r w:rsidRPr="001A076D">
        <w:br/>
      </w:r>
      <w:r w:rsidRPr="001A076D">
        <w:rPr>
          <w:rStyle w:val="Strong"/>
        </w:rPr>
        <w:t>Response:</w:t>
      </w:r>
      <w:r w:rsidRPr="001A076D">
        <w:t xml:space="preserve"> Senior leaders generally have a strong conceptual understanding</w:t>
      </w:r>
      <w:r w:rsidR="006F5852" w:rsidRPr="001A076D">
        <w:t>,</w:t>
      </w:r>
      <w:r w:rsidRPr="001A076D">
        <w:t xml:space="preserve"> but not always deep technical expertise. As a result, they depend on analytics teams to interpret and translate outputs into something actionable.</w:t>
      </w:r>
    </w:p>
    <w:p w14:paraId="47FE34F8" w14:textId="77777777" w:rsidR="00BE65C8" w:rsidRPr="001A076D" w:rsidRDefault="00BE65C8" w:rsidP="00BE65C8">
      <w:r w:rsidRPr="001A076D">
        <w:rPr>
          <w:rStyle w:val="Strong"/>
        </w:rPr>
        <w:t>Theme 3: Data Governance Maturity (H2, H4, RQ1)</w:t>
      </w:r>
    </w:p>
    <w:p w14:paraId="7E42F2B8" w14:textId="77777777" w:rsidR="00BE65C8" w:rsidRPr="001A076D" w:rsidRDefault="00BE65C8" w:rsidP="00BE65C8">
      <w:pPr>
        <w:pStyle w:val="NormalWeb"/>
      </w:pPr>
      <w:r w:rsidRPr="001A076D">
        <w:rPr>
          <w:rStyle w:val="Strong"/>
        </w:rPr>
        <w:lastRenderedPageBreak/>
        <w:t>Question 8: How clear are data ownership and governance responsibilities?</w:t>
      </w:r>
      <w:r w:rsidRPr="001A076D">
        <w:br/>
      </w:r>
      <w:r w:rsidRPr="001A076D">
        <w:rPr>
          <w:rStyle w:val="Strong"/>
        </w:rPr>
        <w:t>Response:</w:t>
      </w:r>
      <w:r w:rsidRPr="001A076D">
        <w:t xml:space="preserve"> There has been noticeable improvement recently, with clearer ownership structures and more formal governance forums. However, business units still differ in the consistency of their application.</w:t>
      </w:r>
    </w:p>
    <w:p w14:paraId="69667ADF" w14:textId="77777777" w:rsidR="00BE65C8" w:rsidRPr="001A076D" w:rsidRDefault="00BE65C8" w:rsidP="00BE65C8">
      <w:pPr>
        <w:pStyle w:val="NormalWeb"/>
      </w:pPr>
      <w:r w:rsidRPr="001A076D">
        <w:rPr>
          <w:rStyle w:val="Strong"/>
        </w:rPr>
        <w:t>Question 9: How do data quality and lineage affect confidence?</w:t>
      </w:r>
      <w:r w:rsidRPr="001A076D">
        <w:br/>
      </w:r>
      <w:r w:rsidRPr="001A076D">
        <w:rPr>
          <w:rStyle w:val="Strong"/>
        </w:rPr>
        <w:t>Response:</w:t>
      </w:r>
      <w:r w:rsidRPr="001A076D">
        <w:t xml:space="preserve"> They have a direct impact. When data lineage is clearly documented and quality metrics are visible, confidence increases significantly. When that transparency is missing, scepticism tends to follow, even if the model is technically sound.</w:t>
      </w:r>
    </w:p>
    <w:p w14:paraId="1B84AAC9" w14:textId="77777777" w:rsidR="00BE65C8" w:rsidRPr="001A076D" w:rsidRDefault="00BE65C8" w:rsidP="00BE65C8">
      <w:pPr>
        <w:pStyle w:val="NormalWeb"/>
      </w:pPr>
      <w:r w:rsidRPr="001A076D">
        <w:rPr>
          <w:rStyle w:val="Strong"/>
        </w:rPr>
        <w:t>Question 10: Does governance enable or constrain analytics?</w:t>
      </w:r>
      <w:r w:rsidRPr="001A076D">
        <w:br/>
      </w:r>
      <w:r w:rsidRPr="001A076D">
        <w:rPr>
          <w:rStyle w:val="Strong"/>
        </w:rPr>
        <w:t>Response:</w:t>
      </w:r>
      <w:r w:rsidRPr="001A076D">
        <w:t xml:space="preserve"> It can do both. When applied appropriately, governance provides legitimacy and supports adoption. However, if it becomes overly bureaucratic, it can slow down innovation and experimentation.</w:t>
      </w:r>
    </w:p>
    <w:p w14:paraId="4B989877" w14:textId="5BEBCA23" w:rsidR="00BE65C8" w:rsidRPr="001A076D" w:rsidRDefault="00BE65C8" w:rsidP="00BE65C8">
      <w:r w:rsidRPr="001A076D">
        <w:rPr>
          <w:rStyle w:val="Strong"/>
        </w:rPr>
        <w:t>Theme 4: Trust and Explainability (H2, H3, RQ3)</w:t>
      </w:r>
    </w:p>
    <w:p w14:paraId="381DF6F5" w14:textId="77777777" w:rsidR="00BE65C8" w:rsidRPr="001A076D" w:rsidRDefault="00BE65C8" w:rsidP="00BE65C8">
      <w:pPr>
        <w:pStyle w:val="NormalWeb"/>
      </w:pPr>
      <w:r w:rsidRPr="001A076D">
        <w:rPr>
          <w:rStyle w:val="Strong"/>
        </w:rPr>
        <w:t>Question 11: What increases trust in predictive analytics outputs?</w:t>
      </w:r>
      <w:r w:rsidRPr="001A076D">
        <w:br/>
      </w:r>
      <w:r w:rsidRPr="001A076D">
        <w:rPr>
          <w:rStyle w:val="Strong"/>
        </w:rPr>
        <w:t>Response:</w:t>
      </w:r>
      <w:r w:rsidRPr="001A076D">
        <w:t xml:space="preserve"> Trust is built through transparency, particularly around assumptions, scenario comparisons, historical validation, and clear documentation.</w:t>
      </w:r>
    </w:p>
    <w:p w14:paraId="7097D3CB" w14:textId="77777777" w:rsidR="00BE65C8" w:rsidRPr="001A076D" w:rsidRDefault="00BE65C8" w:rsidP="00BE65C8">
      <w:pPr>
        <w:pStyle w:val="NormalWeb"/>
      </w:pPr>
      <w:r w:rsidRPr="001A076D">
        <w:rPr>
          <w:rStyle w:val="Strong"/>
        </w:rPr>
        <w:t>Question 12: What reduces trust?</w:t>
      </w:r>
      <w:r w:rsidRPr="001A076D">
        <w:br/>
      </w:r>
      <w:r w:rsidRPr="001A076D">
        <w:rPr>
          <w:rStyle w:val="Strong"/>
        </w:rPr>
        <w:t>Response:</w:t>
      </w:r>
      <w:r w:rsidRPr="001A076D">
        <w:t xml:space="preserve"> Trust tends to decrease when models are opaque, when data sources are inconsistent, or when outputs contradict operational experience without a clear explanation.</w:t>
      </w:r>
    </w:p>
    <w:p w14:paraId="0BA4F4D5" w14:textId="77777777" w:rsidR="00BE65C8" w:rsidRPr="001A076D" w:rsidRDefault="00BE65C8" w:rsidP="00BE65C8">
      <w:pPr>
        <w:pStyle w:val="NormalWeb"/>
      </w:pPr>
      <w:r w:rsidRPr="001A076D">
        <w:rPr>
          <w:rStyle w:val="Strong"/>
        </w:rPr>
        <w:t>Question 13: How important is explainability?</w:t>
      </w:r>
      <w:r w:rsidRPr="001A076D">
        <w:br/>
      </w:r>
      <w:r w:rsidRPr="001A076D">
        <w:rPr>
          <w:rStyle w:val="Strong"/>
        </w:rPr>
        <w:t>Response:</w:t>
      </w:r>
      <w:r w:rsidRPr="001A076D">
        <w:t xml:space="preserve"> It is absolutely critical. In a regulated environment, decisions must be defensible for regulators, such as Ofgem. An inability to clearly explain even a highly accurate model can pose problems.</w:t>
      </w:r>
    </w:p>
    <w:p w14:paraId="52513A03" w14:textId="77777777" w:rsidR="00BE65C8" w:rsidRPr="001A076D" w:rsidRDefault="00BE65C8" w:rsidP="00BE65C8">
      <w:pPr>
        <w:pStyle w:val="NormalWeb"/>
      </w:pPr>
      <w:r w:rsidRPr="001A076D">
        <w:rPr>
          <w:rStyle w:val="Strong"/>
        </w:rPr>
        <w:t>Question 14: How are ethical and regulatory concerns addressed?</w:t>
      </w:r>
      <w:r w:rsidRPr="001A076D">
        <w:br/>
      </w:r>
      <w:r w:rsidRPr="001A076D">
        <w:rPr>
          <w:rStyle w:val="Strong"/>
        </w:rPr>
        <w:t>Response:</w:t>
      </w:r>
      <w:r w:rsidRPr="001A076D">
        <w:t xml:space="preserve"> These are managed through governance oversight, compliance checks, and cross-functional sign-off before analytics is used in strategic decisions. Regulatory defensibility is a key consideration.</w:t>
      </w:r>
    </w:p>
    <w:p w14:paraId="112B6C7E" w14:textId="77777777" w:rsidR="00BE65C8" w:rsidRPr="001A076D" w:rsidRDefault="00BE65C8" w:rsidP="00BE65C8">
      <w:r w:rsidRPr="001A076D">
        <w:rPr>
          <w:rStyle w:val="Strong"/>
        </w:rPr>
        <w:t>Theme 5: Strategic Decision-Making Impact (H3, RQ3)</w:t>
      </w:r>
    </w:p>
    <w:p w14:paraId="49EDEAB9" w14:textId="593E60E0" w:rsidR="00BE65C8" w:rsidRPr="001A076D" w:rsidRDefault="00BE65C8" w:rsidP="00BE65C8">
      <w:pPr>
        <w:pStyle w:val="NormalWeb"/>
      </w:pPr>
      <w:r w:rsidRPr="001A076D">
        <w:rPr>
          <w:rStyle w:val="Strong"/>
        </w:rPr>
        <w:t>Question 15: Can you provide an example of analytics influencing a strategic decision?</w:t>
      </w:r>
      <w:r w:rsidRPr="001A076D">
        <w:br/>
      </w:r>
      <w:r w:rsidRPr="001A076D">
        <w:rPr>
          <w:rStyle w:val="Strong"/>
        </w:rPr>
        <w:t>Response:</w:t>
      </w:r>
      <w:r w:rsidRPr="001A076D">
        <w:t xml:space="preserve"> One example is a multi-year </w:t>
      </w:r>
      <w:r w:rsidR="00E05C48" w:rsidRPr="001A076D">
        <w:t>demand-forecasting model that influenced the timing of grid-reinforcement</w:t>
      </w:r>
      <w:r w:rsidRPr="001A076D">
        <w:t xml:space="preserve"> investments. The predictive scenarios helped us sequence capital allocation decisions under uncertainty.</w:t>
      </w:r>
    </w:p>
    <w:p w14:paraId="4752A9F3" w14:textId="77777777" w:rsidR="00BE65C8" w:rsidRPr="001A076D" w:rsidRDefault="00BE65C8" w:rsidP="00BE65C8">
      <w:pPr>
        <w:pStyle w:val="NormalWeb"/>
      </w:pPr>
      <w:r w:rsidRPr="001A076D">
        <w:rPr>
          <w:rStyle w:val="Strong"/>
        </w:rPr>
        <w:t>Question 16: Have analytics outputs ever been overridden?</w:t>
      </w:r>
      <w:r w:rsidRPr="001A076D">
        <w:br/>
      </w:r>
      <w:r w:rsidRPr="001A076D">
        <w:rPr>
          <w:rStyle w:val="Strong"/>
        </w:rPr>
        <w:t>Response:</w:t>
      </w:r>
      <w:r w:rsidRPr="001A076D">
        <w:t xml:space="preserve"> Yes, that does happen. In one case, the macroeconomic assumptions within a model were considered unrealistic, so executive judgement was used to adjust the final decision.</w:t>
      </w:r>
    </w:p>
    <w:p w14:paraId="494EBAF3" w14:textId="77777777" w:rsidR="00BE65C8" w:rsidRPr="001A076D" w:rsidRDefault="00BE65C8" w:rsidP="00BE65C8">
      <w:pPr>
        <w:pStyle w:val="NormalWeb"/>
      </w:pPr>
      <w:r w:rsidRPr="001A076D">
        <w:rPr>
          <w:rStyle w:val="Strong"/>
        </w:rPr>
        <w:t>Question 17: How does executive trust affect final decisions?</w:t>
      </w:r>
      <w:r w:rsidRPr="001A076D">
        <w:br/>
      </w:r>
      <w:r w:rsidRPr="001A076D">
        <w:rPr>
          <w:rStyle w:val="Strong"/>
        </w:rPr>
        <w:t>Response:</w:t>
      </w:r>
      <w:r w:rsidRPr="001A076D">
        <w:t xml:space="preserve"> When trust is high, analytics plays a central role in shaping the decision. When trust is lower, it becomes more of a supporting input and can be overridden more easily.</w:t>
      </w:r>
    </w:p>
    <w:p w14:paraId="6C66D6CA" w14:textId="25E646BC" w:rsidR="00BE65C8" w:rsidRPr="001A076D" w:rsidRDefault="00BE65C8" w:rsidP="00BE65C8">
      <w:r w:rsidRPr="001A076D">
        <w:rPr>
          <w:rStyle w:val="Strong"/>
        </w:rPr>
        <w:t>Theme 6: Barriers and Enablers</w:t>
      </w:r>
    </w:p>
    <w:p w14:paraId="404AED68" w14:textId="77777777" w:rsidR="00BE65C8" w:rsidRPr="001A076D" w:rsidRDefault="00BE65C8" w:rsidP="00BE65C8">
      <w:pPr>
        <w:pStyle w:val="NormalWeb"/>
      </w:pPr>
      <w:r w:rsidRPr="001A076D">
        <w:rPr>
          <w:rStyle w:val="Strong"/>
        </w:rPr>
        <w:lastRenderedPageBreak/>
        <w:t>Question 18: What are the main organisational barriers?</w:t>
      </w:r>
      <w:r w:rsidRPr="001A076D">
        <w:br/>
      </w:r>
      <w:r w:rsidRPr="001A076D">
        <w:rPr>
          <w:rStyle w:val="Strong"/>
        </w:rPr>
        <w:t>Response:</w:t>
      </w:r>
      <w:r w:rsidRPr="001A076D">
        <w:t xml:space="preserve"> Key challenges include legacy systems, fragmented data, uneven levels of data literacy, and general change fatigue from ongoing transformation programmes.</w:t>
      </w:r>
    </w:p>
    <w:p w14:paraId="15828986" w14:textId="77777777" w:rsidR="00BE65C8" w:rsidRPr="001A076D" w:rsidRDefault="00BE65C8" w:rsidP="00BE65C8">
      <w:pPr>
        <w:pStyle w:val="NormalWeb"/>
      </w:pPr>
      <w:r w:rsidRPr="001A076D">
        <w:rPr>
          <w:rStyle w:val="Strong"/>
        </w:rPr>
        <w:t>Question 19: How do culture, literacy, or regulation shape adoption?</w:t>
      </w:r>
      <w:r w:rsidRPr="001A076D">
        <w:br/>
      </w:r>
      <w:r w:rsidRPr="001A076D">
        <w:rPr>
          <w:rStyle w:val="Strong"/>
        </w:rPr>
        <w:t>Response:</w:t>
      </w:r>
      <w:r w:rsidRPr="001A076D">
        <w:t xml:space="preserve"> Regulation tends to increase caution, which raises the threshold for adopting analytics. Culture significantly influences whether people embrace analytics as a partner or perceive it as a challenge.</w:t>
      </w:r>
    </w:p>
    <w:p w14:paraId="4BE28BE2" w14:textId="77777777" w:rsidR="00BE65C8" w:rsidRPr="001A076D" w:rsidRDefault="00BE65C8" w:rsidP="00BE65C8">
      <w:pPr>
        <w:pStyle w:val="NormalWeb"/>
      </w:pPr>
      <w:r w:rsidRPr="001A076D">
        <w:rPr>
          <w:rStyle w:val="Strong"/>
        </w:rPr>
        <w:t>Question 20: What most strongly enables embedding analytics?</w:t>
      </w:r>
      <w:r w:rsidRPr="001A076D">
        <w:br/>
      </w:r>
      <w:r w:rsidRPr="001A076D">
        <w:rPr>
          <w:rStyle w:val="Strong"/>
        </w:rPr>
        <w:t>Response:</w:t>
      </w:r>
      <w:r w:rsidRPr="001A076D">
        <w:t xml:space="preserve"> Consistent leadership support, clear governance structures, high-quality data, and visible success stories all play a crucial role.</w:t>
      </w:r>
    </w:p>
    <w:p w14:paraId="4D1D2B67" w14:textId="012192A5" w:rsidR="00BE65C8" w:rsidRPr="001A076D" w:rsidRDefault="00BE65C8" w:rsidP="00BE65C8">
      <w:r w:rsidRPr="001A076D">
        <w:rPr>
          <w:rStyle w:val="Strong"/>
        </w:rPr>
        <w:t>Theme 7: Integration and Reflection</w:t>
      </w:r>
    </w:p>
    <w:p w14:paraId="7316E123" w14:textId="77777777" w:rsidR="00BE65C8" w:rsidRPr="001A076D" w:rsidRDefault="00BE65C8" w:rsidP="00BE65C8">
      <w:pPr>
        <w:pStyle w:val="NormalWeb"/>
      </w:pPr>
      <w:r w:rsidRPr="001A076D">
        <w:rPr>
          <w:rStyle w:val="Strong"/>
        </w:rPr>
        <w:t>Question 21: What conditions are necessary for executive-level trust?</w:t>
      </w:r>
      <w:r w:rsidRPr="001A076D">
        <w:br/>
      </w:r>
      <w:r w:rsidRPr="001A076D">
        <w:rPr>
          <w:rStyle w:val="Strong"/>
        </w:rPr>
        <w:t>Response:</w:t>
      </w:r>
      <w:r w:rsidRPr="001A076D">
        <w:t xml:space="preserve"> Trust depends on clear governance accountability, well-documented data lineage, transparent assumptions, regulatory defensibility, and evidence of past accuracy.</w:t>
      </w:r>
    </w:p>
    <w:p w14:paraId="4FC7E9EF" w14:textId="77777777" w:rsidR="00BE65C8" w:rsidRPr="001A076D" w:rsidRDefault="00BE65C8" w:rsidP="00BE65C8">
      <w:pPr>
        <w:pStyle w:val="NormalWeb"/>
      </w:pPr>
      <w:r w:rsidRPr="001A076D">
        <w:rPr>
          <w:rStyle w:val="Strong"/>
        </w:rPr>
        <w:t>Question 22: How could governance and capability better support strategic use?</w:t>
      </w:r>
      <w:r w:rsidRPr="001A076D">
        <w:br/>
      </w:r>
      <w:r w:rsidRPr="001A076D">
        <w:rPr>
          <w:rStyle w:val="Strong"/>
        </w:rPr>
        <w:t>Response:</w:t>
      </w:r>
      <w:r w:rsidRPr="001A076D">
        <w:t xml:space="preserve"> Governance needs to be more closely integrated into strategic processes rather than treated purely as a compliance function. When positioned correctly, it becomes a strategic enabler.</w:t>
      </w:r>
    </w:p>
    <w:p w14:paraId="43665728" w14:textId="34546A92" w:rsidR="00BE65C8" w:rsidRPr="001A076D" w:rsidRDefault="00BE65C8" w:rsidP="00BE65C8">
      <w:pPr>
        <w:pStyle w:val="NormalWeb"/>
      </w:pPr>
      <w:r w:rsidRPr="001A076D">
        <w:rPr>
          <w:rStyle w:val="Strong"/>
        </w:rPr>
        <w:t>Question 23: Is there anything else critical to understanding readiness?</w:t>
      </w:r>
      <w:r w:rsidRPr="001A076D">
        <w:br/>
      </w:r>
      <w:r w:rsidRPr="001A076D">
        <w:rPr>
          <w:rStyle w:val="Strong"/>
        </w:rPr>
        <w:t>Response:</w:t>
      </w:r>
      <w:r w:rsidRPr="001A076D">
        <w:t xml:space="preserve"> Readiness is not just about having the right models. It is about whether the organisation is prepared to trust and act on insights, particularly under regulatory scrutiny. </w:t>
      </w:r>
      <w:r w:rsidR="005977AD" w:rsidRPr="001A076D">
        <w:t>In this context, strategy fundamentally links governance and trust.</w:t>
      </w:r>
    </w:p>
    <w:p w14:paraId="482A717F" w14:textId="77777777" w:rsidR="00BE65C8" w:rsidRPr="001A076D" w:rsidRDefault="00BE65C8" w:rsidP="00BE65C8">
      <w:pPr>
        <w:pStyle w:val="NormalWeb"/>
      </w:pPr>
      <w:r w:rsidRPr="001A076D">
        <w:rPr>
          <w:rStyle w:val="Strong"/>
        </w:rPr>
        <w:t>Participant Code:</w:t>
      </w:r>
      <w:r w:rsidRPr="001A076D">
        <w:t xml:space="preserve"> P2</w:t>
      </w:r>
      <w:r w:rsidRPr="001A076D">
        <w:br/>
      </w:r>
      <w:r w:rsidRPr="001A076D">
        <w:rPr>
          <w:rStyle w:val="Strong"/>
        </w:rPr>
        <w:t>Role:</w:t>
      </w:r>
      <w:r w:rsidRPr="001A076D">
        <w:t xml:space="preserve"> Executive Director – Enterprise Risk &amp; Corporate Strategy</w:t>
      </w:r>
      <w:r w:rsidRPr="001A076D">
        <w:br/>
      </w:r>
      <w:r w:rsidRPr="001A076D">
        <w:rPr>
          <w:rStyle w:val="Strong"/>
        </w:rPr>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58 minutes</w:t>
      </w:r>
    </w:p>
    <w:p w14:paraId="0056EE34" w14:textId="00294755"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21FCDF63" w14:textId="77777777" w:rsidR="00BE65C8" w:rsidRPr="001A076D" w:rsidRDefault="00BE65C8" w:rsidP="00BE65C8">
      <w:r w:rsidRPr="001A076D">
        <w:rPr>
          <w:rStyle w:val="Strong"/>
        </w:rPr>
        <w:t>Theme 1: Role and Context (RQ2)</w:t>
      </w:r>
    </w:p>
    <w:p w14:paraId="7D12B008" w14:textId="3F59FDEE" w:rsidR="00BE65C8" w:rsidRPr="001A076D" w:rsidRDefault="00BE65C8" w:rsidP="00BE65C8">
      <w:pPr>
        <w:pStyle w:val="NormalWeb"/>
      </w:pPr>
      <w:r w:rsidRPr="001A076D">
        <w:rPr>
          <w:rStyle w:val="Strong"/>
        </w:rPr>
        <w:t>Question 1: Can you describe your role and responsibilities within SSE PLC?</w:t>
      </w:r>
      <w:r w:rsidRPr="001A076D">
        <w:br/>
      </w:r>
      <w:r w:rsidRPr="001A076D">
        <w:rPr>
          <w:rStyle w:val="Strong"/>
        </w:rPr>
        <w:t>Response:</w:t>
      </w:r>
      <w:r w:rsidRPr="001A076D">
        <w:t xml:space="preserve"> I lead enterprise risk management </w:t>
      </w:r>
      <w:r w:rsidR="00E05C48" w:rsidRPr="001A076D">
        <w:t>and contribute to corporate strategy development</w:t>
      </w:r>
      <w:r w:rsidRPr="001A076D">
        <w:t>. My role involves ensuring that strategic decisions are risk-informed, financially sound, regulator-ready, and aligned with long-term sustainability goals. This includes working across investment planning, regulatory engagement, and board-level reporting.</w:t>
      </w:r>
    </w:p>
    <w:p w14:paraId="50F80DAE" w14:textId="77777777" w:rsidR="00BE65C8" w:rsidRPr="001A076D" w:rsidRDefault="00BE65C8" w:rsidP="00BE65C8">
      <w:pPr>
        <w:pStyle w:val="NormalWeb"/>
      </w:pPr>
      <w:r w:rsidRPr="001A076D">
        <w:rPr>
          <w:rStyle w:val="Strong"/>
        </w:rPr>
        <w:t>Question 2: How does predictive analytics feature in your day-to-day work?</w:t>
      </w:r>
      <w:r w:rsidRPr="001A076D">
        <w:br/>
      </w:r>
      <w:r w:rsidRPr="001A076D">
        <w:rPr>
          <w:rStyle w:val="Strong"/>
        </w:rPr>
        <w:t>Response:</w:t>
      </w:r>
      <w:r w:rsidRPr="001A076D">
        <w:t xml:space="preserve"> Predictive analytics plays an increasingly important role in how we approach risk modelling, scenario analysis, and long-term resilience planning. We use it to assess demand volatility, asset failure probabilities, carbon transition pathways, and financial exposure under </w:t>
      </w:r>
      <w:r w:rsidRPr="001A076D">
        <w:lastRenderedPageBreak/>
        <w:t>different market or regulatory conditions. It helps shift our approach from reactive management to more structured, forward-looking decision-making.</w:t>
      </w:r>
    </w:p>
    <w:p w14:paraId="57319FE8" w14:textId="77777777" w:rsidR="00BE65C8" w:rsidRPr="001A076D" w:rsidRDefault="00BE65C8" w:rsidP="00BE65C8">
      <w:pPr>
        <w:pStyle w:val="NormalWeb"/>
      </w:pPr>
      <w:r w:rsidRPr="001A076D">
        <w:rPr>
          <w:rStyle w:val="Strong"/>
        </w:rPr>
        <w:t>Question 3: In what types of decisions are analytics outputs most commonly used?</w:t>
      </w:r>
      <w:r w:rsidRPr="001A076D">
        <w:br/>
      </w:r>
      <w:r w:rsidRPr="001A076D">
        <w:rPr>
          <w:rStyle w:val="Strong"/>
        </w:rPr>
        <w:t>Response:</w:t>
      </w:r>
      <w:r w:rsidRPr="001A076D">
        <w:t xml:space="preserve"> Its strongest application is in strategic decision-making, particularly around investment timing, infrastructure prioritisation, and decarbonisation sequencing. At a more tactical level, it supports risk monitoring and performance forecasting. Operational use tends to sit more within asset-focused teams.</w:t>
      </w:r>
    </w:p>
    <w:p w14:paraId="25D05D00" w14:textId="77777777" w:rsidR="00BE65C8" w:rsidRPr="001A076D" w:rsidRDefault="00BE65C8" w:rsidP="00BE65C8">
      <w:r w:rsidRPr="001A076D">
        <w:rPr>
          <w:rStyle w:val="Strong"/>
        </w:rPr>
        <w:t>Theme 2: Predictive Analytics Capability and Readiness (H1, RQ2)</w:t>
      </w:r>
    </w:p>
    <w:p w14:paraId="458C9B0C" w14:textId="77777777" w:rsidR="00BE65C8" w:rsidRPr="001A076D" w:rsidRDefault="00BE65C8" w:rsidP="00BE65C8">
      <w:pPr>
        <w:pStyle w:val="NormalWeb"/>
      </w:pPr>
      <w:r w:rsidRPr="001A076D">
        <w:rPr>
          <w:rStyle w:val="Strong"/>
        </w:rPr>
        <w:t>Question 4: How would you describe SSE’s current capability in predictive analytics?</w:t>
      </w:r>
      <w:r w:rsidRPr="001A076D">
        <w:br/>
      </w:r>
      <w:r w:rsidRPr="001A076D">
        <w:rPr>
          <w:rStyle w:val="Strong"/>
        </w:rPr>
        <w:t>Response:</w:t>
      </w:r>
      <w:r w:rsidRPr="001A076D">
        <w:t xml:space="preserve"> We have credible modelling capabilities, especially in forecasting and scenario planning. However, readiness varies across different parts of the organisation. While the capability exists, it has not yet been fully integrated at an enterprise level, so maturity remains uneven.</w:t>
      </w:r>
    </w:p>
    <w:p w14:paraId="3E24F13A" w14:textId="4A27B574" w:rsidR="00BE65C8" w:rsidRPr="001A076D" w:rsidRDefault="00BE65C8" w:rsidP="00BE65C8">
      <w:pPr>
        <w:pStyle w:val="NormalWeb"/>
      </w:pPr>
      <w:r w:rsidRPr="001A076D">
        <w:rPr>
          <w:rStyle w:val="Strong"/>
        </w:rPr>
        <w:t>Question 5: To what extent do leadership practices influence the use of analytics?</w:t>
      </w:r>
      <w:r w:rsidRPr="001A076D">
        <w:br/>
      </w:r>
      <w:r w:rsidRPr="001A076D">
        <w:rPr>
          <w:rStyle w:val="Strong"/>
        </w:rPr>
        <w:t>Response:</w:t>
      </w:r>
      <w:r w:rsidRPr="001A076D">
        <w:t xml:space="preserve"> Leadership behaviours are </w:t>
      </w:r>
      <w:r w:rsidR="005977AD" w:rsidRPr="001A076D">
        <w:t>key factors.</w:t>
      </w:r>
      <w:r w:rsidRPr="001A076D">
        <w:t xml:space="preserve"> When executives consistently expect evidence-based reasoning, analytics becomes embedded in decision-making. Where intuition is prioritised, analytics tends to be treated </w:t>
      </w:r>
      <w:r w:rsidR="005977AD" w:rsidRPr="001A076D">
        <w:t>as a supporting</w:t>
      </w:r>
      <w:r w:rsidRPr="001A076D">
        <w:t xml:space="preserve"> input rather </w:t>
      </w:r>
      <w:r w:rsidR="0088535B" w:rsidRPr="001A076D">
        <w:t>than as a</w:t>
      </w:r>
      <w:r w:rsidRPr="001A076D">
        <w:t xml:space="preserve"> core driver.</w:t>
      </w:r>
    </w:p>
    <w:p w14:paraId="2A471E0E" w14:textId="1A355A41" w:rsidR="00BE65C8" w:rsidRPr="001A076D" w:rsidRDefault="00BE65C8" w:rsidP="00BE65C8">
      <w:pPr>
        <w:pStyle w:val="NormalWeb"/>
      </w:pPr>
      <w:r w:rsidRPr="001A076D">
        <w:rPr>
          <w:rStyle w:val="Strong"/>
        </w:rPr>
        <w:t>Question 6: How would you characterise organisational attitudes toward data-driven decision-making?</w:t>
      </w:r>
      <w:r w:rsidRPr="001A076D">
        <w:br/>
      </w:r>
      <w:r w:rsidRPr="001A076D">
        <w:rPr>
          <w:rStyle w:val="Strong"/>
        </w:rPr>
        <w:t>Response:</w:t>
      </w:r>
      <w:r w:rsidRPr="001A076D">
        <w:t xml:space="preserve"> The organisation is broadly supportive, but there is a degree of caution. Given the regulatory environment, there is a clear preference for well-governed, defensible analytics </w:t>
      </w:r>
      <w:r w:rsidR="00C9337E" w:rsidRPr="001A076D">
        <w:t>over unstructured experimentation</w:t>
      </w:r>
      <w:r w:rsidRPr="001A076D">
        <w:t>.</w:t>
      </w:r>
    </w:p>
    <w:p w14:paraId="0558CCB7" w14:textId="77777777" w:rsidR="00BE65C8" w:rsidRPr="001A076D" w:rsidRDefault="00BE65C8" w:rsidP="00BE65C8">
      <w:pPr>
        <w:pStyle w:val="NormalWeb"/>
      </w:pPr>
      <w:r w:rsidRPr="001A076D">
        <w:rPr>
          <w:rStyle w:val="Strong"/>
        </w:rPr>
        <w:t>Question 7: Are analytical skills sufficient at senior levels? Why or why not?</w:t>
      </w:r>
      <w:r w:rsidRPr="001A076D">
        <w:br/>
      </w:r>
      <w:r w:rsidRPr="001A076D">
        <w:rPr>
          <w:rStyle w:val="Strong"/>
        </w:rPr>
        <w:t>Response:</w:t>
      </w:r>
      <w:r w:rsidRPr="001A076D">
        <w:t xml:space="preserve"> There is a strong level of strategic literacy; leaders understand both the value and the limitations of predictive models. However, deeper technical understanding is less common, which increases reliance on translation by analytics teams and on governance frameworks to support interpretation.</w:t>
      </w:r>
    </w:p>
    <w:p w14:paraId="3AB242DA" w14:textId="77777777" w:rsidR="00BE65C8" w:rsidRPr="001A076D" w:rsidRDefault="00BE65C8" w:rsidP="00BE65C8">
      <w:r w:rsidRPr="001A076D">
        <w:rPr>
          <w:rStyle w:val="Strong"/>
        </w:rPr>
        <w:t>Theme 3: Data Governance Maturity (H2, H4, RQ1)</w:t>
      </w:r>
    </w:p>
    <w:p w14:paraId="63BB6BC7" w14:textId="77777777" w:rsidR="00BE65C8" w:rsidRPr="001A076D" w:rsidRDefault="00BE65C8" w:rsidP="00BE65C8">
      <w:pPr>
        <w:pStyle w:val="NormalWeb"/>
      </w:pPr>
      <w:r w:rsidRPr="001A076D">
        <w:rPr>
          <w:rStyle w:val="Strong"/>
        </w:rPr>
        <w:t>Question 8: How clear are data ownership and governance responsibilities?</w:t>
      </w:r>
      <w:r w:rsidRPr="001A076D">
        <w:br/>
      </w:r>
      <w:r w:rsidRPr="001A076D">
        <w:rPr>
          <w:rStyle w:val="Strong"/>
        </w:rPr>
        <w:t>Response:</w:t>
      </w:r>
      <w:r w:rsidRPr="001A076D">
        <w:t xml:space="preserve"> Governance structures have improved significantly over time, and data ownership is now more clearly defined. However, there is still some inconsistency in how these responsibilities are applied across different business units.</w:t>
      </w:r>
    </w:p>
    <w:p w14:paraId="28228F2E" w14:textId="424E552E" w:rsidR="00BE65C8" w:rsidRPr="001A076D" w:rsidRDefault="00BE65C8" w:rsidP="00BE65C8">
      <w:pPr>
        <w:pStyle w:val="NormalWeb"/>
      </w:pPr>
      <w:r w:rsidRPr="001A076D">
        <w:rPr>
          <w:rStyle w:val="Strong"/>
        </w:rPr>
        <w:t>Question 9: How do data quality, metadata, or lineage practices affect confidence?</w:t>
      </w:r>
      <w:r w:rsidRPr="001A076D">
        <w:br/>
      </w:r>
      <w:r w:rsidRPr="001A076D">
        <w:rPr>
          <w:rStyle w:val="Strong"/>
        </w:rPr>
        <w:t>Response:</w:t>
      </w:r>
      <w:r w:rsidRPr="001A076D">
        <w:t xml:space="preserve"> They are absolutely fundamental. Confidence at an </w:t>
      </w:r>
      <w:proofErr w:type="gramStart"/>
      <w:r w:rsidRPr="001A076D">
        <w:t>executive level increases</w:t>
      </w:r>
      <w:proofErr w:type="gramEnd"/>
      <w:r w:rsidRPr="001A076D">
        <w:t xml:space="preserve"> when data lineage is visible</w:t>
      </w:r>
      <w:r w:rsidR="00C9337E" w:rsidRPr="001A076D">
        <w:t>,</w:t>
      </w:r>
      <w:r w:rsidRPr="001A076D">
        <w:t xml:space="preserve"> and assumptions can be clearly traced. Where metadata is incomplete or unclear, trust can decline rapidly.</w:t>
      </w:r>
    </w:p>
    <w:p w14:paraId="50DBA20A" w14:textId="5DA22697" w:rsidR="00BE65C8" w:rsidRPr="001A076D" w:rsidRDefault="00BE65C8" w:rsidP="00BE65C8">
      <w:pPr>
        <w:pStyle w:val="NormalWeb"/>
      </w:pPr>
      <w:r w:rsidRPr="001A076D">
        <w:rPr>
          <w:rStyle w:val="Strong"/>
        </w:rPr>
        <w:t>Question 10: Does governance enable or constrain strategic analytics use?</w:t>
      </w:r>
      <w:r w:rsidRPr="001A076D">
        <w:br/>
      </w:r>
      <w:r w:rsidRPr="001A076D">
        <w:rPr>
          <w:rStyle w:val="Strong"/>
        </w:rPr>
        <w:t>Response:</w:t>
      </w:r>
      <w:r w:rsidRPr="001A076D">
        <w:t xml:space="preserve"> In most cases, governance enables analytics by providing legitimacy and structure. It becomes constraining only when it is overly bureaucratic or </w:t>
      </w:r>
      <w:r w:rsidR="00C9337E" w:rsidRPr="001A076D">
        <w:t>misaligned with strategic priorities, which can lead to inefficiencies and hinder decision-making</w:t>
      </w:r>
      <w:r w:rsidRPr="001A076D">
        <w:t xml:space="preserve">. When </w:t>
      </w:r>
      <w:r w:rsidR="00C9337E" w:rsidRPr="001A076D">
        <w:t xml:space="preserve">properly balanced, governance </w:t>
      </w:r>
      <w:r w:rsidRPr="001A076D">
        <w:t>strengthens institutional trust.</w:t>
      </w:r>
    </w:p>
    <w:p w14:paraId="14E43AAB" w14:textId="5DB1A6DD" w:rsidR="00BE65C8" w:rsidRPr="001A076D" w:rsidRDefault="00BE65C8" w:rsidP="00BE65C8">
      <w:r w:rsidRPr="001A076D">
        <w:rPr>
          <w:rStyle w:val="Strong"/>
        </w:rPr>
        <w:lastRenderedPageBreak/>
        <w:t>Theme 4: Trust and Explainability (H2, H3, RQ3)</w:t>
      </w:r>
    </w:p>
    <w:p w14:paraId="12AB6E37" w14:textId="77777777" w:rsidR="00BE65C8" w:rsidRPr="001A076D" w:rsidRDefault="00BE65C8" w:rsidP="00BE65C8">
      <w:pPr>
        <w:pStyle w:val="NormalWeb"/>
      </w:pPr>
      <w:r w:rsidRPr="001A076D">
        <w:rPr>
          <w:rStyle w:val="Strong"/>
        </w:rPr>
        <w:t>Question 11: What factors increase trust in predictive analytics outputs?</w:t>
      </w:r>
      <w:r w:rsidRPr="001A076D">
        <w:br/>
      </w:r>
      <w:r w:rsidRPr="001A076D">
        <w:rPr>
          <w:rStyle w:val="Strong"/>
        </w:rPr>
        <w:t>Response:</w:t>
      </w:r>
      <w:r w:rsidRPr="001A076D">
        <w:t xml:space="preserve"> Trust is built through transparency, particularly around model assumptions, historical validation, sensitivity analysis, and clear documentation. Alignment with regulatory expectations is also critical.</w:t>
      </w:r>
    </w:p>
    <w:p w14:paraId="55B00161" w14:textId="53A5A834" w:rsidR="00BE65C8" w:rsidRPr="001A076D" w:rsidRDefault="00BE65C8" w:rsidP="00BE65C8">
      <w:pPr>
        <w:pStyle w:val="NormalWeb"/>
      </w:pPr>
      <w:r w:rsidRPr="001A076D">
        <w:rPr>
          <w:rStyle w:val="Strong"/>
        </w:rPr>
        <w:t>Question 12: What reduces trust?</w:t>
      </w:r>
      <w:r w:rsidRPr="001A076D">
        <w:br/>
      </w:r>
      <w:r w:rsidRPr="001A076D">
        <w:rPr>
          <w:rStyle w:val="Strong"/>
        </w:rPr>
        <w:t>Response:</w:t>
      </w:r>
      <w:r w:rsidRPr="001A076D">
        <w:t xml:space="preserve"> Trust is undermined when models lack transparency, when there are inconsistencies in the data, or when outputs conflict with operational experience without sufficient explanation. Overconfidence in projections, especially </w:t>
      </w:r>
      <w:r w:rsidR="00C9337E" w:rsidRPr="001A076D">
        <w:t>when uncertainty is not acknowledged</w:t>
      </w:r>
      <w:r w:rsidRPr="001A076D">
        <w:t>, can also reduce credibility.</w:t>
      </w:r>
    </w:p>
    <w:p w14:paraId="5C31D86D" w14:textId="77777777" w:rsidR="00BE65C8" w:rsidRPr="001A076D" w:rsidRDefault="00BE65C8" w:rsidP="00BE65C8">
      <w:pPr>
        <w:pStyle w:val="NormalWeb"/>
      </w:pPr>
      <w:r w:rsidRPr="001A076D">
        <w:rPr>
          <w:rStyle w:val="Strong"/>
        </w:rPr>
        <w:t>Question 13: How important is explainability?</w:t>
      </w:r>
      <w:r w:rsidRPr="001A076D">
        <w:br/>
      </w:r>
      <w:r w:rsidRPr="001A076D">
        <w:rPr>
          <w:rStyle w:val="Strong"/>
        </w:rPr>
        <w:t>Response:</w:t>
      </w:r>
      <w:r w:rsidRPr="001A076D">
        <w:t xml:space="preserve"> It is absolutely critical. In a regulated infrastructure environment, every strategic decision must be defensible. Explainability is not optional; it is essential for gaining board-level confidence and approval.</w:t>
      </w:r>
    </w:p>
    <w:p w14:paraId="7F48C6E7" w14:textId="77777777" w:rsidR="00BE65C8" w:rsidRPr="001A076D" w:rsidRDefault="00BE65C8" w:rsidP="00BE65C8">
      <w:pPr>
        <w:pStyle w:val="NormalWeb"/>
      </w:pPr>
      <w:r w:rsidRPr="001A076D">
        <w:rPr>
          <w:rStyle w:val="Strong"/>
        </w:rPr>
        <w:t>Question 14: How are ethical, regulatory, or compliance concerns addressed?</w:t>
      </w:r>
      <w:r w:rsidRPr="001A076D">
        <w:br/>
      </w:r>
      <w:r w:rsidRPr="001A076D">
        <w:rPr>
          <w:rStyle w:val="Strong"/>
        </w:rPr>
        <w:t>Response:</w:t>
      </w:r>
      <w:r w:rsidRPr="001A076D">
        <w:t xml:space="preserve"> These are addressed through governance forums, risk committees, compliance reviews, and cross-functional validation before any analytics is used to support strategic decisions.</w:t>
      </w:r>
    </w:p>
    <w:p w14:paraId="26038F0B" w14:textId="77777777" w:rsidR="00BE65C8" w:rsidRPr="001A076D" w:rsidRDefault="00BE65C8" w:rsidP="00BE65C8">
      <w:r w:rsidRPr="001A076D">
        <w:rPr>
          <w:rStyle w:val="Strong"/>
        </w:rPr>
        <w:t>Theme 5: Strategic Decision-Making Impact (H3, RQ3)</w:t>
      </w:r>
    </w:p>
    <w:p w14:paraId="71936DE3" w14:textId="2F7DFEE5" w:rsidR="00BE65C8" w:rsidRPr="001A076D" w:rsidRDefault="00BE65C8" w:rsidP="00BE65C8">
      <w:pPr>
        <w:pStyle w:val="NormalWeb"/>
      </w:pPr>
      <w:r w:rsidRPr="001A076D">
        <w:rPr>
          <w:rStyle w:val="Strong"/>
        </w:rPr>
        <w:t>Question 15: Can you describe a situation where predictive analytics influenced a strategic decision?</w:t>
      </w:r>
      <w:r w:rsidRPr="001A076D">
        <w:br/>
      </w:r>
      <w:r w:rsidRPr="001A076D">
        <w:rPr>
          <w:rStyle w:val="Strong"/>
        </w:rPr>
        <w:t>Response:</w:t>
      </w:r>
      <w:r w:rsidRPr="001A076D">
        <w:t xml:space="preserve"> A positive example is a long-term network reinforcement programme. Predictive demand modelling highlighted changes in load trajectories </w:t>
      </w:r>
      <w:r w:rsidR="00C9337E" w:rsidRPr="001A076D">
        <w:t>across different decarbonisation scenarios, ultimately reshaping</w:t>
      </w:r>
      <w:r w:rsidRPr="001A076D">
        <w:t xml:space="preserve"> the sequencing of capital investment decisions.</w:t>
      </w:r>
    </w:p>
    <w:p w14:paraId="3FEB95F3" w14:textId="77777777" w:rsidR="00BE65C8" w:rsidRPr="001A076D" w:rsidRDefault="00BE65C8" w:rsidP="00BE65C8">
      <w:pPr>
        <w:pStyle w:val="NormalWeb"/>
      </w:pPr>
      <w:r w:rsidRPr="001A076D">
        <w:rPr>
          <w:rStyle w:val="Strong"/>
        </w:rPr>
        <w:t>Question 16: Have analytics outputs ever been overridden? Why?</w:t>
      </w:r>
      <w:r w:rsidRPr="001A076D">
        <w:br/>
      </w:r>
      <w:r w:rsidRPr="001A076D">
        <w:rPr>
          <w:rStyle w:val="Strong"/>
        </w:rPr>
        <w:t>Response:</w:t>
      </w:r>
      <w:r w:rsidRPr="001A076D">
        <w:t xml:space="preserve"> Yes, that does happen. In one case, geopolitical uncertainty was not adequately reflected in the model assumptions, so executive judgement was used to adjust the final decision framework.</w:t>
      </w:r>
    </w:p>
    <w:p w14:paraId="4BE4681D" w14:textId="77777777" w:rsidR="00BE65C8" w:rsidRPr="001A076D" w:rsidRDefault="00BE65C8" w:rsidP="00BE65C8">
      <w:pPr>
        <w:pStyle w:val="NormalWeb"/>
      </w:pPr>
      <w:r w:rsidRPr="001A076D">
        <w:rPr>
          <w:rStyle w:val="Strong"/>
        </w:rPr>
        <w:t>Question 17: How does executive trust affect whether analytics informs final decisions?</w:t>
      </w:r>
      <w:r w:rsidRPr="001A076D">
        <w:br/>
      </w:r>
      <w:r w:rsidRPr="001A076D">
        <w:rPr>
          <w:rStyle w:val="Strong"/>
        </w:rPr>
        <w:t>Response:</w:t>
      </w:r>
      <w:r w:rsidRPr="001A076D">
        <w:t xml:space="preserve"> Trust acts as a key mediator. When trust is high, analytics shapes the strategic discussion. When it is lower, analytics still informs the conversation but does not anchor the final decision.</w:t>
      </w:r>
    </w:p>
    <w:p w14:paraId="147AFC66" w14:textId="5326C6D0" w:rsidR="00BE65C8" w:rsidRPr="001A076D" w:rsidRDefault="00BE65C8" w:rsidP="00BE65C8">
      <w:r w:rsidRPr="001A076D">
        <w:rPr>
          <w:rStyle w:val="Strong"/>
        </w:rPr>
        <w:t>Theme 6: Barriers and Enablers</w:t>
      </w:r>
    </w:p>
    <w:p w14:paraId="4D31A30E" w14:textId="77777777" w:rsidR="00BE65C8" w:rsidRPr="001A076D" w:rsidRDefault="00BE65C8" w:rsidP="00BE65C8">
      <w:pPr>
        <w:pStyle w:val="NormalWeb"/>
      </w:pPr>
      <w:r w:rsidRPr="001A076D">
        <w:rPr>
          <w:rStyle w:val="Strong"/>
        </w:rPr>
        <w:t>Question 18: What organisational barriers limit effective use?</w:t>
      </w:r>
      <w:r w:rsidRPr="001A076D">
        <w:br/>
      </w:r>
      <w:r w:rsidRPr="001A076D">
        <w:rPr>
          <w:rStyle w:val="Strong"/>
        </w:rPr>
        <w:t>Response:</w:t>
      </w:r>
      <w:r w:rsidRPr="001A076D">
        <w:t xml:space="preserve"> Common barriers include legacy systems, siloed data environments, uneven levels of data literacy, and change fatigue resulting from multiple transformation initiatives.</w:t>
      </w:r>
    </w:p>
    <w:p w14:paraId="04492D4D" w14:textId="77777777" w:rsidR="00BE65C8" w:rsidRPr="001A076D" w:rsidRDefault="00BE65C8" w:rsidP="00BE65C8">
      <w:pPr>
        <w:pStyle w:val="NormalWeb"/>
      </w:pPr>
      <w:r w:rsidRPr="001A076D">
        <w:rPr>
          <w:rStyle w:val="Strong"/>
        </w:rPr>
        <w:t>Question 19: How do culture, literacy, or regulatory pressures shape adoption?</w:t>
      </w:r>
      <w:r w:rsidRPr="001A076D">
        <w:br/>
      </w:r>
      <w:r w:rsidRPr="001A076D">
        <w:rPr>
          <w:rStyle w:val="Strong"/>
        </w:rPr>
        <w:t>Response:</w:t>
      </w:r>
      <w:r w:rsidRPr="001A076D">
        <w:t xml:space="preserve"> Regulation raises the bar for adoption, meaning models must be robust and understandable. Culture, on the other hand, determines whether analytics is embraced as a valuable partner or considered a challenge to established experience.</w:t>
      </w:r>
    </w:p>
    <w:p w14:paraId="065B94F4" w14:textId="105764ED" w:rsidR="00BE65C8" w:rsidRPr="001A076D" w:rsidRDefault="00BE65C8" w:rsidP="00BE65C8">
      <w:pPr>
        <w:pStyle w:val="NormalWeb"/>
      </w:pPr>
      <w:r w:rsidRPr="001A076D">
        <w:rPr>
          <w:rStyle w:val="Strong"/>
        </w:rPr>
        <w:lastRenderedPageBreak/>
        <w:t>Question 20: What most strongly enables embedding analytics into decision-making?</w:t>
      </w:r>
      <w:r w:rsidRPr="001A076D">
        <w:br/>
      </w:r>
      <w:r w:rsidRPr="001A076D">
        <w:rPr>
          <w:rStyle w:val="Strong"/>
        </w:rPr>
        <w:t>Response:</w:t>
      </w:r>
      <w:r w:rsidRPr="001A076D">
        <w:t xml:space="preserve"> Consistent leadership behaviour, strong governance alignment, clear accountability, and visible examples of predictive success all play </w:t>
      </w:r>
      <w:r w:rsidR="005977AD" w:rsidRPr="001A076D">
        <w:t>important roles</w:t>
      </w:r>
      <w:r w:rsidRPr="001A076D">
        <w:t>.</w:t>
      </w:r>
    </w:p>
    <w:p w14:paraId="026E0E0A" w14:textId="38854005" w:rsidR="00BE65C8" w:rsidRPr="001A076D" w:rsidRDefault="00BE65C8" w:rsidP="00BE65C8">
      <w:r w:rsidRPr="001A076D">
        <w:rPr>
          <w:rStyle w:val="Strong"/>
        </w:rPr>
        <w:t>Theme 7: Integration and Reflection</w:t>
      </w:r>
    </w:p>
    <w:p w14:paraId="531D4E5A" w14:textId="2480738F" w:rsidR="00BE65C8" w:rsidRPr="001A076D" w:rsidRDefault="00BE65C8" w:rsidP="00BE65C8">
      <w:pPr>
        <w:pStyle w:val="NormalWeb"/>
      </w:pPr>
      <w:r w:rsidRPr="001A076D">
        <w:rPr>
          <w:rStyle w:val="Strong"/>
        </w:rPr>
        <w:t xml:space="preserve">Question 21: What conditions are necessary for predictive analytics to be fully trusted at </w:t>
      </w:r>
      <w:r w:rsidR="00C9337E" w:rsidRPr="001A076D">
        <w:rPr>
          <w:rStyle w:val="Strong"/>
        </w:rPr>
        <w:t xml:space="preserve">the </w:t>
      </w:r>
      <w:r w:rsidRPr="001A076D">
        <w:rPr>
          <w:rStyle w:val="Strong"/>
        </w:rPr>
        <w:t>executive level?</w:t>
      </w:r>
      <w:r w:rsidRPr="001A076D">
        <w:br/>
      </w:r>
      <w:r w:rsidRPr="001A076D">
        <w:rPr>
          <w:rStyle w:val="Strong"/>
        </w:rPr>
        <w:t>Response:</w:t>
      </w:r>
      <w:r w:rsidRPr="001A076D">
        <w:t xml:space="preserve"> Trust depends on several factors: clear governance accountability, transparent model assumptions, demonstrated predictive reliability, regulatory defensibility, and a culture that is open to data-informed challenge.</w:t>
      </w:r>
    </w:p>
    <w:p w14:paraId="2653BFCC" w14:textId="4470F0B2" w:rsidR="00BE65C8" w:rsidRPr="001A076D" w:rsidRDefault="00BE65C8" w:rsidP="00BE65C8">
      <w:pPr>
        <w:pStyle w:val="NormalWeb"/>
      </w:pPr>
      <w:r w:rsidRPr="001A076D">
        <w:rPr>
          <w:rStyle w:val="Strong"/>
        </w:rPr>
        <w:t>Question 22: How could governance and organisational capabilities better support strategic use?</w:t>
      </w:r>
      <w:r w:rsidRPr="001A076D">
        <w:br/>
      </w:r>
      <w:r w:rsidRPr="001A076D">
        <w:rPr>
          <w:rStyle w:val="Strong"/>
        </w:rPr>
        <w:t>Response:</w:t>
      </w:r>
      <w:r w:rsidRPr="001A076D">
        <w:t xml:space="preserve"> Governance needs to be embedded directly into strategic planning processes</w:t>
      </w:r>
      <w:r w:rsidR="00C9337E" w:rsidRPr="001A076D">
        <w:t xml:space="preserve"> rather than treated as a post hoc</w:t>
      </w:r>
      <w:r w:rsidRPr="001A076D">
        <w:t xml:space="preserve"> compliance step. At the right level of maturity, governance should function as strategic infrastructure rather than a constraint.</w:t>
      </w:r>
    </w:p>
    <w:p w14:paraId="75F1AB34" w14:textId="77777777" w:rsidR="00BE65C8" w:rsidRPr="001A076D" w:rsidRDefault="00BE65C8" w:rsidP="00BE65C8">
      <w:pPr>
        <w:pStyle w:val="NormalWeb"/>
      </w:pPr>
      <w:r w:rsidRPr="001A076D">
        <w:rPr>
          <w:rStyle w:val="Strong"/>
        </w:rPr>
        <w:t>Question 23: Is there anything else critical to understanding predictive analytics readiness at SSE PLC?</w:t>
      </w:r>
      <w:r w:rsidRPr="001A076D">
        <w:br/>
      </w:r>
      <w:r w:rsidRPr="001A076D">
        <w:rPr>
          <w:rStyle w:val="Strong"/>
        </w:rPr>
        <w:t>Response:</w:t>
      </w:r>
      <w:r w:rsidRPr="001A076D">
        <w:t xml:space="preserve"> Readiness is not just about technical capability. It is about whether the organisation is institutionally prepared to rely on data-driven foresight in a regulated and publicly scrutinised environment. Trust, governance, leadership, and culture all operate </w:t>
      </w:r>
    </w:p>
    <w:p w14:paraId="5341EFA3" w14:textId="77777777" w:rsidR="00BE65C8" w:rsidRPr="001A076D" w:rsidRDefault="00BE65C8" w:rsidP="00BE65C8">
      <w:pPr>
        <w:pStyle w:val="NormalWeb"/>
      </w:pPr>
      <w:r w:rsidRPr="001A076D">
        <w:rPr>
          <w:rStyle w:val="Strong"/>
        </w:rPr>
        <w:t>Participant Code:</w:t>
      </w:r>
      <w:r w:rsidRPr="001A076D">
        <w:t xml:space="preserve"> P3</w:t>
      </w:r>
      <w:r w:rsidRPr="001A076D">
        <w:br/>
      </w:r>
      <w:r w:rsidRPr="001A076D">
        <w:rPr>
          <w:rStyle w:val="Strong"/>
        </w:rPr>
        <w:t>Role:</w:t>
      </w:r>
      <w:r w:rsidRPr="001A076D">
        <w:t xml:space="preserve"> Senior Data Engineering &amp; Architecture Manager</w:t>
      </w:r>
      <w:r w:rsidRPr="001A076D">
        <w:br/>
      </w:r>
      <w:r w:rsidRPr="001A076D">
        <w:rPr>
          <w:rStyle w:val="Strong"/>
        </w:rPr>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55 minutes</w:t>
      </w:r>
    </w:p>
    <w:p w14:paraId="239322E6" w14:textId="77777777"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5EAE8D7F" w14:textId="77777777" w:rsidR="00BE65C8" w:rsidRPr="001A076D" w:rsidRDefault="00BE65C8" w:rsidP="00BE65C8">
      <w:r w:rsidRPr="001A076D">
        <w:rPr>
          <w:rStyle w:val="Strong"/>
        </w:rPr>
        <w:t>Theme 1: Role and Context (RQ2)</w:t>
      </w:r>
    </w:p>
    <w:p w14:paraId="697726F6" w14:textId="1ADA85B6" w:rsidR="00BE65C8" w:rsidRPr="001A076D" w:rsidRDefault="00BE65C8" w:rsidP="00BE65C8">
      <w:pPr>
        <w:pStyle w:val="NormalWeb"/>
      </w:pPr>
      <w:r w:rsidRPr="001A076D">
        <w:rPr>
          <w:rStyle w:val="Strong"/>
        </w:rPr>
        <w:t>Question 1: Can you describe your role and responsibilities within SSE PLC?</w:t>
      </w:r>
      <w:r w:rsidRPr="001A076D">
        <w:br/>
      </w:r>
      <w:r w:rsidRPr="001A076D">
        <w:rPr>
          <w:rStyle w:val="Strong"/>
        </w:rPr>
        <w:t>Response:</w:t>
      </w:r>
      <w:r w:rsidRPr="001A076D">
        <w:t xml:space="preserve"> I lead data engineering and platform architecture across several business domains. My team is responsible for data ingestion, transformation pipelines, cloud-based analytics infrastructure, and metadata integration. We also support predictive modelling initiatives by ensuring that data is available, reliable, and scalable for analytical </w:t>
      </w:r>
      <w:r w:rsidR="005977AD" w:rsidRPr="001A076D">
        <w:t>purposes</w:t>
      </w:r>
      <w:r w:rsidRPr="001A076D">
        <w:t>.</w:t>
      </w:r>
    </w:p>
    <w:p w14:paraId="1B1EA5CD" w14:textId="2067EAD3" w:rsidR="00BE65C8" w:rsidRPr="001A076D" w:rsidRDefault="00BE65C8" w:rsidP="00BE65C8">
      <w:pPr>
        <w:pStyle w:val="NormalWeb"/>
      </w:pPr>
      <w:r w:rsidRPr="001A076D">
        <w:rPr>
          <w:rStyle w:val="Strong"/>
        </w:rPr>
        <w:t>Question 2: How does predictive analytics feature in your day-to-day work?</w:t>
      </w:r>
      <w:r w:rsidRPr="001A076D">
        <w:br/>
      </w:r>
      <w:r w:rsidRPr="001A076D">
        <w:rPr>
          <w:rStyle w:val="Strong"/>
        </w:rPr>
        <w:t>Response:</w:t>
      </w:r>
      <w:r w:rsidRPr="001A076D">
        <w:t xml:space="preserve"> Predictive analytics shapes much of how we design our data pipelines. We are not just building dashboards; we are creating the underlying data foundation for forecast models, asset health predictions, demand modelling, and scenario analysis. My role is more about enabling analytics from a technical standpoint </w:t>
      </w:r>
      <w:r w:rsidR="00C9337E" w:rsidRPr="001A076D">
        <w:t>than directly contributing to strategic decisions, so I focus on ensuring data quality, optimising data pipelines, and providing the tools analysts need</w:t>
      </w:r>
      <w:r w:rsidRPr="001A076D">
        <w:t xml:space="preserve"> to derive insights.</w:t>
      </w:r>
    </w:p>
    <w:p w14:paraId="01CB7BAC" w14:textId="109B4A44" w:rsidR="00BE65C8" w:rsidRPr="001A076D" w:rsidRDefault="00BE65C8" w:rsidP="00BE65C8">
      <w:pPr>
        <w:pStyle w:val="NormalWeb"/>
      </w:pPr>
      <w:r w:rsidRPr="001A076D">
        <w:rPr>
          <w:rStyle w:val="Strong"/>
        </w:rPr>
        <w:lastRenderedPageBreak/>
        <w:t>Question 3: In what types of decisions are analytics outputs most commonly used?</w:t>
      </w:r>
      <w:r w:rsidRPr="001A076D">
        <w:br/>
      </w:r>
      <w:r w:rsidRPr="001A076D">
        <w:rPr>
          <w:rStyle w:val="Strong"/>
        </w:rPr>
        <w:t>Response:</w:t>
      </w:r>
      <w:r w:rsidRPr="001A076D">
        <w:t xml:space="preserve"> From a technical perspective, most analytics use begins at the operational level</w:t>
      </w:r>
      <w:r w:rsidR="00C9337E" w:rsidRPr="001A076D">
        <w:t xml:space="preserve">, </w:t>
      </w:r>
      <w:r w:rsidR="005977AD" w:rsidRPr="001A076D">
        <w:t>with things like predictive maintenance and performance optimisation.</w:t>
      </w:r>
      <w:r w:rsidRPr="001A076D">
        <w:t xml:space="preserve"> However, we are seeing increasing use in strategic contexts, particularly around investment planning and risk forecasting.</w:t>
      </w:r>
    </w:p>
    <w:p w14:paraId="765432EC" w14:textId="77777777" w:rsidR="00BE65C8" w:rsidRPr="001A076D" w:rsidRDefault="00BE65C8" w:rsidP="00BE65C8">
      <w:r w:rsidRPr="001A076D">
        <w:rPr>
          <w:rStyle w:val="Strong"/>
        </w:rPr>
        <w:t>Theme 2: Predictive Analytics Capability and Readiness (H1, RQ2)</w:t>
      </w:r>
    </w:p>
    <w:p w14:paraId="173285D8" w14:textId="77777777" w:rsidR="00BE65C8" w:rsidRPr="001A076D" w:rsidRDefault="00BE65C8" w:rsidP="00BE65C8">
      <w:pPr>
        <w:pStyle w:val="NormalWeb"/>
      </w:pPr>
      <w:r w:rsidRPr="001A076D">
        <w:rPr>
          <w:rStyle w:val="Strong"/>
        </w:rPr>
        <w:t>Question 4: How would you describe SSE’s current capability in predictive analytics?</w:t>
      </w:r>
      <w:r w:rsidRPr="001A076D">
        <w:br/>
      </w:r>
      <w:r w:rsidRPr="001A076D">
        <w:rPr>
          <w:rStyle w:val="Strong"/>
        </w:rPr>
        <w:t>Response:</w:t>
      </w:r>
      <w:r w:rsidRPr="001A076D">
        <w:t xml:space="preserve"> Technically, we have strong modelling tools and growing cloud infrastructure capabilities. However, overall readiness depends heavily on data maturity. Some domains are well-structured and advanced, while others are still dealing with fragmented or legacy datasets.</w:t>
      </w:r>
    </w:p>
    <w:p w14:paraId="08456E7D" w14:textId="77777777" w:rsidR="00BE65C8" w:rsidRPr="001A076D" w:rsidRDefault="00BE65C8" w:rsidP="00BE65C8">
      <w:pPr>
        <w:pStyle w:val="NormalWeb"/>
      </w:pPr>
      <w:r w:rsidRPr="001A076D">
        <w:rPr>
          <w:rStyle w:val="Strong"/>
        </w:rPr>
        <w:t>Question 5: To what extent do leadership practices influence analytics use?</w:t>
      </w:r>
      <w:r w:rsidRPr="001A076D">
        <w:br/>
      </w:r>
      <w:r w:rsidRPr="001A076D">
        <w:rPr>
          <w:rStyle w:val="Strong"/>
        </w:rPr>
        <w:t>Response:</w:t>
      </w:r>
      <w:r w:rsidRPr="001A076D">
        <w:t xml:space="preserve"> Leadership influence is significant. When senior stakeholders prioritise analytics early in the project's design, we can build scalable and robust solutions. When we introduce analytics later, we often encounter technical constraints that restrict its effectiveness.</w:t>
      </w:r>
    </w:p>
    <w:p w14:paraId="6AAC5BAB" w14:textId="77777777" w:rsidR="00BE65C8" w:rsidRPr="001A076D" w:rsidRDefault="00BE65C8" w:rsidP="00BE65C8">
      <w:pPr>
        <w:pStyle w:val="NormalWeb"/>
      </w:pPr>
      <w:r w:rsidRPr="001A076D">
        <w:rPr>
          <w:rStyle w:val="Strong"/>
        </w:rPr>
        <w:t>Question 6: How would you characterise organisational attitudes toward data-driven decision-making?</w:t>
      </w:r>
      <w:r w:rsidRPr="001A076D">
        <w:br/>
      </w:r>
      <w:r w:rsidRPr="001A076D">
        <w:rPr>
          <w:rStyle w:val="Strong"/>
        </w:rPr>
        <w:t>Response:</w:t>
      </w:r>
      <w:r w:rsidRPr="001A076D">
        <w:t xml:space="preserve"> There is growing enthusiasm, particularly for digital transformation programmes. That said, some operational teams remain cautious, especially when predictive outputs challenge established ways of working.</w:t>
      </w:r>
    </w:p>
    <w:p w14:paraId="71459A0B" w14:textId="77777777" w:rsidR="00BE65C8" w:rsidRPr="001A076D" w:rsidRDefault="00BE65C8" w:rsidP="00BE65C8">
      <w:pPr>
        <w:pStyle w:val="NormalWeb"/>
      </w:pPr>
      <w:r w:rsidRPr="001A076D">
        <w:rPr>
          <w:rStyle w:val="Strong"/>
        </w:rPr>
        <w:t>Question 7: Are analytical skills sufficient at senior levels? Why or why not?</w:t>
      </w:r>
      <w:r w:rsidRPr="001A076D">
        <w:br/>
      </w:r>
      <w:r w:rsidRPr="001A076D">
        <w:rPr>
          <w:rStyle w:val="Strong"/>
        </w:rPr>
        <w:t xml:space="preserve">Response: </w:t>
      </w:r>
      <w:r w:rsidRPr="001A076D">
        <w:rPr>
          <w:rStyle w:val="Strong"/>
          <w:b w:val="0"/>
          <w:bCs w:val="0"/>
        </w:rPr>
        <w:t>While there is a good level of strategic understanding, we sometimes underestimate the complexity of data dependencies and technical limitations.</w:t>
      </w:r>
      <w:r w:rsidRPr="001A076D">
        <w:t xml:space="preserve"> This can lead to unrealistic expectations around what predictive models can deliver.</w:t>
      </w:r>
    </w:p>
    <w:p w14:paraId="1633798E" w14:textId="77777777" w:rsidR="00BE65C8" w:rsidRPr="001A076D" w:rsidRDefault="00BE65C8" w:rsidP="00BE65C8">
      <w:r w:rsidRPr="001A076D">
        <w:rPr>
          <w:rStyle w:val="Strong"/>
        </w:rPr>
        <w:t>Theme 3: Data Governance Maturity (H2, H4, RQ1)</w:t>
      </w:r>
    </w:p>
    <w:p w14:paraId="4FCB0318" w14:textId="49727DF0" w:rsidR="00BE65C8" w:rsidRPr="001A076D" w:rsidRDefault="00BE65C8" w:rsidP="00BE65C8">
      <w:pPr>
        <w:pStyle w:val="NormalWeb"/>
      </w:pPr>
      <w:r w:rsidRPr="001A076D">
        <w:rPr>
          <w:rStyle w:val="Strong"/>
        </w:rPr>
        <w:t>Question 8: How clear are data ownership, accountability, and governance responsibilities?</w:t>
      </w:r>
      <w:r w:rsidRPr="001A076D">
        <w:br/>
      </w:r>
      <w:r w:rsidRPr="001A076D">
        <w:rPr>
          <w:rStyle w:val="Strong"/>
        </w:rPr>
        <w:t>Response:</w:t>
      </w:r>
      <w:r w:rsidRPr="001A076D">
        <w:t xml:space="preserve"> Data ownership frameworks are clearer now than </w:t>
      </w:r>
      <w:r w:rsidR="00FD1CA7" w:rsidRPr="001A076D">
        <w:t>before</w:t>
      </w:r>
      <w:r w:rsidRPr="001A076D">
        <w:t>, which is a positive step forward. However, in practice, accountability</w:t>
      </w:r>
      <w:r w:rsidR="00FD1CA7" w:rsidRPr="001A076D">
        <w:t>, particularly for resolving data quality issues,</w:t>
      </w:r>
      <w:r w:rsidRPr="001A076D">
        <w:t xml:space="preserve"> can still be inconsistent across different domains.</w:t>
      </w:r>
    </w:p>
    <w:p w14:paraId="3A4286A3" w14:textId="77777777" w:rsidR="00BE65C8" w:rsidRPr="001A076D" w:rsidRDefault="00BE65C8" w:rsidP="00BE65C8">
      <w:pPr>
        <w:pStyle w:val="NormalWeb"/>
      </w:pPr>
      <w:r w:rsidRPr="001A076D">
        <w:rPr>
          <w:rStyle w:val="Strong"/>
        </w:rPr>
        <w:t>Question 9: How do data quality, metadata, or lineage practices affect confidence in analytics outputs?</w:t>
      </w:r>
      <w:r w:rsidRPr="001A076D">
        <w:br/>
      </w:r>
      <w:r w:rsidRPr="001A076D">
        <w:rPr>
          <w:rStyle w:val="Strong"/>
        </w:rPr>
        <w:t>Response:</w:t>
      </w:r>
      <w:r w:rsidRPr="001A076D">
        <w:t xml:space="preserve"> From a technical standpoint, they are fundamental. Without clear lineage and well-maintained metadata, predictive outputs are difficult to reproduce and validate. That directly impacts executive confidence and trust.</w:t>
      </w:r>
    </w:p>
    <w:p w14:paraId="2533E9AB" w14:textId="77777777" w:rsidR="00BE65C8" w:rsidRPr="001A076D" w:rsidRDefault="00BE65C8" w:rsidP="00BE65C8">
      <w:pPr>
        <w:pStyle w:val="NormalWeb"/>
      </w:pPr>
      <w:r w:rsidRPr="001A076D">
        <w:rPr>
          <w:rStyle w:val="Strong"/>
        </w:rPr>
        <w:t>Question 10: Does data governance enable or constrain strategic analytics use?</w:t>
      </w:r>
      <w:r w:rsidRPr="001A076D">
        <w:br/>
      </w:r>
      <w:r w:rsidRPr="001A076D">
        <w:rPr>
          <w:rStyle w:val="Strong"/>
        </w:rPr>
        <w:t>Response:</w:t>
      </w:r>
      <w:r w:rsidRPr="001A076D">
        <w:t xml:space="preserve"> Governance generally enables analytics by providing structure and consistency. However, when governance requirements are applied inconsistently, it can create friction and slow down delivery.</w:t>
      </w:r>
    </w:p>
    <w:p w14:paraId="5397FF6A" w14:textId="7EC23155" w:rsidR="00BE65C8" w:rsidRPr="001A076D" w:rsidRDefault="00BE65C8" w:rsidP="00BE65C8">
      <w:r w:rsidRPr="001A076D">
        <w:rPr>
          <w:rStyle w:val="Strong"/>
        </w:rPr>
        <w:t>Theme 4: Trust and Explainability (H2, H3,</w:t>
      </w:r>
      <w:r w:rsidR="00B05000" w:rsidRPr="001A076D">
        <w:rPr>
          <w:rStyle w:val="Strong"/>
        </w:rPr>
        <w:t xml:space="preserve"> </w:t>
      </w:r>
      <w:r w:rsidRPr="001A076D">
        <w:rPr>
          <w:rStyle w:val="Strong"/>
        </w:rPr>
        <w:t>RQ3)</w:t>
      </w:r>
    </w:p>
    <w:p w14:paraId="092E6B7D" w14:textId="77777777" w:rsidR="00BE65C8" w:rsidRPr="001A076D" w:rsidRDefault="00BE65C8" w:rsidP="00BE65C8">
      <w:pPr>
        <w:pStyle w:val="NormalWeb"/>
      </w:pPr>
      <w:r w:rsidRPr="001A076D">
        <w:rPr>
          <w:rStyle w:val="Strong"/>
        </w:rPr>
        <w:t>Question 11: What factors increase trust in predictive analytics outputs?</w:t>
      </w:r>
      <w:r w:rsidRPr="001A076D">
        <w:br/>
      </w:r>
      <w:r w:rsidRPr="001A076D">
        <w:rPr>
          <w:rStyle w:val="Strong"/>
        </w:rPr>
        <w:t>Response:</w:t>
      </w:r>
      <w:r w:rsidRPr="001A076D">
        <w:t xml:space="preserve"> Trust increases when there </w:t>
      </w:r>
      <w:proofErr w:type="gramStart"/>
      <w:r w:rsidRPr="001A076D">
        <w:t>is</w:t>
      </w:r>
      <w:proofErr w:type="gramEnd"/>
      <w:r w:rsidRPr="001A076D">
        <w:t xml:space="preserve"> clear data provenance, consistent quality metrics, well-</w:t>
      </w:r>
      <w:r w:rsidRPr="001A076D">
        <w:lastRenderedPageBreak/>
        <w:t>defined model validation processes, and strong collaboration between engineering and business teams.</w:t>
      </w:r>
    </w:p>
    <w:p w14:paraId="54DE560D" w14:textId="77777777" w:rsidR="00BE65C8" w:rsidRPr="001A076D" w:rsidRDefault="00BE65C8" w:rsidP="00BE65C8">
      <w:pPr>
        <w:pStyle w:val="NormalWeb"/>
      </w:pPr>
      <w:r w:rsidRPr="001A076D">
        <w:rPr>
          <w:rStyle w:val="Strong"/>
        </w:rPr>
        <w:t>Question 12: What factors reduce trust or create scepticism?</w:t>
      </w:r>
      <w:r w:rsidRPr="001A076D">
        <w:br/>
      </w:r>
      <w:r w:rsidRPr="001A076D">
        <w:rPr>
          <w:rStyle w:val="Strong"/>
        </w:rPr>
        <w:t>Response:</w:t>
      </w:r>
      <w:r w:rsidRPr="001A076D">
        <w:t xml:space="preserve"> Trust is reduced when there are inconsistencies between data sources, when models are overfitted without proper operational validation, or when assumptions are not clearly visible to stakeholders.</w:t>
      </w:r>
    </w:p>
    <w:p w14:paraId="7098210A" w14:textId="77777777" w:rsidR="00BE65C8" w:rsidRPr="001A076D" w:rsidRDefault="00BE65C8" w:rsidP="00BE65C8">
      <w:pPr>
        <w:pStyle w:val="NormalWeb"/>
      </w:pPr>
      <w:r w:rsidRPr="001A076D">
        <w:rPr>
          <w:rStyle w:val="Strong"/>
        </w:rPr>
        <w:t>Question 13: How important is explainability when analytics informs strategic decisions?</w:t>
      </w:r>
      <w:r w:rsidRPr="001A076D">
        <w:br/>
      </w:r>
      <w:r w:rsidRPr="001A076D">
        <w:rPr>
          <w:rStyle w:val="Strong"/>
        </w:rPr>
        <w:t>Response:</w:t>
      </w:r>
      <w:r w:rsidRPr="001A076D">
        <w:t xml:space="preserve"> It is vital. From an engineering perspective, achieving explainability often requires additional effort, for example, tracking assumptions, maintaining version control, and documenting model behaviour, but it is essential for adoption.</w:t>
      </w:r>
    </w:p>
    <w:p w14:paraId="17386130" w14:textId="77777777" w:rsidR="00BE65C8" w:rsidRPr="001A076D" w:rsidRDefault="00BE65C8" w:rsidP="00BE65C8">
      <w:pPr>
        <w:pStyle w:val="NormalWeb"/>
      </w:pPr>
      <w:r w:rsidRPr="001A076D">
        <w:rPr>
          <w:rStyle w:val="Strong"/>
        </w:rPr>
        <w:t>Question 14: How are ethical, regulatory, or compliance concerns addressed?</w:t>
      </w:r>
      <w:r w:rsidRPr="001A076D">
        <w:br/>
      </w:r>
      <w:r w:rsidRPr="001A076D">
        <w:rPr>
          <w:rStyle w:val="Strong"/>
        </w:rPr>
        <w:t>Response:</w:t>
      </w:r>
      <w:r w:rsidRPr="001A076D">
        <w:t xml:space="preserve"> We build compliance into the architecture itself. This includes integrating data classification, access controls, and retention policies directly into the design of our data platforms and pipelines.</w:t>
      </w:r>
    </w:p>
    <w:p w14:paraId="68F53F22" w14:textId="77777777" w:rsidR="00BE65C8" w:rsidRPr="001A076D" w:rsidRDefault="00BE65C8" w:rsidP="00BE65C8">
      <w:r w:rsidRPr="001A076D">
        <w:rPr>
          <w:rStyle w:val="Strong"/>
        </w:rPr>
        <w:t>Theme 5: Strategic Decision-Making Impact (H3, RQ3)</w:t>
      </w:r>
    </w:p>
    <w:p w14:paraId="2383ED3F" w14:textId="4EEE69E4" w:rsidR="00BE65C8" w:rsidRPr="001A076D" w:rsidRDefault="00BE65C8" w:rsidP="00BE65C8">
      <w:pPr>
        <w:pStyle w:val="NormalWeb"/>
      </w:pPr>
      <w:r w:rsidRPr="001A076D">
        <w:rPr>
          <w:rStyle w:val="Strong"/>
        </w:rPr>
        <w:t>Question 15: Can you describe a situation where predictive analytics significantly influenced a strategic decision?</w:t>
      </w:r>
      <w:r w:rsidRPr="001A076D">
        <w:br/>
      </w:r>
      <w:r w:rsidRPr="001A076D">
        <w:rPr>
          <w:rStyle w:val="Strong"/>
        </w:rPr>
        <w:t>Response:</w:t>
      </w:r>
      <w:r w:rsidRPr="001A076D">
        <w:t xml:space="preserve"> Our team developed a predictive </w:t>
      </w:r>
      <w:r w:rsidR="00FD1CA7" w:rsidRPr="001A076D">
        <w:t>asset-degradation model to support</w:t>
      </w:r>
      <w:r w:rsidRPr="001A076D">
        <w:t xml:space="preserve"> capital replacement planning. The model identified higher-than-expected failure probabilities under certain climate scenarios, which influenced long-term investment decisions.</w:t>
      </w:r>
    </w:p>
    <w:p w14:paraId="173140F6" w14:textId="34C061F0" w:rsidR="00BE65C8" w:rsidRPr="001A076D" w:rsidRDefault="00BE65C8" w:rsidP="00BE65C8">
      <w:pPr>
        <w:pStyle w:val="NormalWeb"/>
      </w:pPr>
      <w:r w:rsidRPr="001A076D">
        <w:rPr>
          <w:rStyle w:val="Strong"/>
        </w:rPr>
        <w:t>Question 16: Have analytics outputs been ignored or overridden? Why?</w:t>
      </w:r>
      <w:r w:rsidRPr="001A076D">
        <w:br/>
      </w:r>
      <w:r w:rsidRPr="001A076D">
        <w:rPr>
          <w:rStyle w:val="Strong"/>
        </w:rPr>
        <w:t>Response:</w:t>
      </w:r>
      <w:r w:rsidRPr="001A076D">
        <w:t xml:space="preserve"> Yes, that has happened. In some cases, operational experience did not align with model outputs. When </w:t>
      </w:r>
      <w:r w:rsidR="00FD1CA7" w:rsidRPr="001A076D">
        <w:t>confidence in the underlying data quality was limited</w:t>
      </w:r>
      <w:r w:rsidRPr="001A076D">
        <w:t>, leadership chose to take a more cautious approach.</w:t>
      </w:r>
    </w:p>
    <w:p w14:paraId="5795E440" w14:textId="77777777" w:rsidR="00BE65C8" w:rsidRPr="001A076D" w:rsidRDefault="00BE65C8" w:rsidP="00BE65C8">
      <w:pPr>
        <w:pStyle w:val="NormalWeb"/>
      </w:pPr>
      <w:r w:rsidRPr="001A076D">
        <w:rPr>
          <w:rStyle w:val="Strong"/>
        </w:rPr>
        <w:t>Question 17: How does executive trust affect final decisions?</w:t>
      </w:r>
      <w:r w:rsidRPr="001A076D">
        <w:br/>
      </w:r>
      <w:r w:rsidRPr="001A076D">
        <w:rPr>
          <w:rStyle w:val="Strong"/>
        </w:rPr>
        <w:t>Response: The crucial turning point is executive trust.</w:t>
      </w:r>
      <w:r w:rsidRPr="001A076D">
        <w:t xml:space="preserve"> Even a technically strong model will not influence strategic decisions unless there is confidence in both the data and the governance supporting it.</w:t>
      </w:r>
    </w:p>
    <w:p w14:paraId="2C623EA6" w14:textId="387029A9" w:rsidR="00BE65C8" w:rsidRPr="001A076D" w:rsidRDefault="00BE65C8" w:rsidP="00BE65C8">
      <w:r w:rsidRPr="001A076D">
        <w:rPr>
          <w:rStyle w:val="Strong"/>
        </w:rPr>
        <w:t>Theme 6: Barriers and Enablers</w:t>
      </w:r>
    </w:p>
    <w:p w14:paraId="500A2026" w14:textId="77777777" w:rsidR="00BE65C8" w:rsidRPr="001A076D" w:rsidRDefault="00BE65C8" w:rsidP="00BE65C8">
      <w:pPr>
        <w:pStyle w:val="NormalWeb"/>
      </w:pPr>
      <w:r w:rsidRPr="001A076D">
        <w:rPr>
          <w:rStyle w:val="Strong"/>
        </w:rPr>
        <w:t>Question 18: What organisational barriers limit the effective use of predictive analytics?</w:t>
      </w:r>
      <w:r w:rsidRPr="001A076D">
        <w:br/>
      </w:r>
      <w:r w:rsidRPr="001A076D">
        <w:rPr>
          <w:rStyle w:val="Strong"/>
        </w:rPr>
        <w:t>Response:</w:t>
      </w:r>
      <w:r w:rsidRPr="001A076D">
        <w:t xml:space="preserve"> Common barriers include legacy data systems, inconsistent metadata standards, competing transformation priorities, and limited adoption of enterprise data catalogues.</w:t>
      </w:r>
    </w:p>
    <w:p w14:paraId="2F803456" w14:textId="77777777" w:rsidR="00BE65C8" w:rsidRPr="001A076D" w:rsidRDefault="00BE65C8" w:rsidP="00BE65C8">
      <w:pPr>
        <w:pStyle w:val="NormalWeb"/>
      </w:pPr>
      <w:r w:rsidRPr="001A076D">
        <w:rPr>
          <w:rStyle w:val="Strong"/>
        </w:rPr>
        <w:t>Question 19: How do culture, data literacy, or regulatory pressures shape adoption?</w:t>
      </w:r>
      <w:r w:rsidRPr="001A076D">
        <w:br/>
      </w:r>
      <w:r w:rsidRPr="001A076D">
        <w:rPr>
          <w:rStyle w:val="Strong"/>
        </w:rPr>
        <w:t>Response:</w:t>
      </w:r>
      <w:r w:rsidRPr="001A076D">
        <w:t xml:space="preserve"> Regulatory requirements increase expectations around traceability and control. Culture determines whether teams actively engage with governance practices or view them as an administrative burden.</w:t>
      </w:r>
    </w:p>
    <w:p w14:paraId="64649B9C" w14:textId="77777777" w:rsidR="00BE65C8" w:rsidRPr="001A076D" w:rsidRDefault="00BE65C8" w:rsidP="00BE65C8">
      <w:pPr>
        <w:pStyle w:val="NormalWeb"/>
      </w:pPr>
      <w:r w:rsidRPr="001A076D">
        <w:rPr>
          <w:rStyle w:val="Strong"/>
        </w:rPr>
        <w:t>Question 20: What factors most strongly enable embedding analytics into decision-making?</w:t>
      </w:r>
      <w:r w:rsidRPr="001A076D">
        <w:br/>
      </w:r>
      <w:r w:rsidRPr="001A076D">
        <w:rPr>
          <w:rStyle w:val="Strong"/>
        </w:rPr>
        <w:t>Response:</w:t>
      </w:r>
      <w:r w:rsidRPr="001A076D">
        <w:t xml:space="preserve"> Early involvement of data teams in strategic initiatives, clear governance frameworks, investment in data literacy, and strong executive sponsorship all play an important role.</w:t>
      </w:r>
    </w:p>
    <w:p w14:paraId="02B29DBF" w14:textId="5716604C" w:rsidR="00BE65C8" w:rsidRPr="001A076D" w:rsidRDefault="00BE65C8" w:rsidP="00BE65C8">
      <w:r w:rsidRPr="001A076D">
        <w:rPr>
          <w:rStyle w:val="Strong"/>
        </w:rPr>
        <w:lastRenderedPageBreak/>
        <w:t>Theme 7: Integration and Reflection</w:t>
      </w:r>
    </w:p>
    <w:p w14:paraId="195A5559" w14:textId="1BE07639" w:rsidR="00BE65C8" w:rsidRPr="001A076D" w:rsidRDefault="00BE65C8" w:rsidP="00BE65C8">
      <w:pPr>
        <w:pStyle w:val="NormalWeb"/>
      </w:pPr>
      <w:r w:rsidRPr="001A076D">
        <w:rPr>
          <w:rStyle w:val="Strong"/>
        </w:rPr>
        <w:t xml:space="preserve">Question 21: What conditions are necessary for predictive analytics to be fully trusted at </w:t>
      </w:r>
      <w:r w:rsidR="002D2473" w:rsidRPr="001A076D">
        <w:rPr>
          <w:rStyle w:val="Strong"/>
        </w:rPr>
        <w:t xml:space="preserve">the </w:t>
      </w:r>
      <w:r w:rsidRPr="001A076D">
        <w:rPr>
          <w:rStyle w:val="Strong"/>
        </w:rPr>
        <w:t>executive level?</w:t>
      </w:r>
      <w:r w:rsidRPr="001A076D">
        <w:br/>
      </w:r>
      <w:r w:rsidRPr="001A076D">
        <w:rPr>
          <w:rStyle w:val="Strong"/>
        </w:rPr>
        <w:t>Response:</w:t>
      </w:r>
      <w:r w:rsidRPr="001A076D">
        <w:t xml:space="preserve"> From a data perspective, trust depends on having an enterprise-grade architecture, standardised metadata and lineage, clearly defined ownership, and transparent model validation processes.</w:t>
      </w:r>
    </w:p>
    <w:p w14:paraId="3988EA36" w14:textId="413B3CCF" w:rsidR="00BE65C8" w:rsidRPr="001A076D" w:rsidRDefault="00BE65C8" w:rsidP="00BE65C8">
      <w:pPr>
        <w:pStyle w:val="NormalWeb"/>
      </w:pPr>
      <w:r w:rsidRPr="001A076D">
        <w:rPr>
          <w:rStyle w:val="Strong"/>
        </w:rPr>
        <w:t xml:space="preserve">Question 22: How could governance arrangements and organisational </w:t>
      </w:r>
      <w:r w:rsidR="005977AD" w:rsidRPr="001A076D">
        <w:rPr>
          <w:rStyle w:val="Strong"/>
        </w:rPr>
        <w:t>capabilities</w:t>
      </w:r>
      <w:r w:rsidRPr="001A076D">
        <w:rPr>
          <w:rStyle w:val="Strong"/>
        </w:rPr>
        <w:t xml:space="preserve"> better support </w:t>
      </w:r>
      <w:r w:rsidR="002D2473" w:rsidRPr="001A076D">
        <w:rPr>
          <w:rStyle w:val="Strong"/>
        </w:rPr>
        <w:t xml:space="preserve">the </w:t>
      </w:r>
      <w:r w:rsidRPr="001A076D">
        <w:rPr>
          <w:rStyle w:val="Strong"/>
        </w:rPr>
        <w:t>strategic use of analytics?</w:t>
      </w:r>
      <w:r w:rsidRPr="001A076D">
        <w:br/>
      </w:r>
      <w:r w:rsidRPr="001A076D">
        <w:rPr>
          <w:rStyle w:val="Strong"/>
        </w:rPr>
        <w:t>Response:</w:t>
      </w:r>
      <w:r w:rsidRPr="001A076D">
        <w:t xml:space="preserve"> Governance needs to be embedded into delivery workflows rather than applied retrospectively. Technical architecture and governance design should evolve together rather than being treated as separate activities.</w:t>
      </w:r>
    </w:p>
    <w:p w14:paraId="548DF0E8" w14:textId="223A888D" w:rsidR="00BE65C8" w:rsidRPr="001A076D" w:rsidRDefault="00BE65C8" w:rsidP="00BE65C8">
      <w:pPr>
        <w:pStyle w:val="NormalWeb"/>
      </w:pPr>
      <w:r w:rsidRPr="001A076D">
        <w:rPr>
          <w:rStyle w:val="Strong"/>
        </w:rPr>
        <w:t>Question 23: Is there anything else critical to understanding predictive analytics readiness at SSE PLC?</w:t>
      </w:r>
      <w:r w:rsidRPr="001A076D">
        <w:br/>
      </w:r>
      <w:r w:rsidRPr="001A076D">
        <w:rPr>
          <w:rStyle w:val="Strong"/>
        </w:rPr>
        <w:t>Response:</w:t>
      </w:r>
      <w:r w:rsidRPr="001A076D">
        <w:t xml:space="preserve"> Readiness is not just about modelling capabilities. It also depends on </w:t>
      </w:r>
      <w:r w:rsidR="002D2473" w:rsidRPr="001A076D">
        <w:t xml:space="preserve">the </w:t>
      </w:r>
      <w:r w:rsidRPr="001A076D">
        <w:t>engineering discipline. Predictive analytics is only as strong as the data pipelines, metadata integrity, and cross-functional collaboration that support it.</w:t>
      </w:r>
    </w:p>
    <w:p w14:paraId="645FE592" w14:textId="74A241A4" w:rsidR="00BE65C8" w:rsidRPr="001A076D" w:rsidRDefault="00BE65C8" w:rsidP="00BE65C8">
      <w:pPr>
        <w:pStyle w:val="NormalWeb"/>
      </w:pPr>
      <w:r w:rsidRPr="001A076D">
        <w:rPr>
          <w:rStyle w:val="Strong"/>
        </w:rPr>
        <w:t>Participant Code:</w:t>
      </w:r>
      <w:r w:rsidRPr="001A076D">
        <w:t xml:space="preserve"> P4</w:t>
      </w:r>
      <w:r w:rsidRPr="001A076D">
        <w:br/>
      </w:r>
      <w:r w:rsidRPr="001A076D">
        <w:rPr>
          <w:rStyle w:val="Strong"/>
        </w:rPr>
        <w:t>Role:</w:t>
      </w:r>
      <w:r w:rsidRPr="001A076D">
        <w:t xml:space="preserve"> Business Data Owner &amp; Senior Data Steward (Commercial &amp; Customer Domain)</w:t>
      </w:r>
      <w:r w:rsidRPr="001A076D">
        <w:br/>
      </w:r>
      <w:r w:rsidRPr="001A076D">
        <w:rPr>
          <w:rStyle w:val="Strong"/>
        </w:rPr>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w:t>
      </w:r>
      <w:r w:rsidR="007D6ECE" w:rsidRPr="001A076D">
        <w:t>61</w:t>
      </w:r>
      <w:r w:rsidRPr="001A076D">
        <w:t xml:space="preserve"> minutes</w:t>
      </w:r>
    </w:p>
    <w:p w14:paraId="4DF70474" w14:textId="77777777"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1872BDFE" w14:textId="77777777" w:rsidR="00BE65C8" w:rsidRPr="001A076D" w:rsidRDefault="00BE65C8" w:rsidP="00BE65C8">
      <w:r w:rsidRPr="001A076D">
        <w:rPr>
          <w:rStyle w:val="Strong"/>
        </w:rPr>
        <w:t>Theme 1: Role and Context (RQ2)</w:t>
      </w:r>
    </w:p>
    <w:p w14:paraId="04EF89AD" w14:textId="77777777" w:rsidR="00BE65C8" w:rsidRPr="001A076D" w:rsidRDefault="00BE65C8" w:rsidP="00BE65C8">
      <w:pPr>
        <w:pStyle w:val="NormalWeb"/>
      </w:pPr>
      <w:r w:rsidRPr="001A076D">
        <w:rPr>
          <w:rStyle w:val="Strong"/>
        </w:rPr>
        <w:t>Question 1: Can you describe your role and responsibilities within SSE PLC?</w:t>
      </w:r>
      <w:r w:rsidRPr="001A076D">
        <w:br/>
      </w:r>
      <w:r w:rsidRPr="001A076D">
        <w:rPr>
          <w:rStyle w:val="Strong"/>
        </w:rPr>
        <w:t>Response:</w:t>
      </w:r>
      <w:r w:rsidRPr="001A076D">
        <w:t xml:space="preserve"> I act as the business data owner for the commercial and customer domain. My role centres around ensuring data quality, maintaining consistent definitions, establishing business rules, and making sure that the data used in analytics reflects operational reality. I work closely with analytics teams, data engineers, and commercial leadership to support decision-making.</w:t>
      </w:r>
    </w:p>
    <w:p w14:paraId="74816180" w14:textId="77777777" w:rsidR="00BE65C8" w:rsidRPr="001A076D" w:rsidRDefault="00BE65C8" w:rsidP="00BE65C8">
      <w:pPr>
        <w:pStyle w:val="NormalWeb"/>
      </w:pPr>
      <w:r w:rsidRPr="001A076D">
        <w:rPr>
          <w:rStyle w:val="Strong"/>
        </w:rPr>
        <w:t>Question 2: How does predictive analytics feature in your day-to-day work?</w:t>
      </w:r>
      <w:r w:rsidRPr="001A076D">
        <w:br/>
      </w:r>
      <w:r w:rsidRPr="001A076D">
        <w:rPr>
          <w:rStyle w:val="Strong"/>
        </w:rPr>
        <w:t>Response:</w:t>
      </w:r>
      <w:r w:rsidRPr="001A076D">
        <w:t xml:space="preserve"> Predictive analytics depends heavily on the datasets I oversee, things like customer segmentation, billing data, usage patterns, and pricing history. Before using these datasets in any modelling, I ensure their accuracy, governance, and clarity.</w:t>
      </w:r>
    </w:p>
    <w:p w14:paraId="2286596C" w14:textId="77777777" w:rsidR="00BE65C8" w:rsidRPr="001A076D" w:rsidRDefault="00BE65C8" w:rsidP="00BE65C8">
      <w:pPr>
        <w:pStyle w:val="NormalWeb"/>
      </w:pPr>
      <w:r w:rsidRPr="001A076D">
        <w:rPr>
          <w:rStyle w:val="Strong"/>
        </w:rPr>
        <w:t>Question 3: In what types of decisions are analytics outputs most commonly used?</w:t>
      </w:r>
      <w:r w:rsidRPr="001A076D">
        <w:br/>
      </w:r>
      <w:r w:rsidRPr="001A076D">
        <w:rPr>
          <w:rStyle w:val="Strong"/>
        </w:rPr>
        <w:t>Response:</w:t>
      </w:r>
      <w:r w:rsidRPr="001A076D">
        <w:t xml:space="preserve"> In our area, analytics supports both tactical and strategic decisions. This includes tariff design, customer retention strategies, demand forecasting, and revenue projections.</w:t>
      </w:r>
    </w:p>
    <w:p w14:paraId="172149B2" w14:textId="77777777" w:rsidR="00BE65C8" w:rsidRPr="001A076D" w:rsidRDefault="00BE65C8" w:rsidP="00BE65C8">
      <w:r w:rsidRPr="001A076D">
        <w:rPr>
          <w:rStyle w:val="Strong"/>
        </w:rPr>
        <w:t>Theme 2: Predictive Analytics Capability and Readiness (H1, RQ2)</w:t>
      </w:r>
    </w:p>
    <w:p w14:paraId="7314F3BF" w14:textId="7C8C8B23" w:rsidR="00BE65C8" w:rsidRPr="001A076D" w:rsidRDefault="00BE65C8" w:rsidP="00BE65C8">
      <w:pPr>
        <w:pStyle w:val="NormalWeb"/>
      </w:pPr>
      <w:r w:rsidRPr="001A076D">
        <w:rPr>
          <w:rStyle w:val="Strong"/>
        </w:rPr>
        <w:t>Question 4: How would you describe SSE’s current capability in predictive analytics?</w:t>
      </w:r>
      <w:r w:rsidRPr="001A076D">
        <w:br/>
      </w:r>
      <w:r w:rsidRPr="001A076D">
        <w:rPr>
          <w:rStyle w:val="Strong"/>
        </w:rPr>
        <w:t>Response:</w:t>
      </w:r>
      <w:r w:rsidRPr="001A076D">
        <w:t xml:space="preserve"> The modelling capability </w:t>
      </w:r>
      <w:r w:rsidR="008572B8" w:rsidRPr="001A076D">
        <w:t>is strong, but overall readiness varies with</w:t>
      </w:r>
      <w:r w:rsidRPr="001A076D">
        <w:t xml:space="preserve"> the maturity of </w:t>
      </w:r>
      <w:r w:rsidRPr="001A076D">
        <w:lastRenderedPageBreak/>
        <w:t>the underlying data. Some datasets are well-structured and standardised, while others still carry historical inconsistencies.</w:t>
      </w:r>
    </w:p>
    <w:p w14:paraId="05D7EE89" w14:textId="77777777" w:rsidR="00BE65C8" w:rsidRPr="001A076D" w:rsidRDefault="00BE65C8" w:rsidP="00BE65C8">
      <w:pPr>
        <w:pStyle w:val="NormalWeb"/>
      </w:pPr>
      <w:r w:rsidRPr="001A076D">
        <w:rPr>
          <w:rStyle w:val="Strong"/>
        </w:rPr>
        <w:t>Question 5: To what extent do leadership practices influence analytics use?</w:t>
      </w:r>
      <w:r w:rsidRPr="001A076D">
        <w:br/>
      </w:r>
      <w:r w:rsidRPr="001A076D">
        <w:rPr>
          <w:rStyle w:val="Strong"/>
        </w:rPr>
        <w:t>Response:</w:t>
      </w:r>
      <w:r w:rsidRPr="001A076D">
        <w:t xml:space="preserve"> Leadership expectations make a big difference. When leaders actively request data-backed proposals, teams naturally prioritise governance and validation. However, when urgency takes precedence, there can be pressure to take shortcuts.</w:t>
      </w:r>
    </w:p>
    <w:p w14:paraId="47E6B2E5" w14:textId="3492E88C" w:rsidR="00BE65C8" w:rsidRPr="001A076D" w:rsidRDefault="00BE65C8" w:rsidP="00BE65C8">
      <w:pPr>
        <w:pStyle w:val="NormalWeb"/>
      </w:pPr>
      <w:r w:rsidRPr="001A076D">
        <w:rPr>
          <w:rStyle w:val="Strong"/>
        </w:rPr>
        <w:t>Question 6: How would you characterise organisational attitudes toward data-driven decision-making?</w:t>
      </w:r>
      <w:r w:rsidRPr="001A076D">
        <w:br/>
      </w:r>
      <w:r w:rsidRPr="001A076D">
        <w:rPr>
          <w:rStyle w:val="Strong"/>
        </w:rPr>
        <w:t>Response:</w:t>
      </w:r>
      <w:r w:rsidRPr="001A076D">
        <w:t xml:space="preserve"> Attitudes are generally positive. </w:t>
      </w:r>
      <w:r w:rsidR="005977AD" w:rsidRPr="001A076D">
        <w:t>That said, operational teams may sometimes view analytics as theoretical unless business validation and real-world evidence clearly support it.</w:t>
      </w:r>
    </w:p>
    <w:p w14:paraId="7869CCB6" w14:textId="77777777" w:rsidR="00BE65C8" w:rsidRPr="001A076D" w:rsidRDefault="00BE65C8" w:rsidP="00BE65C8">
      <w:pPr>
        <w:pStyle w:val="NormalWeb"/>
      </w:pPr>
      <w:r w:rsidRPr="001A076D">
        <w:rPr>
          <w:rStyle w:val="Strong"/>
        </w:rPr>
        <w:t>Question 7: Are analytical skills sufficient at senior decision-making levels? Why or why not?</w:t>
      </w:r>
      <w:r w:rsidRPr="001A076D">
        <w:br/>
      </w:r>
      <w:r w:rsidRPr="001A076D">
        <w:rPr>
          <w:rStyle w:val="Strong"/>
        </w:rPr>
        <w:t>Response:</w:t>
      </w:r>
      <w:r w:rsidRPr="001A076D">
        <w:t xml:space="preserve"> Senior leaders understand the strategic implications of analytics, but there is sometimes less awareness of data definitions and limitations. This is where governance plays an important role in safeguarding decisions.</w:t>
      </w:r>
    </w:p>
    <w:p w14:paraId="0DDF53F0" w14:textId="77777777" w:rsidR="00BE65C8" w:rsidRPr="001A076D" w:rsidRDefault="00BE65C8" w:rsidP="00BE65C8">
      <w:r w:rsidRPr="001A076D">
        <w:rPr>
          <w:rStyle w:val="Strong"/>
        </w:rPr>
        <w:t>Theme 3: Data Governance Maturity (H2, H4, RQ1)</w:t>
      </w:r>
    </w:p>
    <w:p w14:paraId="4BA3CE5E" w14:textId="77777777" w:rsidR="00BE65C8" w:rsidRPr="001A076D" w:rsidRDefault="00BE65C8" w:rsidP="00BE65C8">
      <w:pPr>
        <w:pStyle w:val="NormalWeb"/>
      </w:pPr>
      <w:r w:rsidRPr="001A076D">
        <w:rPr>
          <w:rStyle w:val="Strong"/>
        </w:rPr>
        <w:t>Question 8: How clear are data ownership, accountability, and governance responsibilities?</w:t>
      </w:r>
      <w:r w:rsidRPr="001A076D">
        <w:br/>
      </w:r>
      <w:r w:rsidRPr="001A076D">
        <w:rPr>
          <w:rStyle w:val="Strong"/>
        </w:rPr>
        <w:t>Response:</w:t>
      </w:r>
      <w:r w:rsidRPr="001A076D">
        <w:t xml:space="preserve"> Formal structures are in place, and roles are clearly defined. However, in practice, accountability, particularly for resolving data issues, can still be shared or unclear across different teams.</w:t>
      </w:r>
    </w:p>
    <w:p w14:paraId="6630BE1E" w14:textId="77777777" w:rsidR="00BE65C8" w:rsidRPr="001A076D" w:rsidRDefault="00BE65C8" w:rsidP="00BE65C8">
      <w:pPr>
        <w:pStyle w:val="NormalWeb"/>
      </w:pPr>
      <w:r w:rsidRPr="001A076D">
        <w:rPr>
          <w:rStyle w:val="Strong"/>
        </w:rPr>
        <w:t>Question 9: How do data quality, metadata, or lineage practices affect confidence in analytics outputs?</w:t>
      </w:r>
      <w:r w:rsidRPr="001A076D">
        <w:br/>
      </w:r>
      <w:r w:rsidRPr="001A076D">
        <w:rPr>
          <w:rStyle w:val="Strong"/>
        </w:rPr>
        <w:t>Response:</w:t>
      </w:r>
      <w:r w:rsidRPr="001A076D">
        <w:t xml:space="preserve"> They are absolutely critical. If I can confirm clear data lineage and consistent business definitions, I am confident in endorsing analytics outputs. Without that clarity, I would be more cautious.</w:t>
      </w:r>
    </w:p>
    <w:p w14:paraId="76FA7A28" w14:textId="27619E61" w:rsidR="00BE65C8" w:rsidRPr="001A076D" w:rsidRDefault="00BE65C8" w:rsidP="00BE65C8">
      <w:pPr>
        <w:pStyle w:val="NormalWeb"/>
      </w:pPr>
      <w:r w:rsidRPr="001A076D">
        <w:rPr>
          <w:rStyle w:val="Strong"/>
        </w:rPr>
        <w:t>Question 10: Does data governance enable or constrain the strategic use of analytics?</w:t>
      </w:r>
      <w:r w:rsidRPr="001A076D">
        <w:br/>
      </w:r>
      <w:r w:rsidRPr="001A076D">
        <w:rPr>
          <w:rStyle w:val="Strong"/>
        </w:rPr>
        <w:t>Response:</w:t>
      </w:r>
      <w:r w:rsidRPr="001A076D">
        <w:t xml:space="preserve"> It enables analytics by ensuring credibility and trust. However, it can feel constraining when timelines are tight</w:t>
      </w:r>
      <w:r w:rsidR="008572B8" w:rsidRPr="001A076D">
        <w:t>,</w:t>
      </w:r>
      <w:r w:rsidRPr="001A076D">
        <w:t xml:space="preserve"> and there is pressure to deliver outputs quickly.</w:t>
      </w:r>
    </w:p>
    <w:p w14:paraId="022D5B01" w14:textId="3995A0E0" w:rsidR="00BE65C8" w:rsidRPr="001A076D" w:rsidRDefault="00BE65C8" w:rsidP="00BE65C8">
      <w:r w:rsidRPr="001A076D">
        <w:rPr>
          <w:rStyle w:val="Strong"/>
        </w:rPr>
        <w:t>Theme 4: Trust and Explainability (H2, H3, RQ3)</w:t>
      </w:r>
    </w:p>
    <w:p w14:paraId="2108DC41" w14:textId="77777777" w:rsidR="00BE65C8" w:rsidRPr="001A076D" w:rsidRDefault="00BE65C8" w:rsidP="00BE65C8">
      <w:pPr>
        <w:pStyle w:val="NormalWeb"/>
      </w:pPr>
      <w:r w:rsidRPr="001A076D">
        <w:rPr>
          <w:rStyle w:val="Strong"/>
        </w:rPr>
        <w:t>Question 11: What factors increase trust in predictive analytics outputs?</w:t>
      </w:r>
      <w:r w:rsidRPr="001A076D">
        <w:br/>
      </w:r>
      <w:r w:rsidRPr="001A076D">
        <w:rPr>
          <w:rStyle w:val="Strong"/>
        </w:rPr>
        <w:t>Response:</w:t>
      </w:r>
      <w:r w:rsidRPr="001A076D">
        <w:t xml:space="preserve"> Trust is strengthened by clear business definitions, transparent assumptions, formal data validation sign-off, and consistency in KPIs across systems.</w:t>
      </w:r>
    </w:p>
    <w:p w14:paraId="6BF66781" w14:textId="77777777" w:rsidR="00BE65C8" w:rsidRPr="001A076D" w:rsidRDefault="00BE65C8" w:rsidP="00BE65C8">
      <w:pPr>
        <w:pStyle w:val="NormalWeb"/>
      </w:pPr>
      <w:r w:rsidRPr="001A076D">
        <w:rPr>
          <w:rStyle w:val="Strong"/>
        </w:rPr>
        <w:t>Question 12: What factors reduce trust or create scepticism?</w:t>
      </w:r>
      <w:r w:rsidRPr="001A076D">
        <w:br/>
      </w:r>
      <w:r w:rsidRPr="001A076D">
        <w:rPr>
          <w:rStyle w:val="Strong"/>
        </w:rPr>
        <w:t>Response:</w:t>
      </w:r>
      <w:r w:rsidRPr="001A076D">
        <w:t xml:space="preserve"> Trust is reduced when there are conflicting figures across reports, when business terms are not clearly defined, or when model outputs contradict established operational patterns.</w:t>
      </w:r>
    </w:p>
    <w:p w14:paraId="66EDB20D" w14:textId="70EFCAF1" w:rsidR="00BE65C8" w:rsidRPr="001A076D" w:rsidRDefault="00BE65C8" w:rsidP="00BE65C8">
      <w:pPr>
        <w:pStyle w:val="NormalWeb"/>
      </w:pPr>
      <w:r w:rsidRPr="001A076D">
        <w:rPr>
          <w:rStyle w:val="Strong"/>
        </w:rPr>
        <w:t>Question 13: How important is explainability when analytics informs strategic decisions?</w:t>
      </w:r>
      <w:r w:rsidRPr="001A076D">
        <w:br/>
      </w:r>
      <w:r w:rsidRPr="001A076D">
        <w:rPr>
          <w:rStyle w:val="Strong"/>
        </w:rPr>
        <w:t>Response:</w:t>
      </w:r>
      <w:r w:rsidRPr="001A076D">
        <w:t xml:space="preserve"> It is crucial. Business leaders need to understand exactly what the model </w:t>
      </w:r>
      <w:r w:rsidR="008572B8" w:rsidRPr="001A076D">
        <w:t>measures and, just as importantly, what it does</w:t>
      </w:r>
      <w:r w:rsidRPr="001A076D">
        <w:t xml:space="preserve"> not.</w:t>
      </w:r>
    </w:p>
    <w:p w14:paraId="47D49608" w14:textId="4CB13A40" w:rsidR="00BE65C8" w:rsidRPr="001A076D" w:rsidRDefault="00BE65C8" w:rsidP="00BE65C8">
      <w:pPr>
        <w:pStyle w:val="NormalWeb"/>
      </w:pPr>
      <w:r w:rsidRPr="001A076D">
        <w:rPr>
          <w:rStyle w:val="Strong"/>
        </w:rPr>
        <w:lastRenderedPageBreak/>
        <w:t>Question 14: How are ethical, regulatory, or compliance concerns addressed?</w:t>
      </w:r>
      <w:r w:rsidRPr="001A076D">
        <w:br/>
      </w:r>
      <w:r w:rsidRPr="001A076D">
        <w:rPr>
          <w:rStyle w:val="Strong"/>
        </w:rPr>
        <w:t>Response:</w:t>
      </w:r>
      <w:r w:rsidRPr="001A076D">
        <w:t xml:space="preserve"> We apply data classification standards, ensure compliance with </w:t>
      </w:r>
      <w:r w:rsidR="008572B8" w:rsidRPr="001A076D">
        <w:t>the UK GDPR, and review analytics use cases in governance forums before implementation</w:t>
      </w:r>
      <w:r w:rsidRPr="001A076D">
        <w:t>.</w:t>
      </w:r>
    </w:p>
    <w:p w14:paraId="418C8DAB" w14:textId="77777777" w:rsidR="00BE65C8" w:rsidRPr="001A076D" w:rsidRDefault="00BE65C8" w:rsidP="00BE65C8">
      <w:r w:rsidRPr="001A076D">
        <w:rPr>
          <w:rStyle w:val="Strong"/>
        </w:rPr>
        <w:t>Theme 5: Strategic Decision-Making Impact (H3, RQ3)</w:t>
      </w:r>
    </w:p>
    <w:p w14:paraId="4823AE04" w14:textId="77777777" w:rsidR="00BE65C8" w:rsidRPr="001A076D" w:rsidRDefault="00BE65C8" w:rsidP="00BE65C8">
      <w:pPr>
        <w:pStyle w:val="NormalWeb"/>
      </w:pPr>
      <w:r w:rsidRPr="001A076D">
        <w:rPr>
          <w:rStyle w:val="Strong"/>
        </w:rPr>
        <w:t>Question 15: Can you describe a situation where predictive analytics significantly influenced a strategic decision?</w:t>
      </w:r>
      <w:r w:rsidRPr="001A076D">
        <w:br/>
      </w:r>
      <w:r w:rsidRPr="001A076D">
        <w:rPr>
          <w:rStyle w:val="Strong"/>
        </w:rPr>
        <w:t>Response:</w:t>
      </w:r>
      <w:r w:rsidRPr="001A076D">
        <w:t xml:space="preserve"> A customer churn prediction model informed changes to pricing and retention strategies. However, before it was adopted, we carried out detailed validation against historical data to ensure its reliability.</w:t>
      </w:r>
    </w:p>
    <w:p w14:paraId="1BD7A194" w14:textId="77777777" w:rsidR="00BE65C8" w:rsidRPr="001A076D" w:rsidRDefault="00BE65C8" w:rsidP="00BE65C8">
      <w:pPr>
        <w:pStyle w:val="NormalWeb"/>
      </w:pPr>
      <w:r w:rsidRPr="001A076D">
        <w:rPr>
          <w:rStyle w:val="Strong"/>
        </w:rPr>
        <w:t>Question 16: Have there been occasions where analytics outputs were ignored or overridden? What were the reasons?</w:t>
      </w:r>
      <w:r w:rsidRPr="001A076D">
        <w:br/>
      </w:r>
      <w:r w:rsidRPr="001A076D">
        <w:rPr>
          <w:rStyle w:val="Strong"/>
        </w:rPr>
        <w:t>Response:</w:t>
      </w:r>
      <w:r w:rsidRPr="001A076D">
        <w:t xml:space="preserve"> Yes. In situations where data inconsistencies were identified late in the process, leadership chose not to proceed until those governance issues had been addressed.</w:t>
      </w:r>
    </w:p>
    <w:p w14:paraId="3A5E613D" w14:textId="77777777" w:rsidR="00BE65C8" w:rsidRPr="001A076D" w:rsidRDefault="00BE65C8" w:rsidP="00BE65C8">
      <w:pPr>
        <w:pStyle w:val="NormalWeb"/>
      </w:pPr>
      <w:r w:rsidRPr="001A076D">
        <w:rPr>
          <w:rStyle w:val="Strong"/>
        </w:rPr>
        <w:t>Question 17: How does executive trust affect whether analytics informs final decisions?</w:t>
      </w:r>
      <w:r w:rsidRPr="001A076D">
        <w:br/>
      </w:r>
      <w:r w:rsidRPr="001A076D">
        <w:rPr>
          <w:rStyle w:val="Strong"/>
        </w:rPr>
        <w:t>Response:</w:t>
      </w:r>
      <w:r w:rsidRPr="001A076D">
        <w:t xml:space="preserve"> If executives trust the governance behind the data, analytics plays a central role in shaping decisions. If that trust is lacking, they tend to rely more on experience and judgement.</w:t>
      </w:r>
    </w:p>
    <w:p w14:paraId="51C53D05" w14:textId="17FEE9FF" w:rsidR="00BE65C8" w:rsidRPr="001A076D" w:rsidRDefault="00BE65C8" w:rsidP="00BE65C8">
      <w:r w:rsidRPr="001A076D">
        <w:rPr>
          <w:rStyle w:val="Strong"/>
        </w:rPr>
        <w:t>Theme 6: Barriers and Enablers</w:t>
      </w:r>
    </w:p>
    <w:p w14:paraId="16C2DD2F" w14:textId="225AB16C" w:rsidR="00BE65C8" w:rsidRPr="001A076D" w:rsidRDefault="00BE65C8" w:rsidP="00BE65C8">
      <w:pPr>
        <w:pStyle w:val="NormalWeb"/>
      </w:pPr>
      <w:r w:rsidRPr="001A076D">
        <w:rPr>
          <w:rStyle w:val="Strong"/>
        </w:rPr>
        <w:t>Question 18: What organisational barriers limit the effective use of predictive analytics?</w:t>
      </w:r>
      <w:r w:rsidRPr="001A076D">
        <w:br/>
      </w:r>
      <w:r w:rsidRPr="001A076D">
        <w:rPr>
          <w:rStyle w:val="Strong"/>
        </w:rPr>
        <w:t>Response:</w:t>
      </w:r>
      <w:r w:rsidRPr="001A076D">
        <w:t xml:space="preserve"> Key barriers include </w:t>
      </w:r>
      <w:r w:rsidR="008572B8" w:rsidRPr="001A076D">
        <w:t>inconsistencies in historical data</w:t>
      </w:r>
      <w:r w:rsidRPr="001A076D">
        <w:t>, siloed definitions across business units, limited adoption of metadata standards, and competing priorities.</w:t>
      </w:r>
    </w:p>
    <w:p w14:paraId="4CAC0AEC" w14:textId="115D3357" w:rsidR="00BE65C8" w:rsidRPr="001A076D" w:rsidRDefault="00BE65C8" w:rsidP="00BE65C8">
      <w:pPr>
        <w:pStyle w:val="NormalWeb"/>
      </w:pPr>
      <w:r w:rsidRPr="001A076D">
        <w:rPr>
          <w:rStyle w:val="Strong"/>
        </w:rPr>
        <w:t>Question 19: How do culture, data literacy, or regulatory pressures shape analytics adoption and use?</w:t>
      </w:r>
      <w:r w:rsidRPr="001A076D">
        <w:br/>
      </w:r>
      <w:r w:rsidRPr="001A076D">
        <w:rPr>
          <w:rStyle w:val="Strong"/>
        </w:rPr>
        <w:t>Response:</w:t>
      </w:r>
      <w:r w:rsidRPr="001A076D">
        <w:t xml:space="preserve"> </w:t>
      </w:r>
      <w:r w:rsidR="00AD17A2" w:rsidRPr="001A076D">
        <w:t>Increased regulation increases scrutiny, reinforcing</w:t>
      </w:r>
      <w:r w:rsidRPr="001A076D">
        <w:t xml:space="preserve"> the need for strong governance. Culture determines whether governance is embraced as part of ethical practice or resisted as an additional burden.</w:t>
      </w:r>
    </w:p>
    <w:p w14:paraId="7F2BD812" w14:textId="77777777" w:rsidR="00BE65C8" w:rsidRPr="001A076D" w:rsidRDefault="00BE65C8" w:rsidP="00BE65C8">
      <w:pPr>
        <w:pStyle w:val="NormalWeb"/>
      </w:pPr>
      <w:r w:rsidRPr="001A076D">
        <w:rPr>
          <w:rStyle w:val="Strong"/>
        </w:rPr>
        <w:t>Question 20: What factors most strongly enable analytics to be embedded into decision-making?</w:t>
      </w:r>
      <w:r w:rsidRPr="001A076D">
        <w:br/>
      </w:r>
      <w:r w:rsidRPr="001A076D">
        <w:rPr>
          <w:rStyle w:val="Strong"/>
        </w:rPr>
        <w:t>Response:</w:t>
      </w:r>
      <w:r w:rsidRPr="001A076D">
        <w:t xml:space="preserve"> Strong data stewardship, clear and consistent business definitions, executive sponsorship, and close alignment between business and data teams all play a significant role.</w:t>
      </w:r>
    </w:p>
    <w:p w14:paraId="500D30A9" w14:textId="2E648628" w:rsidR="00BE65C8" w:rsidRPr="001A076D" w:rsidRDefault="00BE65C8" w:rsidP="00BE65C8">
      <w:r w:rsidRPr="001A076D">
        <w:rPr>
          <w:rStyle w:val="Strong"/>
        </w:rPr>
        <w:t>Theme 7: Integration and Reflection</w:t>
      </w:r>
    </w:p>
    <w:p w14:paraId="2510A27B" w14:textId="79278BC7" w:rsidR="00BE65C8" w:rsidRPr="001A076D" w:rsidRDefault="00BE65C8" w:rsidP="00BE65C8">
      <w:pPr>
        <w:pStyle w:val="NormalWeb"/>
      </w:pPr>
      <w:r w:rsidRPr="001A076D">
        <w:rPr>
          <w:rStyle w:val="Strong"/>
        </w:rPr>
        <w:t xml:space="preserve">Question 21: What conditions are necessary for predictive analytics to be fully trusted at </w:t>
      </w:r>
      <w:r w:rsidR="00AD17A2" w:rsidRPr="001A076D">
        <w:rPr>
          <w:rStyle w:val="Strong"/>
        </w:rPr>
        <w:t xml:space="preserve">the </w:t>
      </w:r>
      <w:r w:rsidRPr="001A076D">
        <w:rPr>
          <w:rStyle w:val="Strong"/>
        </w:rPr>
        <w:t>executive level?</w:t>
      </w:r>
      <w:r w:rsidRPr="001A076D">
        <w:br/>
      </w:r>
      <w:r w:rsidRPr="001A076D">
        <w:rPr>
          <w:rStyle w:val="Strong"/>
        </w:rPr>
        <w:t>Response:</w:t>
      </w:r>
      <w:r w:rsidRPr="001A076D">
        <w:t xml:space="preserve"> From a data stewardship perspective, trust depends on clear ownership, standardised definitions, transparent lineage, validated data quality metrics, and formal governance endorsements.</w:t>
      </w:r>
    </w:p>
    <w:p w14:paraId="0A360F6B" w14:textId="049613B1" w:rsidR="00BE65C8" w:rsidRPr="001A076D" w:rsidRDefault="00BE65C8" w:rsidP="00BE65C8">
      <w:pPr>
        <w:pStyle w:val="NormalWeb"/>
      </w:pPr>
      <w:r w:rsidRPr="001A076D">
        <w:rPr>
          <w:rStyle w:val="Strong"/>
        </w:rPr>
        <w:t xml:space="preserve">Question 22: How could governance arrangements and organisational capability better support </w:t>
      </w:r>
      <w:r w:rsidR="00AD17A2" w:rsidRPr="001A076D">
        <w:rPr>
          <w:rStyle w:val="Strong"/>
        </w:rPr>
        <w:t xml:space="preserve">the </w:t>
      </w:r>
      <w:r w:rsidRPr="001A076D">
        <w:rPr>
          <w:rStyle w:val="Strong"/>
        </w:rPr>
        <w:t>strategic use of analytics?</w:t>
      </w:r>
      <w:r w:rsidRPr="001A076D">
        <w:br/>
      </w:r>
      <w:r w:rsidRPr="001A076D">
        <w:rPr>
          <w:rStyle w:val="Strong"/>
        </w:rPr>
        <w:t>Response:</w:t>
      </w:r>
      <w:r w:rsidRPr="001A076D">
        <w:t xml:space="preserve"> Governance needs to be more proactive rather than reactive. </w:t>
      </w:r>
      <w:r w:rsidR="005977AD" w:rsidRPr="001A076D">
        <w:t>Data</w:t>
      </w:r>
      <w:r w:rsidRPr="001A076D">
        <w:t xml:space="preserve"> owners should be involved earlier in the modelling process to ensure that data quality and definitions are addressed </w:t>
      </w:r>
      <w:r w:rsidR="0088535B" w:rsidRPr="001A076D">
        <w:t>from the outset</w:t>
      </w:r>
      <w:r w:rsidRPr="001A076D">
        <w:t>.</w:t>
      </w:r>
    </w:p>
    <w:p w14:paraId="56FA4154" w14:textId="77777777" w:rsidR="00BE65C8" w:rsidRPr="001A076D" w:rsidRDefault="00BE65C8" w:rsidP="00BE65C8">
      <w:pPr>
        <w:pStyle w:val="NormalWeb"/>
      </w:pPr>
      <w:r w:rsidRPr="001A076D">
        <w:rPr>
          <w:rStyle w:val="Strong"/>
        </w:rPr>
        <w:lastRenderedPageBreak/>
        <w:t>Question 23: Is there anything else critical to understanding predictive analytics readiness at SSE PLC?</w:t>
      </w:r>
      <w:r w:rsidRPr="001A076D">
        <w:br/>
      </w:r>
      <w:r w:rsidRPr="001A076D">
        <w:rPr>
          <w:rStyle w:val="Strong"/>
        </w:rPr>
        <w:t>Response:</w:t>
      </w:r>
      <w:r w:rsidRPr="001A076D">
        <w:t xml:space="preserve"> Readiness depends on whether governance maturity is embedded into day-to-day operations, not just documented in policy. When data quality and ownership are consistently applied in practice, trust becomes sustainable.</w:t>
      </w:r>
    </w:p>
    <w:p w14:paraId="59A91BF7" w14:textId="66FFA618" w:rsidR="00BE65C8" w:rsidRPr="001A076D" w:rsidRDefault="00BE65C8" w:rsidP="00BE65C8">
      <w:pPr>
        <w:pStyle w:val="NormalWeb"/>
      </w:pPr>
      <w:r w:rsidRPr="001A076D">
        <w:rPr>
          <w:rStyle w:val="Strong"/>
        </w:rPr>
        <w:t>Participant Code:</w:t>
      </w:r>
      <w:r w:rsidRPr="001A076D">
        <w:t xml:space="preserve"> P5</w:t>
      </w:r>
      <w:r w:rsidRPr="001A076D">
        <w:br/>
      </w:r>
      <w:r w:rsidRPr="001A076D">
        <w:rPr>
          <w:rStyle w:val="Strong"/>
        </w:rPr>
        <w:t>Role:</w:t>
      </w:r>
      <w:r w:rsidRPr="001A076D">
        <w:t xml:space="preserve"> Senior Data Scientist &amp; Predictive Analytics Lead</w:t>
      </w:r>
      <w:r w:rsidRPr="001A076D">
        <w:br/>
      </w:r>
      <w:r w:rsidRPr="001A076D">
        <w:rPr>
          <w:rStyle w:val="Strong"/>
        </w:rPr>
        <w:t>Organisation:</w:t>
      </w:r>
      <w:r w:rsidRPr="001A076D">
        <w:t xml:space="preserve"> SSE PLC</w:t>
      </w:r>
      <w:r w:rsidRPr="001A076D">
        <w:br/>
      </w:r>
      <w:r w:rsidRPr="001A076D">
        <w:rPr>
          <w:rStyle w:val="Strong"/>
        </w:rPr>
        <w:t>Interview Type:</w:t>
      </w:r>
      <w:r w:rsidRPr="001A076D">
        <w:t xml:space="preserve"> Semi-Structured</w:t>
      </w:r>
      <w:r w:rsidRPr="001A076D">
        <w:br/>
      </w:r>
      <w:r w:rsidRPr="001A076D">
        <w:rPr>
          <w:rStyle w:val="Strong"/>
        </w:rPr>
        <w:t>Mode:</w:t>
      </w:r>
      <w:r w:rsidRPr="001A076D">
        <w:t xml:space="preserve"> Microsoft Teams</w:t>
      </w:r>
      <w:r w:rsidRPr="001A076D">
        <w:br/>
      </w:r>
      <w:r w:rsidRPr="001A076D">
        <w:rPr>
          <w:rStyle w:val="Strong"/>
        </w:rPr>
        <w:t>Duration:</w:t>
      </w:r>
      <w:r w:rsidRPr="001A076D">
        <w:t xml:space="preserve"> Approximately 5</w:t>
      </w:r>
      <w:r w:rsidR="007D6ECE" w:rsidRPr="001A076D">
        <w:t>9</w:t>
      </w:r>
      <w:r w:rsidRPr="001A076D">
        <w:t xml:space="preserve"> minutes</w:t>
      </w:r>
    </w:p>
    <w:p w14:paraId="47A2B483" w14:textId="77777777" w:rsidR="00BE65C8" w:rsidRPr="001A076D" w:rsidRDefault="00BE65C8" w:rsidP="00BE65C8">
      <w:pPr>
        <w:pStyle w:val="NormalWeb"/>
      </w:pPr>
      <w:r w:rsidRPr="001A076D">
        <w:rPr>
          <w:rStyle w:val="Emphasis"/>
        </w:rPr>
        <w:t>Note: The transcript has been lightly edited for clarity and readability. All identifying details have been anonymised in accordance with ethical research guidelines.</w:t>
      </w:r>
    </w:p>
    <w:p w14:paraId="47F3E101" w14:textId="77777777" w:rsidR="00BE65C8" w:rsidRPr="001A076D" w:rsidRDefault="00BE65C8" w:rsidP="00BE65C8">
      <w:r w:rsidRPr="001A076D">
        <w:rPr>
          <w:rStyle w:val="Strong"/>
        </w:rPr>
        <w:t>Theme 1: Role and Context (RQ2)</w:t>
      </w:r>
    </w:p>
    <w:p w14:paraId="720BADEA" w14:textId="57641B3A" w:rsidR="00BE65C8" w:rsidRPr="001A076D" w:rsidRDefault="00BE65C8" w:rsidP="00BE65C8">
      <w:pPr>
        <w:pStyle w:val="NormalWeb"/>
      </w:pPr>
      <w:r w:rsidRPr="001A076D">
        <w:rPr>
          <w:rStyle w:val="Strong"/>
        </w:rPr>
        <w:t>Question 1: Can you describe your role and responsibilities within SSE PLC?</w:t>
      </w:r>
      <w:r w:rsidRPr="001A076D">
        <w:br/>
      </w:r>
      <w:r w:rsidRPr="001A076D">
        <w:rPr>
          <w:rStyle w:val="Strong"/>
        </w:rPr>
        <w:t>Response:</w:t>
      </w:r>
      <w:r w:rsidRPr="001A076D">
        <w:t xml:space="preserve"> I lead predictive modelling initiatives across several areas, including demand forecasting, asset performance modelling, and customer analytics. My responsibilities cover the full lifecycle</w:t>
      </w:r>
      <w:r w:rsidR="00AD17A2" w:rsidRPr="001A076D">
        <w:t>: model development, validation, performance monitoring, and communication of</w:t>
      </w:r>
      <w:r w:rsidRPr="001A076D">
        <w:t xml:space="preserve"> outputs to both business stakeholders and senior leadership.</w:t>
      </w:r>
    </w:p>
    <w:p w14:paraId="451BDFF2" w14:textId="72813357" w:rsidR="00BE65C8" w:rsidRPr="001A076D" w:rsidRDefault="00BE65C8" w:rsidP="00BE65C8">
      <w:pPr>
        <w:pStyle w:val="NormalWeb"/>
      </w:pPr>
      <w:r w:rsidRPr="001A076D">
        <w:rPr>
          <w:rStyle w:val="Strong"/>
        </w:rPr>
        <w:t>Question 2: How does predictive analytics feature in your day-to-day work?</w:t>
      </w:r>
      <w:r w:rsidRPr="001A076D">
        <w:br/>
      </w:r>
      <w:r w:rsidRPr="001A076D">
        <w:rPr>
          <w:rStyle w:val="Strong"/>
        </w:rPr>
        <w:t>Response:</w:t>
      </w:r>
      <w:r w:rsidRPr="001A076D">
        <w:t xml:space="preserve"> It sits at the core of what I do. A lot of my work involves translating business problems into modelling frameworks, selecting appropriate techniques, validating assumptions, and ensuring </w:t>
      </w:r>
      <w:r w:rsidR="005977AD" w:rsidRPr="001A076D">
        <w:t>that the outputs</w:t>
      </w:r>
      <w:r w:rsidRPr="001A076D">
        <w:t xml:space="preserve"> are both interpretable and practically useful.</w:t>
      </w:r>
    </w:p>
    <w:p w14:paraId="596B1D01" w14:textId="77777777" w:rsidR="00BE65C8" w:rsidRPr="001A076D" w:rsidRDefault="00BE65C8" w:rsidP="00BE65C8">
      <w:pPr>
        <w:pStyle w:val="NormalWeb"/>
      </w:pPr>
      <w:r w:rsidRPr="001A076D">
        <w:rPr>
          <w:rStyle w:val="Strong"/>
        </w:rPr>
        <w:t>Question 3: In what types of decisions are analytics outputs most commonly used?</w:t>
      </w:r>
      <w:r w:rsidRPr="001A076D">
        <w:br/>
      </w:r>
      <w:r w:rsidRPr="001A076D">
        <w:rPr>
          <w:rStyle w:val="Strong"/>
        </w:rPr>
        <w:t>Response: At the operational level, teams use our outputs for predictive maintenance and performance optimisation.</w:t>
      </w:r>
      <w:r w:rsidRPr="001A076D">
        <w:t xml:space="preserve"> Strategically, our forecasts inform investment decisions, pricing strategies, and broader risk planning.</w:t>
      </w:r>
    </w:p>
    <w:p w14:paraId="7D44A43F" w14:textId="77777777" w:rsidR="00BE65C8" w:rsidRPr="001A076D" w:rsidRDefault="00BE65C8" w:rsidP="00BE65C8">
      <w:r w:rsidRPr="001A076D">
        <w:rPr>
          <w:rStyle w:val="Strong"/>
        </w:rPr>
        <w:t>Theme 2: Predictive Analytics Capability and Readiness (H1, RQ2)</w:t>
      </w:r>
    </w:p>
    <w:p w14:paraId="4D5E12E0" w14:textId="286842DD" w:rsidR="00BE65C8" w:rsidRPr="001A076D" w:rsidRDefault="00BE65C8" w:rsidP="00BE65C8">
      <w:pPr>
        <w:pStyle w:val="NormalWeb"/>
      </w:pPr>
      <w:r w:rsidRPr="001A076D">
        <w:rPr>
          <w:rStyle w:val="Strong"/>
        </w:rPr>
        <w:t>Question 4: How would you describe SSE’s current capability in predictive analytics?</w:t>
      </w:r>
      <w:r w:rsidRPr="001A076D">
        <w:br/>
      </w:r>
      <w:r w:rsidRPr="001A076D">
        <w:rPr>
          <w:rStyle w:val="Strong"/>
        </w:rPr>
        <w:t>Response:</w:t>
      </w:r>
      <w:r w:rsidRPr="001A076D">
        <w:t xml:space="preserve"> We have strong modelling </w:t>
      </w:r>
      <w:r w:rsidR="005977AD" w:rsidRPr="001A076D">
        <w:t>capabilities and increasingly modern tools.</w:t>
      </w:r>
      <w:r w:rsidRPr="001A076D">
        <w:t xml:space="preserve"> However, predictive readiness still depends heavily on data maturity and governance consistency. Technical capability on its own does not necessarily translate into strategic impact.</w:t>
      </w:r>
    </w:p>
    <w:p w14:paraId="2D06FD4F" w14:textId="5B831D92" w:rsidR="00BE65C8" w:rsidRPr="001A076D" w:rsidRDefault="00BE65C8" w:rsidP="00BE65C8">
      <w:pPr>
        <w:pStyle w:val="NormalWeb"/>
      </w:pPr>
      <w:r w:rsidRPr="001A076D">
        <w:rPr>
          <w:rStyle w:val="Strong"/>
        </w:rPr>
        <w:t>Question 5: To what extent do leadership practices influence the use of analytics in decision-making?</w:t>
      </w:r>
      <w:r w:rsidRPr="001A076D">
        <w:br/>
      </w:r>
      <w:r w:rsidRPr="001A076D">
        <w:rPr>
          <w:rStyle w:val="Strong"/>
        </w:rPr>
        <w:t>Response:</w:t>
      </w:r>
      <w:r w:rsidRPr="001A076D">
        <w:t xml:space="preserve"> Leadership engagement is critical. When executives actively engage with and challenge modelling outputs, analytics </w:t>
      </w:r>
      <w:r w:rsidR="0088535B" w:rsidRPr="001A076D">
        <w:t>become embedded in decision-making.</w:t>
      </w:r>
      <w:r w:rsidRPr="001A076D">
        <w:t xml:space="preserve"> When that engagement is more superficial, models tend to be treated as supporting evidence rather than a central input.</w:t>
      </w:r>
    </w:p>
    <w:p w14:paraId="003082B0" w14:textId="29A021E5" w:rsidR="00BE65C8" w:rsidRPr="001A076D" w:rsidRDefault="00BE65C8" w:rsidP="00BE65C8">
      <w:pPr>
        <w:pStyle w:val="NormalWeb"/>
      </w:pPr>
      <w:r w:rsidRPr="001A076D">
        <w:rPr>
          <w:rStyle w:val="Strong"/>
        </w:rPr>
        <w:t>Question 6: How would you characterise organisational attitudes toward data-driven decision-making?</w:t>
      </w:r>
      <w:r w:rsidRPr="001A076D">
        <w:br/>
      </w:r>
      <w:r w:rsidRPr="001A076D">
        <w:rPr>
          <w:rStyle w:val="Strong"/>
        </w:rPr>
        <w:lastRenderedPageBreak/>
        <w:t>Response:</w:t>
      </w:r>
      <w:r w:rsidRPr="001A076D">
        <w:t xml:space="preserve"> There is growing acceptance across the organisation. However, there </w:t>
      </w:r>
      <w:r w:rsidR="00AD17A2" w:rsidRPr="001A076D">
        <w:t>remains a strong tendency to combine analytics with experience rather than rely</w:t>
      </w:r>
      <w:r w:rsidRPr="001A076D">
        <w:t xml:space="preserve"> solely on model outputs.</w:t>
      </w:r>
    </w:p>
    <w:p w14:paraId="60125C3F" w14:textId="77777777" w:rsidR="00BE65C8" w:rsidRPr="001A076D" w:rsidRDefault="00BE65C8" w:rsidP="00BE65C8">
      <w:pPr>
        <w:pStyle w:val="NormalWeb"/>
      </w:pPr>
      <w:r w:rsidRPr="001A076D">
        <w:rPr>
          <w:rStyle w:val="Strong"/>
        </w:rPr>
        <w:t>Question 7: Are analytical skills and understanding sufficient at senior decision-making levels? Why or why not?</w:t>
      </w:r>
      <w:r w:rsidRPr="001A076D">
        <w:br/>
      </w:r>
      <w:r w:rsidRPr="001A076D">
        <w:rPr>
          <w:rStyle w:val="Strong"/>
        </w:rPr>
        <w:t>Response:</w:t>
      </w:r>
      <w:r w:rsidRPr="001A076D">
        <w:t xml:space="preserve"> Strategic understanding is generally adequate, but detailed awareness of model limitations is sometimes lacking. This can lead to unrealistic expectations around the level of precision or certainty that models can provide.</w:t>
      </w:r>
    </w:p>
    <w:p w14:paraId="3B69D393" w14:textId="77777777" w:rsidR="00BE65C8" w:rsidRPr="001A076D" w:rsidRDefault="00BE65C8" w:rsidP="00BE65C8">
      <w:r w:rsidRPr="001A076D">
        <w:rPr>
          <w:rStyle w:val="Strong"/>
        </w:rPr>
        <w:t>Theme 3: Data Governance Maturity (H2, H4, RQ1)</w:t>
      </w:r>
    </w:p>
    <w:p w14:paraId="65E68BD6" w14:textId="715D5DE8" w:rsidR="00BE65C8" w:rsidRPr="001A076D" w:rsidRDefault="00BE65C8" w:rsidP="00BE65C8">
      <w:pPr>
        <w:pStyle w:val="NormalWeb"/>
      </w:pPr>
      <w:r w:rsidRPr="001A076D">
        <w:rPr>
          <w:rStyle w:val="Strong"/>
        </w:rPr>
        <w:t>Question 8: How clear are data ownership, accountability, and governance responsibilities in analytics initiatives?</w:t>
      </w:r>
      <w:r w:rsidRPr="001A076D">
        <w:br/>
      </w:r>
      <w:r w:rsidRPr="001A076D">
        <w:rPr>
          <w:rStyle w:val="Strong"/>
        </w:rPr>
        <w:t>Response:</w:t>
      </w:r>
      <w:r w:rsidRPr="001A076D">
        <w:t xml:space="preserve"> Ownership frameworks are in place, but clarity can vary between domains. </w:t>
      </w:r>
      <w:r w:rsidR="00AD17A2" w:rsidRPr="001A076D">
        <w:t xml:space="preserve">When ownership is unclear, model validation slows </w:t>
      </w:r>
      <w:r w:rsidRPr="001A076D">
        <w:t>because accountability for data quality becomes harder to establish.</w:t>
      </w:r>
    </w:p>
    <w:p w14:paraId="588F7DFD" w14:textId="77777777" w:rsidR="00BE65C8" w:rsidRPr="001A076D" w:rsidRDefault="00BE65C8" w:rsidP="00BE65C8">
      <w:pPr>
        <w:pStyle w:val="NormalWeb"/>
      </w:pPr>
      <w:r w:rsidRPr="001A076D">
        <w:rPr>
          <w:rStyle w:val="Strong"/>
        </w:rPr>
        <w:t>Question 9: How do data quality, metadata, or lineage practices affect confidence in analytics outputs?</w:t>
      </w:r>
      <w:r w:rsidRPr="001A076D">
        <w:br/>
      </w:r>
      <w:r w:rsidRPr="001A076D">
        <w:rPr>
          <w:rStyle w:val="Strong"/>
        </w:rPr>
        <w:t>Response:</w:t>
      </w:r>
      <w:r w:rsidRPr="001A076D">
        <w:t xml:space="preserve"> They are fundamental. If I cannot clearly document data lineage and transformation logic, it becomes difficult to defend the model to senior stakeholders.</w:t>
      </w:r>
    </w:p>
    <w:p w14:paraId="13E1264F" w14:textId="77777777" w:rsidR="00BE65C8" w:rsidRPr="001A076D" w:rsidRDefault="00BE65C8" w:rsidP="00BE65C8">
      <w:pPr>
        <w:pStyle w:val="NormalWeb"/>
      </w:pPr>
      <w:r w:rsidRPr="001A076D">
        <w:rPr>
          <w:rStyle w:val="Strong"/>
        </w:rPr>
        <w:t>Question 10: Does data governance enable or constrain the strategic use of analytics?</w:t>
      </w:r>
      <w:r w:rsidRPr="001A076D">
        <w:br/>
      </w:r>
      <w:r w:rsidRPr="001A076D">
        <w:rPr>
          <w:rStyle w:val="Strong"/>
        </w:rPr>
        <w:t>Response:</w:t>
      </w:r>
      <w:r w:rsidRPr="001A076D">
        <w:t xml:space="preserve"> Governance generally enables analytics by providing credibility and structure. However, when governance reviews happen late in the development process, they can delay deployment and reduce agility.</w:t>
      </w:r>
    </w:p>
    <w:p w14:paraId="3F875E8B" w14:textId="60B078EB" w:rsidR="00BE65C8" w:rsidRPr="001A076D" w:rsidRDefault="00BE65C8" w:rsidP="00BE65C8">
      <w:r w:rsidRPr="001A076D">
        <w:rPr>
          <w:rStyle w:val="Strong"/>
        </w:rPr>
        <w:t>Theme 4: Trust and Explainability (H2, H3, RQ3)</w:t>
      </w:r>
    </w:p>
    <w:p w14:paraId="4742DD07" w14:textId="77777777" w:rsidR="00BE65C8" w:rsidRPr="001A076D" w:rsidRDefault="00BE65C8" w:rsidP="00BE65C8">
      <w:pPr>
        <w:pStyle w:val="NormalWeb"/>
      </w:pPr>
      <w:r w:rsidRPr="001A076D">
        <w:rPr>
          <w:rStyle w:val="Strong"/>
        </w:rPr>
        <w:t>Question 11: What factors increase trust in predictive analytics outputs?</w:t>
      </w:r>
      <w:r w:rsidRPr="001A076D">
        <w:br/>
      </w:r>
      <w:r w:rsidRPr="001A076D">
        <w:rPr>
          <w:rStyle w:val="Strong"/>
        </w:rPr>
        <w:t>Response:</w:t>
      </w:r>
      <w:r w:rsidRPr="001A076D">
        <w:t xml:space="preserve"> Trust is strengthened through transparent modelling assumptions, sensitivity analysis, historical back-testing, and clear communication of uncertainty.</w:t>
      </w:r>
    </w:p>
    <w:p w14:paraId="6B2629E9" w14:textId="77777777" w:rsidR="00BE65C8" w:rsidRPr="001A076D" w:rsidRDefault="00BE65C8" w:rsidP="00BE65C8">
      <w:pPr>
        <w:pStyle w:val="NormalWeb"/>
      </w:pPr>
      <w:r w:rsidRPr="001A076D">
        <w:rPr>
          <w:rStyle w:val="Strong"/>
        </w:rPr>
        <w:t>Question 12: What factors reduce trust or create scepticism toward analytics?</w:t>
      </w:r>
      <w:r w:rsidRPr="001A076D">
        <w:br/>
      </w:r>
      <w:r w:rsidRPr="001A076D">
        <w:rPr>
          <w:rStyle w:val="Strong"/>
        </w:rPr>
        <w:t>Response:</w:t>
      </w:r>
      <w:r w:rsidRPr="001A076D">
        <w:t xml:space="preserve"> Trust tends to decrease when models are overly complex without explanation, when data inputs are inconsistent, or when outputs are presented without sufficient context.</w:t>
      </w:r>
    </w:p>
    <w:p w14:paraId="3222BDB7" w14:textId="77777777" w:rsidR="00BE65C8" w:rsidRPr="001A076D" w:rsidRDefault="00BE65C8" w:rsidP="00BE65C8">
      <w:pPr>
        <w:pStyle w:val="NormalWeb"/>
      </w:pPr>
      <w:r w:rsidRPr="001A076D">
        <w:rPr>
          <w:rStyle w:val="Strong"/>
        </w:rPr>
        <w:t>Question 13: How important is explainability when analytics informs strategic decisions?</w:t>
      </w:r>
      <w:r w:rsidRPr="001A076D">
        <w:br/>
      </w:r>
      <w:r w:rsidRPr="001A076D">
        <w:rPr>
          <w:rStyle w:val="Strong"/>
        </w:rPr>
        <w:t>Response:</w:t>
      </w:r>
      <w:r w:rsidRPr="001A076D">
        <w:t xml:space="preserve"> It is critical. In many cases, explainability matters more than marginal improvements in predictive accuracy, particularly in strategic decision-making contexts.</w:t>
      </w:r>
    </w:p>
    <w:p w14:paraId="79D4E8DF" w14:textId="240AEAA8" w:rsidR="00BE65C8" w:rsidRPr="001A076D" w:rsidRDefault="00BE65C8" w:rsidP="00BE65C8">
      <w:pPr>
        <w:pStyle w:val="NormalWeb"/>
      </w:pPr>
      <w:r w:rsidRPr="001A076D">
        <w:rPr>
          <w:rStyle w:val="Strong"/>
        </w:rPr>
        <w:t>Question 14: How are ethical, regulatory, or compliance concerns addressed when analytics is used?</w:t>
      </w:r>
      <w:r w:rsidRPr="001A076D">
        <w:br/>
      </w:r>
      <w:r w:rsidRPr="001A076D">
        <w:rPr>
          <w:rStyle w:val="Strong"/>
        </w:rPr>
        <w:t>Response:</w:t>
      </w:r>
      <w:r w:rsidRPr="001A076D">
        <w:t xml:space="preserve"> We </w:t>
      </w:r>
      <w:r w:rsidR="002A3F79" w:rsidRPr="001A076D">
        <w:t>conduct bias checks, thoroughly document model assumptions</w:t>
      </w:r>
      <w:r w:rsidRPr="001A076D">
        <w:t xml:space="preserve">, and involve governance stakeholders before deployment. Regulatory compliance is embedded </w:t>
      </w:r>
      <w:r w:rsidR="002A3F79" w:rsidRPr="001A076D">
        <w:t>in</w:t>
      </w:r>
      <w:r w:rsidRPr="001A076D">
        <w:t xml:space="preserve"> our model review processes.</w:t>
      </w:r>
    </w:p>
    <w:p w14:paraId="77F6B994" w14:textId="77777777" w:rsidR="00BE65C8" w:rsidRPr="001A076D" w:rsidRDefault="00BE65C8" w:rsidP="00BE65C8">
      <w:r w:rsidRPr="001A076D">
        <w:rPr>
          <w:rStyle w:val="Strong"/>
        </w:rPr>
        <w:t>Theme 5: Strategic Decision-Making Impact (H3, RQ3)</w:t>
      </w:r>
    </w:p>
    <w:p w14:paraId="4F3A6BA9" w14:textId="693E4F56" w:rsidR="00BE65C8" w:rsidRPr="001A076D" w:rsidRDefault="00BE65C8" w:rsidP="00BE65C8">
      <w:pPr>
        <w:pStyle w:val="NormalWeb"/>
      </w:pPr>
      <w:r w:rsidRPr="001A076D">
        <w:rPr>
          <w:rStyle w:val="Strong"/>
        </w:rPr>
        <w:t>Question 15: Can you describe a situation where predictive analytics significantly influenced a strategic decision?</w:t>
      </w:r>
      <w:r w:rsidRPr="001A076D">
        <w:br/>
      </w:r>
      <w:r w:rsidRPr="001A076D">
        <w:rPr>
          <w:rStyle w:val="Strong"/>
        </w:rPr>
        <w:lastRenderedPageBreak/>
        <w:t>Response:</w:t>
      </w:r>
      <w:r w:rsidRPr="001A076D">
        <w:t xml:space="preserve"> A long-term demand forecasting model we developed played a key role in shaping capital allocation decisions in a grid reinforcement </w:t>
      </w:r>
      <w:r w:rsidR="0088535B" w:rsidRPr="001A076D">
        <w:t>programme.</w:t>
      </w:r>
    </w:p>
    <w:p w14:paraId="0F4106D8" w14:textId="77777777" w:rsidR="00BE65C8" w:rsidRPr="001A076D" w:rsidRDefault="00BE65C8" w:rsidP="00BE65C8">
      <w:pPr>
        <w:pStyle w:val="NormalWeb"/>
      </w:pPr>
      <w:r w:rsidRPr="001A076D">
        <w:rPr>
          <w:rStyle w:val="Strong"/>
        </w:rPr>
        <w:t>Question 16: Have there been occasions where analytics outputs were ignored or overridden? What were the reasons?</w:t>
      </w:r>
      <w:r w:rsidRPr="001A076D">
        <w:br/>
      </w:r>
      <w:r w:rsidRPr="001A076D">
        <w:rPr>
          <w:rStyle w:val="Strong"/>
        </w:rPr>
        <w:t>Response:</w:t>
      </w:r>
      <w:r w:rsidRPr="001A076D">
        <w:t xml:space="preserve"> Yes, that has happened. In one instance, operational leaders questioned the realism of climate-adjusted assumptions, and executive judgement was used to moderate the model’s recommendation.</w:t>
      </w:r>
    </w:p>
    <w:p w14:paraId="4CB034C8" w14:textId="77777777" w:rsidR="00BE65C8" w:rsidRPr="001A076D" w:rsidRDefault="00BE65C8" w:rsidP="00BE65C8">
      <w:pPr>
        <w:pStyle w:val="NormalWeb"/>
      </w:pPr>
      <w:r w:rsidRPr="001A076D">
        <w:rPr>
          <w:rStyle w:val="Strong"/>
        </w:rPr>
        <w:t>Question 17: How does executive trust affect whether analytics informs final decisions?</w:t>
      </w:r>
      <w:r w:rsidRPr="001A076D">
        <w:br/>
      </w:r>
      <w:r w:rsidRPr="001A076D">
        <w:rPr>
          <w:rStyle w:val="Strong"/>
        </w:rPr>
        <w:t>Response:</w:t>
      </w:r>
      <w:r w:rsidRPr="001A076D">
        <w:t xml:space="preserve"> Trust is the decisive factor. When executives have confidence in the data and governance processes, models tend to anchor discussions. Without that trust, analytics becomes more advisory.</w:t>
      </w:r>
    </w:p>
    <w:p w14:paraId="1EE5ABDC" w14:textId="0E2BD318" w:rsidR="00BE65C8" w:rsidRPr="001A076D" w:rsidRDefault="00BE65C8" w:rsidP="00BE65C8">
      <w:r w:rsidRPr="001A076D">
        <w:rPr>
          <w:rStyle w:val="Strong"/>
        </w:rPr>
        <w:t>Theme 6: Barriers and Enablers</w:t>
      </w:r>
    </w:p>
    <w:p w14:paraId="6BFECA2C" w14:textId="6F1F1603" w:rsidR="00BE65C8" w:rsidRPr="001A076D" w:rsidRDefault="00BE65C8" w:rsidP="00BE65C8">
      <w:pPr>
        <w:pStyle w:val="NormalWeb"/>
      </w:pPr>
      <w:r w:rsidRPr="001A076D">
        <w:rPr>
          <w:rStyle w:val="Strong"/>
        </w:rPr>
        <w:t>Question 18: What organisational barriers limit the effective use of predictive analytics?</w:t>
      </w:r>
      <w:r w:rsidRPr="001A076D">
        <w:br/>
      </w:r>
      <w:r w:rsidRPr="001A076D">
        <w:rPr>
          <w:rStyle w:val="Strong"/>
        </w:rPr>
        <w:t>Response:</w:t>
      </w:r>
      <w:r w:rsidRPr="001A076D">
        <w:t xml:space="preserve"> Common barriers include legacy systems, data silos, inconsistent metadata, and limited </w:t>
      </w:r>
      <w:r w:rsidR="002A3F79" w:rsidRPr="001A076D">
        <w:t>cross-functional collaboration</w:t>
      </w:r>
      <w:r w:rsidRPr="001A076D">
        <w:t>.</w:t>
      </w:r>
    </w:p>
    <w:p w14:paraId="289EDD1E" w14:textId="77777777" w:rsidR="00BE65C8" w:rsidRPr="001A076D" w:rsidRDefault="00BE65C8" w:rsidP="00BE65C8">
      <w:pPr>
        <w:pStyle w:val="NormalWeb"/>
      </w:pPr>
      <w:r w:rsidRPr="001A076D">
        <w:rPr>
          <w:rStyle w:val="Strong"/>
        </w:rPr>
        <w:t>Question 19: How do culture, data literacy, or regulatory pressures shape analytics adoption and use?</w:t>
      </w:r>
      <w:r w:rsidRPr="001A076D">
        <w:br/>
      </w:r>
      <w:r w:rsidRPr="001A076D">
        <w:rPr>
          <w:rStyle w:val="Strong"/>
        </w:rPr>
        <w:t>Response:</w:t>
      </w:r>
      <w:r w:rsidRPr="001A076D">
        <w:t xml:space="preserve"> Regulation increases the need for explainability and rigour. Culture determines whether models are constructively challenged and refined or dismissed prematurely.</w:t>
      </w:r>
    </w:p>
    <w:p w14:paraId="7195875C" w14:textId="77777777" w:rsidR="00BE65C8" w:rsidRPr="001A076D" w:rsidRDefault="00BE65C8" w:rsidP="00BE65C8">
      <w:pPr>
        <w:pStyle w:val="NormalWeb"/>
      </w:pPr>
      <w:r w:rsidRPr="001A076D">
        <w:rPr>
          <w:rStyle w:val="Strong"/>
        </w:rPr>
        <w:t>Question 20: What factors most strongly enable analytics to be embedded into decision-making?</w:t>
      </w:r>
      <w:r w:rsidRPr="001A076D">
        <w:br/>
      </w:r>
      <w:r w:rsidRPr="001A076D">
        <w:rPr>
          <w:rStyle w:val="Strong"/>
        </w:rPr>
        <w:t>Response:</w:t>
      </w:r>
      <w:r w:rsidRPr="001A076D">
        <w:t xml:space="preserve"> Executive sponsorship, strong data governance, early involvement of business stakeholders, and continuous validation cycles all play a key role.</w:t>
      </w:r>
    </w:p>
    <w:p w14:paraId="1076CEDC" w14:textId="69A1681F" w:rsidR="00BE65C8" w:rsidRPr="001A076D" w:rsidRDefault="00BE65C8" w:rsidP="00BE65C8">
      <w:r w:rsidRPr="001A076D">
        <w:rPr>
          <w:rStyle w:val="Strong"/>
        </w:rPr>
        <w:t>Theme 7: Integration and Reflection</w:t>
      </w:r>
    </w:p>
    <w:p w14:paraId="38EA79C1" w14:textId="77777777" w:rsidR="00BE65C8" w:rsidRPr="001A076D" w:rsidRDefault="00BE65C8" w:rsidP="00BE65C8">
      <w:pPr>
        <w:pStyle w:val="NormalWeb"/>
      </w:pPr>
      <w:r w:rsidRPr="001A076D">
        <w:rPr>
          <w:rStyle w:val="Strong"/>
        </w:rPr>
        <w:t>Question 21: What conditions are necessary for predictive analytics to be fully trusted at executive level?</w:t>
      </w:r>
      <w:r w:rsidRPr="001A076D">
        <w:br/>
      </w:r>
      <w:r w:rsidRPr="001A076D">
        <w:rPr>
          <w:rStyle w:val="Strong"/>
        </w:rPr>
        <w:t>Response:</w:t>
      </w:r>
      <w:r w:rsidRPr="001A076D">
        <w:t xml:space="preserve"> Trust depends on transparent assumptions, reproducible outputs, governance endorsement, clear articulation of uncertainty, and demonstrated predictive performance over time.</w:t>
      </w:r>
    </w:p>
    <w:p w14:paraId="164DC4EC" w14:textId="6D96186F" w:rsidR="00BE65C8" w:rsidRPr="001A076D" w:rsidRDefault="00BE65C8" w:rsidP="00BE65C8">
      <w:pPr>
        <w:pStyle w:val="NormalWeb"/>
      </w:pPr>
      <w:r w:rsidRPr="001A076D">
        <w:rPr>
          <w:rStyle w:val="Strong"/>
        </w:rPr>
        <w:t xml:space="preserve">Question 22: How could governance arrangements and organisational capability better support </w:t>
      </w:r>
      <w:r w:rsidR="002A3F79" w:rsidRPr="001A076D">
        <w:rPr>
          <w:rStyle w:val="Strong"/>
        </w:rPr>
        <w:t xml:space="preserve">the </w:t>
      </w:r>
      <w:r w:rsidRPr="001A076D">
        <w:rPr>
          <w:rStyle w:val="Strong"/>
        </w:rPr>
        <w:t>strategic use of analytics?</w:t>
      </w:r>
      <w:r w:rsidRPr="001A076D">
        <w:br/>
      </w:r>
      <w:r w:rsidRPr="001A076D">
        <w:rPr>
          <w:rStyle w:val="Strong"/>
        </w:rPr>
        <w:t>Response:</w:t>
      </w:r>
      <w:r w:rsidRPr="001A076D">
        <w:t xml:space="preserve"> Governance needs to be embedded into development workflows from the outset. There is also a need to invest in executive data literacy so that leaders can better interpret and challenge model outputs.</w:t>
      </w:r>
    </w:p>
    <w:p w14:paraId="4088431D" w14:textId="77777777" w:rsidR="00BE65C8" w:rsidRPr="001A076D" w:rsidRDefault="00BE65C8" w:rsidP="00BE65C8">
      <w:pPr>
        <w:pStyle w:val="NormalWeb"/>
      </w:pPr>
      <w:r w:rsidRPr="001A076D">
        <w:rPr>
          <w:rStyle w:val="Strong"/>
        </w:rPr>
        <w:t>Question 23: Is there anything else critical to understanding predictive analytics readiness at SSE PLC?</w:t>
      </w:r>
      <w:r w:rsidRPr="001A076D">
        <w:br/>
      </w:r>
      <w:r w:rsidRPr="001A076D">
        <w:rPr>
          <w:rStyle w:val="Strong"/>
        </w:rPr>
        <w:t>Response:</w:t>
      </w:r>
      <w:r w:rsidRPr="001A076D">
        <w:t xml:space="preserve"> Readiness is not just about model sophistication. It depends on the alignment of technical rigour, governance discipline, leadership engagement, and organisational culture. If any one of these elements is weak, it limits the ability to embed analytics effectively into strategic decision-making.</w:t>
      </w:r>
    </w:p>
    <w:p w14:paraId="0396A3D8" w14:textId="77777777" w:rsidR="00782832" w:rsidRPr="001A076D" w:rsidRDefault="00782832" w:rsidP="00782832">
      <w:r w:rsidRPr="001A076D">
        <w:rPr>
          <w:rStyle w:val="Strong"/>
        </w:rPr>
        <w:lastRenderedPageBreak/>
        <w:t>Participant Code:</w:t>
      </w:r>
      <w:r w:rsidRPr="001A076D">
        <w:t xml:space="preserve"> P6</w:t>
      </w:r>
    </w:p>
    <w:p w14:paraId="46837DE9" w14:textId="5BF5E673" w:rsidR="00BE65C8" w:rsidRPr="001A076D" w:rsidRDefault="00BE65C8" w:rsidP="00782832">
      <w:r w:rsidRPr="001A076D">
        <w:rPr>
          <w:rStyle w:val="Strong"/>
        </w:rPr>
        <w:t>Role:</w:t>
      </w:r>
      <w:r w:rsidRPr="001A076D">
        <w:t xml:space="preserve"> Head of Enterprise Architecture &amp; Data Platforms</w:t>
      </w:r>
      <w:r w:rsidRPr="001A076D">
        <w:br/>
      </w:r>
      <w:r w:rsidRPr="001A076D">
        <w:rPr>
          <w:rStyle w:val="Strong"/>
        </w:rPr>
        <w:t>Organisation:</w:t>
      </w:r>
      <w:r w:rsidRPr="001A076D">
        <w:t xml:space="preserve"> SSE PLC</w:t>
      </w:r>
      <w:r w:rsidRPr="001A076D">
        <w:br/>
      </w:r>
      <w:r w:rsidRPr="001A076D">
        <w:rPr>
          <w:rStyle w:val="Strong"/>
        </w:rPr>
        <w:t>Mode:</w:t>
      </w:r>
      <w:r w:rsidRPr="001A076D">
        <w:t xml:space="preserve"> MS Teams</w:t>
      </w:r>
      <w:r w:rsidRPr="001A076D">
        <w:br/>
      </w:r>
      <w:r w:rsidRPr="001A076D">
        <w:rPr>
          <w:rStyle w:val="Strong"/>
        </w:rPr>
        <w:t>Duration:</w:t>
      </w:r>
      <w:r w:rsidRPr="001A076D">
        <w:t xml:space="preserve"> </w:t>
      </w:r>
      <w:r w:rsidR="007D6ECE" w:rsidRPr="001A076D">
        <w:t>65</w:t>
      </w:r>
      <w:r w:rsidRPr="001A076D">
        <w:t xml:space="preserve"> minutes</w:t>
      </w:r>
    </w:p>
    <w:p w14:paraId="429791EC" w14:textId="77777777" w:rsidR="00782832" w:rsidRPr="001A076D" w:rsidRDefault="00782832" w:rsidP="00782832"/>
    <w:p w14:paraId="3D822D56" w14:textId="77777777" w:rsidR="00BE65C8" w:rsidRPr="001A076D" w:rsidRDefault="00BE65C8" w:rsidP="00BE65C8">
      <w:r w:rsidRPr="001A076D">
        <w:rPr>
          <w:rStyle w:val="Strong"/>
        </w:rPr>
        <w:t>Theme 1: Role and Context (RQ2)</w:t>
      </w:r>
    </w:p>
    <w:p w14:paraId="4611FFFA" w14:textId="77777777" w:rsidR="00BE65C8" w:rsidRPr="001A076D" w:rsidRDefault="00BE65C8" w:rsidP="00BE65C8">
      <w:pPr>
        <w:pStyle w:val="NormalWeb"/>
      </w:pPr>
      <w:r w:rsidRPr="001A076D">
        <w:rPr>
          <w:rStyle w:val="Strong"/>
        </w:rPr>
        <w:t>Q1. Can you describe your role and responsibilities within SSE PLC?</w:t>
      </w:r>
      <w:r w:rsidRPr="001A076D">
        <w:br/>
      </w:r>
      <w:r w:rsidRPr="001A076D">
        <w:rPr>
          <w:rStyle w:val="Strong"/>
        </w:rPr>
        <w:t>Response:</w:t>
      </w:r>
      <w:r w:rsidRPr="001A076D">
        <w:br/>
        <w:t>I lead the enterprise data architecture and platform strategy across SSE. That includes cloud platforms, integration standards, and making sure our technology landscape can actually support analytics at scale. My team essentially builds the structural backbone; we’re responsible for creating an environment where predictive analytics can operate reliably and consistently across the organisation.</w:t>
      </w:r>
    </w:p>
    <w:p w14:paraId="3B95FB74" w14:textId="5C33F3E8" w:rsidR="00BE65C8" w:rsidRPr="001A076D" w:rsidRDefault="00BE65C8" w:rsidP="00BE65C8">
      <w:pPr>
        <w:pStyle w:val="NormalWeb"/>
      </w:pPr>
      <w:r w:rsidRPr="001A076D">
        <w:rPr>
          <w:rStyle w:val="Strong"/>
        </w:rPr>
        <w:t>Q2. How does predictive analytics feature in your day-to-day work?</w:t>
      </w:r>
      <w:r w:rsidRPr="001A076D">
        <w:br/>
      </w:r>
      <w:r w:rsidRPr="001A076D">
        <w:rPr>
          <w:rStyle w:val="Strong"/>
        </w:rPr>
        <w:t>Response:</w:t>
      </w:r>
      <w:r w:rsidRPr="001A076D">
        <w:br/>
        <w:t>It plays quite a central role, especially in how we design and evolve our platforms. We’re constantly thinking about things like scalable data ingestion, compute capacity, model reproducibility, and secure access. From my perspective, it’s less about building models and more about ensuring the environment can support them in a robust</w:t>
      </w:r>
      <w:r w:rsidR="002A3F79" w:rsidRPr="001A076D">
        <w:t>, well-governed</w:t>
      </w:r>
      <w:r w:rsidRPr="001A076D">
        <w:t xml:space="preserve"> way.</w:t>
      </w:r>
    </w:p>
    <w:p w14:paraId="03DC5E9F" w14:textId="77777777" w:rsidR="00BE65C8" w:rsidRPr="001A076D" w:rsidRDefault="00BE65C8" w:rsidP="00BE65C8">
      <w:pPr>
        <w:pStyle w:val="NormalWeb"/>
      </w:pPr>
      <w:r w:rsidRPr="001A076D">
        <w:rPr>
          <w:rStyle w:val="Strong"/>
        </w:rPr>
        <w:t>Q3. In what types of decisions are analytics outputs most commonly used?</w:t>
      </w:r>
      <w:r w:rsidRPr="001A076D">
        <w:br/>
      </w:r>
      <w:r w:rsidRPr="001A076D">
        <w:rPr>
          <w:rStyle w:val="Strong"/>
        </w:rPr>
        <w:t>Response:</w:t>
      </w:r>
      <w:r w:rsidRPr="001A076D">
        <w:br/>
        <w:t>From an architecture standpoint, analytics supports both operational and strategic decisions. Operationally, it’s used for optimisation, but where it’s really growing is in areas like investment planning, decarbonisation forecasting, and resilience modelling – those longer-term, high-impact decisions.</w:t>
      </w:r>
    </w:p>
    <w:p w14:paraId="3826A632" w14:textId="77777777" w:rsidR="00BE65C8" w:rsidRPr="001A076D" w:rsidRDefault="00BE65C8" w:rsidP="00BE65C8">
      <w:r w:rsidRPr="001A076D">
        <w:rPr>
          <w:rStyle w:val="Strong"/>
        </w:rPr>
        <w:t>Theme 2: Predictive Analytics Capability and Readiness (H1, RQ2)</w:t>
      </w:r>
    </w:p>
    <w:p w14:paraId="3DC29AFD" w14:textId="38CD22BE" w:rsidR="00BE65C8" w:rsidRPr="001A076D" w:rsidRDefault="00BE65C8" w:rsidP="00BE65C8">
      <w:pPr>
        <w:pStyle w:val="NormalWeb"/>
      </w:pPr>
      <w:r w:rsidRPr="001A076D">
        <w:rPr>
          <w:rStyle w:val="Strong"/>
        </w:rPr>
        <w:t>Q4. How would you describe SSE’s current capability in relation to predictive analytics?</w:t>
      </w:r>
      <w:r w:rsidRPr="001A076D">
        <w:br/>
      </w:r>
      <w:r w:rsidRPr="001A076D">
        <w:rPr>
          <w:rStyle w:val="Strong"/>
        </w:rPr>
        <w:t>Response:</w:t>
      </w:r>
      <w:r w:rsidRPr="001A076D">
        <w:br/>
        <w:t>Technologically, we’ve made strong progress in cloud adoption, and our data platforms have improved significantly. That said, legacy systems still introduce fragmentation, which makes it harder to achieve full enterprise-level maturity, particularly in areas such as data integration and real-time analytics. So</w:t>
      </w:r>
      <w:r w:rsidR="005977AD" w:rsidRPr="001A076D">
        <w:t>, the capability</w:t>
      </w:r>
      <w:r w:rsidRPr="001A076D">
        <w:t xml:space="preserve"> is there, but it is not always consistently realised across the organi</w:t>
      </w:r>
      <w:r w:rsidR="008F4764" w:rsidRPr="001A076D">
        <w:t>s</w:t>
      </w:r>
      <w:r w:rsidRPr="001A076D">
        <w:t>ation.</w:t>
      </w:r>
    </w:p>
    <w:p w14:paraId="6DC0B90B" w14:textId="02C8E002" w:rsidR="00BE65C8" w:rsidRPr="001A076D" w:rsidRDefault="00BE65C8" w:rsidP="00BE65C8">
      <w:pPr>
        <w:pStyle w:val="NormalWeb"/>
      </w:pPr>
      <w:r w:rsidRPr="001A076D">
        <w:rPr>
          <w:rStyle w:val="Strong"/>
        </w:rPr>
        <w:t>Q5. To what extent do leadership practices influence the use of analytics?</w:t>
      </w:r>
      <w:r w:rsidRPr="001A076D">
        <w:br/>
      </w:r>
      <w:r w:rsidRPr="001A076D">
        <w:rPr>
          <w:rStyle w:val="Strong"/>
        </w:rPr>
        <w:t>Response:</w:t>
      </w:r>
      <w:r w:rsidRPr="001A076D">
        <w:br/>
        <w:t xml:space="preserve">Leadership is absolutely critical. Platform investment and governance integration don’t happen without sustained executive backing. If that support drops off, architectural modernisation tends to stall, </w:t>
      </w:r>
      <w:r w:rsidR="005977AD" w:rsidRPr="001A076D">
        <w:t>which</w:t>
      </w:r>
      <w:r w:rsidRPr="001A076D">
        <w:t xml:space="preserve"> directly impacts how effectively analytics can be used.</w:t>
      </w:r>
    </w:p>
    <w:p w14:paraId="1587D2BC" w14:textId="77777777" w:rsidR="00BE65C8" w:rsidRPr="001A076D" w:rsidRDefault="00BE65C8" w:rsidP="00BE65C8">
      <w:pPr>
        <w:pStyle w:val="NormalWeb"/>
      </w:pPr>
      <w:r w:rsidRPr="001A076D">
        <w:rPr>
          <w:rStyle w:val="Strong"/>
        </w:rPr>
        <w:t>Q6. How would you characterise organisational attitudes toward data-driven decision-making?</w:t>
      </w:r>
      <w:r w:rsidRPr="001A076D">
        <w:br/>
      </w:r>
      <w:r w:rsidRPr="001A076D">
        <w:rPr>
          <w:rStyle w:val="Strong"/>
        </w:rPr>
        <w:t>Response:</w:t>
      </w:r>
      <w:r w:rsidRPr="001A076D">
        <w:br/>
        <w:t xml:space="preserve">There’s definitely a clear strategic intent to be data-driven. This intent is evident in the </w:t>
      </w:r>
      <w:r w:rsidRPr="001A076D">
        <w:lastRenderedPageBreak/>
        <w:t>organisation's messaging and direction. However, in practice, operational realities sometimes mean that consistency isn’t always there.</w:t>
      </w:r>
    </w:p>
    <w:p w14:paraId="16AC33D1" w14:textId="77777777" w:rsidR="00BE65C8" w:rsidRPr="001A076D" w:rsidRDefault="00BE65C8" w:rsidP="00BE65C8">
      <w:pPr>
        <w:pStyle w:val="NormalWeb"/>
      </w:pPr>
      <w:r w:rsidRPr="001A076D">
        <w:rPr>
          <w:rStyle w:val="Strong"/>
        </w:rPr>
        <w:t>Q7. Are analytical skills and understanding sufficient at senior levels? Why or why not?</w:t>
      </w:r>
      <w:r w:rsidRPr="001A076D">
        <w:br/>
      </w:r>
      <w:r w:rsidRPr="001A076D">
        <w:rPr>
          <w:rStyle w:val="Strong"/>
        </w:rPr>
        <w:t>Response:</w:t>
      </w:r>
      <w:r w:rsidRPr="001A076D">
        <w:br/>
        <w:t>There’s a good level of strategic awareness, but not always a deep understanding of architectural constraints. That can create a bit of tension; expectations can be quite ambitious but not always grounded in what’s technically feasible in the short term.</w:t>
      </w:r>
    </w:p>
    <w:p w14:paraId="674C9145" w14:textId="77777777" w:rsidR="00BE65C8" w:rsidRPr="001A076D" w:rsidRDefault="00BE65C8" w:rsidP="00BE65C8">
      <w:r w:rsidRPr="001A076D">
        <w:rPr>
          <w:rStyle w:val="Strong"/>
        </w:rPr>
        <w:t>Theme 3: Data Governance Maturity (H2, H4, RQ1)</w:t>
      </w:r>
    </w:p>
    <w:p w14:paraId="7F6DF4AE" w14:textId="77777777" w:rsidR="00BE65C8" w:rsidRPr="001A076D" w:rsidRDefault="00BE65C8" w:rsidP="00BE65C8">
      <w:pPr>
        <w:pStyle w:val="NormalWeb"/>
      </w:pPr>
      <w:r w:rsidRPr="001A076D">
        <w:rPr>
          <w:rStyle w:val="Strong"/>
        </w:rPr>
        <w:t>Q8. How clear are data ownership and governance responsibilities?</w:t>
      </w:r>
      <w:r w:rsidRPr="001A076D">
        <w:br/>
      </w:r>
      <w:r w:rsidRPr="001A076D">
        <w:rPr>
          <w:rStyle w:val="Strong"/>
        </w:rPr>
        <w:t>Response:</w:t>
      </w:r>
      <w:r w:rsidRPr="001A076D">
        <w:br/>
        <w:t xml:space="preserve">The frameworks are in </w:t>
      </w:r>
      <w:proofErr w:type="gramStart"/>
      <w:r w:rsidRPr="001A076D">
        <w:t>place, but</w:t>
      </w:r>
      <w:proofErr w:type="gramEnd"/>
      <w:r w:rsidRPr="001A076D">
        <w:t xml:space="preserve"> embedding them into day-to-day architectural workflows is still evolving. Where ownership is clear, delivery tends to be much smoother, so it does make a tangible difference.</w:t>
      </w:r>
    </w:p>
    <w:p w14:paraId="3850B7A4" w14:textId="77777777" w:rsidR="00BE65C8" w:rsidRPr="001A076D" w:rsidRDefault="00BE65C8" w:rsidP="00BE65C8">
      <w:pPr>
        <w:pStyle w:val="NormalWeb"/>
      </w:pPr>
      <w:r w:rsidRPr="001A076D">
        <w:rPr>
          <w:rStyle w:val="Strong"/>
        </w:rPr>
        <w:t>Q9. How do data quality, metadata, or lineage practices affect confidence in analytics outputs?</w:t>
      </w:r>
      <w:r w:rsidRPr="001A076D">
        <w:br/>
      </w:r>
      <w:r w:rsidRPr="001A076D">
        <w:rPr>
          <w:rStyle w:val="Strong"/>
        </w:rPr>
        <w:t>Response:</w:t>
      </w:r>
      <w:r w:rsidRPr="001A076D">
        <w:br/>
        <w:t>They’re fundamental. From an architecture perspective, enabling automated and traceable data lineage is key. When that’s in place, it significantly increases executive confidence because everything can be traced and explained.</w:t>
      </w:r>
    </w:p>
    <w:p w14:paraId="0BA1CECC" w14:textId="2A4FFF17" w:rsidR="00BE65C8" w:rsidRPr="001A076D" w:rsidRDefault="00BE65C8" w:rsidP="00BE65C8">
      <w:pPr>
        <w:pStyle w:val="NormalWeb"/>
      </w:pPr>
      <w:r w:rsidRPr="001A076D">
        <w:rPr>
          <w:rStyle w:val="Strong"/>
        </w:rPr>
        <w:t xml:space="preserve">Q10. Does governance enable or constrain </w:t>
      </w:r>
      <w:r w:rsidR="00870E32" w:rsidRPr="001A076D">
        <w:rPr>
          <w:rStyle w:val="Strong"/>
        </w:rPr>
        <w:t>the use of strategic analytics</w:t>
      </w:r>
      <w:r w:rsidRPr="001A076D">
        <w:rPr>
          <w:rStyle w:val="Strong"/>
        </w:rPr>
        <w:t>?</w:t>
      </w:r>
      <w:r w:rsidRPr="001A076D">
        <w:br/>
      </w:r>
      <w:r w:rsidRPr="001A076D">
        <w:rPr>
          <w:rStyle w:val="Strong"/>
        </w:rPr>
        <w:t>Response:</w:t>
      </w:r>
      <w:r w:rsidRPr="001A076D">
        <w:br/>
        <w:t xml:space="preserve">Overall, governance enables scalability and reliability. Without it, the architecture becomes fragile. </w:t>
      </w:r>
      <w:r w:rsidR="001B68CC" w:rsidRPr="001A076D">
        <w:t>However, poorly designed governance processes can introduce delays, so it's about finding the right balance.</w:t>
      </w:r>
    </w:p>
    <w:p w14:paraId="59870EC5" w14:textId="6FC9756B" w:rsidR="00BE65C8" w:rsidRPr="001A076D" w:rsidRDefault="00BE65C8" w:rsidP="00BE65C8">
      <w:r w:rsidRPr="001A076D">
        <w:rPr>
          <w:rStyle w:val="Strong"/>
        </w:rPr>
        <w:t>Theme 4: Trust and Explainability (H2, H3,</w:t>
      </w:r>
      <w:r w:rsidR="00B05000" w:rsidRPr="001A076D">
        <w:rPr>
          <w:rStyle w:val="Strong"/>
        </w:rPr>
        <w:t xml:space="preserve"> </w:t>
      </w:r>
      <w:r w:rsidRPr="001A076D">
        <w:rPr>
          <w:rStyle w:val="Strong"/>
        </w:rPr>
        <w:t>RQ3)</w:t>
      </w:r>
    </w:p>
    <w:p w14:paraId="2D4E9148" w14:textId="77777777" w:rsidR="00BE65C8" w:rsidRPr="001A076D" w:rsidRDefault="00BE65C8" w:rsidP="00BE65C8">
      <w:pPr>
        <w:pStyle w:val="NormalWeb"/>
      </w:pPr>
      <w:r w:rsidRPr="001A076D">
        <w:rPr>
          <w:rStyle w:val="Strong"/>
        </w:rPr>
        <w:t>Q11. What factors increase trust in predictive analytics outputs?</w:t>
      </w:r>
      <w:r w:rsidRPr="001A076D">
        <w:br/>
      </w:r>
      <w:r w:rsidRPr="001A076D">
        <w:rPr>
          <w:rStyle w:val="Strong"/>
        </w:rPr>
        <w:t>Response:</w:t>
      </w:r>
      <w:r w:rsidRPr="001A076D">
        <w:br/>
        <w:t>From a platform perspective, trust comes from things like:</w:t>
      </w:r>
    </w:p>
    <w:p w14:paraId="3A283858" w14:textId="77777777" w:rsidR="00BE65C8" w:rsidRPr="001A076D" w:rsidRDefault="00BE65C8">
      <w:pPr>
        <w:pStyle w:val="NormalWeb"/>
        <w:numPr>
          <w:ilvl w:val="0"/>
          <w:numId w:val="21"/>
        </w:numPr>
      </w:pPr>
      <w:r w:rsidRPr="001A076D">
        <w:t>Stable and reliable infrastructure</w:t>
      </w:r>
    </w:p>
    <w:p w14:paraId="340662DC" w14:textId="77777777" w:rsidR="00BE65C8" w:rsidRPr="001A076D" w:rsidRDefault="00BE65C8">
      <w:pPr>
        <w:pStyle w:val="NormalWeb"/>
        <w:numPr>
          <w:ilvl w:val="0"/>
          <w:numId w:val="21"/>
        </w:numPr>
      </w:pPr>
      <w:r w:rsidRPr="001A076D">
        <w:t>Version-controlled models</w:t>
      </w:r>
    </w:p>
    <w:p w14:paraId="740B520F" w14:textId="77777777" w:rsidR="00BE65C8" w:rsidRPr="001A076D" w:rsidRDefault="00BE65C8">
      <w:pPr>
        <w:pStyle w:val="NormalWeb"/>
        <w:numPr>
          <w:ilvl w:val="0"/>
          <w:numId w:val="21"/>
        </w:numPr>
      </w:pPr>
      <w:r w:rsidRPr="001A076D">
        <w:t>Automated data lineage</w:t>
      </w:r>
    </w:p>
    <w:p w14:paraId="7157F5DE" w14:textId="77777777" w:rsidR="00BE65C8" w:rsidRPr="001A076D" w:rsidRDefault="00BE65C8">
      <w:pPr>
        <w:pStyle w:val="NormalWeb"/>
        <w:numPr>
          <w:ilvl w:val="0"/>
          <w:numId w:val="21"/>
        </w:numPr>
      </w:pPr>
      <w:r w:rsidRPr="001A076D">
        <w:t>Secure and controlled access environments</w:t>
      </w:r>
    </w:p>
    <w:p w14:paraId="56803F8E" w14:textId="77777777" w:rsidR="00BE65C8" w:rsidRPr="001A076D" w:rsidRDefault="00BE65C8" w:rsidP="00BE65C8">
      <w:pPr>
        <w:pStyle w:val="NormalWeb"/>
      </w:pPr>
      <w:r w:rsidRPr="001A076D">
        <w:t>All of these contribute to making outputs consistent and defensible.</w:t>
      </w:r>
    </w:p>
    <w:p w14:paraId="111318CF" w14:textId="77777777" w:rsidR="00BE65C8" w:rsidRPr="001A076D" w:rsidRDefault="00BE65C8" w:rsidP="00BE65C8">
      <w:pPr>
        <w:pStyle w:val="NormalWeb"/>
      </w:pPr>
      <w:r w:rsidRPr="001A076D">
        <w:rPr>
          <w:rStyle w:val="Strong"/>
        </w:rPr>
        <w:t>Q12. What factors reduce trust or create scepticism?</w:t>
      </w:r>
      <w:r w:rsidRPr="001A076D">
        <w:br/>
      </w:r>
      <w:r w:rsidRPr="001A076D">
        <w:rPr>
          <w:rStyle w:val="Strong"/>
        </w:rPr>
        <w:t>Response:</w:t>
      </w:r>
      <w:r w:rsidRPr="001A076D">
        <w:br/>
        <w:t>Inconsistencies across systems are a big issue. Also, manual workarounds and poor documentation – those tend to undermine confidence quite quickly.</w:t>
      </w:r>
    </w:p>
    <w:p w14:paraId="24AB7818" w14:textId="5CB84971" w:rsidR="00BE65C8" w:rsidRPr="001A076D" w:rsidRDefault="00BE65C8" w:rsidP="00BE65C8">
      <w:pPr>
        <w:pStyle w:val="NormalWeb"/>
      </w:pPr>
      <w:r w:rsidRPr="001A076D">
        <w:rPr>
          <w:rStyle w:val="Strong"/>
        </w:rPr>
        <w:t>Q13. How important is explainability when analytics informs strategic decisions?</w:t>
      </w:r>
      <w:r w:rsidRPr="001A076D">
        <w:br/>
      </w:r>
      <w:r w:rsidRPr="001A076D">
        <w:rPr>
          <w:rStyle w:val="Strong"/>
        </w:rPr>
        <w:t>Response:</w:t>
      </w:r>
      <w:r w:rsidRPr="001A076D">
        <w:br/>
        <w:t xml:space="preserve">It’s critical, especially at </w:t>
      </w:r>
      <w:r w:rsidR="00870E32" w:rsidRPr="001A076D">
        <w:t xml:space="preserve">the </w:t>
      </w:r>
      <w:r w:rsidRPr="001A076D">
        <w:t xml:space="preserve">board level. From an architecture standpoint, explainability relies </w:t>
      </w:r>
      <w:r w:rsidRPr="001A076D">
        <w:lastRenderedPageBreak/>
        <w:t>heavily on structured logging, metadata frameworks, and traceability. Without those, it’s very difficult to build trust.</w:t>
      </w:r>
    </w:p>
    <w:p w14:paraId="612B01B7" w14:textId="78E37840" w:rsidR="00BE65C8" w:rsidRPr="001A076D" w:rsidRDefault="00BE65C8" w:rsidP="00BE65C8">
      <w:pPr>
        <w:pStyle w:val="NormalWeb"/>
      </w:pPr>
      <w:r w:rsidRPr="001A076D">
        <w:rPr>
          <w:rStyle w:val="Strong"/>
        </w:rPr>
        <w:t>Q14. How are ethical, regulatory, or compliance concerns addressed?</w:t>
      </w:r>
      <w:r w:rsidRPr="001A076D">
        <w:br/>
      </w:r>
      <w:r w:rsidRPr="001A076D">
        <w:rPr>
          <w:rStyle w:val="Strong"/>
        </w:rPr>
        <w:t>Response:</w:t>
      </w:r>
      <w:r w:rsidRPr="001A076D">
        <w:br/>
        <w:t xml:space="preserve">Primarily through architectural controls, things like data classification, role-based access, encryption, audit logging, and retention policies. These are built into the platform to ensure </w:t>
      </w:r>
      <w:r w:rsidR="00870E32" w:rsidRPr="001A076D">
        <w:t>consistent compliance</w:t>
      </w:r>
      <w:r w:rsidRPr="001A076D">
        <w:t>.</w:t>
      </w:r>
    </w:p>
    <w:p w14:paraId="49EDB0E2" w14:textId="77777777" w:rsidR="00BE65C8" w:rsidRPr="001A076D" w:rsidRDefault="00BE65C8" w:rsidP="00BE65C8">
      <w:r w:rsidRPr="001A076D">
        <w:rPr>
          <w:rStyle w:val="Strong"/>
        </w:rPr>
        <w:t>Theme 5: Strategic Decision-Making Impact (H3, RQ3)</w:t>
      </w:r>
    </w:p>
    <w:p w14:paraId="3EA79B0E" w14:textId="5CA06F56" w:rsidR="00BE65C8" w:rsidRPr="001A076D" w:rsidRDefault="00BE65C8" w:rsidP="00BE65C8">
      <w:pPr>
        <w:pStyle w:val="NormalWeb"/>
      </w:pPr>
      <w:r w:rsidRPr="001A076D">
        <w:rPr>
          <w:rStyle w:val="Strong"/>
        </w:rPr>
        <w:t>Q15. Can you describe a situation where predictive analytics influenced a strategic decision?</w:t>
      </w:r>
      <w:r w:rsidRPr="001A076D">
        <w:br/>
      </w:r>
      <w:r w:rsidRPr="001A076D">
        <w:rPr>
          <w:rStyle w:val="Strong"/>
        </w:rPr>
        <w:t>Response:</w:t>
      </w:r>
      <w:r w:rsidRPr="001A076D">
        <w:br/>
        <w:t xml:space="preserve">Yes, predictive model outputs influenced how we sequenced infrastructure upgrades. The models </w:t>
      </w:r>
      <w:r w:rsidR="00870E32" w:rsidRPr="001A076D">
        <w:t>highlighted the need for increased compute capacity, which directly informed</w:t>
      </w:r>
      <w:r w:rsidRPr="001A076D">
        <w:t xml:space="preserve"> capital investment planning for our technology platforms.</w:t>
      </w:r>
    </w:p>
    <w:p w14:paraId="3EF43078" w14:textId="77777777" w:rsidR="00BE65C8" w:rsidRPr="001A076D" w:rsidRDefault="00BE65C8" w:rsidP="00BE65C8">
      <w:pPr>
        <w:pStyle w:val="NormalWeb"/>
      </w:pPr>
      <w:r w:rsidRPr="001A076D">
        <w:rPr>
          <w:rStyle w:val="Strong"/>
        </w:rPr>
        <w:t>Q16. Have there been occasions where analytics outputs were ignored or overridden? What were the reasons?</w:t>
      </w:r>
      <w:r w:rsidRPr="001A076D">
        <w:br/>
      </w:r>
      <w:r w:rsidRPr="001A076D">
        <w:rPr>
          <w:rStyle w:val="Strong"/>
        </w:rPr>
        <w:t>Response:</w:t>
      </w:r>
      <w:r w:rsidRPr="001A076D">
        <w:br/>
        <w:t>Yes, particularly when platform constraints delayed deployment. In those situations, decision-makers sometimes reverted to more traditional forecasting approaches because they couldn’t wait for the analytics to be fully operational.</w:t>
      </w:r>
    </w:p>
    <w:p w14:paraId="38F430E7" w14:textId="77777777" w:rsidR="00BE65C8" w:rsidRPr="001A076D" w:rsidRDefault="00BE65C8" w:rsidP="00BE65C8">
      <w:pPr>
        <w:pStyle w:val="NormalWeb"/>
      </w:pPr>
      <w:r w:rsidRPr="001A076D">
        <w:rPr>
          <w:rStyle w:val="Strong"/>
        </w:rPr>
        <w:t>Q17. How does executive trust affect whether analytics informs final decisions?</w:t>
      </w:r>
      <w:r w:rsidRPr="001A076D">
        <w:br/>
      </w:r>
      <w:r w:rsidRPr="001A076D">
        <w:rPr>
          <w:rStyle w:val="Strong"/>
        </w:rPr>
        <w:t>Response:</w:t>
      </w:r>
      <w:r w:rsidRPr="001A076D">
        <w:br/>
        <w:t>Trust is closely tied to platform reliability. If systems are stable and outputs are consistent, confidence is high. But if there are failures or inconsistencies, trust can erode very quickly.</w:t>
      </w:r>
    </w:p>
    <w:p w14:paraId="0B04E86F" w14:textId="57104118" w:rsidR="00BE65C8" w:rsidRPr="001A076D" w:rsidRDefault="00BE65C8" w:rsidP="00BE65C8">
      <w:r w:rsidRPr="001A076D">
        <w:rPr>
          <w:rStyle w:val="Strong"/>
        </w:rPr>
        <w:t>Theme 6: Barriers and Enablers</w:t>
      </w:r>
    </w:p>
    <w:p w14:paraId="5655ADFC" w14:textId="77777777" w:rsidR="00BE65C8" w:rsidRPr="001A076D" w:rsidRDefault="00BE65C8" w:rsidP="00BE65C8">
      <w:pPr>
        <w:pStyle w:val="NormalWeb"/>
      </w:pPr>
      <w:r w:rsidRPr="001A076D">
        <w:rPr>
          <w:rStyle w:val="Strong"/>
        </w:rPr>
        <w:t>Q18. What organisational barriers limit the effective use of predictive analytics?</w:t>
      </w:r>
      <w:r w:rsidRPr="001A076D">
        <w:br/>
      </w:r>
      <w:r w:rsidRPr="001A076D">
        <w:rPr>
          <w:rStyle w:val="Strong"/>
        </w:rPr>
        <w:t>Response:</w:t>
      </w:r>
      <w:r w:rsidRPr="001A076D">
        <w:br/>
        <w:t>The main ones are:</w:t>
      </w:r>
    </w:p>
    <w:p w14:paraId="30007736" w14:textId="77777777" w:rsidR="00BE65C8" w:rsidRPr="001A076D" w:rsidRDefault="00BE65C8">
      <w:pPr>
        <w:pStyle w:val="NormalWeb"/>
        <w:numPr>
          <w:ilvl w:val="0"/>
          <w:numId w:val="22"/>
        </w:numPr>
      </w:pPr>
      <w:r w:rsidRPr="001A076D">
        <w:t>Legacy systems</w:t>
      </w:r>
    </w:p>
    <w:p w14:paraId="1CEA2437" w14:textId="77777777" w:rsidR="00BE65C8" w:rsidRPr="001A076D" w:rsidRDefault="00BE65C8">
      <w:pPr>
        <w:pStyle w:val="NormalWeb"/>
        <w:numPr>
          <w:ilvl w:val="0"/>
          <w:numId w:val="22"/>
        </w:numPr>
      </w:pPr>
      <w:r w:rsidRPr="001A076D">
        <w:t>Technical debt</w:t>
      </w:r>
    </w:p>
    <w:p w14:paraId="5D7C2466" w14:textId="77777777" w:rsidR="00BE65C8" w:rsidRPr="001A076D" w:rsidRDefault="00BE65C8">
      <w:pPr>
        <w:pStyle w:val="NormalWeb"/>
        <w:numPr>
          <w:ilvl w:val="0"/>
          <w:numId w:val="22"/>
        </w:numPr>
      </w:pPr>
      <w:r w:rsidRPr="001A076D">
        <w:t>Integration complexity</w:t>
      </w:r>
    </w:p>
    <w:p w14:paraId="7E8D55C3" w14:textId="77777777" w:rsidR="00BE65C8" w:rsidRPr="001A076D" w:rsidRDefault="00BE65C8">
      <w:pPr>
        <w:pStyle w:val="NormalWeb"/>
        <w:numPr>
          <w:ilvl w:val="0"/>
          <w:numId w:val="22"/>
        </w:numPr>
      </w:pPr>
      <w:r w:rsidRPr="001A076D">
        <w:t>Fragmented platform ownership</w:t>
      </w:r>
    </w:p>
    <w:p w14:paraId="0F200B96" w14:textId="795AF92A" w:rsidR="00BE65C8" w:rsidRPr="001A076D" w:rsidRDefault="00870E32" w:rsidP="00BE65C8">
      <w:pPr>
        <w:pStyle w:val="NormalWeb"/>
      </w:pPr>
      <w:r w:rsidRPr="001A076D">
        <w:t>All of these</w:t>
      </w:r>
      <w:r w:rsidR="00BE65C8" w:rsidRPr="001A076D">
        <w:t xml:space="preserve"> make it harder to deliver analytics consistently at scale.</w:t>
      </w:r>
    </w:p>
    <w:p w14:paraId="5B6922A0" w14:textId="6C79091C" w:rsidR="00BE65C8" w:rsidRPr="001A076D" w:rsidRDefault="00BE65C8" w:rsidP="00BE65C8">
      <w:pPr>
        <w:pStyle w:val="NormalWeb"/>
      </w:pPr>
      <w:r w:rsidRPr="001A076D">
        <w:rPr>
          <w:rStyle w:val="Strong"/>
        </w:rPr>
        <w:t>Q19. How do culture, data literacy, or regulatory pressures shape analytics adoption and use?</w:t>
      </w:r>
      <w:r w:rsidRPr="001A076D">
        <w:br/>
      </w:r>
      <w:r w:rsidRPr="001A076D">
        <w:rPr>
          <w:rStyle w:val="Strong"/>
        </w:rPr>
        <w:t>Response:</w:t>
      </w:r>
      <w:r w:rsidRPr="001A076D">
        <w:br/>
        <w:t xml:space="preserve">Regulation increases the need for auditability and control. </w:t>
      </w:r>
      <w:r w:rsidR="001B68CC" w:rsidRPr="001A076D">
        <w:t>The perception of governance as enabling or slowing things down heavily relies on culture.</w:t>
      </w:r>
      <w:r w:rsidRPr="001A076D">
        <w:t xml:space="preserve"> That perception really matters.</w:t>
      </w:r>
    </w:p>
    <w:p w14:paraId="6B62499C" w14:textId="77777777" w:rsidR="00BE65C8" w:rsidRPr="001A076D" w:rsidRDefault="00BE65C8" w:rsidP="00BE65C8">
      <w:pPr>
        <w:pStyle w:val="NormalWeb"/>
      </w:pPr>
      <w:r w:rsidRPr="001A076D">
        <w:rPr>
          <w:rStyle w:val="Strong"/>
        </w:rPr>
        <w:t>Q20. What factors most strongly enable analytics to be embedded into decision-making?</w:t>
      </w:r>
      <w:r w:rsidRPr="001A076D">
        <w:br/>
      </w:r>
      <w:r w:rsidRPr="001A076D">
        <w:rPr>
          <w:rStyle w:val="Strong"/>
        </w:rPr>
        <w:t>Response:</w:t>
      </w:r>
      <w:r w:rsidRPr="001A076D">
        <w:br/>
        <w:t>Key enablers include:</w:t>
      </w:r>
    </w:p>
    <w:p w14:paraId="34AEDEAF" w14:textId="77777777" w:rsidR="00BE65C8" w:rsidRPr="001A076D" w:rsidRDefault="00BE65C8">
      <w:pPr>
        <w:pStyle w:val="NormalWeb"/>
        <w:numPr>
          <w:ilvl w:val="0"/>
          <w:numId w:val="23"/>
        </w:numPr>
      </w:pPr>
      <w:r w:rsidRPr="001A076D">
        <w:lastRenderedPageBreak/>
        <w:t>Modern, integrated data platforms</w:t>
      </w:r>
    </w:p>
    <w:p w14:paraId="33A1A08A" w14:textId="77777777" w:rsidR="00BE65C8" w:rsidRPr="001A076D" w:rsidRDefault="00BE65C8">
      <w:pPr>
        <w:pStyle w:val="NormalWeb"/>
        <w:numPr>
          <w:ilvl w:val="0"/>
          <w:numId w:val="23"/>
        </w:numPr>
      </w:pPr>
      <w:r w:rsidRPr="001A076D">
        <w:t>Clear architectural standards</w:t>
      </w:r>
    </w:p>
    <w:p w14:paraId="5A98941D" w14:textId="77777777" w:rsidR="00BE65C8" w:rsidRPr="001A076D" w:rsidRDefault="00BE65C8">
      <w:pPr>
        <w:pStyle w:val="NormalWeb"/>
        <w:numPr>
          <w:ilvl w:val="0"/>
          <w:numId w:val="23"/>
        </w:numPr>
      </w:pPr>
      <w:r w:rsidRPr="001A076D">
        <w:t>Governance embedded by design</w:t>
      </w:r>
    </w:p>
    <w:p w14:paraId="2A770F67" w14:textId="77777777" w:rsidR="00BE65C8" w:rsidRPr="001A076D" w:rsidRDefault="00BE65C8">
      <w:pPr>
        <w:pStyle w:val="NormalWeb"/>
        <w:numPr>
          <w:ilvl w:val="0"/>
          <w:numId w:val="23"/>
        </w:numPr>
      </w:pPr>
      <w:r w:rsidRPr="001A076D">
        <w:t>Sustained executive funding</w:t>
      </w:r>
    </w:p>
    <w:p w14:paraId="3496A75A" w14:textId="405A0A6B" w:rsidR="00BE65C8" w:rsidRPr="001A076D" w:rsidRDefault="00BE65C8" w:rsidP="00BE65C8">
      <w:r w:rsidRPr="001A076D">
        <w:rPr>
          <w:rStyle w:val="Strong"/>
        </w:rPr>
        <w:t>Theme 7: Integration and Reflection</w:t>
      </w:r>
    </w:p>
    <w:p w14:paraId="129F05BC" w14:textId="6E3291D2" w:rsidR="00BE65C8" w:rsidRPr="001A076D" w:rsidRDefault="00BE65C8" w:rsidP="00BE65C8">
      <w:pPr>
        <w:pStyle w:val="NormalWeb"/>
      </w:pPr>
      <w:r w:rsidRPr="001A076D">
        <w:rPr>
          <w:rStyle w:val="Strong"/>
        </w:rPr>
        <w:t xml:space="preserve">Q21. What conditions are necessary for predictive analytics to be fully trusted at </w:t>
      </w:r>
      <w:r w:rsidR="00244BF8" w:rsidRPr="001A076D">
        <w:rPr>
          <w:rStyle w:val="Strong"/>
        </w:rPr>
        <w:t xml:space="preserve">the </w:t>
      </w:r>
      <w:r w:rsidRPr="001A076D">
        <w:rPr>
          <w:rStyle w:val="Strong"/>
        </w:rPr>
        <w:t>executive level?</w:t>
      </w:r>
      <w:r w:rsidRPr="001A076D">
        <w:br/>
      </w:r>
      <w:r w:rsidRPr="001A076D">
        <w:rPr>
          <w:rStyle w:val="Strong"/>
        </w:rPr>
        <w:t>Response:</w:t>
      </w:r>
      <w:r w:rsidRPr="001A076D">
        <w:br/>
        <w:t>You need:</w:t>
      </w:r>
    </w:p>
    <w:p w14:paraId="79ABAF32" w14:textId="77777777" w:rsidR="00BE65C8" w:rsidRPr="001A076D" w:rsidRDefault="00BE65C8">
      <w:pPr>
        <w:pStyle w:val="NormalWeb"/>
        <w:numPr>
          <w:ilvl w:val="0"/>
          <w:numId w:val="24"/>
        </w:numPr>
      </w:pPr>
      <w:r w:rsidRPr="001A076D">
        <w:t>Reliable enterprise platforms</w:t>
      </w:r>
    </w:p>
    <w:p w14:paraId="4A6D1051" w14:textId="77777777" w:rsidR="00BE65C8" w:rsidRPr="001A076D" w:rsidRDefault="00BE65C8">
      <w:pPr>
        <w:pStyle w:val="NormalWeb"/>
        <w:numPr>
          <w:ilvl w:val="0"/>
          <w:numId w:val="24"/>
        </w:numPr>
      </w:pPr>
      <w:r w:rsidRPr="001A076D">
        <w:t>End-to-end data lineage</w:t>
      </w:r>
    </w:p>
    <w:p w14:paraId="5517D6B4" w14:textId="77777777" w:rsidR="00BE65C8" w:rsidRPr="001A076D" w:rsidRDefault="00BE65C8">
      <w:pPr>
        <w:pStyle w:val="NormalWeb"/>
        <w:numPr>
          <w:ilvl w:val="0"/>
          <w:numId w:val="24"/>
        </w:numPr>
      </w:pPr>
      <w:r w:rsidRPr="001A076D">
        <w:t>Controlled deployment pipelines</w:t>
      </w:r>
    </w:p>
    <w:p w14:paraId="0E94AB15" w14:textId="77777777" w:rsidR="00BE65C8" w:rsidRPr="001A076D" w:rsidRDefault="00BE65C8">
      <w:pPr>
        <w:pStyle w:val="NormalWeb"/>
        <w:numPr>
          <w:ilvl w:val="0"/>
          <w:numId w:val="24"/>
        </w:numPr>
      </w:pPr>
      <w:r w:rsidRPr="001A076D">
        <w:t>Automated governance</w:t>
      </w:r>
    </w:p>
    <w:p w14:paraId="7874097C" w14:textId="77777777" w:rsidR="00BE65C8" w:rsidRPr="001A076D" w:rsidRDefault="00BE65C8">
      <w:pPr>
        <w:pStyle w:val="NormalWeb"/>
        <w:numPr>
          <w:ilvl w:val="0"/>
          <w:numId w:val="24"/>
        </w:numPr>
      </w:pPr>
      <w:r w:rsidRPr="001A076D">
        <w:t>Proven system resilience over time</w:t>
      </w:r>
    </w:p>
    <w:p w14:paraId="169CD77B" w14:textId="6CBAD0EB" w:rsidR="00BE65C8" w:rsidRPr="001A076D" w:rsidRDefault="00BE65C8" w:rsidP="00BE65C8">
      <w:pPr>
        <w:pStyle w:val="NormalWeb"/>
      </w:pPr>
      <w:r w:rsidRPr="001A076D">
        <w:rPr>
          <w:rStyle w:val="Strong"/>
        </w:rPr>
        <w:t xml:space="preserve">Q22. How could governance arrangements and organisational capability better support </w:t>
      </w:r>
      <w:r w:rsidR="00244BF8" w:rsidRPr="001A076D">
        <w:rPr>
          <w:rStyle w:val="Strong"/>
        </w:rPr>
        <w:t xml:space="preserve">the </w:t>
      </w:r>
      <w:r w:rsidRPr="001A076D">
        <w:rPr>
          <w:rStyle w:val="Strong"/>
        </w:rPr>
        <w:t>strategic use of analytics?</w:t>
      </w:r>
      <w:r w:rsidRPr="001A076D">
        <w:br/>
      </w:r>
      <w:r w:rsidRPr="001A076D">
        <w:rPr>
          <w:rStyle w:val="Strong"/>
        </w:rPr>
        <w:t>Response:</w:t>
      </w:r>
      <w:r w:rsidRPr="001A076D">
        <w:br/>
        <w:t xml:space="preserve">Governance needs to be built into architecture from the start, not added afterwards. </w:t>
      </w:r>
      <w:r w:rsidR="006729E9" w:rsidRPr="001A076D">
        <w:t>Developing analytics on governed platforms by default simplifies scaling and builds trust.</w:t>
      </w:r>
    </w:p>
    <w:p w14:paraId="1A033FB6" w14:textId="77777777" w:rsidR="00BE65C8" w:rsidRPr="001A076D" w:rsidRDefault="00BE65C8" w:rsidP="00BE65C8">
      <w:pPr>
        <w:pStyle w:val="NormalWeb"/>
      </w:pPr>
      <w:r w:rsidRPr="001A076D">
        <w:rPr>
          <w:rStyle w:val="Strong"/>
        </w:rPr>
        <w:t>Q23. Is there anything else critical to understanding predictive analytics readiness at SSE PLC?</w:t>
      </w:r>
      <w:r w:rsidRPr="001A076D">
        <w:br/>
      </w:r>
      <w:r w:rsidRPr="001A076D">
        <w:rPr>
          <w:rStyle w:val="Strong"/>
        </w:rPr>
        <w:t>Response:</w:t>
      </w:r>
      <w:r w:rsidRPr="001A076D">
        <w:br/>
        <w:t>Yes — readiness is fundamentally structural. Without mature enterprise architecture, strong governance discipline, and scalable infrastructure, it’s very difficult to embed analytics sustainably into strategic decision-making.</w:t>
      </w:r>
    </w:p>
    <w:p w14:paraId="00B3BA87" w14:textId="6764BC31" w:rsidR="00782832" w:rsidRPr="001A076D" w:rsidRDefault="00782832" w:rsidP="00782832">
      <w:r w:rsidRPr="001A076D">
        <w:rPr>
          <w:rStyle w:val="Strong"/>
        </w:rPr>
        <w:t>Participant Code:</w:t>
      </w:r>
      <w:r w:rsidRPr="001A076D">
        <w:t xml:space="preserve"> P7</w:t>
      </w:r>
    </w:p>
    <w:p w14:paraId="09AFDB2C" w14:textId="77777777" w:rsidR="00BE65C8" w:rsidRPr="001A076D" w:rsidRDefault="00BE65C8" w:rsidP="00782832">
      <w:r w:rsidRPr="001A076D">
        <w:rPr>
          <w:rStyle w:val="Strong"/>
        </w:rPr>
        <w:t>Role:</w:t>
      </w:r>
      <w:r w:rsidRPr="001A076D">
        <w:t xml:space="preserve"> Head of Marketing &amp; Customer Insight</w:t>
      </w:r>
      <w:r w:rsidRPr="001A076D">
        <w:br/>
      </w:r>
      <w:r w:rsidRPr="001A076D">
        <w:rPr>
          <w:rStyle w:val="Strong"/>
        </w:rPr>
        <w:t>Organisation:</w:t>
      </w:r>
      <w:r w:rsidRPr="001A076D">
        <w:t xml:space="preserve"> SSE PLC</w:t>
      </w:r>
      <w:r w:rsidRPr="001A076D">
        <w:br/>
      </w:r>
      <w:r w:rsidRPr="001A076D">
        <w:rPr>
          <w:rStyle w:val="Strong"/>
        </w:rPr>
        <w:t>Mode:</w:t>
      </w:r>
      <w:r w:rsidRPr="001A076D">
        <w:t xml:space="preserve"> MS Teams</w:t>
      </w:r>
      <w:r w:rsidRPr="001A076D">
        <w:br/>
      </w:r>
      <w:r w:rsidRPr="001A076D">
        <w:rPr>
          <w:rStyle w:val="Strong"/>
        </w:rPr>
        <w:t>Duration:</w:t>
      </w:r>
      <w:r w:rsidRPr="001A076D">
        <w:t xml:space="preserve"> 54 minutes</w:t>
      </w:r>
    </w:p>
    <w:p w14:paraId="3757118C" w14:textId="77777777" w:rsidR="00782832" w:rsidRPr="001A076D" w:rsidRDefault="00782832" w:rsidP="00782832"/>
    <w:p w14:paraId="3A77E759" w14:textId="77777777" w:rsidR="00BE65C8" w:rsidRPr="001A076D" w:rsidRDefault="00BE65C8" w:rsidP="00BE65C8">
      <w:r w:rsidRPr="001A076D">
        <w:rPr>
          <w:rStyle w:val="Strong"/>
        </w:rPr>
        <w:t>Theme 1: Role and Context (RQ2)</w:t>
      </w:r>
    </w:p>
    <w:p w14:paraId="24F31C4C" w14:textId="5D5CB1C2" w:rsidR="00BE65C8" w:rsidRPr="001A076D" w:rsidRDefault="00BE65C8" w:rsidP="00BE65C8">
      <w:pPr>
        <w:pStyle w:val="NormalWeb"/>
      </w:pPr>
      <w:r w:rsidRPr="001A076D">
        <w:rPr>
          <w:rStyle w:val="Strong"/>
        </w:rPr>
        <w:t>Q1. Can you describe your role and responsibilities within SSE PLC?</w:t>
      </w:r>
      <w:r w:rsidRPr="001A076D">
        <w:br/>
      </w:r>
      <w:r w:rsidRPr="001A076D">
        <w:rPr>
          <w:rStyle w:val="Strong"/>
        </w:rPr>
        <w:t>Response:</w:t>
      </w:r>
      <w:r w:rsidRPr="001A076D">
        <w:br/>
        <w:t xml:space="preserve">I lead the overall marketing strategy, covering customer acquisition, retention, brand positioning, and customer insight. </w:t>
      </w:r>
      <w:r w:rsidR="001B68CC" w:rsidRPr="001A076D">
        <w:t xml:space="preserve">My role is quite broad: it includes segmentation strategy, campaign optimisation, digital channel performance, and, importantly, </w:t>
      </w:r>
      <w:r w:rsidR="005977AD" w:rsidRPr="001A076D">
        <w:t>ensuring that</w:t>
      </w:r>
      <w:r w:rsidR="001B68CC" w:rsidRPr="001A076D">
        <w:t xml:space="preserve"> customer analytics translate into tangible commercial </w:t>
      </w:r>
      <w:r w:rsidR="0088535B" w:rsidRPr="001A076D">
        <w:t>results</w:t>
      </w:r>
      <w:r w:rsidR="001B68CC" w:rsidRPr="001A076D">
        <w:t>.</w:t>
      </w:r>
    </w:p>
    <w:p w14:paraId="1D9156B8" w14:textId="5E98D12F" w:rsidR="00BE65C8" w:rsidRPr="001A076D" w:rsidRDefault="00BE65C8" w:rsidP="00BE65C8">
      <w:pPr>
        <w:pStyle w:val="NormalWeb"/>
      </w:pPr>
      <w:r w:rsidRPr="001A076D">
        <w:rPr>
          <w:rStyle w:val="Strong"/>
        </w:rPr>
        <w:t>Q2. How does predictive analytics feature in your day-to-day work?</w:t>
      </w:r>
      <w:r w:rsidRPr="001A076D">
        <w:br/>
      </w:r>
      <w:r w:rsidRPr="001A076D">
        <w:rPr>
          <w:rStyle w:val="Strong"/>
        </w:rPr>
        <w:t>Response:</w:t>
      </w:r>
      <w:r w:rsidRPr="001A076D">
        <w:br/>
        <w:t xml:space="preserve">It’s a key part of how we operate. We use predictive analytics for churn modelling, propensity-to-buy modelling, campaign response prediction, and customer </w:t>
      </w:r>
      <w:r w:rsidR="00CD7535" w:rsidRPr="001A076D">
        <w:t>lifetime-value analysis.</w:t>
      </w:r>
      <w:r w:rsidRPr="001A076D">
        <w:t xml:space="preserve"> It helps us </w:t>
      </w:r>
      <w:r w:rsidRPr="001A076D">
        <w:lastRenderedPageBreak/>
        <w:t>prioritise which segments to focus on, personalise communications, and make better decisions around where to invest marketing spend.</w:t>
      </w:r>
    </w:p>
    <w:p w14:paraId="6BB892C7" w14:textId="77777777" w:rsidR="00BE65C8" w:rsidRPr="001A076D" w:rsidRDefault="00BE65C8" w:rsidP="00BE65C8">
      <w:pPr>
        <w:pStyle w:val="NormalWeb"/>
      </w:pPr>
      <w:r w:rsidRPr="001A076D">
        <w:rPr>
          <w:rStyle w:val="Strong"/>
        </w:rPr>
        <w:t>Q3. In what types of decisions are analytics outputs most commonly used?</w:t>
      </w:r>
      <w:r w:rsidRPr="001A076D">
        <w:br/>
      </w:r>
      <w:r w:rsidRPr="001A076D">
        <w:rPr>
          <w:rStyle w:val="Strong"/>
        </w:rPr>
        <w:t>Response:</w:t>
      </w:r>
      <w:r w:rsidRPr="001A076D">
        <w:br/>
        <w:t>A lot of it is used for tactical decisions, things like campaign targeting and retention offers. But it also feeds into more strategic areas, such as long-term customer growth strategy, brand investment decisions, and how we position products in competitive markets.</w:t>
      </w:r>
    </w:p>
    <w:p w14:paraId="22E3D681" w14:textId="77777777" w:rsidR="00BE65C8" w:rsidRPr="001A076D" w:rsidRDefault="00BE65C8" w:rsidP="00BE65C8">
      <w:r w:rsidRPr="001A076D">
        <w:rPr>
          <w:rStyle w:val="Strong"/>
        </w:rPr>
        <w:t>Theme 2: Predictive Analytics Capability and Readiness (H1, RQ2)</w:t>
      </w:r>
    </w:p>
    <w:p w14:paraId="19A8D03B" w14:textId="3D6B2DD8" w:rsidR="00BE65C8" w:rsidRPr="001A076D" w:rsidRDefault="00BE65C8" w:rsidP="00BE65C8">
      <w:pPr>
        <w:pStyle w:val="NormalWeb"/>
      </w:pPr>
      <w:r w:rsidRPr="001A076D">
        <w:rPr>
          <w:rStyle w:val="Strong"/>
        </w:rPr>
        <w:t>Q4. How would you describe SSE’s current capability in relation to predictive analytics?</w:t>
      </w:r>
      <w:r w:rsidRPr="001A076D">
        <w:br/>
      </w:r>
      <w:r w:rsidRPr="001A076D">
        <w:rPr>
          <w:rStyle w:val="Strong"/>
        </w:rPr>
        <w:t>Response:</w:t>
      </w:r>
      <w:r w:rsidRPr="001A076D">
        <w:br/>
        <w:t xml:space="preserve">We have strong capability within customer analytics, particularly in modelling. However, data integration </w:t>
      </w:r>
      <w:r w:rsidR="00244BF8" w:rsidRPr="001A076D">
        <w:t>remains a challenge, especially across CRM systems</w:t>
      </w:r>
      <w:r w:rsidRPr="001A076D">
        <w:t>, billing systems, and usage data. So, while the capability is there, it’s not always as seamless as it could be.</w:t>
      </w:r>
    </w:p>
    <w:p w14:paraId="7C493834" w14:textId="77777777" w:rsidR="00BE65C8" w:rsidRPr="001A076D" w:rsidRDefault="00BE65C8" w:rsidP="00BE65C8">
      <w:pPr>
        <w:pStyle w:val="NormalWeb"/>
      </w:pPr>
      <w:r w:rsidRPr="001A076D">
        <w:rPr>
          <w:rStyle w:val="Strong"/>
        </w:rPr>
        <w:t>Q5. To what extent do leadership practices influence the use of analytics?</w:t>
      </w:r>
      <w:r w:rsidRPr="001A076D">
        <w:br/>
      </w:r>
      <w:r w:rsidRPr="001A076D">
        <w:rPr>
          <w:rStyle w:val="Strong"/>
        </w:rPr>
        <w:t>Response:</w:t>
      </w:r>
      <w:r w:rsidRPr="001A076D">
        <w:br/>
        <w:t>Leadership plays a big role. When executive reviews expect to see ROI modelling and predictive evidence, teams naturally embed analytics more rigorously. But in more time-pressured situations, there can be a tendency to act quickly, sometimes before full validation is complete.</w:t>
      </w:r>
    </w:p>
    <w:p w14:paraId="1FFE1BC1" w14:textId="77777777" w:rsidR="00BE65C8" w:rsidRPr="001A076D" w:rsidRDefault="00BE65C8" w:rsidP="00BE65C8">
      <w:pPr>
        <w:pStyle w:val="NormalWeb"/>
      </w:pPr>
      <w:r w:rsidRPr="001A076D">
        <w:rPr>
          <w:rStyle w:val="Strong"/>
        </w:rPr>
        <w:t>Q6. How would you characterise organisational attitudes toward data-driven decision-making?</w:t>
      </w:r>
      <w:r w:rsidRPr="001A076D">
        <w:br/>
      </w:r>
      <w:r w:rsidRPr="001A076D">
        <w:rPr>
          <w:rStyle w:val="Strong"/>
        </w:rPr>
        <w:t>Response:</w:t>
      </w:r>
      <w:r w:rsidRPr="001A076D">
        <w:br/>
        <w:t>There’s definitely strong acceptance, especially in digital marketing. That said, marketing as a function still values intuition, creativity, and brand alignment. Therefore, analytics tends to complement decision-making rather than replace it.</w:t>
      </w:r>
    </w:p>
    <w:p w14:paraId="727B6E23" w14:textId="27A52050" w:rsidR="00BE65C8" w:rsidRPr="001A076D" w:rsidRDefault="00BE65C8" w:rsidP="00BE65C8">
      <w:pPr>
        <w:pStyle w:val="NormalWeb"/>
      </w:pPr>
      <w:r w:rsidRPr="001A076D">
        <w:rPr>
          <w:rStyle w:val="Strong"/>
        </w:rPr>
        <w:t>Q7. Are analytical skills and understanding sufficient at senior levels? Why or why not?</w:t>
      </w:r>
      <w:r w:rsidRPr="001A076D">
        <w:br/>
      </w:r>
      <w:r w:rsidRPr="001A076D">
        <w:rPr>
          <w:rStyle w:val="Strong"/>
        </w:rPr>
        <w:t>Response:</w:t>
      </w:r>
      <w:r w:rsidRPr="001A076D">
        <w:br/>
        <w:t xml:space="preserve">Senior leaders generally understand the high-level insights, but they tend to rely on simplified visualisations. There’s still </w:t>
      </w:r>
      <w:r w:rsidR="00244BF8" w:rsidRPr="001A076D">
        <w:t>a</w:t>
      </w:r>
      <w:r w:rsidRPr="001A076D">
        <w:t xml:space="preserve"> gap </w:t>
      </w:r>
      <w:r w:rsidR="00244BF8" w:rsidRPr="001A076D">
        <w:t>in</w:t>
      </w:r>
      <w:r w:rsidRPr="001A076D">
        <w:t xml:space="preserve"> understanding model limitations and the uncertainty behind predictions.</w:t>
      </w:r>
    </w:p>
    <w:p w14:paraId="043D294F" w14:textId="77777777" w:rsidR="00BE65C8" w:rsidRPr="001A076D" w:rsidRDefault="00BE65C8" w:rsidP="00BE65C8">
      <w:r w:rsidRPr="001A076D">
        <w:rPr>
          <w:rStyle w:val="Strong"/>
        </w:rPr>
        <w:t>Theme 3: Data Governance Maturity (H2, H4, RQ1)</w:t>
      </w:r>
    </w:p>
    <w:p w14:paraId="39666117" w14:textId="3BF757B7" w:rsidR="00BE65C8" w:rsidRPr="001A076D" w:rsidRDefault="00BE65C8" w:rsidP="00BE65C8">
      <w:pPr>
        <w:pStyle w:val="NormalWeb"/>
      </w:pPr>
      <w:r w:rsidRPr="001A076D">
        <w:rPr>
          <w:rStyle w:val="Strong"/>
        </w:rPr>
        <w:t>Q8. How clear are data ownership and governance responsibilities?</w:t>
      </w:r>
      <w:r w:rsidRPr="001A076D">
        <w:br/>
      </w:r>
      <w:r w:rsidRPr="001A076D">
        <w:rPr>
          <w:rStyle w:val="Strong"/>
        </w:rPr>
        <w:t>Response:</w:t>
      </w:r>
      <w:r w:rsidRPr="001A076D">
        <w:br/>
        <w:t xml:space="preserve">Customer data ownership is quite well defined. However, when analytics </w:t>
      </w:r>
      <w:r w:rsidR="0088535B" w:rsidRPr="001A076D">
        <w:t>span</w:t>
      </w:r>
      <w:r w:rsidR="00244BF8" w:rsidRPr="001A076D">
        <w:t xml:space="preserve"> different areas – such as commercial, operational, and marketing – data ownership can become less clear, </w:t>
      </w:r>
      <w:r w:rsidR="005977AD" w:rsidRPr="001A076D">
        <w:t>which can slow down processes</w:t>
      </w:r>
      <w:r w:rsidRPr="001A076D">
        <w:t>.</w:t>
      </w:r>
    </w:p>
    <w:p w14:paraId="27A77B56" w14:textId="77777777" w:rsidR="00BE65C8" w:rsidRPr="001A076D" w:rsidRDefault="00BE65C8" w:rsidP="00BE65C8">
      <w:pPr>
        <w:pStyle w:val="NormalWeb"/>
      </w:pPr>
      <w:r w:rsidRPr="001A076D">
        <w:rPr>
          <w:rStyle w:val="Strong"/>
        </w:rPr>
        <w:t>Q9. How do data quality, metadata, or lineage practices affect confidence in analytics outputs?</w:t>
      </w:r>
      <w:r w:rsidRPr="001A076D">
        <w:br/>
      </w:r>
      <w:r w:rsidRPr="001A076D">
        <w:rPr>
          <w:rStyle w:val="Strong"/>
        </w:rPr>
        <w:t>Response:</w:t>
      </w:r>
      <w:r w:rsidRPr="001A076D">
        <w:br/>
        <w:t>They have a direct impact. If campaign response rates vary across systems or definitions aren’t consistent, it immediately undermines trust. Clear lineage and consistent definitions make a big difference, especially for segmentation and targeting decisions.</w:t>
      </w:r>
    </w:p>
    <w:p w14:paraId="5F334CC2" w14:textId="77777777" w:rsidR="00BE65C8" w:rsidRPr="001A076D" w:rsidRDefault="00BE65C8" w:rsidP="00BE65C8">
      <w:pPr>
        <w:pStyle w:val="NormalWeb"/>
      </w:pPr>
      <w:r w:rsidRPr="001A076D">
        <w:rPr>
          <w:rStyle w:val="Strong"/>
        </w:rPr>
        <w:lastRenderedPageBreak/>
        <w:t>Q10. Does governance enable or constrain the strategic use of analytics?</w:t>
      </w:r>
      <w:r w:rsidRPr="001A076D">
        <w:br/>
      </w:r>
      <w:r w:rsidRPr="001A076D">
        <w:rPr>
          <w:rStyle w:val="Strong"/>
        </w:rPr>
        <w:t>Response:</w:t>
      </w:r>
      <w:r w:rsidRPr="001A076D">
        <w:br/>
        <w:t>It does both. Governance is essential for building trust, especially when dealing with customer data. But at the same time, strict compliance processes can extend campaign lead times, which can be challenging in a fast-moving marketing environment.</w:t>
      </w:r>
    </w:p>
    <w:p w14:paraId="4E14A95C" w14:textId="0012B7B4" w:rsidR="00BE65C8" w:rsidRPr="001A076D" w:rsidRDefault="00BE65C8" w:rsidP="00BE65C8">
      <w:r w:rsidRPr="001A076D">
        <w:rPr>
          <w:rStyle w:val="Strong"/>
        </w:rPr>
        <w:t>Theme 4: Trust and Explainability (H2, H3, RQ3)</w:t>
      </w:r>
    </w:p>
    <w:p w14:paraId="09B20412" w14:textId="77777777" w:rsidR="00BE65C8" w:rsidRPr="001A076D" w:rsidRDefault="00BE65C8" w:rsidP="00BE65C8">
      <w:pPr>
        <w:pStyle w:val="NormalWeb"/>
      </w:pPr>
      <w:r w:rsidRPr="001A076D">
        <w:rPr>
          <w:rStyle w:val="Strong"/>
        </w:rPr>
        <w:t>Q11. What factors increase trust in predictive analytics outputs?</w:t>
      </w:r>
      <w:r w:rsidRPr="001A076D">
        <w:br/>
      </w:r>
      <w:r w:rsidRPr="001A076D">
        <w:rPr>
          <w:rStyle w:val="Strong"/>
        </w:rPr>
        <w:t>Response:</w:t>
      </w:r>
      <w:r w:rsidRPr="001A076D">
        <w:br/>
        <w:t>Trust tends to come from:</w:t>
      </w:r>
    </w:p>
    <w:p w14:paraId="0D52CB42" w14:textId="77777777" w:rsidR="00BE65C8" w:rsidRPr="001A076D" w:rsidRDefault="00BE65C8">
      <w:pPr>
        <w:pStyle w:val="NormalWeb"/>
        <w:numPr>
          <w:ilvl w:val="0"/>
          <w:numId w:val="25"/>
        </w:numPr>
      </w:pPr>
      <w:r w:rsidRPr="001A076D">
        <w:t>Strong historical validation</w:t>
      </w:r>
    </w:p>
    <w:p w14:paraId="3C4C569A" w14:textId="77777777" w:rsidR="00BE65C8" w:rsidRPr="001A076D" w:rsidRDefault="00BE65C8">
      <w:pPr>
        <w:pStyle w:val="NormalWeb"/>
        <w:numPr>
          <w:ilvl w:val="0"/>
          <w:numId w:val="25"/>
        </w:numPr>
      </w:pPr>
      <w:r w:rsidRPr="001A076D">
        <w:t>Clear drivers behind things like churn risk</w:t>
      </w:r>
    </w:p>
    <w:p w14:paraId="57A3318D" w14:textId="77777777" w:rsidR="00BE65C8" w:rsidRPr="001A076D" w:rsidRDefault="00BE65C8">
      <w:pPr>
        <w:pStyle w:val="NormalWeb"/>
        <w:numPr>
          <w:ilvl w:val="0"/>
          <w:numId w:val="25"/>
        </w:numPr>
      </w:pPr>
      <w:r w:rsidRPr="001A076D">
        <w:t>Cross-functional sign-off</w:t>
      </w:r>
    </w:p>
    <w:p w14:paraId="2AB0E5BC" w14:textId="77777777" w:rsidR="00BE65C8" w:rsidRPr="001A076D" w:rsidRDefault="00BE65C8">
      <w:pPr>
        <w:pStyle w:val="NormalWeb"/>
        <w:numPr>
          <w:ilvl w:val="0"/>
          <w:numId w:val="25"/>
        </w:numPr>
      </w:pPr>
      <w:r w:rsidRPr="001A076D">
        <w:t>Consistency with previous campaign performance</w:t>
      </w:r>
    </w:p>
    <w:p w14:paraId="5F6A2C45" w14:textId="711CBB0B" w:rsidR="00BE65C8" w:rsidRPr="001A076D" w:rsidRDefault="00BE65C8" w:rsidP="00BE65C8">
      <w:pPr>
        <w:pStyle w:val="NormalWeb"/>
      </w:pPr>
      <w:r w:rsidRPr="001A076D">
        <w:rPr>
          <w:rStyle w:val="Strong"/>
        </w:rPr>
        <w:t>Q12. What factors reduce trust or create scepticism toward analytics?</w:t>
      </w:r>
      <w:r w:rsidRPr="001A076D">
        <w:br/>
      </w:r>
      <w:r w:rsidRPr="001A076D">
        <w:rPr>
          <w:rStyle w:val="Strong"/>
        </w:rPr>
        <w:t>Response:</w:t>
      </w:r>
      <w:r w:rsidRPr="001A076D">
        <w:br/>
        <w:t xml:space="preserve">Inconsistent KPIs are a big one. </w:t>
      </w:r>
      <w:r w:rsidR="00CD7535" w:rsidRPr="001A076D">
        <w:t>Furthermore,</w:t>
      </w:r>
      <w:r w:rsidRPr="001A076D">
        <w:t xml:space="preserve"> if the modelling logic isn’t clear or </w:t>
      </w:r>
      <w:r w:rsidR="005977AD" w:rsidRPr="001A076D">
        <w:t>if the outputs</w:t>
      </w:r>
      <w:r w:rsidRPr="001A076D">
        <w:t xml:space="preserve"> contradict commercial experience without explanation, people become sceptical </w:t>
      </w:r>
      <w:r w:rsidR="0088535B" w:rsidRPr="001A076D">
        <w:t>very</w:t>
      </w:r>
      <w:r w:rsidRPr="001A076D">
        <w:t xml:space="preserve"> quickly.</w:t>
      </w:r>
    </w:p>
    <w:p w14:paraId="07313E25" w14:textId="77777777" w:rsidR="00BE65C8" w:rsidRPr="001A076D" w:rsidRDefault="00BE65C8" w:rsidP="00BE65C8">
      <w:pPr>
        <w:pStyle w:val="NormalWeb"/>
      </w:pPr>
      <w:r w:rsidRPr="001A076D">
        <w:rPr>
          <w:rStyle w:val="Strong"/>
        </w:rPr>
        <w:t>Q13. How important is explainability when analytics informs strategic decisions?</w:t>
      </w:r>
      <w:r w:rsidRPr="001A076D">
        <w:br/>
      </w:r>
      <w:r w:rsidRPr="001A076D">
        <w:rPr>
          <w:rStyle w:val="Strong"/>
        </w:rPr>
        <w:t>Response:</w:t>
      </w:r>
      <w:r w:rsidRPr="001A076D">
        <w:br/>
        <w:t xml:space="preserve">It’s very important. Marketing decisions directly affect customer perception, so we need to understand why a segment is classified as high-risk or </w:t>
      </w:r>
      <w:proofErr w:type="gramStart"/>
      <w:r w:rsidRPr="001A076D">
        <w:t>high-value</w:t>
      </w:r>
      <w:proofErr w:type="gramEnd"/>
      <w:r w:rsidRPr="001A076D">
        <w:t>. Without that clarity, it’s difficult to act confidently.</w:t>
      </w:r>
    </w:p>
    <w:p w14:paraId="0729B436" w14:textId="7AB9EE6A" w:rsidR="00BE65C8" w:rsidRPr="001A076D" w:rsidRDefault="00BE65C8" w:rsidP="00BE65C8">
      <w:pPr>
        <w:pStyle w:val="NormalWeb"/>
      </w:pPr>
      <w:r w:rsidRPr="001A076D">
        <w:rPr>
          <w:rStyle w:val="Strong"/>
        </w:rPr>
        <w:t>Q14. How are ethical, regulatory, or compliance concerns addressed when analytics is used?</w:t>
      </w:r>
      <w:r w:rsidRPr="001A076D">
        <w:br/>
      </w:r>
      <w:r w:rsidRPr="001A076D">
        <w:rPr>
          <w:rStyle w:val="Strong"/>
        </w:rPr>
        <w:t>Response:</w:t>
      </w:r>
      <w:r w:rsidRPr="001A076D">
        <w:br/>
        <w:t xml:space="preserve">We align closely with GDPR requirements for </w:t>
      </w:r>
      <w:r w:rsidR="00390A34" w:rsidRPr="001A076D">
        <w:t xml:space="preserve">areas such as consent management, data minimisation, and ensuring that </w:t>
      </w:r>
      <w:r w:rsidRPr="001A076D">
        <w:t>segmentation doesn’t create unintended bias. There’s also a review process to ensure targeting is appropriate and fair.</w:t>
      </w:r>
    </w:p>
    <w:p w14:paraId="65F339E1" w14:textId="77777777" w:rsidR="00BE65C8" w:rsidRPr="001A076D" w:rsidRDefault="00BE65C8" w:rsidP="00BE65C8">
      <w:r w:rsidRPr="001A076D">
        <w:rPr>
          <w:rStyle w:val="Strong"/>
        </w:rPr>
        <w:t>Theme 5: Strategic Decision-Making Impact (H3, RQ3)</w:t>
      </w:r>
    </w:p>
    <w:p w14:paraId="3F006AC5" w14:textId="77777777" w:rsidR="00BE65C8" w:rsidRPr="001A076D" w:rsidRDefault="00BE65C8" w:rsidP="00BE65C8">
      <w:pPr>
        <w:pStyle w:val="NormalWeb"/>
      </w:pPr>
      <w:r w:rsidRPr="001A076D">
        <w:rPr>
          <w:rStyle w:val="Strong"/>
        </w:rPr>
        <w:t>Q15. Can you describe a situation where predictive analytics significantly influenced a strategic decision?</w:t>
      </w:r>
      <w:r w:rsidRPr="001A076D">
        <w:br/>
      </w:r>
      <w:r w:rsidRPr="001A076D">
        <w:rPr>
          <w:rStyle w:val="Strong"/>
        </w:rPr>
        <w:t>Response:</w:t>
      </w:r>
      <w:r w:rsidRPr="001A076D">
        <w:br/>
        <w:t>Yes, we used a churn prediction model to redirect retention spending toward high-risk customer segments. That improved campaign ROI and reduced the need for blanket discounting, which was a significant shift in how we approached retention.</w:t>
      </w:r>
    </w:p>
    <w:p w14:paraId="0E0CCEFA" w14:textId="77777777" w:rsidR="00BE65C8" w:rsidRPr="001A076D" w:rsidRDefault="00BE65C8" w:rsidP="00BE65C8">
      <w:pPr>
        <w:pStyle w:val="NormalWeb"/>
      </w:pPr>
      <w:r w:rsidRPr="001A076D">
        <w:rPr>
          <w:rStyle w:val="Strong"/>
        </w:rPr>
        <w:t>Q16. Have there been occasions where analytics outputs were ignored or overridden? What were the reasons?</w:t>
      </w:r>
      <w:r w:rsidRPr="001A076D">
        <w:br/>
      </w:r>
      <w:r w:rsidRPr="001A076D">
        <w:rPr>
          <w:rStyle w:val="Strong"/>
        </w:rPr>
        <w:t>Response:</w:t>
      </w:r>
      <w:r w:rsidRPr="001A076D">
        <w:br/>
        <w:t>Yes, particularly when segmentation logic conflicted with brand positioning or raised fairness concerns. In those cases, commercial judgement tends to take precedence.</w:t>
      </w:r>
    </w:p>
    <w:p w14:paraId="1C6D0445" w14:textId="7F341A5B" w:rsidR="00BE65C8" w:rsidRPr="001A076D" w:rsidRDefault="00BE65C8" w:rsidP="00BE65C8">
      <w:pPr>
        <w:pStyle w:val="NormalWeb"/>
      </w:pPr>
      <w:r w:rsidRPr="001A076D">
        <w:rPr>
          <w:rStyle w:val="Strong"/>
        </w:rPr>
        <w:t>Q17. How does executive trust affect whether analytics informs final decisions?</w:t>
      </w:r>
      <w:r w:rsidRPr="001A076D">
        <w:br/>
      </w:r>
      <w:r w:rsidRPr="001A076D">
        <w:rPr>
          <w:rStyle w:val="Strong"/>
        </w:rPr>
        <w:t>Response:</w:t>
      </w:r>
      <w:r w:rsidRPr="001A076D">
        <w:br/>
      </w:r>
      <w:r w:rsidRPr="001A076D">
        <w:lastRenderedPageBreak/>
        <w:t xml:space="preserve">Trust is key. If executives are confident in the governance and validation </w:t>
      </w:r>
      <w:r w:rsidR="00390A34" w:rsidRPr="001A076D">
        <w:t>of the model, analytics tends to drive decisions such as</w:t>
      </w:r>
      <w:r w:rsidRPr="001A076D">
        <w:t xml:space="preserve"> budget allocation. If that trust isn’t there, decisions rely more on past experience and precedent.</w:t>
      </w:r>
    </w:p>
    <w:p w14:paraId="1D498E6E" w14:textId="481C7FE9" w:rsidR="00BE65C8" w:rsidRPr="001A076D" w:rsidRDefault="00BE65C8" w:rsidP="00BE65C8">
      <w:r w:rsidRPr="001A076D">
        <w:rPr>
          <w:rStyle w:val="Strong"/>
        </w:rPr>
        <w:t>Theme 6: Barriers and Enablers</w:t>
      </w:r>
    </w:p>
    <w:p w14:paraId="29E9D0C1" w14:textId="77777777" w:rsidR="00BE65C8" w:rsidRPr="001A076D" w:rsidRDefault="00BE65C8" w:rsidP="00BE65C8">
      <w:pPr>
        <w:pStyle w:val="NormalWeb"/>
      </w:pPr>
      <w:r w:rsidRPr="001A076D">
        <w:rPr>
          <w:rStyle w:val="Strong"/>
        </w:rPr>
        <w:t>Q18. What organisational barriers limit the effective use of predictive analytics?</w:t>
      </w:r>
      <w:r w:rsidRPr="001A076D">
        <w:br/>
      </w:r>
      <w:r w:rsidRPr="001A076D">
        <w:rPr>
          <w:rStyle w:val="Strong"/>
        </w:rPr>
        <w:t>Response:</w:t>
      </w:r>
      <w:r w:rsidRPr="001A076D">
        <w:br/>
        <w:t>The main challenges are:</w:t>
      </w:r>
    </w:p>
    <w:p w14:paraId="09FA37D6" w14:textId="77777777" w:rsidR="00BE65C8" w:rsidRPr="001A076D" w:rsidRDefault="00BE65C8">
      <w:pPr>
        <w:pStyle w:val="NormalWeb"/>
        <w:numPr>
          <w:ilvl w:val="0"/>
          <w:numId w:val="26"/>
        </w:numPr>
      </w:pPr>
      <w:r w:rsidRPr="001A076D">
        <w:t>Data silos</w:t>
      </w:r>
    </w:p>
    <w:p w14:paraId="5F3CB74D" w14:textId="77777777" w:rsidR="00BE65C8" w:rsidRPr="001A076D" w:rsidRDefault="00BE65C8">
      <w:pPr>
        <w:pStyle w:val="NormalWeb"/>
        <w:numPr>
          <w:ilvl w:val="0"/>
          <w:numId w:val="26"/>
        </w:numPr>
      </w:pPr>
      <w:r w:rsidRPr="001A076D">
        <w:t>Inconsistent definitions across channels</w:t>
      </w:r>
    </w:p>
    <w:p w14:paraId="3750E568" w14:textId="77777777" w:rsidR="00BE65C8" w:rsidRPr="001A076D" w:rsidRDefault="00BE65C8">
      <w:pPr>
        <w:pStyle w:val="NormalWeb"/>
        <w:numPr>
          <w:ilvl w:val="0"/>
          <w:numId w:val="26"/>
        </w:numPr>
      </w:pPr>
      <w:r w:rsidRPr="001A076D">
        <w:t>Legacy system integration issues</w:t>
      </w:r>
    </w:p>
    <w:p w14:paraId="357D97DB" w14:textId="77777777" w:rsidR="00BE65C8" w:rsidRPr="001A076D" w:rsidRDefault="00BE65C8" w:rsidP="00BE65C8">
      <w:pPr>
        <w:pStyle w:val="NormalWeb"/>
      </w:pPr>
      <w:r w:rsidRPr="001A076D">
        <w:t>These all create friction when trying to scale analytics effectively.</w:t>
      </w:r>
    </w:p>
    <w:p w14:paraId="2E377491" w14:textId="77777777" w:rsidR="00BE65C8" w:rsidRPr="001A076D" w:rsidRDefault="00BE65C8" w:rsidP="00BE65C8">
      <w:pPr>
        <w:pStyle w:val="NormalWeb"/>
      </w:pPr>
      <w:r w:rsidRPr="001A076D">
        <w:rPr>
          <w:rStyle w:val="Strong"/>
        </w:rPr>
        <w:t>Q19. How do culture, data literacy, or regulatory pressures shape analytics adoption and use?</w:t>
      </w:r>
      <w:r w:rsidRPr="001A076D">
        <w:br/>
      </w:r>
      <w:r w:rsidRPr="001A076D">
        <w:rPr>
          <w:rStyle w:val="Strong"/>
        </w:rPr>
        <w:t>Response:</w:t>
      </w:r>
      <w:r w:rsidRPr="001A076D">
        <w:br/>
        <w:t>Regulation increases accountability, particularly in how we target customers. Culture plays a big role as well; it influences whether analytics is embraced as a growth tool or approached more cautiously.</w:t>
      </w:r>
    </w:p>
    <w:p w14:paraId="207FA782" w14:textId="77777777" w:rsidR="00BE65C8" w:rsidRPr="001A076D" w:rsidRDefault="00BE65C8" w:rsidP="00BE65C8">
      <w:pPr>
        <w:pStyle w:val="NormalWeb"/>
      </w:pPr>
      <w:r w:rsidRPr="001A076D">
        <w:rPr>
          <w:rStyle w:val="Strong"/>
        </w:rPr>
        <w:t>Q20. What factors most strongly enable analytics to be embedded into decision-making?</w:t>
      </w:r>
      <w:r w:rsidRPr="001A076D">
        <w:br/>
      </w:r>
      <w:r w:rsidRPr="001A076D">
        <w:rPr>
          <w:rStyle w:val="Strong"/>
        </w:rPr>
        <w:t>Response:</w:t>
      </w:r>
      <w:r w:rsidRPr="001A076D">
        <w:br/>
        <w:t>Key enablers include:</w:t>
      </w:r>
    </w:p>
    <w:p w14:paraId="5C49EEFB" w14:textId="77777777" w:rsidR="00BE65C8" w:rsidRPr="001A076D" w:rsidRDefault="00BE65C8">
      <w:pPr>
        <w:pStyle w:val="NormalWeb"/>
        <w:numPr>
          <w:ilvl w:val="0"/>
          <w:numId w:val="27"/>
        </w:numPr>
      </w:pPr>
      <w:r w:rsidRPr="001A076D">
        <w:t>Strong leadership sponsorship</w:t>
      </w:r>
    </w:p>
    <w:p w14:paraId="1B61FB56" w14:textId="77777777" w:rsidR="00BE65C8" w:rsidRPr="001A076D" w:rsidRDefault="00BE65C8">
      <w:pPr>
        <w:pStyle w:val="NormalWeb"/>
        <w:numPr>
          <w:ilvl w:val="0"/>
          <w:numId w:val="27"/>
        </w:numPr>
      </w:pPr>
      <w:r w:rsidRPr="001A076D">
        <w:t>Effective data stewardship</w:t>
      </w:r>
    </w:p>
    <w:p w14:paraId="18F3D827" w14:textId="77777777" w:rsidR="00BE65C8" w:rsidRPr="001A076D" w:rsidRDefault="00BE65C8">
      <w:pPr>
        <w:pStyle w:val="NormalWeb"/>
        <w:numPr>
          <w:ilvl w:val="0"/>
          <w:numId w:val="27"/>
        </w:numPr>
      </w:pPr>
      <w:r w:rsidRPr="001A076D">
        <w:t>Consistent performance tracking and validation</w:t>
      </w:r>
    </w:p>
    <w:p w14:paraId="5DB815B3" w14:textId="70EF8C86" w:rsidR="00BE65C8" w:rsidRPr="001A076D" w:rsidRDefault="00BE65C8" w:rsidP="00BE65C8">
      <w:r w:rsidRPr="001A076D">
        <w:rPr>
          <w:rStyle w:val="Strong"/>
        </w:rPr>
        <w:t>Theme 7: Integration and Reflection</w:t>
      </w:r>
    </w:p>
    <w:p w14:paraId="7A256371" w14:textId="4DC34373" w:rsidR="00BE65C8" w:rsidRPr="001A076D" w:rsidRDefault="00BE65C8" w:rsidP="00BE65C8">
      <w:pPr>
        <w:pStyle w:val="NormalWeb"/>
      </w:pPr>
      <w:r w:rsidRPr="001A076D">
        <w:rPr>
          <w:rStyle w:val="Strong"/>
        </w:rPr>
        <w:t xml:space="preserve">Q21. What conditions are necessary for predictive analytics to be fully trusted at </w:t>
      </w:r>
      <w:r w:rsidR="00390A34" w:rsidRPr="001A076D">
        <w:rPr>
          <w:rStyle w:val="Strong"/>
        </w:rPr>
        <w:t xml:space="preserve">the </w:t>
      </w:r>
      <w:r w:rsidRPr="001A076D">
        <w:rPr>
          <w:rStyle w:val="Strong"/>
        </w:rPr>
        <w:t>executive level?</w:t>
      </w:r>
      <w:r w:rsidRPr="001A076D">
        <w:br/>
      </w:r>
      <w:r w:rsidRPr="001A076D">
        <w:rPr>
          <w:rStyle w:val="Strong"/>
        </w:rPr>
        <w:t>Response:</w:t>
      </w:r>
      <w:r w:rsidRPr="001A076D">
        <w:br/>
        <w:t>You need clear data lineage, validated models, transparent assumptions, and governance endorsement. Without those, it’s difficult to build sustained trust.</w:t>
      </w:r>
    </w:p>
    <w:p w14:paraId="0764EA14" w14:textId="22E03374" w:rsidR="00BE65C8" w:rsidRPr="001A076D" w:rsidRDefault="00BE65C8" w:rsidP="00BE65C8">
      <w:pPr>
        <w:pStyle w:val="NormalWeb"/>
      </w:pPr>
      <w:r w:rsidRPr="001A076D">
        <w:rPr>
          <w:rStyle w:val="Strong"/>
        </w:rPr>
        <w:t xml:space="preserve">Q22. How could governance arrangements and organisational capability better support </w:t>
      </w:r>
      <w:r w:rsidR="00390A34" w:rsidRPr="001A076D">
        <w:rPr>
          <w:rStyle w:val="Strong"/>
        </w:rPr>
        <w:t xml:space="preserve">the </w:t>
      </w:r>
      <w:r w:rsidRPr="001A076D">
        <w:rPr>
          <w:rStyle w:val="Strong"/>
        </w:rPr>
        <w:t>strategic use of analytics?</w:t>
      </w:r>
      <w:r w:rsidRPr="001A076D">
        <w:br/>
      </w:r>
      <w:r w:rsidRPr="001A076D">
        <w:rPr>
          <w:rStyle w:val="Strong"/>
        </w:rPr>
        <w:t>Response:</w:t>
      </w:r>
      <w:r w:rsidRPr="001A076D">
        <w:br/>
        <w:t xml:space="preserve">Earlier collaboration would help, particularly </w:t>
      </w:r>
      <w:r w:rsidR="00390A34" w:rsidRPr="001A076D">
        <w:t xml:space="preserve">by </w:t>
      </w:r>
      <w:r w:rsidRPr="001A076D">
        <w:t>bringing governance teams into the design stage of predictive use cases rather than later in the process.</w:t>
      </w:r>
    </w:p>
    <w:p w14:paraId="4574B6B1" w14:textId="77777777" w:rsidR="00BE65C8" w:rsidRPr="001A076D" w:rsidRDefault="00BE65C8" w:rsidP="00BE65C8">
      <w:pPr>
        <w:pStyle w:val="NormalWeb"/>
      </w:pPr>
      <w:r w:rsidRPr="001A076D">
        <w:rPr>
          <w:rStyle w:val="Strong"/>
        </w:rPr>
        <w:t>Q23. Is there anything else you believe is critical to understanding predictive analytics readiness at SSE PLC?</w:t>
      </w:r>
      <w:r w:rsidRPr="001A076D">
        <w:br/>
      </w:r>
      <w:r w:rsidRPr="001A076D">
        <w:rPr>
          <w:rStyle w:val="Strong"/>
        </w:rPr>
        <w:t>Response:</w:t>
      </w:r>
      <w:r w:rsidRPr="001A076D">
        <w:br/>
        <w:t>Yes, in marketing, it’s really about balancing commercial agility with governance discipline. You need both. If governance is too heavy, it slows things down. If it’s too light, trust breaks down.</w:t>
      </w:r>
    </w:p>
    <w:p w14:paraId="6240EAD3" w14:textId="6DDDD1AA" w:rsidR="00782832" w:rsidRPr="001A076D" w:rsidRDefault="00782832" w:rsidP="00782832">
      <w:r w:rsidRPr="001A076D">
        <w:rPr>
          <w:rStyle w:val="Strong"/>
        </w:rPr>
        <w:lastRenderedPageBreak/>
        <w:t>Participant Code:</w:t>
      </w:r>
      <w:r w:rsidRPr="001A076D">
        <w:t xml:space="preserve"> P8</w:t>
      </w:r>
    </w:p>
    <w:p w14:paraId="29916B56" w14:textId="60C24B9E" w:rsidR="00BE65C8" w:rsidRPr="001A076D" w:rsidRDefault="00BE65C8" w:rsidP="00782832">
      <w:r w:rsidRPr="001A076D">
        <w:rPr>
          <w:rStyle w:val="Strong"/>
        </w:rPr>
        <w:t>Role:</w:t>
      </w:r>
      <w:r w:rsidRPr="001A076D">
        <w:t xml:space="preserve"> Head of Commercial Strategy &amp; Sales Performance</w:t>
      </w:r>
      <w:r w:rsidRPr="001A076D">
        <w:br/>
      </w:r>
      <w:r w:rsidRPr="001A076D">
        <w:rPr>
          <w:rStyle w:val="Strong"/>
        </w:rPr>
        <w:t>Organisation:</w:t>
      </w:r>
      <w:r w:rsidRPr="001A076D">
        <w:t xml:space="preserve"> SSE PLC</w:t>
      </w:r>
      <w:r w:rsidRPr="001A076D">
        <w:br/>
      </w:r>
      <w:r w:rsidRPr="001A076D">
        <w:rPr>
          <w:rStyle w:val="Strong"/>
        </w:rPr>
        <w:t>Mode:</w:t>
      </w:r>
      <w:r w:rsidRPr="001A076D">
        <w:t xml:space="preserve"> MS Teams</w:t>
      </w:r>
      <w:r w:rsidRPr="001A076D">
        <w:br/>
      </w:r>
      <w:r w:rsidRPr="001A076D">
        <w:rPr>
          <w:rStyle w:val="Strong"/>
        </w:rPr>
        <w:t>Duration:</w:t>
      </w:r>
      <w:r w:rsidRPr="001A076D">
        <w:t xml:space="preserve"> </w:t>
      </w:r>
      <w:r w:rsidR="007D6ECE" w:rsidRPr="001A076D">
        <w:t>49</w:t>
      </w:r>
      <w:r w:rsidRPr="001A076D">
        <w:t xml:space="preserve"> minutes</w:t>
      </w:r>
    </w:p>
    <w:p w14:paraId="7C8BEB7E" w14:textId="77777777" w:rsidR="00782832" w:rsidRPr="001A076D" w:rsidRDefault="00782832" w:rsidP="00782832"/>
    <w:p w14:paraId="4ACF7D36" w14:textId="77777777" w:rsidR="00BE65C8" w:rsidRPr="001A076D" w:rsidRDefault="00BE65C8" w:rsidP="00BE65C8">
      <w:r w:rsidRPr="001A076D">
        <w:rPr>
          <w:rStyle w:val="Strong"/>
        </w:rPr>
        <w:t>Theme 1: Role and Context (RQ2)</w:t>
      </w:r>
    </w:p>
    <w:p w14:paraId="15035896" w14:textId="77777777" w:rsidR="00BE65C8" w:rsidRPr="001A076D" w:rsidRDefault="00BE65C8" w:rsidP="00BE65C8">
      <w:pPr>
        <w:pStyle w:val="NormalWeb"/>
      </w:pPr>
      <w:r w:rsidRPr="001A076D">
        <w:rPr>
          <w:rStyle w:val="Strong"/>
        </w:rPr>
        <w:t>Q1. Can you describe your role and responsibilities within SSE PLC?</w:t>
      </w:r>
      <w:r w:rsidRPr="001A076D">
        <w:br/>
      </w:r>
      <w:r w:rsidRPr="001A076D">
        <w:rPr>
          <w:rStyle w:val="Strong"/>
        </w:rPr>
        <w:t>Response:</w:t>
      </w:r>
      <w:r w:rsidRPr="001A076D">
        <w:br/>
        <w:t>I’m responsible for commercial strategy across pricing, sales performance, and revenue optimisation. That includes setting pricing frameworks, overseeing contract negotiations, managing sales forecasting, and ensuring we remain competitive in the market while protecting margin.</w:t>
      </w:r>
    </w:p>
    <w:p w14:paraId="3C6A2F69" w14:textId="77777777" w:rsidR="00BE65C8" w:rsidRPr="001A076D" w:rsidRDefault="00BE65C8" w:rsidP="00BE65C8">
      <w:pPr>
        <w:pStyle w:val="NormalWeb"/>
      </w:pPr>
      <w:r w:rsidRPr="001A076D">
        <w:rPr>
          <w:rStyle w:val="Strong"/>
        </w:rPr>
        <w:t>Q2. How does predictive analytics feature in your day-to-day work?</w:t>
      </w:r>
      <w:r w:rsidRPr="001A076D">
        <w:br/>
      </w:r>
      <w:r w:rsidRPr="001A076D">
        <w:rPr>
          <w:rStyle w:val="Strong"/>
        </w:rPr>
        <w:t>Response:</w:t>
      </w:r>
      <w:r w:rsidRPr="001A076D">
        <w:br/>
        <w:t>It’s quite central. We use predictive analytics to understand pricing elasticity, model margins, forecast demand, and assess contract renewal risk. It helps us make more informed decisions about where to price, how to position offers, and how to manage portfolio risk.</w:t>
      </w:r>
    </w:p>
    <w:p w14:paraId="50A99C78" w14:textId="77777777" w:rsidR="00BE65C8" w:rsidRPr="001A076D" w:rsidRDefault="00BE65C8" w:rsidP="00BE65C8">
      <w:pPr>
        <w:pStyle w:val="NormalWeb"/>
      </w:pPr>
      <w:r w:rsidRPr="001A076D">
        <w:rPr>
          <w:rStyle w:val="Strong"/>
        </w:rPr>
        <w:t>Q3. In what types of decisions are analytics outputs most commonly used?</w:t>
      </w:r>
      <w:r w:rsidRPr="001A076D">
        <w:br/>
      </w:r>
      <w:r w:rsidRPr="001A076D">
        <w:rPr>
          <w:rStyle w:val="Strong"/>
        </w:rPr>
        <w:t>Response:</w:t>
      </w:r>
      <w:r w:rsidRPr="001A076D">
        <w:br/>
        <w:t>Primarily in strategic pricing decisions, portfolio risk planning, and setting sales performance targets. It also supports negotiations by providing a more structured view of risk and opportunity.</w:t>
      </w:r>
    </w:p>
    <w:p w14:paraId="15E492D2" w14:textId="77777777" w:rsidR="00BE65C8" w:rsidRPr="001A076D" w:rsidRDefault="00BE65C8" w:rsidP="00BE65C8">
      <w:r w:rsidRPr="001A076D">
        <w:rPr>
          <w:rStyle w:val="Strong"/>
        </w:rPr>
        <w:t>Theme 2: Predictive Analytics Capability and Readiness (H1, RQ2)</w:t>
      </w:r>
    </w:p>
    <w:p w14:paraId="7CE132FD" w14:textId="3EE089AA" w:rsidR="00BE65C8" w:rsidRPr="001A076D" w:rsidRDefault="00BE65C8" w:rsidP="00BE65C8">
      <w:pPr>
        <w:pStyle w:val="NormalWeb"/>
      </w:pPr>
      <w:r w:rsidRPr="001A076D">
        <w:rPr>
          <w:rStyle w:val="Strong"/>
        </w:rPr>
        <w:t>Q4. How would you describe SSE’s current capability in relation to predictive analytics?</w:t>
      </w:r>
      <w:r w:rsidRPr="001A076D">
        <w:br/>
      </w:r>
      <w:r w:rsidRPr="001A076D">
        <w:rPr>
          <w:rStyle w:val="Strong"/>
        </w:rPr>
        <w:t>Response:</w:t>
      </w:r>
      <w:r w:rsidRPr="001A076D">
        <w:br/>
        <w:t xml:space="preserve">Our commercial modelling capabilities are strong, particularly </w:t>
      </w:r>
      <w:r w:rsidR="005977AD" w:rsidRPr="001A076D">
        <w:t>in pricing and forecasting.</w:t>
      </w:r>
      <w:r w:rsidRPr="001A076D">
        <w:t xml:space="preserve"> </w:t>
      </w:r>
      <w:r w:rsidR="00390A34" w:rsidRPr="001A076D">
        <w:t>There’s still room to improve in integrating operational cost data and external market data; that’s where some of the gaps remain</w:t>
      </w:r>
      <w:r w:rsidRPr="001A076D">
        <w:t>.</w:t>
      </w:r>
    </w:p>
    <w:p w14:paraId="666E16A8" w14:textId="3BBD50B5" w:rsidR="00BE65C8" w:rsidRPr="001A076D" w:rsidRDefault="00BE65C8" w:rsidP="00BE65C8">
      <w:pPr>
        <w:pStyle w:val="NormalWeb"/>
      </w:pPr>
      <w:r w:rsidRPr="001A076D">
        <w:rPr>
          <w:rStyle w:val="Strong"/>
        </w:rPr>
        <w:t>Q5. To what extent do leadership practices influence the use of analytics?</w:t>
      </w:r>
      <w:r w:rsidRPr="001A076D">
        <w:br/>
      </w:r>
      <w:r w:rsidRPr="001A076D">
        <w:rPr>
          <w:rStyle w:val="Strong"/>
        </w:rPr>
        <w:t>Response:</w:t>
      </w:r>
      <w:r w:rsidRPr="001A076D">
        <w:br/>
        <w:t xml:space="preserve">Leadership has a big influence. There’s a clear expectation now that proposals are supported by forecast modelling. That’s made analytics a core part of pricing discussions rather than </w:t>
      </w:r>
      <w:r w:rsidR="00390A34" w:rsidRPr="001A076D">
        <w:t>an optional add-on</w:t>
      </w:r>
      <w:r w:rsidRPr="001A076D">
        <w:t>.</w:t>
      </w:r>
    </w:p>
    <w:p w14:paraId="286829E3" w14:textId="77777777" w:rsidR="00BE65C8" w:rsidRPr="001A076D" w:rsidRDefault="00BE65C8" w:rsidP="00BE65C8">
      <w:pPr>
        <w:pStyle w:val="NormalWeb"/>
      </w:pPr>
      <w:r w:rsidRPr="001A076D">
        <w:rPr>
          <w:rStyle w:val="Strong"/>
        </w:rPr>
        <w:t>Q6. How would you characterise organisational attitudes toward data-driven decision-making?</w:t>
      </w:r>
      <w:r w:rsidRPr="001A076D">
        <w:br/>
      </w:r>
      <w:r w:rsidRPr="001A076D">
        <w:rPr>
          <w:rStyle w:val="Strong"/>
        </w:rPr>
        <w:t>Response:</w:t>
      </w:r>
      <w:r w:rsidRPr="001A076D">
        <w:br/>
        <w:t>Commercial teams tend to value analytics when it improves predictability and reduces margin volatility. If it helps reduce uncertainty, it’s embraced quite quickly.</w:t>
      </w:r>
    </w:p>
    <w:p w14:paraId="3F1BB0CC" w14:textId="673C222B" w:rsidR="00BE65C8" w:rsidRPr="001A076D" w:rsidRDefault="00BE65C8" w:rsidP="00BE65C8">
      <w:pPr>
        <w:pStyle w:val="NormalWeb"/>
      </w:pPr>
      <w:r w:rsidRPr="001A076D">
        <w:rPr>
          <w:rStyle w:val="Strong"/>
        </w:rPr>
        <w:t>Q7. Are analytical skills and understanding sufficient at senior levels? Why or why not?</w:t>
      </w:r>
      <w:r w:rsidRPr="001A076D">
        <w:br/>
      </w:r>
      <w:r w:rsidRPr="001A076D">
        <w:rPr>
          <w:rStyle w:val="Strong"/>
        </w:rPr>
        <w:t>Response:</w:t>
      </w:r>
      <w:r w:rsidRPr="001A076D">
        <w:br/>
        <w:t xml:space="preserve">There’s </w:t>
      </w:r>
      <w:r w:rsidR="00390A34" w:rsidRPr="001A076D">
        <w:t xml:space="preserve">a </w:t>
      </w:r>
      <w:r w:rsidRPr="001A076D">
        <w:t>strong strategic understanding, but the ability to interrogate detailed modelling varies. Some leaders are very comfortable challenging assumptions, while others rely more on summary outputs.</w:t>
      </w:r>
    </w:p>
    <w:p w14:paraId="245A58F4" w14:textId="77777777" w:rsidR="00BE65C8" w:rsidRPr="001A076D" w:rsidRDefault="00BE65C8" w:rsidP="00BE65C8">
      <w:r w:rsidRPr="001A076D">
        <w:rPr>
          <w:rStyle w:val="Strong"/>
        </w:rPr>
        <w:lastRenderedPageBreak/>
        <w:t>Theme 3: Data Governance Maturity (H2, H4, RQ1)</w:t>
      </w:r>
    </w:p>
    <w:p w14:paraId="3913501F" w14:textId="77777777" w:rsidR="00BE65C8" w:rsidRPr="001A076D" w:rsidRDefault="00BE65C8" w:rsidP="00BE65C8">
      <w:pPr>
        <w:pStyle w:val="NormalWeb"/>
      </w:pPr>
      <w:r w:rsidRPr="001A076D">
        <w:rPr>
          <w:rStyle w:val="Strong"/>
        </w:rPr>
        <w:t>Q8. How clear are data ownership and governance responsibilities?</w:t>
      </w:r>
      <w:r w:rsidRPr="001A076D">
        <w:br/>
      </w:r>
      <w:r w:rsidRPr="001A076D">
        <w:rPr>
          <w:rStyle w:val="Strong"/>
        </w:rPr>
        <w:t>Response:</w:t>
      </w:r>
      <w:r w:rsidRPr="001A076D">
        <w:br/>
        <w:t>Pricing data ownership is generally clear within the commercial function. However, when it comes to cost allocation across different domains, assumptions sometimes need to be negotiated, which can introduce complexity.</w:t>
      </w:r>
    </w:p>
    <w:p w14:paraId="34F59A0B" w14:textId="77777777" w:rsidR="00BE65C8" w:rsidRPr="001A076D" w:rsidRDefault="00BE65C8" w:rsidP="00BE65C8">
      <w:pPr>
        <w:pStyle w:val="NormalWeb"/>
      </w:pPr>
      <w:r w:rsidRPr="001A076D">
        <w:rPr>
          <w:rStyle w:val="Strong"/>
        </w:rPr>
        <w:t>Q9. How do data quality, metadata, or lineage practices affect confidence in analytics outputs?</w:t>
      </w:r>
      <w:r w:rsidRPr="001A076D">
        <w:br/>
      </w:r>
      <w:r w:rsidRPr="001A076D">
        <w:rPr>
          <w:rStyle w:val="Strong"/>
        </w:rPr>
        <w:t>Response:</w:t>
      </w:r>
      <w:r w:rsidRPr="001A076D">
        <w:br/>
        <w:t>They’re absolutely critical. Margin models are very sensitive to cost inputs. If there’s any uncertainty around data lineage or assumptions, it directly affects confidence in pricing decisions.</w:t>
      </w:r>
    </w:p>
    <w:p w14:paraId="4D23573C" w14:textId="77777777" w:rsidR="00BE65C8" w:rsidRPr="001A076D" w:rsidRDefault="00BE65C8" w:rsidP="00BE65C8">
      <w:pPr>
        <w:pStyle w:val="NormalWeb"/>
      </w:pPr>
      <w:r w:rsidRPr="001A076D">
        <w:rPr>
          <w:rStyle w:val="Strong"/>
        </w:rPr>
        <w:t>Q10. Does governance enable or constrain the strategic use of analytics?</w:t>
      </w:r>
      <w:r w:rsidRPr="001A076D">
        <w:br/>
      </w:r>
      <w:r w:rsidRPr="001A076D">
        <w:rPr>
          <w:rStyle w:val="Strong"/>
        </w:rPr>
        <w:t>Response:</w:t>
      </w:r>
      <w:r w:rsidRPr="001A076D">
        <w:br/>
        <w:t>Governance is important for defensibility, especially in regulatory discussions. But it can also slow down rapid pricing adjustments, particularly in competitive markets where speed matters.</w:t>
      </w:r>
    </w:p>
    <w:p w14:paraId="5FD67E53" w14:textId="00C51755" w:rsidR="00BE65C8" w:rsidRPr="001A076D" w:rsidRDefault="00BE65C8" w:rsidP="00BE65C8">
      <w:r w:rsidRPr="001A076D">
        <w:rPr>
          <w:rStyle w:val="Strong"/>
        </w:rPr>
        <w:t>Theme 4: Trust and Explainability (H2, H3, RQ3)</w:t>
      </w:r>
    </w:p>
    <w:p w14:paraId="42B914B6" w14:textId="77777777" w:rsidR="00BE65C8" w:rsidRPr="001A076D" w:rsidRDefault="00BE65C8" w:rsidP="00BE65C8">
      <w:pPr>
        <w:pStyle w:val="NormalWeb"/>
      </w:pPr>
      <w:r w:rsidRPr="001A076D">
        <w:rPr>
          <w:rStyle w:val="Strong"/>
        </w:rPr>
        <w:t>Q11. What factors increase trust in predictive analytics outputs?</w:t>
      </w:r>
      <w:r w:rsidRPr="001A076D">
        <w:br/>
      </w:r>
      <w:r w:rsidRPr="001A076D">
        <w:rPr>
          <w:rStyle w:val="Strong"/>
        </w:rPr>
        <w:t>Response:</w:t>
      </w:r>
      <w:r w:rsidRPr="001A076D">
        <w:br/>
        <w:t>Trust tends to come from:</w:t>
      </w:r>
    </w:p>
    <w:p w14:paraId="515C6CCC" w14:textId="77777777" w:rsidR="00BE65C8" w:rsidRPr="001A076D" w:rsidRDefault="00BE65C8">
      <w:pPr>
        <w:pStyle w:val="NormalWeb"/>
        <w:numPr>
          <w:ilvl w:val="0"/>
          <w:numId w:val="28"/>
        </w:numPr>
      </w:pPr>
      <w:r w:rsidRPr="001A076D">
        <w:t>Back-tested elasticity models</w:t>
      </w:r>
    </w:p>
    <w:p w14:paraId="61C6B06A" w14:textId="77777777" w:rsidR="00BE65C8" w:rsidRPr="001A076D" w:rsidRDefault="00BE65C8">
      <w:pPr>
        <w:pStyle w:val="NormalWeb"/>
        <w:numPr>
          <w:ilvl w:val="0"/>
          <w:numId w:val="28"/>
        </w:numPr>
      </w:pPr>
      <w:r w:rsidRPr="001A076D">
        <w:t>Sensitivity analysis</w:t>
      </w:r>
    </w:p>
    <w:p w14:paraId="1E6AB856" w14:textId="77777777" w:rsidR="00BE65C8" w:rsidRPr="001A076D" w:rsidRDefault="00BE65C8">
      <w:pPr>
        <w:pStyle w:val="NormalWeb"/>
        <w:numPr>
          <w:ilvl w:val="0"/>
          <w:numId w:val="28"/>
        </w:numPr>
      </w:pPr>
      <w:r w:rsidRPr="001A076D">
        <w:t>Transparent assumptions</w:t>
      </w:r>
    </w:p>
    <w:p w14:paraId="7F2E8F4F" w14:textId="77777777" w:rsidR="00BE65C8" w:rsidRPr="001A076D" w:rsidRDefault="00BE65C8">
      <w:pPr>
        <w:pStyle w:val="NormalWeb"/>
        <w:numPr>
          <w:ilvl w:val="0"/>
          <w:numId w:val="28"/>
        </w:numPr>
      </w:pPr>
      <w:r w:rsidRPr="001A076D">
        <w:t>Cross-functional validation</w:t>
      </w:r>
    </w:p>
    <w:p w14:paraId="383CC242" w14:textId="77777777" w:rsidR="00BE65C8" w:rsidRPr="001A076D" w:rsidRDefault="00BE65C8" w:rsidP="00BE65C8">
      <w:pPr>
        <w:pStyle w:val="NormalWeb"/>
      </w:pPr>
      <w:r w:rsidRPr="001A076D">
        <w:t>These give confidence that the outputs are robust and grounded.</w:t>
      </w:r>
    </w:p>
    <w:p w14:paraId="0DF541DC" w14:textId="00C46EED" w:rsidR="00BE65C8" w:rsidRPr="001A076D" w:rsidRDefault="00BE65C8" w:rsidP="00BE65C8">
      <w:pPr>
        <w:pStyle w:val="NormalWeb"/>
      </w:pPr>
      <w:r w:rsidRPr="001A076D">
        <w:rPr>
          <w:rStyle w:val="Strong"/>
        </w:rPr>
        <w:t>Q12. What factors reduce trust or create scepticism toward analytics?</w:t>
      </w:r>
      <w:r w:rsidRPr="001A076D">
        <w:br/>
      </w:r>
      <w:r w:rsidRPr="001A076D">
        <w:rPr>
          <w:rStyle w:val="Strong"/>
        </w:rPr>
        <w:t>Response:</w:t>
      </w:r>
      <w:r w:rsidRPr="001A076D">
        <w:br/>
        <w:t xml:space="preserve">Overly optimistic forecasts, incomplete competitor data, and unexplained variances are the main issues. If something doesn’t align with market reality, </w:t>
      </w:r>
      <w:r w:rsidR="005977AD" w:rsidRPr="001A076D">
        <w:t>it quickly raises questions</w:t>
      </w:r>
      <w:r w:rsidRPr="001A076D">
        <w:t>.</w:t>
      </w:r>
    </w:p>
    <w:p w14:paraId="14EC4D45" w14:textId="77777777" w:rsidR="00BE65C8" w:rsidRPr="001A076D" w:rsidRDefault="00BE65C8" w:rsidP="00BE65C8">
      <w:pPr>
        <w:pStyle w:val="NormalWeb"/>
      </w:pPr>
      <w:r w:rsidRPr="001A076D">
        <w:rPr>
          <w:rStyle w:val="Strong"/>
        </w:rPr>
        <w:t>Q13. How important is explainability when analytics informs strategic decisions?</w:t>
      </w:r>
      <w:r w:rsidRPr="001A076D">
        <w:br/>
      </w:r>
      <w:r w:rsidRPr="001A076D">
        <w:rPr>
          <w:rStyle w:val="Strong"/>
        </w:rPr>
        <w:t>Response:</w:t>
      </w:r>
      <w:r w:rsidRPr="001A076D">
        <w:br/>
        <w:t>It’s critical — especially when pricing decisions need to be justified to regulators or customers. You need to be able to clearly explain how a price has been derived.</w:t>
      </w:r>
    </w:p>
    <w:p w14:paraId="485D1A52" w14:textId="77777777" w:rsidR="00BE65C8" w:rsidRPr="001A076D" w:rsidRDefault="00BE65C8" w:rsidP="00BE65C8">
      <w:pPr>
        <w:pStyle w:val="NormalWeb"/>
      </w:pPr>
      <w:r w:rsidRPr="001A076D">
        <w:rPr>
          <w:rStyle w:val="Strong"/>
        </w:rPr>
        <w:t>Q14. How are ethical, regulatory, or compliance concerns addressed when analytics is used?</w:t>
      </w:r>
      <w:r w:rsidRPr="001A076D">
        <w:br/>
      </w:r>
      <w:r w:rsidRPr="001A076D">
        <w:rPr>
          <w:rStyle w:val="Strong"/>
        </w:rPr>
        <w:t>Response:</w:t>
      </w:r>
      <w:r w:rsidRPr="001A076D">
        <w:br/>
        <w:t>Through formal governance processes. Pricing models go through legal and regulatory review, and governance approval is required before anything is rolled out commercially.</w:t>
      </w:r>
    </w:p>
    <w:p w14:paraId="36C795DB" w14:textId="77777777" w:rsidR="00BE65C8" w:rsidRPr="001A076D" w:rsidRDefault="00BE65C8" w:rsidP="00BE65C8">
      <w:r w:rsidRPr="001A076D">
        <w:rPr>
          <w:rStyle w:val="Strong"/>
        </w:rPr>
        <w:t>Theme 5: Strategic Decision-Making Impact (H3, RQ3)</w:t>
      </w:r>
    </w:p>
    <w:p w14:paraId="21CCB2C6" w14:textId="77777777" w:rsidR="00BE65C8" w:rsidRPr="001A076D" w:rsidRDefault="00BE65C8" w:rsidP="00BE65C8">
      <w:pPr>
        <w:pStyle w:val="NormalWeb"/>
      </w:pPr>
      <w:r w:rsidRPr="001A076D">
        <w:rPr>
          <w:rStyle w:val="Strong"/>
        </w:rPr>
        <w:t>Q15. Can you describe a situation where predictive analytics significantly influenced a strategic decision?</w:t>
      </w:r>
      <w:r w:rsidRPr="001A076D">
        <w:br/>
      </w:r>
      <w:r w:rsidRPr="001A076D">
        <w:rPr>
          <w:rStyle w:val="Strong"/>
        </w:rPr>
        <w:lastRenderedPageBreak/>
        <w:t>Response:</w:t>
      </w:r>
      <w:r w:rsidRPr="001A076D">
        <w:br/>
        <w:t>Yes, elasticity modelling played a key role in reshaping our renewal pricing strategy for highly competitive segments. It helped us move away from broad assumptions to more targeted, evidence-based pricing.</w:t>
      </w:r>
    </w:p>
    <w:p w14:paraId="44F322F5" w14:textId="77777777" w:rsidR="00BE65C8" w:rsidRPr="001A076D" w:rsidRDefault="00BE65C8" w:rsidP="00BE65C8">
      <w:pPr>
        <w:pStyle w:val="NormalWeb"/>
      </w:pPr>
      <w:r w:rsidRPr="001A076D">
        <w:rPr>
          <w:rStyle w:val="Strong"/>
        </w:rPr>
        <w:t>Q16. Have there been occasions where analytics outputs were ignored or overridden? What were the reasons?</w:t>
      </w:r>
      <w:r w:rsidRPr="001A076D">
        <w:br/>
      </w:r>
      <w:r w:rsidRPr="001A076D">
        <w:rPr>
          <w:rStyle w:val="Strong"/>
        </w:rPr>
        <w:t>Response:</w:t>
      </w:r>
      <w:r w:rsidRPr="001A076D">
        <w:br/>
        <w:t>Yes, particularly when competitor intelligence suggested behavioural shifts that weren’t reflected in historical data. In those cases, judgement and market insight took precedence.</w:t>
      </w:r>
    </w:p>
    <w:p w14:paraId="3E90E05A" w14:textId="2272A7B3" w:rsidR="00BE65C8" w:rsidRPr="001A076D" w:rsidRDefault="00BE65C8" w:rsidP="00BE65C8">
      <w:pPr>
        <w:pStyle w:val="NormalWeb"/>
      </w:pPr>
      <w:r w:rsidRPr="001A076D">
        <w:rPr>
          <w:rStyle w:val="Strong"/>
        </w:rPr>
        <w:t>Q17. How does executive trust affect whether analytics informs final decisions?</w:t>
      </w:r>
      <w:r w:rsidRPr="001A076D">
        <w:br/>
      </w:r>
      <w:r w:rsidRPr="001A076D">
        <w:rPr>
          <w:rStyle w:val="Strong"/>
        </w:rPr>
        <w:t>Response:</w:t>
      </w:r>
      <w:r w:rsidRPr="001A076D">
        <w:br/>
        <w:t xml:space="preserve">Trust is the deciding factor. If executives trust the modelling and the governance behind it, analytics directly </w:t>
      </w:r>
      <w:r w:rsidR="00BC02F4" w:rsidRPr="001A076D">
        <w:t>shape</w:t>
      </w:r>
      <w:r w:rsidRPr="001A076D">
        <w:t xml:space="preserve"> </w:t>
      </w:r>
      <w:r w:rsidR="005977AD" w:rsidRPr="001A076D">
        <w:t xml:space="preserve">the final </w:t>
      </w:r>
      <w:r w:rsidR="00CD7535" w:rsidRPr="001A076D">
        <w:t>contract terms.</w:t>
      </w:r>
      <w:r w:rsidRPr="001A076D">
        <w:t xml:space="preserve"> If not, it’s treated more as an input </w:t>
      </w:r>
      <w:r w:rsidR="005977AD" w:rsidRPr="001A076D">
        <w:t>than as</w:t>
      </w:r>
      <w:r w:rsidRPr="001A076D">
        <w:t xml:space="preserve"> a driver.</w:t>
      </w:r>
    </w:p>
    <w:p w14:paraId="56FBC43F" w14:textId="4B2B401D" w:rsidR="00BE65C8" w:rsidRPr="001A076D" w:rsidRDefault="00BE65C8" w:rsidP="00BE65C8">
      <w:r w:rsidRPr="001A076D">
        <w:rPr>
          <w:rStyle w:val="Strong"/>
        </w:rPr>
        <w:t>Theme 6: Barriers and Enablers</w:t>
      </w:r>
    </w:p>
    <w:p w14:paraId="13A47FC7" w14:textId="77777777" w:rsidR="00BE65C8" w:rsidRPr="001A076D" w:rsidRDefault="00BE65C8" w:rsidP="00BE65C8">
      <w:pPr>
        <w:pStyle w:val="NormalWeb"/>
      </w:pPr>
      <w:r w:rsidRPr="001A076D">
        <w:rPr>
          <w:rStyle w:val="Strong"/>
        </w:rPr>
        <w:t>Q18. What organisational barriers limit the effective use of predictive analytics?</w:t>
      </w:r>
      <w:r w:rsidRPr="001A076D">
        <w:br/>
      </w:r>
      <w:r w:rsidRPr="001A076D">
        <w:rPr>
          <w:rStyle w:val="Strong"/>
        </w:rPr>
        <w:t>Response:</w:t>
      </w:r>
      <w:r w:rsidRPr="001A076D">
        <w:br/>
        <w:t>The key challenges are:</w:t>
      </w:r>
    </w:p>
    <w:p w14:paraId="28C6B56F" w14:textId="77777777" w:rsidR="00BE65C8" w:rsidRPr="001A076D" w:rsidRDefault="00BE65C8">
      <w:pPr>
        <w:pStyle w:val="NormalWeb"/>
        <w:numPr>
          <w:ilvl w:val="0"/>
          <w:numId w:val="29"/>
        </w:numPr>
      </w:pPr>
      <w:r w:rsidRPr="001A076D">
        <w:t>Market volatility</w:t>
      </w:r>
    </w:p>
    <w:p w14:paraId="6A2B2961" w14:textId="77777777" w:rsidR="00BE65C8" w:rsidRPr="001A076D" w:rsidRDefault="00BE65C8">
      <w:pPr>
        <w:pStyle w:val="NormalWeb"/>
        <w:numPr>
          <w:ilvl w:val="0"/>
          <w:numId w:val="29"/>
        </w:numPr>
      </w:pPr>
      <w:r w:rsidRPr="001A076D">
        <w:t>Fragmented cost systems</w:t>
      </w:r>
    </w:p>
    <w:p w14:paraId="14DF6813" w14:textId="77777777" w:rsidR="00BE65C8" w:rsidRPr="001A076D" w:rsidRDefault="00BE65C8">
      <w:pPr>
        <w:pStyle w:val="NormalWeb"/>
        <w:numPr>
          <w:ilvl w:val="0"/>
          <w:numId w:val="29"/>
        </w:numPr>
      </w:pPr>
      <w:r w:rsidRPr="001A076D">
        <w:t>Incomplete competitor data</w:t>
      </w:r>
    </w:p>
    <w:p w14:paraId="59A861B7" w14:textId="77777777" w:rsidR="00BE65C8" w:rsidRPr="001A076D" w:rsidRDefault="00BE65C8" w:rsidP="00BE65C8">
      <w:pPr>
        <w:pStyle w:val="NormalWeb"/>
      </w:pPr>
      <w:r w:rsidRPr="001A076D">
        <w:t>All of these can limit the accuracy and applicability of models.</w:t>
      </w:r>
    </w:p>
    <w:p w14:paraId="2BB987E4" w14:textId="77777777" w:rsidR="00BE65C8" w:rsidRPr="001A076D" w:rsidRDefault="00BE65C8" w:rsidP="00BE65C8">
      <w:pPr>
        <w:pStyle w:val="NormalWeb"/>
      </w:pPr>
      <w:r w:rsidRPr="001A076D">
        <w:rPr>
          <w:rStyle w:val="Strong"/>
        </w:rPr>
        <w:t>Q19. How do culture, data literacy, or regulatory pressures shape analytics adoption and use?</w:t>
      </w:r>
      <w:r w:rsidRPr="001A076D">
        <w:br/>
      </w:r>
      <w:r w:rsidRPr="001A076D">
        <w:rPr>
          <w:rStyle w:val="Strong"/>
        </w:rPr>
        <w:t>Response:</w:t>
      </w:r>
      <w:r w:rsidRPr="001A076D">
        <w:br/>
        <w:t>Regulation increases the need for transparency, particularly around pricing decisions. Culture influences how comfortable teams are with relying on models versus experience.</w:t>
      </w:r>
    </w:p>
    <w:p w14:paraId="079F0A93" w14:textId="77777777" w:rsidR="00BE65C8" w:rsidRPr="001A076D" w:rsidRDefault="00BE65C8" w:rsidP="00BE65C8">
      <w:pPr>
        <w:pStyle w:val="NormalWeb"/>
      </w:pPr>
      <w:r w:rsidRPr="001A076D">
        <w:rPr>
          <w:rStyle w:val="Strong"/>
        </w:rPr>
        <w:t>Q20. What factors most strongly enable analytics to be embedded into decision-making?</w:t>
      </w:r>
      <w:r w:rsidRPr="001A076D">
        <w:br/>
      </w:r>
      <w:r w:rsidRPr="001A076D">
        <w:rPr>
          <w:rStyle w:val="Strong"/>
        </w:rPr>
        <w:t>Response:</w:t>
      </w:r>
      <w:r w:rsidRPr="001A076D">
        <w:br/>
        <w:t>The main enablers are:</w:t>
      </w:r>
    </w:p>
    <w:p w14:paraId="7B656D95" w14:textId="77777777" w:rsidR="00BE65C8" w:rsidRPr="001A076D" w:rsidRDefault="00BE65C8">
      <w:pPr>
        <w:pStyle w:val="NormalWeb"/>
        <w:numPr>
          <w:ilvl w:val="0"/>
          <w:numId w:val="30"/>
        </w:numPr>
      </w:pPr>
      <w:r w:rsidRPr="001A076D">
        <w:t>Integrated cost datasets</w:t>
      </w:r>
    </w:p>
    <w:p w14:paraId="7D29F891" w14:textId="77777777" w:rsidR="00BE65C8" w:rsidRPr="001A076D" w:rsidRDefault="00BE65C8">
      <w:pPr>
        <w:pStyle w:val="NormalWeb"/>
        <w:numPr>
          <w:ilvl w:val="0"/>
          <w:numId w:val="30"/>
        </w:numPr>
      </w:pPr>
      <w:r w:rsidRPr="001A076D">
        <w:t>Clear governance frameworks</w:t>
      </w:r>
    </w:p>
    <w:p w14:paraId="4E31D43A" w14:textId="77777777" w:rsidR="00BE65C8" w:rsidRPr="001A076D" w:rsidRDefault="00BE65C8">
      <w:pPr>
        <w:pStyle w:val="NormalWeb"/>
        <w:numPr>
          <w:ilvl w:val="0"/>
          <w:numId w:val="30"/>
        </w:numPr>
      </w:pPr>
      <w:r w:rsidRPr="001A076D">
        <w:t>Proven forecasting accuracy over time</w:t>
      </w:r>
    </w:p>
    <w:p w14:paraId="68A79128" w14:textId="2C7598DA" w:rsidR="00BE65C8" w:rsidRPr="001A076D" w:rsidRDefault="00BE65C8" w:rsidP="00BE65C8">
      <w:r w:rsidRPr="001A076D">
        <w:rPr>
          <w:rStyle w:val="Strong"/>
        </w:rPr>
        <w:t>Theme 7: Integration and Reflection</w:t>
      </w:r>
    </w:p>
    <w:p w14:paraId="7F788E6F" w14:textId="6CFBBA36" w:rsidR="00BE65C8" w:rsidRPr="001A076D" w:rsidRDefault="00BE65C8" w:rsidP="00BE65C8">
      <w:pPr>
        <w:pStyle w:val="NormalWeb"/>
      </w:pPr>
      <w:r w:rsidRPr="001A076D">
        <w:rPr>
          <w:rStyle w:val="Strong"/>
        </w:rPr>
        <w:t xml:space="preserve">Q21. What conditions are necessary for predictive analytics to be fully trusted at </w:t>
      </w:r>
      <w:r w:rsidR="00BC02F4" w:rsidRPr="001A076D">
        <w:rPr>
          <w:rStyle w:val="Strong"/>
        </w:rPr>
        <w:t xml:space="preserve">the </w:t>
      </w:r>
      <w:r w:rsidRPr="001A076D">
        <w:rPr>
          <w:rStyle w:val="Strong"/>
        </w:rPr>
        <w:t>executive level?</w:t>
      </w:r>
      <w:r w:rsidRPr="001A076D">
        <w:br/>
      </w:r>
      <w:r w:rsidRPr="001A076D">
        <w:rPr>
          <w:rStyle w:val="Strong"/>
        </w:rPr>
        <w:t>Response:</w:t>
      </w:r>
      <w:r w:rsidRPr="001A076D">
        <w:br/>
        <w:t>You need clear cost drivers, validated projections, governance oversight, and transparency around different scenarios. Without that, it’s difficult to rely on the outputs confidently.</w:t>
      </w:r>
    </w:p>
    <w:p w14:paraId="4EFD2F89" w14:textId="66C32983" w:rsidR="00BE65C8" w:rsidRPr="001A076D" w:rsidRDefault="00BE65C8" w:rsidP="00BE65C8">
      <w:pPr>
        <w:pStyle w:val="NormalWeb"/>
      </w:pPr>
      <w:r w:rsidRPr="001A076D">
        <w:rPr>
          <w:rStyle w:val="Strong"/>
        </w:rPr>
        <w:lastRenderedPageBreak/>
        <w:t xml:space="preserve">Q22. How could governance arrangements and organisational capability better support </w:t>
      </w:r>
      <w:r w:rsidR="00BC02F4" w:rsidRPr="001A076D">
        <w:rPr>
          <w:rStyle w:val="Strong"/>
        </w:rPr>
        <w:t xml:space="preserve">the </w:t>
      </w:r>
      <w:r w:rsidRPr="001A076D">
        <w:rPr>
          <w:rStyle w:val="Strong"/>
        </w:rPr>
        <w:t>strategic use of analytics?</w:t>
      </w:r>
      <w:r w:rsidRPr="001A076D">
        <w:br/>
      </w:r>
      <w:r w:rsidRPr="001A076D">
        <w:rPr>
          <w:rStyle w:val="Strong"/>
        </w:rPr>
        <w:t>Response:</w:t>
      </w:r>
      <w:r w:rsidRPr="001A076D">
        <w:br/>
        <w:t>Closer alignment between commercial governance forums and enterprise data governance would help, particularly in ensuring consistency in assumptions and data usage.</w:t>
      </w:r>
    </w:p>
    <w:p w14:paraId="6215744F" w14:textId="6EAF17CD" w:rsidR="00BE65C8" w:rsidRPr="001A076D" w:rsidRDefault="00BE65C8" w:rsidP="00BE65C8">
      <w:pPr>
        <w:pStyle w:val="NormalWeb"/>
      </w:pPr>
      <w:r w:rsidRPr="001A076D">
        <w:rPr>
          <w:rStyle w:val="Strong"/>
        </w:rPr>
        <w:t>Q23. Is there anything else you believe is critical to understanding predictive analytics readiness at SSE PLC?</w:t>
      </w:r>
      <w:r w:rsidRPr="001A076D">
        <w:br/>
      </w:r>
      <w:r w:rsidRPr="001A076D">
        <w:rPr>
          <w:rStyle w:val="Strong"/>
        </w:rPr>
        <w:t>Response:</w:t>
      </w:r>
      <w:r w:rsidRPr="001A076D">
        <w:br/>
        <w:t>Yes, in commercial domains, readiness is about balancing ambition with realism. You need robust modelling</w:t>
      </w:r>
      <w:r w:rsidR="00BC02F4" w:rsidRPr="001A076D">
        <w:t>,</w:t>
      </w:r>
      <w:r w:rsidRPr="001A076D">
        <w:t xml:space="preserve"> </w:t>
      </w:r>
      <w:r w:rsidR="00BC02F4" w:rsidRPr="001A076D">
        <w:t>realistic market assumptions,</w:t>
      </w:r>
      <w:r w:rsidRPr="001A076D">
        <w:t xml:space="preserve"> and strong governance credibility to make it work effectively.</w:t>
      </w:r>
    </w:p>
    <w:p w14:paraId="7FA90EA4" w14:textId="2471A632" w:rsidR="0025466D" w:rsidRPr="001A076D" w:rsidRDefault="0025466D" w:rsidP="0025466D">
      <w:pPr>
        <w:pStyle w:val="Heading2"/>
        <w:rPr>
          <w:rFonts w:ascii="Times New Roman" w:hAnsi="Times New Roman" w:cs="Times New Roman"/>
          <w:color w:val="auto"/>
        </w:rPr>
      </w:pPr>
      <w:bookmarkStart w:id="117" w:name="_Toc236033407"/>
      <w:r w:rsidRPr="001A076D">
        <w:rPr>
          <w:rStyle w:val="Strong"/>
          <w:rFonts w:ascii="Times New Roman" w:hAnsi="Times New Roman" w:cs="Times New Roman"/>
          <w:color w:val="auto"/>
        </w:rPr>
        <w:t xml:space="preserve">Appendix 5: </w:t>
      </w:r>
      <w:r w:rsidR="007F3767" w:rsidRPr="001A076D">
        <w:rPr>
          <w:rStyle w:val="Strong"/>
          <w:rFonts w:ascii="Times New Roman" w:hAnsi="Times New Roman" w:cs="Times New Roman"/>
          <w:color w:val="auto"/>
        </w:rPr>
        <w:t>SPSS Quantitative Statistical Analysis Outputs</w:t>
      </w:r>
      <w:bookmarkEnd w:id="117"/>
    </w:p>
    <w:p w14:paraId="77D3080C" w14:textId="77777777" w:rsidR="00821279" w:rsidRDefault="00821279" w:rsidP="00821279">
      <w:pPr>
        <w:pStyle w:val="pdq2pgselectionanchorcontainer"/>
        <w:jc w:val="both"/>
      </w:pPr>
      <w:r>
        <w:t>This appendix presents the SPSS statistical outputs supporting the quantitative analysis undertaken in this study. It includes descriptive statistics, reliability analysis (Cronbach's alpha), Pearson correlation analysis, multiple regression results, and regression diagnostic tests, including assessments of normality, multicollinearity, residual behaviour, linearity, and homoscedasticity. These outputs provide the statistical evidence underpinning the quantitative findings presented in Chapter 4.</w:t>
      </w:r>
    </w:p>
    <w:p w14:paraId="247E96BB" w14:textId="1F138C17" w:rsidR="00821279" w:rsidRPr="001A076D" w:rsidRDefault="00821279" w:rsidP="00821279">
      <w:pPr>
        <w:pStyle w:val="NormalWeb"/>
        <w:jc w:val="both"/>
      </w:pPr>
      <w:r>
        <w:t xml:space="preserve">The analyses examine the relationships between Predictive Analytics Capability (PAC), Governance Maturity (GM), Trust and Explainability (TE), and Strategic Embedding (SE), and provide the empirical evidence used to evaluate the study's hypotheses concerning the integration of predictive analytics into strategic decision-making within SSE plc. </w:t>
      </w:r>
    </w:p>
    <w:p w14:paraId="4DF0D3C0" w14:textId="77777777" w:rsidR="0025466D" w:rsidRPr="001A076D" w:rsidRDefault="0025466D" w:rsidP="0025466D">
      <w:pPr>
        <w:rPr>
          <w:rStyle w:val="Strong"/>
          <w:rFonts w:eastAsiaTheme="majorEastAsia"/>
        </w:rPr>
      </w:pPr>
      <w:r w:rsidRPr="001A076D">
        <w:rPr>
          <w:rStyle w:val="Strong"/>
          <w:rFonts w:eastAsiaTheme="majorEastAsia"/>
        </w:rPr>
        <w:t>A5.1 Descriptive Statistics</w:t>
      </w:r>
    </w:p>
    <w:p w14:paraId="39C02BF7" w14:textId="77777777" w:rsidR="00175C6C" w:rsidRPr="001A076D" w:rsidRDefault="00175C6C" w:rsidP="0025466D"/>
    <w:p w14:paraId="330FA0F0" w14:textId="19A8BB02" w:rsidR="00175C6C" w:rsidRPr="001A076D" w:rsidRDefault="00261C07" w:rsidP="0025466D">
      <w:pPr>
        <w:rPr>
          <w:b/>
          <w:bCs/>
        </w:rPr>
      </w:pPr>
      <w:r w:rsidRPr="001A076D">
        <w:rPr>
          <w:b/>
          <w:bCs/>
        </w:rPr>
        <w:t>Table A5.1 – Descriptive Statistics for Composite Constructs</w:t>
      </w:r>
    </w:p>
    <w:p w14:paraId="1CA4898B" w14:textId="77777777" w:rsidR="00261C07" w:rsidRPr="001A076D" w:rsidRDefault="00261C07" w:rsidP="0025466D"/>
    <w:tbl>
      <w:tblPr>
        <w:tblStyle w:val="TableGrid"/>
        <w:tblW w:w="0" w:type="auto"/>
        <w:tblLook w:val="04A0" w:firstRow="1" w:lastRow="0" w:firstColumn="1" w:lastColumn="0" w:noHBand="0" w:noVBand="1"/>
      </w:tblPr>
      <w:tblGrid>
        <w:gridCol w:w="1243"/>
        <w:gridCol w:w="456"/>
        <w:gridCol w:w="1243"/>
        <w:gridCol w:w="1283"/>
        <w:gridCol w:w="876"/>
        <w:gridCol w:w="1670"/>
      </w:tblGrid>
      <w:tr w:rsidR="00057F93" w:rsidRPr="001A076D" w14:paraId="64660EF9" w14:textId="77777777" w:rsidTr="00175C6C">
        <w:tc>
          <w:tcPr>
            <w:tcW w:w="0" w:type="auto"/>
            <w:vAlign w:val="center"/>
            <w:hideMark/>
          </w:tcPr>
          <w:p w14:paraId="12347AF8" w14:textId="77777777" w:rsidR="0025466D" w:rsidRPr="001A076D" w:rsidRDefault="0025466D" w:rsidP="00175C6C">
            <w:pPr>
              <w:jc w:val="center"/>
              <w:rPr>
                <w:b/>
                <w:bCs/>
              </w:rPr>
            </w:pPr>
            <w:r w:rsidRPr="001A076D">
              <w:rPr>
                <w:b/>
                <w:bCs/>
              </w:rPr>
              <w:t>Construct</w:t>
            </w:r>
          </w:p>
        </w:tc>
        <w:tc>
          <w:tcPr>
            <w:tcW w:w="0" w:type="auto"/>
            <w:vAlign w:val="center"/>
            <w:hideMark/>
          </w:tcPr>
          <w:p w14:paraId="025E3DBC" w14:textId="77777777" w:rsidR="0025466D" w:rsidRPr="001A076D" w:rsidRDefault="0025466D" w:rsidP="00175C6C">
            <w:pPr>
              <w:jc w:val="center"/>
              <w:rPr>
                <w:b/>
                <w:bCs/>
              </w:rPr>
            </w:pPr>
            <w:r w:rsidRPr="001A076D">
              <w:rPr>
                <w:b/>
                <w:bCs/>
              </w:rPr>
              <w:t>N</w:t>
            </w:r>
          </w:p>
        </w:tc>
        <w:tc>
          <w:tcPr>
            <w:tcW w:w="0" w:type="auto"/>
            <w:vAlign w:val="center"/>
            <w:hideMark/>
          </w:tcPr>
          <w:p w14:paraId="74730D44" w14:textId="77777777" w:rsidR="0025466D" w:rsidRPr="001A076D" w:rsidRDefault="0025466D" w:rsidP="00175C6C">
            <w:pPr>
              <w:jc w:val="center"/>
              <w:rPr>
                <w:b/>
                <w:bCs/>
              </w:rPr>
            </w:pPr>
            <w:r w:rsidRPr="001A076D">
              <w:rPr>
                <w:b/>
                <w:bCs/>
              </w:rPr>
              <w:t>Minimum</w:t>
            </w:r>
          </w:p>
        </w:tc>
        <w:tc>
          <w:tcPr>
            <w:tcW w:w="0" w:type="auto"/>
            <w:vAlign w:val="center"/>
            <w:hideMark/>
          </w:tcPr>
          <w:p w14:paraId="7CD0DDD7" w14:textId="77777777" w:rsidR="0025466D" w:rsidRPr="001A076D" w:rsidRDefault="0025466D" w:rsidP="00175C6C">
            <w:pPr>
              <w:jc w:val="center"/>
              <w:rPr>
                <w:b/>
                <w:bCs/>
              </w:rPr>
            </w:pPr>
            <w:r w:rsidRPr="001A076D">
              <w:rPr>
                <w:b/>
                <w:bCs/>
              </w:rPr>
              <w:t>Maximum</w:t>
            </w:r>
          </w:p>
        </w:tc>
        <w:tc>
          <w:tcPr>
            <w:tcW w:w="0" w:type="auto"/>
            <w:vAlign w:val="center"/>
            <w:hideMark/>
          </w:tcPr>
          <w:p w14:paraId="73DB86B3" w14:textId="77777777" w:rsidR="0025466D" w:rsidRPr="001A076D" w:rsidRDefault="0025466D" w:rsidP="00175C6C">
            <w:pPr>
              <w:jc w:val="center"/>
              <w:rPr>
                <w:b/>
                <w:bCs/>
              </w:rPr>
            </w:pPr>
            <w:r w:rsidRPr="001A076D">
              <w:rPr>
                <w:b/>
                <w:bCs/>
              </w:rPr>
              <w:t>Mean</w:t>
            </w:r>
          </w:p>
        </w:tc>
        <w:tc>
          <w:tcPr>
            <w:tcW w:w="0" w:type="auto"/>
            <w:vAlign w:val="center"/>
            <w:hideMark/>
          </w:tcPr>
          <w:p w14:paraId="47CB7C22" w14:textId="77777777" w:rsidR="0025466D" w:rsidRPr="001A076D" w:rsidRDefault="0025466D" w:rsidP="00175C6C">
            <w:pPr>
              <w:jc w:val="center"/>
              <w:rPr>
                <w:b/>
                <w:bCs/>
              </w:rPr>
            </w:pPr>
            <w:r w:rsidRPr="001A076D">
              <w:rPr>
                <w:b/>
                <w:bCs/>
              </w:rPr>
              <w:t>Std. Deviation</w:t>
            </w:r>
          </w:p>
        </w:tc>
      </w:tr>
      <w:tr w:rsidR="00057F93" w:rsidRPr="001A076D" w14:paraId="2EF67534" w14:textId="77777777" w:rsidTr="00175C6C">
        <w:tc>
          <w:tcPr>
            <w:tcW w:w="0" w:type="auto"/>
            <w:vAlign w:val="center"/>
            <w:hideMark/>
          </w:tcPr>
          <w:p w14:paraId="3A595281" w14:textId="77777777" w:rsidR="0025466D" w:rsidRPr="001A076D" w:rsidRDefault="0025466D" w:rsidP="00175C6C">
            <w:pPr>
              <w:jc w:val="center"/>
            </w:pPr>
            <w:r w:rsidRPr="001A076D">
              <w:t>PAC</w:t>
            </w:r>
          </w:p>
        </w:tc>
        <w:tc>
          <w:tcPr>
            <w:tcW w:w="0" w:type="auto"/>
            <w:vAlign w:val="center"/>
            <w:hideMark/>
          </w:tcPr>
          <w:p w14:paraId="0FBEF5DC" w14:textId="77777777" w:rsidR="0025466D" w:rsidRPr="001A076D" w:rsidRDefault="0025466D" w:rsidP="00175C6C">
            <w:pPr>
              <w:jc w:val="center"/>
            </w:pPr>
            <w:r w:rsidRPr="001A076D">
              <w:t>66</w:t>
            </w:r>
          </w:p>
        </w:tc>
        <w:tc>
          <w:tcPr>
            <w:tcW w:w="0" w:type="auto"/>
            <w:vAlign w:val="center"/>
            <w:hideMark/>
          </w:tcPr>
          <w:p w14:paraId="2BEAA7FA" w14:textId="77777777" w:rsidR="0025466D" w:rsidRPr="001A076D" w:rsidRDefault="0025466D" w:rsidP="00175C6C">
            <w:pPr>
              <w:jc w:val="center"/>
            </w:pPr>
            <w:r w:rsidRPr="001A076D">
              <w:t>3.00</w:t>
            </w:r>
          </w:p>
        </w:tc>
        <w:tc>
          <w:tcPr>
            <w:tcW w:w="0" w:type="auto"/>
            <w:vAlign w:val="center"/>
            <w:hideMark/>
          </w:tcPr>
          <w:p w14:paraId="643AFE5B" w14:textId="77777777" w:rsidR="0025466D" w:rsidRPr="001A076D" w:rsidRDefault="0025466D" w:rsidP="00175C6C">
            <w:pPr>
              <w:jc w:val="center"/>
            </w:pPr>
            <w:r w:rsidRPr="001A076D">
              <w:t>5.00</w:t>
            </w:r>
          </w:p>
        </w:tc>
        <w:tc>
          <w:tcPr>
            <w:tcW w:w="0" w:type="auto"/>
            <w:vAlign w:val="center"/>
            <w:hideMark/>
          </w:tcPr>
          <w:p w14:paraId="463CCF69" w14:textId="77777777" w:rsidR="0025466D" w:rsidRPr="001A076D" w:rsidRDefault="0025466D" w:rsidP="00175C6C">
            <w:pPr>
              <w:jc w:val="center"/>
            </w:pPr>
            <w:r w:rsidRPr="001A076D">
              <w:t>4.2323</w:t>
            </w:r>
          </w:p>
        </w:tc>
        <w:tc>
          <w:tcPr>
            <w:tcW w:w="0" w:type="auto"/>
            <w:vAlign w:val="center"/>
            <w:hideMark/>
          </w:tcPr>
          <w:p w14:paraId="25EDCDA2" w14:textId="77777777" w:rsidR="0025466D" w:rsidRPr="001A076D" w:rsidRDefault="0025466D" w:rsidP="00175C6C">
            <w:pPr>
              <w:jc w:val="center"/>
            </w:pPr>
            <w:r w:rsidRPr="001A076D">
              <w:t>0.47401</w:t>
            </w:r>
          </w:p>
        </w:tc>
      </w:tr>
      <w:tr w:rsidR="00057F93" w:rsidRPr="001A076D" w14:paraId="34467260" w14:textId="77777777" w:rsidTr="00175C6C">
        <w:tc>
          <w:tcPr>
            <w:tcW w:w="0" w:type="auto"/>
            <w:vAlign w:val="center"/>
            <w:hideMark/>
          </w:tcPr>
          <w:p w14:paraId="3FFB0BF4" w14:textId="77777777" w:rsidR="0025466D" w:rsidRPr="001A076D" w:rsidRDefault="0025466D" w:rsidP="00175C6C">
            <w:pPr>
              <w:jc w:val="center"/>
            </w:pPr>
            <w:r w:rsidRPr="001A076D">
              <w:t>GM</w:t>
            </w:r>
          </w:p>
        </w:tc>
        <w:tc>
          <w:tcPr>
            <w:tcW w:w="0" w:type="auto"/>
            <w:vAlign w:val="center"/>
            <w:hideMark/>
          </w:tcPr>
          <w:p w14:paraId="1D067519" w14:textId="77777777" w:rsidR="0025466D" w:rsidRPr="001A076D" w:rsidRDefault="0025466D" w:rsidP="00175C6C">
            <w:pPr>
              <w:jc w:val="center"/>
            </w:pPr>
            <w:r w:rsidRPr="001A076D">
              <w:t>66</w:t>
            </w:r>
          </w:p>
        </w:tc>
        <w:tc>
          <w:tcPr>
            <w:tcW w:w="0" w:type="auto"/>
            <w:vAlign w:val="center"/>
            <w:hideMark/>
          </w:tcPr>
          <w:p w14:paraId="1BC6F150" w14:textId="77777777" w:rsidR="0025466D" w:rsidRPr="001A076D" w:rsidRDefault="0025466D" w:rsidP="00175C6C">
            <w:pPr>
              <w:jc w:val="center"/>
            </w:pPr>
            <w:r w:rsidRPr="001A076D">
              <w:t>2.60</w:t>
            </w:r>
          </w:p>
        </w:tc>
        <w:tc>
          <w:tcPr>
            <w:tcW w:w="0" w:type="auto"/>
            <w:vAlign w:val="center"/>
            <w:hideMark/>
          </w:tcPr>
          <w:p w14:paraId="3A244A80" w14:textId="77777777" w:rsidR="0025466D" w:rsidRPr="001A076D" w:rsidRDefault="0025466D" w:rsidP="00175C6C">
            <w:pPr>
              <w:jc w:val="center"/>
            </w:pPr>
            <w:r w:rsidRPr="001A076D">
              <w:t>5.00</w:t>
            </w:r>
          </w:p>
        </w:tc>
        <w:tc>
          <w:tcPr>
            <w:tcW w:w="0" w:type="auto"/>
            <w:vAlign w:val="center"/>
            <w:hideMark/>
          </w:tcPr>
          <w:p w14:paraId="1D4AF26F" w14:textId="77777777" w:rsidR="0025466D" w:rsidRPr="001A076D" w:rsidRDefault="0025466D" w:rsidP="00175C6C">
            <w:pPr>
              <w:jc w:val="center"/>
            </w:pPr>
            <w:r w:rsidRPr="001A076D">
              <w:t>4.1235</w:t>
            </w:r>
          </w:p>
        </w:tc>
        <w:tc>
          <w:tcPr>
            <w:tcW w:w="0" w:type="auto"/>
            <w:vAlign w:val="center"/>
            <w:hideMark/>
          </w:tcPr>
          <w:p w14:paraId="5F434F4F" w14:textId="77777777" w:rsidR="0025466D" w:rsidRPr="001A076D" w:rsidRDefault="0025466D" w:rsidP="00175C6C">
            <w:pPr>
              <w:jc w:val="center"/>
            </w:pPr>
            <w:r w:rsidRPr="001A076D">
              <w:t>0.65347</w:t>
            </w:r>
          </w:p>
        </w:tc>
      </w:tr>
      <w:tr w:rsidR="00057F93" w:rsidRPr="001A076D" w14:paraId="498DAC80" w14:textId="77777777" w:rsidTr="00175C6C">
        <w:tc>
          <w:tcPr>
            <w:tcW w:w="0" w:type="auto"/>
            <w:vAlign w:val="center"/>
            <w:hideMark/>
          </w:tcPr>
          <w:p w14:paraId="0D9E9D34" w14:textId="77777777" w:rsidR="0025466D" w:rsidRPr="001A076D" w:rsidRDefault="0025466D" w:rsidP="00175C6C">
            <w:pPr>
              <w:jc w:val="center"/>
            </w:pPr>
            <w:r w:rsidRPr="001A076D">
              <w:t>TE</w:t>
            </w:r>
          </w:p>
        </w:tc>
        <w:tc>
          <w:tcPr>
            <w:tcW w:w="0" w:type="auto"/>
            <w:vAlign w:val="center"/>
            <w:hideMark/>
          </w:tcPr>
          <w:p w14:paraId="19017C94" w14:textId="77777777" w:rsidR="0025466D" w:rsidRPr="001A076D" w:rsidRDefault="0025466D" w:rsidP="00175C6C">
            <w:pPr>
              <w:jc w:val="center"/>
            </w:pPr>
            <w:r w:rsidRPr="001A076D">
              <w:t>66</w:t>
            </w:r>
          </w:p>
        </w:tc>
        <w:tc>
          <w:tcPr>
            <w:tcW w:w="0" w:type="auto"/>
            <w:vAlign w:val="center"/>
            <w:hideMark/>
          </w:tcPr>
          <w:p w14:paraId="69150571" w14:textId="77777777" w:rsidR="0025466D" w:rsidRPr="001A076D" w:rsidRDefault="0025466D" w:rsidP="00175C6C">
            <w:pPr>
              <w:jc w:val="center"/>
            </w:pPr>
            <w:r w:rsidRPr="001A076D">
              <w:t>3.00</w:t>
            </w:r>
          </w:p>
        </w:tc>
        <w:tc>
          <w:tcPr>
            <w:tcW w:w="0" w:type="auto"/>
            <w:vAlign w:val="center"/>
            <w:hideMark/>
          </w:tcPr>
          <w:p w14:paraId="667EAB6C" w14:textId="77777777" w:rsidR="0025466D" w:rsidRPr="001A076D" w:rsidRDefault="0025466D" w:rsidP="00175C6C">
            <w:pPr>
              <w:jc w:val="center"/>
            </w:pPr>
            <w:r w:rsidRPr="001A076D">
              <w:t>5.00</w:t>
            </w:r>
          </w:p>
        </w:tc>
        <w:tc>
          <w:tcPr>
            <w:tcW w:w="0" w:type="auto"/>
            <w:vAlign w:val="center"/>
            <w:hideMark/>
          </w:tcPr>
          <w:p w14:paraId="2483333D" w14:textId="77777777" w:rsidR="0025466D" w:rsidRPr="001A076D" w:rsidRDefault="0025466D" w:rsidP="00175C6C">
            <w:pPr>
              <w:jc w:val="center"/>
            </w:pPr>
            <w:r w:rsidRPr="001A076D">
              <w:t>4.2091</w:t>
            </w:r>
          </w:p>
        </w:tc>
        <w:tc>
          <w:tcPr>
            <w:tcW w:w="0" w:type="auto"/>
            <w:vAlign w:val="center"/>
            <w:hideMark/>
          </w:tcPr>
          <w:p w14:paraId="58517F4E" w14:textId="77777777" w:rsidR="0025466D" w:rsidRPr="001A076D" w:rsidRDefault="0025466D" w:rsidP="00175C6C">
            <w:pPr>
              <w:jc w:val="center"/>
            </w:pPr>
            <w:r w:rsidRPr="001A076D">
              <w:t>0.52205</w:t>
            </w:r>
          </w:p>
        </w:tc>
      </w:tr>
      <w:tr w:rsidR="00057F93" w:rsidRPr="001A076D" w14:paraId="42F330CA" w14:textId="77777777" w:rsidTr="00175C6C">
        <w:tc>
          <w:tcPr>
            <w:tcW w:w="0" w:type="auto"/>
            <w:vAlign w:val="center"/>
            <w:hideMark/>
          </w:tcPr>
          <w:p w14:paraId="5B1F8A2F" w14:textId="77777777" w:rsidR="0025466D" w:rsidRPr="001A076D" w:rsidRDefault="0025466D" w:rsidP="00175C6C">
            <w:pPr>
              <w:jc w:val="center"/>
            </w:pPr>
            <w:r w:rsidRPr="001A076D">
              <w:t>SE</w:t>
            </w:r>
          </w:p>
        </w:tc>
        <w:tc>
          <w:tcPr>
            <w:tcW w:w="0" w:type="auto"/>
            <w:vAlign w:val="center"/>
            <w:hideMark/>
          </w:tcPr>
          <w:p w14:paraId="64050530" w14:textId="77777777" w:rsidR="0025466D" w:rsidRPr="001A076D" w:rsidRDefault="0025466D" w:rsidP="00175C6C">
            <w:pPr>
              <w:jc w:val="center"/>
            </w:pPr>
            <w:r w:rsidRPr="001A076D">
              <w:t>66</w:t>
            </w:r>
          </w:p>
        </w:tc>
        <w:tc>
          <w:tcPr>
            <w:tcW w:w="0" w:type="auto"/>
            <w:vAlign w:val="center"/>
            <w:hideMark/>
          </w:tcPr>
          <w:p w14:paraId="2FA4F3A8" w14:textId="77777777" w:rsidR="0025466D" w:rsidRPr="001A076D" w:rsidRDefault="0025466D" w:rsidP="00175C6C">
            <w:pPr>
              <w:jc w:val="center"/>
            </w:pPr>
            <w:r w:rsidRPr="001A076D">
              <w:t>3.00</w:t>
            </w:r>
          </w:p>
        </w:tc>
        <w:tc>
          <w:tcPr>
            <w:tcW w:w="0" w:type="auto"/>
            <w:vAlign w:val="center"/>
            <w:hideMark/>
          </w:tcPr>
          <w:p w14:paraId="6624391D" w14:textId="77777777" w:rsidR="0025466D" w:rsidRPr="001A076D" w:rsidRDefault="0025466D" w:rsidP="00175C6C">
            <w:pPr>
              <w:jc w:val="center"/>
            </w:pPr>
            <w:r w:rsidRPr="001A076D">
              <w:t>5.00</w:t>
            </w:r>
          </w:p>
        </w:tc>
        <w:tc>
          <w:tcPr>
            <w:tcW w:w="0" w:type="auto"/>
            <w:vAlign w:val="center"/>
            <w:hideMark/>
          </w:tcPr>
          <w:p w14:paraId="16AFF982" w14:textId="77777777" w:rsidR="0025466D" w:rsidRPr="001A076D" w:rsidRDefault="0025466D" w:rsidP="00175C6C">
            <w:pPr>
              <w:jc w:val="center"/>
            </w:pPr>
            <w:r w:rsidRPr="001A076D">
              <w:t>4.1705</w:t>
            </w:r>
          </w:p>
        </w:tc>
        <w:tc>
          <w:tcPr>
            <w:tcW w:w="0" w:type="auto"/>
            <w:vAlign w:val="center"/>
            <w:hideMark/>
          </w:tcPr>
          <w:p w14:paraId="7803C03F" w14:textId="77777777" w:rsidR="0025466D" w:rsidRPr="001A076D" w:rsidRDefault="0025466D" w:rsidP="00175C6C">
            <w:pPr>
              <w:jc w:val="center"/>
            </w:pPr>
            <w:r w:rsidRPr="001A076D">
              <w:t>0.48070</w:t>
            </w:r>
          </w:p>
        </w:tc>
      </w:tr>
    </w:tbl>
    <w:p w14:paraId="4C164B3D" w14:textId="60581BB3" w:rsidR="0025466D" w:rsidRPr="001A076D" w:rsidRDefault="0025466D" w:rsidP="0025466D">
      <w:pPr>
        <w:pStyle w:val="NormalWeb"/>
      </w:pPr>
      <w:r w:rsidRPr="001A076D">
        <w:t>Valid N (listwise) = 66</w:t>
      </w:r>
    </w:p>
    <w:p w14:paraId="0E515222" w14:textId="77777777" w:rsidR="0025466D" w:rsidRPr="001A076D" w:rsidRDefault="0025466D" w:rsidP="0025466D">
      <w:pPr>
        <w:rPr>
          <w:rStyle w:val="Strong"/>
          <w:rFonts w:eastAsiaTheme="majorEastAsia"/>
        </w:rPr>
      </w:pPr>
      <w:r w:rsidRPr="001A076D">
        <w:rPr>
          <w:rStyle w:val="Strong"/>
          <w:rFonts w:eastAsiaTheme="majorEastAsia"/>
        </w:rPr>
        <w:t>A5.2 Reliability Analysis</w:t>
      </w:r>
    </w:p>
    <w:p w14:paraId="3ACC34B9" w14:textId="77777777" w:rsidR="0025466D" w:rsidRPr="001A076D" w:rsidRDefault="0025466D" w:rsidP="0025466D">
      <w:pPr>
        <w:rPr>
          <w:b/>
          <w:bCs/>
        </w:rPr>
      </w:pPr>
    </w:p>
    <w:p w14:paraId="60C89633" w14:textId="77777777" w:rsidR="0025466D" w:rsidRPr="001A076D" w:rsidRDefault="0025466D" w:rsidP="0025466D">
      <w:pPr>
        <w:rPr>
          <w:b/>
          <w:bCs/>
        </w:rPr>
      </w:pPr>
      <w:r w:rsidRPr="001A076D">
        <w:rPr>
          <w:b/>
          <w:bCs/>
        </w:rPr>
        <w:t>A5.2.1 Predictive Analytics Capability (PAC)</w:t>
      </w:r>
    </w:p>
    <w:p w14:paraId="7E7BC5C7" w14:textId="1CE4F847" w:rsidR="0025466D" w:rsidRPr="001A076D" w:rsidRDefault="0025466D" w:rsidP="0025466D">
      <w:pPr>
        <w:pStyle w:val="NormalWeb"/>
      </w:pPr>
      <w:r w:rsidRPr="001A076D">
        <w:t xml:space="preserve">Cronbach’s Alpha = </w:t>
      </w:r>
      <w:r w:rsidRPr="001A076D">
        <w:rPr>
          <w:rStyle w:val="Strong"/>
          <w:rFonts w:eastAsiaTheme="majorEastAsia"/>
        </w:rPr>
        <w:t>0.822</w:t>
      </w:r>
      <w:r w:rsidRPr="001A076D">
        <w:br/>
        <w:t>Number of Items = 6</w:t>
      </w:r>
      <w:r w:rsidRPr="001A076D">
        <w:br/>
        <w:t>Cases Valid = 66 (100%)</w:t>
      </w:r>
    </w:p>
    <w:p w14:paraId="2014A33B" w14:textId="5195FAF8" w:rsidR="00261C07" w:rsidRPr="001A076D" w:rsidRDefault="00261C07" w:rsidP="0025466D">
      <w:pPr>
        <w:pStyle w:val="NormalWeb"/>
        <w:rPr>
          <w:b/>
          <w:bCs/>
        </w:rPr>
      </w:pPr>
      <w:r w:rsidRPr="001A076D">
        <w:rPr>
          <w:b/>
          <w:bCs/>
        </w:rPr>
        <w:t>Table A5.2 – Reliability Analysis for Predictive Analytics Capability (PAC)</w:t>
      </w:r>
    </w:p>
    <w:tbl>
      <w:tblPr>
        <w:tblStyle w:val="TableGrid"/>
        <w:tblW w:w="0" w:type="auto"/>
        <w:tblLayout w:type="fixed"/>
        <w:tblLook w:val="04A0" w:firstRow="1" w:lastRow="0" w:firstColumn="1" w:lastColumn="0" w:noHBand="0" w:noVBand="1"/>
      </w:tblPr>
      <w:tblGrid>
        <w:gridCol w:w="833"/>
        <w:gridCol w:w="1224"/>
        <w:gridCol w:w="1156"/>
        <w:gridCol w:w="1156"/>
      </w:tblGrid>
      <w:tr w:rsidR="00057F93" w:rsidRPr="001A076D" w14:paraId="581CE871" w14:textId="77777777" w:rsidTr="00175C6C">
        <w:tc>
          <w:tcPr>
            <w:tcW w:w="4369" w:type="dxa"/>
            <w:gridSpan w:val="4"/>
            <w:vAlign w:val="center"/>
          </w:tcPr>
          <w:p w14:paraId="075EBA47" w14:textId="77777777" w:rsidR="00AF3E64" w:rsidRPr="001A076D" w:rsidRDefault="00AF3E64" w:rsidP="00175C6C">
            <w:pPr>
              <w:pStyle w:val="NormalWeb"/>
              <w:jc w:val="center"/>
            </w:pPr>
            <w:r w:rsidRPr="001A076D">
              <w:rPr>
                <w:b/>
              </w:rPr>
              <w:t>Case Processing Summary</w:t>
            </w:r>
          </w:p>
        </w:tc>
      </w:tr>
      <w:tr w:rsidR="00057F93" w:rsidRPr="001A076D" w14:paraId="2C0041FA" w14:textId="77777777" w:rsidTr="00175C6C">
        <w:tc>
          <w:tcPr>
            <w:tcW w:w="2057" w:type="dxa"/>
            <w:gridSpan w:val="2"/>
            <w:vAlign w:val="center"/>
          </w:tcPr>
          <w:p w14:paraId="680E2F29" w14:textId="77777777" w:rsidR="00AF3E64" w:rsidRPr="001A076D" w:rsidRDefault="00AF3E64" w:rsidP="00175C6C">
            <w:pPr>
              <w:pStyle w:val="NormalWeb"/>
              <w:jc w:val="center"/>
            </w:pPr>
          </w:p>
        </w:tc>
        <w:tc>
          <w:tcPr>
            <w:tcW w:w="1156" w:type="dxa"/>
            <w:vAlign w:val="center"/>
          </w:tcPr>
          <w:p w14:paraId="03341842" w14:textId="77777777" w:rsidR="00AF3E64" w:rsidRPr="001A076D" w:rsidRDefault="00AF3E64" w:rsidP="00175C6C">
            <w:pPr>
              <w:pStyle w:val="NormalWeb"/>
              <w:jc w:val="center"/>
            </w:pPr>
            <w:r w:rsidRPr="001A076D">
              <w:t>N</w:t>
            </w:r>
          </w:p>
        </w:tc>
        <w:tc>
          <w:tcPr>
            <w:tcW w:w="1156" w:type="dxa"/>
            <w:vAlign w:val="center"/>
          </w:tcPr>
          <w:p w14:paraId="00933FB9" w14:textId="77777777" w:rsidR="00AF3E64" w:rsidRPr="001A076D" w:rsidRDefault="00AF3E64" w:rsidP="00175C6C">
            <w:pPr>
              <w:pStyle w:val="NormalWeb"/>
              <w:jc w:val="center"/>
            </w:pPr>
            <w:r w:rsidRPr="001A076D">
              <w:t>%</w:t>
            </w:r>
          </w:p>
        </w:tc>
      </w:tr>
      <w:tr w:rsidR="00057F93" w:rsidRPr="001A076D" w14:paraId="3C4064E6" w14:textId="77777777" w:rsidTr="00175C6C">
        <w:tc>
          <w:tcPr>
            <w:tcW w:w="833" w:type="dxa"/>
            <w:vMerge w:val="restart"/>
            <w:vAlign w:val="center"/>
          </w:tcPr>
          <w:p w14:paraId="20EFCCE9" w14:textId="77777777" w:rsidR="00AF3E64" w:rsidRPr="001A076D" w:rsidRDefault="00AF3E64" w:rsidP="00175C6C">
            <w:pPr>
              <w:pStyle w:val="NormalWeb"/>
              <w:jc w:val="center"/>
            </w:pPr>
            <w:r w:rsidRPr="001A076D">
              <w:t>Cases</w:t>
            </w:r>
          </w:p>
        </w:tc>
        <w:tc>
          <w:tcPr>
            <w:tcW w:w="1224" w:type="dxa"/>
            <w:vAlign w:val="center"/>
          </w:tcPr>
          <w:p w14:paraId="2A94DD1D" w14:textId="77777777" w:rsidR="00AF3E64" w:rsidRPr="001A076D" w:rsidRDefault="00AF3E64" w:rsidP="00175C6C">
            <w:pPr>
              <w:pStyle w:val="NormalWeb"/>
              <w:jc w:val="center"/>
            </w:pPr>
            <w:r w:rsidRPr="001A076D">
              <w:t>Valid</w:t>
            </w:r>
          </w:p>
        </w:tc>
        <w:tc>
          <w:tcPr>
            <w:tcW w:w="1156" w:type="dxa"/>
            <w:vAlign w:val="center"/>
          </w:tcPr>
          <w:p w14:paraId="2BF36C8A" w14:textId="77777777" w:rsidR="00AF3E64" w:rsidRPr="001A076D" w:rsidRDefault="00AF3E64" w:rsidP="00175C6C">
            <w:pPr>
              <w:pStyle w:val="NormalWeb"/>
              <w:jc w:val="center"/>
            </w:pPr>
            <w:r w:rsidRPr="001A076D">
              <w:t>66</w:t>
            </w:r>
          </w:p>
        </w:tc>
        <w:tc>
          <w:tcPr>
            <w:tcW w:w="1156" w:type="dxa"/>
            <w:vAlign w:val="center"/>
          </w:tcPr>
          <w:p w14:paraId="3497BD28" w14:textId="77777777" w:rsidR="00AF3E64" w:rsidRPr="001A076D" w:rsidRDefault="00AF3E64" w:rsidP="00175C6C">
            <w:pPr>
              <w:pStyle w:val="NormalWeb"/>
              <w:jc w:val="center"/>
            </w:pPr>
            <w:r w:rsidRPr="001A076D">
              <w:t>100.0</w:t>
            </w:r>
          </w:p>
        </w:tc>
      </w:tr>
      <w:tr w:rsidR="00057F93" w:rsidRPr="001A076D" w14:paraId="19DC2D82" w14:textId="77777777" w:rsidTr="00175C6C">
        <w:tc>
          <w:tcPr>
            <w:tcW w:w="833" w:type="dxa"/>
            <w:vMerge/>
            <w:vAlign w:val="center"/>
          </w:tcPr>
          <w:p w14:paraId="0D6B9C55" w14:textId="77777777" w:rsidR="00AF3E64" w:rsidRPr="001A076D" w:rsidRDefault="00AF3E64" w:rsidP="00175C6C">
            <w:pPr>
              <w:pStyle w:val="NormalWeb"/>
              <w:jc w:val="center"/>
            </w:pPr>
          </w:p>
        </w:tc>
        <w:tc>
          <w:tcPr>
            <w:tcW w:w="1224" w:type="dxa"/>
            <w:vAlign w:val="center"/>
          </w:tcPr>
          <w:p w14:paraId="74591502" w14:textId="77777777" w:rsidR="00AF3E64" w:rsidRPr="001A076D" w:rsidRDefault="00AF3E64" w:rsidP="00175C6C">
            <w:pPr>
              <w:pStyle w:val="NormalWeb"/>
              <w:jc w:val="center"/>
            </w:pPr>
            <w:proofErr w:type="spellStart"/>
            <w:r w:rsidRPr="001A076D">
              <w:t>Excluded</w:t>
            </w:r>
            <w:r w:rsidRPr="001A076D">
              <w:rPr>
                <w:vertAlign w:val="superscript"/>
              </w:rPr>
              <w:t>a</w:t>
            </w:r>
            <w:proofErr w:type="spellEnd"/>
          </w:p>
        </w:tc>
        <w:tc>
          <w:tcPr>
            <w:tcW w:w="1156" w:type="dxa"/>
            <w:vAlign w:val="center"/>
          </w:tcPr>
          <w:p w14:paraId="1887ED68" w14:textId="77777777" w:rsidR="00AF3E64" w:rsidRPr="001A076D" w:rsidRDefault="00AF3E64" w:rsidP="00175C6C">
            <w:pPr>
              <w:pStyle w:val="NormalWeb"/>
              <w:jc w:val="center"/>
            </w:pPr>
            <w:r w:rsidRPr="001A076D">
              <w:t>0</w:t>
            </w:r>
          </w:p>
        </w:tc>
        <w:tc>
          <w:tcPr>
            <w:tcW w:w="1156" w:type="dxa"/>
            <w:vAlign w:val="center"/>
          </w:tcPr>
          <w:p w14:paraId="31AB760A" w14:textId="77777777" w:rsidR="00AF3E64" w:rsidRPr="001A076D" w:rsidRDefault="00AF3E64" w:rsidP="00175C6C">
            <w:pPr>
              <w:pStyle w:val="NormalWeb"/>
              <w:jc w:val="center"/>
            </w:pPr>
            <w:r w:rsidRPr="001A076D">
              <w:t>.0</w:t>
            </w:r>
          </w:p>
        </w:tc>
      </w:tr>
      <w:tr w:rsidR="00057F93" w:rsidRPr="001A076D" w14:paraId="57156977" w14:textId="77777777" w:rsidTr="00175C6C">
        <w:tc>
          <w:tcPr>
            <w:tcW w:w="833" w:type="dxa"/>
            <w:vMerge/>
            <w:vAlign w:val="center"/>
          </w:tcPr>
          <w:p w14:paraId="2ECA9FD5" w14:textId="77777777" w:rsidR="00AF3E64" w:rsidRPr="001A076D" w:rsidRDefault="00AF3E64" w:rsidP="00175C6C">
            <w:pPr>
              <w:pStyle w:val="NormalWeb"/>
              <w:jc w:val="center"/>
            </w:pPr>
          </w:p>
        </w:tc>
        <w:tc>
          <w:tcPr>
            <w:tcW w:w="1224" w:type="dxa"/>
            <w:vAlign w:val="center"/>
          </w:tcPr>
          <w:p w14:paraId="2E626C6C" w14:textId="77777777" w:rsidR="00AF3E64" w:rsidRPr="001A076D" w:rsidRDefault="00AF3E64" w:rsidP="00175C6C">
            <w:pPr>
              <w:pStyle w:val="NormalWeb"/>
              <w:jc w:val="center"/>
            </w:pPr>
            <w:r w:rsidRPr="001A076D">
              <w:t>Total</w:t>
            </w:r>
          </w:p>
        </w:tc>
        <w:tc>
          <w:tcPr>
            <w:tcW w:w="1156" w:type="dxa"/>
            <w:vAlign w:val="center"/>
          </w:tcPr>
          <w:p w14:paraId="10E62E00" w14:textId="77777777" w:rsidR="00AF3E64" w:rsidRPr="001A076D" w:rsidRDefault="00AF3E64" w:rsidP="00175C6C">
            <w:pPr>
              <w:pStyle w:val="NormalWeb"/>
              <w:jc w:val="center"/>
            </w:pPr>
            <w:r w:rsidRPr="001A076D">
              <w:t>66</w:t>
            </w:r>
          </w:p>
        </w:tc>
        <w:tc>
          <w:tcPr>
            <w:tcW w:w="1156" w:type="dxa"/>
            <w:vAlign w:val="center"/>
          </w:tcPr>
          <w:p w14:paraId="697F6368" w14:textId="77777777" w:rsidR="00AF3E64" w:rsidRPr="001A076D" w:rsidRDefault="00AF3E64" w:rsidP="00175C6C">
            <w:pPr>
              <w:pStyle w:val="NormalWeb"/>
              <w:jc w:val="center"/>
            </w:pPr>
            <w:r w:rsidRPr="001A076D">
              <w:t>100.0</w:t>
            </w:r>
          </w:p>
        </w:tc>
      </w:tr>
      <w:tr w:rsidR="004F2125" w:rsidRPr="001A076D" w14:paraId="0C7A3A90" w14:textId="77777777" w:rsidTr="00175C6C">
        <w:tc>
          <w:tcPr>
            <w:tcW w:w="4369" w:type="dxa"/>
            <w:gridSpan w:val="4"/>
            <w:vAlign w:val="center"/>
          </w:tcPr>
          <w:p w14:paraId="6B7BEE84" w14:textId="77777777" w:rsidR="00AF3E64" w:rsidRPr="001A076D" w:rsidRDefault="00AF3E64" w:rsidP="00175C6C">
            <w:pPr>
              <w:pStyle w:val="NormalWeb"/>
              <w:jc w:val="center"/>
            </w:pPr>
            <w:r w:rsidRPr="001A076D">
              <w:t>a. Listwise deletion based on all variables in the procedure.</w:t>
            </w:r>
          </w:p>
        </w:tc>
      </w:tr>
    </w:tbl>
    <w:p w14:paraId="48255C7C" w14:textId="208949BF" w:rsidR="00AF3E64" w:rsidRPr="001A076D" w:rsidRDefault="00AF3E64" w:rsidP="00AF3E64">
      <w:pPr>
        <w:pStyle w:val="NormalWeb"/>
        <w:rPr>
          <w:b/>
          <w:bCs/>
        </w:rPr>
      </w:pPr>
    </w:p>
    <w:tbl>
      <w:tblPr>
        <w:tblStyle w:val="TableGrid"/>
        <w:tblW w:w="0" w:type="auto"/>
        <w:tblLayout w:type="fixed"/>
        <w:tblLook w:val="04A0" w:firstRow="1" w:lastRow="0" w:firstColumn="1" w:lastColumn="0" w:noHBand="0" w:noVBand="1"/>
      </w:tblPr>
      <w:tblGrid>
        <w:gridCol w:w="1666"/>
        <w:gridCol w:w="1241"/>
      </w:tblGrid>
      <w:tr w:rsidR="00057F93" w:rsidRPr="001A076D" w14:paraId="000F128B" w14:textId="77777777" w:rsidTr="00175C6C">
        <w:tc>
          <w:tcPr>
            <w:tcW w:w="2907" w:type="dxa"/>
            <w:gridSpan w:val="2"/>
            <w:vAlign w:val="center"/>
          </w:tcPr>
          <w:p w14:paraId="5C59E766" w14:textId="77777777" w:rsidR="00AF3E64" w:rsidRPr="001A076D" w:rsidRDefault="00AF3E64" w:rsidP="00175C6C">
            <w:pPr>
              <w:pStyle w:val="NormalWeb"/>
              <w:jc w:val="center"/>
            </w:pPr>
            <w:r w:rsidRPr="001A076D">
              <w:rPr>
                <w:b/>
              </w:rPr>
              <w:t>Reliability Statistics</w:t>
            </w:r>
          </w:p>
        </w:tc>
      </w:tr>
      <w:tr w:rsidR="00057F93" w:rsidRPr="001A076D" w14:paraId="158DE349" w14:textId="77777777" w:rsidTr="00175C6C">
        <w:tc>
          <w:tcPr>
            <w:tcW w:w="1666" w:type="dxa"/>
            <w:vAlign w:val="center"/>
          </w:tcPr>
          <w:p w14:paraId="5D4713D8" w14:textId="77777777" w:rsidR="00AF3E64" w:rsidRPr="001A076D" w:rsidRDefault="00AF3E64" w:rsidP="00175C6C">
            <w:pPr>
              <w:pStyle w:val="NormalWeb"/>
              <w:jc w:val="center"/>
            </w:pPr>
            <w:r w:rsidRPr="001A076D">
              <w:t>Cronbach's Alpha</w:t>
            </w:r>
          </w:p>
        </w:tc>
        <w:tc>
          <w:tcPr>
            <w:tcW w:w="1241" w:type="dxa"/>
            <w:vAlign w:val="center"/>
          </w:tcPr>
          <w:p w14:paraId="0AD12BE7" w14:textId="77777777" w:rsidR="00AF3E64" w:rsidRPr="001A076D" w:rsidRDefault="00AF3E64" w:rsidP="00175C6C">
            <w:pPr>
              <w:pStyle w:val="NormalWeb"/>
              <w:jc w:val="center"/>
            </w:pPr>
            <w:r w:rsidRPr="001A076D">
              <w:t>N of Items</w:t>
            </w:r>
          </w:p>
        </w:tc>
      </w:tr>
      <w:tr w:rsidR="004F2125" w:rsidRPr="001A076D" w14:paraId="43D60217" w14:textId="77777777" w:rsidTr="00175C6C">
        <w:tc>
          <w:tcPr>
            <w:tcW w:w="1666" w:type="dxa"/>
            <w:vAlign w:val="center"/>
          </w:tcPr>
          <w:p w14:paraId="7F551AFE" w14:textId="17DC4DA2" w:rsidR="00AF3E64" w:rsidRPr="001A076D" w:rsidRDefault="00E55DD6" w:rsidP="00175C6C">
            <w:pPr>
              <w:pStyle w:val="NormalWeb"/>
              <w:jc w:val="center"/>
            </w:pPr>
            <w:r w:rsidRPr="001A076D">
              <w:t>0</w:t>
            </w:r>
            <w:r w:rsidR="00AF3E64" w:rsidRPr="001A076D">
              <w:t>.822</w:t>
            </w:r>
          </w:p>
        </w:tc>
        <w:tc>
          <w:tcPr>
            <w:tcW w:w="1241" w:type="dxa"/>
            <w:vAlign w:val="center"/>
          </w:tcPr>
          <w:p w14:paraId="7EF97A4E" w14:textId="77777777" w:rsidR="00AF3E64" w:rsidRPr="001A076D" w:rsidRDefault="00AF3E64" w:rsidP="00175C6C">
            <w:pPr>
              <w:pStyle w:val="NormalWeb"/>
              <w:jc w:val="center"/>
            </w:pPr>
            <w:r w:rsidRPr="001A076D">
              <w:t>6</w:t>
            </w:r>
          </w:p>
        </w:tc>
      </w:tr>
    </w:tbl>
    <w:p w14:paraId="6D5F59C1" w14:textId="470F7998" w:rsidR="0025466D" w:rsidRPr="001A076D" w:rsidRDefault="0025466D" w:rsidP="0025466D"/>
    <w:p w14:paraId="59A2390F" w14:textId="77777777" w:rsidR="00A77C4D" w:rsidRPr="001A076D" w:rsidRDefault="00A77C4D" w:rsidP="0025466D">
      <w:pPr>
        <w:rPr>
          <w:b/>
          <w:bCs/>
        </w:rPr>
      </w:pPr>
    </w:p>
    <w:p w14:paraId="7E0321B1" w14:textId="19C5F059" w:rsidR="0025466D" w:rsidRPr="001A076D" w:rsidRDefault="0025466D" w:rsidP="0025466D">
      <w:pPr>
        <w:rPr>
          <w:b/>
          <w:bCs/>
        </w:rPr>
      </w:pPr>
      <w:r w:rsidRPr="001A076D">
        <w:rPr>
          <w:b/>
          <w:bCs/>
        </w:rPr>
        <w:t>A5.2.2 Governance Maturity (GM)</w:t>
      </w:r>
    </w:p>
    <w:p w14:paraId="35FAF48F" w14:textId="192C7D2B" w:rsidR="0025466D" w:rsidRPr="001A076D" w:rsidRDefault="0025466D" w:rsidP="0025466D">
      <w:pPr>
        <w:pStyle w:val="NormalWeb"/>
      </w:pPr>
      <w:r w:rsidRPr="001A076D">
        <w:t xml:space="preserve">Cronbach’s Alpha = </w:t>
      </w:r>
      <w:r w:rsidRPr="001A076D">
        <w:rPr>
          <w:rStyle w:val="Strong"/>
          <w:rFonts w:eastAsiaTheme="majorEastAsia"/>
        </w:rPr>
        <w:t>0.832</w:t>
      </w:r>
      <w:r w:rsidRPr="001A076D">
        <w:br/>
        <w:t>Number of Items = 5</w:t>
      </w:r>
      <w:r w:rsidRPr="001A076D">
        <w:br/>
        <w:t>Cases Valid = 65 (98.5%)</w:t>
      </w:r>
    </w:p>
    <w:p w14:paraId="56397F31" w14:textId="76D161D3" w:rsidR="00E55DD6" w:rsidRPr="001A076D" w:rsidRDefault="00E55DD6" w:rsidP="0025466D">
      <w:pPr>
        <w:pStyle w:val="NormalWeb"/>
        <w:rPr>
          <w:b/>
          <w:bCs/>
        </w:rPr>
      </w:pPr>
      <w:r w:rsidRPr="001A076D">
        <w:rPr>
          <w:b/>
          <w:bCs/>
        </w:rPr>
        <w:t>Table A5.3 – Reliability Analysis for Governance Maturity (GM)</w:t>
      </w:r>
    </w:p>
    <w:tbl>
      <w:tblPr>
        <w:tblStyle w:val="TableGrid"/>
        <w:tblW w:w="0" w:type="auto"/>
        <w:tblLayout w:type="fixed"/>
        <w:tblLook w:val="04A0" w:firstRow="1" w:lastRow="0" w:firstColumn="1" w:lastColumn="0" w:noHBand="0" w:noVBand="1"/>
      </w:tblPr>
      <w:tblGrid>
        <w:gridCol w:w="833"/>
        <w:gridCol w:w="1224"/>
        <w:gridCol w:w="1156"/>
        <w:gridCol w:w="1156"/>
      </w:tblGrid>
      <w:tr w:rsidR="00057F93" w:rsidRPr="001A076D" w14:paraId="6F8A2F93" w14:textId="77777777" w:rsidTr="00175C6C">
        <w:tc>
          <w:tcPr>
            <w:tcW w:w="4369" w:type="dxa"/>
            <w:gridSpan w:val="4"/>
            <w:vAlign w:val="center"/>
          </w:tcPr>
          <w:p w14:paraId="277FDE91" w14:textId="77777777" w:rsidR="00AF3E64" w:rsidRPr="001A076D" w:rsidRDefault="00AF3E64" w:rsidP="00175C6C">
            <w:pPr>
              <w:pStyle w:val="NormalWeb"/>
              <w:jc w:val="center"/>
            </w:pPr>
            <w:r w:rsidRPr="001A076D">
              <w:rPr>
                <w:b/>
              </w:rPr>
              <w:t>Case Processing Summary</w:t>
            </w:r>
          </w:p>
        </w:tc>
      </w:tr>
      <w:tr w:rsidR="00057F93" w:rsidRPr="001A076D" w14:paraId="787E5C96" w14:textId="77777777" w:rsidTr="00175C6C">
        <w:tc>
          <w:tcPr>
            <w:tcW w:w="2057" w:type="dxa"/>
            <w:gridSpan w:val="2"/>
            <w:vAlign w:val="center"/>
          </w:tcPr>
          <w:p w14:paraId="234FFE82" w14:textId="77777777" w:rsidR="00AF3E64" w:rsidRPr="001A076D" w:rsidRDefault="00AF3E64" w:rsidP="00175C6C">
            <w:pPr>
              <w:pStyle w:val="NormalWeb"/>
              <w:jc w:val="center"/>
            </w:pPr>
          </w:p>
        </w:tc>
        <w:tc>
          <w:tcPr>
            <w:tcW w:w="1156" w:type="dxa"/>
            <w:vAlign w:val="center"/>
          </w:tcPr>
          <w:p w14:paraId="4EE38E7A" w14:textId="77777777" w:rsidR="00AF3E64" w:rsidRPr="001A076D" w:rsidRDefault="00AF3E64" w:rsidP="00175C6C">
            <w:pPr>
              <w:pStyle w:val="NormalWeb"/>
              <w:jc w:val="center"/>
            </w:pPr>
            <w:r w:rsidRPr="001A076D">
              <w:t>N</w:t>
            </w:r>
          </w:p>
        </w:tc>
        <w:tc>
          <w:tcPr>
            <w:tcW w:w="1156" w:type="dxa"/>
            <w:vAlign w:val="center"/>
          </w:tcPr>
          <w:p w14:paraId="0ADDC294" w14:textId="77777777" w:rsidR="00AF3E64" w:rsidRPr="001A076D" w:rsidRDefault="00AF3E64" w:rsidP="00175C6C">
            <w:pPr>
              <w:pStyle w:val="NormalWeb"/>
              <w:jc w:val="center"/>
            </w:pPr>
            <w:r w:rsidRPr="001A076D">
              <w:t>%</w:t>
            </w:r>
          </w:p>
        </w:tc>
      </w:tr>
      <w:tr w:rsidR="00057F93" w:rsidRPr="001A076D" w14:paraId="0EACA9B9" w14:textId="77777777" w:rsidTr="00175C6C">
        <w:tc>
          <w:tcPr>
            <w:tcW w:w="833" w:type="dxa"/>
            <w:vMerge w:val="restart"/>
            <w:vAlign w:val="center"/>
          </w:tcPr>
          <w:p w14:paraId="22B2E8DF" w14:textId="77777777" w:rsidR="00AF3E64" w:rsidRPr="001A076D" w:rsidRDefault="00AF3E64" w:rsidP="00175C6C">
            <w:pPr>
              <w:pStyle w:val="NormalWeb"/>
              <w:jc w:val="center"/>
            </w:pPr>
            <w:r w:rsidRPr="001A076D">
              <w:t>Cases</w:t>
            </w:r>
          </w:p>
        </w:tc>
        <w:tc>
          <w:tcPr>
            <w:tcW w:w="1224" w:type="dxa"/>
            <w:vAlign w:val="center"/>
          </w:tcPr>
          <w:p w14:paraId="449C6896" w14:textId="77777777" w:rsidR="00AF3E64" w:rsidRPr="001A076D" w:rsidRDefault="00AF3E64" w:rsidP="00175C6C">
            <w:pPr>
              <w:pStyle w:val="NormalWeb"/>
              <w:jc w:val="center"/>
            </w:pPr>
            <w:r w:rsidRPr="001A076D">
              <w:t>Valid</w:t>
            </w:r>
          </w:p>
        </w:tc>
        <w:tc>
          <w:tcPr>
            <w:tcW w:w="1156" w:type="dxa"/>
            <w:vAlign w:val="center"/>
          </w:tcPr>
          <w:p w14:paraId="3F651776" w14:textId="77777777" w:rsidR="00AF3E64" w:rsidRPr="001A076D" w:rsidRDefault="00AF3E64" w:rsidP="00175C6C">
            <w:pPr>
              <w:pStyle w:val="NormalWeb"/>
              <w:jc w:val="center"/>
            </w:pPr>
            <w:r w:rsidRPr="001A076D">
              <w:t>65</w:t>
            </w:r>
          </w:p>
        </w:tc>
        <w:tc>
          <w:tcPr>
            <w:tcW w:w="1156" w:type="dxa"/>
            <w:vAlign w:val="center"/>
          </w:tcPr>
          <w:p w14:paraId="2441E2F5" w14:textId="77777777" w:rsidR="00AF3E64" w:rsidRPr="001A076D" w:rsidRDefault="00AF3E64" w:rsidP="00175C6C">
            <w:pPr>
              <w:pStyle w:val="NormalWeb"/>
              <w:jc w:val="center"/>
            </w:pPr>
            <w:r w:rsidRPr="001A076D">
              <w:t>98.5</w:t>
            </w:r>
          </w:p>
        </w:tc>
      </w:tr>
      <w:tr w:rsidR="00057F93" w:rsidRPr="001A076D" w14:paraId="797ED360" w14:textId="77777777" w:rsidTr="00175C6C">
        <w:tc>
          <w:tcPr>
            <w:tcW w:w="833" w:type="dxa"/>
            <w:vMerge/>
            <w:vAlign w:val="center"/>
          </w:tcPr>
          <w:p w14:paraId="10F7D415" w14:textId="77777777" w:rsidR="00AF3E64" w:rsidRPr="001A076D" w:rsidRDefault="00AF3E64" w:rsidP="00175C6C">
            <w:pPr>
              <w:pStyle w:val="NormalWeb"/>
              <w:jc w:val="center"/>
            </w:pPr>
          </w:p>
        </w:tc>
        <w:tc>
          <w:tcPr>
            <w:tcW w:w="1224" w:type="dxa"/>
            <w:vAlign w:val="center"/>
          </w:tcPr>
          <w:p w14:paraId="0E8FF41C" w14:textId="77777777" w:rsidR="00AF3E64" w:rsidRPr="001A076D" w:rsidRDefault="00AF3E64" w:rsidP="00175C6C">
            <w:pPr>
              <w:pStyle w:val="NormalWeb"/>
              <w:jc w:val="center"/>
            </w:pPr>
            <w:proofErr w:type="spellStart"/>
            <w:r w:rsidRPr="001A076D">
              <w:t>Excluded</w:t>
            </w:r>
            <w:r w:rsidRPr="001A076D">
              <w:rPr>
                <w:vertAlign w:val="superscript"/>
              </w:rPr>
              <w:t>a</w:t>
            </w:r>
            <w:proofErr w:type="spellEnd"/>
          </w:p>
        </w:tc>
        <w:tc>
          <w:tcPr>
            <w:tcW w:w="1156" w:type="dxa"/>
            <w:vAlign w:val="center"/>
          </w:tcPr>
          <w:p w14:paraId="43949EC7" w14:textId="77777777" w:rsidR="00AF3E64" w:rsidRPr="001A076D" w:rsidRDefault="00AF3E64" w:rsidP="00175C6C">
            <w:pPr>
              <w:pStyle w:val="NormalWeb"/>
              <w:jc w:val="center"/>
            </w:pPr>
            <w:r w:rsidRPr="001A076D">
              <w:t>1</w:t>
            </w:r>
          </w:p>
        </w:tc>
        <w:tc>
          <w:tcPr>
            <w:tcW w:w="1156" w:type="dxa"/>
            <w:vAlign w:val="center"/>
          </w:tcPr>
          <w:p w14:paraId="379C1282" w14:textId="77777777" w:rsidR="00AF3E64" w:rsidRPr="001A076D" w:rsidRDefault="00AF3E64" w:rsidP="00175C6C">
            <w:pPr>
              <w:pStyle w:val="NormalWeb"/>
              <w:jc w:val="center"/>
            </w:pPr>
            <w:r w:rsidRPr="001A076D">
              <w:t>1.5</w:t>
            </w:r>
          </w:p>
        </w:tc>
      </w:tr>
      <w:tr w:rsidR="00057F93" w:rsidRPr="001A076D" w14:paraId="53DE2E6A" w14:textId="77777777" w:rsidTr="00175C6C">
        <w:tc>
          <w:tcPr>
            <w:tcW w:w="833" w:type="dxa"/>
            <w:vMerge/>
            <w:vAlign w:val="center"/>
          </w:tcPr>
          <w:p w14:paraId="117FF507" w14:textId="77777777" w:rsidR="00AF3E64" w:rsidRPr="001A076D" w:rsidRDefault="00AF3E64" w:rsidP="00175C6C">
            <w:pPr>
              <w:pStyle w:val="NormalWeb"/>
              <w:jc w:val="center"/>
            </w:pPr>
          </w:p>
        </w:tc>
        <w:tc>
          <w:tcPr>
            <w:tcW w:w="1224" w:type="dxa"/>
            <w:vAlign w:val="center"/>
          </w:tcPr>
          <w:p w14:paraId="74E7B746" w14:textId="77777777" w:rsidR="00AF3E64" w:rsidRPr="001A076D" w:rsidRDefault="00AF3E64" w:rsidP="00175C6C">
            <w:pPr>
              <w:pStyle w:val="NormalWeb"/>
              <w:jc w:val="center"/>
            </w:pPr>
            <w:r w:rsidRPr="001A076D">
              <w:t>Total</w:t>
            </w:r>
          </w:p>
        </w:tc>
        <w:tc>
          <w:tcPr>
            <w:tcW w:w="1156" w:type="dxa"/>
            <w:vAlign w:val="center"/>
          </w:tcPr>
          <w:p w14:paraId="786EFF4C" w14:textId="77777777" w:rsidR="00AF3E64" w:rsidRPr="001A076D" w:rsidRDefault="00AF3E64" w:rsidP="00175C6C">
            <w:pPr>
              <w:pStyle w:val="NormalWeb"/>
              <w:jc w:val="center"/>
            </w:pPr>
            <w:r w:rsidRPr="001A076D">
              <w:t>66</w:t>
            </w:r>
          </w:p>
        </w:tc>
        <w:tc>
          <w:tcPr>
            <w:tcW w:w="1156" w:type="dxa"/>
            <w:vAlign w:val="center"/>
          </w:tcPr>
          <w:p w14:paraId="55450503" w14:textId="77777777" w:rsidR="00AF3E64" w:rsidRPr="001A076D" w:rsidRDefault="00AF3E64" w:rsidP="00175C6C">
            <w:pPr>
              <w:pStyle w:val="NormalWeb"/>
              <w:jc w:val="center"/>
            </w:pPr>
            <w:r w:rsidRPr="001A076D">
              <w:t>100.0</w:t>
            </w:r>
          </w:p>
        </w:tc>
      </w:tr>
      <w:tr w:rsidR="004F2125" w:rsidRPr="001A076D" w14:paraId="6A67C2AF" w14:textId="77777777" w:rsidTr="00175C6C">
        <w:tc>
          <w:tcPr>
            <w:tcW w:w="4369" w:type="dxa"/>
            <w:gridSpan w:val="4"/>
            <w:vAlign w:val="center"/>
          </w:tcPr>
          <w:p w14:paraId="0DA768AF" w14:textId="77777777" w:rsidR="00AF3E64" w:rsidRPr="001A076D" w:rsidRDefault="00AF3E64" w:rsidP="00175C6C">
            <w:pPr>
              <w:pStyle w:val="NormalWeb"/>
              <w:jc w:val="center"/>
            </w:pPr>
            <w:r w:rsidRPr="001A076D">
              <w:t>a. Listwise deletion based on all variables in the procedure.</w:t>
            </w:r>
          </w:p>
        </w:tc>
      </w:tr>
    </w:tbl>
    <w:p w14:paraId="29A4ADDC" w14:textId="77777777" w:rsidR="00AF3E64" w:rsidRPr="001A076D" w:rsidRDefault="00AF3E64" w:rsidP="00AF3E64">
      <w:pPr>
        <w:pStyle w:val="NormalWeb"/>
      </w:pPr>
    </w:p>
    <w:tbl>
      <w:tblPr>
        <w:tblStyle w:val="TableGrid"/>
        <w:tblW w:w="0" w:type="auto"/>
        <w:tblLayout w:type="fixed"/>
        <w:tblLook w:val="04A0" w:firstRow="1" w:lastRow="0" w:firstColumn="1" w:lastColumn="0" w:noHBand="0" w:noVBand="1"/>
      </w:tblPr>
      <w:tblGrid>
        <w:gridCol w:w="1666"/>
        <w:gridCol w:w="1241"/>
      </w:tblGrid>
      <w:tr w:rsidR="00057F93" w:rsidRPr="001A076D" w14:paraId="1D9DF1C3" w14:textId="77777777" w:rsidTr="00175C6C">
        <w:tc>
          <w:tcPr>
            <w:tcW w:w="2907" w:type="dxa"/>
            <w:gridSpan w:val="2"/>
            <w:vAlign w:val="center"/>
          </w:tcPr>
          <w:p w14:paraId="2DAE952F" w14:textId="77777777" w:rsidR="00AF3E64" w:rsidRPr="001A076D" w:rsidRDefault="00AF3E64" w:rsidP="00175C6C">
            <w:pPr>
              <w:pStyle w:val="NormalWeb"/>
              <w:jc w:val="center"/>
            </w:pPr>
            <w:r w:rsidRPr="001A076D">
              <w:rPr>
                <w:b/>
              </w:rPr>
              <w:t>Reliability Statistics</w:t>
            </w:r>
          </w:p>
        </w:tc>
      </w:tr>
      <w:tr w:rsidR="00057F93" w:rsidRPr="001A076D" w14:paraId="3F8FE2A0" w14:textId="77777777" w:rsidTr="00175C6C">
        <w:tc>
          <w:tcPr>
            <w:tcW w:w="1666" w:type="dxa"/>
            <w:vAlign w:val="center"/>
          </w:tcPr>
          <w:p w14:paraId="4F507678" w14:textId="77777777" w:rsidR="00AF3E64" w:rsidRPr="001A076D" w:rsidRDefault="00AF3E64" w:rsidP="00175C6C">
            <w:pPr>
              <w:pStyle w:val="NormalWeb"/>
              <w:jc w:val="center"/>
            </w:pPr>
            <w:r w:rsidRPr="001A076D">
              <w:t>Cronbach's Alpha</w:t>
            </w:r>
          </w:p>
        </w:tc>
        <w:tc>
          <w:tcPr>
            <w:tcW w:w="1241" w:type="dxa"/>
            <w:vAlign w:val="center"/>
          </w:tcPr>
          <w:p w14:paraId="5CDDAF03" w14:textId="77777777" w:rsidR="00AF3E64" w:rsidRPr="001A076D" w:rsidRDefault="00AF3E64" w:rsidP="00175C6C">
            <w:pPr>
              <w:pStyle w:val="NormalWeb"/>
              <w:jc w:val="center"/>
            </w:pPr>
            <w:r w:rsidRPr="001A076D">
              <w:t>N of Items</w:t>
            </w:r>
          </w:p>
        </w:tc>
      </w:tr>
      <w:tr w:rsidR="004F2125" w:rsidRPr="001A076D" w14:paraId="2AD3D28D" w14:textId="77777777" w:rsidTr="00175C6C">
        <w:tc>
          <w:tcPr>
            <w:tcW w:w="1666" w:type="dxa"/>
            <w:vAlign w:val="center"/>
          </w:tcPr>
          <w:p w14:paraId="0DF5FA7B" w14:textId="77777777" w:rsidR="00AF3E64" w:rsidRPr="001A076D" w:rsidRDefault="00AF3E64" w:rsidP="00175C6C">
            <w:pPr>
              <w:pStyle w:val="NormalWeb"/>
              <w:jc w:val="center"/>
            </w:pPr>
            <w:r w:rsidRPr="001A076D">
              <w:t>.832</w:t>
            </w:r>
          </w:p>
        </w:tc>
        <w:tc>
          <w:tcPr>
            <w:tcW w:w="1241" w:type="dxa"/>
            <w:vAlign w:val="center"/>
          </w:tcPr>
          <w:p w14:paraId="3096F8CE" w14:textId="77777777" w:rsidR="00AF3E64" w:rsidRPr="001A076D" w:rsidRDefault="00AF3E64" w:rsidP="00175C6C">
            <w:pPr>
              <w:pStyle w:val="NormalWeb"/>
              <w:jc w:val="center"/>
            </w:pPr>
            <w:r w:rsidRPr="001A076D">
              <w:t>5</w:t>
            </w:r>
          </w:p>
        </w:tc>
      </w:tr>
    </w:tbl>
    <w:p w14:paraId="1386E914" w14:textId="77777777" w:rsidR="00AF3E64" w:rsidRPr="001A076D" w:rsidRDefault="00AF3E64" w:rsidP="0025466D">
      <w:pPr>
        <w:rPr>
          <w:b/>
          <w:bCs/>
        </w:rPr>
      </w:pPr>
    </w:p>
    <w:p w14:paraId="3F53ED34" w14:textId="4F7340B9" w:rsidR="0025466D" w:rsidRPr="001A076D" w:rsidRDefault="0025466D" w:rsidP="0025466D">
      <w:pPr>
        <w:rPr>
          <w:b/>
          <w:bCs/>
        </w:rPr>
      </w:pPr>
      <w:r w:rsidRPr="001A076D">
        <w:rPr>
          <w:b/>
          <w:bCs/>
        </w:rPr>
        <w:t>A5.2.3 Trust &amp; Explainability (TE)</w:t>
      </w:r>
    </w:p>
    <w:p w14:paraId="11BFC620" w14:textId="77777777" w:rsidR="0025466D" w:rsidRPr="001A076D" w:rsidRDefault="0025466D" w:rsidP="0025466D">
      <w:pPr>
        <w:pStyle w:val="NormalWeb"/>
      </w:pPr>
      <w:r w:rsidRPr="001A076D">
        <w:t xml:space="preserve">Cronbach’s Alpha = </w:t>
      </w:r>
      <w:r w:rsidRPr="001A076D">
        <w:rPr>
          <w:rStyle w:val="Strong"/>
          <w:rFonts w:eastAsiaTheme="majorEastAsia"/>
        </w:rPr>
        <w:t>0.844</w:t>
      </w:r>
      <w:r w:rsidRPr="001A076D">
        <w:br/>
        <w:t>Number of Items = 5</w:t>
      </w:r>
      <w:r w:rsidRPr="001A076D">
        <w:br/>
        <w:t>Cases Valid = 66 (100%)</w:t>
      </w:r>
    </w:p>
    <w:p w14:paraId="6392A763" w14:textId="2281A773" w:rsidR="00AF3E64" w:rsidRPr="001A076D" w:rsidRDefault="00E55DD6" w:rsidP="00AF3E64">
      <w:pPr>
        <w:pStyle w:val="NormalWeb"/>
        <w:rPr>
          <w:b/>
          <w:bCs/>
        </w:rPr>
      </w:pPr>
      <w:r w:rsidRPr="001A076D">
        <w:rPr>
          <w:b/>
          <w:bCs/>
        </w:rPr>
        <w:t>Table A5.4 – Reliability Analysis for Trust and Explainability (TE)</w:t>
      </w:r>
    </w:p>
    <w:tbl>
      <w:tblPr>
        <w:tblStyle w:val="TableGrid"/>
        <w:tblW w:w="0" w:type="auto"/>
        <w:tblLayout w:type="fixed"/>
        <w:tblLook w:val="04A0" w:firstRow="1" w:lastRow="0" w:firstColumn="1" w:lastColumn="0" w:noHBand="0" w:noVBand="1"/>
      </w:tblPr>
      <w:tblGrid>
        <w:gridCol w:w="833"/>
        <w:gridCol w:w="1224"/>
        <w:gridCol w:w="1156"/>
        <w:gridCol w:w="1156"/>
      </w:tblGrid>
      <w:tr w:rsidR="00057F93" w:rsidRPr="001A076D" w14:paraId="1CC9C0D4" w14:textId="77777777" w:rsidTr="00175C6C">
        <w:tc>
          <w:tcPr>
            <w:tcW w:w="4369" w:type="dxa"/>
            <w:gridSpan w:val="4"/>
            <w:vAlign w:val="center"/>
          </w:tcPr>
          <w:p w14:paraId="0C2C5BC8" w14:textId="77777777" w:rsidR="00AF3E64" w:rsidRPr="001A076D" w:rsidRDefault="00AF3E64" w:rsidP="00175C6C">
            <w:pPr>
              <w:pStyle w:val="NormalWeb"/>
              <w:jc w:val="center"/>
            </w:pPr>
            <w:r w:rsidRPr="001A076D">
              <w:rPr>
                <w:b/>
              </w:rPr>
              <w:t>Case Processing Summary</w:t>
            </w:r>
          </w:p>
        </w:tc>
      </w:tr>
      <w:tr w:rsidR="00057F93" w:rsidRPr="001A076D" w14:paraId="6850CA80" w14:textId="77777777" w:rsidTr="00175C6C">
        <w:tc>
          <w:tcPr>
            <w:tcW w:w="2057" w:type="dxa"/>
            <w:gridSpan w:val="2"/>
            <w:vAlign w:val="center"/>
          </w:tcPr>
          <w:p w14:paraId="02F74F33" w14:textId="77777777" w:rsidR="00AF3E64" w:rsidRPr="001A076D" w:rsidRDefault="00AF3E64" w:rsidP="00175C6C">
            <w:pPr>
              <w:pStyle w:val="NormalWeb"/>
              <w:jc w:val="center"/>
            </w:pPr>
          </w:p>
        </w:tc>
        <w:tc>
          <w:tcPr>
            <w:tcW w:w="1156" w:type="dxa"/>
            <w:vAlign w:val="center"/>
          </w:tcPr>
          <w:p w14:paraId="64A60442" w14:textId="77777777" w:rsidR="00AF3E64" w:rsidRPr="001A076D" w:rsidRDefault="00AF3E64" w:rsidP="00175C6C">
            <w:pPr>
              <w:pStyle w:val="NormalWeb"/>
              <w:jc w:val="center"/>
            </w:pPr>
            <w:r w:rsidRPr="001A076D">
              <w:t>N</w:t>
            </w:r>
          </w:p>
        </w:tc>
        <w:tc>
          <w:tcPr>
            <w:tcW w:w="1156" w:type="dxa"/>
            <w:vAlign w:val="center"/>
          </w:tcPr>
          <w:p w14:paraId="4FFE42AD" w14:textId="77777777" w:rsidR="00AF3E64" w:rsidRPr="001A076D" w:rsidRDefault="00AF3E64" w:rsidP="00175C6C">
            <w:pPr>
              <w:pStyle w:val="NormalWeb"/>
              <w:jc w:val="center"/>
            </w:pPr>
            <w:r w:rsidRPr="001A076D">
              <w:t>%</w:t>
            </w:r>
          </w:p>
        </w:tc>
      </w:tr>
      <w:tr w:rsidR="00057F93" w:rsidRPr="001A076D" w14:paraId="7196B48E" w14:textId="77777777" w:rsidTr="00175C6C">
        <w:tc>
          <w:tcPr>
            <w:tcW w:w="833" w:type="dxa"/>
            <w:vMerge w:val="restart"/>
            <w:vAlign w:val="center"/>
          </w:tcPr>
          <w:p w14:paraId="7E7580AA" w14:textId="77777777" w:rsidR="00AF3E64" w:rsidRPr="001A076D" w:rsidRDefault="00AF3E64" w:rsidP="00175C6C">
            <w:pPr>
              <w:pStyle w:val="NormalWeb"/>
              <w:jc w:val="center"/>
            </w:pPr>
            <w:r w:rsidRPr="001A076D">
              <w:t>Cases</w:t>
            </w:r>
          </w:p>
        </w:tc>
        <w:tc>
          <w:tcPr>
            <w:tcW w:w="1224" w:type="dxa"/>
            <w:vAlign w:val="center"/>
          </w:tcPr>
          <w:p w14:paraId="7CD5F6BC" w14:textId="77777777" w:rsidR="00AF3E64" w:rsidRPr="001A076D" w:rsidRDefault="00AF3E64" w:rsidP="00175C6C">
            <w:pPr>
              <w:pStyle w:val="NormalWeb"/>
              <w:jc w:val="center"/>
            </w:pPr>
            <w:r w:rsidRPr="001A076D">
              <w:t>Valid</w:t>
            </w:r>
          </w:p>
        </w:tc>
        <w:tc>
          <w:tcPr>
            <w:tcW w:w="1156" w:type="dxa"/>
            <w:vAlign w:val="center"/>
          </w:tcPr>
          <w:p w14:paraId="3767899A" w14:textId="77777777" w:rsidR="00AF3E64" w:rsidRPr="001A076D" w:rsidRDefault="00AF3E64" w:rsidP="00175C6C">
            <w:pPr>
              <w:pStyle w:val="NormalWeb"/>
              <w:jc w:val="center"/>
            </w:pPr>
            <w:r w:rsidRPr="001A076D">
              <w:t>66</w:t>
            </w:r>
          </w:p>
        </w:tc>
        <w:tc>
          <w:tcPr>
            <w:tcW w:w="1156" w:type="dxa"/>
            <w:vAlign w:val="center"/>
          </w:tcPr>
          <w:p w14:paraId="1A16A3CD" w14:textId="77777777" w:rsidR="00AF3E64" w:rsidRPr="001A076D" w:rsidRDefault="00AF3E64" w:rsidP="00175C6C">
            <w:pPr>
              <w:pStyle w:val="NormalWeb"/>
              <w:jc w:val="center"/>
            </w:pPr>
            <w:r w:rsidRPr="001A076D">
              <w:t>100.0</w:t>
            </w:r>
          </w:p>
        </w:tc>
      </w:tr>
      <w:tr w:rsidR="00057F93" w:rsidRPr="001A076D" w14:paraId="12D0FF44" w14:textId="77777777" w:rsidTr="00175C6C">
        <w:tc>
          <w:tcPr>
            <w:tcW w:w="833" w:type="dxa"/>
            <w:vMerge/>
            <w:vAlign w:val="center"/>
          </w:tcPr>
          <w:p w14:paraId="3D99978F" w14:textId="77777777" w:rsidR="00AF3E64" w:rsidRPr="001A076D" w:rsidRDefault="00AF3E64" w:rsidP="00175C6C">
            <w:pPr>
              <w:pStyle w:val="NormalWeb"/>
              <w:jc w:val="center"/>
            </w:pPr>
          </w:p>
        </w:tc>
        <w:tc>
          <w:tcPr>
            <w:tcW w:w="1224" w:type="dxa"/>
            <w:vAlign w:val="center"/>
          </w:tcPr>
          <w:p w14:paraId="4858190C" w14:textId="77777777" w:rsidR="00AF3E64" w:rsidRPr="001A076D" w:rsidRDefault="00AF3E64" w:rsidP="00175C6C">
            <w:pPr>
              <w:pStyle w:val="NormalWeb"/>
              <w:jc w:val="center"/>
            </w:pPr>
            <w:proofErr w:type="spellStart"/>
            <w:r w:rsidRPr="001A076D">
              <w:t>Excluded</w:t>
            </w:r>
            <w:r w:rsidRPr="001A076D">
              <w:rPr>
                <w:vertAlign w:val="superscript"/>
              </w:rPr>
              <w:t>a</w:t>
            </w:r>
            <w:proofErr w:type="spellEnd"/>
          </w:p>
        </w:tc>
        <w:tc>
          <w:tcPr>
            <w:tcW w:w="1156" w:type="dxa"/>
            <w:vAlign w:val="center"/>
          </w:tcPr>
          <w:p w14:paraId="76C5C1DD" w14:textId="77777777" w:rsidR="00AF3E64" w:rsidRPr="001A076D" w:rsidRDefault="00AF3E64" w:rsidP="00175C6C">
            <w:pPr>
              <w:pStyle w:val="NormalWeb"/>
              <w:jc w:val="center"/>
            </w:pPr>
            <w:r w:rsidRPr="001A076D">
              <w:t>0</w:t>
            </w:r>
          </w:p>
        </w:tc>
        <w:tc>
          <w:tcPr>
            <w:tcW w:w="1156" w:type="dxa"/>
            <w:vAlign w:val="center"/>
          </w:tcPr>
          <w:p w14:paraId="1BAB39B1" w14:textId="77777777" w:rsidR="00AF3E64" w:rsidRPr="001A076D" w:rsidRDefault="00AF3E64" w:rsidP="00175C6C">
            <w:pPr>
              <w:pStyle w:val="NormalWeb"/>
              <w:jc w:val="center"/>
            </w:pPr>
            <w:r w:rsidRPr="001A076D">
              <w:t>.0</w:t>
            </w:r>
          </w:p>
        </w:tc>
      </w:tr>
      <w:tr w:rsidR="00057F93" w:rsidRPr="001A076D" w14:paraId="308D108B" w14:textId="77777777" w:rsidTr="00175C6C">
        <w:tc>
          <w:tcPr>
            <w:tcW w:w="833" w:type="dxa"/>
            <w:vMerge/>
            <w:vAlign w:val="center"/>
          </w:tcPr>
          <w:p w14:paraId="76DD7D83" w14:textId="77777777" w:rsidR="00AF3E64" w:rsidRPr="001A076D" w:rsidRDefault="00AF3E64" w:rsidP="00175C6C">
            <w:pPr>
              <w:pStyle w:val="NormalWeb"/>
              <w:jc w:val="center"/>
            </w:pPr>
          </w:p>
        </w:tc>
        <w:tc>
          <w:tcPr>
            <w:tcW w:w="1224" w:type="dxa"/>
            <w:vAlign w:val="center"/>
          </w:tcPr>
          <w:p w14:paraId="2A24F211" w14:textId="77777777" w:rsidR="00AF3E64" w:rsidRPr="001A076D" w:rsidRDefault="00AF3E64" w:rsidP="00175C6C">
            <w:pPr>
              <w:pStyle w:val="NormalWeb"/>
              <w:jc w:val="center"/>
            </w:pPr>
            <w:r w:rsidRPr="001A076D">
              <w:t>Total</w:t>
            </w:r>
          </w:p>
        </w:tc>
        <w:tc>
          <w:tcPr>
            <w:tcW w:w="1156" w:type="dxa"/>
            <w:vAlign w:val="center"/>
          </w:tcPr>
          <w:p w14:paraId="66674A2B" w14:textId="77777777" w:rsidR="00AF3E64" w:rsidRPr="001A076D" w:rsidRDefault="00AF3E64" w:rsidP="00175C6C">
            <w:pPr>
              <w:pStyle w:val="NormalWeb"/>
              <w:jc w:val="center"/>
            </w:pPr>
            <w:r w:rsidRPr="001A076D">
              <w:t>66</w:t>
            </w:r>
          </w:p>
        </w:tc>
        <w:tc>
          <w:tcPr>
            <w:tcW w:w="1156" w:type="dxa"/>
            <w:vAlign w:val="center"/>
          </w:tcPr>
          <w:p w14:paraId="23954537" w14:textId="77777777" w:rsidR="00AF3E64" w:rsidRPr="001A076D" w:rsidRDefault="00AF3E64" w:rsidP="00175C6C">
            <w:pPr>
              <w:pStyle w:val="NormalWeb"/>
              <w:jc w:val="center"/>
            </w:pPr>
            <w:r w:rsidRPr="001A076D">
              <w:t>100.0</w:t>
            </w:r>
          </w:p>
        </w:tc>
      </w:tr>
      <w:tr w:rsidR="004F2125" w:rsidRPr="001A076D" w14:paraId="295C9F2F" w14:textId="77777777" w:rsidTr="00175C6C">
        <w:tc>
          <w:tcPr>
            <w:tcW w:w="4369" w:type="dxa"/>
            <w:gridSpan w:val="4"/>
            <w:vAlign w:val="center"/>
          </w:tcPr>
          <w:p w14:paraId="2EC07BDD" w14:textId="77777777" w:rsidR="00AF3E64" w:rsidRPr="001A076D" w:rsidRDefault="00AF3E64" w:rsidP="00175C6C">
            <w:pPr>
              <w:pStyle w:val="NormalWeb"/>
              <w:jc w:val="center"/>
            </w:pPr>
            <w:r w:rsidRPr="001A076D">
              <w:t>a. Listwise deletion based on all variables in the procedure.</w:t>
            </w:r>
          </w:p>
        </w:tc>
      </w:tr>
    </w:tbl>
    <w:p w14:paraId="61539601" w14:textId="77777777" w:rsidR="00AF3E64" w:rsidRPr="001A076D" w:rsidRDefault="00AF3E64" w:rsidP="00AF3E64">
      <w:pPr>
        <w:pStyle w:val="NormalWeb"/>
      </w:pPr>
    </w:p>
    <w:tbl>
      <w:tblPr>
        <w:tblStyle w:val="TableGrid"/>
        <w:tblW w:w="0" w:type="auto"/>
        <w:tblLayout w:type="fixed"/>
        <w:tblLook w:val="04A0" w:firstRow="1" w:lastRow="0" w:firstColumn="1" w:lastColumn="0" w:noHBand="0" w:noVBand="1"/>
      </w:tblPr>
      <w:tblGrid>
        <w:gridCol w:w="1666"/>
        <w:gridCol w:w="1241"/>
      </w:tblGrid>
      <w:tr w:rsidR="00057F93" w:rsidRPr="001A076D" w14:paraId="695449BB" w14:textId="77777777" w:rsidTr="00175C6C">
        <w:tc>
          <w:tcPr>
            <w:tcW w:w="2907" w:type="dxa"/>
            <w:gridSpan w:val="2"/>
            <w:vAlign w:val="center"/>
          </w:tcPr>
          <w:p w14:paraId="5EAE8C96" w14:textId="77777777" w:rsidR="00AF3E64" w:rsidRPr="001A076D" w:rsidRDefault="00AF3E64" w:rsidP="00175C6C">
            <w:pPr>
              <w:pStyle w:val="NormalWeb"/>
              <w:jc w:val="center"/>
            </w:pPr>
            <w:r w:rsidRPr="001A076D">
              <w:rPr>
                <w:b/>
              </w:rPr>
              <w:t>Reliability Statistics</w:t>
            </w:r>
          </w:p>
        </w:tc>
      </w:tr>
      <w:tr w:rsidR="00057F93" w:rsidRPr="001A076D" w14:paraId="5AB1C9FF" w14:textId="77777777" w:rsidTr="00175C6C">
        <w:tc>
          <w:tcPr>
            <w:tcW w:w="1666" w:type="dxa"/>
            <w:vAlign w:val="center"/>
          </w:tcPr>
          <w:p w14:paraId="619D72B5" w14:textId="77777777" w:rsidR="00AF3E64" w:rsidRPr="001A076D" w:rsidRDefault="00AF3E64" w:rsidP="00175C6C">
            <w:pPr>
              <w:pStyle w:val="NormalWeb"/>
              <w:jc w:val="center"/>
            </w:pPr>
            <w:r w:rsidRPr="001A076D">
              <w:t>Cronbach's Alpha</w:t>
            </w:r>
          </w:p>
        </w:tc>
        <w:tc>
          <w:tcPr>
            <w:tcW w:w="1241" w:type="dxa"/>
            <w:vAlign w:val="center"/>
          </w:tcPr>
          <w:p w14:paraId="7046798B" w14:textId="77777777" w:rsidR="00AF3E64" w:rsidRPr="001A076D" w:rsidRDefault="00AF3E64" w:rsidP="00175C6C">
            <w:pPr>
              <w:pStyle w:val="NormalWeb"/>
              <w:jc w:val="center"/>
            </w:pPr>
            <w:r w:rsidRPr="001A076D">
              <w:t>N of Items</w:t>
            </w:r>
          </w:p>
        </w:tc>
      </w:tr>
      <w:tr w:rsidR="004F2125" w:rsidRPr="001A076D" w14:paraId="1F3AAECD" w14:textId="77777777" w:rsidTr="00175C6C">
        <w:tc>
          <w:tcPr>
            <w:tcW w:w="1666" w:type="dxa"/>
            <w:vAlign w:val="center"/>
          </w:tcPr>
          <w:p w14:paraId="719F2941" w14:textId="2CBDC4FA" w:rsidR="00AF3E64" w:rsidRPr="001A076D" w:rsidRDefault="00E55DD6" w:rsidP="00175C6C">
            <w:pPr>
              <w:pStyle w:val="NormalWeb"/>
              <w:jc w:val="center"/>
            </w:pPr>
            <w:r w:rsidRPr="001A076D">
              <w:t>0</w:t>
            </w:r>
            <w:r w:rsidR="00AF3E64" w:rsidRPr="001A076D">
              <w:t>.844</w:t>
            </w:r>
          </w:p>
        </w:tc>
        <w:tc>
          <w:tcPr>
            <w:tcW w:w="1241" w:type="dxa"/>
            <w:vAlign w:val="center"/>
          </w:tcPr>
          <w:p w14:paraId="01FE98DB" w14:textId="77777777" w:rsidR="00AF3E64" w:rsidRPr="001A076D" w:rsidRDefault="00AF3E64" w:rsidP="00175C6C">
            <w:pPr>
              <w:pStyle w:val="NormalWeb"/>
              <w:jc w:val="center"/>
            </w:pPr>
            <w:r w:rsidRPr="001A076D">
              <w:t>5</w:t>
            </w:r>
          </w:p>
        </w:tc>
      </w:tr>
    </w:tbl>
    <w:p w14:paraId="645B4CBF" w14:textId="77777777" w:rsidR="000611A8" w:rsidRPr="001A076D" w:rsidRDefault="000611A8" w:rsidP="0025466D">
      <w:pPr>
        <w:rPr>
          <w:b/>
          <w:bCs/>
        </w:rPr>
      </w:pPr>
    </w:p>
    <w:p w14:paraId="11AA1EF7" w14:textId="1F7EF3CA" w:rsidR="0025466D" w:rsidRPr="001A076D" w:rsidRDefault="0025466D" w:rsidP="0025466D">
      <w:pPr>
        <w:rPr>
          <w:b/>
          <w:bCs/>
        </w:rPr>
      </w:pPr>
      <w:r w:rsidRPr="001A076D">
        <w:rPr>
          <w:b/>
          <w:bCs/>
        </w:rPr>
        <w:t>A5.2.4 Strategic Embedding (SE)</w:t>
      </w:r>
    </w:p>
    <w:p w14:paraId="4E6A8BF5" w14:textId="5106D038" w:rsidR="00AF3E64" w:rsidRPr="001A076D" w:rsidRDefault="0025466D" w:rsidP="0025466D">
      <w:pPr>
        <w:pStyle w:val="NormalWeb"/>
      </w:pPr>
      <w:r w:rsidRPr="001A076D">
        <w:t xml:space="preserve">Cronbach’s Alpha = </w:t>
      </w:r>
      <w:r w:rsidRPr="001A076D">
        <w:rPr>
          <w:rStyle w:val="Strong"/>
          <w:rFonts w:eastAsiaTheme="majorEastAsia"/>
        </w:rPr>
        <w:t>0.713</w:t>
      </w:r>
      <w:r w:rsidRPr="001A076D">
        <w:br/>
        <w:t>Number of Items = 4</w:t>
      </w:r>
      <w:r w:rsidRPr="001A076D">
        <w:br/>
        <w:t>Cases Valid = 66 (100%)</w:t>
      </w:r>
    </w:p>
    <w:p w14:paraId="2EDCF124" w14:textId="776B1DA3" w:rsidR="00E55DD6" w:rsidRPr="001A076D" w:rsidRDefault="00E55DD6" w:rsidP="0025466D">
      <w:pPr>
        <w:pStyle w:val="NormalWeb"/>
        <w:rPr>
          <w:b/>
          <w:bCs/>
        </w:rPr>
      </w:pPr>
      <w:r w:rsidRPr="001A076D">
        <w:rPr>
          <w:b/>
          <w:bCs/>
        </w:rPr>
        <w:t>Table A5.5 – Reliability Analysis for Strategic Embedding (SE)</w:t>
      </w:r>
    </w:p>
    <w:tbl>
      <w:tblPr>
        <w:tblStyle w:val="TableGrid"/>
        <w:tblW w:w="0" w:type="auto"/>
        <w:tblLayout w:type="fixed"/>
        <w:tblLook w:val="04A0" w:firstRow="1" w:lastRow="0" w:firstColumn="1" w:lastColumn="0" w:noHBand="0" w:noVBand="1"/>
      </w:tblPr>
      <w:tblGrid>
        <w:gridCol w:w="833"/>
        <w:gridCol w:w="1224"/>
        <w:gridCol w:w="1156"/>
        <w:gridCol w:w="1156"/>
      </w:tblGrid>
      <w:tr w:rsidR="00057F93" w:rsidRPr="001A076D" w14:paraId="1A6FF036" w14:textId="77777777" w:rsidTr="00175C6C">
        <w:tc>
          <w:tcPr>
            <w:tcW w:w="4369" w:type="dxa"/>
            <w:gridSpan w:val="4"/>
            <w:vAlign w:val="center"/>
          </w:tcPr>
          <w:p w14:paraId="02F55FFC" w14:textId="77777777" w:rsidR="00AF3E64" w:rsidRPr="001A076D" w:rsidRDefault="00AF3E64" w:rsidP="00175C6C">
            <w:pPr>
              <w:pStyle w:val="NormalWeb"/>
              <w:jc w:val="center"/>
            </w:pPr>
            <w:r w:rsidRPr="001A076D">
              <w:rPr>
                <w:b/>
              </w:rPr>
              <w:t>Case Processing Summary</w:t>
            </w:r>
          </w:p>
        </w:tc>
      </w:tr>
      <w:tr w:rsidR="00057F93" w:rsidRPr="001A076D" w14:paraId="713A9EB0" w14:textId="77777777" w:rsidTr="00175C6C">
        <w:tc>
          <w:tcPr>
            <w:tcW w:w="2057" w:type="dxa"/>
            <w:gridSpan w:val="2"/>
            <w:vAlign w:val="center"/>
          </w:tcPr>
          <w:p w14:paraId="535EFACB" w14:textId="77777777" w:rsidR="00AF3E64" w:rsidRPr="001A076D" w:rsidRDefault="00AF3E64" w:rsidP="00175C6C">
            <w:pPr>
              <w:pStyle w:val="NormalWeb"/>
              <w:jc w:val="center"/>
            </w:pPr>
          </w:p>
        </w:tc>
        <w:tc>
          <w:tcPr>
            <w:tcW w:w="1156" w:type="dxa"/>
            <w:vAlign w:val="center"/>
          </w:tcPr>
          <w:p w14:paraId="7DC830E8" w14:textId="77777777" w:rsidR="00AF3E64" w:rsidRPr="001A076D" w:rsidRDefault="00AF3E64" w:rsidP="00175C6C">
            <w:pPr>
              <w:pStyle w:val="NormalWeb"/>
              <w:jc w:val="center"/>
            </w:pPr>
            <w:r w:rsidRPr="001A076D">
              <w:t>N</w:t>
            </w:r>
          </w:p>
        </w:tc>
        <w:tc>
          <w:tcPr>
            <w:tcW w:w="1156" w:type="dxa"/>
            <w:vAlign w:val="center"/>
          </w:tcPr>
          <w:p w14:paraId="04093B75" w14:textId="77777777" w:rsidR="00AF3E64" w:rsidRPr="001A076D" w:rsidRDefault="00AF3E64" w:rsidP="00175C6C">
            <w:pPr>
              <w:pStyle w:val="NormalWeb"/>
              <w:jc w:val="center"/>
            </w:pPr>
            <w:r w:rsidRPr="001A076D">
              <w:t>%</w:t>
            </w:r>
          </w:p>
        </w:tc>
      </w:tr>
      <w:tr w:rsidR="00057F93" w:rsidRPr="001A076D" w14:paraId="449A209C" w14:textId="77777777" w:rsidTr="00175C6C">
        <w:tc>
          <w:tcPr>
            <w:tcW w:w="833" w:type="dxa"/>
            <w:vMerge w:val="restart"/>
            <w:vAlign w:val="center"/>
          </w:tcPr>
          <w:p w14:paraId="70E6C610" w14:textId="77777777" w:rsidR="00AF3E64" w:rsidRPr="001A076D" w:rsidRDefault="00AF3E64" w:rsidP="00175C6C">
            <w:pPr>
              <w:pStyle w:val="NormalWeb"/>
              <w:jc w:val="center"/>
            </w:pPr>
            <w:r w:rsidRPr="001A076D">
              <w:t>Cases</w:t>
            </w:r>
          </w:p>
        </w:tc>
        <w:tc>
          <w:tcPr>
            <w:tcW w:w="1224" w:type="dxa"/>
            <w:vAlign w:val="center"/>
          </w:tcPr>
          <w:p w14:paraId="604944E1" w14:textId="77777777" w:rsidR="00AF3E64" w:rsidRPr="001A076D" w:rsidRDefault="00AF3E64" w:rsidP="00175C6C">
            <w:pPr>
              <w:pStyle w:val="NormalWeb"/>
              <w:jc w:val="center"/>
            </w:pPr>
            <w:r w:rsidRPr="001A076D">
              <w:t>Valid</w:t>
            </w:r>
          </w:p>
        </w:tc>
        <w:tc>
          <w:tcPr>
            <w:tcW w:w="1156" w:type="dxa"/>
            <w:vAlign w:val="center"/>
          </w:tcPr>
          <w:p w14:paraId="75E44952" w14:textId="77777777" w:rsidR="00AF3E64" w:rsidRPr="001A076D" w:rsidRDefault="00AF3E64" w:rsidP="00175C6C">
            <w:pPr>
              <w:pStyle w:val="NormalWeb"/>
              <w:jc w:val="center"/>
            </w:pPr>
            <w:r w:rsidRPr="001A076D">
              <w:t>66</w:t>
            </w:r>
          </w:p>
        </w:tc>
        <w:tc>
          <w:tcPr>
            <w:tcW w:w="1156" w:type="dxa"/>
            <w:vAlign w:val="center"/>
          </w:tcPr>
          <w:p w14:paraId="51DDC9F8" w14:textId="77777777" w:rsidR="00AF3E64" w:rsidRPr="001A076D" w:rsidRDefault="00AF3E64" w:rsidP="00175C6C">
            <w:pPr>
              <w:pStyle w:val="NormalWeb"/>
              <w:jc w:val="center"/>
            </w:pPr>
            <w:r w:rsidRPr="001A076D">
              <w:t>100.0</w:t>
            </w:r>
          </w:p>
        </w:tc>
      </w:tr>
      <w:tr w:rsidR="00057F93" w:rsidRPr="001A076D" w14:paraId="1E3254B4" w14:textId="77777777" w:rsidTr="00175C6C">
        <w:tc>
          <w:tcPr>
            <w:tcW w:w="833" w:type="dxa"/>
            <w:vMerge/>
            <w:vAlign w:val="center"/>
          </w:tcPr>
          <w:p w14:paraId="67E1E1A1" w14:textId="77777777" w:rsidR="00AF3E64" w:rsidRPr="001A076D" w:rsidRDefault="00AF3E64" w:rsidP="00175C6C">
            <w:pPr>
              <w:pStyle w:val="NormalWeb"/>
              <w:jc w:val="center"/>
            </w:pPr>
          </w:p>
        </w:tc>
        <w:tc>
          <w:tcPr>
            <w:tcW w:w="1224" w:type="dxa"/>
            <w:vAlign w:val="center"/>
          </w:tcPr>
          <w:p w14:paraId="5F99B8F9" w14:textId="77777777" w:rsidR="00AF3E64" w:rsidRPr="001A076D" w:rsidRDefault="00AF3E64" w:rsidP="00175C6C">
            <w:pPr>
              <w:pStyle w:val="NormalWeb"/>
              <w:jc w:val="center"/>
            </w:pPr>
            <w:proofErr w:type="spellStart"/>
            <w:r w:rsidRPr="001A076D">
              <w:t>Excluded</w:t>
            </w:r>
            <w:r w:rsidRPr="001A076D">
              <w:rPr>
                <w:vertAlign w:val="superscript"/>
              </w:rPr>
              <w:t>a</w:t>
            </w:r>
            <w:proofErr w:type="spellEnd"/>
          </w:p>
        </w:tc>
        <w:tc>
          <w:tcPr>
            <w:tcW w:w="1156" w:type="dxa"/>
            <w:vAlign w:val="center"/>
          </w:tcPr>
          <w:p w14:paraId="275A2058" w14:textId="77777777" w:rsidR="00AF3E64" w:rsidRPr="001A076D" w:rsidRDefault="00AF3E64" w:rsidP="00175C6C">
            <w:pPr>
              <w:pStyle w:val="NormalWeb"/>
              <w:jc w:val="center"/>
            </w:pPr>
            <w:r w:rsidRPr="001A076D">
              <w:t>0</w:t>
            </w:r>
          </w:p>
        </w:tc>
        <w:tc>
          <w:tcPr>
            <w:tcW w:w="1156" w:type="dxa"/>
            <w:vAlign w:val="center"/>
          </w:tcPr>
          <w:p w14:paraId="47979B6C" w14:textId="77777777" w:rsidR="00AF3E64" w:rsidRPr="001A076D" w:rsidRDefault="00AF3E64" w:rsidP="00175C6C">
            <w:pPr>
              <w:pStyle w:val="NormalWeb"/>
              <w:jc w:val="center"/>
            </w:pPr>
            <w:r w:rsidRPr="001A076D">
              <w:t>.0</w:t>
            </w:r>
          </w:p>
        </w:tc>
      </w:tr>
      <w:tr w:rsidR="00057F93" w:rsidRPr="001A076D" w14:paraId="4095AFCE" w14:textId="77777777" w:rsidTr="00175C6C">
        <w:tc>
          <w:tcPr>
            <w:tcW w:w="833" w:type="dxa"/>
            <w:vMerge/>
            <w:vAlign w:val="center"/>
          </w:tcPr>
          <w:p w14:paraId="0BE84866" w14:textId="77777777" w:rsidR="00AF3E64" w:rsidRPr="001A076D" w:rsidRDefault="00AF3E64" w:rsidP="00175C6C">
            <w:pPr>
              <w:pStyle w:val="NormalWeb"/>
              <w:jc w:val="center"/>
            </w:pPr>
          </w:p>
        </w:tc>
        <w:tc>
          <w:tcPr>
            <w:tcW w:w="1224" w:type="dxa"/>
            <w:vAlign w:val="center"/>
          </w:tcPr>
          <w:p w14:paraId="692E1DB6" w14:textId="77777777" w:rsidR="00AF3E64" w:rsidRPr="001A076D" w:rsidRDefault="00AF3E64" w:rsidP="00175C6C">
            <w:pPr>
              <w:pStyle w:val="NormalWeb"/>
              <w:jc w:val="center"/>
            </w:pPr>
            <w:r w:rsidRPr="001A076D">
              <w:t>Total</w:t>
            </w:r>
          </w:p>
        </w:tc>
        <w:tc>
          <w:tcPr>
            <w:tcW w:w="1156" w:type="dxa"/>
            <w:vAlign w:val="center"/>
          </w:tcPr>
          <w:p w14:paraId="2936B2D9" w14:textId="77777777" w:rsidR="00AF3E64" w:rsidRPr="001A076D" w:rsidRDefault="00AF3E64" w:rsidP="00175C6C">
            <w:pPr>
              <w:pStyle w:val="NormalWeb"/>
              <w:jc w:val="center"/>
            </w:pPr>
            <w:r w:rsidRPr="001A076D">
              <w:t>66</w:t>
            </w:r>
          </w:p>
        </w:tc>
        <w:tc>
          <w:tcPr>
            <w:tcW w:w="1156" w:type="dxa"/>
            <w:vAlign w:val="center"/>
          </w:tcPr>
          <w:p w14:paraId="3277FF9B" w14:textId="77777777" w:rsidR="00AF3E64" w:rsidRPr="001A076D" w:rsidRDefault="00AF3E64" w:rsidP="00175C6C">
            <w:pPr>
              <w:pStyle w:val="NormalWeb"/>
              <w:jc w:val="center"/>
            </w:pPr>
            <w:r w:rsidRPr="001A076D">
              <w:t>100.0</w:t>
            </w:r>
          </w:p>
        </w:tc>
      </w:tr>
      <w:tr w:rsidR="004F2125" w:rsidRPr="001A076D" w14:paraId="3FFDDE6D" w14:textId="77777777" w:rsidTr="00175C6C">
        <w:tc>
          <w:tcPr>
            <w:tcW w:w="4369" w:type="dxa"/>
            <w:gridSpan w:val="4"/>
            <w:vAlign w:val="center"/>
          </w:tcPr>
          <w:p w14:paraId="49864B26" w14:textId="77777777" w:rsidR="00AF3E64" w:rsidRPr="001A076D" w:rsidRDefault="00AF3E64" w:rsidP="00175C6C">
            <w:pPr>
              <w:pStyle w:val="NormalWeb"/>
              <w:jc w:val="center"/>
            </w:pPr>
            <w:r w:rsidRPr="001A076D">
              <w:t>a. Listwise deletion based on all variables in the procedure.</w:t>
            </w:r>
          </w:p>
        </w:tc>
      </w:tr>
    </w:tbl>
    <w:p w14:paraId="094ACB7A" w14:textId="77777777" w:rsidR="00AF3E64" w:rsidRPr="001A076D" w:rsidRDefault="00AF3E64" w:rsidP="00AF3E64">
      <w:pPr>
        <w:pStyle w:val="NormalWeb"/>
      </w:pPr>
    </w:p>
    <w:tbl>
      <w:tblPr>
        <w:tblStyle w:val="TableGrid"/>
        <w:tblW w:w="0" w:type="auto"/>
        <w:tblLayout w:type="fixed"/>
        <w:tblLook w:val="04A0" w:firstRow="1" w:lastRow="0" w:firstColumn="1" w:lastColumn="0" w:noHBand="0" w:noVBand="1"/>
      </w:tblPr>
      <w:tblGrid>
        <w:gridCol w:w="1666"/>
        <w:gridCol w:w="1241"/>
      </w:tblGrid>
      <w:tr w:rsidR="00057F93" w:rsidRPr="001A076D" w14:paraId="0524CE5B" w14:textId="77777777" w:rsidTr="00AF3E64">
        <w:tc>
          <w:tcPr>
            <w:tcW w:w="2907" w:type="dxa"/>
            <w:gridSpan w:val="2"/>
          </w:tcPr>
          <w:p w14:paraId="156CAC90" w14:textId="77777777" w:rsidR="00AF3E64" w:rsidRPr="001A076D" w:rsidRDefault="00AF3E64" w:rsidP="00E55DD6">
            <w:pPr>
              <w:pStyle w:val="NormalWeb"/>
              <w:jc w:val="center"/>
            </w:pPr>
            <w:r w:rsidRPr="001A076D">
              <w:rPr>
                <w:b/>
              </w:rPr>
              <w:t>Reliability Statistics</w:t>
            </w:r>
          </w:p>
        </w:tc>
      </w:tr>
      <w:tr w:rsidR="00057F93" w:rsidRPr="001A076D" w14:paraId="51610B23" w14:textId="77777777" w:rsidTr="00AF3E64">
        <w:tc>
          <w:tcPr>
            <w:tcW w:w="1666" w:type="dxa"/>
          </w:tcPr>
          <w:p w14:paraId="700D3BD1" w14:textId="77777777" w:rsidR="00AF3E64" w:rsidRPr="001A076D" w:rsidRDefault="00AF3E64" w:rsidP="00E55DD6">
            <w:pPr>
              <w:pStyle w:val="NormalWeb"/>
              <w:jc w:val="center"/>
            </w:pPr>
            <w:r w:rsidRPr="001A076D">
              <w:t>Cronbach's Alpha</w:t>
            </w:r>
          </w:p>
        </w:tc>
        <w:tc>
          <w:tcPr>
            <w:tcW w:w="1241" w:type="dxa"/>
          </w:tcPr>
          <w:p w14:paraId="46BCBB0F" w14:textId="77777777" w:rsidR="00AF3E64" w:rsidRPr="001A076D" w:rsidRDefault="00AF3E64" w:rsidP="00E55DD6">
            <w:pPr>
              <w:pStyle w:val="NormalWeb"/>
              <w:jc w:val="center"/>
            </w:pPr>
            <w:r w:rsidRPr="001A076D">
              <w:t>N of Items</w:t>
            </w:r>
          </w:p>
        </w:tc>
      </w:tr>
      <w:tr w:rsidR="004F2125" w:rsidRPr="001A076D" w14:paraId="05DE1CC1" w14:textId="77777777" w:rsidTr="00AF3E64">
        <w:tc>
          <w:tcPr>
            <w:tcW w:w="1666" w:type="dxa"/>
          </w:tcPr>
          <w:p w14:paraId="12F50BA5" w14:textId="073A6D49" w:rsidR="00AF3E64" w:rsidRPr="001A076D" w:rsidRDefault="00E55DD6" w:rsidP="00E55DD6">
            <w:pPr>
              <w:pStyle w:val="NormalWeb"/>
              <w:jc w:val="center"/>
            </w:pPr>
            <w:r w:rsidRPr="001A076D">
              <w:t>0</w:t>
            </w:r>
            <w:r w:rsidR="00AF3E64" w:rsidRPr="001A076D">
              <w:t>.713</w:t>
            </w:r>
          </w:p>
        </w:tc>
        <w:tc>
          <w:tcPr>
            <w:tcW w:w="1241" w:type="dxa"/>
          </w:tcPr>
          <w:p w14:paraId="5DCC68D2" w14:textId="77777777" w:rsidR="00AF3E64" w:rsidRPr="001A076D" w:rsidRDefault="00AF3E64" w:rsidP="00E55DD6">
            <w:pPr>
              <w:pStyle w:val="NormalWeb"/>
              <w:jc w:val="center"/>
            </w:pPr>
            <w:r w:rsidRPr="001A076D">
              <w:t>4</w:t>
            </w:r>
          </w:p>
        </w:tc>
      </w:tr>
    </w:tbl>
    <w:p w14:paraId="722A4D3D" w14:textId="77777777" w:rsidR="00AF3E64" w:rsidRPr="001A076D" w:rsidRDefault="00AF3E64" w:rsidP="0025466D">
      <w:pPr>
        <w:rPr>
          <w:rStyle w:val="Strong"/>
          <w:rFonts w:eastAsiaTheme="majorEastAsia"/>
        </w:rPr>
      </w:pPr>
    </w:p>
    <w:p w14:paraId="0B9BD566" w14:textId="77777777" w:rsidR="00AF3E64" w:rsidRPr="001A076D" w:rsidRDefault="00AF3E64" w:rsidP="0025466D">
      <w:pPr>
        <w:rPr>
          <w:rStyle w:val="Strong"/>
          <w:rFonts w:eastAsiaTheme="majorEastAsia"/>
        </w:rPr>
      </w:pPr>
    </w:p>
    <w:p w14:paraId="21931A23" w14:textId="5BE21711" w:rsidR="0025466D" w:rsidRPr="001A076D" w:rsidRDefault="0025466D" w:rsidP="0025466D">
      <w:pPr>
        <w:rPr>
          <w:rStyle w:val="Strong"/>
          <w:rFonts w:eastAsiaTheme="majorEastAsia"/>
        </w:rPr>
      </w:pPr>
      <w:r w:rsidRPr="001A076D">
        <w:rPr>
          <w:rStyle w:val="Strong"/>
          <w:rFonts w:eastAsiaTheme="majorEastAsia"/>
        </w:rPr>
        <w:t>A5.3 Correlation Analysis</w:t>
      </w:r>
    </w:p>
    <w:p w14:paraId="1C11E07C" w14:textId="77777777" w:rsidR="00AF3E64" w:rsidRPr="001A076D" w:rsidRDefault="00AF3E64" w:rsidP="0025466D"/>
    <w:p w14:paraId="235E6863" w14:textId="77777777" w:rsidR="0025466D" w:rsidRPr="001A076D" w:rsidRDefault="0025466D" w:rsidP="00AF3E64">
      <w:pPr>
        <w:rPr>
          <w:b/>
          <w:bCs/>
        </w:rPr>
      </w:pPr>
      <w:r w:rsidRPr="001A076D">
        <w:rPr>
          <w:b/>
          <w:bCs/>
        </w:rPr>
        <w:t>Pearson Correlation Matrix</w:t>
      </w:r>
    </w:p>
    <w:p w14:paraId="26503D5B" w14:textId="77777777" w:rsidR="00E55DD6" w:rsidRPr="001A076D" w:rsidRDefault="00E55DD6" w:rsidP="00AF3E64">
      <w:pPr>
        <w:rPr>
          <w:b/>
          <w:bCs/>
        </w:rPr>
      </w:pPr>
    </w:p>
    <w:p w14:paraId="17FD6CAE" w14:textId="384292CB" w:rsidR="00E55DD6" w:rsidRPr="001A076D" w:rsidRDefault="00E55DD6" w:rsidP="00AF3E64">
      <w:pPr>
        <w:rPr>
          <w:b/>
          <w:bCs/>
        </w:rPr>
      </w:pPr>
      <w:r w:rsidRPr="001A076D">
        <w:rPr>
          <w:b/>
          <w:bCs/>
        </w:rPr>
        <w:t>Table A5.6 – Descriptive Statistics for Correlation Variables</w:t>
      </w:r>
    </w:p>
    <w:p w14:paraId="108855E7" w14:textId="77777777" w:rsidR="00AF3E64" w:rsidRPr="001A076D" w:rsidRDefault="00AF3E64" w:rsidP="00AF3E64">
      <w:pPr>
        <w:rPr>
          <w:b/>
          <w:bCs/>
        </w:rPr>
      </w:pPr>
    </w:p>
    <w:tbl>
      <w:tblPr>
        <w:tblStyle w:val="TableGrid"/>
        <w:tblW w:w="0" w:type="auto"/>
        <w:tblLayout w:type="fixed"/>
        <w:tblLook w:val="04A0" w:firstRow="1" w:lastRow="0" w:firstColumn="1" w:lastColumn="0" w:noHBand="0" w:noVBand="1"/>
      </w:tblPr>
      <w:tblGrid>
        <w:gridCol w:w="833"/>
        <w:gridCol w:w="1156"/>
        <w:gridCol w:w="1581"/>
        <w:gridCol w:w="1156"/>
      </w:tblGrid>
      <w:tr w:rsidR="00057F93" w:rsidRPr="001A076D" w14:paraId="14C47DFA" w14:textId="77777777" w:rsidTr="00175C6C">
        <w:tc>
          <w:tcPr>
            <w:tcW w:w="4726" w:type="dxa"/>
            <w:gridSpan w:val="4"/>
            <w:vAlign w:val="center"/>
          </w:tcPr>
          <w:p w14:paraId="63BE40B0" w14:textId="77777777" w:rsidR="00AF3E64" w:rsidRPr="001A076D" w:rsidRDefault="00AF3E64" w:rsidP="00175C6C">
            <w:pPr>
              <w:spacing w:before="5" w:after="30"/>
              <w:ind w:left="30" w:right="40"/>
              <w:jc w:val="center"/>
            </w:pPr>
            <w:r w:rsidRPr="001A076D">
              <w:rPr>
                <w:rFonts w:eastAsia="Arial"/>
                <w:b/>
                <w:sz w:val="28"/>
              </w:rPr>
              <w:t>Descriptive Statistics</w:t>
            </w:r>
          </w:p>
        </w:tc>
      </w:tr>
      <w:tr w:rsidR="00057F93" w:rsidRPr="001A076D" w14:paraId="034F7900" w14:textId="77777777" w:rsidTr="00175C6C">
        <w:tc>
          <w:tcPr>
            <w:tcW w:w="833" w:type="dxa"/>
            <w:vAlign w:val="center"/>
          </w:tcPr>
          <w:p w14:paraId="512191B9" w14:textId="77777777" w:rsidR="00AF3E64" w:rsidRPr="001A076D" w:rsidRDefault="00AF3E64" w:rsidP="00175C6C">
            <w:pPr>
              <w:spacing w:before="15" w:after="5"/>
              <w:ind w:left="30" w:right="40"/>
              <w:jc w:val="center"/>
            </w:pPr>
          </w:p>
        </w:tc>
        <w:tc>
          <w:tcPr>
            <w:tcW w:w="1156" w:type="dxa"/>
            <w:vAlign w:val="center"/>
          </w:tcPr>
          <w:p w14:paraId="0FE03F00" w14:textId="77777777" w:rsidR="00AF3E64" w:rsidRPr="001A076D" w:rsidRDefault="00AF3E64" w:rsidP="00175C6C">
            <w:pPr>
              <w:spacing w:before="10" w:after="10"/>
              <w:ind w:left="30" w:right="40"/>
              <w:jc w:val="center"/>
            </w:pPr>
            <w:r w:rsidRPr="001A076D">
              <w:rPr>
                <w:rFonts w:eastAsia="Arial"/>
              </w:rPr>
              <w:t>Mean</w:t>
            </w:r>
          </w:p>
        </w:tc>
        <w:tc>
          <w:tcPr>
            <w:tcW w:w="1581" w:type="dxa"/>
            <w:vAlign w:val="center"/>
          </w:tcPr>
          <w:p w14:paraId="28DD9FD8" w14:textId="77777777" w:rsidR="00AF3E64" w:rsidRPr="001A076D" w:rsidRDefault="00AF3E64" w:rsidP="00175C6C">
            <w:pPr>
              <w:spacing w:before="10" w:after="10"/>
              <w:ind w:left="30" w:right="40"/>
              <w:jc w:val="center"/>
            </w:pPr>
            <w:r w:rsidRPr="001A076D">
              <w:rPr>
                <w:rFonts w:eastAsia="Arial"/>
              </w:rPr>
              <w:t>Std. Deviation</w:t>
            </w:r>
          </w:p>
        </w:tc>
        <w:tc>
          <w:tcPr>
            <w:tcW w:w="1156" w:type="dxa"/>
            <w:vAlign w:val="center"/>
          </w:tcPr>
          <w:p w14:paraId="5949E7D3" w14:textId="77777777" w:rsidR="00AF3E64" w:rsidRPr="001A076D" w:rsidRDefault="00AF3E64" w:rsidP="00175C6C">
            <w:pPr>
              <w:spacing w:before="10" w:after="10"/>
              <w:ind w:left="30" w:right="40"/>
              <w:jc w:val="center"/>
            </w:pPr>
            <w:r w:rsidRPr="001A076D">
              <w:rPr>
                <w:rFonts w:eastAsia="Arial"/>
              </w:rPr>
              <w:t>N</w:t>
            </w:r>
          </w:p>
        </w:tc>
      </w:tr>
      <w:tr w:rsidR="00057F93" w:rsidRPr="001A076D" w14:paraId="41A5973C" w14:textId="77777777" w:rsidTr="00175C6C">
        <w:tc>
          <w:tcPr>
            <w:tcW w:w="833" w:type="dxa"/>
            <w:vAlign w:val="center"/>
          </w:tcPr>
          <w:p w14:paraId="1AE1A555" w14:textId="77777777" w:rsidR="00AF3E64" w:rsidRPr="001A076D" w:rsidRDefault="00AF3E64" w:rsidP="00175C6C">
            <w:pPr>
              <w:spacing w:before="15" w:after="10"/>
              <w:ind w:left="30" w:right="40"/>
              <w:jc w:val="center"/>
            </w:pPr>
            <w:r w:rsidRPr="001A076D">
              <w:rPr>
                <w:rFonts w:eastAsia="Arial"/>
              </w:rPr>
              <w:t>SE</w:t>
            </w:r>
          </w:p>
        </w:tc>
        <w:tc>
          <w:tcPr>
            <w:tcW w:w="1156" w:type="dxa"/>
            <w:vAlign w:val="center"/>
          </w:tcPr>
          <w:p w14:paraId="5D90676D" w14:textId="77777777" w:rsidR="00AF3E64" w:rsidRPr="001A076D" w:rsidRDefault="00AF3E64" w:rsidP="00175C6C">
            <w:pPr>
              <w:spacing w:before="15" w:after="10"/>
              <w:ind w:left="30" w:right="40"/>
              <w:jc w:val="center"/>
            </w:pPr>
            <w:r w:rsidRPr="001A076D">
              <w:rPr>
                <w:rFonts w:eastAsia="Arial"/>
              </w:rPr>
              <w:t>4.1705</w:t>
            </w:r>
          </w:p>
        </w:tc>
        <w:tc>
          <w:tcPr>
            <w:tcW w:w="1581" w:type="dxa"/>
            <w:vAlign w:val="center"/>
          </w:tcPr>
          <w:p w14:paraId="07DC9E43" w14:textId="77777777" w:rsidR="00AF3E64" w:rsidRPr="001A076D" w:rsidRDefault="00AF3E64" w:rsidP="00175C6C">
            <w:pPr>
              <w:spacing w:before="15" w:after="10"/>
              <w:ind w:left="30" w:right="40"/>
              <w:jc w:val="center"/>
            </w:pPr>
            <w:r w:rsidRPr="001A076D">
              <w:rPr>
                <w:rFonts w:eastAsia="Arial"/>
              </w:rPr>
              <w:t>.48070</w:t>
            </w:r>
          </w:p>
        </w:tc>
        <w:tc>
          <w:tcPr>
            <w:tcW w:w="1156" w:type="dxa"/>
            <w:vAlign w:val="center"/>
          </w:tcPr>
          <w:p w14:paraId="35B025C4" w14:textId="77777777" w:rsidR="00AF3E64" w:rsidRPr="001A076D" w:rsidRDefault="00AF3E64" w:rsidP="00175C6C">
            <w:pPr>
              <w:spacing w:before="15" w:after="10"/>
              <w:ind w:left="30" w:right="40"/>
              <w:jc w:val="center"/>
            </w:pPr>
            <w:r w:rsidRPr="001A076D">
              <w:rPr>
                <w:rFonts w:eastAsia="Arial"/>
              </w:rPr>
              <w:t>66</w:t>
            </w:r>
          </w:p>
        </w:tc>
      </w:tr>
      <w:tr w:rsidR="00057F93" w:rsidRPr="001A076D" w14:paraId="2ED0DBAC" w14:textId="77777777" w:rsidTr="00175C6C">
        <w:tc>
          <w:tcPr>
            <w:tcW w:w="833" w:type="dxa"/>
            <w:vAlign w:val="center"/>
          </w:tcPr>
          <w:p w14:paraId="08A7BA22" w14:textId="77777777" w:rsidR="00AF3E64" w:rsidRPr="001A076D" w:rsidRDefault="00AF3E64" w:rsidP="00175C6C">
            <w:pPr>
              <w:spacing w:before="15" w:after="10"/>
              <w:ind w:left="30" w:right="40"/>
              <w:jc w:val="center"/>
            </w:pPr>
            <w:r w:rsidRPr="001A076D">
              <w:rPr>
                <w:rFonts w:eastAsia="Arial"/>
              </w:rPr>
              <w:t>PAC</w:t>
            </w:r>
          </w:p>
        </w:tc>
        <w:tc>
          <w:tcPr>
            <w:tcW w:w="1156" w:type="dxa"/>
            <w:vAlign w:val="center"/>
          </w:tcPr>
          <w:p w14:paraId="259C5BF5" w14:textId="77777777" w:rsidR="00AF3E64" w:rsidRPr="001A076D" w:rsidRDefault="00AF3E64" w:rsidP="00175C6C">
            <w:pPr>
              <w:spacing w:before="15" w:after="10"/>
              <w:ind w:left="30" w:right="40"/>
              <w:jc w:val="center"/>
            </w:pPr>
            <w:r w:rsidRPr="001A076D">
              <w:rPr>
                <w:rFonts w:eastAsia="Arial"/>
              </w:rPr>
              <w:t>4.2323</w:t>
            </w:r>
          </w:p>
        </w:tc>
        <w:tc>
          <w:tcPr>
            <w:tcW w:w="1581" w:type="dxa"/>
            <w:vAlign w:val="center"/>
          </w:tcPr>
          <w:p w14:paraId="7A8082EB" w14:textId="77777777" w:rsidR="00AF3E64" w:rsidRPr="001A076D" w:rsidRDefault="00AF3E64" w:rsidP="00175C6C">
            <w:pPr>
              <w:spacing w:before="15" w:after="10"/>
              <w:ind w:left="30" w:right="40"/>
              <w:jc w:val="center"/>
            </w:pPr>
            <w:r w:rsidRPr="001A076D">
              <w:rPr>
                <w:rFonts w:eastAsia="Arial"/>
              </w:rPr>
              <w:t>.47401</w:t>
            </w:r>
          </w:p>
        </w:tc>
        <w:tc>
          <w:tcPr>
            <w:tcW w:w="1156" w:type="dxa"/>
            <w:vAlign w:val="center"/>
          </w:tcPr>
          <w:p w14:paraId="2F2B6510" w14:textId="77777777" w:rsidR="00AF3E64" w:rsidRPr="001A076D" w:rsidRDefault="00AF3E64" w:rsidP="00175C6C">
            <w:pPr>
              <w:spacing w:before="15" w:after="10"/>
              <w:ind w:left="30" w:right="40"/>
              <w:jc w:val="center"/>
            </w:pPr>
            <w:r w:rsidRPr="001A076D">
              <w:rPr>
                <w:rFonts w:eastAsia="Arial"/>
              </w:rPr>
              <w:t>66</w:t>
            </w:r>
          </w:p>
        </w:tc>
      </w:tr>
      <w:tr w:rsidR="00057F93" w:rsidRPr="001A076D" w14:paraId="6E2E35CE" w14:textId="77777777" w:rsidTr="00175C6C">
        <w:tc>
          <w:tcPr>
            <w:tcW w:w="833" w:type="dxa"/>
            <w:vAlign w:val="center"/>
          </w:tcPr>
          <w:p w14:paraId="1D882C8E" w14:textId="77777777" w:rsidR="00AF3E64" w:rsidRPr="001A076D" w:rsidRDefault="00AF3E64" w:rsidP="00175C6C">
            <w:pPr>
              <w:spacing w:before="15" w:after="10"/>
              <w:ind w:left="30" w:right="40"/>
              <w:jc w:val="center"/>
            </w:pPr>
            <w:r w:rsidRPr="001A076D">
              <w:rPr>
                <w:rFonts w:eastAsia="Arial"/>
              </w:rPr>
              <w:t>GM</w:t>
            </w:r>
          </w:p>
        </w:tc>
        <w:tc>
          <w:tcPr>
            <w:tcW w:w="1156" w:type="dxa"/>
            <w:vAlign w:val="center"/>
          </w:tcPr>
          <w:p w14:paraId="0C21F99D" w14:textId="77777777" w:rsidR="00AF3E64" w:rsidRPr="001A076D" w:rsidRDefault="00AF3E64" w:rsidP="00175C6C">
            <w:pPr>
              <w:spacing w:before="15" w:after="10"/>
              <w:ind w:left="30" w:right="40"/>
              <w:jc w:val="center"/>
            </w:pPr>
            <w:r w:rsidRPr="001A076D">
              <w:rPr>
                <w:rFonts w:eastAsia="Arial"/>
              </w:rPr>
              <w:t>4.1235</w:t>
            </w:r>
          </w:p>
        </w:tc>
        <w:tc>
          <w:tcPr>
            <w:tcW w:w="1581" w:type="dxa"/>
            <w:vAlign w:val="center"/>
          </w:tcPr>
          <w:p w14:paraId="0E71AE17" w14:textId="77777777" w:rsidR="00AF3E64" w:rsidRPr="001A076D" w:rsidRDefault="00AF3E64" w:rsidP="00175C6C">
            <w:pPr>
              <w:spacing w:before="15" w:after="10"/>
              <w:ind w:left="30" w:right="40"/>
              <w:jc w:val="center"/>
            </w:pPr>
            <w:r w:rsidRPr="001A076D">
              <w:rPr>
                <w:rFonts w:eastAsia="Arial"/>
              </w:rPr>
              <w:t>.65347</w:t>
            </w:r>
          </w:p>
        </w:tc>
        <w:tc>
          <w:tcPr>
            <w:tcW w:w="1156" w:type="dxa"/>
            <w:vAlign w:val="center"/>
          </w:tcPr>
          <w:p w14:paraId="3A3068B8" w14:textId="77777777" w:rsidR="00AF3E64" w:rsidRPr="001A076D" w:rsidRDefault="00AF3E64" w:rsidP="00175C6C">
            <w:pPr>
              <w:spacing w:before="15" w:after="10"/>
              <w:ind w:left="30" w:right="40"/>
              <w:jc w:val="center"/>
            </w:pPr>
            <w:r w:rsidRPr="001A076D">
              <w:rPr>
                <w:rFonts w:eastAsia="Arial"/>
              </w:rPr>
              <w:t>66</w:t>
            </w:r>
          </w:p>
        </w:tc>
      </w:tr>
      <w:tr w:rsidR="004F2125" w:rsidRPr="001A076D" w14:paraId="3A55E4B5" w14:textId="77777777" w:rsidTr="00175C6C">
        <w:tc>
          <w:tcPr>
            <w:tcW w:w="833" w:type="dxa"/>
            <w:vAlign w:val="center"/>
          </w:tcPr>
          <w:p w14:paraId="7DD30D4D" w14:textId="77777777" w:rsidR="00AF3E64" w:rsidRPr="001A076D" w:rsidRDefault="00AF3E64" w:rsidP="00175C6C">
            <w:pPr>
              <w:spacing w:before="15" w:after="10"/>
              <w:ind w:left="30" w:right="40"/>
              <w:jc w:val="center"/>
            </w:pPr>
            <w:r w:rsidRPr="001A076D">
              <w:rPr>
                <w:rFonts w:eastAsia="Arial"/>
              </w:rPr>
              <w:t>TE</w:t>
            </w:r>
          </w:p>
        </w:tc>
        <w:tc>
          <w:tcPr>
            <w:tcW w:w="1156" w:type="dxa"/>
            <w:vAlign w:val="center"/>
          </w:tcPr>
          <w:p w14:paraId="24B251B7" w14:textId="77777777" w:rsidR="00AF3E64" w:rsidRPr="001A076D" w:rsidRDefault="00AF3E64" w:rsidP="00175C6C">
            <w:pPr>
              <w:spacing w:before="15" w:after="10"/>
              <w:ind w:left="30" w:right="40"/>
              <w:jc w:val="center"/>
            </w:pPr>
            <w:r w:rsidRPr="001A076D">
              <w:rPr>
                <w:rFonts w:eastAsia="Arial"/>
              </w:rPr>
              <w:t>4.2091</w:t>
            </w:r>
          </w:p>
        </w:tc>
        <w:tc>
          <w:tcPr>
            <w:tcW w:w="1581" w:type="dxa"/>
            <w:vAlign w:val="center"/>
          </w:tcPr>
          <w:p w14:paraId="67F58E01" w14:textId="77777777" w:rsidR="00AF3E64" w:rsidRPr="001A076D" w:rsidRDefault="00AF3E64" w:rsidP="00175C6C">
            <w:pPr>
              <w:spacing w:before="15" w:after="10"/>
              <w:ind w:left="30" w:right="40"/>
              <w:jc w:val="center"/>
            </w:pPr>
            <w:r w:rsidRPr="001A076D">
              <w:rPr>
                <w:rFonts w:eastAsia="Arial"/>
              </w:rPr>
              <w:t>.52205</w:t>
            </w:r>
          </w:p>
        </w:tc>
        <w:tc>
          <w:tcPr>
            <w:tcW w:w="1156" w:type="dxa"/>
            <w:vAlign w:val="center"/>
          </w:tcPr>
          <w:p w14:paraId="5255A2DD" w14:textId="77777777" w:rsidR="00AF3E64" w:rsidRPr="001A076D" w:rsidRDefault="00AF3E64" w:rsidP="00175C6C">
            <w:pPr>
              <w:spacing w:before="15" w:after="10"/>
              <w:ind w:left="30" w:right="40"/>
              <w:jc w:val="center"/>
            </w:pPr>
            <w:r w:rsidRPr="001A076D">
              <w:rPr>
                <w:rFonts w:eastAsia="Arial"/>
              </w:rPr>
              <w:t>66</w:t>
            </w:r>
          </w:p>
        </w:tc>
      </w:tr>
    </w:tbl>
    <w:p w14:paraId="0C33C73A" w14:textId="77777777" w:rsidR="00AF3E64" w:rsidRPr="001A076D" w:rsidRDefault="00AF3E64" w:rsidP="00AF3E64"/>
    <w:p w14:paraId="34485C5F" w14:textId="3CA1426B" w:rsidR="00E55DD6" w:rsidRPr="001A076D" w:rsidRDefault="00E55DD6" w:rsidP="00AF3E64">
      <w:pPr>
        <w:rPr>
          <w:b/>
          <w:bCs/>
        </w:rPr>
      </w:pPr>
      <w:r w:rsidRPr="001A076D">
        <w:rPr>
          <w:b/>
          <w:bCs/>
        </w:rPr>
        <w:lastRenderedPageBreak/>
        <w:t>Table A5.7 – Pearson Correlation Matrix</w:t>
      </w:r>
    </w:p>
    <w:p w14:paraId="0C5AD2AC" w14:textId="77777777" w:rsidR="00AF3E64" w:rsidRPr="001A076D" w:rsidRDefault="00AF3E64" w:rsidP="00AF3E64">
      <w:pPr>
        <w:rPr>
          <w:b/>
          <w:bCs/>
        </w:rPr>
      </w:pPr>
    </w:p>
    <w:tbl>
      <w:tblPr>
        <w:tblStyle w:val="TableGrid"/>
        <w:tblW w:w="0" w:type="auto"/>
        <w:tblLayout w:type="fixed"/>
        <w:tblLook w:val="04A0" w:firstRow="1" w:lastRow="0" w:firstColumn="1" w:lastColumn="0" w:noHBand="0" w:noVBand="1"/>
      </w:tblPr>
      <w:tblGrid>
        <w:gridCol w:w="954"/>
        <w:gridCol w:w="2473"/>
        <w:gridCol w:w="1324"/>
        <w:gridCol w:w="1324"/>
        <w:gridCol w:w="1324"/>
        <w:gridCol w:w="1324"/>
      </w:tblGrid>
      <w:tr w:rsidR="00057F93" w:rsidRPr="001A076D" w14:paraId="45CA486C" w14:textId="77777777" w:rsidTr="0065076D">
        <w:trPr>
          <w:trHeight w:val="271"/>
        </w:trPr>
        <w:tc>
          <w:tcPr>
            <w:tcW w:w="8723" w:type="dxa"/>
            <w:gridSpan w:val="6"/>
            <w:vAlign w:val="center"/>
          </w:tcPr>
          <w:p w14:paraId="360A5777" w14:textId="77777777" w:rsidR="00175C6C" w:rsidRPr="001A076D" w:rsidRDefault="00175C6C" w:rsidP="00175C6C">
            <w:pPr>
              <w:jc w:val="center"/>
              <w:rPr>
                <w:b/>
                <w:bCs/>
              </w:rPr>
            </w:pPr>
            <w:r w:rsidRPr="001A076D">
              <w:rPr>
                <w:b/>
                <w:bCs/>
              </w:rPr>
              <w:t>Correlations</w:t>
            </w:r>
          </w:p>
        </w:tc>
      </w:tr>
      <w:tr w:rsidR="00057F93" w:rsidRPr="001A076D" w14:paraId="1BA0B0D0" w14:textId="77777777" w:rsidTr="0065076D">
        <w:trPr>
          <w:trHeight w:val="271"/>
        </w:trPr>
        <w:tc>
          <w:tcPr>
            <w:tcW w:w="3427" w:type="dxa"/>
            <w:gridSpan w:val="2"/>
            <w:vAlign w:val="center"/>
          </w:tcPr>
          <w:p w14:paraId="7C49290D" w14:textId="77777777" w:rsidR="00175C6C" w:rsidRPr="001A076D" w:rsidRDefault="00175C6C" w:rsidP="00175C6C">
            <w:pPr>
              <w:jc w:val="center"/>
              <w:rPr>
                <w:b/>
                <w:bCs/>
              </w:rPr>
            </w:pPr>
          </w:p>
        </w:tc>
        <w:tc>
          <w:tcPr>
            <w:tcW w:w="1324" w:type="dxa"/>
            <w:vAlign w:val="center"/>
          </w:tcPr>
          <w:p w14:paraId="1DB8E56A" w14:textId="77777777" w:rsidR="00175C6C" w:rsidRPr="001A076D" w:rsidRDefault="00175C6C" w:rsidP="00175C6C">
            <w:pPr>
              <w:jc w:val="center"/>
              <w:rPr>
                <w:b/>
                <w:bCs/>
              </w:rPr>
            </w:pPr>
            <w:r w:rsidRPr="001A076D">
              <w:rPr>
                <w:b/>
                <w:bCs/>
              </w:rPr>
              <w:t>PAC</w:t>
            </w:r>
          </w:p>
        </w:tc>
        <w:tc>
          <w:tcPr>
            <w:tcW w:w="1324" w:type="dxa"/>
            <w:vAlign w:val="center"/>
          </w:tcPr>
          <w:p w14:paraId="5945D991" w14:textId="77777777" w:rsidR="00175C6C" w:rsidRPr="001A076D" w:rsidRDefault="00175C6C" w:rsidP="00175C6C">
            <w:pPr>
              <w:jc w:val="center"/>
              <w:rPr>
                <w:b/>
                <w:bCs/>
              </w:rPr>
            </w:pPr>
            <w:r w:rsidRPr="001A076D">
              <w:rPr>
                <w:b/>
                <w:bCs/>
              </w:rPr>
              <w:t>GM</w:t>
            </w:r>
          </w:p>
        </w:tc>
        <w:tc>
          <w:tcPr>
            <w:tcW w:w="1324" w:type="dxa"/>
            <w:vAlign w:val="center"/>
          </w:tcPr>
          <w:p w14:paraId="67B86325" w14:textId="77777777" w:rsidR="00175C6C" w:rsidRPr="001A076D" w:rsidRDefault="00175C6C" w:rsidP="00175C6C">
            <w:pPr>
              <w:jc w:val="center"/>
              <w:rPr>
                <w:b/>
                <w:bCs/>
              </w:rPr>
            </w:pPr>
            <w:r w:rsidRPr="001A076D">
              <w:rPr>
                <w:b/>
                <w:bCs/>
              </w:rPr>
              <w:t>TE</w:t>
            </w:r>
          </w:p>
        </w:tc>
        <w:tc>
          <w:tcPr>
            <w:tcW w:w="1324" w:type="dxa"/>
            <w:vAlign w:val="center"/>
          </w:tcPr>
          <w:p w14:paraId="27C0699F" w14:textId="77777777" w:rsidR="00175C6C" w:rsidRPr="001A076D" w:rsidRDefault="00175C6C" w:rsidP="00175C6C">
            <w:pPr>
              <w:jc w:val="center"/>
              <w:rPr>
                <w:b/>
                <w:bCs/>
              </w:rPr>
            </w:pPr>
            <w:r w:rsidRPr="001A076D">
              <w:rPr>
                <w:b/>
                <w:bCs/>
              </w:rPr>
              <w:t>SE</w:t>
            </w:r>
          </w:p>
        </w:tc>
      </w:tr>
      <w:tr w:rsidR="00057F93" w:rsidRPr="001A076D" w14:paraId="7CF3CE03" w14:textId="77777777" w:rsidTr="0065076D">
        <w:trPr>
          <w:trHeight w:val="283"/>
        </w:trPr>
        <w:tc>
          <w:tcPr>
            <w:tcW w:w="954" w:type="dxa"/>
            <w:vMerge w:val="restart"/>
            <w:vAlign w:val="center"/>
          </w:tcPr>
          <w:p w14:paraId="7EABC9F1" w14:textId="77777777" w:rsidR="00175C6C" w:rsidRPr="001A076D" w:rsidRDefault="00175C6C" w:rsidP="00175C6C">
            <w:pPr>
              <w:jc w:val="center"/>
              <w:rPr>
                <w:b/>
                <w:bCs/>
              </w:rPr>
            </w:pPr>
            <w:r w:rsidRPr="001A076D">
              <w:rPr>
                <w:b/>
                <w:bCs/>
              </w:rPr>
              <w:t>PAC</w:t>
            </w:r>
          </w:p>
        </w:tc>
        <w:tc>
          <w:tcPr>
            <w:tcW w:w="2472" w:type="dxa"/>
            <w:vAlign w:val="center"/>
          </w:tcPr>
          <w:p w14:paraId="1F6F0D1A" w14:textId="77777777" w:rsidR="00175C6C" w:rsidRPr="001A076D" w:rsidRDefault="00175C6C" w:rsidP="00175C6C">
            <w:pPr>
              <w:jc w:val="center"/>
            </w:pPr>
            <w:r w:rsidRPr="001A076D">
              <w:t>Pearson Correlation</w:t>
            </w:r>
          </w:p>
        </w:tc>
        <w:tc>
          <w:tcPr>
            <w:tcW w:w="1324" w:type="dxa"/>
            <w:vAlign w:val="center"/>
          </w:tcPr>
          <w:p w14:paraId="02565D2A" w14:textId="77777777" w:rsidR="00175C6C" w:rsidRPr="001A076D" w:rsidRDefault="00175C6C" w:rsidP="00175C6C">
            <w:pPr>
              <w:jc w:val="center"/>
            </w:pPr>
            <w:r w:rsidRPr="001A076D">
              <w:t>1</w:t>
            </w:r>
          </w:p>
        </w:tc>
        <w:tc>
          <w:tcPr>
            <w:tcW w:w="1324" w:type="dxa"/>
            <w:vAlign w:val="center"/>
          </w:tcPr>
          <w:p w14:paraId="4640C902" w14:textId="77777777" w:rsidR="00175C6C" w:rsidRPr="001A076D" w:rsidRDefault="00175C6C" w:rsidP="00175C6C">
            <w:pPr>
              <w:jc w:val="center"/>
            </w:pPr>
            <w:r w:rsidRPr="001A076D">
              <w:t>.543</w:t>
            </w:r>
            <w:r w:rsidRPr="001A076D">
              <w:rPr>
                <w:vertAlign w:val="superscript"/>
              </w:rPr>
              <w:t>**</w:t>
            </w:r>
          </w:p>
        </w:tc>
        <w:tc>
          <w:tcPr>
            <w:tcW w:w="1324" w:type="dxa"/>
            <w:vAlign w:val="center"/>
          </w:tcPr>
          <w:p w14:paraId="3E6C26C6" w14:textId="77777777" w:rsidR="00175C6C" w:rsidRPr="001A076D" w:rsidRDefault="00175C6C" w:rsidP="00175C6C">
            <w:pPr>
              <w:jc w:val="center"/>
            </w:pPr>
            <w:r w:rsidRPr="001A076D">
              <w:t>.514</w:t>
            </w:r>
            <w:r w:rsidRPr="001A076D">
              <w:rPr>
                <w:vertAlign w:val="superscript"/>
              </w:rPr>
              <w:t>**</w:t>
            </w:r>
          </w:p>
        </w:tc>
        <w:tc>
          <w:tcPr>
            <w:tcW w:w="1324" w:type="dxa"/>
            <w:vAlign w:val="center"/>
          </w:tcPr>
          <w:p w14:paraId="56184AA0" w14:textId="77777777" w:rsidR="00175C6C" w:rsidRPr="001A076D" w:rsidRDefault="00175C6C" w:rsidP="00175C6C">
            <w:pPr>
              <w:jc w:val="center"/>
            </w:pPr>
            <w:r w:rsidRPr="001A076D">
              <w:t>.527</w:t>
            </w:r>
            <w:r w:rsidRPr="001A076D">
              <w:rPr>
                <w:vertAlign w:val="superscript"/>
              </w:rPr>
              <w:t>**</w:t>
            </w:r>
          </w:p>
        </w:tc>
      </w:tr>
      <w:tr w:rsidR="00057F93" w:rsidRPr="001A076D" w14:paraId="40A36AE4" w14:textId="77777777" w:rsidTr="0065076D">
        <w:trPr>
          <w:trHeight w:val="144"/>
        </w:trPr>
        <w:tc>
          <w:tcPr>
            <w:tcW w:w="954" w:type="dxa"/>
            <w:vMerge/>
            <w:vAlign w:val="center"/>
          </w:tcPr>
          <w:p w14:paraId="30334CE4" w14:textId="77777777" w:rsidR="00175C6C" w:rsidRPr="001A076D" w:rsidRDefault="00175C6C" w:rsidP="00175C6C">
            <w:pPr>
              <w:jc w:val="center"/>
              <w:rPr>
                <w:b/>
                <w:bCs/>
              </w:rPr>
            </w:pPr>
          </w:p>
        </w:tc>
        <w:tc>
          <w:tcPr>
            <w:tcW w:w="2472" w:type="dxa"/>
            <w:vAlign w:val="center"/>
          </w:tcPr>
          <w:p w14:paraId="3B198DC9" w14:textId="77777777" w:rsidR="00175C6C" w:rsidRPr="001A076D" w:rsidRDefault="00175C6C" w:rsidP="00175C6C">
            <w:pPr>
              <w:jc w:val="center"/>
            </w:pPr>
            <w:r w:rsidRPr="001A076D">
              <w:t>Sig. (2-tailed)</w:t>
            </w:r>
          </w:p>
        </w:tc>
        <w:tc>
          <w:tcPr>
            <w:tcW w:w="1324" w:type="dxa"/>
            <w:vAlign w:val="center"/>
          </w:tcPr>
          <w:p w14:paraId="5E613262" w14:textId="77777777" w:rsidR="00175C6C" w:rsidRPr="001A076D" w:rsidRDefault="00175C6C" w:rsidP="00175C6C">
            <w:pPr>
              <w:jc w:val="center"/>
            </w:pPr>
          </w:p>
        </w:tc>
        <w:tc>
          <w:tcPr>
            <w:tcW w:w="1324" w:type="dxa"/>
            <w:vAlign w:val="center"/>
          </w:tcPr>
          <w:p w14:paraId="51D6B5B0" w14:textId="77777777" w:rsidR="00175C6C" w:rsidRPr="001A076D" w:rsidRDefault="00175C6C" w:rsidP="00175C6C">
            <w:pPr>
              <w:jc w:val="center"/>
            </w:pPr>
            <w:r w:rsidRPr="001A076D">
              <w:t>&lt;.001</w:t>
            </w:r>
          </w:p>
        </w:tc>
        <w:tc>
          <w:tcPr>
            <w:tcW w:w="1324" w:type="dxa"/>
            <w:vAlign w:val="center"/>
          </w:tcPr>
          <w:p w14:paraId="350503D8" w14:textId="77777777" w:rsidR="00175C6C" w:rsidRPr="001A076D" w:rsidRDefault="00175C6C" w:rsidP="00175C6C">
            <w:pPr>
              <w:jc w:val="center"/>
            </w:pPr>
            <w:r w:rsidRPr="001A076D">
              <w:t>&lt;.001</w:t>
            </w:r>
          </w:p>
        </w:tc>
        <w:tc>
          <w:tcPr>
            <w:tcW w:w="1324" w:type="dxa"/>
            <w:vAlign w:val="center"/>
          </w:tcPr>
          <w:p w14:paraId="1C714652" w14:textId="77777777" w:rsidR="00175C6C" w:rsidRPr="001A076D" w:rsidRDefault="00175C6C" w:rsidP="00175C6C">
            <w:pPr>
              <w:jc w:val="center"/>
            </w:pPr>
            <w:r w:rsidRPr="001A076D">
              <w:t>&lt;.001</w:t>
            </w:r>
          </w:p>
        </w:tc>
      </w:tr>
      <w:tr w:rsidR="00057F93" w:rsidRPr="001A076D" w14:paraId="276FE5A6" w14:textId="77777777" w:rsidTr="0065076D">
        <w:trPr>
          <w:trHeight w:val="144"/>
        </w:trPr>
        <w:tc>
          <w:tcPr>
            <w:tcW w:w="954" w:type="dxa"/>
            <w:vMerge/>
            <w:vAlign w:val="center"/>
          </w:tcPr>
          <w:p w14:paraId="58488205" w14:textId="77777777" w:rsidR="00175C6C" w:rsidRPr="001A076D" w:rsidRDefault="00175C6C" w:rsidP="00175C6C">
            <w:pPr>
              <w:jc w:val="center"/>
              <w:rPr>
                <w:b/>
                <w:bCs/>
              </w:rPr>
            </w:pPr>
          </w:p>
        </w:tc>
        <w:tc>
          <w:tcPr>
            <w:tcW w:w="2472" w:type="dxa"/>
            <w:vAlign w:val="center"/>
          </w:tcPr>
          <w:p w14:paraId="70B0E7CF" w14:textId="77777777" w:rsidR="00175C6C" w:rsidRPr="001A076D" w:rsidRDefault="00175C6C" w:rsidP="00175C6C">
            <w:pPr>
              <w:jc w:val="center"/>
            </w:pPr>
            <w:r w:rsidRPr="001A076D">
              <w:t>N</w:t>
            </w:r>
          </w:p>
        </w:tc>
        <w:tc>
          <w:tcPr>
            <w:tcW w:w="1324" w:type="dxa"/>
            <w:vAlign w:val="center"/>
          </w:tcPr>
          <w:p w14:paraId="4DB9E2EA" w14:textId="77777777" w:rsidR="00175C6C" w:rsidRPr="001A076D" w:rsidRDefault="00175C6C" w:rsidP="00175C6C">
            <w:pPr>
              <w:jc w:val="center"/>
            </w:pPr>
            <w:r w:rsidRPr="001A076D">
              <w:t>66</w:t>
            </w:r>
          </w:p>
        </w:tc>
        <w:tc>
          <w:tcPr>
            <w:tcW w:w="1324" w:type="dxa"/>
            <w:vAlign w:val="center"/>
          </w:tcPr>
          <w:p w14:paraId="6F430871" w14:textId="77777777" w:rsidR="00175C6C" w:rsidRPr="001A076D" w:rsidRDefault="00175C6C" w:rsidP="00175C6C">
            <w:pPr>
              <w:jc w:val="center"/>
            </w:pPr>
            <w:r w:rsidRPr="001A076D">
              <w:t>66</w:t>
            </w:r>
          </w:p>
        </w:tc>
        <w:tc>
          <w:tcPr>
            <w:tcW w:w="1324" w:type="dxa"/>
            <w:vAlign w:val="center"/>
          </w:tcPr>
          <w:p w14:paraId="79A7C44B" w14:textId="77777777" w:rsidR="00175C6C" w:rsidRPr="001A076D" w:rsidRDefault="00175C6C" w:rsidP="00175C6C">
            <w:pPr>
              <w:jc w:val="center"/>
            </w:pPr>
            <w:r w:rsidRPr="001A076D">
              <w:t>66</w:t>
            </w:r>
          </w:p>
        </w:tc>
        <w:tc>
          <w:tcPr>
            <w:tcW w:w="1324" w:type="dxa"/>
            <w:vAlign w:val="center"/>
          </w:tcPr>
          <w:p w14:paraId="34226B01" w14:textId="77777777" w:rsidR="00175C6C" w:rsidRPr="001A076D" w:rsidRDefault="00175C6C" w:rsidP="00175C6C">
            <w:pPr>
              <w:jc w:val="center"/>
            </w:pPr>
            <w:r w:rsidRPr="001A076D">
              <w:t>66</w:t>
            </w:r>
          </w:p>
        </w:tc>
      </w:tr>
      <w:tr w:rsidR="00057F93" w:rsidRPr="001A076D" w14:paraId="4142A00F" w14:textId="77777777" w:rsidTr="0065076D">
        <w:trPr>
          <w:trHeight w:val="271"/>
        </w:trPr>
        <w:tc>
          <w:tcPr>
            <w:tcW w:w="954" w:type="dxa"/>
            <w:vMerge w:val="restart"/>
            <w:vAlign w:val="center"/>
          </w:tcPr>
          <w:p w14:paraId="0AC9D472" w14:textId="77777777" w:rsidR="00175C6C" w:rsidRPr="001A076D" w:rsidRDefault="00175C6C" w:rsidP="00175C6C">
            <w:pPr>
              <w:jc w:val="center"/>
              <w:rPr>
                <w:b/>
                <w:bCs/>
              </w:rPr>
            </w:pPr>
            <w:r w:rsidRPr="001A076D">
              <w:rPr>
                <w:b/>
                <w:bCs/>
              </w:rPr>
              <w:t>GM</w:t>
            </w:r>
          </w:p>
        </w:tc>
        <w:tc>
          <w:tcPr>
            <w:tcW w:w="2472" w:type="dxa"/>
            <w:vAlign w:val="center"/>
          </w:tcPr>
          <w:p w14:paraId="7BE7C34C" w14:textId="77777777" w:rsidR="00175C6C" w:rsidRPr="001A076D" w:rsidRDefault="00175C6C" w:rsidP="00175C6C">
            <w:pPr>
              <w:jc w:val="center"/>
            </w:pPr>
            <w:r w:rsidRPr="001A076D">
              <w:t>Pearson Correlation</w:t>
            </w:r>
          </w:p>
        </w:tc>
        <w:tc>
          <w:tcPr>
            <w:tcW w:w="1324" w:type="dxa"/>
            <w:vAlign w:val="center"/>
          </w:tcPr>
          <w:p w14:paraId="053C290F" w14:textId="77777777" w:rsidR="00175C6C" w:rsidRPr="001A076D" w:rsidRDefault="00175C6C" w:rsidP="00175C6C">
            <w:pPr>
              <w:jc w:val="center"/>
            </w:pPr>
            <w:r w:rsidRPr="001A076D">
              <w:t>.543</w:t>
            </w:r>
            <w:r w:rsidRPr="001A076D">
              <w:rPr>
                <w:vertAlign w:val="superscript"/>
              </w:rPr>
              <w:t>**</w:t>
            </w:r>
          </w:p>
        </w:tc>
        <w:tc>
          <w:tcPr>
            <w:tcW w:w="1324" w:type="dxa"/>
            <w:vAlign w:val="center"/>
          </w:tcPr>
          <w:p w14:paraId="6FFFCDE2" w14:textId="77777777" w:rsidR="00175C6C" w:rsidRPr="001A076D" w:rsidRDefault="00175C6C" w:rsidP="00175C6C">
            <w:pPr>
              <w:jc w:val="center"/>
            </w:pPr>
            <w:r w:rsidRPr="001A076D">
              <w:t>1</w:t>
            </w:r>
          </w:p>
        </w:tc>
        <w:tc>
          <w:tcPr>
            <w:tcW w:w="1324" w:type="dxa"/>
            <w:vAlign w:val="center"/>
          </w:tcPr>
          <w:p w14:paraId="438A4219" w14:textId="77777777" w:rsidR="00175C6C" w:rsidRPr="001A076D" w:rsidRDefault="00175C6C" w:rsidP="00175C6C">
            <w:pPr>
              <w:jc w:val="center"/>
            </w:pPr>
            <w:r w:rsidRPr="001A076D">
              <w:t>.668</w:t>
            </w:r>
            <w:r w:rsidRPr="001A076D">
              <w:rPr>
                <w:vertAlign w:val="superscript"/>
              </w:rPr>
              <w:t>**</w:t>
            </w:r>
          </w:p>
        </w:tc>
        <w:tc>
          <w:tcPr>
            <w:tcW w:w="1324" w:type="dxa"/>
            <w:vAlign w:val="center"/>
          </w:tcPr>
          <w:p w14:paraId="2A16A19C" w14:textId="77777777" w:rsidR="00175C6C" w:rsidRPr="001A076D" w:rsidRDefault="00175C6C" w:rsidP="00175C6C">
            <w:pPr>
              <w:jc w:val="center"/>
            </w:pPr>
            <w:r w:rsidRPr="001A076D">
              <w:t>.607</w:t>
            </w:r>
            <w:r w:rsidRPr="001A076D">
              <w:rPr>
                <w:vertAlign w:val="superscript"/>
              </w:rPr>
              <w:t>**</w:t>
            </w:r>
          </w:p>
        </w:tc>
      </w:tr>
      <w:tr w:rsidR="00057F93" w:rsidRPr="001A076D" w14:paraId="44AC8B6C" w14:textId="77777777" w:rsidTr="0065076D">
        <w:trPr>
          <w:trHeight w:val="144"/>
        </w:trPr>
        <w:tc>
          <w:tcPr>
            <w:tcW w:w="954" w:type="dxa"/>
            <w:vMerge/>
            <w:vAlign w:val="center"/>
          </w:tcPr>
          <w:p w14:paraId="340336BE" w14:textId="77777777" w:rsidR="00175C6C" w:rsidRPr="001A076D" w:rsidRDefault="00175C6C" w:rsidP="00175C6C">
            <w:pPr>
              <w:jc w:val="center"/>
              <w:rPr>
                <w:b/>
                <w:bCs/>
              </w:rPr>
            </w:pPr>
          </w:p>
        </w:tc>
        <w:tc>
          <w:tcPr>
            <w:tcW w:w="2472" w:type="dxa"/>
            <w:vAlign w:val="center"/>
          </w:tcPr>
          <w:p w14:paraId="7A57E1F3" w14:textId="77777777" w:rsidR="00175C6C" w:rsidRPr="001A076D" w:rsidRDefault="00175C6C" w:rsidP="00175C6C">
            <w:pPr>
              <w:jc w:val="center"/>
            </w:pPr>
            <w:r w:rsidRPr="001A076D">
              <w:t>Sig. (2-tailed)</w:t>
            </w:r>
          </w:p>
        </w:tc>
        <w:tc>
          <w:tcPr>
            <w:tcW w:w="1324" w:type="dxa"/>
            <w:vAlign w:val="center"/>
          </w:tcPr>
          <w:p w14:paraId="188419B2" w14:textId="77777777" w:rsidR="00175C6C" w:rsidRPr="001A076D" w:rsidRDefault="00175C6C" w:rsidP="00175C6C">
            <w:pPr>
              <w:jc w:val="center"/>
            </w:pPr>
            <w:r w:rsidRPr="001A076D">
              <w:t>&lt;.001</w:t>
            </w:r>
          </w:p>
        </w:tc>
        <w:tc>
          <w:tcPr>
            <w:tcW w:w="1324" w:type="dxa"/>
            <w:vAlign w:val="center"/>
          </w:tcPr>
          <w:p w14:paraId="1EDA833B" w14:textId="77777777" w:rsidR="00175C6C" w:rsidRPr="001A076D" w:rsidRDefault="00175C6C" w:rsidP="00175C6C">
            <w:pPr>
              <w:jc w:val="center"/>
            </w:pPr>
          </w:p>
        </w:tc>
        <w:tc>
          <w:tcPr>
            <w:tcW w:w="1324" w:type="dxa"/>
            <w:vAlign w:val="center"/>
          </w:tcPr>
          <w:p w14:paraId="3FE91F70" w14:textId="77777777" w:rsidR="00175C6C" w:rsidRPr="001A076D" w:rsidRDefault="00175C6C" w:rsidP="00175C6C">
            <w:pPr>
              <w:jc w:val="center"/>
            </w:pPr>
            <w:r w:rsidRPr="001A076D">
              <w:t>&lt;.001</w:t>
            </w:r>
          </w:p>
        </w:tc>
        <w:tc>
          <w:tcPr>
            <w:tcW w:w="1324" w:type="dxa"/>
            <w:vAlign w:val="center"/>
          </w:tcPr>
          <w:p w14:paraId="6D67DD95" w14:textId="77777777" w:rsidR="00175C6C" w:rsidRPr="001A076D" w:rsidRDefault="00175C6C" w:rsidP="00175C6C">
            <w:pPr>
              <w:jc w:val="center"/>
            </w:pPr>
            <w:r w:rsidRPr="001A076D">
              <w:t>&lt;.001</w:t>
            </w:r>
          </w:p>
        </w:tc>
      </w:tr>
      <w:tr w:rsidR="00057F93" w:rsidRPr="001A076D" w14:paraId="7483DFC1" w14:textId="77777777" w:rsidTr="0065076D">
        <w:trPr>
          <w:trHeight w:val="144"/>
        </w:trPr>
        <w:tc>
          <w:tcPr>
            <w:tcW w:w="954" w:type="dxa"/>
            <w:vMerge/>
            <w:vAlign w:val="center"/>
          </w:tcPr>
          <w:p w14:paraId="2A6D9676" w14:textId="77777777" w:rsidR="00175C6C" w:rsidRPr="001A076D" w:rsidRDefault="00175C6C" w:rsidP="00175C6C">
            <w:pPr>
              <w:jc w:val="center"/>
              <w:rPr>
                <w:b/>
                <w:bCs/>
              </w:rPr>
            </w:pPr>
          </w:p>
        </w:tc>
        <w:tc>
          <w:tcPr>
            <w:tcW w:w="2472" w:type="dxa"/>
            <w:vAlign w:val="center"/>
          </w:tcPr>
          <w:p w14:paraId="4931F9BE" w14:textId="77777777" w:rsidR="00175C6C" w:rsidRPr="001A076D" w:rsidRDefault="00175C6C" w:rsidP="00175C6C">
            <w:pPr>
              <w:jc w:val="center"/>
            </w:pPr>
            <w:r w:rsidRPr="001A076D">
              <w:t>N</w:t>
            </w:r>
          </w:p>
        </w:tc>
        <w:tc>
          <w:tcPr>
            <w:tcW w:w="1324" w:type="dxa"/>
            <w:vAlign w:val="center"/>
          </w:tcPr>
          <w:p w14:paraId="1D46D5CD" w14:textId="77777777" w:rsidR="00175C6C" w:rsidRPr="001A076D" w:rsidRDefault="00175C6C" w:rsidP="00175C6C">
            <w:pPr>
              <w:jc w:val="center"/>
            </w:pPr>
            <w:r w:rsidRPr="001A076D">
              <w:t>66</w:t>
            </w:r>
          </w:p>
        </w:tc>
        <w:tc>
          <w:tcPr>
            <w:tcW w:w="1324" w:type="dxa"/>
            <w:vAlign w:val="center"/>
          </w:tcPr>
          <w:p w14:paraId="4184E2E7" w14:textId="77777777" w:rsidR="00175C6C" w:rsidRPr="001A076D" w:rsidRDefault="00175C6C" w:rsidP="00175C6C">
            <w:pPr>
              <w:jc w:val="center"/>
            </w:pPr>
            <w:r w:rsidRPr="001A076D">
              <w:t>66</w:t>
            </w:r>
          </w:p>
        </w:tc>
        <w:tc>
          <w:tcPr>
            <w:tcW w:w="1324" w:type="dxa"/>
            <w:vAlign w:val="center"/>
          </w:tcPr>
          <w:p w14:paraId="2201920F" w14:textId="77777777" w:rsidR="00175C6C" w:rsidRPr="001A076D" w:rsidRDefault="00175C6C" w:rsidP="00175C6C">
            <w:pPr>
              <w:jc w:val="center"/>
            </w:pPr>
            <w:r w:rsidRPr="001A076D">
              <w:t>66</w:t>
            </w:r>
          </w:p>
        </w:tc>
        <w:tc>
          <w:tcPr>
            <w:tcW w:w="1324" w:type="dxa"/>
            <w:vAlign w:val="center"/>
          </w:tcPr>
          <w:p w14:paraId="314D10A2" w14:textId="77777777" w:rsidR="00175C6C" w:rsidRPr="001A076D" w:rsidRDefault="00175C6C" w:rsidP="00175C6C">
            <w:pPr>
              <w:jc w:val="center"/>
            </w:pPr>
            <w:r w:rsidRPr="001A076D">
              <w:t>66</w:t>
            </w:r>
          </w:p>
        </w:tc>
      </w:tr>
      <w:tr w:rsidR="00057F93" w:rsidRPr="001A076D" w14:paraId="0237278F" w14:textId="77777777" w:rsidTr="0065076D">
        <w:trPr>
          <w:trHeight w:val="271"/>
        </w:trPr>
        <w:tc>
          <w:tcPr>
            <w:tcW w:w="954" w:type="dxa"/>
            <w:vMerge w:val="restart"/>
            <w:vAlign w:val="center"/>
          </w:tcPr>
          <w:p w14:paraId="022BE534" w14:textId="77777777" w:rsidR="00175C6C" w:rsidRPr="001A076D" w:rsidRDefault="00175C6C" w:rsidP="00175C6C">
            <w:pPr>
              <w:jc w:val="center"/>
              <w:rPr>
                <w:b/>
                <w:bCs/>
              </w:rPr>
            </w:pPr>
            <w:r w:rsidRPr="001A076D">
              <w:rPr>
                <w:b/>
                <w:bCs/>
              </w:rPr>
              <w:t>TE</w:t>
            </w:r>
          </w:p>
        </w:tc>
        <w:tc>
          <w:tcPr>
            <w:tcW w:w="2472" w:type="dxa"/>
            <w:vAlign w:val="center"/>
          </w:tcPr>
          <w:p w14:paraId="6904B98E" w14:textId="77777777" w:rsidR="00175C6C" w:rsidRPr="001A076D" w:rsidRDefault="00175C6C" w:rsidP="00175C6C">
            <w:pPr>
              <w:jc w:val="center"/>
            </w:pPr>
            <w:r w:rsidRPr="001A076D">
              <w:t>Pearson Correlation</w:t>
            </w:r>
          </w:p>
        </w:tc>
        <w:tc>
          <w:tcPr>
            <w:tcW w:w="1324" w:type="dxa"/>
            <w:vAlign w:val="center"/>
          </w:tcPr>
          <w:p w14:paraId="754F693B" w14:textId="77777777" w:rsidR="00175C6C" w:rsidRPr="001A076D" w:rsidRDefault="00175C6C" w:rsidP="00175C6C">
            <w:pPr>
              <w:jc w:val="center"/>
            </w:pPr>
            <w:r w:rsidRPr="001A076D">
              <w:t>.514</w:t>
            </w:r>
            <w:r w:rsidRPr="001A076D">
              <w:rPr>
                <w:vertAlign w:val="superscript"/>
              </w:rPr>
              <w:t>**</w:t>
            </w:r>
          </w:p>
        </w:tc>
        <w:tc>
          <w:tcPr>
            <w:tcW w:w="1324" w:type="dxa"/>
            <w:vAlign w:val="center"/>
          </w:tcPr>
          <w:p w14:paraId="0284FBD1" w14:textId="77777777" w:rsidR="00175C6C" w:rsidRPr="001A076D" w:rsidRDefault="00175C6C" w:rsidP="00175C6C">
            <w:pPr>
              <w:jc w:val="center"/>
            </w:pPr>
            <w:r w:rsidRPr="001A076D">
              <w:t>.668</w:t>
            </w:r>
            <w:r w:rsidRPr="001A076D">
              <w:rPr>
                <w:vertAlign w:val="superscript"/>
              </w:rPr>
              <w:t>**</w:t>
            </w:r>
          </w:p>
        </w:tc>
        <w:tc>
          <w:tcPr>
            <w:tcW w:w="1324" w:type="dxa"/>
            <w:vAlign w:val="center"/>
          </w:tcPr>
          <w:p w14:paraId="42BD2C4F" w14:textId="77777777" w:rsidR="00175C6C" w:rsidRPr="001A076D" w:rsidRDefault="00175C6C" w:rsidP="00175C6C">
            <w:pPr>
              <w:jc w:val="center"/>
            </w:pPr>
            <w:r w:rsidRPr="001A076D">
              <w:t>1</w:t>
            </w:r>
          </w:p>
        </w:tc>
        <w:tc>
          <w:tcPr>
            <w:tcW w:w="1324" w:type="dxa"/>
            <w:vAlign w:val="center"/>
          </w:tcPr>
          <w:p w14:paraId="6E59B30F" w14:textId="77777777" w:rsidR="00175C6C" w:rsidRPr="001A076D" w:rsidRDefault="00175C6C" w:rsidP="00175C6C">
            <w:pPr>
              <w:jc w:val="center"/>
            </w:pPr>
            <w:r w:rsidRPr="001A076D">
              <w:t>.610</w:t>
            </w:r>
            <w:r w:rsidRPr="001A076D">
              <w:rPr>
                <w:vertAlign w:val="superscript"/>
              </w:rPr>
              <w:t>**</w:t>
            </w:r>
          </w:p>
        </w:tc>
      </w:tr>
      <w:tr w:rsidR="00057F93" w:rsidRPr="001A076D" w14:paraId="6E3F754C" w14:textId="77777777" w:rsidTr="0065076D">
        <w:trPr>
          <w:trHeight w:val="144"/>
        </w:trPr>
        <w:tc>
          <w:tcPr>
            <w:tcW w:w="954" w:type="dxa"/>
            <w:vMerge/>
            <w:vAlign w:val="center"/>
          </w:tcPr>
          <w:p w14:paraId="18F55C03" w14:textId="77777777" w:rsidR="00175C6C" w:rsidRPr="001A076D" w:rsidRDefault="00175C6C" w:rsidP="00175C6C">
            <w:pPr>
              <w:jc w:val="center"/>
              <w:rPr>
                <w:b/>
                <w:bCs/>
              </w:rPr>
            </w:pPr>
          </w:p>
        </w:tc>
        <w:tc>
          <w:tcPr>
            <w:tcW w:w="2472" w:type="dxa"/>
            <w:vAlign w:val="center"/>
          </w:tcPr>
          <w:p w14:paraId="17D7A860" w14:textId="77777777" w:rsidR="00175C6C" w:rsidRPr="001A076D" w:rsidRDefault="00175C6C" w:rsidP="00175C6C">
            <w:pPr>
              <w:jc w:val="center"/>
            </w:pPr>
            <w:r w:rsidRPr="001A076D">
              <w:t>Sig. (2-tailed)</w:t>
            </w:r>
          </w:p>
        </w:tc>
        <w:tc>
          <w:tcPr>
            <w:tcW w:w="1324" w:type="dxa"/>
            <w:vAlign w:val="center"/>
          </w:tcPr>
          <w:p w14:paraId="476327B7" w14:textId="77777777" w:rsidR="00175C6C" w:rsidRPr="001A076D" w:rsidRDefault="00175C6C" w:rsidP="00175C6C">
            <w:pPr>
              <w:jc w:val="center"/>
            </w:pPr>
            <w:r w:rsidRPr="001A076D">
              <w:t>&lt;.001</w:t>
            </w:r>
          </w:p>
        </w:tc>
        <w:tc>
          <w:tcPr>
            <w:tcW w:w="1324" w:type="dxa"/>
            <w:vAlign w:val="center"/>
          </w:tcPr>
          <w:p w14:paraId="41F78434" w14:textId="77777777" w:rsidR="00175C6C" w:rsidRPr="001A076D" w:rsidRDefault="00175C6C" w:rsidP="00175C6C">
            <w:pPr>
              <w:jc w:val="center"/>
            </w:pPr>
            <w:r w:rsidRPr="001A076D">
              <w:t>&lt;.001</w:t>
            </w:r>
          </w:p>
        </w:tc>
        <w:tc>
          <w:tcPr>
            <w:tcW w:w="1324" w:type="dxa"/>
            <w:vAlign w:val="center"/>
          </w:tcPr>
          <w:p w14:paraId="4F9787DF" w14:textId="77777777" w:rsidR="00175C6C" w:rsidRPr="001A076D" w:rsidRDefault="00175C6C" w:rsidP="00175C6C">
            <w:pPr>
              <w:jc w:val="center"/>
            </w:pPr>
          </w:p>
        </w:tc>
        <w:tc>
          <w:tcPr>
            <w:tcW w:w="1324" w:type="dxa"/>
            <w:vAlign w:val="center"/>
          </w:tcPr>
          <w:p w14:paraId="03444CB5" w14:textId="77777777" w:rsidR="00175C6C" w:rsidRPr="001A076D" w:rsidRDefault="00175C6C" w:rsidP="00175C6C">
            <w:pPr>
              <w:jc w:val="center"/>
            </w:pPr>
            <w:r w:rsidRPr="001A076D">
              <w:t>&lt;.001</w:t>
            </w:r>
          </w:p>
        </w:tc>
      </w:tr>
      <w:tr w:rsidR="00057F93" w:rsidRPr="001A076D" w14:paraId="1B8F755F" w14:textId="77777777" w:rsidTr="0065076D">
        <w:trPr>
          <w:trHeight w:val="144"/>
        </w:trPr>
        <w:tc>
          <w:tcPr>
            <w:tcW w:w="954" w:type="dxa"/>
            <w:vMerge/>
            <w:vAlign w:val="center"/>
          </w:tcPr>
          <w:p w14:paraId="1383D1A3" w14:textId="77777777" w:rsidR="00175C6C" w:rsidRPr="001A076D" w:rsidRDefault="00175C6C" w:rsidP="00175C6C">
            <w:pPr>
              <w:jc w:val="center"/>
              <w:rPr>
                <w:b/>
                <w:bCs/>
              </w:rPr>
            </w:pPr>
          </w:p>
        </w:tc>
        <w:tc>
          <w:tcPr>
            <w:tcW w:w="2472" w:type="dxa"/>
            <w:vAlign w:val="center"/>
          </w:tcPr>
          <w:p w14:paraId="430E0958" w14:textId="77777777" w:rsidR="00175C6C" w:rsidRPr="001A076D" w:rsidRDefault="00175C6C" w:rsidP="00175C6C">
            <w:pPr>
              <w:jc w:val="center"/>
            </w:pPr>
            <w:r w:rsidRPr="001A076D">
              <w:t>N</w:t>
            </w:r>
          </w:p>
        </w:tc>
        <w:tc>
          <w:tcPr>
            <w:tcW w:w="1324" w:type="dxa"/>
            <w:vAlign w:val="center"/>
          </w:tcPr>
          <w:p w14:paraId="0C89587A" w14:textId="77777777" w:rsidR="00175C6C" w:rsidRPr="001A076D" w:rsidRDefault="00175C6C" w:rsidP="00175C6C">
            <w:pPr>
              <w:jc w:val="center"/>
            </w:pPr>
            <w:r w:rsidRPr="001A076D">
              <w:t>66</w:t>
            </w:r>
          </w:p>
        </w:tc>
        <w:tc>
          <w:tcPr>
            <w:tcW w:w="1324" w:type="dxa"/>
            <w:vAlign w:val="center"/>
          </w:tcPr>
          <w:p w14:paraId="0C13FC31" w14:textId="77777777" w:rsidR="00175C6C" w:rsidRPr="001A076D" w:rsidRDefault="00175C6C" w:rsidP="00175C6C">
            <w:pPr>
              <w:jc w:val="center"/>
            </w:pPr>
            <w:r w:rsidRPr="001A076D">
              <w:t>66</w:t>
            </w:r>
          </w:p>
        </w:tc>
        <w:tc>
          <w:tcPr>
            <w:tcW w:w="1324" w:type="dxa"/>
            <w:vAlign w:val="center"/>
          </w:tcPr>
          <w:p w14:paraId="75BE9C4B" w14:textId="77777777" w:rsidR="00175C6C" w:rsidRPr="001A076D" w:rsidRDefault="00175C6C" w:rsidP="00175C6C">
            <w:pPr>
              <w:jc w:val="center"/>
            </w:pPr>
            <w:r w:rsidRPr="001A076D">
              <w:t>66</w:t>
            </w:r>
          </w:p>
        </w:tc>
        <w:tc>
          <w:tcPr>
            <w:tcW w:w="1324" w:type="dxa"/>
            <w:vAlign w:val="center"/>
          </w:tcPr>
          <w:p w14:paraId="2C7EE7CD" w14:textId="77777777" w:rsidR="00175C6C" w:rsidRPr="001A076D" w:rsidRDefault="00175C6C" w:rsidP="00175C6C">
            <w:pPr>
              <w:jc w:val="center"/>
            </w:pPr>
            <w:r w:rsidRPr="001A076D">
              <w:t>66</w:t>
            </w:r>
          </w:p>
        </w:tc>
      </w:tr>
      <w:tr w:rsidR="00057F93" w:rsidRPr="001A076D" w14:paraId="47E38B1F" w14:textId="77777777" w:rsidTr="0065076D">
        <w:trPr>
          <w:trHeight w:val="283"/>
        </w:trPr>
        <w:tc>
          <w:tcPr>
            <w:tcW w:w="954" w:type="dxa"/>
            <w:vMerge w:val="restart"/>
            <w:vAlign w:val="center"/>
          </w:tcPr>
          <w:p w14:paraId="69968571" w14:textId="77777777" w:rsidR="00175C6C" w:rsidRPr="001A076D" w:rsidRDefault="00175C6C" w:rsidP="00175C6C">
            <w:pPr>
              <w:jc w:val="center"/>
              <w:rPr>
                <w:b/>
                <w:bCs/>
              </w:rPr>
            </w:pPr>
            <w:r w:rsidRPr="001A076D">
              <w:rPr>
                <w:b/>
                <w:bCs/>
              </w:rPr>
              <w:t>SE</w:t>
            </w:r>
          </w:p>
        </w:tc>
        <w:tc>
          <w:tcPr>
            <w:tcW w:w="2472" w:type="dxa"/>
            <w:vAlign w:val="center"/>
          </w:tcPr>
          <w:p w14:paraId="4E8A2847" w14:textId="77777777" w:rsidR="00175C6C" w:rsidRPr="001A076D" w:rsidRDefault="00175C6C" w:rsidP="00175C6C">
            <w:pPr>
              <w:jc w:val="center"/>
            </w:pPr>
            <w:r w:rsidRPr="001A076D">
              <w:t>Pearson Correlation</w:t>
            </w:r>
          </w:p>
        </w:tc>
        <w:tc>
          <w:tcPr>
            <w:tcW w:w="1324" w:type="dxa"/>
            <w:vAlign w:val="center"/>
          </w:tcPr>
          <w:p w14:paraId="2537F8AC" w14:textId="77777777" w:rsidR="00175C6C" w:rsidRPr="001A076D" w:rsidRDefault="00175C6C" w:rsidP="00175C6C">
            <w:pPr>
              <w:jc w:val="center"/>
            </w:pPr>
            <w:r w:rsidRPr="001A076D">
              <w:t>.527</w:t>
            </w:r>
            <w:r w:rsidRPr="001A076D">
              <w:rPr>
                <w:vertAlign w:val="superscript"/>
              </w:rPr>
              <w:t>**</w:t>
            </w:r>
          </w:p>
        </w:tc>
        <w:tc>
          <w:tcPr>
            <w:tcW w:w="1324" w:type="dxa"/>
            <w:vAlign w:val="center"/>
          </w:tcPr>
          <w:p w14:paraId="6F4B9FE5" w14:textId="77777777" w:rsidR="00175C6C" w:rsidRPr="001A076D" w:rsidRDefault="00175C6C" w:rsidP="00175C6C">
            <w:pPr>
              <w:jc w:val="center"/>
            </w:pPr>
            <w:r w:rsidRPr="001A076D">
              <w:t>.607</w:t>
            </w:r>
            <w:r w:rsidRPr="001A076D">
              <w:rPr>
                <w:vertAlign w:val="superscript"/>
              </w:rPr>
              <w:t>**</w:t>
            </w:r>
          </w:p>
        </w:tc>
        <w:tc>
          <w:tcPr>
            <w:tcW w:w="1324" w:type="dxa"/>
            <w:vAlign w:val="center"/>
          </w:tcPr>
          <w:p w14:paraId="434203FC" w14:textId="77777777" w:rsidR="00175C6C" w:rsidRPr="001A076D" w:rsidRDefault="00175C6C" w:rsidP="00175C6C">
            <w:pPr>
              <w:jc w:val="center"/>
            </w:pPr>
            <w:r w:rsidRPr="001A076D">
              <w:t>.610</w:t>
            </w:r>
            <w:r w:rsidRPr="001A076D">
              <w:rPr>
                <w:vertAlign w:val="superscript"/>
              </w:rPr>
              <w:t>**</w:t>
            </w:r>
          </w:p>
        </w:tc>
        <w:tc>
          <w:tcPr>
            <w:tcW w:w="1324" w:type="dxa"/>
            <w:vAlign w:val="center"/>
          </w:tcPr>
          <w:p w14:paraId="569FB4AF" w14:textId="77777777" w:rsidR="00175C6C" w:rsidRPr="001A076D" w:rsidRDefault="00175C6C" w:rsidP="00175C6C">
            <w:pPr>
              <w:jc w:val="center"/>
            </w:pPr>
            <w:r w:rsidRPr="001A076D">
              <w:t>1</w:t>
            </w:r>
          </w:p>
        </w:tc>
      </w:tr>
      <w:tr w:rsidR="00057F93" w:rsidRPr="001A076D" w14:paraId="3D8D55E1" w14:textId="77777777" w:rsidTr="0065076D">
        <w:trPr>
          <w:trHeight w:val="144"/>
        </w:trPr>
        <w:tc>
          <w:tcPr>
            <w:tcW w:w="954" w:type="dxa"/>
            <w:vMerge/>
            <w:vAlign w:val="center"/>
          </w:tcPr>
          <w:p w14:paraId="7F5CED2A" w14:textId="77777777" w:rsidR="00175C6C" w:rsidRPr="001A076D" w:rsidRDefault="00175C6C" w:rsidP="00175C6C">
            <w:pPr>
              <w:jc w:val="center"/>
            </w:pPr>
          </w:p>
        </w:tc>
        <w:tc>
          <w:tcPr>
            <w:tcW w:w="2472" w:type="dxa"/>
            <w:vAlign w:val="center"/>
          </w:tcPr>
          <w:p w14:paraId="2B035A59" w14:textId="77777777" w:rsidR="00175C6C" w:rsidRPr="001A076D" w:rsidRDefault="00175C6C" w:rsidP="00175C6C">
            <w:pPr>
              <w:jc w:val="center"/>
            </w:pPr>
            <w:r w:rsidRPr="001A076D">
              <w:t>Sig. (2-tailed)</w:t>
            </w:r>
          </w:p>
        </w:tc>
        <w:tc>
          <w:tcPr>
            <w:tcW w:w="1324" w:type="dxa"/>
            <w:vAlign w:val="center"/>
          </w:tcPr>
          <w:p w14:paraId="3AADC600" w14:textId="77777777" w:rsidR="00175C6C" w:rsidRPr="001A076D" w:rsidRDefault="00175C6C" w:rsidP="00175C6C">
            <w:pPr>
              <w:jc w:val="center"/>
            </w:pPr>
            <w:r w:rsidRPr="001A076D">
              <w:t>&lt;.001</w:t>
            </w:r>
          </w:p>
        </w:tc>
        <w:tc>
          <w:tcPr>
            <w:tcW w:w="1324" w:type="dxa"/>
            <w:vAlign w:val="center"/>
          </w:tcPr>
          <w:p w14:paraId="3791B449" w14:textId="77777777" w:rsidR="00175C6C" w:rsidRPr="001A076D" w:rsidRDefault="00175C6C" w:rsidP="00175C6C">
            <w:pPr>
              <w:jc w:val="center"/>
            </w:pPr>
            <w:r w:rsidRPr="001A076D">
              <w:t>&lt;.001</w:t>
            </w:r>
          </w:p>
        </w:tc>
        <w:tc>
          <w:tcPr>
            <w:tcW w:w="1324" w:type="dxa"/>
            <w:vAlign w:val="center"/>
          </w:tcPr>
          <w:p w14:paraId="6BBE1687" w14:textId="77777777" w:rsidR="00175C6C" w:rsidRPr="001A076D" w:rsidRDefault="00175C6C" w:rsidP="00175C6C">
            <w:pPr>
              <w:jc w:val="center"/>
            </w:pPr>
            <w:r w:rsidRPr="001A076D">
              <w:t>&lt;.001</w:t>
            </w:r>
          </w:p>
        </w:tc>
        <w:tc>
          <w:tcPr>
            <w:tcW w:w="1324" w:type="dxa"/>
            <w:vAlign w:val="center"/>
          </w:tcPr>
          <w:p w14:paraId="76733A37" w14:textId="77777777" w:rsidR="00175C6C" w:rsidRPr="001A076D" w:rsidRDefault="00175C6C" w:rsidP="00175C6C">
            <w:pPr>
              <w:jc w:val="center"/>
            </w:pPr>
          </w:p>
        </w:tc>
      </w:tr>
      <w:tr w:rsidR="00057F93" w:rsidRPr="001A076D" w14:paraId="67CEA8C6" w14:textId="77777777" w:rsidTr="0065076D">
        <w:trPr>
          <w:trHeight w:val="144"/>
        </w:trPr>
        <w:tc>
          <w:tcPr>
            <w:tcW w:w="954" w:type="dxa"/>
            <w:vMerge/>
            <w:vAlign w:val="center"/>
          </w:tcPr>
          <w:p w14:paraId="722462FD" w14:textId="77777777" w:rsidR="00175C6C" w:rsidRPr="001A076D" w:rsidRDefault="00175C6C" w:rsidP="00175C6C">
            <w:pPr>
              <w:jc w:val="center"/>
            </w:pPr>
          </w:p>
        </w:tc>
        <w:tc>
          <w:tcPr>
            <w:tcW w:w="2472" w:type="dxa"/>
            <w:vAlign w:val="center"/>
          </w:tcPr>
          <w:p w14:paraId="78F68456" w14:textId="77777777" w:rsidR="00175C6C" w:rsidRPr="001A076D" w:rsidRDefault="00175C6C" w:rsidP="00175C6C">
            <w:pPr>
              <w:jc w:val="center"/>
            </w:pPr>
            <w:r w:rsidRPr="001A076D">
              <w:t>N</w:t>
            </w:r>
          </w:p>
        </w:tc>
        <w:tc>
          <w:tcPr>
            <w:tcW w:w="1324" w:type="dxa"/>
            <w:vAlign w:val="center"/>
          </w:tcPr>
          <w:p w14:paraId="243FBDD2" w14:textId="77777777" w:rsidR="00175C6C" w:rsidRPr="001A076D" w:rsidRDefault="00175C6C" w:rsidP="00175C6C">
            <w:pPr>
              <w:jc w:val="center"/>
            </w:pPr>
            <w:r w:rsidRPr="001A076D">
              <w:t>66</w:t>
            </w:r>
          </w:p>
        </w:tc>
        <w:tc>
          <w:tcPr>
            <w:tcW w:w="1324" w:type="dxa"/>
            <w:vAlign w:val="center"/>
          </w:tcPr>
          <w:p w14:paraId="3C61EE64" w14:textId="77777777" w:rsidR="00175C6C" w:rsidRPr="001A076D" w:rsidRDefault="00175C6C" w:rsidP="00175C6C">
            <w:pPr>
              <w:jc w:val="center"/>
            </w:pPr>
            <w:r w:rsidRPr="001A076D">
              <w:t>66</w:t>
            </w:r>
          </w:p>
        </w:tc>
        <w:tc>
          <w:tcPr>
            <w:tcW w:w="1324" w:type="dxa"/>
            <w:vAlign w:val="center"/>
          </w:tcPr>
          <w:p w14:paraId="140348A6" w14:textId="77777777" w:rsidR="00175C6C" w:rsidRPr="001A076D" w:rsidRDefault="00175C6C" w:rsidP="00175C6C">
            <w:pPr>
              <w:jc w:val="center"/>
            </w:pPr>
            <w:r w:rsidRPr="001A076D">
              <w:t>66</w:t>
            </w:r>
          </w:p>
        </w:tc>
        <w:tc>
          <w:tcPr>
            <w:tcW w:w="1324" w:type="dxa"/>
            <w:vAlign w:val="center"/>
          </w:tcPr>
          <w:p w14:paraId="5D06C55F" w14:textId="77777777" w:rsidR="00175C6C" w:rsidRPr="001A076D" w:rsidRDefault="00175C6C" w:rsidP="00175C6C">
            <w:pPr>
              <w:jc w:val="center"/>
            </w:pPr>
            <w:r w:rsidRPr="001A076D">
              <w:t>66</w:t>
            </w:r>
          </w:p>
        </w:tc>
      </w:tr>
      <w:tr w:rsidR="004F2125" w:rsidRPr="001A076D" w14:paraId="36034076" w14:textId="77777777" w:rsidTr="0065076D">
        <w:trPr>
          <w:trHeight w:val="271"/>
        </w:trPr>
        <w:tc>
          <w:tcPr>
            <w:tcW w:w="8723" w:type="dxa"/>
            <w:gridSpan w:val="6"/>
            <w:vAlign w:val="center"/>
          </w:tcPr>
          <w:p w14:paraId="7E2D96E8" w14:textId="77777777" w:rsidR="00175C6C" w:rsidRPr="001A076D" w:rsidRDefault="00175C6C" w:rsidP="00175C6C">
            <w:pPr>
              <w:jc w:val="center"/>
            </w:pPr>
            <w:r w:rsidRPr="001A076D">
              <w:t>**. Correlation is significant at the 0.01 level (2-tailed).</w:t>
            </w:r>
          </w:p>
        </w:tc>
      </w:tr>
    </w:tbl>
    <w:p w14:paraId="32B52A77" w14:textId="77777777" w:rsidR="00175C6C" w:rsidRPr="001A076D" w:rsidRDefault="00175C6C" w:rsidP="00AF3E64">
      <w:pPr>
        <w:rPr>
          <w:b/>
          <w:bCs/>
        </w:rPr>
      </w:pPr>
    </w:p>
    <w:p w14:paraId="1FDF8E3A" w14:textId="25B6BB1B" w:rsidR="0025466D" w:rsidRPr="001A076D" w:rsidRDefault="0025466D" w:rsidP="0025466D"/>
    <w:p w14:paraId="5E6003FC" w14:textId="77777777" w:rsidR="0025466D" w:rsidRPr="001A076D" w:rsidRDefault="0025466D" w:rsidP="0025466D">
      <w:pPr>
        <w:rPr>
          <w:rStyle w:val="Strong"/>
          <w:rFonts w:eastAsiaTheme="majorEastAsia"/>
        </w:rPr>
      </w:pPr>
      <w:r w:rsidRPr="001A076D">
        <w:rPr>
          <w:rStyle w:val="Strong"/>
          <w:rFonts w:eastAsiaTheme="majorEastAsia"/>
        </w:rPr>
        <w:t>A5.4 Multiple Regression Analysis</w:t>
      </w:r>
    </w:p>
    <w:p w14:paraId="260472B8" w14:textId="77777777" w:rsidR="00E55DD6" w:rsidRPr="001A076D" w:rsidRDefault="00E55DD6" w:rsidP="0025466D"/>
    <w:p w14:paraId="2485CE3D" w14:textId="77777777" w:rsidR="0025466D" w:rsidRPr="001A076D" w:rsidRDefault="0025466D" w:rsidP="0025466D">
      <w:pPr>
        <w:rPr>
          <w:b/>
          <w:bCs/>
        </w:rPr>
      </w:pPr>
      <w:r w:rsidRPr="001A076D">
        <w:rPr>
          <w:b/>
          <w:bCs/>
        </w:rPr>
        <w:t>Model Summary</w:t>
      </w:r>
    </w:p>
    <w:p w14:paraId="3C45BF05" w14:textId="48E6AD20" w:rsidR="0025466D" w:rsidRPr="001A076D" w:rsidRDefault="0025466D" w:rsidP="0025466D">
      <w:pPr>
        <w:pStyle w:val="NormalWeb"/>
      </w:pPr>
      <w:r w:rsidRPr="001A076D">
        <w:t>R = 0.688</w:t>
      </w:r>
      <w:r w:rsidRPr="001A076D">
        <w:br/>
        <w:t>R² = 0.474</w:t>
      </w:r>
      <w:r w:rsidRPr="001A076D">
        <w:br/>
        <w:t>Adjusted R² = 0.448</w:t>
      </w:r>
      <w:r w:rsidRPr="001A076D">
        <w:br/>
      </w:r>
      <w:r w:rsidR="0020126C" w:rsidRPr="001A076D">
        <w:t>F (</w:t>
      </w:r>
      <w:r w:rsidRPr="001A076D">
        <w:t>3,62) = 18.616, p &lt; .001</w:t>
      </w:r>
    </w:p>
    <w:p w14:paraId="78ED82BD" w14:textId="7B46984B" w:rsidR="000626F9" w:rsidRPr="001A076D" w:rsidRDefault="00E55DD6" w:rsidP="0025466D">
      <w:pPr>
        <w:pStyle w:val="NormalWeb"/>
        <w:rPr>
          <w:b/>
          <w:bCs/>
        </w:rPr>
      </w:pPr>
      <w:r w:rsidRPr="001A076D">
        <w:rPr>
          <w:b/>
          <w:bCs/>
        </w:rPr>
        <w:t>Table A5.8 – Regression Model Summary</w:t>
      </w:r>
    </w:p>
    <w:tbl>
      <w:tblPr>
        <w:tblStyle w:val="TableGrid"/>
        <w:tblW w:w="0" w:type="auto"/>
        <w:tblLayout w:type="fixed"/>
        <w:tblLook w:val="04A0" w:firstRow="1" w:lastRow="0" w:firstColumn="1" w:lastColumn="0" w:noHBand="0" w:noVBand="1"/>
      </w:tblPr>
      <w:tblGrid>
        <w:gridCol w:w="1119"/>
        <w:gridCol w:w="1553"/>
        <w:gridCol w:w="1553"/>
        <w:gridCol w:w="2238"/>
        <w:gridCol w:w="2238"/>
      </w:tblGrid>
      <w:tr w:rsidR="00057F93" w:rsidRPr="001A076D" w14:paraId="4E003FFD" w14:textId="77777777" w:rsidTr="0065076D">
        <w:trPr>
          <w:trHeight w:val="272"/>
        </w:trPr>
        <w:tc>
          <w:tcPr>
            <w:tcW w:w="8701" w:type="dxa"/>
            <w:gridSpan w:val="5"/>
            <w:vAlign w:val="center"/>
          </w:tcPr>
          <w:p w14:paraId="5E0DAF05" w14:textId="77777777" w:rsidR="000626F9" w:rsidRPr="001A076D" w:rsidRDefault="000626F9" w:rsidP="00175C6C">
            <w:pPr>
              <w:pStyle w:val="NormalWeb"/>
              <w:jc w:val="center"/>
            </w:pPr>
            <w:r w:rsidRPr="001A076D">
              <w:rPr>
                <w:b/>
              </w:rPr>
              <w:t xml:space="preserve">Model </w:t>
            </w:r>
            <w:proofErr w:type="spellStart"/>
            <w:r w:rsidRPr="001A076D">
              <w:rPr>
                <w:b/>
              </w:rPr>
              <w:t>Summary</w:t>
            </w:r>
            <w:r w:rsidRPr="001A076D">
              <w:rPr>
                <w:vertAlign w:val="superscript"/>
              </w:rPr>
              <w:t>b</w:t>
            </w:r>
            <w:proofErr w:type="spellEnd"/>
          </w:p>
        </w:tc>
      </w:tr>
      <w:tr w:rsidR="00057F93" w:rsidRPr="001A076D" w14:paraId="7DE4520E" w14:textId="77777777" w:rsidTr="0065076D">
        <w:trPr>
          <w:trHeight w:val="557"/>
        </w:trPr>
        <w:tc>
          <w:tcPr>
            <w:tcW w:w="1119" w:type="dxa"/>
            <w:vAlign w:val="center"/>
          </w:tcPr>
          <w:p w14:paraId="7AA39955" w14:textId="77777777" w:rsidR="000626F9" w:rsidRPr="001A076D" w:rsidRDefault="000626F9" w:rsidP="00175C6C">
            <w:pPr>
              <w:pStyle w:val="NormalWeb"/>
              <w:jc w:val="center"/>
            </w:pPr>
            <w:r w:rsidRPr="001A076D">
              <w:t>Model</w:t>
            </w:r>
          </w:p>
        </w:tc>
        <w:tc>
          <w:tcPr>
            <w:tcW w:w="1553" w:type="dxa"/>
            <w:vAlign w:val="center"/>
          </w:tcPr>
          <w:p w14:paraId="713E5C92" w14:textId="77777777" w:rsidR="000626F9" w:rsidRPr="001A076D" w:rsidRDefault="000626F9" w:rsidP="00175C6C">
            <w:pPr>
              <w:pStyle w:val="NormalWeb"/>
              <w:jc w:val="center"/>
            </w:pPr>
            <w:r w:rsidRPr="001A076D">
              <w:t>R</w:t>
            </w:r>
          </w:p>
        </w:tc>
        <w:tc>
          <w:tcPr>
            <w:tcW w:w="1553" w:type="dxa"/>
            <w:vAlign w:val="center"/>
          </w:tcPr>
          <w:p w14:paraId="00722F46" w14:textId="77777777" w:rsidR="000626F9" w:rsidRPr="001A076D" w:rsidRDefault="000626F9" w:rsidP="00175C6C">
            <w:pPr>
              <w:pStyle w:val="NormalWeb"/>
              <w:jc w:val="center"/>
            </w:pPr>
            <w:r w:rsidRPr="001A076D">
              <w:t>R Square</w:t>
            </w:r>
          </w:p>
        </w:tc>
        <w:tc>
          <w:tcPr>
            <w:tcW w:w="2238" w:type="dxa"/>
            <w:vAlign w:val="center"/>
          </w:tcPr>
          <w:p w14:paraId="378C4900" w14:textId="77777777" w:rsidR="000626F9" w:rsidRPr="001A076D" w:rsidRDefault="000626F9" w:rsidP="00175C6C">
            <w:pPr>
              <w:pStyle w:val="NormalWeb"/>
              <w:jc w:val="center"/>
            </w:pPr>
            <w:r w:rsidRPr="001A076D">
              <w:t>Adjusted R Square</w:t>
            </w:r>
          </w:p>
        </w:tc>
        <w:tc>
          <w:tcPr>
            <w:tcW w:w="2238" w:type="dxa"/>
            <w:vAlign w:val="center"/>
          </w:tcPr>
          <w:p w14:paraId="1BD9642A" w14:textId="77777777" w:rsidR="000626F9" w:rsidRPr="001A076D" w:rsidRDefault="000626F9" w:rsidP="00175C6C">
            <w:pPr>
              <w:pStyle w:val="NormalWeb"/>
              <w:jc w:val="center"/>
            </w:pPr>
            <w:r w:rsidRPr="001A076D">
              <w:t>Std. Error of the Estimate</w:t>
            </w:r>
          </w:p>
        </w:tc>
      </w:tr>
      <w:tr w:rsidR="00057F93" w:rsidRPr="001A076D" w14:paraId="78E9F295" w14:textId="77777777" w:rsidTr="0065076D">
        <w:trPr>
          <w:trHeight w:val="272"/>
        </w:trPr>
        <w:tc>
          <w:tcPr>
            <w:tcW w:w="1119" w:type="dxa"/>
            <w:vAlign w:val="center"/>
          </w:tcPr>
          <w:p w14:paraId="3B2CE922" w14:textId="77777777" w:rsidR="000626F9" w:rsidRPr="001A076D" w:rsidRDefault="000626F9" w:rsidP="00175C6C">
            <w:pPr>
              <w:pStyle w:val="NormalWeb"/>
              <w:jc w:val="center"/>
            </w:pPr>
            <w:r w:rsidRPr="001A076D">
              <w:t>1</w:t>
            </w:r>
          </w:p>
        </w:tc>
        <w:tc>
          <w:tcPr>
            <w:tcW w:w="1553" w:type="dxa"/>
            <w:vAlign w:val="center"/>
          </w:tcPr>
          <w:p w14:paraId="44F8958B" w14:textId="400685F1" w:rsidR="000626F9" w:rsidRPr="001A076D" w:rsidRDefault="00E55DD6" w:rsidP="00175C6C">
            <w:pPr>
              <w:pStyle w:val="NormalWeb"/>
              <w:jc w:val="center"/>
            </w:pPr>
            <w:r w:rsidRPr="001A076D">
              <w:t>0</w:t>
            </w:r>
            <w:r w:rsidR="000626F9" w:rsidRPr="001A076D">
              <w:t>.688</w:t>
            </w:r>
            <w:r w:rsidR="000626F9" w:rsidRPr="001A076D">
              <w:rPr>
                <w:vertAlign w:val="superscript"/>
              </w:rPr>
              <w:t>a</w:t>
            </w:r>
          </w:p>
        </w:tc>
        <w:tc>
          <w:tcPr>
            <w:tcW w:w="1553" w:type="dxa"/>
            <w:vAlign w:val="center"/>
          </w:tcPr>
          <w:p w14:paraId="0F8DC752" w14:textId="554D3A87" w:rsidR="000626F9" w:rsidRPr="001A076D" w:rsidRDefault="00E55DD6" w:rsidP="00175C6C">
            <w:pPr>
              <w:pStyle w:val="NormalWeb"/>
              <w:jc w:val="center"/>
            </w:pPr>
            <w:r w:rsidRPr="001A076D">
              <w:t>0</w:t>
            </w:r>
            <w:r w:rsidR="000626F9" w:rsidRPr="001A076D">
              <w:t>.474</w:t>
            </w:r>
          </w:p>
        </w:tc>
        <w:tc>
          <w:tcPr>
            <w:tcW w:w="2238" w:type="dxa"/>
            <w:vAlign w:val="center"/>
          </w:tcPr>
          <w:p w14:paraId="4D2455C0" w14:textId="0ECB2DEE" w:rsidR="000626F9" w:rsidRPr="001A076D" w:rsidRDefault="00E55DD6" w:rsidP="00175C6C">
            <w:pPr>
              <w:pStyle w:val="NormalWeb"/>
              <w:jc w:val="center"/>
            </w:pPr>
            <w:r w:rsidRPr="001A076D">
              <w:t>0</w:t>
            </w:r>
            <w:r w:rsidR="000626F9" w:rsidRPr="001A076D">
              <w:t>.448</w:t>
            </w:r>
          </w:p>
        </w:tc>
        <w:tc>
          <w:tcPr>
            <w:tcW w:w="2238" w:type="dxa"/>
            <w:vAlign w:val="center"/>
          </w:tcPr>
          <w:p w14:paraId="05FA931A" w14:textId="23ADB19E" w:rsidR="000626F9" w:rsidRPr="001A076D" w:rsidRDefault="00E55DD6" w:rsidP="00175C6C">
            <w:pPr>
              <w:pStyle w:val="NormalWeb"/>
              <w:jc w:val="center"/>
            </w:pPr>
            <w:r w:rsidRPr="001A076D">
              <w:t>0</w:t>
            </w:r>
            <w:r w:rsidR="000626F9" w:rsidRPr="001A076D">
              <w:t>.35700</w:t>
            </w:r>
          </w:p>
        </w:tc>
      </w:tr>
      <w:tr w:rsidR="00057F93" w:rsidRPr="001A076D" w14:paraId="679E18A1" w14:textId="77777777" w:rsidTr="0065076D">
        <w:trPr>
          <w:trHeight w:val="272"/>
        </w:trPr>
        <w:tc>
          <w:tcPr>
            <w:tcW w:w="8701" w:type="dxa"/>
            <w:gridSpan w:val="5"/>
            <w:vAlign w:val="center"/>
          </w:tcPr>
          <w:p w14:paraId="420C296D" w14:textId="77777777" w:rsidR="000626F9" w:rsidRPr="001A076D" w:rsidRDefault="000626F9" w:rsidP="00175C6C">
            <w:pPr>
              <w:pStyle w:val="NormalWeb"/>
              <w:jc w:val="center"/>
            </w:pPr>
            <w:r w:rsidRPr="001A076D">
              <w:t>a. Predictors: (Constant), TE, PAC, GM</w:t>
            </w:r>
          </w:p>
        </w:tc>
      </w:tr>
      <w:tr w:rsidR="00057F93" w:rsidRPr="001A076D" w14:paraId="750072B0" w14:textId="77777777" w:rsidTr="0065076D">
        <w:trPr>
          <w:trHeight w:val="272"/>
        </w:trPr>
        <w:tc>
          <w:tcPr>
            <w:tcW w:w="8701" w:type="dxa"/>
            <w:gridSpan w:val="5"/>
            <w:vAlign w:val="center"/>
          </w:tcPr>
          <w:p w14:paraId="3723D71E" w14:textId="77777777" w:rsidR="000626F9" w:rsidRPr="001A076D" w:rsidRDefault="000626F9" w:rsidP="00175C6C">
            <w:pPr>
              <w:pStyle w:val="NormalWeb"/>
              <w:jc w:val="center"/>
            </w:pPr>
            <w:r w:rsidRPr="001A076D">
              <w:t>b. Dependent Variable: SE</w:t>
            </w:r>
          </w:p>
        </w:tc>
      </w:tr>
    </w:tbl>
    <w:p w14:paraId="2D3CAD25" w14:textId="794B498D" w:rsidR="000626F9" w:rsidRPr="001A076D" w:rsidRDefault="00E55DD6" w:rsidP="000626F9">
      <w:pPr>
        <w:pStyle w:val="NormalWeb"/>
        <w:rPr>
          <w:b/>
          <w:bCs/>
        </w:rPr>
      </w:pPr>
      <w:r w:rsidRPr="001A076D">
        <w:rPr>
          <w:b/>
          <w:bCs/>
        </w:rPr>
        <w:t>Table A5.9 – ANOVA Results for Regression Model</w:t>
      </w:r>
    </w:p>
    <w:tbl>
      <w:tblPr>
        <w:tblStyle w:val="TableGrid"/>
        <w:tblW w:w="0" w:type="auto"/>
        <w:tblLayout w:type="fixed"/>
        <w:tblLook w:val="04A0" w:firstRow="1" w:lastRow="0" w:firstColumn="1" w:lastColumn="0" w:noHBand="0" w:noVBand="1"/>
      </w:tblPr>
      <w:tblGrid>
        <w:gridCol w:w="833"/>
        <w:gridCol w:w="1309"/>
        <w:gridCol w:w="1666"/>
        <w:gridCol w:w="1156"/>
        <w:gridCol w:w="1513"/>
        <w:gridCol w:w="1156"/>
        <w:gridCol w:w="1156"/>
      </w:tblGrid>
      <w:tr w:rsidR="00057F93" w:rsidRPr="001A076D" w14:paraId="0C35C375" w14:textId="77777777" w:rsidTr="00175C6C">
        <w:tc>
          <w:tcPr>
            <w:tcW w:w="8789" w:type="dxa"/>
            <w:gridSpan w:val="7"/>
            <w:vAlign w:val="center"/>
          </w:tcPr>
          <w:p w14:paraId="0BCB2ACD" w14:textId="77777777" w:rsidR="000626F9" w:rsidRPr="001A076D" w:rsidRDefault="000626F9" w:rsidP="00175C6C">
            <w:pPr>
              <w:pStyle w:val="NormalWeb"/>
              <w:jc w:val="center"/>
            </w:pPr>
            <w:proofErr w:type="spellStart"/>
            <w:r w:rsidRPr="001A076D">
              <w:rPr>
                <w:b/>
              </w:rPr>
              <w:t>ANOVA</w:t>
            </w:r>
            <w:r w:rsidRPr="001A076D">
              <w:rPr>
                <w:vertAlign w:val="superscript"/>
              </w:rPr>
              <w:t>a</w:t>
            </w:r>
            <w:proofErr w:type="spellEnd"/>
          </w:p>
        </w:tc>
      </w:tr>
      <w:tr w:rsidR="00057F93" w:rsidRPr="001A076D" w14:paraId="76184C44" w14:textId="77777777" w:rsidTr="00175C6C">
        <w:tc>
          <w:tcPr>
            <w:tcW w:w="2142" w:type="dxa"/>
            <w:gridSpan w:val="2"/>
            <w:vAlign w:val="center"/>
          </w:tcPr>
          <w:p w14:paraId="05980FD6" w14:textId="77777777" w:rsidR="000626F9" w:rsidRPr="001A076D" w:rsidRDefault="000626F9" w:rsidP="00175C6C">
            <w:pPr>
              <w:pStyle w:val="NormalWeb"/>
              <w:jc w:val="center"/>
            </w:pPr>
            <w:r w:rsidRPr="001A076D">
              <w:t>Model</w:t>
            </w:r>
          </w:p>
        </w:tc>
        <w:tc>
          <w:tcPr>
            <w:tcW w:w="1666" w:type="dxa"/>
            <w:vAlign w:val="center"/>
          </w:tcPr>
          <w:p w14:paraId="35A43E4A" w14:textId="77777777" w:rsidR="000626F9" w:rsidRPr="001A076D" w:rsidRDefault="000626F9" w:rsidP="00175C6C">
            <w:pPr>
              <w:pStyle w:val="NormalWeb"/>
              <w:jc w:val="center"/>
            </w:pPr>
            <w:r w:rsidRPr="001A076D">
              <w:t>Sum of Squares</w:t>
            </w:r>
          </w:p>
        </w:tc>
        <w:tc>
          <w:tcPr>
            <w:tcW w:w="1156" w:type="dxa"/>
            <w:vAlign w:val="center"/>
          </w:tcPr>
          <w:p w14:paraId="78F66389" w14:textId="77777777" w:rsidR="000626F9" w:rsidRPr="001A076D" w:rsidRDefault="000626F9" w:rsidP="00175C6C">
            <w:pPr>
              <w:pStyle w:val="NormalWeb"/>
              <w:jc w:val="center"/>
            </w:pPr>
            <w:proofErr w:type="spellStart"/>
            <w:r w:rsidRPr="001A076D">
              <w:t>df</w:t>
            </w:r>
            <w:proofErr w:type="spellEnd"/>
          </w:p>
        </w:tc>
        <w:tc>
          <w:tcPr>
            <w:tcW w:w="1513" w:type="dxa"/>
            <w:vAlign w:val="center"/>
          </w:tcPr>
          <w:p w14:paraId="1F5589FD" w14:textId="77777777" w:rsidR="000626F9" w:rsidRPr="001A076D" w:rsidRDefault="000626F9" w:rsidP="00175C6C">
            <w:pPr>
              <w:pStyle w:val="NormalWeb"/>
              <w:jc w:val="center"/>
            </w:pPr>
            <w:r w:rsidRPr="001A076D">
              <w:t>Mean Square</w:t>
            </w:r>
          </w:p>
        </w:tc>
        <w:tc>
          <w:tcPr>
            <w:tcW w:w="1156" w:type="dxa"/>
            <w:vAlign w:val="center"/>
          </w:tcPr>
          <w:p w14:paraId="2F9B751F" w14:textId="77777777" w:rsidR="000626F9" w:rsidRPr="001A076D" w:rsidRDefault="000626F9" w:rsidP="00175C6C">
            <w:pPr>
              <w:pStyle w:val="NormalWeb"/>
              <w:jc w:val="center"/>
            </w:pPr>
            <w:r w:rsidRPr="001A076D">
              <w:t>F</w:t>
            </w:r>
          </w:p>
        </w:tc>
        <w:tc>
          <w:tcPr>
            <w:tcW w:w="1156" w:type="dxa"/>
            <w:vAlign w:val="center"/>
          </w:tcPr>
          <w:p w14:paraId="79E8E14D" w14:textId="77777777" w:rsidR="000626F9" w:rsidRPr="001A076D" w:rsidRDefault="000626F9" w:rsidP="00175C6C">
            <w:pPr>
              <w:pStyle w:val="NormalWeb"/>
              <w:jc w:val="center"/>
            </w:pPr>
            <w:r w:rsidRPr="001A076D">
              <w:t>Sig.</w:t>
            </w:r>
          </w:p>
        </w:tc>
      </w:tr>
      <w:tr w:rsidR="00057F93" w:rsidRPr="001A076D" w14:paraId="1FD3F70F" w14:textId="77777777" w:rsidTr="00175C6C">
        <w:tc>
          <w:tcPr>
            <w:tcW w:w="833" w:type="dxa"/>
            <w:vMerge w:val="restart"/>
            <w:vAlign w:val="center"/>
          </w:tcPr>
          <w:p w14:paraId="1D32D24D" w14:textId="77777777" w:rsidR="000626F9" w:rsidRPr="001A076D" w:rsidRDefault="000626F9" w:rsidP="00175C6C">
            <w:pPr>
              <w:pStyle w:val="NormalWeb"/>
              <w:jc w:val="center"/>
            </w:pPr>
            <w:r w:rsidRPr="001A076D">
              <w:t>1</w:t>
            </w:r>
          </w:p>
        </w:tc>
        <w:tc>
          <w:tcPr>
            <w:tcW w:w="1309" w:type="dxa"/>
            <w:vAlign w:val="center"/>
          </w:tcPr>
          <w:p w14:paraId="41BAA8B7" w14:textId="77777777" w:rsidR="000626F9" w:rsidRPr="001A076D" w:rsidRDefault="000626F9" w:rsidP="00175C6C">
            <w:pPr>
              <w:pStyle w:val="NormalWeb"/>
              <w:jc w:val="center"/>
            </w:pPr>
            <w:r w:rsidRPr="001A076D">
              <w:t>Regression</w:t>
            </w:r>
          </w:p>
        </w:tc>
        <w:tc>
          <w:tcPr>
            <w:tcW w:w="1666" w:type="dxa"/>
            <w:vAlign w:val="center"/>
          </w:tcPr>
          <w:p w14:paraId="30E75F08" w14:textId="77777777" w:rsidR="000626F9" w:rsidRPr="001A076D" w:rsidRDefault="000626F9" w:rsidP="00175C6C">
            <w:pPr>
              <w:pStyle w:val="NormalWeb"/>
              <w:jc w:val="center"/>
            </w:pPr>
            <w:r w:rsidRPr="001A076D">
              <w:t>7.118</w:t>
            </w:r>
          </w:p>
        </w:tc>
        <w:tc>
          <w:tcPr>
            <w:tcW w:w="1156" w:type="dxa"/>
            <w:vAlign w:val="center"/>
          </w:tcPr>
          <w:p w14:paraId="3735749F" w14:textId="77777777" w:rsidR="000626F9" w:rsidRPr="001A076D" w:rsidRDefault="000626F9" w:rsidP="00175C6C">
            <w:pPr>
              <w:pStyle w:val="NormalWeb"/>
              <w:jc w:val="center"/>
            </w:pPr>
            <w:r w:rsidRPr="001A076D">
              <w:t>3</w:t>
            </w:r>
          </w:p>
        </w:tc>
        <w:tc>
          <w:tcPr>
            <w:tcW w:w="1513" w:type="dxa"/>
            <w:vAlign w:val="center"/>
          </w:tcPr>
          <w:p w14:paraId="18C7D2E1" w14:textId="77777777" w:rsidR="000626F9" w:rsidRPr="001A076D" w:rsidRDefault="000626F9" w:rsidP="00175C6C">
            <w:pPr>
              <w:pStyle w:val="NormalWeb"/>
              <w:jc w:val="center"/>
            </w:pPr>
            <w:r w:rsidRPr="001A076D">
              <w:t>2.373</w:t>
            </w:r>
          </w:p>
        </w:tc>
        <w:tc>
          <w:tcPr>
            <w:tcW w:w="1156" w:type="dxa"/>
            <w:vAlign w:val="center"/>
          </w:tcPr>
          <w:p w14:paraId="44F1B06B" w14:textId="77777777" w:rsidR="000626F9" w:rsidRPr="001A076D" w:rsidRDefault="000626F9" w:rsidP="00175C6C">
            <w:pPr>
              <w:pStyle w:val="NormalWeb"/>
              <w:jc w:val="center"/>
            </w:pPr>
            <w:r w:rsidRPr="001A076D">
              <w:t>18.616</w:t>
            </w:r>
          </w:p>
        </w:tc>
        <w:tc>
          <w:tcPr>
            <w:tcW w:w="1156" w:type="dxa"/>
            <w:vAlign w:val="center"/>
          </w:tcPr>
          <w:p w14:paraId="0709D8EF" w14:textId="77777777" w:rsidR="000626F9" w:rsidRPr="001A076D" w:rsidRDefault="000626F9" w:rsidP="00175C6C">
            <w:pPr>
              <w:pStyle w:val="NormalWeb"/>
              <w:jc w:val="center"/>
            </w:pPr>
            <w:r w:rsidRPr="001A076D">
              <w:t>&lt;.001</w:t>
            </w:r>
            <w:r w:rsidRPr="001A076D">
              <w:rPr>
                <w:vertAlign w:val="superscript"/>
              </w:rPr>
              <w:t>b</w:t>
            </w:r>
          </w:p>
        </w:tc>
      </w:tr>
      <w:tr w:rsidR="00057F93" w:rsidRPr="001A076D" w14:paraId="2F9B9301" w14:textId="77777777" w:rsidTr="00175C6C">
        <w:tc>
          <w:tcPr>
            <w:tcW w:w="833" w:type="dxa"/>
            <w:vMerge/>
            <w:vAlign w:val="center"/>
          </w:tcPr>
          <w:p w14:paraId="21B9B0B3" w14:textId="77777777" w:rsidR="000626F9" w:rsidRPr="001A076D" w:rsidRDefault="000626F9" w:rsidP="00175C6C">
            <w:pPr>
              <w:pStyle w:val="NormalWeb"/>
              <w:jc w:val="center"/>
            </w:pPr>
          </w:p>
        </w:tc>
        <w:tc>
          <w:tcPr>
            <w:tcW w:w="1309" w:type="dxa"/>
            <w:vAlign w:val="center"/>
          </w:tcPr>
          <w:p w14:paraId="6BBC89FB" w14:textId="77777777" w:rsidR="000626F9" w:rsidRPr="001A076D" w:rsidRDefault="000626F9" w:rsidP="00175C6C">
            <w:pPr>
              <w:pStyle w:val="NormalWeb"/>
              <w:jc w:val="center"/>
            </w:pPr>
            <w:r w:rsidRPr="001A076D">
              <w:t>Residual</w:t>
            </w:r>
          </w:p>
        </w:tc>
        <w:tc>
          <w:tcPr>
            <w:tcW w:w="1666" w:type="dxa"/>
            <w:vAlign w:val="center"/>
          </w:tcPr>
          <w:p w14:paraId="3B0662E9" w14:textId="77777777" w:rsidR="000626F9" w:rsidRPr="001A076D" w:rsidRDefault="000626F9" w:rsidP="00175C6C">
            <w:pPr>
              <w:pStyle w:val="NormalWeb"/>
              <w:jc w:val="center"/>
            </w:pPr>
            <w:r w:rsidRPr="001A076D">
              <w:t>7.902</w:t>
            </w:r>
          </w:p>
        </w:tc>
        <w:tc>
          <w:tcPr>
            <w:tcW w:w="1156" w:type="dxa"/>
            <w:vAlign w:val="center"/>
          </w:tcPr>
          <w:p w14:paraId="7F0D60BA" w14:textId="77777777" w:rsidR="000626F9" w:rsidRPr="001A076D" w:rsidRDefault="000626F9" w:rsidP="00175C6C">
            <w:pPr>
              <w:pStyle w:val="NormalWeb"/>
              <w:jc w:val="center"/>
            </w:pPr>
            <w:r w:rsidRPr="001A076D">
              <w:t>62</w:t>
            </w:r>
          </w:p>
        </w:tc>
        <w:tc>
          <w:tcPr>
            <w:tcW w:w="1513" w:type="dxa"/>
            <w:vAlign w:val="center"/>
          </w:tcPr>
          <w:p w14:paraId="3F44C8D7" w14:textId="70BAC759" w:rsidR="000626F9" w:rsidRPr="001A076D" w:rsidRDefault="00E55DD6" w:rsidP="00175C6C">
            <w:pPr>
              <w:pStyle w:val="NormalWeb"/>
              <w:jc w:val="center"/>
            </w:pPr>
            <w:r w:rsidRPr="001A076D">
              <w:t>0</w:t>
            </w:r>
            <w:r w:rsidR="000626F9" w:rsidRPr="001A076D">
              <w:t>.127</w:t>
            </w:r>
          </w:p>
        </w:tc>
        <w:tc>
          <w:tcPr>
            <w:tcW w:w="1156" w:type="dxa"/>
            <w:vAlign w:val="center"/>
          </w:tcPr>
          <w:p w14:paraId="4CD9B0F4" w14:textId="77777777" w:rsidR="000626F9" w:rsidRPr="001A076D" w:rsidRDefault="000626F9" w:rsidP="00175C6C">
            <w:pPr>
              <w:pStyle w:val="NormalWeb"/>
              <w:jc w:val="center"/>
            </w:pPr>
          </w:p>
        </w:tc>
        <w:tc>
          <w:tcPr>
            <w:tcW w:w="1156" w:type="dxa"/>
            <w:vAlign w:val="center"/>
          </w:tcPr>
          <w:p w14:paraId="56665A1B" w14:textId="77777777" w:rsidR="000626F9" w:rsidRPr="001A076D" w:rsidRDefault="000626F9" w:rsidP="00175C6C">
            <w:pPr>
              <w:pStyle w:val="NormalWeb"/>
              <w:jc w:val="center"/>
            </w:pPr>
          </w:p>
        </w:tc>
      </w:tr>
      <w:tr w:rsidR="00057F93" w:rsidRPr="001A076D" w14:paraId="5B75CF44" w14:textId="77777777" w:rsidTr="00175C6C">
        <w:tc>
          <w:tcPr>
            <w:tcW w:w="833" w:type="dxa"/>
            <w:vMerge/>
            <w:vAlign w:val="center"/>
          </w:tcPr>
          <w:p w14:paraId="7E6354FE" w14:textId="77777777" w:rsidR="000626F9" w:rsidRPr="001A076D" w:rsidRDefault="000626F9" w:rsidP="00175C6C">
            <w:pPr>
              <w:pStyle w:val="NormalWeb"/>
              <w:jc w:val="center"/>
            </w:pPr>
          </w:p>
        </w:tc>
        <w:tc>
          <w:tcPr>
            <w:tcW w:w="1309" w:type="dxa"/>
            <w:vAlign w:val="center"/>
          </w:tcPr>
          <w:p w14:paraId="43C086FD" w14:textId="77777777" w:rsidR="000626F9" w:rsidRPr="001A076D" w:rsidRDefault="000626F9" w:rsidP="00175C6C">
            <w:pPr>
              <w:pStyle w:val="NormalWeb"/>
              <w:jc w:val="center"/>
            </w:pPr>
            <w:r w:rsidRPr="001A076D">
              <w:t>Total</w:t>
            </w:r>
          </w:p>
        </w:tc>
        <w:tc>
          <w:tcPr>
            <w:tcW w:w="1666" w:type="dxa"/>
            <w:vAlign w:val="center"/>
          </w:tcPr>
          <w:p w14:paraId="4C077558" w14:textId="77777777" w:rsidR="000626F9" w:rsidRPr="001A076D" w:rsidRDefault="000626F9" w:rsidP="00175C6C">
            <w:pPr>
              <w:pStyle w:val="NormalWeb"/>
              <w:jc w:val="center"/>
            </w:pPr>
            <w:r w:rsidRPr="001A076D">
              <w:t>15.020</w:t>
            </w:r>
          </w:p>
        </w:tc>
        <w:tc>
          <w:tcPr>
            <w:tcW w:w="1156" w:type="dxa"/>
            <w:vAlign w:val="center"/>
          </w:tcPr>
          <w:p w14:paraId="552D9E37" w14:textId="77777777" w:rsidR="000626F9" w:rsidRPr="001A076D" w:rsidRDefault="000626F9" w:rsidP="00175C6C">
            <w:pPr>
              <w:pStyle w:val="NormalWeb"/>
              <w:jc w:val="center"/>
            </w:pPr>
            <w:r w:rsidRPr="001A076D">
              <w:t>65</w:t>
            </w:r>
          </w:p>
        </w:tc>
        <w:tc>
          <w:tcPr>
            <w:tcW w:w="1513" w:type="dxa"/>
            <w:vAlign w:val="center"/>
          </w:tcPr>
          <w:p w14:paraId="521B7760" w14:textId="77777777" w:rsidR="000626F9" w:rsidRPr="001A076D" w:rsidRDefault="000626F9" w:rsidP="00175C6C">
            <w:pPr>
              <w:pStyle w:val="NormalWeb"/>
              <w:jc w:val="center"/>
            </w:pPr>
          </w:p>
        </w:tc>
        <w:tc>
          <w:tcPr>
            <w:tcW w:w="1156" w:type="dxa"/>
            <w:vAlign w:val="center"/>
          </w:tcPr>
          <w:p w14:paraId="02BF7E16" w14:textId="77777777" w:rsidR="000626F9" w:rsidRPr="001A076D" w:rsidRDefault="000626F9" w:rsidP="00175C6C">
            <w:pPr>
              <w:pStyle w:val="NormalWeb"/>
              <w:jc w:val="center"/>
            </w:pPr>
          </w:p>
        </w:tc>
        <w:tc>
          <w:tcPr>
            <w:tcW w:w="1156" w:type="dxa"/>
            <w:vAlign w:val="center"/>
          </w:tcPr>
          <w:p w14:paraId="0754CE2A" w14:textId="77777777" w:rsidR="000626F9" w:rsidRPr="001A076D" w:rsidRDefault="000626F9" w:rsidP="00175C6C">
            <w:pPr>
              <w:pStyle w:val="NormalWeb"/>
              <w:jc w:val="center"/>
            </w:pPr>
          </w:p>
        </w:tc>
      </w:tr>
      <w:tr w:rsidR="00057F93" w:rsidRPr="001A076D" w14:paraId="19094AC1" w14:textId="77777777" w:rsidTr="00175C6C">
        <w:tc>
          <w:tcPr>
            <w:tcW w:w="8789" w:type="dxa"/>
            <w:gridSpan w:val="7"/>
            <w:vAlign w:val="center"/>
          </w:tcPr>
          <w:p w14:paraId="519D4267" w14:textId="77777777" w:rsidR="000626F9" w:rsidRPr="001A076D" w:rsidRDefault="000626F9" w:rsidP="00175C6C">
            <w:pPr>
              <w:pStyle w:val="NormalWeb"/>
              <w:jc w:val="center"/>
            </w:pPr>
            <w:r w:rsidRPr="001A076D">
              <w:t>a. Dependent Variable: SE</w:t>
            </w:r>
          </w:p>
        </w:tc>
      </w:tr>
      <w:tr w:rsidR="00057F93" w:rsidRPr="001A076D" w14:paraId="608172C2" w14:textId="77777777" w:rsidTr="00175C6C">
        <w:tc>
          <w:tcPr>
            <w:tcW w:w="8789" w:type="dxa"/>
            <w:gridSpan w:val="7"/>
            <w:vAlign w:val="center"/>
          </w:tcPr>
          <w:p w14:paraId="14857FB8" w14:textId="77777777" w:rsidR="000626F9" w:rsidRPr="001A076D" w:rsidRDefault="000626F9" w:rsidP="00175C6C">
            <w:pPr>
              <w:pStyle w:val="NormalWeb"/>
              <w:jc w:val="center"/>
            </w:pPr>
            <w:r w:rsidRPr="001A076D">
              <w:t>b. Predictors: (Constant), TE, PAC, GM</w:t>
            </w:r>
          </w:p>
        </w:tc>
      </w:tr>
    </w:tbl>
    <w:p w14:paraId="611C702A" w14:textId="2B265844" w:rsidR="000626F9" w:rsidRPr="001A076D" w:rsidRDefault="00E55DD6" w:rsidP="000626F9">
      <w:pPr>
        <w:pStyle w:val="NormalWeb"/>
        <w:rPr>
          <w:b/>
          <w:bCs/>
        </w:rPr>
      </w:pPr>
      <w:r w:rsidRPr="001A076D">
        <w:rPr>
          <w:b/>
          <w:bCs/>
        </w:rPr>
        <w:t>Table A5.10 – Regression Coefficients</w:t>
      </w:r>
    </w:p>
    <w:tbl>
      <w:tblPr>
        <w:tblStyle w:val="TableGrid"/>
        <w:tblW w:w="10021" w:type="dxa"/>
        <w:tblLayout w:type="fixed"/>
        <w:tblLook w:val="04A0" w:firstRow="1" w:lastRow="0" w:firstColumn="1" w:lastColumn="0" w:noHBand="0" w:noVBand="1"/>
      </w:tblPr>
      <w:tblGrid>
        <w:gridCol w:w="733"/>
        <w:gridCol w:w="1077"/>
        <w:gridCol w:w="1316"/>
        <w:gridCol w:w="1316"/>
        <w:gridCol w:w="1649"/>
        <w:gridCol w:w="834"/>
        <w:gridCol w:w="1017"/>
        <w:gridCol w:w="1062"/>
        <w:gridCol w:w="1017"/>
      </w:tblGrid>
      <w:tr w:rsidR="00057F93" w:rsidRPr="001A076D" w14:paraId="1921D3C1" w14:textId="77777777" w:rsidTr="00175C6C">
        <w:tc>
          <w:tcPr>
            <w:tcW w:w="10021" w:type="dxa"/>
            <w:gridSpan w:val="9"/>
            <w:vAlign w:val="center"/>
          </w:tcPr>
          <w:p w14:paraId="1B07E67C" w14:textId="77777777" w:rsidR="000626F9" w:rsidRPr="001A076D" w:rsidRDefault="000626F9" w:rsidP="00175C6C">
            <w:pPr>
              <w:pStyle w:val="NormalWeb"/>
              <w:jc w:val="center"/>
            </w:pPr>
            <w:proofErr w:type="spellStart"/>
            <w:r w:rsidRPr="001A076D">
              <w:rPr>
                <w:b/>
              </w:rPr>
              <w:lastRenderedPageBreak/>
              <w:t>Coefficients</w:t>
            </w:r>
            <w:r w:rsidRPr="001A076D">
              <w:rPr>
                <w:vertAlign w:val="superscript"/>
              </w:rPr>
              <w:t>a</w:t>
            </w:r>
            <w:proofErr w:type="spellEnd"/>
          </w:p>
        </w:tc>
      </w:tr>
      <w:tr w:rsidR="00057F93" w:rsidRPr="001A076D" w14:paraId="3AA9021D" w14:textId="77777777" w:rsidTr="00175C6C">
        <w:tc>
          <w:tcPr>
            <w:tcW w:w="1810" w:type="dxa"/>
            <w:gridSpan w:val="2"/>
            <w:vMerge w:val="restart"/>
            <w:vAlign w:val="center"/>
          </w:tcPr>
          <w:p w14:paraId="41C54923" w14:textId="77777777" w:rsidR="000626F9" w:rsidRPr="001A076D" w:rsidRDefault="000626F9" w:rsidP="00175C6C">
            <w:pPr>
              <w:pStyle w:val="NormalWeb"/>
              <w:jc w:val="center"/>
            </w:pPr>
            <w:r w:rsidRPr="001A076D">
              <w:t>Model</w:t>
            </w:r>
          </w:p>
        </w:tc>
        <w:tc>
          <w:tcPr>
            <w:tcW w:w="2632" w:type="dxa"/>
            <w:gridSpan w:val="2"/>
            <w:vAlign w:val="center"/>
          </w:tcPr>
          <w:p w14:paraId="48939C21" w14:textId="77777777" w:rsidR="000626F9" w:rsidRPr="001A076D" w:rsidRDefault="000626F9" w:rsidP="00175C6C">
            <w:pPr>
              <w:pStyle w:val="NormalWeb"/>
              <w:jc w:val="center"/>
            </w:pPr>
            <w:r w:rsidRPr="001A076D">
              <w:t>Unstandardized Coefficients</w:t>
            </w:r>
          </w:p>
        </w:tc>
        <w:tc>
          <w:tcPr>
            <w:tcW w:w="1649" w:type="dxa"/>
            <w:vAlign w:val="center"/>
          </w:tcPr>
          <w:p w14:paraId="61D984B7" w14:textId="77777777" w:rsidR="000626F9" w:rsidRPr="001A076D" w:rsidRDefault="000626F9" w:rsidP="00175C6C">
            <w:pPr>
              <w:pStyle w:val="NormalWeb"/>
              <w:jc w:val="center"/>
            </w:pPr>
            <w:r w:rsidRPr="001A076D">
              <w:t>Standardized Coefficients</w:t>
            </w:r>
          </w:p>
        </w:tc>
        <w:tc>
          <w:tcPr>
            <w:tcW w:w="834" w:type="dxa"/>
            <w:vMerge w:val="restart"/>
            <w:vAlign w:val="center"/>
          </w:tcPr>
          <w:p w14:paraId="70C53B71" w14:textId="77777777" w:rsidR="000626F9" w:rsidRPr="001A076D" w:rsidRDefault="000626F9" w:rsidP="00175C6C">
            <w:pPr>
              <w:pStyle w:val="NormalWeb"/>
              <w:jc w:val="center"/>
            </w:pPr>
            <w:r w:rsidRPr="001A076D">
              <w:t>t</w:t>
            </w:r>
          </w:p>
        </w:tc>
        <w:tc>
          <w:tcPr>
            <w:tcW w:w="1017" w:type="dxa"/>
            <w:vMerge w:val="restart"/>
            <w:vAlign w:val="center"/>
          </w:tcPr>
          <w:p w14:paraId="59864B85" w14:textId="77777777" w:rsidR="000626F9" w:rsidRPr="001A076D" w:rsidRDefault="000626F9" w:rsidP="00175C6C">
            <w:pPr>
              <w:pStyle w:val="NormalWeb"/>
              <w:jc w:val="center"/>
            </w:pPr>
            <w:r w:rsidRPr="001A076D">
              <w:t>Sig.</w:t>
            </w:r>
          </w:p>
        </w:tc>
        <w:tc>
          <w:tcPr>
            <w:tcW w:w="2079" w:type="dxa"/>
            <w:gridSpan w:val="2"/>
            <w:vAlign w:val="center"/>
          </w:tcPr>
          <w:p w14:paraId="100C15B2" w14:textId="77777777" w:rsidR="000626F9" w:rsidRPr="001A076D" w:rsidRDefault="000626F9" w:rsidP="00175C6C">
            <w:pPr>
              <w:pStyle w:val="NormalWeb"/>
              <w:jc w:val="center"/>
            </w:pPr>
            <w:r w:rsidRPr="001A076D">
              <w:t>Collinearity Statistics</w:t>
            </w:r>
          </w:p>
        </w:tc>
      </w:tr>
      <w:tr w:rsidR="00057F93" w:rsidRPr="001A076D" w14:paraId="2E24A232" w14:textId="77777777" w:rsidTr="00175C6C">
        <w:tc>
          <w:tcPr>
            <w:tcW w:w="1810" w:type="dxa"/>
            <w:gridSpan w:val="2"/>
            <w:vMerge/>
            <w:vAlign w:val="center"/>
          </w:tcPr>
          <w:p w14:paraId="00C2F213" w14:textId="77777777" w:rsidR="000626F9" w:rsidRPr="001A076D" w:rsidRDefault="000626F9" w:rsidP="00175C6C">
            <w:pPr>
              <w:pStyle w:val="NormalWeb"/>
              <w:jc w:val="center"/>
            </w:pPr>
          </w:p>
        </w:tc>
        <w:tc>
          <w:tcPr>
            <w:tcW w:w="1316" w:type="dxa"/>
            <w:vAlign w:val="center"/>
          </w:tcPr>
          <w:p w14:paraId="51CD66B8" w14:textId="77777777" w:rsidR="000626F9" w:rsidRPr="001A076D" w:rsidRDefault="000626F9" w:rsidP="00175C6C">
            <w:pPr>
              <w:pStyle w:val="NormalWeb"/>
              <w:jc w:val="center"/>
            </w:pPr>
            <w:r w:rsidRPr="001A076D">
              <w:t>B</w:t>
            </w:r>
          </w:p>
        </w:tc>
        <w:tc>
          <w:tcPr>
            <w:tcW w:w="1316" w:type="dxa"/>
            <w:vAlign w:val="center"/>
          </w:tcPr>
          <w:p w14:paraId="4FEA73F1" w14:textId="77777777" w:rsidR="000626F9" w:rsidRPr="001A076D" w:rsidRDefault="000626F9" w:rsidP="00175C6C">
            <w:pPr>
              <w:pStyle w:val="NormalWeb"/>
              <w:jc w:val="center"/>
            </w:pPr>
            <w:r w:rsidRPr="001A076D">
              <w:t>Std. Error</w:t>
            </w:r>
          </w:p>
        </w:tc>
        <w:tc>
          <w:tcPr>
            <w:tcW w:w="1649" w:type="dxa"/>
            <w:vAlign w:val="center"/>
          </w:tcPr>
          <w:p w14:paraId="706EB459" w14:textId="77777777" w:rsidR="000626F9" w:rsidRPr="001A076D" w:rsidRDefault="000626F9" w:rsidP="00175C6C">
            <w:pPr>
              <w:pStyle w:val="NormalWeb"/>
              <w:jc w:val="center"/>
            </w:pPr>
            <w:r w:rsidRPr="001A076D">
              <w:t>Beta</w:t>
            </w:r>
          </w:p>
        </w:tc>
        <w:tc>
          <w:tcPr>
            <w:tcW w:w="834" w:type="dxa"/>
            <w:vMerge/>
            <w:vAlign w:val="center"/>
          </w:tcPr>
          <w:p w14:paraId="6209A554" w14:textId="77777777" w:rsidR="000626F9" w:rsidRPr="001A076D" w:rsidRDefault="000626F9" w:rsidP="00175C6C">
            <w:pPr>
              <w:pStyle w:val="NormalWeb"/>
              <w:jc w:val="center"/>
            </w:pPr>
          </w:p>
        </w:tc>
        <w:tc>
          <w:tcPr>
            <w:tcW w:w="1017" w:type="dxa"/>
            <w:vMerge/>
            <w:vAlign w:val="center"/>
          </w:tcPr>
          <w:p w14:paraId="2718700B" w14:textId="77777777" w:rsidR="000626F9" w:rsidRPr="001A076D" w:rsidRDefault="000626F9" w:rsidP="00175C6C">
            <w:pPr>
              <w:pStyle w:val="NormalWeb"/>
              <w:jc w:val="center"/>
            </w:pPr>
          </w:p>
        </w:tc>
        <w:tc>
          <w:tcPr>
            <w:tcW w:w="1062" w:type="dxa"/>
            <w:vAlign w:val="center"/>
          </w:tcPr>
          <w:p w14:paraId="6F8F1861" w14:textId="77777777" w:rsidR="000626F9" w:rsidRPr="001A076D" w:rsidRDefault="000626F9" w:rsidP="00175C6C">
            <w:pPr>
              <w:pStyle w:val="NormalWeb"/>
              <w:jc w:val="center"/>
            </w:pPr>
            <w:r w:rsidRPr="001A076D">
              <w:t>Tolerance</w:t>
            </w:r>
          </w:p>
        </w:tc>
        <w:tc>
          <w:tcPr>
            <w:tcW w:w="1017" w:type="dxa"/>
            <w:vAlign w:val="center"/>
          </w:tcPr>
          <w:p w14:paraId="5FA73EE4" w14:textId="77777777" w:rsidR="000626F9" w:rsidRPr="001A076D" w:rsidRDefault="000626F9" w:rsidP="00175C6C">
            <w:pPr>
              <w:pStyle w:val="NormalWeb"/>
              <w:jc w:val="center"/>
            </w:pPr>
            <w:r w:rsidRPr="001A076D">
              <w:t>VIF</w:t>
            </w:r>
          </w:p>
        </w:tc>
      </w:tr>
      <w:tr w:rsidR="00057F93" w:rsidRPr="001A076D" w14:paraId="20C3A7E7" w14:textId="77777777" w:rsidTr="00175C6C">
        <w:tc>
          <w:tcPr>
            <w:tcW w:w="733" w:type="dxa"/>
            <w:vMerge w:val="restart"/>
            <w:vAlign w:val="center"/>
          </w:tcPr>
          <w:p w14:paraId="4E6F2B2F" w14:textId="77777777" w:rsidR="000626F9" w:rsidRPr="001A076D" w:rsidRDefault="000626F9" w:rsidP="00175C6C">
            <w:pPr>
              <w:pStyle w:val="NormalWeb"/>
              <w:jc w:val="center"/>
            </w:pPr>
            <w:r w:rsidRPr="001A076D">
              <w:t>1</w:t>
            </w:r>
          </w:p>
        </w:tc>
        <w:tc>
          <w:tcPr>
            <w:tcW w:w="1077" w:type="dxa"/>
            <w:vAlign w:val="center"/>
          </w:tcPr>
          <w:p w14:paraId="19D88DCE" w14:textId="77777777" w:rsidR="000626F9" w:rsidRPr="001A076D" w:rsidRDefault="000626F9" w:rsidP="00175C6C">
            <w:pPr>
              <w:pStyle w:val="NormalWeb"/>
              <w:jc w:val="center"/>
            </w:pPr>
            <w:r w:rsidRPr="001A076D">
              <w:t>(Constant)</w:t>
            </w:r>
          </w:p>
        </w:tc>
        <w:tc>
          <w:tcPr>
            <w:tcW w:w="1316" w:type="dxa"/>
            <w:vAlign w:val="center"/>
          </w:tcPr>
          <w:p w14:paraId="23C4E89C" w14:textId="77777777" w:rsidR="000626F9" w:rsidRPr="001A076D" w:rsidRDefault="000626F9" w:rsidP="00175C6C">
            <w:pPr>
              <w:pStyle w:val="NormalWeb"/>
              <w:jc w:val="center"/>
            </w:pPr>
            <w:r w:rsidRPr="001A076D">
              <w:t>1.190</w:t>
            </w:r>
          </w:p>
        </w:tc>
        <w:tc>
          <w:tcPr>
            <w:tcW w:w="1316" w:type="dxa"/>
            <w:vAlign w:val="center"/>
          </w:tcPr>
          <w:p w14:paraId="541C7B2B" w14:textId="77777777" w:rsidR="000626F9" w:rsidRPr="001A076D" w:rsidRDefault="000626F9" w:rsidP="00175C6C">
            <w:pPr>
              <w:pStyle w:val="NormalWeb"/>
              <w:jc w:val="center"/>
            </w:pPr>
            <w:r w:rsidRPr="001A076D">
              <w:t>.437</w:t>
            </w:r>
          </w:p>
        </w:tc>
        <w:tc>
          <w:tcPr>
            <w:tcW w:w="1649" w:type="dxa"/>
            <w:vAlign w:val="center"/>
          </w:tcPr>
          <w:p w14:paraId="63ADF9EF" w14:textId="77777777" w:rsidR="000626F9" w:rsidRPr="001A076D" w:rsidRDefault="000626F9" w:rsidP="00175C6C">
            <w:pPr>
              <w:pStyle w:val="NormalWeb"/>
              <w:jc w:val="center"/>
            </w:pPr>
          </w:p>
        </w:tc>
        <w:tc>
          <w:tcPr>
            <w:tcW w:w="834" w:type="dxa"/>
            <w:vAlign w:val="center"/>
          </w:tcPr>
          <w:p w14:paraId="245A3372" w14:textId="77777777" w:rsidR="000626F9" w:rsidRPr="001A076D" w:rsidRDefault="000626F9" w:rsidP="00175C6C">
            <w:pPr>
              <w:pStyle w:val="NormalWeb"/>
              <w:jc w:val="center"/>
            </w:pPr>
            <w:r w:rsidRPr="001A076D">
              <w:t>2.722</w:t>
            </w:r>
          </w:p>
        </w:tc>
        <w:tc>
          <w:tcPr>
            <w:tcW w:w="1017" w:type="dxa"/>
            <w:vAlign w:val="center"/>
          </w:tcPr>
          <w:p w14:paraId="33746C4A" w14:textId="77777777" w:rsidR="000626F9" w:rsidRPr="001A076D" w:rsidRDefault="000626F9" w:rsidP="00175C6C">
            <w:pPr>
              <w:pStyle w:val="NormalWeb"/>
              <w:jc w:val="center"/>
            </w:pPr>
            <w:r w:rsidRPr="001A076D">
              <w:t>.008</w:t>
            </w:r>
          </w:p>
        </w:tc>
        <w:tc>
          <w:tcPr>
            <w:tcW w:w="1062" w:type="dxa"/>
            <w:vAlign w:val="center"/>
          </w:tcPr>
          <w:p w14:paraId="146B1E7D" w14:textId="77777777" w:rsidR="000626F9" w:rsidRPr="001A076D" w:rsidRDefault="000626F9" w:rsidP="00175C6C">
            <w:pPr>
              <w:pStyle w:val="NormalWeb"/>
              <w:jc w:val="center"/>
            </w:pPr>
          </w:p>
        </w:tc>
        <w:tc>
          <w:tcPr>
            <w:tcW w:w="1017" w:type="dxa"/>
            <w:vAlign w:val="center"/>
          </w:tcPr>
          <w:p w14:paraId="6C7D5F73" w14:textId="77777777" w:rsidR="000626F9" w:rsidRPr="001A076D" w:rsidRDefault="000626F9" w:rsidP="00175C6C">
            <w:pPr>
              <w:pStyle w:val="NormalWeb"/>
              <w:jc w:val="center"/>
            </w:pPr>
          </w:p>
        </w:tc>
      </w:tr>
      <w:tr w:rsidR="00057F93" w:rsidRPr="001A076D" w14:paraId="67519771" w14:textId="77777777" w:rsidTr="00175C6C">
        <w:tc>
          <w:tcPr>
            <w:tcW w:w="733" w:type="dxa"/>
            <w:vMerge/>
            <w:vAlign w:val="center"/>
          </w:tcPr>
          <w:p w14:paraId="0D0D1CC4" w14:textId="77777777" w:rsidR="000626F9" w:rsidRPr="001A076D" w:rsidRDefault="000626F9" w:rsidP="00175C6C">
            <w:pPr>
              <w:pStyle w:val="NormalWeb"/>
              <w:jc w:val="center"/>
            </w:pPr>
          </w:p>
        </w:tc>
        <w:tc>
          <w:tcPr>
            <w:tcW w:w="1077" w:type="dxa"/>
            <w:vAlign w:val="center"/>
          </w:tcPr>
          <w:p w14:paraId="4B15487E" w14:textId="77777777" w:rsidR="000626F9" w:rsidRPr="001A076D" w:rsidRDefault="000626F9" w:rsidP="00175C6C">
            <w:pPr>
              <w:pStyle w:val="NormalWeb"/>
              <w:jc w:val="center"/>
            </w:pPr>
            <w:r w:rsidRPr="001A076D">
              <w:t>PAC</w:t>
            </w:r>
          </w:p>
        </w:tc>
        <w:tc>
          <w:tcPr>
            <w:tcW w:w="1316" w:type="dxa"/>
            <w:vAlign w:val="center"/>
          </w:tcPr>
          <w:p w14:paraId="0A8AF9F2" w14:textId="77777777" w:rsidR="000626F9" w:rsidRPr="001A076D" w:rsidRDefault="000626F9" w:rsidP="00175C6C">
            <w:pPr>
              <w:pStyle w:val="NormalWeb"/>
              <w:jc w:val="center"/>
            </w:pPr>
            <w:r w:rsidRPr="001A076D">
              <w:t>.216</w:t>
            </w:r>
          </w:p>
        </w:tc>
        <w:tc>
          <w:tcPr>
            <w:tcW w:w="1316" w:type="dxa"/>
            <w:vAlign w:val="center"/>
          </w:tcPr>
          <w:p w14:paraId="10A3692C" w14:textId="77777777" w:rsidR="000626F9" w:rsidRPr="001A076D" w:rsidRDefault="000626F9" w:rsidP="00175C6C">
            <w:pPr>
              <w:pStyle w:val="NormalWeb"/>
              <w:jc w:val="center"/>
            </w:pPr>
            <w:r w:rsidRPr="001A076D">
              <w:t>.115</w:t>
            </w:r>
          </w:p>
        </w:tc>
        <w:tc>
          <w:tcPr>
            <w:tcW w:w="1649" w:type="dxa"/>
            <w:vAlign w:val="center"/>
          </w:tcPr>
          <w:p w14:paraId="68066F8F" w14:textId="77777777" w:rsidR="000626F9" w:rsidRPr="001A076D" w:rsidRDefault="000626F9" w:rsidP="00175C6C">
            <w:pPr>
              <w:pStyle w:val="NormalWeb"/>
              <w:jc w:val="center"/>
            </w:pPr>
            <w:r w:rsidRPr="001A076D">
              <w:t>.213</w:t>
            </w:r>
          </w:p>
        </w:tc>
        <w:tc>
          <w:tcPr>
            <w:tcW w:w="834" w:type="dxa"/>
            <w:vAlign w:val="center"/>
          </w:tcPr>
          <w:p w14:paraId="59F2B217" w14:textId="77777777" w:rsidR="000626F9" w:rsidRPr="001A076D" w:rsidRDefault="000626F9" w:rsidP="00175C6C">
            <w:pPr>
              <w:pStyle w:val="NormalWeb"/>
              <w:jc w:val="center"/>
            </w:pPr>
            <w:r w:rsidRPr="001A076D">
              <w:t>1.887</w:t>
            </w:r>
          </w:p>
        </w:tc>
        <w:tc>
          <w:tcPr>
            <w:tcW w:w="1017" w:type="dxa"/>
            <w:vAlign w:val="center"/>
          </w:tcPr>
          <w:p w14:paraId="4EA700D5" w14:textId="77777777" w:rsidR="000626F9" w:rsidRPr="001A076D" w:rsidRDefault="000626F9" w:rsidP="00175C6C">
            <w:pPr>
              <w:pStyle w:val="NormalWeb"/>
              <w:jc w:val="center"/>
            </w:pPr>
            <w:r w:rsidRPr="001A076D">
              <w:t>.064</w:t>
            </w:r>
          </w:p>
        </w:tc>
        <w:tc>
          <w:tcPr>
            <w:tcW w:w="1062" w:type="dxa"/>
            <w:vAlign w:val="center"/>
          </w:tcPr>
          <w:p w14:paraId="77D7DB78" w14:textId="77777777" w:rsidR="000626F9" w:rsidRPr="001A076D" w:rsidRDefault="000626F9" w:rsidP="00175C6C">
            <w:pPr>
              <w:pStyle w:val="NormalWeb"/>
              <w:jc w:val="center"/>
            </w:pPr>
            <w:r w:rsidRPr="001A076D">
              <w:t>.664</w:t>
            </w:r>
          </w:p>
        </w:tc>
        <w:tc>
          <w:tcPr>
            <w:tcW w:w="1017" w:type="dxa"/>
            <w:vAlign w:val="center"/>
          </w:tcPr>
          <w:p w14:paraId="2F0B809B" w14:textId="77777777" w:rsidR="000626F9" w:rsidRPr="001A076D" w:rsidRDefault="000626F9" w:rsidP="00175C6C">
            <w:pPr>
              <w:pStyle w:val="NormalWeb"/>
              <w:jc w:val="center"/>
            </w:pPr>
            <w:r w:rsidRPr="001A076D">
              <w:t>1.506</w:t>
            </w:r>
          </w:p>
        </w:tc>
      </w:tr>
      <w:tr w:rsidR="00057F93" w:rsidRPr="001A076D" w14:paraId="0A1C6CB2" w14:textId="77777777" w:rsidTr="00175C6C">
        <w:tc>
          <w:tcPr>
            <w:tcW w:w="733" w:type="dxa"/>
            <w:vMerge/>
            <w:vAlign w:val="center"/>
          </w:tcPr>
          <w:p w14:paraId="402BC1C9" w14:textId="77777777" w:rsidR="000626F9" w:rsidRPr="001A076D" w:rsidRDefault="000626F9" w:rsidP="00175C6C">
            <w:pPr>
              <w:pStyle w:val="NormalWeb"/>
              <w:jc w:val="center"/>
            </w:pPr>
          </w:p>
        </w:tc>
        <w:tc>
          <w:tcPr>
            <w:tcW w:w="1077" w:type="dxa"/>
            <w:vAlign w:val="center"/>
          </w:tcPr>
          <w:p w14:paraId="69B61FE6" w14:textId="77777777" w:rsidR="000626F9" w:rsidRPr="001A076D" w:rsidRDefault="000626F9" w:rsidP="00175C6C">
            <w:pPr>
              <w:pStyle w:val="NormalWeb"/>
              <w:jc w:val="center"/>
            </w:pPr>
            <w:r w:rsidRPr="001A076D">
              <w:t>GM</w:t>
            </w:r>
          </w:p>
        </w:tc>
        <w:tc>
          <w:tcPr>
            <w:tcW w:w="1316" w:type="dxa"/>
            <w:vAlign w:val="center"/>
          </w:tcPr>
          <w:p w14:paraId="0AF29945" w14:textId="77777777" w:rsidR="000626F9" w:rsidRPr="001A076D" w:rsidRDefault="000626F9" w:rsidP="00175C6C">
            <w:pPr>
              <w:pStyle w:val="NormalWeb"/>
              <w:jc w:val="center"/>
            </w:pPr>
            <w:r w:rsidRPr="001A076D">
              <w:t>.208</w:t>
            </w:r>
          </w:p>
        </w:tc>
        <w:tc>
          <w:tcPr>
            <w:tcW w:w="1316" w:type="dxa"/>
            <w:vAlign w:val="center"/>
          </w:tcPr>
          <w:p w14:paraId="17EE8FF6" w14:textId="77777777" w:rsidR="000626F9" w:rsidRPr="001A076D" w:rsidRDefault="000626F9" w:rsidP="00175C6C">
            <w:pPr>
              <w:pStyle w:val="NormalWeb"/>
              <w:jc w:val="center"/>
            </w:pPr>
            <w:r w:rsidRPr="001A076D">
              <w:t>.096</w:t>
            </w:r>
          </w:p>
        </w:tc>
        <w:tc>
          <w:tcPr>
            <w:tcW w:w="1649" w:type="dxa"/>
            <w:vAlign w:val="center"/>
          </w:tcPr>
          <w:p w14:paraId="36158412" w14:textId="77777777" w:rsidR="000626F9" w:rsidRPr="001A076D" w:rsidRDefault="000626F9" w:rsidP="00175C6C">
            <w:pPr>
              <w:pStyle w:val="NormalWeb"/>
              <w:jc w:val="center"/>
            </w:pPr>
            <w:r w:rsidRPr="001A076D">
              <w:t>.283</w:t>
            </w:r>
          </w:p>
        </w:tc>
        <w:tc>
          <w:tcPr>
            <w:tcW w:w="834" w:type="dxa"/>
            <w:vAlign w:val="center"/>
          </w:tcPr>
          <w:p w14:paraId="727866C0" w14:textId="77777777" w:rsidR="000626F9" w:rsidRPr="001A076D" w:rsidRDefault="000626F9" w:rsidP="00175C6C">
            <w:pPr>
              <w:pStyle w:val="NormalWeb"/>
              <w:jc w:val="center"/>
            </w:pPr>
            <w:r w:rsidRPr="001A076D">
              <w:t>2.171</w:t>
            </w:r>
          </w:p>
        </w:tc>
        <w:tc>
          <w:tcPr>
            <w:tcW w:w="1017" w:type="dxa"/>
            <w:vAlign w:val="center"/>
          </w:tcPr>
          <w:p w14:paraId="100AC725" w14:textId="77777777" w:rsidR="000626F9" w:rsidRPr="001A076D" w:rsidRDefault="000626F9" w:rsidP="00175C6C">
            <w:pPr>
              <w:pStyle w:val="NormalWeb"/>
              <w:jc w:val="center"/>
            </w:pPr>
            <w:r w:rsidRPr="001A076D">
              <w:t>.034</w:t>
            </w:r>
          </w:p>
        </w:tc>
        <w:tc>
          <w:tcPr>
            <w:tcW w:w="1062" w:type="dxa"/>
            <w:vAlign w:val="center"/>
          </w:tcPr>
          <w:p w14:paraId="08867F6E" w14:textId="77777777" w:rsidR="000626F9" w:rsidRPr="001A076D" w:rsidRDefault="000626F9" w:rsidP="00175C6C">
            <w:pPr>
              <w:pStyle w:val="NormalWeb"/>
              <w:jc w:val="center"/>
            </w:pPr>
            <w:r w:rsidRPr="001A076D">
              <w:t>.500</w:t>
            </w:r>
          </w:p>
        </w:tc>
        <w:tc>
          <w:tcPr>
            <w:tcW w:w="1017" w:type="dxa"/>
            <w:vAlign w:val="center"/>
          </w:tcPr>
          <w:p w14:paraId="2AD36026" w14:textId="77777777" w:rsidR="000626F9" w:rsidRPr="001A076D" w:rsidRDefault="000626F9" w:rsidP="00175C6C">
            <w:pPr>
              <w:pStyle w:val="NormalWeb"/>
              <w:jc w:val="center"/>
            </w:pPr>
            <w:r w:rsidRPr="001A076D">
              <w:t>2.001</w:t>
            </w:r>
          </w:p>
        </w:tc>
      </w:tr>
      <w:tr w:rsidR="00057F93" w:rsidRPr="001A076D" w14:paraId="4FF072E4" w14:textId="77777777" w:rsidTr="00175C6C">
        <w:tc>
          <w:tcPr>
            <w:tcW w:w="733" w:type="dxa"/>
            <w:vMerge/>
            <w:vAlign w:val="center"/>
          </w:tcPr>
          <w:p w14:paraId="7F82A8CD" w14:textId="77777777" w:rsidR="000626F9" w:rsidRPr="001A076D" w:rsidRDefault="000626F9" w:rsidP="00175C6C">
            <w:pPr>
              <w:pStyle w:val="NormalWeb"/>
              <w:jc w:val="center"/>
            </w:pPr>
          </w:p>
        </w:tc>
        <w:tc>
          <w:tcPr>
            <w:tcW w:w="1077" w:type="dxa"/>
            <w:vAlign w:val="center"/>
          </w:tcPr>
          <w:p w14:paraId="5292ACE5" w14:textId="77777777" w:rsidR="000626F9" w:rsidRPr="001A076D" w:rsidRDefault="000626F9" w:rsidP="00175C6C">
            <w:pPr>
              <w:pStyle w:val="NormalWeb"/>
              <w:jc w:val="center"/>
            </w:pPr>
            <w:r w:rsidRPr="001A076D">
              <w:t>TE</w:t>
            </w:r>
          </w:p>
        </w:tc>
        <w:tc>
          <w:tcPr>
            <w:tcW w:w="1316" w:type="dxa"/>
            <w:vAlign w:val="center"/>
          </w:tcPr>
          <w:p w14:paraId="5FFFA0BC" w14:textId="77777777" w:rsidR="000626F9" w:rsidRPr="001A076D" w:rsidRDefault="000626F9" w:rsidP="00175C6C">
            <w:pPr>
              <w:pStyle w:val="NormalWeb"/>
              <w:jc w:val="center"/>
            </w:pPr>
            <w:r w:rsidRPr="001A076D">
              <w:t>.287</w:t>
            </w:r>
          </w:p>
        </w:tc>
        <w:tc>
          <w:tcPr>
            <w:tcW w:w="1316" w:type="dxa"/>
            <w:vAlign w:val="center"/>
          </w:tcPr>
          <w:p w14:paraId="6CC63A70" w14:textId="77777777" w:rsidR="000626F9" w:rsidRPr="001A076D" w:rsidRDefault="000626F9" w:rsidP="00175C6C">
            <w:pPr>
              <w:pStyle w:val="NormalWeb"/>
              <w:jc w:val="center"/>
            </w:pPr>
            <w:r w:rsidRPr="001A076D">
              <w:t>.117</w:t>
            </w:r>
          </w:p>
        </w:tc>
        <w:tc>
          <w:tcPr>
            <w:tcW w:w="1649" w:type="dxa"/>
            <w:vAlign w:val="center"/>
          </w:tcPr>
          <w:p w14:paraId="0BBCDB58" w14:textId="77777777" w:rsidR="000626F9" w:rsidRPr="001A076D" w:rsidRDefault="000626F9" w:rsidP="00175C6C">
            <w:pPr>
              <w:pStyle w:val="NormalWeb"/>
              <w:jc w:val="center"/>
            </w:pPr>
            <w:r w:rsidRPr="001A076D">
              <w:t>.311</w:t>
            </w:r>
          </w:p>
        </w:tc>
        <w:tc>
          <w:tcPr>
            <w:tcW w:w="834" w:type="dxa"/>
            <w:vAlign w:val="center"/>
          </w:tcPr>
          <w:p w14:paraId="67376DCC" w14:textId="77777777" w:rsidR="000626F9" w:rsidRPr="001A076D" w:rsidRDefault="000626F9" w:rsidP="00175C6C">
            <w:pPr>
              <w:pStyle w:val="NormalWeb"/>
              <w:jc w:val="center"/>
            </w:pPr>
            <w:r w:rsidRPr="001A076D">
              <w:t>2.442</w:t>
            </w:r>
          </w:p>
        </w:tc>
        <w:tc>
          <w:tcPr>
            <w:tcW w:w="1017" w:type="dxa"/>
            <w:vAlign w:val="center"/>
          </w:tcPr>
          <w:p w14:paraId="547C191A" w14:textId="77777777" w:rsidR="000626F9" w:rsidRPr="001A076D" w:rsidRDefault="000626F9" w:rsidP="00175C6C">
            <w:pPr>
              <w:pStyle w:val="NormalWeb"/>
              <w:jc w:val="center"/>
            </w:pPr>
            <w:r w:rsidRPr="001A076D">
              <w:t>.017</w:t>
            </w:r>
          </w:p>
        </w:tc>
        <w:tc>
          <w:tcPr>
            <w:tcW w:w="1062" w:type="dxa"/>
            <w:vAlign w:val="center"/>
          </w:tcPr>
          <w:p w14:paraId="37DBED29" w14:textId="77777777" w:rsidR="000626F9" w:rsidRPr="001A076D" w:rsidRDefault="000626F9" w:rsidP="00175C6C">
            <w:pPr>
              <w:pStyle w:val="NormalWeb"/>
              <w:jc w:val="center"/>
            </w:pPr>
            <w:r w:rsidRPr="001A076D">
              <w:t>.522</w:t>
            </w:r>
          </w:p>
        </w:tc>
        <w:tc>
          <w:tcPr>
            <w:tcW w:w="1017" w:type="dxa"/>
            <w:vAlign w:val="center"/>
          </w:tcPr>
          <w:p w14:paraId="0B261B42" w14:textId="77777777" w:rsidR="000626F9" w:rsidRPr="001A076D" w:rsidRDefault="000626F9" w:rsidP="00175C6C">
            <w:pPr>
              <w:pStyle w:val="NormalWeb"/>
              <w:jc w:val="center"/>
            </w:pPr>
            <w:r w:rsidRPr="001A076D">
              <w:t>1.916</w:t>
            </w:r>
          </w:p>
        </w:tc>
      </w:tr>
      <w:tr w:rsidR="004F2125" w:rsidRPr="001A076D" w14:paraId="4B6D4BCD" w14:textId="77777777" w:rsidTr="00175C6C">
        <w:tc>
          <w:tcPr>
            <w:tcW w:w="10021" w:type="dxa"/>
            <w:gridSpan w:val="9"/>
            <w:vAlign w:val="center"/>
          </w:tcPr>
          <w:p w14:paraId="56746C58" w14:textId="77777777" w:rsidR="000626F9" w:rsidRPr="001A076D" w:rsidRDefault="000626F9" w:rsidP="00175C6C">
            <w:pPr>
              <w:pStyle w:val="NormalWeb"/>
              <w:jc w:val="center"/>
            </w:pPr>
            <w:r w:rsidRPr="001A076D">
              <w:t>a. Dependent Variable: SE</w:t>
            </w:r>
          </w:p>
        </w:tc>
      </w:tr>
    </w:tbl>
    <w:p w14:paraId="07AF8B31" w14:textId="77777777" w:rsidR="007E4E84" w:rsidRPr="001A076D" w:rsidRDefault="007E4E84" w:rsidP="0025466D">
      <w:pPr>
        <w:rPr>
          <w:rStyle w:val="Strong"/>
          <w:rFonts w:eastAsiaTheme="majorEastAsia"/>
        </w:rPr>
      </w:pPr>
    </w:p>
    <w:p w14:paraId="31B2A6D4" w14:textId="5D119C8C" w:rsidR="0025466D" w:rsidRPr="001A076D" w:rsidRDefault="0025466D" w:rsidP="0025466D">
      <w:r w:rsidRPr="001A076D">
        <w:rPr>
          <w:rStyle w:val="Strong"/>
          <w:rFonts w:eastAsiaTheme="majorEastAsia"/>
        </w:rPr>
        <w:t>A5.5 Multicollinearity Diagnostics</w:t>
      </w:r>
    </w:p>
    <w:p w14:paraId="2DB6D361" w14:textId="77777777" w:rsidR="0025466D" w:rsidRPr="001A076D" w:rsidRDefault="0025466D" w:rsidP="0025466D">
      <w:pPr>
        <w:pStyle w:val="NormalWeb"/>
      </w:pPr>
      <w:r w:rsidRPr="001A076D">
        <w:t>Tolerance and VIF values:</w:t>
      </w:r>
    </w:p>
    <w:p w14:paraId="100752BF" w14:textId="682B9BDF" w:rsidR="00E55DD6" w:rsidRPr="001A076D" w:rsidRDefault="00E55DD6" w:rsidP="0025466D">
      <w:pPr>
        <w:pStyle w:val="NormalWeb"/>
        <w:rPr>
          <w:b/>
          <w:bCs/>
        </w:rPr>
      </w:pPr>
      <w:r w:rsidRPr="001A076D">
        <w:rPr>
          <w:b/>
          <w:bCs/>
        </w:rPr>
        <w:t>Table A5.11 – Multicollinearity Statistics</w:t>
      </w:r>
    </w:p>
    <w:tbl>
      <w:tblPr>
        <w:tblStyle w:val="TableGrid"/>
        <w:tblW w:w="0" w:type="auto"/>
        <w:tblLook w:val="04A0" w:firstRow="1" w:lastRow="0" w:firstColumn="1" w:lastColumn="0" w:noHBand="0" w:noVBand="1"/>
      </w:tblPr>
      <w:tblGrid>
        <w:gridCol w:w="1189"/>
        <w:gridCol w:w="1243"/>
        <w:gridCol w:w="756"/>
      </w:tblGrid>
      <w:tr w:rsidR="00057F93" w:rsidRPr="001A076D" w14:paraId="4F39C108" w14:textId="77777777" w:rsidTr="00175C6C">
        <w:tc>
          <w:tcPr>
            <w:tcW w:w="0" w:type="auto"/>
            <w:vAlign w:val="center"/>
            <w:hideMark/>
          </w:tcPr>
          <w:p w14:paraId="59D80B33" w14:textId="77777777" w:rsidR="0025466D" w:rsidRPr="001A076D" w:rsidRDefault="0025466D" w:rsidP="00175C6C">
            <w:pPr>
              <w:jc w:val="center"/>
              <w:rPr>
                <w:b/>
                <w:bCs/>
              </w:rPr>
            </w:pPr>
            <w:r w:rsidRPr="001A076D">
              <w:rPr>
                <w:b/>
                <w:bCs/>
              </w:rPr>
              <w:t>Predictor</w:t>
            </w:r>
          </w:p>
        </w:tc>
        <w:tc>
          <w:tcPr>
            <w:tcW w:w="0" w:type="auto"/>
            <w:vAlign w:val="center"/>
            <w:hideMark/>
          </w:tcPr>
          <w:p w14:paraId="503290FF" w14:textId="77777777" w:rsidR="0025466D" w:rsidRPr="001A076D" w:rsidRDefault="0025466D" w:rsidP="00175C6C">
            <w:pPr>
              <w:jc w:val="center"/>
              <w:rPr>
                <w:b/>
                <w:bCs/>
              </w:rPr>
            </w:pPr>
            <w:r w:rsidRPr="001A076D">
              <w:rPr>
                <w:b/>
                <w:bCs/>
              </w:rPr>
              <w:t>Tolerance</w:t>
            </w:r>
          </w:p>
        </w:tc>
        <w:tc>
          <w:tcPr>
            <w:tcW w:w="0" w:type="auto"/>
            <w:vAlign w:val="center"/>
            <w:hideMark/>
          </w:tcPr>
          <w:p w14:paraId="3EF16EF0" w14:textId="77777777" w:rsidR="0025466D" w:rsidRPr="001A076D" w:rsidRDefault="0025466D" w:rsidP="00175C6C">
            <w:pPr>
              <w:jc w:val="center"/>
              <w:rPr>
                <w:b/>
                <w:bCs/>
              </w:rPr>
            </w:pPr>
            <w:r w:rsidRPr="001A076D">
              <w:rPr>
                <w:b/>
                <w:bCs/>
              </w:rPr>
              <w:t>VIF</w:t>
            </w:r>
          </w:p>
        </w:tc>
      </w:tr>
      <w:tr w:rsidR="00057F93" w:rsidRPr="001A076D" w14:paraId="07B32EC4" w14:textId="77777777" w:rsidTr="00175C6C">
        <w:tc>
          <w:tcPr>
            <w:tcW w:w="0" w:type="auto"/>
            <w:vAlign w:val="center"/>
            <w:hideMark/>
          </w:tcPr>
          <w:p w14:paraId="75AF338F" w14:textId="77777777" w:rsidR="0025466D" w:rsidRPr="001A076D" w:rsidRDefault="0025466D" w:rsidP="00175C6C">
            <w:pPr>
              <w:jc w:val="center"/>
            </w:pPr>
            <w:r w:rsidRPr="001A076D">
              <w:t>PAC</w:t>
            </w:r>
          </w:p>
        </w:tc>
        <w:tc>
          <w:tcPr>
            <w:tcW w:w="0" w:type="auto"/>
            <w:vAlign w:val="center"/>
            <w:hideMark/>
          </w:tcPr>
          <w:p w14:paraId="5D59E51E" w14:textId="77777777" w:rsidR="0025466D" w:rsidRPr="001A076D" w:rsidRDefault="0025466D" w:rsidP="00175C6C">
            <w:pPr>
              <w:jc w:val="center"/>
            </w:pPr>
            <w:r w:rsidRPr="001A076D">
              <w:t>0.664</w:t>
            </w:r>
          </w:p>
        </w:tc>
        <w:tc>
          <w:tcPr>
            <w:tcW w:w="0" w:type="auto"/>
            <w:vAlign w:val="center"/>
            <w:hideMark/>
          </w:tcPr>
          <w:p w14:paraId="5CB78697" w14:textId="77777777" w:rsidR="0025466D" w:rsidRPr="001A076D" w:rsidRDefault="0025466D" w:rsidP="00175C6C">
            <w:pPr>
              <w:jc w:val="center"/>
            </w:pPr>
            <w:r w:rsidRPr="001A076D">
              <w:t>1.506</w:t>
            </w:r>
          </w:p>
        </w:tc>
      </w:tr>
      <w:tr w:rsidR="00057F93" w:rsidRPr="001A076D" w14:paraId="371C588B" w14:textId="77777777" w:rsidTr="00175C6C">
        <w:tc>
          <w:tcPr>
            <w:tcW w:w="0" w:type="auto"/>
            <w:vAlign w:val="center"/>
            <w:hideMark/>
          </w:tcPr>
          <w:p w14:paraId="0015DBDD" w14:textId="77777777" w:rsidR="0025466D" w:rsidRPr="001A076D" w:rsidRDefault="0025466D" w:rsidP="00175C6C">
            <w:pPr>
              <w:jc w:val="center"/>
            </w:pPr>
            <w:r w:rsidRPr="001A076D">
              <w:t>GM</w:t>
            </w:r>
          </w:p>
        </w:tc>
        <w:tc>
          <w:tcPr>
            <w:tcW w:w="0" w:type="auto"/>
            <w:vAlign w:val="center"/>
            <w:hideMark/>
          </w:tcPr>
          <w:p w14:paraId="61A06BC6" w14:textId="77777777" w:rsidR="0025466D" w:rsidRPr="001A076D" w:rsidRDefault="0025466D" w:rsidP="00175C6C">
            <w:pPr>
              <w:jc w:val="center"/>
            </w:pPr>
            <w:r w:rsidRPr="001A076D">
              <w:t>0.500</w:t>
            </w:r>
          </w:p>
        </w:tc>
        <w:tc>
          <w:tcPr>
            <w:tcW w:w="0" w:type="auto"/>
            <w:vAlign w:val="center"/>
            <w:hideMark/>
          </w:tcPr>
          <w:p w14:paraId="62537780" w14:textId="77777777" w:rsidR="0025466D" w:rsidRPr="001A076D" w:rsidRDefault="0025466D" w:rsidP="00175C6C">
            <w:pPr>
              <w:jc w:val="center"/>
            </w:pPr>
            <w:r w:rsidRPr="001A076D">
              <w:t>2.001</w:t>
            </w:r>
          </w:p>
        </w:tc>
      </w:tr>
      <w:tr w:rsidR="00057F93" w:rsidRPr="001A076D" w14:paraId="0FAD5F27" w14:textId="77777777" w:rsidTr="00175C6C">
        <w:tc>
          <w:tcPr>
            <w:tcW w:w="0" w:type="auto"/>
            <w:vAlign w:val="center"/>
            <w:hideMark/>
          </w:tcPr>
          <w:p w14:paraId="557DADAD" w14:textId="77777777" w:rsidR="0025466D" w:rsidRPr="001A076D" w:rsidRDefault="0025466D" w:rsidP="00175C6C">
            <w:pPr>
              <w:jc w:val="center"/>
            </w:pPr>
            <w:r w:rsidRPr="001A076D">
              <w:t>TE</w:t>
            </w:r>
          </w:p>
        </w:tc>
        <w:tc>
          <w:tcPr>
            <w:tcW w:w="0" w:type="auto"/>
            <w:vAlign w:val="center"/>
            <w:hideMark/>
          </w:tcPr>
          <w:p w14:paraId="517CB63D" w14:textId="77777777" w:rsidR="0025466D" w:rsidRPr="001A076D" w:rsidRDefault="0025466D" w:rsidP="00175C6C">
            <w:pPr>
              <w:jc w:val="center"/>
            </w:pPr>
            <w:r w:rsidRPr="001A076D">
              <w:t>0.522</w:t>
            </w:r>
          </w:p>
        </w:tc>
        <w:tc>
          <w:tcPr>
            <w:tcW w:w="0" w:type="auto"/>
            <w:vAlign w:val="center"/>
            <w:hideMark/>
          </w:tcPr>
          <w:p w14:paraId="38682DAF" w14:textId="77777777" w:rsidR="0025466D" w:rsidRPr="001A076D" w:rsidRDefault="0025466D" w:rsidP="00175C6C">
            <w:pPr>
              <w:jc w:val="center"/>
            </w:pPr>
            <w:r w:rsidRPr="001A076D">
              <w:t>1.916</w:t>
            </w:r>
          </w:p>
        </w:tc>
      </w:tr>
    </w:tbl>
    <w:p w14:paraId="646FB773" w14:textId="44637163" w:rsidR="0025466D" w:rsidRPr="001A076D" w:rsidRDefault="00E55DD6" w:rsidP="00A77C4D">
      <w:pPr>
        <w:pStyle w:val="NormalWeb"/>
        <w:rPr>
          <w:b/>
          <w:bCs/>
        </w:rPr>
      </w:pPr>
      <w:r w:rsidRPr="001A076D">
        <w:rPr>
          <w:b/>
          <w:bCs/>
        </w:rPr>
        <w:t>Table A5.12 – Collinearity Diagnostics</w:t>
      </w:r>
    </w:p>
    <w:tbl>
      <w:tblPr>
        <w:tblStyle w:val="TableGrid"/>
        <w:tblW w:w="9724" w:type="dxa"/>
        <w:tblLayout w:type="fixed"/>
        <w:tblLook w:val="04A0" w:firstRow="1" w:lastRow="0" w:firstColumn="1" w:lastColumn="0" w:noHBand="0" w:noVBand="1"/>
      </w:tblPr>
      <w:tblGrid>
        <w:gridCol w:w="833"/>
        <w:gridCol w:w="1289"/>
        <w:gridCol w:w="1275"/>
        <w:gridCol w:w="1418"/>
        <w:gridCol w:w="1441"/>
        <w:gridCol w:w="1156"/>
        <w:gridCol w:w="1156"/>
        <w:gridCol w:w="1156"/>
      </w:tblGrid>
      <w:tr w:rsidR="00057F93" w:rsidRPr="001A076D" w14:paraId="3ED36606" w14:textId="77777777" w:rsidTr="00175C6C">
        <w:tc>
          <w:tcPr>
            <w:tcW w:w="9724" w:type="dxa"/>
            <w:gridSpan w:val="8"/>
            <w:vAlign w:val="center"/>
          </w:tcPr>
          <w:p w14:paraId="7FBE33BA" w14:textId="77777777" w:rsidR="00175C6C" w:rsidRPr="001A076D" w:rsidRDefault="00175C6C" w:rsidP="00175C6C">
            <w:pPr>
              <w:pStyle w:val="NormalWeb"/>
              <w:jc w:val="center"/>
            </w:pPr>
            <w:r w:rsidRPr="001A076D">
              <w:rPr>
                <w:b/>
              </w:rPr>
              <w:t xml:space="preserve">Collinearity </w:t>
            </w:r>
            <w:proofErr w:type="spellStart"/>
            <w:r w:rsidRPr="001A076D">
              <w:rPr>
                <w:b/>
              </w:rPr>
              <w:t>Diagnostics</w:t>
            </w:r>
            <w:r w:rsidRPr="001A076D">
              <w:rPr>
                <w:vertAlign w:val="superscript"/>
              </w:rPr>
              <w:t>a</w:t>
            </w:r>
            <w:proofErr w:type="spellEnd"/>
          </w:p>
        </w:tc>
      </w:tr>
      <w:tr w:rsidR="00057F93" w:rsidRPr="001A076D" w14:paraId="26B433D6" w14:textId="77777777" w:rsidTr="00A302F7">
        <w:tc>
          <w:tcPr>
            <w:tcW w:w="833" w:type="dxa"/>
            <w:vMerge w:val="restart"/>
            <w:vAlign w:val="center"/>
          </w:tcPr>
          <w:p w14:paraId="4EFDCCF8" w14:textId="77777777" w:rsidR="00175C6C" w:rsidRPr="001A076D" w:rsidRDefault="00175C6C" w:rsidP="00175C6C">
            <w:pPr>
              <w:pStyle w:val="NormalWeb"/>
              <w:jc w:val="center"/>
            </w:pPr>
            <w:r w:rsidRPr="001A076D">
              <w:t>Model</w:t>
            </w:r>
          </w:p>
        </w:tc>
        <w:tc>
          <w:tcPr>
            <w:tcW w:w="1289" w:type="dxa"/>
            <w:vMerge w:val="restart"/>
            <w:vAlign w:val="center"/>
          </w:tcPr>
          <w:p w14:paraId="79AD294C" w14:textId="77777777" w:rsidR="00175C6C" w:rsidRPr="001A076D" w:rsidRDefault="00175C6C" w:rsidP="00175C6C">
            <w:pPr>
              <w:pStyle w:val="NormalWeb"/>
              <w:jc w:val="center"/>
            </w:pPr>
            <w:r w:rsidRPr="001A076D">
              <w:t>Dimension</w:t>
            </w:r>
          </w:p>
        </w:tc>
        <w:tc>
          <w:tcPr>
            <w:tcW w:w="1275" w:type="dxa"/>
            <w:vMerge w:val="restart"/>
            <w:vAlign w:val="center"/>
          </w:tcPr>
          <w:p w14:paraId="03163556" w14:textId="77777777" w:rsidR="00175C6C" w:rsidRPr="001A076D" w:rsidRDefault="00175C6C" w:rsidP="00175C6C">
            <w:pPr>
              <w:pStyle w:val="NormalWeb"/>
              <w:jc w:val="center"/>
            </w:pPr>
            <w:r w:rsidRPr="001A076D">
              <w:t>Eigenvalue</w:t>
            </w:r>
          </w:p>
        </w:tc>
        <w:tc>
          <w:tcPr>
            <w:tcW w:w="1418" w:type="dxa"/>
            <w:vMerge w:val="restart"/>
            <w:vAlign w:val="center"/>
          </w:tcPr>
          <w:p w14:paraId="0608C6F0" w14:textId="77777777" w:rsidR="00175C6C" w:rsidRPr="001A076D" w:rsidRDefault="00175C6C" w:rsidP="00175C6C">
            <w:pPr>
              <w:pStyle w:val="NormalWeb"/>
              <w:jc w:val="center"/>
            </w:pPr>
            <w:r w:rsidRPr="001A076D">
              <w:t>Condition Index</w:t>
            </w:r>
          </w:p>
        </w:tc>
        <w:tc>
          <w:tcPr>
            <w:tcW w:w="4909" w:type="dxa"/>
            <w:gridSpan w:val="4"/>
            <w:vAlign w:val="center"/>
          </w:tcPr>
          <w:p w14:paraId="19C49C7D" w14:textId="77777777" w:rsidR="00175C6C" w:rsidRPr="001A076D" w:rsidRDefault="00175C6C" w:rsidP="00175C6C">
            <w:pPr>
              <w:pStyle w:val="NormalWeb"/>
              <w:jc w:val="center"/>
            </w:pPr>
            <w:r w:rsidRPr="001A076D">
              <w:t>Variance Proportions</w:t>
            </w:r>
          </w:p>
        </w:tc>
      </w:tr>
      <w:tr w:rsidR="00057F93" w:rsidRPr="001A076D" w14:paraId="020AC2F9" w14:textId="77777777" w:rsidTr="00A302F7">
        <w:tc>
          <w:tcPr>
            <w:tcW w:w="833" w:type="dxa"/>
            <w:vMerge/>
            <w:vAlign w:val="center"/>
          </w:tcPr>
          <w:p w14:paraId="6A354F15" w14:textId="77777777" w:rsidR="00175C6C" w:rsidRPr="001A076D" w:rsidRDefault="00175C6C" w:rsidP="00175C6C">
            <w:pPr>
              <w:pStyle w:val="NormalWeb"/>
              <w:jc w:val="center"/>
            </w:pPr>
          </w:p>
        </w:tc>
        <w:tc>
          <w:tcPr>
            <w:tcW w:w="1289" w:type="dxa"/>
            <w:vMerge/>
            <w:vAlign w:val="center"/>
          </w:tcPr>
          <w:p w14:paraId="1A27C517" w14:textId="77777777" w:rsidR="00175C6C" w:rsidRPr="001A076D" w:rsidRDefault="00175C6C" w:rsidP="00175C6C">
            <w:pPr>
              <w:pStyle w:val="NormalWeb"/>
              <w:jc w:val="center"/>
            </w:pPr>
          </w:p>
        </w:tc>
        <w:tc>
          <w:tcPr>
            <w:tcW w:w="1275" w:type="dxa"/>
            <w:vMerge/>
            <w:vAlign w:val="center"/>
          </w:tcPr>
          <w:p w14:paraId="02C0C72B" w14:textId="77777777" w:rsidR="00175C6C" w:rsidRPr="001A076D" w:rsidRDefault="00175C6C" w:rsidP="00175C6C">
            <w:pPr>
              <w:pStyle w:val="NormalWeb"/>
              <w:jc w:val="center"/>
            </w:pPr>
          </w:p>
        </w:tc>
        <w:tc>
          <w:tcPr>
            <w:tcW w:w="1418" w:type="dxa"/>
            <w:vMerge/>
            <w:vAlign w:val="center"/>
          </w:tcPr>
          <w:p w14:paraId="38A57EDC" w14:textId="77777777" w:rsidR="00175C6C" w:rsidRPr="001A076D" w:rsidRDefault="00175C6C" w:rsidP="00175C6C">
            <w:pPr>
              <w:pStyle w:val="NormalWeb"/>
              <w:jc w:val="center"/>
            </w:pPr>
          </w:p>
        </w:tc>
        <w:tc>
          <w:tcPr>
            <w:tcW w:w="1441" w:type="dxa"/>
            <w:vAlign w:val="center"/>
          </w:tcPr>
          <w:p w14:paraId="40008748" w14:textId="77777777" w:rsidR="00175C6C" w:rsidRPr="001A076D" w:rsidRDefault="00175C6C" w:rsidP="00175C6C">
            <w:pPr>
              <w:pStyle w:val="NormalWeb"/>
              <w:jc w:val="center"/>
            </w:pPr>
            <w:r w:rsidRPr="001A076D">
              <w:t>(Constant)</w:t>
            </w:r>
          </w:p>
        </w:tc>
        <w:tc>
          <w:tcPr>
            <w:tcW w:w="1156" w:type="dxa"/>
            <w:vAlign w:val="center"/>
          </w:tcPr>
          <w:p w14:paraId="6F5298F7" w14:textId="77777777" w:rsidR="00175C6C" w:rsidRPr="001A076D" w:rsidRDefault="00175C6C" w:rsidP="00175C6C">
            <w:pPr>
              <w:pStyle w:val="NormalWeb"/>
              <w:jc w:val="center"/>
            </w:pPr>
            <w:r w:rsidRPr="001A076D">
              <w:t>PAC</w:t>
            </w:r>
          </w:p>
        </w:tc>
        <w:tc>
          <w:tcPr>
            <w:tcW w:w="1156" w:type="dxa"/>
            <w:vAlign w:val="center"/>
          </w:tcPr>
          <w:p w14:paraId="4EC32454" w14:textId="77777777" w:rsidR="00175C6C" w:rsidRPr="001A076D" w:rsidRDefault="00175C6C" w:rsidP="00175C6C">
            <w:pPr>
              <w:pStyle w:val="NormalWeb"/>
              <w:jc w:val="center"/>
            </w:pPr>
            <w:r w:rsidRPr="001A076D">
              <w:t>GM</w:t>
            </w:r>
          </w:p>
        </w:tc>
        <w:tc>
          <w:tcPr>
            <w:tcW w:w="1156" w:type="dxa"/>
            <w:vAlign w:val="center"/>
          </w:tcPr>
          <w:p w14:paraId="2F559A3C" w14:textId="77777777" w:rsidR="00175C6C" w:rsidRPr="001A076D" w:rsidRDefault="00175C6C" w:rsidP="00175C6C">
            <w:pPr>
              <w:pStyle w:val="NormalWeb"/>
              <w:jc w:val="center"/>
            </w:pPr>
            <w:r w:rsidRPr="001A076D">
              <w:t>TE</w:t>
            </w:r>
          </w:p>
        </w:tc>
      </w:tr>
      <w:tr w:rsidR="00057F93" w:rsidRPr="001A076D" w14:paraId="6BC30A16" w14:textId="77777777" w:rsidTr="00A302F7">
        <w:tc>
          <w:tcPr>
            <w:tcW w:w="833" w:type="dxa"/>
            <w:vMerge w:val="restart"/>
            <w:vAlign w:val="center"/>
          </w:tcPr>
          <w:p w14:paraId="71E66F65" w14:textId="77777777" w:rsidR="00175C6C" w:rsidRPr="001A076D" w:rsidRDefault="00175C6C" w:rsidP="00175C6C">
            <w:pPr>
              <w:pStyle w:val="NormalWeb"/>
              <w:jc w:val="center"/>
            </w:pPr>
            <w:r w:rsidRPr="001A076D">
              <w:t>1</w:t>
            </w:r>
          </w:p>
        </w:tc>
        <w:tc>
          <w:tcPr>
            <w:tcW w:w="1289" w:type="dxa"/>
            <w:vAlign w:val="center"/>
          </w:tcPr>
          <w:p w14:paraId="304C6497" w14:textId="77777777" w:rsidR="00175C6C" w:rsidRPr="001A076D" w:rsidRDefault="00175C6C" w:rsidP="00175C6C">
            <w:pPr>
              <w:pStyle w:val="NormalWeb"/>
              <w:jc w:val="center"/>
            </w:pPr>
            <w:r w:rsidRPr="001A076D">
              <w:t>1</w:t>
            </w:r>
          </w:p>
        </w:tc>
        <w:tc>
          <w:tcPr>
            <w:tcW w:w="1275" w:type="dxa"/>
            <w:vAlign w:val="center"/>
          </w:tcPr>
          <w:p w14:paraId="7DBBB8AA" w14:textId="77777777" w:rsidR="00175C6C" w:rsidRPr="001A076D" w:rsidRDefault="00175C6C" w:rsidP="00175C6C">
            <w:pPr>
              <w:pStyle w:val="NormalWeb"/>
              <w:jc w:val="center"/>
            </w:pPr>
            <w:r w:rsidRPr="001A076D">
              <w:t>3.976</w:t>
            </w:r>
          </w:p>
        </w:tc>
        <w:tc>
          <w:tcPr>
            <w:tcW w:w="1418" w:type="dxa"/>
            <w:vAlign w:val="center"/>
          </w:tcPr>
          <w:p w14:paraId="25A83A5C" w14:textId="77777777" w:rsidR="00175C6C" w:rsidRPr="001A076D" w:rsidRDefault="00175C6C" w:rsidP="00175C6C">
            <w:pPr>
              <w:pStyle w:val="NormalWeb"/>
              <w:jc w:val="center"/>
            </w:pPr>
            <w:r w:rsidRPr="001A076D">
              <w:t>1.000</w:t>
            </w:r>
          </w:p>
        </w:tc>
        <w:tc>
          <w:tcPr>
            <w:tcW w:w="1441" w:type="dxa"/>
            <w:vAlign w:val="center"/>
          </w:tcPr>
          <w:p w14:paraId="41D3A4C7" w14:textId="77777777" w:rsidR="00175C6C" w:rsidRPr="001A076D" w:rsidRDefault="00175C6C" w:rsidP="00175C6C">
            <w:pPr>
              <w:pStyle w:val="NormalWeb"/>
              <w:jc w:val="center"/>
            </w:pPr>
            <w:r w:rsidRPr="001A076D">
              <w:t>.00</w:t>
            </w:r>
          </w:p>
        </w:tc>
        <w:tc>
          <w:tcPr>
            <w:tcW w:w="1156" w:type="dxa"/>
            <w:vAlign w:val="center"/>
          </w:tcPr>
          <w:p w14:paraId="6F653976" w14:textId="77777777" w:rsidR="00175C6C" w:rsidRPr="001A076D" w:rsidRDefault="00175C6C" w:rsidP="00175C6C">
            <w:pPr>
              <w:pStyle w:val="NormalWeb"/>
              <w:jc w:val="center"/>
            </w:pPr>
            <w:r w:rsidRPr="001A076D">
              <w:t>.00</w:t>
            </w:r>
          </w:p>
        </w:tc>
        <w:tc>
          <w:tcPr>
            <w:tcW w:w="1156" w:type="dxa"/>
            <w:vAlign w:val="center"/>
          </w:tcPr>
          <w:p w14:paraId="195A5589" w14:textId="77777777" w:rsidR="00175C6C" w:rsidRPr="001A076D" w:rsidRDefault="00175C6C" w:rsidP="00175C6C">
            <w:pPr>
              <w:pStyle w:val="NormalWeb"/>
              <w:jc w:val="center"/>
            </w:pPr>
            <w:r w:rsidRPr="001A076D">
              <w:t>.00</w:t>
            </w:r>
          </w:p>
        </w:tc>
        <w:tc>
          <w:tcPr>
            <w:tcW w:w="1156" w:type="dxa"/>
            <w:vAlign w:val="center"/>
          </w:tcPr>
          <w:p w14:paraId="39903160" w14:textId="77777777" w:rsidR="00175C6C" w:rsidRPr="001A076D" w:rsidRDefault="00175C6C" w:rsidP="00175C6C">
            <w:pPr>
              <w:pStyle w:val="NormalWeb"/>
              <w:jc w:val="center"/>
            </w:pPr>
            <w:r w:rsidRPr="001A076D">
              <w:t>.00</w:t>
            </w:r>
          </w:p>
        </w:tc>
      </w:tr>
      <w:tr w:rsidR="00057F93" w:rsidRPr="001A076D" w14:paraId="123A1D93" w14:textId="77777777" w:rsidTr="00A302F7">
        <w:tc>
          <w:tcPr>
            <w:tcW w:w="833" w:type="dxa"/>
            <w:vMerge/>
            <w:vAlign w:val="center"/>
          </w:tcPr>
          <w:p w14:paraId="3466E282" w14:textId="77777777" w:rsidR="00175C6C" w:rsidRPr="001A076D" w:rsidRDefault="00175C6C" w:rsidP="00175C6C">
            <w:pPr>
              <w:pStyle w:val="NormalWeb"/>
              <w:jc w:val="center"/>
            </w:pPr>
          </w:p>
        </w:tc>
        <w:tc>
          <w:tcPr>
            <w:tcW w:w="1289" w:type="dxa"/>
            <w:vAlign w:val="center"/>
          </w:tcPr>
          <w:p w14:paraId="6A0C5A15" w14:textId="77777777" w:rsidR="00175C6C" w:rsidRPr="001A076D" w:rsidRDefault="00175C6C" w:rsidP="00175C6C">
            <w:pPr>
              <w:pStyle w:val="NormalWeb"/>
              <w:jc w:val="center"/>
            </w:pPr>
            <w:r w:rsidRPr="001A076D">
              <w:t>2</w:t>
            </w:r>
          </w:p>
        </w:tc>
        <w:tc>
          <w:tcPr>
            <w:tcW w:w="1275" w:type="dxa"/>
            <w:vAlign w:val="center"/>
          </w:tcPr>
          <w:p w14:paraId="76E8D50E" w14:textId="77777777" w:rsidR="00175C6C" w:rsidRPr="001A076D" w:rsidRDefault="00175C6C" w:rsidP="00175C6C">
            <w:pPr>
              <w:pStyle w:val="NormalWeb"/>
              <w:jc w:val="center"/>
            </w:pPr>
            <w:r w:rsidRPr="001A076D">
              <w:t>.013</w:t>
            </w:r>
          </w:p>
        </w:tc>
        <w:tc>
          <w:tcPr>
            <w:tcW w:w="1418" w:type="dxa"/>
            <w:vAlign w:val="center"/>
          </w:tcPr>
          <w:p w14:paraId="5D427CD6" w14:textId="77777777" w:rsidR="00175C6C" w:rsidRPr="001A076D" w:rsidRDefault="00175C6C" w:rsidP="00175C6C">
            <w:pPr>
              <w:pStyle w:val="NormalWeb"/>
              <w:jc w:val="center"/>
            </w:pPr>
            <w:r w:rsidRPr="001A076D">
              <w:t>17.694</w:t>
            </w:r>
          </w:p>
        </w:tc>
        <w:tc>
          <w:tcPr>
            <w:tcW w:w="1441" w:type="dxa"/>
            <w:vAlign w:val="center"/>
          </w:tcPr>
          <w:p w14:paraId="5ABBF63B" w14:textId="77777777" w:rsidR="00175C6C" w:rsidRPr="001A076D" w:rsidRDefault="00175C6C" w:rsidP="00175C6C">
            <w:pPr>
              <w:pStyle w:val="NormalWeb"/>
              <w:jc w:val="center"/>
            </w:pPr>
            <w:r w:rsidRPr="001A076D">
              <w:t>.31</w:t>
            </w:r>
          </w:p>
        </w:tc>
        <w:tc>
          <w:tcPr>
            <w:tcW w:w="1156" w:type="dxa"/>
            <w:vAlign w:val="center"/>
          </w:tcPr>
          <w:p w14:paraId="77E22320" w14:textId="77777777" w:rsidR="00175C6C" w:rsidRPr="001A076D" w:rsidRDefault="00175C6C" w:rsidP="00175C6C">
            <w:pPr>
              <w:pStyle w:val="NormalWeb"/>
              <w:jc w:val="center"/>
            </w:pPr>
            <w:r w:rsidRPr="001A076D">
              <w:t>.04</w:t>
            </w:r>
          </w:p>
        </w:tc>
        <w:tc>
          <w:tcPr>
            <w:tcW w:w="1156" w:type="dxa"/>
            <w:vAlign w:val="center"/>
          </w:tcPr>
          <w:p w14:paraId="396A7FD5" w14:textId="77777777" w:rsidR="00175C6C" w:rsidRPr="001A076D" w:rsidRDefault="00175C6C" w:rsidP="00175C6C">
            <w:pPr>
              <w:pStyle w:val="NormalWeb"/>
              <w:jc w:val="center"/>
            </w:pPr>
            <w:r w:rsidRPr="001A076D">
              <w:t>.51</w:t>
            </w:r>
          </w:p>
        </w:tc>
        <w:tc>
          <w:tcPr>
            <w:tcW w:w="1156" w:type="dxa"/>
            <w:vAlign w:val="center"/>
          </w:tcPr>
          <w:p w14:paraId="45B6D5EF" w14:textId="77777777" w:rsidR="00175C6C" w:rsidRPr="001A076D" w:rsidRDefault="00175C6C" w:rsidP="00175C6C">
            <w:pPr>
              <w:pStyle w:val="NormalWeb"/>
              <w:jc w:val="center"/>
            </w:pPr>
            <w:r w:rsidRPr="001A076D">
              <w:t>.01</w:t>
            </w:r>
          </w:p>
        </w:tc>
      </w:tr>
      <w:tr w:rsidR="00057F93" w:rsidRPr="001A076D" w14:paraId="67CB1F36" w14:textId="77777777" w:rsidTr="00A302F7">
        <w:tc>
          <w:tcPr>
            <w:tcW w:w="833" w:type="dxa"/>
            <w:vMerge/>
            <w:vAlign w:val="center"/>
          </w:tcPr>
          <w:p w14:paraId="5A8D4B85" w14:textId="77777777" w:rsidR="00175C6C" w:rsidRPr="001A076D" w:rsidRDefault="00175C6C" w:rsidP="00175C6C">
            <w:pPr>
              <w:pStyle w:val="NormalWeb"/>
              <w:jc w:val="center"/>
            </w:pPr>
          </w:p>
        </w:tc>
        <w:tc>
          <w:tcPr>
            <w:tcW w:w="1289" w:type="dxa"/>
            <w:vAlign w:val="center"/>
          </w:tcPr>
          <w:p w14:paraId="79971337" w14:textId="77777777" w:rsidR="00175C6C" w:rsidRPr="001A076D" w:rsidRDefault="00175C6C" w:rsidP="00175C6C">
            <w:pPr>
              <w:pStyle w:val="NormalWeb"/>
              <w:jc w:val="center"/>
            </w:pPr>
            <w:r w:rsidRPr="001A076D">
              <w:t>3</w:t>
            </w:r>
          </w:p>
        </w:tc>
        <w:tc>
          <w:tcPr>
            <w:tcW w:w="1275" w:type="dxa"/>
            <w:vAlign w:val="center"/>
          </w:tcPr>
          <w:p w14:paraId="33C92662" w14:textId="77777777" w:rsidR="00175C6C" w:rsidRPr="001A076D" w:rsidRDefault="00175C6C" w:rsidP="00175C6C">
            <w:pPr>
              <w:pStyle w:val="NormalWeb"/>
              <w:jc w:val="center"/>
            </w:pPr>
            <w:r w:rsidRPr="001A076D">
              <w:t>.006</w:t>
            </w:r>
          </w:p>
        </w:tc>
        <w:tc>
          <w:tcPr>
            <w:tcW w:w="1418" w:type="dxa"/>
            <w:vAlign w:val="center"/>
          </w:tcPr>
          <w:p w14:paraId="46D24BC0" w14:textId="77777777" w:rsidR="00175C6C" w:rsidRPr="001A076D" w:rsidRDefault="00175C6C" w:rsidP="00175C6C">
            <w:pPr>
              <w:pStyle w:val="NormalWeb"/>
              <w:jc w:val="center"/>
            </w:pPr>
            <w:r w:rsidRPr="001A076D">
              <w:t>25.408</w:t>
            </w:r>
          </w:p>
        </w:tc>
        <w:tc>
          <w:tcPr>
            <w:tcW w:w="1441" w:type="dxa"/>
            <w:vAlign w:val="center"/>
          </w:tcPr>
          <w:p w14:paraId="0CB0EFE7" w14:textId="77777777" w:rsidR="00175C6C" w:rsidRPr="001A076D" w:rsidRDefault="00175C6C" w:rsidP="00175C6C">
            <w:pPr>
              <w:pStyle w:val="NormalWeb"/>
              <w:jc w:val="center"/>
            </w:pPr>
            <w:r w:rsidRPr="001A076D">
              <w:t>.06</w:t>
            </w:r>
          </w:p>
        </w:tc>
        <w:tc>
          <w:tcPr>
            <w:tcW w:w="1156" w:type="dxa"/>
            <w:vAlign w:val="center"/>
          </w:tcPr>
          <w:p w14:paraId="7AF01AA6" w14:textId="77777777" w:rsidR="00175C6C" w:rsidRPr="001A076D" w:rsidRDefault="00175C6C" w:rsidP="00175C6C">
            <w:pPr>
              <w:pStyle w:val="NormalWeb"/>
              <w:jc w:val="center"/>
            </w:pPr>
            <w:r w:rsidRPr="001A076D">
              <w:t>.62</w:t>
            </w:r>
          </w:p>
        </w:tc>
        <w:tc>
          <w:tcPr>
            <w:tcW w:w="1156" w:type="dxa"/>
            <w:vAlign w:val="center"/>
          </w:tcPr>
          <w:p w14:paraId="683B592C" w14:textId="77777777" w:rsidR="00175C6C" w:rsidRPr="001A076D" w:rsidRDefault="00175C6C" w:rsidP="00175C6C">
            <w:pPr>
              <w:pStyle w:val="NormalWeb"/>
              <w:jc w:val="center"/>
            </w:pPr>
            <w:r w:rsidRPr="001A076D">
              <w:t>.07</w:t>
            </w:r>
          </w:p>
        </w:tc>
        <w:tc>
          <w:tcPr>
            <w:tcW w:w="1156" w:type="dxa"/>
            <w:vAlign w:val="center"/>
          </w:tcPr>
          <w:p w14:paraId="47D8EB63" w14:textId="77777777" w:rsidR="00175C6C" w:rsidRPr="001A076D" w:rsidRDefault="00175C6C" w:rsidP="00175C6C">
            <w:pPr>
              <w:pStyle w:val="NormalWeb"/>
              <w:jc w:val="center"/>
            </w:pPr>
            <w:r w:rsidRPr="001A076D">
              <w:t>.58</w:t>
            </w:r>
          </w:p>
        </w:tc>
      </w:tr>
      <w:tr w:rsidR="00057F93" w:rsidRPr="001A076D" w14:paraId="3573AB40" w14:textId="77777777" w:rsidTr="00A302F7">
        <w:tc>
          <w:tcPr>
            <w:tcW w:w="833" w:type="dxa"/>
            <w:vMerge/>
            <w:vAlign w:val="center"/>
          </w:tcPr>
          <w:p w14:paraId="76794A2F" w14:textId="77777777" w:rsidR="00175C6C" w:rsidRPr="001A076D" w:rsidRDefault="00175C6C" w:rsidP="00175C6C">
            <w:pPr>
              <w:pStyle w:val="NormalWeb"/>
              <w:jc w:val="center"/>
            </w:pPr>
          </w:p>
        </w:tc>
        <w:tc>
          <w:tcPr>
            <w:tcW w:w="1289" w:type="dxa"/>
            <w:vAlign w:val="center"/>
          </w:tcPr>
          <w:p w14:paraId="261FD8AC" w14:textId="77777777" w:rsidR="00175C6C" w:rsidRPr="001A076D" w:rsidRDefault="00175C6C" w:rsidP="00175C6C">
            <w:pPr>
              <w:pStyle w:val="NormalWeb"/>
              <w:jc w:val="center"/>
            </w:pPr>
            <w:r w:rsidRPr="001A076D">
              <w:t>4</w:t>
            </w:r>
          </w:p>
        </w:tc>
        <w:tc>
          <w:tcPr>
            <w:tcW w:w="1275" w:type="dxa"/>
            <w:vAlign w:val="center"/>
          </w:tcPr>
          <w:p w14:paraId="2EC81208" w14:textId="77777777" w:rsidR="00175C6C" w:rsidRPr="001A076D" w:rsidRDefault="00175C6C" w:rsidP="00175C6C">
            <w:pPr>
              <w:pStyle w:val="NormalWeb"/>
              <w:jc w:val="center"/>
            </w:pPr>
            <w:r w:rsidRPr="001A076D">
              <w:t>.005</w:t>
            </w:r>
          </w:p>
        </w:tc>
        <w:tc>
          <w:tcPr>
            <w:tcW w:w="1418" w:type="dxa"/>
            <w:vAlign w:val="center"/>
          </w:tcPr>
          <w:p w14:paraId="4C6884B0" w14:textId="77777777" w:rsidR="00175C6C" w:rsidRPr="001A076D" w:rsidRDefault="00175C6C" w:rsidP="00175C6C">
            <w:pPr>
              <w:pStyle w:val="NormalWeb"/>
              <w:jc w:val="center"/>
            </w:pPr>
            <w:r w:rsidRPr="001A076D">
              <w:t>27.648</w:t>
            </w:r>
          </w:p>
        </w:tc>
        <w:tc>
          <w:tcPr>
            <w:tcW w:w="1441" w:type="dxa"/>
            <w:vAlign w:val="center"/>
          </w:tcPr>
          <w:p w14:paraId="60B72E39" w14:textId="77777777" w:rsidR="00175C6C" w:rsidRPr="001A076D" w:rsidRDefault="00175C6C" w:rsidP="00175C6C">
            <w:pPr>
              <w:pStyle w:val="NormalWeb"/>
              <w:jc w:val="center"/>
            </w:pPr>
            <w:r w:rsidRPr="001A076D">
              <w:t>.62</w:t>
            </w:r>
          </w:p>
        </w:tc>
        <w:tc>
          <w:tcPr>
            <w:tcW w:w="1156" w:type="dxa"/>
            <w:vAlign w:val="center"/>
          </w:tcPr>
          <w:p w14:paraId="6E753C30" w14:textId="77777777" w:rsidR="00175C6C" w:rsidRPr="001A076D" w:rsidRDefault="00175C6C" w:rsidP="00175C6C">
            <w:pPr>
              <w:pStyle w:val="NormalWeb"/>
              <w:jc w:val="center"/>
            </w:pPr>
            <w:r w:rsidRPr="001A076D">
              <w:t>.34</w:t>
            </w:r>
          </w:p>
        </w:tc>
        <w:tc>
          <w:tcPr>
            <w:tcW w:w="1156" w:type="dxa"/>
            <w:vAlign w:val="center"/>
          </w:tcPr>
          <w:p w14:paraId="2292E477" w14:textId="77777777" w:rsidR="00175C6C" w:rsidRPr="001A076D" w:rsidRDefault="00175C6C" w:rsidP="00175C6C">
            <w:pPr>
              <w:pStyle w:val="NormalWeb"/>
              <w:jc w:val="center"/>
            </w:pPr>
            <w:r w:rsidRPr="001A076D">
              <w:t>.43</w:t>
            </w:r>
          </w:p>
        </w:tc>
        <w:tc>
          <w:tcPr>
            <w:tcW w:w="1156" w:type="dxa"/>
            <w:vAlign w:val="center"/>
          </w:tcPr>
          <w:p w14:paraId="785379C6" w14:textId="77777777" w:rsidR="00175C6C" w:rsidRPr="001A076D" w:rsidRDefault="00175C6C" w:rsidP="00175C6C">
            <w:pPr>
              <w:pStyle w:val="NormalWeb"/>
              <w:jc w:val="center"/>
            </w:pPr>
            <w:r w:rsidRPr="001A076D">
              <w:t>.41</w:t>
            </w:r>
          </w:p>
        </w:tc>
      </w:tr>
      <w:tr w:rsidR="004F2125" w:rsidRPr="001A076D" w14:paraId="351401CF" w14:textId="77777777" w:rsidTr="00175C6C">
        <w:tc>
          <w:tcPr>
            <w:tcW w:w="9724" w:type="dxa"/>
            <w:gridSpan w:val="8"/>
            <w:vAlign w:val="center"/>
          </w:tcPr>
          <w:p w14:paraId="317D7591" w14:textId="77777777" w:rsidR="00175C6C" w:rsidRPr="001A076D" w:rsidRDefault="00175C6C" w:rsidP="00175C6C">
            <w:pPr>
              <w:pStyle w:val="NormalWeb"/>
              <w:jc w:val="center"/>
            </w:pPr>
            <w:r w:rsidRPr="001A076D">
              <w:t>a. Dependent Variable: SE</w:t>
            </w:r>
          </w:p>
        </w:tc>
      </w:tr>
    </w:tbl>
    <w:p w14:paraId="661AB430" w14:textId="77777777" w:rsidR="000F1E3C" w:rsidRPr="001A076D" w:rsidRDefault="000F1E3C" w:rsidP="000F1E3C">
      <w:pPr>
        <w:rPr>
          <w:b/>
          <w:bCs/>
        </w:rPr>
      </w:pPr>
    </w:p>
    <w:p w14:paraId="027BB992" w14:textId="77777777" w:rsidR="00645E0E" w:rsidRPr="001A076D" w:rsidRDefault="00645E0E" w:rsidP="00645E0E">
      <w:r w:rsidRPr="001A076D">
        <w:rPr>
          <w:rStyle w:val="Strong"/>
          <w:rFonts w:eastAsiaTheme="majorEastAsia"/>
        </w:rPr>
        <w:t>A5.6 Residual and Normality Diagnostics</w:t>
      </w:r>
    </w:p>
    <w:p w14:paraId="5F8AB834" w14:textId="1E60181A" w:rsidR="00645E0E" w:rsidRPr="001A076D" w:rsidRDefault="00645E0E" w:rsidP="008B1E0C">
      <w:pPr>
        <w:pStyle w:val="NormalWeb"/>
        <w:jc w:val="both"/>
      </w:pPr>
      <w:r w:rsidRPr="001A076D">
        <w:t xml:space="preserve">This section presents the diagnostic statistics used to assess the assumptions underlying the multiple regression model predicting Strategic Embedding (SE). The diagnostics include residual statistics, tests of normality, stem-and-leaf plots, Q–Q plots, and standardised residual </w:t>
      </w:r>
      <w:r w:rsidR="005977AD" w:rsidRPr="001A076D">
        <w:t>analyses</w:t>
      </w:r>
      <w:r w:rsidRPr="001A076D">
        <w:t>.</w:t>
      </w:r>
    </w:p>
    <w:p w14:paraId="3C85C3C6" w14:textId="34BD3A54" w:rsidR="00645E0E" w:rsidRPr="001A076D" w:rsidRDefault="00645E0E" w:rsidP="008B1E0C">
      <w:pPr>
        <w:pStyle w:val="NormalWeb"/>
        <w:jc w:val="both"/>
      </w:pPr>
      <w:r w:rsidRPr="001A076D">
        <w:t>Assessing these assumptions is important because violations of regression assumptions can bias parameter estimates, inflate standard errors, and reduce the reliability of statistical inference. By confirming that the assumptions are reasonably satisfied, the analysis strengthens confidence in the regression results reported in Chapter 4, particularly the relationships observed between Predictive Analytics Capability (PAC), Governance Maturity (GM), Trust &amp; Explainability (TE), and Strategic Embedding (SE).</w:t>
      </w:r>
    </w:p>
    <w:p w14:paraId="72B464A2" w14:textId="77777777" w:rsidR="00645E0E" w:rsidRPr="001A076D" w:rsidRDefault="00645E0E" w:rsidP="00645E0E">
      <w:r w:rsidRPr="001A076D">
        <w:rPr>
          <w:rStyle w:val="Strong"/>
          <w:rFonts w:eastAsiaTheme="majorEastAsia"/>
        </w:rPr>
        <w:t>A5.6.1 Residual Statistics</w:t>
      </w:r>
    </w:p>
    <w:p w14:paraId="0D8595AA" w14:textId="77777777" w:rsidR="00645E0E" w:rsidRPr="001A076D" w:rsidRDefault="00645E0E" w:rsidP="00C44E94">
      <w:pPr>
        <w:pStyle w:val="NormalWeb"/>
        <w:jc w:val="both"/>
      </w:pPr>
      <w:r w:rsidRPr="001A076D">
        <w:lastRenderedPageBreak/>
        <w:t>Residual diagnostics were examined to assess the presence of outliers and the overall stability of the regression model.</w:t>
      </w:r>
    </w:p>
    <w:p w14:paraId="7F506E4C" w14:textId="77777777" w:rsidR="00E55DD6" w:rsidRPr="001A076D" w:rsidRDefault="00E55DD6" w:rsidP="00E55DD6">
      <w:pPr>
        <w:rPr>
          <w:b/>
          <w:bCs/>
        </w:rPr>
      </w:pPr>
      <w:r w:rsidRPr="001A076D">
        <w:rPr>
          <w:b/>
          <w:bCs/>
        </w:rPr>
        <w:t>Table A5.13 – Residual Statistics for Regression Model</w:t>
      </w:r>
    </w:p>
    <w:p w14:paraId="23F18A39" w14:textId="77777777" w:rsidR="00E55DD6" w:rsidRPr="001A076D" w:rsidRDefault="00E55DD6" w:rsidP="00E55DD6">
      <w:pPr>
        <w:rPr>
          <w:b/>
          <w:bCs/>
        </w:rPr>
      </w:pPr>
    </w:p>
    <w:tbl>
      <w:tblPr>
        <w:tblStyle w:val="TableGrid"/>
        <w:tblW w:w="0" w:type="auto"/>
        <w:tblLook w:val="04A0" w:firstRow="1" w:lastRow="0" w:firstColumn="1" w:lastColumn="0" w:noHBand="0" w:noVBand="1"/>
      </w:tblPr>
      <w:tblGrid>
        <w:gridCol w:w="2196"/>
        <w:gridCol w:w="1243"/>
        <w:gridCol w:w="1283"/>
        <w:gridCol w:w="996"/>
        <w:gridCol w:w="1670"/>
        <w:gridCol w:w="456"/>
      </w:tblGrid>
      <w:tr w:rsidR="00057F93" w:rsidRPr="001A076D" w14:paraId="34B223C9" w14:textId="77777777" w:rsidTr="00645E0E">
        <w:tc>
          <w:tcPr>
            <w:tcW w:w="0" w:type="auto"/>
            <w:hideMark/>
          </w:tcPr>
          <w:p w14:paraId="08DBB89D" w14:textId="77777777" w:rsidR="00645E0E" w:rsidRPr="001A076D" w:rsidRDefault="00645E0E">
            <w:pPr>
              <w:jc w:val="center"/>
              <w:rPr>
                <w:b/>
                <w:bCs/>
              </w:rPr>
            </w:pPr>
            <w:r w:rsidRPr="001A076D">
              <w:rPr>
                <w:b/>
                <w:bCs/>
              </w:rPr>
              <w:t>Statistic</w:t>
            </w:r>
          </w:p>
        </w:tc>
        <w:tc>
          <w:tcPr>
            <w:tcW w:w="0" w:type="auto"/>
            <w:hideMark/>
          </w:tcPr>
          <w:p w14:paraId="70460E2A" w14:textId="77777777" w:rsidR="00645E0E" w:rsidRPr="001A076D" w:rsidRDefault="00645E0E">
            <w:pPr>
              <w:jc w:val="center"/>
              <w:rPr>
                <w:b/>
                <w:bCs/>
              </w:rPr>
            </w:pPr>
            <w:r w:rsidRPr="001A076D">
              <w:rPr>
                <w:b/>
                <w:bCs/>
              </w:rPr>
              <w:t>Minimum</w:t>
            </w:r>
          </w:p>
        </w:tc>
        <w:tc>
          <w:tcPr>
            <w:tcW w:w="0" w:type="auto"/>
            <w:hideMark/>
          </w:tcPr>
          <w:p w14:paraId="4A9A44C3" w14:textId="77777777" w:rsidR="00645E0E" w:rsidRPr="001A076D" w:rsidRDefault="00645E0E">
            <w:pPr>
              <w:jc w:val="center"/>
              <w:rPr>
                <w:b/>
                <w:bCs/>
              </w:rPr>
            </w:pPr>
            <w:r w:rsidRPr="001A076D">
              <w:rPr>
                <w:b/>
                <w:bCs/>
              </w:rPr>
              <w:t>Maximum</w:t>
            </w:r>
          </w:p>
        </w:tc>
        <w:tc>
          <w:tcPr>
            <w:tcW w:w="0" w:type="auto"/>
            <w:hideMark/>
          </w:tcPr>
          <w:p w14:paraId="1B4CCF13" w14:textId="77777777" w:rsidR="00645E0E" w:rsidRPr="001A076D" w:rsidRDefault="00645E0E">
            <w:pPr>
              <w:jc w:val="center"/>
              <w:rPr>
                <w:b/>
                <w:bCs/>
              </w:rPr>
            </w:pPr>
            <w:r w:rsidRPr="001A076D">
              <w:rPr>
                <w:b/>
                <w:bCs/>
              </w:rPr>
              <w:t>Mean</w:t>
            </w:r>
          </w:p>
        </w:tc>
        <w:tc>
          <w:tcPr>
            <w:tcW w:w="0" w:type="auto"/>
            <w:hideMark/>
          </w:tcPr>
          <w:p w14:paraId="6CB0C465" w14:textId="77777777" w:rsidR="00645E0E" w:rsidRPr="001A076D" w:rsidRDefault="00645E0E">
            <w:pPr>
              <w:jc w:val="center"/>
              <w:rPr>
                <w:b/>
                <w:bCs/>
              </w:rPr>
            </w:pPr>
            <w:r w:rsidRPr="001A076D">
              <w:rPr>
                <w:b/>
                <w:bCs/>
              </w:rPr>
              <w:t>Std. Deviation</w:t>
            </w:r>
          </w:p>
        </w:tc>
        <w:tc>
          <w:tcPr>
            <w:tcW w:w="0" w:type="auto"/>
            <w:hideMark/>
          </w:tcPr>
          <w:p w14:paraId="546B553F" w14:textId="77777777" w:rsidR="00645E0E" w:rsidRPr="001A076D" w:rsidRDefault="00645E0E">
            <w:pPr>
              <w:jc w:val="center"/>
              <w:rPr>
                <w:b/>
                <w:bCs/>
              </w:rPr>
            </w:pPr>
            <w:r w:rsidRPr="001A076D">
              <w:rPr>
                <w:b/>
                <w:bCs/>
              </w:rPr>
              <w:t>N</w:t>
            </w:r>
          </w:p>
        </w:tc>
      </w:tr>
      <w:tr w:rsidR="00057F93" w:rsidRPr="001A076D" w14:paraId="28D4F9B5" w14:textId="77777777" w:rsidTr="00645E0E">
        <w:tc>
          <w:tcPr>
            <w:tcW w:w="0" w:type="auto"/>
            <w:hideMark/>
          </w:tcPr>
          <w:p w14:paraId="31139DF4" w14:textId="77777777" w:rsidR="00645E0E" w:rsidRPr="001A076D" w:rsidRDefault="00645E0E">
            <w:r w:rsidRPr="001A076D">
              <w:t>Predicted Value</w:t>
            </w:r>
          </w:p>
        </w:tc>
        <w:tc>
          <w:tcPr>
            <w:tcW w:w="0" w:type="auto"/>
            <w:hideMark/>
          </w:tcPr>
          <w:p w14:paraId="589F5B80" w14:textId="77777777" w:rsidR="00645E0E" w:rsidRPr="001A076D" w:rsidRDefault="00645E0E">
            <w:r w:rsidRPr="001A076D">
              <w:t>3.3234</w:t>
            </w:r>
          </w:p>
        </w:tc>
        <w:tc>
          <w:tcPr>
            <w:tcW w:w="0" w:type="auto"/>
            <w:hideMark/>
          </w:tcPr>
          <w:p w14:paraId="748630BD" w14:textId="77777777" w:rsidR="00645E0E" w:rsidRPr="001A076D" w:rsidRDefault="00645E0E">
            <w:r w:rsidRPr="001A076D">
              <w:t>4.7457</w:t>
            </w:r>
          </w:p>
        </w:tc>
        <w:tc>
          <w:tcPr>
            <w:tcW w:w="0" w:type="auto"/>
            <w:hideMark/>
          </w:tcPr>
          <w:p w14:paraId="5B08AA6F" w14:textId="77777777" w:rsidR="00645E0E" w:rsidRPr="001A076D" w:rsidRDefault="00645E0E">
            <w:r w:rsidRPr="001A076D">
              <w:t>4.1705</w:t>
            </w:r>
          </w:p>
        </w:tc>
        <w:tc>
          <w:tcPr>
            <w:tcW w:w="0" w:type="auto"/>
            <w:hideMark/>
          </w:tcPr>
          <w:p w14:paraId="767F5430" w14:textId="77777777" w:rsidR="00645E0E" w:rsidRPr="001A076D" w:rsidRDefault="00645E0E">
            <w:r w:rsidRPr="001A076D">
              <w:t>0.33092</w:t>
            </w:r>
          </w:p>
        </w:tc>
        <w:tc>
          <w:tcPr>
            <w:tcW w:w="0" w:type="auto"/>
            <w:hideMark/>
          </w:tcPr>
          <w:p w14:paraId="0DCDBCE9" w14:textId="77777777" w:rsidR="00645E0E" w:rsidRPr="001A076D" w:rsidRDefault="00645E0E">
            <w:r w:rsidRPr="001A076D">
              <w:t>66</w:t>
            </w:r>
          </w:p>
        </w:tc>
      </w:tr>
      <w:tr w:rsidR="00057F93" w:rsidRPr="001A076D" w14:paraId="6AE372F4" w14:textId="77777777" w:rsidTr="00645E0E">
        <w:tc>
          <w:tcPr>
            <w:tcW w:w="0" w:type="auto"/>
            <w:hideMark/>
          </w:tcPr>
          <w:p w14:paraId="0D7C5E0A" w14:textId="77777777" w:rsidR="00645E0E" w:rsidRPr="001A076D" w:rsidRDefault="00645E0E">
            <w:r w:rsidRPr="001A076D">
              <w:t>Residual</w:t>
            </w:r>
          </w:p>
        </w:tc>
        <w:tc>
          <w:tcPr>
            <w:tcW w:w="0" w:type="auto"/>
            <w:hideMark/>
          </w:tcPr>
          <w:p w14:paraId="77304B78" w14:textId="77777777" w:rsidR="00645E0E" w:rsidRPr="001A076D" w:rsidRDefault="00645E0E">
            <w:r w:rsidRPr="001A076D">
              <w:t>-0.75803</w:t>
            </w:r>
          </w:p>
        </w:tc>
        <w:tc>
          <w:tcPr>
            <w:tcW w:w="0" w:type="auto"/>
            <w:hideMark/>
          </w:tcPr>
          <w:p w14:paraId="12CC3062" w14:textId="77777777" w:rsidR="00645E0E" w:rsidRPr="001A076D" w:rsidRDefault="00645E0E">
            <w:r w:rsidRPr="001A076D">
              <w:t>0.82580</w:t>
            </w:r>
          </w:p>
        </w:tc>
        <w:tc>
          <w:tcPr>
            <w:tcW w:w="0" w:type="auto"/>
            <w:hideMark/>
          </w:tcPr>
          <w:p w14:paraId="3E68E7C2" w14:textId="77777777" w:rsidR="00645E0E" w:rsidRPr="001A076D" w:rsidRDefault="00645E0E">
            <w:r w:rsidRPr="001A076D">
              <w:t>0.00000</w:t>
            </w:r>
          </w:p>
        </w:tc>
        <w:tc>
          <w:tcPr>
            <w:tcW w:w="0" w:type="auto"/>
            <w:hideMark/>
          </w:tcPr>
          <w:p w14:paraId="598FD43E" w14:textId="77777777" w:rsidR="00645E0E" w:rsidRPr="001A076D" w:rsidRDefault="00645E0E">
            <w:r w:rsidRPr="001A076D">
              <w:t>0.34867</w:t>
            </w:r>
          </w:p>
        </w:tc>
        <w:tc>
          <w:tcPr>
            <w:tcW w:w="0" w:type="auto"/>
            <w:hideMark/>
          </w:tcPr>
          <w:p w14:paraId="7DCE3566" w14:textId="77777777" w:rsidR="00645E0E" w:rsidRPr="001A076D" w:rsidRDefault="00645E0E">
            <w:r w:rsidRPr="001A076D">
              <w:t>66</w:t>
            </w:r>
          </w:p>
        </w:tc>
      </w:tr>
      <w:tr w:rsidR="00057F93" w:rsidRPr="001A076D" w14:paraId="21A012A5" w14:textId="77777777" w:rsidTr="00645E0E">
        <w:tc>
          <w:tcPr>
            <w:tcW w:w="0" w:type="auto"/>
            <w:hideMark/>
          </w:tcPr>
          <w:p w14:paraId="32BDDFDF" w14:textId="77777777" w:rsidR="00645E0E" w:rsidRPr="001A076D" w:rsidRDefault="00645E0E">
            <w:r w:rsidRPr="001A076D">
              <w:t>Std. Predicted Value</w:t>
            </w:r>
          </w:p>
        </w:tc>
        <w:tc>
          <w:tcPr>
            <w:tcW w:w="0" w:type="auto"/>
            <w:hideMark/>
          </w:tcPr>
          <w:p w14:paraId="394230C6" w14:textId="77777777" w:rsidR="00645E0E" w:rsidRPr="001A076D" w:rsidRDefault="00645E0E">
            <w:r w:rsidRPr="001A076D">
              <w:t>-2.560</w:t>
            </w:r>
          </w:p>
        </w:tc>
        <w:tc>
          <w:tcPr>
            <w:tcW w:w="0" w:type="auto"/>
            <w:hideMark/>
          </w:tcPr>
          <w:p w14:paraId="3B55EFB3" w14:textId="77777777" w:rsidR="00645E0E" w:rsidRPr="001A076D" w:rsidRDefault="00645E0E">
            <w:r w:rsidRPr="001A076D">
              <w:t>1.738</w:t>
            </w:r>
          </w:p>
        </w:tc>
        <w:tc>
          <w:tcPr>
            <w:tcW w:w="0" w:type="auto"/>
            <w:hideMark/>
          </w:tcPr>
          <w:p w14:paraId="6AD982B6" w14:textId="77777777" w:rsidR="00645E0E" w:rsidRPr="001A076D" w:rsidRDefault="00645E0E">
            <w:r w:rsidRPr="001A076D">
              <w:t>0.000</w:t>
            </w:r>
          </w:p>
        </w:tc>
        <w:tc>
          <w:tcPr>
            <w:tcW w:w="0" w:type="auto"/>
            <w:hideMark/>
          </w:tcPr>
          <w:p w14:paraId="35787468" w14:textId="77777777" w:rsidR="00645E0E" w:rsidRPr="001A076D" w:rsidRDefault="00645E0E">
            <w:r w:rsidRPr="001A076D">
              <w:t>1.000</w:t>
            </w:r>
          </w:p>
        </w:tc>
        <w:tc>
          <w:tcPr>
            <w:tcW w:w="0" w:type="auto"/>
            <w:hideMark/>
          </w:tcPr>
          <w:p w14:paraId="69169006" w14:textId="77777777" w:rsidR="00645E0E" w:rsidRPr="001A076D" w:rsidRDefault="00645E0E">
            <w:r w:rsidRPr="001A076D">
              <w:t>66</w:t>
            </w:r>
          </w:p>
        </w:tc>
      </w:tr>
      <w:tr w:rsidR="00057F93" w:rsidRPr="001A076D" w14:paraId="13A7AD21" w14:textId="77777777" w:rsidTr="00645E0E">
        <w:tc>
          <w:tcPr>
            <w:tcW w:w="0" w:type="auto"/>
            <w:hideMark/>
          </w:tcPr>
          <w:p w14:paraId="14F7FCF7" w14:textId="77777777" w:rsidR="00645E0E" w:rsidRPr="001A076D" w:rsidRDefault="00645E0E">
            <w:r w:rsidRPr="001A076D">
              <w:t>Std. Residual</w:t>
            </w:r>
          </w:p>
        </w:tc>
        <w:tc>
          <w:tcPr>
            <w:tcW w:w="0" w:type="auto"/>
            <w:hideMark/>
          </w:tcPr>
          <w:p w14:paraId="08B04BFA" w14:textId="77777777" w:rsidR="00645E0E" w:rsidRPr="001A076D" w:rsidRDefault="00645E0E">
            <w:r w:rsidRPr="001A076D">
              <w:t>-2.123</w:t>
            </w:r>
          </w:p>
        </w:tc>
        <w:tc>
          <w:tcPr>
            <w:tcW w:w="0" w:type="auto"/>
            <w:hideMark/>
          </w:tcPr>
          <w:p w14:paraId="6E5F6ACB" w14:textId="77777777" w:rsidR="00645E0E" w:rsidRPr="001A076D" w:rsidRDefault="00645E0E">
            <w:r w:rsidRPr="001A076D">
              <w:t>2.313</w:t>
            </w:r>
          </w:p>
        </w:tc>
        <w:tc>
          <w:tcPr>
            <w:tcW w:w="0" w:type="auto"/>
            <w:hideMark/>
          </w:tcPr>
          <w:p w14:paraId="5D90D7B1" w14:textId="77777777" w:rsidR="00645E0E" w:rsidRPr="001A076D" w:rsidRDefault="00645E0E">
            <w:r w:rsidRPr="001A076D">
              <w:t>0.000</w:t>
            </w:r>
          </w:p>
        </w:tc>
        <w:tc>
          <w:tcPr>
            <w:tcW w:w="0" w:type="auto"/>
            <w:hideMark/>
          </w:tcPr>
          <w:p w14:paraId="18AF9B5D" w14:textId="77777777" w:rsidR="00645E0E" w:rsidRPr="001A076D" w:rsidRDefault="00645E0E">
            <w:r w:rsidRPr="001A076D">
              <w:t>0.977</w:t>
            </w:r>
          </w:p>
        </w:tc>
        <w:tc>
          <w:tcPr>
            <w:tcW w:w="0" w:type="auto"/>
            <w:hideMark/>
          </w:tcPr>
          <w:p w14:paraId="23E7EE24" w14:textId="77777777" w:rsidR="00645E0E" w:rsidRPr="001A076D" w:rsidRDefault="00645E0E">
            <w:r w:rsidRPr="001A076D">
              <w:t>66</w:t>
            </w:r>
          </w:p>
        </w:tc>
      </w:tr>
    </w:tbl>
    <w:p w14:paraId="22A97A7F" w14:textId="77777777" w:rsidR="00645E0E" w:rsidRPr="001A076D" w:rsidRDefault="00645E0E" w:rsidP="00C44E94">
      <w:pPr>
        <w:pStyle w:val="NormalWeb"/>
        <w:jc w:val="both"/>
      </w:pPr>
      <w:r w:rsidRPr="001A076D">
        <w:t xml:space="preserve">The standardised residuals range between </w:t>
      </w:r>
      <w:r w:rsidRPr="001A076D">
        <w:rPr>
          <w:rStyle w:val="Strong"/>
          <w:rFonts w:eastAsiaTheme="majorEastAsia"/>
        </w:rPr>
        <w:t>−2.123 and 2.313</w:t>
      </w:r>
      <w:r w:rsidRPr="001A076D">
        <w:t xml:space="preserve">, remaining well within the commonly accepted threshold of </w:t>
      </w:r>
      <w:r w:rsidRPr="001A076D">
        <w:rPr>
          <w:rStyle w:val="Strong"/>
          <w:rFonts w:eastAsiaTheme="majorEastAsia"/>
        </w:rPr>
        <w:t>±3.0</w:t>
      </w:r>
      <w:r w:rsidRPr="001A076D">
        <w:t xml:space="preserve"> (Field, 2018). This indicates the absence of extreme outliers and supports the stability of the regression estimates.</w:t>
      </w:r>
    </w:p>
    <w:p w14:paraId="087BC71B" w14:textId="34D174E0" w:rsidR="00645E0E" w:rsidRPr="001A076D" w:rsidRDefault="00645E0E" w:rsidP="00C44E94">
      <w:pPr>
        <w:pStyle w:val="NormalWeb"/>
        <w:jc w:val="both"/>
      </w:pPr>
      <w:r w:rsidRPr="001A076D">
        <w:t xml:space="preserve">This is significant because extreme residual values </w:t>
      </w:r>
      <w:r w:rsidR="00BC02F4" w:rsidRPr="001A076D">
        <w:t>can distort regression coefficients and undermine the model's reliability</w:t>
      </w:r>
      <w:r w:rsidRPr="001A076D">
        <w:t>. The absence of extreme residuals</w:t>
      </w:r>
      <w:r w:rsidR="00BC02F4" w:rsidRPr="001A076D">
        <w:t>, therefore,</w:t>
      </w:r>
      <w:r w:rsidRPr="001A076D">
        <w:t xml:space="preserve"> suggests that the estimated relationships between governance maturity, trust and explainability, predictive analytics capability, and strategic embedding are not driven by anomalous observations.</w:t>
      </w:r>
    </w:p>
    <w:p w14:paraId="0F92112E" w14:textId="77777777" w:rsidR="00645E0E" w:rsidRPr="001A076D" w:rsidRDefault="00645E0E" w:rsidP="00C44E94">
      <w:pPr>
        <w:jc w:val="both"/>
      </w:pPr>
      <w:r w:rsidRPr="001A076D">
        <w:rPr>
          <w:rStyle w:val="Strong"/>
          <w:rFonts w:eastAsiaTheme="majorEastAsia"/>
        </w:rPr>
        <w:t>A5.6.2 Tests of Normality</w:t>
      </w:r>
    </w:p>
    <w:p w14:paraId="71A9D84A" w14:textId="77777777" w:rsidR="00645E0E" w:rsidRPr="001A076D" w:rsidRDefault="00645E0E" w:rsidP="00C44E94">
      <w:pPr>
        <w:pStyle w:val="NormalWeb"/>
        <w:jc w:val="both"/>
      </w:pPr>
      <w:r w:rsidRPr="001A076D">
        <w:t>Normality of the composite constructs was assessed using the Kolmogorov–Smirnov and Shapiro–Wilk tests.</w:t>
      </w:r>
    </w:p>
    <w:p w14:paraId="1BDB9322" w14:textId="55AB7EC6" w:rsidR="00645E0E" w:rsidRPr="001A076D" w:rsidRDefault="00E55DD6" w:rsidP="00645E0E">
      <w:pPr>
        <w:rPr>
          <w:b/>
          <w:bCs/>
        </w:rPr>
      </w:pPr>
      <w:r w:rsidRPr="001A076D">
        <w:rPr>
          <w:b/>
          <w:bCs/>
        </w:rPr>
        <w:t>Table A5.14 – Tests of Normality for Composite Constructs</w:t>
      </w:r>
    </w:p>
    <w:p w14:paraId="2DD2560A" w14:textId="77777777" w:rsidR="00E55DD6" w:rsidRPr="001A076D" w:rsidRDefault="00E55DD6" w:rsidP="00645E0E">
      <w:pPr>
        <w:rPr>
          <w:b/>
          <w:bCs/>
        </w:rPr>
      </w:pPr>
    </w:p>
    <w:tbl>
      <w:tblPr>
        <w:tblStyle w:val="TableGrid"/>
        <w:tblW w:w="0" w:type="auto"/>
        <w:tblLook w:val="04A0" w:firstRow="1" w:lastRow="0" w:firstColumn="1" w:lastColumn="0" w:noHBand="0" w:noVBand="1"/>
      </w:tblPr>
      <w:tblGrid>
        <w:gridCol w:w="1110"/>
        <w:gridCol w:w="2496"/>
        <w:gridCol w:w="756"/>
        <w:gridCol w:w="1657"/>
        <w:gridCol w:w="756"/>
      </w:tblGrid>
      <w:tr w:rsidR="00057F93" w:rsidRPr="001A076D" w14:paraId="65BAB824" w14:textId="77777777" w:rsidTr="00645E0E">
        <w:tc>
          <w:tcPr>
            <w:tcW w:w="0" w:type="auto"/>
            <w:hideMark/>
          </w:tcPr>
          <w:p w14:paraId="51A849C1" w14:textId="77777777" w:rsidR="00645E0E" w:rsidRPr="001A076D" w:rsidRDefault="00645E0E">
            <w:pPr>
              <w:jc w:val="center"/>
              <w:rPr>
                <w:b/>
                <w:bCs/>
              </w:rPr>
            </w:pPr>
            <w:r w:rsidRPr="001A076D">
              <w:rPr>
                <w:b/>
                <w:bCs/>
              </w:rPr>
              <w:t>Variable</w:t>
            </w:r>
          </w:p>
        </w:tc>
        <w:tc>
          <w:tcPr>
            <w:tcW w:w="0" w:type="auto"/>
            <w:hideMark/>
          </w:tcPr>
          <w:p w14:paraId="4022591D" w14:textId="77777777" w:rsidR="00645E0E" w:rsidRPr="001A076D" w:rsidRDefault="00645E0E">
            <w:pPr>
              <w:jc w:val="center"/>
              <w:rPr>
                <w:b/>
                <w:bCs/>
              </w:rPr>
            </w:pPr>
            <w:r w:rsidRPr="001A076D">
              <w:rPr>
                <w:b/>
                <w:bCs/>
              </w:rPr>
              <w:t>Kolmogorov–Smirnov</w:t>
            </w:r>
          </w:p>
        </w:tc>
        <w:tc>
          <w:tcPr>
            <w:tcW w:w="0" w:type="auto"/>
            <w:hideMark/>
          </w:tcPr>
          <w:p w14:paraId="00C18BE0" w14:textId="77777777" w:rsidR="00645E0E" w:rsidRPr="001A076D" w:rsidRDefault="00645E0E">
            <w:pPr>
              <w:jc w:val="center"/>
              <w:rPr>
                <w:b/>
                <w:bCs/>
              </w:rPr>
            </w:pPr>
            <w:r w:rsidRPr="001A076D">
              <w:rPr>
                <w:b/>
                <w:bCs/>
              </w:rPr>
              <w:t>Sig.</w:t>
            </w:r>
          </w:p>
        </w:tc>
        <w:tc>
          <w:tcPr>
            <w:tcW w:w="0" w:type="auto"/>
            <w:hideMark/>
          </w:tcPr>
          <w:p w14:paraId="1C1FB7CA" w14:textId="77777777" w:rsidR="00645E0E" w:rsidRPr="001A076D" w:rsidRDefault="00645E0E">
            <w:pPr>
              <w:jc w:val="center"/>
              <w:rPr>
                <w:b/>
                <w:bCs/>
              </w:rPr>
            </w:pPr>
            <w:r w:rsidRPr="001A076D">
              <w:rPr>
                <w:b/>
                <w:bCs/>
              </w:rPr>
              <w:t>Shapiro–Wilk</w:t>
            </w:r>
          </w:p>
        </w:tc>
        <w:tc>
          <w:tcPr>
            <w:tcW w:w="0" w:type="auto"/>
            <w:hideMark/>
          </w:tcPr>
          <w:p w14:paraId="07DA88B2" w14:textId="77777777" w:rsidR="00645E0E" w:rsidRPr="001A076D" w:rsidRDefault="00645E0E">
            <w:pPr>
              <w:jc w:val="center"/>
              <w:rPr>
                <w:b/>
                <w:bCs/>
              </w:rPr>
            </w:pPr>
            <w:r w:rsidRPr="001A076D">
              <w:rPr>
                <w:b/>
                <w:bCs/>
              </w:rPr>
              <w:t>Sig.</w:t>
            </w:r>
          </w:p>
        </w:tc>
      </w:tr>
      <w:tr w:rsidR="00057F93" w:rsidRPr="001A076D" w14:paraId="65E3FE8B" w14:textId="77777777" w:rsidTr="00645E0E">
        <w:tc>
          <w:tcPr>
            <w:tcW w:w="0" w:type="auto"/>
            <w:hideMark/>
          </w:tcPr>
          <w:p w14:paraId="47372A5C" w14:textId="77777777" w:rsidR="00645E0E" w:rsidRPr="001A076D" w:rsidRDefault="00645E0E">
            <w:r w:rsidRPr="001A076D">
              <w:t>SE</w:t>
            </w:r>
          </w:p>
        </w:tc>
        <w:tc>
          <w:tcPr>
            <w:tcW w:w="0" w:type="auto"/>
            <w:hideMark/>
          </w:tcPr>
          <w:p w14:paraId="2A60F586" w14:textId="77777777" w:rsidR="00645E0E" w:rsidRPr="001A076D" w:rsidRDefault="00645E0E">
            <w:r w:rsidRPr="001A076D">
              <w:t>0.139</w:t>
            </w:r>
          </w:p>
        </w:tc>
        <w:tc>
          <w:tcPr>
            <w:tcW w:w="0" w:type="auto"/>
            <w:hideMark/>
          </w:tcPr>
          <w:p w14:paraId="64B7D0F2" w14:textId="77777777" w:rsidR="00645E0E" w:rsidRPr="001A076D" w:rsidRDefault="00645E0E">
            <w:r w:rsidRPr="001A076D">
              <w:t>0.003</w:t>
            </w:r>
          </w:p>
        </w:tc>
        <w:tc>
          <w:tcPr>
            <w:tcW w:w="0" w:type="auto"/>
            <w:hideMark/>
          </w:tcPr>
          <w:p w14:paraId="7AD7C7C0" w14:textId="77777777" w:rsidR="00645E0E" w:rsidRPr="001A076D" w:rsidRDefault="00645E0E">
            <w:r w:rsidRPr="001A076D">
              <w:t>0.951</w:t>
            </w:r>
          </w:p>
        </w:tc>
        <w:tc>
          <w:tcPr>
            <w:tcW w:w="0" w:type="auto"/>
            <w:hideMark/>
          </w:tcPr>
          <w:p w14:paraId="431709E9" w14:textId="77777777" w:rsidR="00645E0E" w:rsidRPr="001A076D" w:rsidRDefault="00645E0E">
            <w:r w:rsidRPr="001A076D">
              <w:t>0.011</w:t>
            </w:r>
          </w:p>
        </w:tc>
      </w:tr>
      <w:tr w:rsidR="00057F93" w:rsidRPr="001A076D" w14:paraId="75AF6F01" w14:textId="77777777" w:rsidTr="00645E0E">
        <w:tc>
          <w:tcPr>
            <w:tcW w:w="0" w:type="auto"/>
            <w:hideMark/>
          </w:tcPr>
          <w:p w14:paraId="76A8FE99" w14:textId="77777777" w:rsidR="00645E0E" w:rsidRPr="001A076D" w:rsidRDefault="00645E0E">
            <w:r w:rsidRPr="001A076D">
              <w:t>PAC</w:t>
            </w:r>
          </w:p>
        </w:tc>
        <w:tc>
          <w:tcPr>
            <w:tcW w:w="0" w:type="auto"/>
            <w:hideMark/>
          </w:tcPr>
          <w:p w14:paraId="4C3C2732" w14:textId="77777777" w:rsidR="00645E0E" w:rsidRPr="001A076D" w:rsidRDefault="00645E0E">
            <w:r w:rsidRPr="001A076D">
              <w:t>0.099</w:t>
            </w:r>
          </w:p>
        </w:tc>
        <w:tc>
          <w:tcPr>
            <w:tcW w:w="0" w:type="auto"/>
            <w:hideMark/>
          </w:tcPr>
          <w:p w14:paraId="3AB88D7E" w14:textId="77777777" w:rsidR="00645E0E" w:rsidRPr="001A076D" w:rsidRDefault="00645E0E">
            <w:r w:rsidRPr="001A076D">
              <w:t>0.180</w:t>
            </w:r>
          </w:p>
        </w:tc>
        <w:tc>
          <w:tcPr>
            <w:tcW w:w="0" w:type="auto"/>
            <w:hideMark/>
          </w:tcPr>
          <w:p w14:paraId="5518FCEE" w14:textId="77777777" w:rsidR="00645E0E" w:rsidRPr="001A076D" w:rsidRDefault="00645E0E">
            <w:r w:rsidRPr="001A076D">
              <w:t>0.954</w:t>
            </w:r>
          </w:p>
        </w:tc>
        <w:tc>
          <w:tcPr>
            <w:tcW w:w="0" w:type="auto"/>
            <w:hideMark/>
          </w:tcPr>
          <w:p w14:paraId="3AAC0E5A" w14:textId="77777777" w:rsidR="00645E0E" w:rsidRPr="001A076D" w:rsidRDefault="00645E0E">
            <w:r w:rsidRPr="001A076D">
              <w:t>0.016</w:t>
            </w:r>
          </w:p>
        </w:tc>
      </w:tr>
      <w:tr w:rsidR="00057F93" w:rsidRPr="001A076D" w14:paraId="25A16DF7" w14:textId="77777777" w:rsidTr="00645E0E">
        <w:tc>
          <w:tcPr>
            <w:tcW w:w="0" w:type="auto"/>
            <w:hideMark/>
          </w:tcPr>
          <w:p w14:paraId="6642712C" w14:textId="77777777" w:rsidR="00645E0E" w:rsidRPr="001A076D" w:rsidRDefault="00645E0E">
            <w:r w:rsidRPr="001A076D">
              <w:t>TE</w:t>
            </w:r>
          </w:p>
        </w:tc>
        <w:tc>
          <w:tcPr>
            <w:tcW w:w="0" w:type="auto"/>
            <w:hideMark/>
          </w:tcPr>
          <w:p w14:paraId="1DFC8FE9" w14:textId="77777777" w:rsidR="00645E0E" w:rsidRPr="001A076D" w:rsidRDefault="00645E0E">
            <w:r w:rsidRPr="001A076D">
              <w:t>0.110</w:t>
            </w:r>
          </w:p>
        </w:tc>
        <w:tc>
          <w:tcPr>
            <w:tcW w:w="0" w:type="auto"/>
            <w:hideMark/>
          </w:tcPr>
          <w:p w14:paraId="7D2998D6" w14:textId="77777777" w:rsidR="00645E0E" w:rsidRPr="001A076D" w:rsidRDefault="00645E0E">
            <w:r w:rsidRPr="001A076D">
              <w:t>0.045</w:t>
            </w:r>
          </w:p>
        </w:tc>
        <w:tc>
          <w:tcPr>
            <w:tcW w:w="0" w:type="auto"/>
            <w:hideMark/>
          </w:tcPr>
          <w:p w14:paraId="3FD9369D" w14:textId="77777777" w:rsidR="00645E0E" w:rsidRPr="001A076D" w:rsidRDefault="00645E0E">
            <w:r w:rsidRPr="001A076D">
              <w:t>0.956</w:t>
            </w:r>
          </w:p>
        </w:tc>
        <w:tc>
          <w:tcPr>
            <w:tcW w:w="0" w:type="auto"/>
            <w:hideMark/>
          </w:tcPr>
          <w:p w14:paraId="0B10FC08" w14:textId="77777777" w:rsidR="00645E0E" w:rsidRPr="001A076D" w:rsidRDefault="00645E0E">
            <w:r w:rsidRPr="001A076D">
              <w:t>0.021</w:t>
            </w:r>
          </w:p>
        </w:tc>
      </w:tr>
      <w:tr w:rsidR="00057F93" w:rsidRPr="001A076D" w14:paraId="2CA88AC8" w14:textId="77777777" w:rsidTr="00645E0E">
        <w:tc>
          <w:tcPr>
            <w:tcW w:w="0" w:type="auto"/>
            <w:hideMark/>
          </w:tcPr>
          <w:p w14:paraId="3D0452E7" w14:textId="77777777" w:rsidR="00645E0E" w:rsidRPr="001A076D" w:rsidRDefault="00645E0E">
            <w:r w:rsidRPr="001A076D">
              <w:t>GM</w:t>
            </w:r>
          </w:p>
        </w:tc>
        <w:tc>
          <w:tcPr>
            <w:tcW w:w="0" w:type="auto"/>
            <w:hideMark/>
          </w:tcPr>
          <w:p w14:paraId="69ED4E45" w14:textId="77777777" w:rsidR="00645E0E" w:rsidRPr="001A076D" w:rsidRDefault="00645E0E">
            <w:r w:rsidRPr="001A076D">
              <w:t>0.131</w:t>
            </w:r>
          </w:p>
        </w:tc>
        <w:tc>
          <w:tcPr>
            <w:tcW w:w="0" w:type="auto"/>
            <w:hideMark/>
          </w:tcPr>
          <w:p w14:paraId="4FE08B8D" w14:textId="77777777" w:rsidR="00645E0E" w:rsidRPr="001A076D" w:rsidRDefault="00645E0E">
            <w:r w:rsidRPr="001A076D">
              <w:t>0.007</w:t>
            </w:r>
          </w:p>
        </w:tc>
        <w:tc>
          <w:tcPr>
            <w:tcW w:w="0" w:type="auto"/>
            <w:hideMark/>
          </w:tcPr>
          <w:p w14:paraId="74567BEF" w14:textId="77777777" w:rsidR="00645E0E" w:rsidRPr="001A076D" w:rsidRDefault="00645E0E">
            <w:r w:rsidRPr="001A076D">
              <w:t>0.942</w:t>
            </w:r>
          </w:p>
        </w:tc>
        <w:tc>
          <w:tcPr>
            <w:tcW w:w="0" w:type="auto"/>
            <w:hideMark/>
          </w:tcPr>
          <w:p w14:paraId="34DD6641" w14:textId="77777777" w:rsidR="00645E0E" w:rsidRPr="001A076D" w:rsidRDefault="00645E0E">
            <w:r w:rsidRPr="001A076D">
              <w:t>0.004</w:t>
            </w:r>
          </w:p>
        </w:tc>
      </w:tr>
    </w:tbl>
    <w:p w14:paraId="58E0D2DA" w14:textId="77777777" w:rsidR="00645E0E" w:rsidRPr="001A076D" w:rsidRDefault="00645E0E" w:rsidP="00C44E94">
      <w:pPr>
        <w:pStyle w:val="NormalWeb"/>
        <w:jc w:val="both"/>
      </w:pPr>
      <w:r w:rsidRPr="001A076D">
        <w:rPr>
          <w:rStyle w:val="Emphasis"/>
          <w:rFonts w:eastAsiaTheme="majorEastAsia"/>
        </w:rPr>
        <w:t>Lilliefors Significance Correction applied.</w:t>
      </w:r>
    </w:p>
    <w:p w14:paraId="4405D7E0" w14:textId="77777777" w:rsidR="00645E0E" w:rsidRPr="001A076D" w:rsidRDefault="00645E0E" w:rsidP="00C44E94">
      <w:pPr>
        <w:pStyle w:val="NormalWeb"/>
        <w:jc w:val="both"/>
      </w:pPr>
      <w:r w:rsidRPr="001A076D">
        <w:t>Although several p-values fall below 0.05, indicating statistical deviation from perfect normality, the skewness and kurtosis values (reported earlier) remain within acceptable thresholds (±2). Given the sample size (N = 66), regression analysis is generally robust to moderate deviations from normality (Hair et al., 2019; Field, 2018).</w:t>
      </w:r>
    </w:p>
    <w:p w14:paraId="01698F0B" w14:textId="17752F0F" w:rsidR="00645E0E" w:rsidRPr="001A076D" w:rsidRDefault="00645E0E" w:rsidP="00C44E94">
      <w:pPr>
        <w:pStyle w:val="NormalWeb"/>
        <w:jc w:val="both"/>
      </w:pPr>
      <w:r w:rsidRPr="001A076D">
        <w:t xml:space="preserve">This is important for </w:t>
      </w:r>
      <w:r w:rsidR="00E54CEF" w:rsidRPr="001A076D">
        <w:t>interpreting results because regression models assume normally distributed residuals to ensure</w:t>
      </w:r>
      <w:r w:rsidRPr="001A076D">
        <w:t xml:space="preserve"> accurate hypothesis testing. The </w:t>
      </w:r>
      <w:r w:rsidR="00E54CEF" w:rsidRPr="001A076D">
        <w:t xml:space="preserve">observed approximate normality here supports the validity of the regression coefficients and the </w:t>
      </w:r>
      <w:r w:rsidRPr="001A076D">
        <w:t>significance tests reported in Chapter 4.</w:t>
      </w:r>
    </w:p>
    <w:p w14:paraId="49A146B4" w14:textId="77777777" w:rsidR="00645E0E" w:rsidRPr="001A076D" w:rsidRDefault="00645E0E" w:rsidP="00645E0E">
      <w:r w:rsidRPr="001A076D">
        <w:rPr>
          <w:rStyle w:val="Strong"/>
          <w:rFonts w:eastAsiaTheme="majorEastAsia"/>
        </w:rPr>
        <w:t>A5.6.3 Stem-and-Leaf Plots</w:t>
      </w:r>
    </w:p>
    <w:p w14:paraId="4B223996" w14:textId="46EE63BE" w:rsidR="00645E0E" w:rsidRPr="001A076D" w:rsidRDefault="00645E0E" w:rsidP="00C44E94">
      <w:pPr>
        <w:pStyle w:val="NormalWeb"/>
        <w:jc w:val="both"/>
      </w:pPr>
      <w:r w:rsidRPr="001A076D">
        <w:t>Stem-and-leaf plots were generated for SE, PAC, TE, and</w:t>
      </w:r>
      <w:r w:rsidRPr="001A076D">
        <w:rPr>
          <w:rStyle w:val="Strong"/>
          <w:rFonts w:eastAsiaTheme="majorEastAsia"/>
        </w:rPr>
        <w:t xml:space="preserve"> </w:t>
      </w:r>
      <w:r w:rsidRPr="001A076D">
        <w:t xml:space="preserve">GM to visually assess the </w:t>
      </w:r>
      <w:r w:rsidR="00E54CEF" w:rsidRPr="001A076D">
        <w:t>data's distributional shape</w:t>
      </w:r>
      <w:r w:rsidRPr="001A076D">
        <w:t>.</w:t>
      </w:r>
    </w:p>
    <w:p w14:paraId="7B081EC2" w14:textId="77777777" w:rsidR="00645E0E" w:rsidRPr="001A076D" w:rsidRDefault="00645E0E" w:rsidP="00C44E94">
      <w:pPr>
        <w:pStyle w:val="NormalWeb"/>
        <w:jc w:val="both"/>
      </w:pPr>
      <w:r w:rsidRPr="001A076D">
        <w:t>The plots indicate:</w:t>
      </w:r>
    </w:p>
    <w:p w14:paraId="7418ADC0" w14:textId="77777777" w:rsidR="002A5293" w:rsidRPr="001A076D" w:rsidRDefault="00645E0E" w:rsidP="00C44E94">
      <w:pPr>
        <w:pStyle w:val="NormalWeb"/>
        <w:numPr>
          <w:ilvl w:val="0"/>
          <w:numId w:val="7"/>
        </w:numPr>
        <w:jc w:val="both"/>
      </w:pPr>
      <w:r w:rsidRPr="001A076D">
        <w:lastRenderedPageBreak/>
        <w:t xml:space="preserve">Concentration of responses within the </w:t>
      </w:r>
      <w:r w:rsidRPr="001A076D">
        <w:rPr>
          <w:rStyle w:val="Strong"/>
          <w:rFonts w:eastAsiaTheme="majorEastAsia"/>
          <w:b w:val="0"/>
          <w:bCs w:val="0"/>
        </w:rPr>
        <w:t>4.0–4.5 range</w:t>
      </w:r>
    </w:p>
    <w:p w14:paraId="3817574C" w14:textId="77777777" w:rsidR="002A5293" w:rsidRPr="001A076D" w:rsidRDefault="00645E0E" w:rsidP="00C44E94">
      <w:pPr>
        <w:pStyle w:val="NormalWeb"/>
        <w:numPr>
          <w:ilvl w:val="0"/>
          <w:numId w:val="7"/>
        </w:numPr>
        <w:jc w:val="both"/>
      </w:pPr>
      <w:r w:rsidRPr="001A076D">
        <w:rPr>
          <w:rStyle w:val="Strong"/>
          <w:rFonts w:eastAsiaTheme="majorEastAsia"/>
          <w:b w:val="0"/>
          <w:bCs w:val="0"/>
        </w:rPr>
        <w:t>Mild negative skew</w:t>
      </w:r>
      <w:r w:rsidRPr="001A076D">
        <w:t xml:space="preserve"> across constructs</w:t>
      </w:r>
    </w:p>
    <w:p w14:paraId="0190EE91" w14:textId="6635C6C5" w:rsidR="00645E0E" w:rsidRPr="001A076D" w:rsidRDefault="00645E0E" w:rsidP="00C44E94">
      <w:pPr>
        <w:pStyle w:val="NormalWeb"/>
        <w:numPr>
          <w:ilvl w:val="0"/>
          <w:numId w:val="7"/>
        </w:numPr>
        <w:jc w:val="both"/>
      </w:pPr>
      <w:r w:rsidRPr="001A076D">
        <w:rPr>
          <w:rStyle w:val="Strong"/>
          <w:rFonts w:eastAsiaTheme="majorEastAsia"/>
          <w:b w:val="0"/>
          <w:bCs w:val="0"/>
        </w:rPr>
        <w:t>No extreme distributional irregularities</w:t>
      </w:r>
    </w:p>
    <w:p w14:paraId="301CEE58" w14:textId="77777777" w:rsidR="00645E0E" w:rsidRPr="001A076D" w:rsidRDefault="00645E0E" w:rsidP="00C44E94">
      <w:pPr>
        <w:pStyle w:val="NormalWeb"/>
        <w:jc w:val="both"/>
      </w:pPr>
      <w:r w:rsidRPr="001A076D">
        <w:t>These visual inspections provide further evidence that the distributions approximate normality.</w:t>
      </w:r>
    </w:p>
    <w:p w14:paraId="0275C721" w14:textId="1390A685" w:rsidR="00645E0E" w:rsidRPr="001A076D" w:rsidRDefault="00645E0E" w:rsidP="00C44E94">
      <w:pPr>
        <w:pStyle w:val="NormalWeb"/>
        <w:jc w:val="both"/>
      </w:pPr>
      <w:r w:rsidRPr="001A076D">
        <w:t>This finding supports the robustness of the statistical analysis because moderately symmetric distributions reduce the likelihood that regression estimates are influenced by skewed data patterns.</w:t>
      </w:r>
    </w:p>
    <w:p w14:paraId="7B65001F" w14:textId="77777777" w:rsidR="00645E0E" w:rsidRPr="001A076D" w:rsidRDefault="00645E0E" w:rsidP="00645E0E">
      <w:r w:rsidRPr="001A076D">
        <w:rPr>
          <w:rStyle w:val="Strong"/>
          <w:rFonts w:eastAsiaTheme="majorEastAsia"/>
        </w:rPr>
        <w:t>A5.6.4 Normal Q–Q Plots</w:t>
      </w:r>
    </w:p>
    <w:p w14:paraId="6CC29BE0" w14:textId="77777777" w:rsidR="00645E0E" w:rsidRPr="001A076D" w:rsidRDefault="00645E0E" w:rsidP="00C44E94">
      <w:pPr>
        <w:pStyle w:val="NormalWeb"/>
        <w:jc w:val="both"/>
      </w:pPr>
      <w:r w:rsidRPr="001A076D">
        <w:t xml:space="preserve">Normal Q–Q plots were generated for </w:t>
      </w:r>
      <w:r w:rsidRPr="001A076D">
        <w:rPr>
          <w:rStyle w:val="Strong"/>
          <w:rFonts w:eastAsiaTheme="majorEastAsia"/>
          <w:b w:val="0"/>
          <w:bCs w:val="0"/>
        </w:rPr>
        <w:t>Strategic Embedding (SE), Predictive Analytics Capability (PAC), Trust &amp; Explainability (TE), and Governance Maturity (GM)</w:t>
      </w:r>
      <w:r w:rsidRPr="001A076D">
        <w:t xml:space="preserve"> to visually assess the normality assumption required for parametric statistical analysis.</w:t>
      </w:r>
    </w:p>
    <w:p w14:paraId="00E2BF77" w14:textId="627C88C4" w:rsidR="00645E0E" w:rsidRPr="001A076D" w:rsidRDefault="00645E0E" w:rsidP="00C44E94">
      <w:pPr>
        <w:pStyle w:val="NormalWeb"/>
        <w:jc w:val="both"/>
      </w:pPr>
      <w:r w:rsidRPr="001A076D">
        <w:t xml:space="preserve">Across all four constructs, the observed values align closely with the diagonal reference line, indicating that the distributions approximate normality. Minor deviations are visible at the distribution tails, which is typical in survey data and does not indicate </w:t>
      </w:r>
      <w:r w:rsidR="00E54CEF" w:rsidRPr="001A076D">
        <w:t xml:space="preserve">a </w:t>
      </w:r>
      <w:r w:rsidRPr="001A076D">
        <w:t>substantial departure from normality.</w:t>
      </w:r>
    </w:p>
    <w:p w14:paraId="15D7D8AD" w14:textId="77777777" w:rsidR="00645E0E" w:rsidRPr="001A076D" w:rsidRDefault="00645E0E" w:rsidP="00C44E94">
      <w:pPr>
        <w:pStyle w:val="NormalWeb"/>
        <w:jc w:val="both"/>
      </w:pPr>
      <w:r w:rsidRPr="001A076D">
        <w:t xml:space="preserve">Overall, the Q–Q plots suggest that the data for </w:t>
      </w:r>
      <w:r w:rsidRPr="001A076D">
        <w:rPr>
          <w:rStyle w:val="Strong"/>
          <w:rFonts w:eastAsiaTheme="majorEastAsia"/>
          <w:b w:val="0"/>
          <w:bCs w:val="0"/>
        </w:rPr>
        <w:t>SE, PAC, TE, and GM</w:t>
      </w:r>
      <w:r w:rsidRPr="001A076D">
        <w:t xml:space="preserve"> are approximately normally distributed, supporting the use of </w:t>
      </w:r>
      <w:r w:rsidRPr="001A076D">
        <w:rPr>
          <w:rStyle w:val="Strong"/>
          <w:rFonts w:eastAsiaTheme="majorEastAsia"/>
          <w:b w:val="0"/>
          <w:bCs w:val="0"/>
        </w:rPr>
        <w:t>Pearson correlation and multiple regression analysis</w:t>
      </w:r>
      <w:r w:rsidRPr="001A076D">
        <w:rPr>
          <w:b/>
          <w:bCs/>
        </w:rPr>
        <w:t xml:space="preserve"> </w:t>
      </w:r>
      <w:r w:rsidRPr="001A076D">
        <w:t>in the quantitative phase of the study.</w:t>
      </w:r>
    </w:p>
    <w:p w14:paraId="71AC80D8" w14:textId="1FB6462C" w:rsidR="00645E0E" w:rsidRPr="001A076D" w:rsidRDefault="00645E0E" w:rsidP="00B23D5C">
      <w:pPr>
        <w:pStyle w:val="NormalWeb"/>
      </w:pPr>
      <w:r w:rsidRPr="001A076D">
        <w:rPr>
          <w:noProof/>
        </w:rPr>
        <w:drawing>
          <wp:inline distT="0" distB="0" distL="0" distR="0" wp14:anchorId="2EAEBD95" wp14:editId="6FF83F1B">
            <wp:extent cx="5206154" cy="2921000"/>
            <wp:effectExtent l="0" t="0" r="1270" b="0"/>
            <wp:docPr id="2059930306" name="Drawing 11" descr="img.png"/>
            <wp:cNvGraphicFramePr/>
            <a:graphic xmlns:a="http://schemas.openxmlformats.org/drawingml/2006/main">
              <a:graphicData uri="http://schemas.openxmlformats.org/drawingml/2006/picture">
                <pic:pic xmlns:pic="http://schemas.openxmlformats.org/drawingml/2006/picture">
                  <pic:nvPicPr>
                    <pic:cNvPr id="0" name="Picture 11" descr="img.png"/>
                    <pic:cNvPicPr>
                      <a:picLocks noChangeAspect="1"/>
                    </pic:cNvPicPr>
                  </pic:nvPicPr>
                  <pic:blipFill>
                    <a:blip r:embed="rId106"/>
                    <a:stretch>
                      <a:fillRect/>
                    </a:stretch>
                  </pic:blipFill>
                  <pic:spPr>
                    <a:xfrm>
                      <a:off x="0" y="0"/>
                      <a:ext cx="5214188" cy="2925507"/>
                    </a:xfrm>
                    <a:prstGeom prst="rect">
                      <a:avLst/>
                    </a:prstGeom>
                  </pic:spPr>
                </pic:pic>
              </a:graphicData>
            </a:graphic>
          </wp:inline>
        </w:drawing>
      </w:r>
    </w:p>
    <w:p w14:paraId="608F3A42" w14:textId="77777777" w:rsidR="00645E0E" w:rsidRPr="001A076D" w:rsidRDefault="00645E0E" w:rsidP="00645E0E">
      <w:pPr>
        <w:pStyle w:val="NormalWeb"/>
        <w:jc w:val="center"/>
      </w:pPr>
      <w:r w:rsidRPr="001A076D">
        <w:rPr>
          <w:rStyle w:val="Strong"/>
          <w:rFonts w:eastAsiaTheme="majorEastAsia"/>
        </w:rPr>
        <w:t>Figure A5.1: Normal Q–Q Plot of Strategic Embedding (SE)</w:t>
      </w:r>
      <w:r w:rsidRPr="001A076D">
        <w:br/>
        <w:t>Visual inspection shows data points closely aligned with the diagonal reference line, indicating approximate normal distribution.</w:t>
      </w:r>
    </w:p>
    <w:p w14:paraId="3A3B457F" w14:textId="40150341" w:rsidR="00645E0E" w:rsidRPr="001A076D" w:rsidRDefault="00645E0E" w:rsidP="00B23D5C">
      <w:pPr>
        <w:pStyle w:val="NormalWeb"/>
        <w:jc w:val="center"/>
      </w:pPr>
      <w:r w:rsidRPr="001A076D">
        <w:rPr>
          <w:noProof/>
        </w:rPr>
        <w:lastRenderedPageBreak/>
        <w:drawing>
          <wp:inline distT="0" distB="0" distL="0" distR="0" wp14:anchorId="012AB4E6" wp14:editId="032DC553">
            <wp:extent cx="5045287" cy="2777067"/>
            <wp:effectExtent l="0" t="0" r="0" b="4445"/>
            <wp:docPr id="1056305221" name="Drawing 15" descr="img.png"/>
            <wp:cNvGraphicFramePr/>
            <a:graphic xmlns:a="http://schemas.openxmlformats.org/drawingml/2006/main">
              <a:graphicData uri="http://schemas.openxmlformats.org/drawingml/2006/picture">
                <pic:pic xmlns:pic="http://schemas.openxmlformats.org/drawingml/2006/picture">
                  <pic:nvPicPr>
                    <pic:cNvPr id="0" name="Picture 15" descr="img.png"/>
                    <pic:cNvPicPr>
                      <a:picLocks noChangeAspect="1"/>
                    </pic:cNvPicPr>
                  </pic:nvPicPr>
                  <pic:blipFill>
                    <a:blip r:embed="rId107"/>
                    <a:stretch>
                      <a:fillRect/>
                    </a:stretch>
                  </pic:blipFill>
                  <pic:spPr>
                    <a:xfrm>
                      <a:off x="0" y="0"/>
                      <a:ext cx="5053826" cy="2781767"/>
                    </a:xfrm>
                    <a:prstGeom prst="rect">
                      <a:avLst/>
                    </a:prstGeom>
                  </pic:spPr>
                </pic:pic>
              </a:graphicData>
            </a:graphic>
          </wp:inline>
        </w:drawing>
      </w:r>
    </w:p>
    <w:p w14:paraId="71BAE6C7" w14:textId="77777777" w:rsidR="00645E0E" w:rsidRPr="001A076D" w:rsidRDefault="00645E0E" w:rsidP="00645E0E">
      <w:pPr>
        <w:pStyle w:val="NormalWeb"/>
        <w:jc w:val="center"/>
      </w:pPr>
      <w:r w:rsidRPr="001A076D">
        <w:rPr>
          <w:rStyle w:val="Strong"/>
          <w:rFonts w:eastAsiaTheme="majorEastAsia"/>
        </w:rPr>
        <w:t>Figure A5.2: Normal Q–Q Plot of Predictive Analytics Capability (PAC)</w:t>
      </w:r>
      <w:r w:rsidRPr="001A076D">
        <w:br/>
        <w:t>The distribution demonstrates minimal deviation from normality, with slight lower-tail dispersion.</w:t>
      </w:r>
    </w:p>
    <w:p w14:paraId="695A295E" w14:textId="42F1F296" w:rsidR="00645E0E" w:rsidRPr="001A076D" w:rsidRDefault="00645E0E" w:rsidP="00B23D5C">
      <w:pPr>
        <w:pStyle w:val="NormalWeb"/>
        <w:jc w:val="center"/>
      </w:pPr>
      <w:r w:rsidRPr="001A076D">
        <w:rPr>
          <w:noProof/>
        </w:rPr>
        <w:drawing>
          <wp:inline distT="0" distB="0" distL="0" distR="0" wp14:anchorId="56F42C7F" wp14:editId="27B3010A">
            <wp:extent cx="5214620" cy="2734733"/>
            <wp:effectExtent l="0" t="0" r="5080" b="0"/>
            <wp:docPr id="2093481291" name="Drawing 19" descr="img.png"/>
            <wp:cNvGraphicFramePr/>
            <a:graphic xmlns:a="http://schemas.openxmlformats.org/drawingml/2006/main">
              <a:graphicData uri="http://schemas.openxmlformats.org/drawingml/2006/picture">
                <pic:pic xmlns:pic="http://schemas.openxmlformats.org/drawingml/2006/picture">
                  <pic:nvPicPr>
                    <pic:cNvPr id="0" name="Picture 19" descr="img.png"/>
                    <pic:cNvPicPr>
                      <a:picLocks noChangeAspect="1"/>
                    </pic:cNvPicPr>
                  </pic:nvPicPr>
                  <pic:blipFill>
                    <a:blip r:embed="rId108"/>
                    <a:stretch>
                      <a:fillRect/>
                    </a:stretch>
                  </pic:blipFill>
                  <pic:spPr>
                    <a:xfrm>
                      <a:off x="0" y="0"/>
                      <a:ext cx="5223597" cy="2739441"/>
                    </a:xfrm>
                    <a:prstGeom prst="rect">
                      <a:avLst/>
                    </a:prstGeom>
                  </pic:spPr>
                </pic:pic>
              </a:graphicData>
            </a:graphic>
          </wp:inline>
        </w:drawing>
      </w:r>
    </w:p>
    <w:p w14:paraId="2A345F00" w14:textId="77777777" w:rsidR="00645E0E" w:rsidRPr="001A076D" w:rsidRDefault="00645E0E" w:rsidP="00645E0E">
      <w:pPr>
        <w:pStyle w:val="NormalWeb"/>
        <w:jc w:val="center"/>
      </w:pPr>
      <w:r w:rsidRPr="001A076D">
        <w:rPr>
          <w:rStyle w:val="Strong"/>
          <w:rFonts w:eastAsiaTheme="majorEastAsia"/>
        </w:rPr>
        <w:t>Figure A5.3: Normal Q–Q Plot of Trust &amp; Explainability (TE)</w:t>
      </w:r>
      <w:r w:rsidRPr="001A076D">
        <w:br/>
        <w:t>Observed values align closely with expected normal values, supporting approximate normality.</w:t>
      </w:r>
    </w:p>
    <w:p w14:paraId="7E98852A" w14:textId="00DAA657" w:rsidR="00645E0E" w:rsidRPr="001A076D" w:rsidRDefault="00645E0E" w:rsidP="00645E0E">
      <w:pPr>
        <w:pStyle w:val="NormalWeb"/>
        <w:jc w:val="center"/>
      </w:pPr>
      <w:r w:rsidRPr="001A076D">
        <w:rPr>
          <w:b/>
          <w:bCs/>
          <w:noProof/>
        </w:rPr>
        <w:lastRenderedPageBreak/>
        <w:drawing>
          <wp:inline distT="0" distB="0" distL="0" distR="0" wp14:anchorId="5F2C144C" wp14:editId="02ADC6CE">
            <wp:extent cx="5113020" cy="2641600"/>
            <wp:effectExtent l="0" t="0" r="5080" b="0"/>
            <wp:docPr id="1856948278" name="Drawing 23" descr="img.png"/>
            <wp:cNvGraphicFramePr/>
            <a:graphic xmlns:a="http://schemas.openxmlformats.org/drawingml/2006/main">
              <a:graphicData uri="http://schemas.openxmlformats.org/drawingml/2006/picture">
                <pic:pic xmlns:pic="http://schemas.openxmlformats.org/drawingml/2006/picture">
                  <pic:nvPicPr>
                    <pic:cNvPr id="0" name="Picture 23" descr="img.png"/>
                    <pic:cNvPicPr>
                      <a:picLocks noChangeAspect="1"/>
                    </pic:cNvPicPr>
                  </pic:nvPicPr>
                  <pic:blipFill>
                    <a:blip r:embed="rId109"/>
                    <a:stretch>
                      <a:fillRect/>
                    </a:stretch>
                  </pic:blipFill>
                  <pic:spPr>
                    <a:xfrm>
                      <a:off x="0" y="0"/>
                      <a:ext cx="5121793" cy="2646132"/>
                    </a:xfrm>
                    <a:prstGeom prst="rect">
                      <a:avLst/>
                    </a:prstGeom>
                  </pic:spPr>
                </pic:pic>
              </a:graphicData>
            </a:graphic>
          </wp:inline>
        </w:drawing>
      </w:r>
    </w:p>
    <w:p w14:paraId="362D3C79" w14:textId="77777777" w:rsidR="00645E0E" w:rsidRPr="001A076D" w:rsidRDefault="00645E0E" w:rsidP="00645E0E">
      <w:pPr>
        <w:pStyle w:val="NormalWeb"/>
        <w:jc w:val="center"/>
      </w:pPr>
      <w:r w:rsidRPr="001A076D">
        <w:rPr>
          <w:rStyle w:val="Strong"/>
          <w:rFonts w:eastAsiaTheme="majorEastAsia"/>
        </w:rPr>
        <w:t>Figure A5.4: Normal Q–Q Plot of Governance Maturity (GM)</w:t>
      </w:r>
      <w:r w:rsidRPr="001A076D">
        <w:br/>
        <w:t>Minor tail deviations are visible; however, the overall distribution approximates normality.</w:t>
      </w:r>
    </w:p>
    <w:p w14:paraId="3D937BEB" w14:textId="129C04E7" w:rsidR="00645E0E" w:rsidRPr="001A076D" w:rsidRDefault="00645E0E" w:rsidP="00E512B1">
      <w:pPr>
        <w:pStyle w:val="NormalWeb"/>
        <w:jc w:val="both"/>
      </w:pPr>
      <w:r w:rsidRPr="001A076D">
        <w:t>These plots provide visual confirmation that the assumptions underlying parametric statistical tests are sufficiently satisfied.</w:t>
      </w:r>
    </w:p>
    <w:p w14:paraId="5E05AC34" w14:textId="77777777" w:rsidR="00645E0E" w:rsidRPr="001A076D" w:rsidRDefault="00645E0E" w:rsidP="00645E0E">
      <w:r w:rsidRPr="001A076D">
        <w:rPr>
          <w:rStyle w:val="Strong"/>
          <w:rFonts w:eastAsiaTheme="majorEastAsia"/>
        </w:rPr>
        <w:t>A5.6.5 Standardised Residual Analysis</w:t>
      </w:r>
    </w:p>
    <w:p w14:paraId="1AAC3749" w14:textId="77777777" w:rsidR="00645E0E" w:rsidRPr="001A076D" w:rsidRDefault="00645E0E" w:rsidP="00645E0E">
      <w:pPr>
        <w:pStyle w:val="NormalWeb"/>
      </w:pPr>
      <w:r w:rsidRPr="001A076D">
        <w:t>Standardised residuals were examined to assess key regression assumptions, including:</w:t>
      </w:r>
    </w:p>
    <w:p w14:paraId="5BD1B0AD" w14:textId="77777777" w:rsidR="00645E0E" w:rsidRPr="001A076D" w:rsidRDefault="00645E0E" w:rsidP="00645E0E">
      <w:pPr>
        <w:pStyle w:val="NormalWeb"/>
        <w:rPr>
          <w:b/>
          <w:bCs/>
        </w:rPr>
      </w:pPr>
      <w:r w:rsidRPr="001A076D">
        <w:rPr>
          <w:b/>
          <w:bCs/>
        </w:rPr>
        <w:t xml:space="preserve">• </w:t>
      </w:r>
      <w:r w:rsidRPr="001A076D">
        <w:rPr>
          <w:rStyle w:val="Strong"/>
          <w:rFonts w:eastAsiaTheme="majorEastAsia"/>
          <w:b w:val="0"/>
          <w:bCs w:val="0"/>
        </w:rPr>
        <w:t>Linearity</w:t>
      </w:r>
      <w:r w:rsidRPr="001A076D">
        <w:rPr>
          <w:b/>
          <w:bCs/>
        </w:rPr>
        <w:br/>
        <w:t xml:space="preserve">• </w:t>
      </w:r>
      <w:r w:rsidRPr="001A076D">
        <w:rPr>
          <w:rStyle w:val="Strong"/>
          <w:rFonts w:eastAsiaTheme="majorEastAsia"/>
          <w:b w:val="0"/>
          <w:bCs w:val="0"/>
        </w:rPr>
        <w:t>Homoscedasticity</w:t>
      </w:r>
      <w:r w:rsidRPr="001A076D">
        <w:rPr>
          <w:b/>
          <w:bCs/>
        </w:rPr>
        <w:br/>
        <w:t xml:space="preserve">• </w:t>
      </w:r>
      <w:r w:rsidRPr="001A076D">
        <w:rPr>
          <w:rStyle w:val="Strong"/>
          <w:rFonts w:eastAsiaTheme="majorEastAsia"/>
          <w:b w:val="0"/>
          <w:bCs w:val="0"/>
        </w:rPr>
        <w:t>Outlier influence</w:t>
      </w:r>
    </w:p>
    <w:p w14:paraId="1673CFCA" w14:textId="77777777" w:rsidR="00645E0E" w:rsidRPr="001A076D" w:rsidRDefault="00645E0E" w:rsidP="00645E0E">
      <w:pPr>
        <w:pStyle w:val="NormalWeb"/>
      </w:pPr>
      <w:r w:rsidRPr="001A076D">
        <w:t>Key diagnostics include:</w:t>
      </w:r>
    </w:p>
    <w:p w14:paraId="73F74448" w14:textId="77777777" w:rsidR="00645E0E" w:rsidRPr="001A076D" w:rsidRDefault="00645E0E" w:rsidP="00645E0E">
      <w:pPr>
        <w:pStyle w:val="NormalWeb"/>
      </w:pPr>
      <w:r w:rsidRPr="001A076D">
        <w:t xml:space="preserve">• Standardised residuals fall within </w:t>
      </w:r>
      <w:r w:rsidRPr="001A076D">
        <w:rPr>
          <w:rStyle w:val="Strong"/>
          <w:rFonts w:eastAsiaTheme="majorEastAsia"/>
        </w:rPr>
        <w:t>±2.313</w:t>
      </w:r>
      <w:r w:rsidRPr="001A076D">
        <w:br/>
        <w:t xml:space="preserve">• No residual exceeds the </w:t>
      </w:r>
      <w:r w:rsidRPr="001A076D">
        <w:rPr>
          <w:rStyle w:val="Strong"/>
          <w:rFonts w:eastAsiaTheme="majorEastAsia"/>
        </w:rPr>
        <w:t>±3.0 threshold</w:t>
      </w:r>
      <w:r w:rsidRPr="001A076D">
        <w:br/>
        <w:t xml:space="preserve">• Residual mean = </w:t>
      </w:r>
      <w:r w:rsidRPr="001A076D">
        <w:rPr>
          <w:rStyle w:val="Strong"/>
          <w:rFonts w:eastAsiaTheme="majorEastAsia"/>
        </w:rPr>
        <w:t>0.000</w:t>
      </w:r>
      <w:r w:rsidRPr="001A076D">
        <w:br/>
        <w:t xml:space="preserve">• Residual standard deviation ≈ </w:t>
      </w:r>
      <w:r w:rsidRPr="001A076D">
        <w:rPr>
          <w:rStyle w:val="Strong"/>
          <w:rFonts w:eastAsiaTheme="majorEastAsia"/>
        </w:rPr>
        <w:t>0.977</w:t>
      </w:r>
    </w:p>
    <w:p w14:paraId="70037E6E" w14:textId="77777777" w:rsidR="00645E0E" w:rsidRPr="001A076D" w:rsidRDefault="00645E0E" w:rsidP="00645E0E">
      <w:pPr>
        <w:pStyle w:val="NormalWeb"/>
      </w:pPr>
      <w:r w:rsidRPr="001A076D">
        <w:t>These values indicate:</w:t>
      </w:r>
    </w:p>
    <w:p w14:paraId="511640F7" w14:textId="77777777" w:rsidR="00645E0E" w:rsidRPr="001A076D" w:rsidRDefault="00645E0E" w:rsidP="00645E0E">
      <w:pPr>
        <w:pStyle w:val="NormalWeb"/>
      </w:pPr>
      <w:r w:rsidRPr="001A076D">
        <w:t xml:space="preserve">• No evidence of </w:t>
      </w:r>
      <w:r w:rsidRPr="001A076D">
        <w:rPr>
          <w:rStyle w:val="Strong"/>
          <w:rFonts w:eastAsiaTheme="majorEastAsia"/>
        </w:rPr>
        <w:t>extreme outliers</w:t>
      </w:r>
      <w:r w:rsidRPr="001A076D">
        <w:br/>
        <w:t xml:space="preserve">• Acceptable </w:t>
      </w:r>
      <w:r w:rsidRPr="001A076D">
        <w:rPr>
          <w:rStyle w:val="Strong"/>
          <w:rFonts w:eastAsiaTheme="majorEastAsia"/>
        </w:rPr>
        <w:t>variance consistency</w:t>
      </w:r>
      <w:r w:rsidRPr="001A076D">
        <w:br/>
        <w:t xml:space="preserve">• Adequate </w:t>
      </w:r>
      <w:r w:rsidRPr="001A076D">
        <w:rPr>
          <w:rStyle w:val="Strong"/>
          <w:rFonts w:eastAsiaTheme="majorEastAsia"/>
        </w:rPr>
        <w:t>model specification</w:t>
      </w:r>
    </w:p>
    <w:p w14:paraId="5DC71913" w14:textId="77777777" w:rsidR="00645E0E" w:rsidRPr="001A076D" w:rsidRDefault="00645E0E" w:rsidP="00645E0E">
      <w:pPr>
        <w:pStyle w:val="NormalWeb"/>
      </w:pPr>
      <w:r w:rsidRPr="001A076D">
        <w:t>Visual inspection of the following diagnostic plots further supports these conclusions:</w:t>
      </w:r>
    </w:p>
    <w:p w14:paraId="3A19C379" w14:textId="77777777" w:rsidR="00645E0E" w:rsidRPr="001A076D" w:rsidRDefault="00645E0E" w:rsidP="00645E0E">
      <w:pPr>
        <w:pStyle w:val="NormalWeb"/>
      </w:pPr>
      <w:r w:rsidRPr="001A076D">
        <w:t xml:space="preserve">• </w:t>
      </w:r>
      <w:r w:rsidRPr="001A076D">
        <w:rPr>
          <w:rStyle w:val="Strong"/>
          <w:rFonts w:eastAsiaTheme="majorEastAsia"/>
        </w:rPr>
        <w:t>Normal P–P Plot</w:t>
      </w:r>
      <w:r w:rsidRPr="001A076D">
        <w:br/>
        <w:t xml:space="preserve">• </w:t>
      </w:r>
      <w:r w:rsidRPr="001A076D">
        <w:rPr>
          <w:rStyle w:val="Strong"/>
          <w:rFonts w:eastAsiaTheme="majorEastAsia"/>
        </w:rPr>
        <w:t>ZPRED vs ZRESID scatterplot</w:t>
      </w:r>
    </w:p>
    <w:p w14:paraId="096CBD12" w14:textId="77777777" w:rsidR="00645E0E" w:rsidRPr="001A076D" w:rsidRDefault="00645E0E" w:rsidP="00645E0E">
      <w:pPr>
        <w:pStyle w:val="NormalWeb"/>
      </w:pPr>
      <w:r w:rsidRPr="001A076D">
        <w:t xml:space="preserve">Both plots confirm approximate </w:t>
      </w:r>
      <w:r w:rsidRPr="001A076D">
        <w:rPr>
          <w:rStyle w:val="Strong"/>
          <w:rFonts w:eastAsiaTheme="majorEastAsia"/>
        </w:rPr>
        <w:t>normality and homoscedasticity</w:t>
      </w:r>
      <w:r w:rsidRPr="001A076D">
        <w:t xml:space="preserve"> of the regression residuals.</w:t>
      </w:r>
    </w:p>
    <w:p w14:paraId="6A56B6C0" w14:textId="486F8209" w:rsidR="00645E0E" w:rsidRPr="001A076D" w:rsidRDefault="00645E0E" w:rsidP="00C44E94">
      <w:pPr>
        <w:pStyle w:val="NormalWeb"/>
        <w:jc w:val="both"/>
      </w:pPr>
      <w:r w:rsidRPr="001A076D">
        <w:lastRenderedPageBreak/>
        <w:t>This is significant because heteroscedasticity or non-linear residual patterns could weaken the validity of regression coefficients. The observed residual patterns therefore support the reliability of the model estimates used to test the study’s hypotheses.</w:t>
      </w:r>
    </w:p>
    <w:p w14:paraId="4CBCA0B8" w14:textId="158C18F4" w:rsidR="00645E0E" w:rsidRPr="001A076D" w:rsidRDefault="00E55DD6" w:rsidP="00E55DD6">
      <w:pPr>
        <w:rPr>
          <w:rStyle w:val="Strong"/>
          <w:rFonts w:eastAsiaTheme="majorEastAsia"/>
        </w:rPr>
      </w:pPr>
      <w:r w:rsidRPr="001A076D">
        <w:rPr>
          <w:rStyle w:val="Strong"/>
          <w:rFonts w:eastAsiaTheme="majorEastAsia"/>
        </w:rPr>
        <w:t>Table A5.15 – Regression Assumptions Diagnostic Summary</w:t>
      </w:r>
    </w:p>
    <w:p w14:paraId="0DD6F04A" w14:textId="77777777" w:rsidR="00E55DD6" w:rsidRPr="001A076D" w:rsidRDefault="00E55DD6" w:rsidP="00E55DD6"/>
    <w:tbl>
      <w:tblPr>
        <w:tblStyle w:val="GridTable1Light"/>
        <w:tblW w:w="0" w:type="auto"/>
        <w:tblLayout w:type="fixed"/>
        <w:tblLook w:val="04A0" w:firstRow="1" w:lastRow="0" w:firstColumn="1" w:lastColumn="0" w:noHBand="0" w:noVBand="1"/>
      </w:tblPr>
      <w:tblGrid>
        <w:gridCol w:w="1936"/>
        <w:gridCol w:w="1663"/>
        <w:gridCol w:w="2066"/>
        <w:gridCol w:w="1742"/>
        <w:gridCol w:w="2035"/>
      </w:tblGrid>
      <w:tr w:rsidR="00057F93" w:rsidRPr="001A076D" w14:paraId="15276A6B" w14:textId="77777777" w:rsidTr="006D3B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38820109" w14:textId="77777777" w:rsidR="00645E0E" w:rsidRPr="001A076D" w:rsidRDefault="00645E0E" w:rsidP="006D3BDE">
            <w:pPr>
              <w:jc w:val="center"/>
            </w:pPr>
            <w:r w:rsidRPr="001A076D">
              <w:t>Assumption</w:t>
            </w:r>
          </w:p>
        </w:tc>
        <w:tc>
          <w:tcPr>
            <w:tcW w:w="1663" w:type="dxa"/>
            <w:vAlign w:val="center"/>
            <w:hideMark/>
          </w:tcPr>
          <w:p w14:paraId="6E6E91E8" w14:textId="77777777" w:rsidR="00645E0E" w:rsidRPr="001A076D" w:rsidRDefault="00645E0E" w:rsidP="006D3BDE">
            <w:pPr>
              <w:jc w:val="center"/>
              <w:cnfStyle w:val="100000000000" w:firstRow="1" w:lastRow="0" w:firstColumn="0" w:lastColumn="0" w:oddVBand="0" w:evenVBand="0" w:oddHBand="0" w:evenHBand="0" w:firstRowFirstColumn="0" w:firstRowLastColumn="0" w:lastRowFirstColumn="0" w:lastRowLastColumn="0"/>
            </w:pPr>
            <w:r w:rsidRPr="001A076D">
              <w:t>Diagnostic Test</w:t>
            </w:r>
          </w:p>
        </w:tc>
        <w:tc>
          <w:tcPr>
            <w:tcW w:w="2066" w:type="dxa"/>
            <w:vAlign w:val="center"/>
            <w:hideMark/>
          </w:tcPr>
          <w:p w14:paraId="22E050BE" w14:textId="77777777" w:rsidR="00645E0E" w:rsidRPr="001A076D" w:rsidRDefault="00645E0E" w:rsidP="006D3BDE">
            <w:pPr>
              <w:jc w:val="center"/>
              <w:cnfStyle w:val="100000000000" w:firstRow="1" w:lastRow="0" w:firstColumn="0" w:lastColumn="0" w:oddVBand="0" w:evenVBand="0" w:oddHBand="0" w:evenHBand="0" w:firstRowFirstColumn="0" w:firstRowLastColumn="0" w:lastRowFirstColumn="0" w:lastRowLastColumn="0"/>
            </w:pPr>
            <w:r w:rsidRPr="001A076D">
              <w:t>Result</w:t>
            </w:r>
          </w:p>
        </w:tc>
        <w:tc>
          <w:tcPr>
            <w:tcW w:w="1742" w:type="dxa"/>
            <w:vAlign w:val="center"/>
            <w:hideMark/>
          </w:tcPr>
          <w:p w14:paraId="12864C3D" w14:textId="77777777" w:rsidR="00645E0E" w:rsidRPr="001A076D" w:rsidRDefault="00645E0E" w:rsidP="006D3BDE">
            <w:pPr>
              <w:jc w:val="center"/>
              <w:cnfStyle w:val="100000000000" w:firstRow="1" w:lastRow="0" w:firstColumn="0" w:lastColumn="0" w:oddVBand="0" w:evenVBand="0" w:oddHBand="0" w:evenHBand="0" w:firstRowFirstColumn="0" w:firstRowLastColumn="0" w:lastRowFirstColumn="0" w:lastRowLastColumn="0"/>
            </w:pPr>
            <w:r w:rsidRPr="001A076D">
              <w:t>Threshold / Guideline</w:t>
            </w:r>
          </w:p>
        </w:tc>
        <w:tc>
          <w:tcPr>
            <w:tcW w:w="2035" w:type="dxa"/>
            <w:vAlign w:val="center"/>
            <w:hideMark/>
          </w:tcPr>
          <w:p w14:paraId="45277103" w14:textId="77777777" w:rsidR="00645E0E" w:rsidRPr="001A076D" w:rsidRDefault="00645E0E" w:rsidP="006D3BDE">
            <w:pPr>
              <w:jc w:val="center"/>
              <w:cnfStyle w:val="100000000000" w:firstRow="1" w:lastRow="0" w:firstColumn="0" w:lastColumn="0" w:oddVBand="0" w:evenVBand="0" w:oddHBand="0" w:evenHBand="0" w:firstRowFirstColumn="0" w:firstRowLastColumn="0" w:lastRowFirstColumn="0" w:lastRowLastColumn="0"/>
            </w:pPr>
            <w:r w:rsidRPr="001A076D">
              <w:t>Interpretation</w:t>
            </w:r>
          </w:p>
        </w:tc>
      </w:tr>
      <w:tr w:rsidR="00057F93" w:rsidRPr="001A076D" w14:paraId="5FA9CAD7"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242A34AF" w14:textId="77777777" w:rsidR="00645E0E" w:rsidRPr="001A076D" w:rsidRDefault="00645E0E" w:rsidP="006D3BDE">
            <w:pPr>
              <w:rPr>
                <w:b w:val="0"/>
                <w:bCs w:val="0"/>
              </w:rPr>
            </w:pPr>
            <w:r w:rsidRPr="001A076D">
              <w:rPr>
                <w:rStyle w:val="Strong"/>
                <w:rFonts w:eastAsiaTheme="majorEastAsia"/>
              </w:rPr>
              <w:t>Normality</w:t>
            </w:r>
          </w:p>
        </w:tc>
        <w:tc>
          <w:tcPr>
            <w:tcW w:w="1663" w:type="dxa"/>
            <w:vAlign w:val="center"/>
            <w:hideMark/>
          </w:tcPr>
          <w:p w14:paraId="0233DEB1"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Kolmogorov–Smirnov and Shapiro–Wilk tests; Q–Q plots</w:t>
            </w:r>
          </w:p>
        </w:tc>
        <w:tc>
          <w:tcPr>
            <w:tcW w:w="2066" w:type="dxa"/>
            <w:vAlign w:val="center"/>
            <w:hideMark/>
          </w:tcPr>
          <w:p w14:paraId="1AF2D9DC" w14:textId="61F2436B"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 xml:space="preserve">Minor deviations from normality; Q–Q </w:t>
            </w:r>
            <w:r w:rsidR="0088535B" w:rsidRPr="001A076D">
              <w:t>plots are</w:t>
            </w:r>
            <w:r w:rsidRPr="001A076D">
              <w:t xml:space="preserve"> approximately linear</w:t>
            </w:r>
          </w:p>
        </w:tc>
        <w:tc>
          <w:tcPr>
            <w:tcW w:w="1742" w:type="dxa"/>
            <w:vAlign w:val="center"/>
            <w:hideMark/>
          </w:tcPr>
          <w:p w14:paraId="719C912E"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Skewness/Kurtosis within ±2</w:t>
            </w:r>
          </w:p>
        </w:tc>
        <w:tc>
          <w:tcPr>
            <w:tcW w:w="2035" w:type="dxa"/>
            <w:vAlign w:val="center"/>
            <w:hideMark/>
          </w:tcPr>
          <w:p w14:paraId="1E7A94C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Data approximates normal distribution; acceptable for regression analysis</w:t>
            </w:r>
          </w:p>
        </w:tc>
      </w:tr>
      <w:tr w:rsidR="00057F93" w:rsidRPr="001A076D" w14:paraId="3B70A6C8"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0FD77752" w14:textId="77777777" w:rsidR="00645E0E" w:rsidRPr="001A076D" w:rsidRDefault="00645E0E" w:rsidP="006D3BDE">
            <w:r w:rsidRPr="001A076D">
              <w:rPr>
                <w:rStyle w:val="Strong"/>
                <w:rFonts w:eastAsiaTheme="majorEastAsia"/>
              </w:rPr>
              <w:t>Residual Distribution</w:t>
            </w:r>
          </w:p>
        </w:tc>
        <w:tc>
          <w:tcPr>
            <w:tcW w:w="1663" w:type="dxa"/>
            <w:vAlign w:val="center"/>
            <w:hideMark/>
          </w:tcPr>
          <w:p w14:paraId="580936C4"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Standardised residual statistics</w:t>
            </w:r>
          </w:p>
        </w:tc>
        <w:tc>
          <w:tcPr>
            <w:tcW w:w="2066" w:type="dxa"/>
            <w:vAlign w:val="center"/>
            <w:hideMark/>
          </w:tcPr>
          <w:p w14:paraId="7486DCF5" w14:textId="0169440E"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 xml:space="preserve">Residuals </w:t>
            </w:r>
            <w:r w:rsidR="0088535B" w:rsidRPr="001A076D">
              <w:t>range from</w:t>
            </w:r>
            <w:r w:rsidRPr="001A076D">
              <w:t xml:space="preserve"> −2.123 to 2.313</w:t>
            </w:r>
          </w:p>
        </w:tc>
        <w:tc>
          <w:tcPr>
            <w:tcW w:w="1742" w:type="dxa"/>
            <w:vAlign w:val="center"/>
            <w:hideMark/>
          </w:tcPr>
          <w:p w14:paraId="74D7A87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Acceptable range ±3.0 (Field, 2018)</w:t>
            </w:r>
          </w:p>
        </w:tc>
        <w:tc>
          <w:tcPr>
            <w:tcW w:w="2035" w:type="dxa"/>
            <w:vAlign w:val="center"/>
            <w:hideMark/>
          </w:tcPr>
          <w:p w14:paraId="106630F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extreme outliers detected</w:t>
            </w:r>
          </w:p>
        </w:tc>
      </w:tr>
      <w:tr w:rsidR="00057F93" w:rsidRPr="001A076D" w14:paraId="7A142C2E"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6BBB0B97" w14:textId="77777777" w:rsidR="00645E0E" w:rsidRPr="001A076D" w:rsidRDefault="00645E0E" w:rsidP="006D3BDE">
            <w:r w:rsidRPr="001A076D">
              <w:rPr>
                <w:rStyle w:val="Strong"/>
                <w:rFonts w:eastAsiaTheme="majorEastAsia"/>
              </w:rPr>
              <w:t>Linearity</w:t>
            </w:r>
          </w:p>
        </w:tc>
        <w:tc>
          <w:tcPr>
            <w:tcW w:w="1663" w:type="dxa"/>
            <w:vAlign w:val="center"/>
            <w:hideMark/>
          </w:tcPr>
          <w:p w14:paraId="01B87DE5"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Scatterplots of predicted vs observed values</w:t>
            </w:r>
          </w:p>
        </w:tc>
        <w:tc>
          <w:tcPr>
            <w:tcW w:w="2066" w:type="dxa"/>
            <w:vAlign w:val="center"/>
            <w:hideMark/>
          </w:tcPr>
          <w:p w14:paraId="1DC26C2C"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Relationships appear approximately linear</w:t>
            </w:r>
          </w:p>
        </w:tc>
        <w:tc>
          <w:tcPr>
            <w:tcW w:w="1742" w:type="dxa"/>
            <w:vAlign w:val="center"/>
            <w:hideMark/>
          </w:tcPr>
          <w:p w14:paraId="46BC8D62"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Linear relationship required</w:t>
            </w:r>
          </w:p>
        </w:tc>
        <w:tc>
          <w:tcPr>
            <w:tcW w:w="2035" w:type="dxa"/>
            <w:vAlign w:val="center"/>
            <w:hideMark/>
          </w:tcPr>
          <w:p w14:paraId="4A88B85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Assumption satisfied</w:t>
            </w:r>
          </w:p>
        </w:tc>
      </w:tr>
      <w:tr w:rsidR="00057F93" w:rsidRPr="001A076D" w14:paraId="58F78926"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72EFCD5B" w14:textId="77777777" w:rsidR="00645E0E" w:rsidRPr="001A076D" w:rsidRDefault="00645E0E" w:rsidP="006D3BDE">
            <w:r w:rsidRPr="001A076D">
              <w:rPr>
                <w:rStyle w:val="Strong"/>
                <w:rFonts w:eastAsiaTheme="majorEastAsia"/>
              </w:rPr>
              <w:t>Homoscedasticity</w:t>
            </w:r>
          </w:p>
        </w:tc>
        <w:tc>
          <w:tcPr>
            <w:tcW w:w="1663" w:type="dxa"/>
            <w:vAlign w:val="center"/>
            <w:hideMark/>
          </w:tcPr>
          <w:p w14:paraId="74A6046E"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Residual scatterplot (ZPRED vs ZRESID)</w:t>
            </w:r>
          </w:p>
        </w:tc>
        <w:tc>
          <w:tcPr>
            <w:tcW w:w="2066" w:type="dxa"/>
            <w:vAlign w:val="center"/>
            <w:hideMark/>
          </w:tcPr>
          <w:p w14:paraId="2004F137"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Residuals randomly dispersed around zero</w:t>
            </w:r>
          </w:p>
        </w:tc>
        <w:tc>
          <w:tcPr>
            <w:tcW w:w="1742" w:type="dxa"/>
            <w:vAlign w:val="center"/>
            <w:hideMark/>
          </w:tcPr>
          <w:p w14:paraId="78A68B31"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funnel pattern</w:t>
            </w:r>
          </w:p>
        </w:tc>
        <w:tc>
          <w:tcPr>
            <w:tcW w:w="2035" w:type="dxa"/>
            <w:vAlign w:val="center"/>
            <w:hideMark/>
          </w:tcPr>
          <w:p w14:paraId="2836CA31"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Constant variance across predictions</w:t>
            </w:r>
          </w:p>
        </w:tc>
      </w:tr>
      <w:tr w:rsidR="00057F93" w:rsidRPr="001A076D" w14:paraId="18D09DA4"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2B555E5B" w14:textId="77777777" w:rsidR="00645E0E" w:rsidRPr="001A076D" w:rsidRDefault="00645E0E" w:rsidP="006D3BDE">
            <w:r w:rsidRPr="001A076D">
              <w:rPr>
                <w:rStyle w:val="Strong"/>
                <w:rFonts w:eastAsiaTheme="majorEastAsia"/>
              </w:rPr>
              <w:t>Multicollinearity</w:t>
            </w:r>
          </w:p>
        </w:tc>
        <w:tc>
          <w:tcPr>
            <w:tcW w:w="1663" w:type="dxa"/>
            <w:vAlign w:val="center"/>
            <w:hideMark/>
          </w:tcPr>
          <w:p w14:paraId="0511A3F3"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Variance Inflation Factor (VIF)</w:t>
            </w:r>
          </w:p>
        </w:tc>
        <w:tc>
          <w:tcPr>
            <w:tcW w:w="2066" w:type="dxa"/>
            <w:vAlign w:val="center"/>
            <w:hideMark/>
          </w:tcPr>
          <w:p w14:paraId="10CB616B"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All predictors &lt; 5</w:t>
            </w:r>
          </w:p>
        </w:tc>
        <w:tc>
          <w:tcPr>
            <w:tcW w:w="1742" w:type="dxa"/>
            <w:vAlign w:val="center"/>
            <w:hideMark/>
          </w:tcPr>
          <w:p w14:paraId="65650BED"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rPr>
                <w:lang w:val="fr-FR"/>
              </w:rPr>
            </w:pPr>
            <w:r w:rsidRPr="001A076D">
              <w:rPr>
                <w:lang w:val="fr-FR"/>
              </w:rPr>
              <w:t>VIF &lt; 5 acceptable (Hair et al., 2019)</w:t>
            </w:r>
          </w:p>
        </w:tc>
        <w:tc>
          <w:tcPr>
            <w:tcW w:w="2035" w:type="dxa"/>
            <w:vAlign w:val="center"/>
            <w:hideMark/>
          </w:tcPr>
          <w:p w14:paraId="70877CEE"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multicollinearity concerns</w:t>
            </w:r>
          </w:p>
        </w:tc>
      </w:tr>
      <w:tr w:rsidR="00057F93" w:rsidRPr="001A076D" w14:paraId="3E448E2A"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163C54B4" w14:textId="77777777" w:rsidR="00645E0E" w:rsidRPr="001A076D" w:rsidRDefault="00645E0E" w:rsidP="006D3BDE">
            <w:r w:rsidRPr="001A076D">
              <w:rPr>
                <w:rStyle w:val="Strong"/>
                <w:rFonts w:eastAsiaTheme="majorEastAsia"/>
              </w:rPr>
              <w:t>Outlier Influence</w:t>
            </w:r>
          </w:p>
        </w:tc>
        <w:tc>
          <w:tcPr>
            <w:tcW w:w="1663" w:type="dxa"/>
            <w:vAlign w:val="center"/>
            <w:hideMark/>
          </w:tcPr>
          <w:p w14:paraId="238A32BE"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Standardised residual inspection</w:t>
            </w:r>
          </w:p>
        </w:tc>
        <w:tc>
          <w:tcPr>
            <w:tcW w:w="2066" w:type="dxa"/>
            <w:vAlign w:val="center"/>
            <w:hideMark/>
          </w:tcPr>
          <w:p w14:paraId="07C96317"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residual exceeds ±3</w:t>
            </w:r>
          </w:p>
        </w:tc>
        <w:tc>
          <w:tcPr>
            <w:tcW w:w="1742" w:type="dxa"/>
            <w:vAlign w:val="center"/>
            <w:hideMark/>
          </w:tcPr>
          <w:p w14:paraId="53EB2872"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±3 threshold</w:t>
            </w:r>
          </w:p>
        </w:tc>
        <w:tc>
          <w:tcPr>
            <w:tcW w:w="2035" w:type="dxa"/>
            <w:vAlign w:val="center"/>
            <w:hideMark/>
          </w:tcPr>
          <w:p w14:paraId="7F7B7500"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No influential extreme cases</w:t>
            </w:r>
          </w:p>
        </w:tc>
      </w:tr>
      <w:tr w:rsidR="00057F93" w:rsidRPr="001A076D" w14:paraId="2687C10C" w14:textId="77777777" w:rsidTr="006D3BDE">
        <w:tc>
          <w:tcPr>
            <w:cnfStyle w:val="001000000000" w:firstRow="0" w:lastRow="0" w:firstColumn="1" w:lastColumn="0" w:oddVBand="0" w:evenVBand="0" w:oddHBand="0" w:evenHBand="0" w:firstRowFirstColumn="0" w:firstRowLastColumn="0" w:lastRowFirstColumn="0" w:lastRowLastColumn="0"/>
            <w:tcW w:w="1936" w:type="dxa"/>
            <w:vAlign w:val="center"/>
            <w:hideMark/>
          </w:tcPr>
          <w:p w14:paraId="670EC330" w14:textId="77777777" w:rsidR="00645E0E" w:rsidRPr="001A076D" w:rsidRDefault="00645E0E" w:rsidP="006D3BDE">
            <w:r w:rsidRPr="001A076D">
              <w:rPr>
                <w:rStyle w:val="Strong"/>
                <w:rFonts w:eastAsiaTheme="majorEastAsia"/>
              </w:rPr>
              <w:t>Model Stability</w:t>
            </w:r>
          </w:p>
        </w:tc>
        <w:tc>
          <w:tcPr>
            <w:tcW w:w="1663" w:type="dxa"/>
            <w:vAlign w:val="center"/>
            <w:hideMark/>
          </w:tcPr>
          <w:p w14:paraId="3C62F1CA"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Residual mean and SD</w:t>
            </w:r>
          </w:p>
        </w:tc>
        <w:tc>
          <w:tcPr>
            <w:tcW w:w="2066" w:type="dxa"/>
            <w:vAlign w:val="center"/>
            <w:hideMark/>
          </w:tcPr>
          <w:p w14:paraId="3AE294B2"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Mean ≈ 0; SD ≈ 0.977</w:t>
            </w:r>
          </w:p>
        </w:tc>
        <w:tc>
          <w:tcPr>
            <w:tcW w:w="1742" w:type="dxa"/>
            <w:vAlign w:val="center"/>
            <w:hideMark/>
          </w:tcPr>
          <w:p w14:paraId="216F40FD"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Mean close to 0 expected</w:t>
            </w:r>
          </w:p>
        </w:tc>
        <w:tc>
          <w:tcPr>
            <w:tcW w:w="2035" w:type="dxa"/>
            <w:vAlign w:val="center"/>
            <w:hideMark/>
          </w:tcPr>
          <w:p w14:paraId="441CF8F6" w14:textId="77777777" w:rsidR="00645E0E" w:rsidRPr="001A076D" w:rsidRDefault="00645E0E" w:rsidP="006D3BDE">
            <w:pPr>
              <w:cnfStyle w:val="000000000000" w:firstRow="0" w:lastRow="0" w:firstColumn="0" w:lastColumn="0" w:oddVBand="0" w:evenVBand="0" w:oddHBand="0" w:evenHBand="0" w:firstRowFirstColumn="0" w:firstRowLastColumn="0" w:lastRowFirstColumn="0" w:lastRowLastColumn="0"/>
            </w:pPr>
            <w:r w:rsidRPr="001A076D">
              <w:t>Residuals behave as expected</w:t>
            </w:r>
          </w:p>
        </w:tc>
      </w:tr>
    </w:tbl>
    <w:p w14:paraId="060D7951" w14:textId="77777777" w:rsidR="00645E0E" w:rsidRPr="001A076D" w:rsidRDefault="00645E0E" w:rsidP="00C44E94">
      <w:pPr>
        <w:pStyle w:val="NormalWeb"/>
        <w:jc w:val="both"/>
      </w:pPr>
      <w:r w:rsidRPr="001A076D">
        <w:t xml:space="preserve">The regression diagnostics indicate that the key statistical assumptions required for multiple regression analysis are sufficiently satisfied. The data demonstrate approximate normality, acceptable residual behaviour, and no evidence of problematic multicollinearity or influential outliers. These results support the validity of the regression model used to examine the relationships between </w:t>
      </w:r>
      <w:r w:rsidRPr="001A076D">
        <w:rPr>
          <w:rStyle w:val="Strong"/>
          <w:rFonts w:eastAsiaTheme="majorEastAsia"/>
          <w:b w:val="0"/>
          <w:bCs w:val="0"/>
        </w:rPr>
        <w:t>Predictive Analytics Capability, Governance Maturity, Trust &amp; Explainability, and Strategic Embedding</w:t>
      </w:r>
      <w:r w:rsidRPr="001A076D">
        <w:rPr>
          <w:b/>
          <w:bCs/>
        </w:rPr>
        <w:t>.</w:t>
      </w:r>
    </w:p>
    <w:p w14:paraId="3BA8D8F7" w14:textId="643BF346" w:rsidR="00645E0E" w:rsidRPr="001A076D" w:rsidRDefault="00645E0E" w:rsidP="00C44E94">
      <w:pPr>
        <w:pStyle w:val="NormalWeb"/>
        <w:jc w:val="both"/>
      </w:pPr>
      <w:r w:rsidRPr="001A076D">
        <w:t xml:space="preserve">Consequently, the findings reported in </w:t>
      </w:r>
      <w:r w:rsidRPr="001A076D">
        <w:rPr>
          <w:rStyle w:val="Strong"/>
          <w:rFonts w:eastAsiaTheme="majorEastAsia"/>
          <w:b w:val="0"/>
          <w:bCs w:val="0"/>
        </w:rPr>
        <w:t>Chapter 4</w:t>
      </w:r>
      <w:r w:rsidRPr="001A076D">
        <w:t xml:space="preserve"> can be interpreted with a reasonable level of statistical confidence.</w:t>
      </w:r>
    </w:p>
    <w:p w14:paraId="1BADDEC9" w14:textId="77777777" w:rsidR="00645E0E" w:rsidRPr="001A076D" w:rsidRDefault="00645E0E" w:rsidP="00645E0E">
      <w:r w:rsidRPr="001A076D">
        <w:rPr>
          <w:rStyle w:val="Strong"/>
          <w:rFonts w:eastAsiaTheme="majorEastAsia"/>
        </w:rPr>
        <w:t>Conclusion of Diagnostic Assessment</w:t>
      </w:r>
    </w:p>
    <w:p w14:paraId="7848823C" w14:textId="77777777" w:rsidR="00645E0E" w:rsidRPr="001A076D" w:rsidRDefault="00645E0E" w:rsidP="00C44E94">
      <w:pPr>
        <w:pStyle w:val="NormalWeb"/>
        <w:jc w:val="both"/>
      </w:pPr>
      <w:r w:rsidRPr="001A076D">
        <w:t>Overall, the regression diagnostics indicate that the key statistical assumptions required for multiple regression analysis are adequately satisfied. Specifically, the analyses demonstrate acceptable levels of:</w:t>
      </w:r>
    </w:p>
    <w:p w14:paraId="0C232CA1" w14:textId="77777777" w:rsidR="00645E0E" w:rsidRPr="001A076D" w:rsidRDefault="00645E0E" w:rsidP="00C44E94">
      <w:pPr>
        <w:pStyle w:val="ListParagraph"/>
        <w:numPr>
          <w:ilvl w:val="0"/>
          <w:numId w:val="46"/>
        </w:numPr>
      </w:pPr>
      <w:r w:rsidRPr="001A076D">
        <w:rPr>
          <w:rStyle w:val="Strong"/>
          <w:rFonts w:eastAsiaTheme="majorEastAsia"/>
        </w:rPr>
        <w:lastRenderedPageBreak/>
        <w:t>Normality</w:t>
      </w:r>
    </w:p>
    <w:p w14:paraId="1EA88C0D" w14:textId="77777777" w:rsidR="00645E0E" w:rsidRPr="001A076D" w:rsidRDefault="00645E0E" w:rsidP="00C44E94">
      <w:pPr>
        <w:pStyle w:val="ListParagraph"/>
        <w:numPr>
          <w:ilvl w:val="0"/>
          <w:numId w:val="46"/>
        </w:numPr>
      </w:pPr>
      <w:r w:rsidRPr="001A076D">
        <w:rPr>
          <w:rStyle w:val="Strong"/>
          <w:rFonts w:eastAsiaTheme="majorEastAsia"/>
        </w:rPr>
        <w:t>Linearity</w:t>
      </w:r>
    </w:p>
    <w:p w14:paraId="42FB2C89" w14:textId="77777777" w:rsidR="00645E0E" w:rsidRPr="001A076D" w:rsidRDefault="00645E0E" w:rsidP="00C44E94">
      <w:pPr>
        <w:pStyle w:val="ListParagraph"/>
        <w:numPr>
          <w:ilvl w:val="0"/>
          <w:numId w:val="46"/>
        </w:numPr>
      </w:pPr>
      <w:r w:rsidRPr="001A076D">
        <w:rPr>
          <w:rStyle w:val="Strong"/>
          <w:rFonts w:eastAsiaTheme="majorEastAsia"/>
        </w:rPr>
        <w:t>Homoscedasticity</w:t>
      </w:r>
    </w:p>
    <w:p w14:paraId="0FEE423D" w14:textId="77777777" w:rsidR="00645E0E" w:rsidRPr="001A076D" w:rsidRDefault="00645E0E" w:rsidP="00C44E94">
      <w:pPr>
        <w:pStyle w:val="ListParagraph"/>
        <w:numPr>
          <w:ilvl w:val="0"/>
          <w:numId w:val="46"/>
        </w:numPr>
      </w:pPr>
      <w:r w:rsidRPr="001A076D">
        <w:rPr>
          <w:rStyle w:val="Strong"/>
          <w:rFonts w:eastAsiaTheme="majorEastAsia"/>
        </w:rPr>
        <w:t>Multicollinearity</w:t>
      </w:r>
    </w:p>
    <w:p w14:paraId="10B92100" w14:textId="60434656" w:rsidR="00645E0E" w:rsidRPr="001A076D" w:rsidRDefault="00645E0E" w:rsidP="00C44E94">
      <w:pPr>
        <w:pStyle w:val="ListParagraph"/>
        <w:numPr>
          <w:ilvl w:val="0"/>
          <w:numId w:val="46"/>
        </w:numPr>
      </w:pPr>
      <w:r w:rsidRPr="001A076D">
        <w:rPr>
          <w:rStyle w:val="Strong"/>
          <w:rFonts w:eastAsiaTheme="majorEastAsia"/>
        </w:rPr>
        <w:t>Outlier influence</w:t>
      </w:r>
    </w:p>
    <w:p w14:paraId="2933B160" w14:textId="77777777" w:rsidR="00645E0E" w:rsidRPr="001A076D" w:rsidRDefault="00645E0E" w:rsidP="00C44E94">
      <w:pPr>
        <w:pStyle w:val="NormalWeb"/>
        <w:jc w:val="both"/>
      </w:pPr>
      <w:r w:rsidRPr="001A076D">
        <w:t xml:space="preserve">The absence of major violations strengthens the credibility of the regression model and increases confidence in the findings presented in Chapter 4. Consequently, the relationships identified between </w:t>
      </w:r>
      <w:r w:rsidRPr="001A076D">
        <w:rPr>
          <w:rStyle w:val="Strong"/>
          <w:rFonts w:eastAsiaTheme="majorEastAsia"/>
          <w:b w:val="0"/>
          <w:bCs w:val="0"/>
        </w:rPr>
        <w:t>governance maturity, trust and explainability, predictive analytics capability, and strategic embedding</w:t>
      </w:r>
      <w:r w:rsidRPr="001A076D">
        <w:t xml:space="preserve"> can be interpreted as statistically reliable within the context of this study.</w:t>
      </w:r>
    </w:p>
    <w:p w14:paraId="3DB403A1" w14:textId="7E6B756E" w:rsidR="007E47DE" w:rsidRPr="001A076D" w:rsidRDefault="007E47DE" w:rsidP="00821279">
      <w:pPr>
        <w:pStyle w:val="Heading2"/>
        <w:jc w:val="both"/>
        <w:rPr>
          <w:rFonts w:ascii="Times New Roman" w:hAnsi="Times New Roman" w:cs="Times New Roman"/>
          <w:b/>
          <w:bCs/>
          <w:color w:val="auto"/>
        </w:rPr>
      </w:pPr>
      <w:bookmarkStart w:id="118" w:name="_Toc236033408"/>
      <w:r w:rsidRPr="001A076D">
        <w:rPr>
          <w:rFonts w:ascii="Times New Roman" w:hAnsi="Times New Roman" w:cs="Times New Roman"/>
          <w:b/>
          <w:bCs/>
          <w:color w:val="auto"/>
        </w:rPr>
        <w:t xml:space="preserve">Appendix 6: </w:t>
      </w:r>
      <w:r w:rsidR="007F3767" w:rsidRPr="001A076D">
        <w:rPr>
          <w:rFonts w:ascii="Times New Roman" w:hAnsi="Times New Roman" w:cs="Times New Roman"/>
          <w:b/>
          <w:bCs/>
          <w:color w:val="auto"/>
        </w:rPr>
        <w:t>NVivo Qualitative Coding Framework and Outputs</w:t>
      </w:r>
      <w:bookmarkEnd w:id="118"/>
    </w:p>
    <w:p w14:paraId="7D640E6E" w14:textId="0C16C9C0" w:rsidR="007E47DE" w:rsidRPr="001A076D" w:rsidRDefault="00821279" w:rsidP="00821279">
      <w:pPr>
        <w:pStyle w:val="pdq2pgselectionanchorcontainer"/>
        <w:jc w:val="both"/>
      </w:pPr>
      <w:r>
        <w:t xml:space="preserve">This appendix presents the NVivo coding framework and analytical outputs used to support the thematic analysis of the qualitative interview data. It includes the hierarchical codebook, coding density statistics, thematic relationship matrices, and NVivo query outputs that document the development and validation of the study's themes. These materials provide an audit trail for the qualitative analysis and support the credibility and trustworthiness of the findings presented in Chapter 4. </w:t>
      </w:r>
    </w:p>
    <w:p w14:paraId="3DFC032B" w14:textId="77777777" w:rsidR="007E47DE" w:rsidRPr="001A076D" w:rsidRDefault="007E47DE" w:rsidP="00821279">
      <w:pPr>
        <w:jc w:val="both"/>
        <w:rPr>
          <w:b/>
          <w:bCs/>
        </w:rPr>
      </w:pPr>
      <w:r w:rsidRPr="001A076D">
        <w:rPr>
          <w:b/>
          <w:bCs/>
        </w:rPr>
        <w:t>A6.1 NVivo Codebook (Full Thematic Framework)</w:t>
      </w:r>
    </w:p>
    <w:p w14:paraId="334CD9C5" w14:textId="61467E13" w:rsidR="00821279" w:rsidRPr="001A076D" w:rsidRDefault="00821279" w:rsidP="00821279">
      <w:pPr>
        <w:pStyle w:val="pdq2pgselectionanchorcontainer"/>
        <w:jc w:val="both"/>
      </w:pPr>
      <w:r>
        <w:t xml:space="preserve">The table below presents the hierarchical coding framework developed through the thematic analysis of the interview data. The </w:t>
      </w:r>
      <w:r>
        <w:rPr>
          <w:rStyle w:val="Strong"/>
        </w:rPr>
        <w:t>Sources</w:t>
      </w:r>
      <w:r>
        <w:t xml:space="preserve"> column indicates the number of participant interviews in which each code or theme appears, while the </w:t>
      </w:r>
      <w:r>
        <w:rPr>
          <w:rStyle w:val="Strong"/>
        </w:rPr>
        <w:t>References</w:t>
      </w:r>
      <w:r>
        <w:t xml:space="preserve"> column shows the total number of coded excerpts assigned to each theme. Together, these measures illustrate the relative prominence and distribution of themes across the qualitative dataset. </w:t>
      </w:r>
    </w:p>
    <w:p w14:paraId="7145D34C" w14:textId="77777777" w:rsidR="00031EBE" w:rsidRPr="001A076D" w:rsidRDefault="00031EBE" w:rsidP="00031EBE">
      <w:pPr>
        <w:rPr>
          <w:b/>
          <w:bCs/>
        </w:rPr>
      </w:pPr>
      <w:r w:rsidRPr="001A076D">
        <w:rPr>
          <w:b/>
          <w:bCs/>
        </w:rPr>
        <w:t>Table A6.1 – NVivo Codebook with Coding Density</w:t>
      </w:r>
    </w:p>
    <w:p w14:paraId="1EC7F5AF" w14:textId="77777777" w:rsidR="00031EBE" w:rsidRPr="001A076D" w:rsidRDefault="00031EBE" w:rsidP="00031EBE"/>
    <w:tbl>
      <w:tblPr>
        <w:tblStyle w:val="GridTable1Light"/>
        <w:tblW w:w="0" w:type="auto"/>
        <w:tblLook w:val="04A0" w:firstRow="1" w:lastRow="0" w:firstColumn="1" w:lastColumn="0" w:noHBand="0" w:noVBand="1"/>
      </w:tblPr>
      <w:tblGrid>
        <w:gridCol w:w="3417"/>
        <w:gridCol w:w="3673"/>
        <w:gridCol w:w="1016"/>
        <w:gridCol w:w="1336"/>
      </w:tblGrid>
      <w:tr w:rsidR="00057F93" w:rsidRPr="001A076D" w14:paraId="33D9DB52" w14:textId="77777777" w:rsidTr="00704790">
        <w:trPr>
          <w:cnfStyle w:val="100000000000" w:firstRow="1" w:lastRow="0" w:firstColumn="0" w:lastColumn="0" w:oddVBand="0" w:evenVBand="0" w:oddHBand="0"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782903C7" w14:textId="77777777" w:rsidR="00031EBE" w:rsidRPr="001A076D" w:rsidRDefault="00031EBE" w:rsidP="00704790">
            <w:pPr>
              <w:jc w:val="center"/>
            </w:pPr>
            <w:r w:rsidRPr="001A076D">
              <w:t>Code</w:t>
            </w:r>
          </w:p>
        </w:tc>
        <w:tc>
          <w:tcPr>
            <w:tcW w:w="4260" w:type="dxa"/>
            <w:vAlign w:val="center"/>
            <w:hideMark/>
          </w:tcPr>
          <w:p w14:paraId="5882D4E4" w14:textId="77777777" w:rsidR="00031EBE" w:rsidRPr="001A076D" w:rsidRDefault="00031EBE" w:rsidP="00704790">
            <w:pPr>
              <w:jc w:val="center"/>
              <w:cnfStyle w:val="100000000000" w:firstRow="1" w:lastRow="0" w:firstColumn="0" w:lastColumn="0" w:oddVBand="0" w:evenVBand="0" w:oddHBand="0" w:evenHBand="0" w:firstRowFirstColumn="0" w:firstRowLastColumn="0" w:lastRowFirstColumn="0" w:lastRowLastColumn="0"/>
            </w:pPr>
            <w:r w:rsidRPr="001A076D">
              <w:t>Description</w:t>
            </w:r>
          </w:p>
        </w:tc>
        <w:tc>
          <w:tcPr>
            <w:tcW w:w="0" w:type="auto"/>
            <w:vAlign w:val="center"/>
            <w:hideMark/>
          </w:tcPr>
          <w:p w14:paraId="2E2E0260" w14:textId="77777777" w:rsidR="00031EBE" w:rsidRPr="001A076D" w:rsidRDefault="00031EBE" w:rsidP="00704790">
            <w:pPr>
              <w:jc w:val="center"/>
              <w:cnfStyle w:val="100000000000" w:firstRow="1" w:lastRow="0" w:firstColumn="0" w:lastColumn="0" w:oddVBand="0" w:evenVBand="0" w:oddHBand="0" w:evenHBand="0" w:firstRowFirstColumn="0" w:firstRowLastColumn="0" w:lastRowFirstColumn="0" w:lastRowLastColumn="0"/>
            </w:pPr>
            <w:r w:rsidRPr="001A076D">
              <w:t>Sources</w:t>
            </w:r>
          </w:p>
        </w:tc>
        <w:tc>
          <w:tcPr>
            <w:tcW w:w="0" w:type="auto"/>
            <w:vAlign w:val="center"/>
            <w:hideMark/>
          </w:tcPr>
          <w:p w14:paraId="361DE4A8" w14:textId="77777777" w:rsidR="00031EBE" w:rsidRPr="001A076D" w:rsidRDefault="00031EBE" w:rsidP="00704790">
            <w:pPr>
              <w:jc w:val="center"/>
              <w:cnfStyle w:val="100000000000" w:firstRow="1" w:lastRow="0" w:firstColumn="0" w:lastColumn="0" w:oddVBand="0" w:evenVBand="0" w:oddHBand="0" w:evenHBand="0" w:firstRowFirstColumn="0" w:firstRowLastColumn="0" w:lastRowFirstColumn="0" w:lastRowLastColumn="0"/>
            </w:pPr>
            <w:r w:rsidRPr="001A076D">
              <w:t>References</w:t>
            </w:r>
          </w:p>
        </w:tc>
      </w:tr>
      <w:tr w:rsidR="00057F93" w:rsidRPr="001A076D" w14:paraId="6FBEEAF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7BFADE8" w14:textId="77777777" w:rsidR="00031EBE" w:rsidRPr="001A076D" w:rsidRDefault="00031EBE" w:rsidP="00704790">
            <w:proofErr w:type="spellStart"/>
            <w:r w:rsidRPr="001A076D">
              <w:rPr>
                <w:rStyle w:val="Strong"/>
                <w:rFonts w:eastAsiaTheme="majorEastAsia"/>
              </w:rPr>
              <w:t>Barriers_Enablers</w:t>
            </w:r>
            <w:proofErr w:type="spellEnd"/>
          </w:p>
        </w:tc>
        <w:tc>
          <w:tcPr>
            <w:tcW w:w="4260" w:type="dxa"/>
            <w:vAlign w:val="center"/>
            <w:hideMark/>
          </w:tcPr>
          <w:p w14:paraId="1F7F844F"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Factors that either constrain or facilitate the embedding of predictive analytics in strategic decision-making.</w:t>
            </w:r>
          </w:p>
        </w:tc>
        <w:tc>
          <w:tcPr>
            <w:tcW w:w="0" w:type="auto"/>
            <w:vAlign w:val="center"/>
            <w:hideMark/>
          </w:tcPr>
          <w:p w14:paraId="7A039B2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7764C3F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26</w:t>
            </w:r>
          </w:p>
        </w:tc>
      </w:tr>
      <w:tr w:rsidR="00057F93" w:rsidRPr="001A076D" w14:paraId="06AF3DE5"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A48F8E6" w14:textId="77777777" w:rsidR="00031EBE" w:rsidRPr="001A076D" w:rsidRDefault="00031EBE" w:rsidP="00704790">
            <w:proofErr w:type="spellStart"/>
            <w:r w:rsidRPr="001A076D">
              <w:t>Competing_Priorities</w:t>
            </w:r>
            <w:proofErr w:type="spellEnd"/>
          </w:p>
        </w:tc>
        <w:tc>
          <w:tcPr>
            <w:tcW w:w="4260" w:type="dxa"/>
            <w:vAlign w:val="center"/>
            <w:hideMark/>
          </w:tcPr>
          <w:p w14:paraId="2C814A1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Operational and commercial pressures limiting attention to analytics integration.</w:t>
            </w:r>
          </w:p>
        </w:tc>
        <w:tc>
          <w:tcPr>
            <w:tcW w:w="0" w:type="auto"/>
            <w:vAlign w:val="center"/>
            <w:hideMark/>
          </w:tcPr>
          <w:p w14:paraId="77038F6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w:t>
            </w:r>
          </w:p>
        </w:tc>
        <w:tc>
          <w:tcPr>
            <w:tcW w:w="0" w:type="auto"/>
            <w:vAlign w:val="center"/>
            <w:hideMark/>
          </w:tcPr>
          <w:p w14:paraId="5EA1F7E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w:t>
            </w:r>
          </w:p>
        </w:tc>
      </w:tr>
      <w:tr w:rsidR="00057F93" w:rsidRPr="001A076D" w14:paraId="7C2F506E"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BE634CA" w14:textId="77777777" w:rsidR="00031EBE" w:rsidRPr="001A076D" w:rsidRDefault="00031EBE" w:rsidP="00704790">
            <w:proofErr w:type="spellStart"/>
            <w:r w:rsidRPr="001A076D">
              <w:t>Compliance_Overreach</w:t>
            </w:r>
            <w:proofErr w:type="spellEnd"/>
          </w:p>
        </w:tc>
        <w:tc>
          <w:tcPr>
            <w:tcW w:w="4260" w:type="dxa"/>
            <w:vAlign w:val="center"/>
            <w:hideMark/>
          </w:tcPr>
          <w:p w14:paraId="1983DE8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Perception that excessive regulatory caution slows analytics innovation or deployment.</w:t>
            </w:r>
          </w:p>
        </w:tc>
        <w:tc>
          <w:tcPr>
            <w:tcW w:w="0" w:type="auto"/>
            <w:vAlign w:val="center"/>
            <w:hideMark/>
          </w:tcPr>
          <w:p w14:paraId="72FBF2B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469C7B3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09304D5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E2D844C" w14:textId="77777777" w:rsidR="00031EBE" w:rsidRPr="001A076D" w:rsidRDefault="00031EBE" w:rsidP="00704790">
            <w:proofErr w:type="spellStart"/>
            <w:r w:rsidRPr="001A076D">
              <w:t>Cultural_Resistance</w:t>
            </w:r>
            <w:proofErr w:type="spellEnd"/>
          </w:p>
        </w:tc>
        <w:tc>
          <w:tcPr>
            <w:tcW w:w="4260" w:type="dxa"/>
            <w:vAlign w:val="center"/>
            <w:hideMark/>
          </w:tcPr>
          <w:p w14:paraId="7339268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Reluctance to rely on data-driven insights over established practices.</w:t>
            </w:r>
          </w:p>
        </w:tc>
        <w:tc>
          <w:tcPr>
            <w:tcW w:w="0" w:type="auto"/>
            <w:vAlign w:val="center"/>
            <w:hideMark/>
          </w:tcPr>
          <w:p w14:paraId="72872D5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46E2E32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28221A2C"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D12FE96" w14:textId="77777777" w:rsidR="00031EBE" w:rsidRPr="001A076D" w:rsidRDefault="00031EBE" w:rsidP="00704790">
            <w:proofErr w:type="spellStart"/>
            <w:r w:rsidRPr="001A076D">
              <w:t>Data_Silos</w:t>
            </w:r>
            <w:proofErr w:type="spellEnd"/>
          </w:p>
        </w:tc>
        <w:tc>
          <w:tcPr>
            <w:tcW w:w="4260" w:type="dxa"/>
            <w:vAlign w:val="center"/>
            <w:hideMark/>
          </w:tcPr>
          <w:p w14:paraId="7CBD720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Fragmented systems and ownership limiting cross-functional data integration.</w:t>
            </w:r>
          </w:p>
        </w:tc>
        <w:tc>
          <w:tcPr>
            <w:tcW w:w="0" w:type="auto"/>
            <w:vAlign w:val="center"/>
            <w:hideMark/>
          </w:tcPr>
          <w:p w14:paraId="0ACC062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5013F16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1AD29CA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F52E493" w14:textId="77777777" w:rsidR="00031EBE" w:rsidRPr="001A076D" w:rsidRDefault="00031EBE" w:rsidP="00704790">
            <w:proofErr w:type="spellStart"/>
            <w:r w:rsidRPr="001A076D">
              <w:t>Executive_Sponsorship</w:t>
            </w:r>
            <w:proofErr w:type="spellEnd"/>
          </w:p>
        </w:tc>
        <w:tc>
          <w:tcPr>
            <w:tcW w:w="4260" w:type="dxa"/>
            <w:vAlign w:val="center"/>
            <w:hideMark/>
          </w:tcPr>
          <w:p w14:paraId="6A17A607"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Active senior leadership advocacy for predictive analytics adoption.</w:t>
            </w:r>
          </w:p>
        </w:tc>
        <w:tc>
          <w:tcPr>
            <w:tcW w:w="0" w:type="auto"/>
            <w:vAlign w:val="center"/>
            <w:hideMark/>
          </w:tcPr>
          <w:p w14:paraId="28495773"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c>
          <w:tcPr>
            <w:tcW w:w="0" w:type="auto"/>
            <w:vAlign w:val="center"/>
            <w:hideMark/>
          </w:tcPr>
          <w:p w14:paraId="20ACA8C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r>
      <w:tr w:rsidR="00057F93" w:rsidRPr="001A076D" w14:paraId="5AC3D775"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CD07069" w14:textId="77777777" w:rsidR="00031EBE" w:rsidRPr="001A076D" w:rsidRDefault="00031EBE" w:rsidP="00704790">
            <w:proofErr w:type="spellStart"/>
            <w:r w:rsidRPr="001A076D">
              <w:lastRenderedPageBreak/>
              <w:t>Governance_By_Design</w:t>
            </w:r>
            <w:proofErr w:type="spellEnd"/>
          </w:p>
        </w:tc>
        <w:tc>
          <w:tcPr>
            <w:tcW w:w="4260" w:type="dxa"/>
            <w:vAlign w:val="center"/>
            <w:hideMark/>
          </w:tcPr>
          <w:p w14:paraId="03753966"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Embedding governance controls within analytics development processes.</w:t>
            </w:r>
          </w:p>
        </w:tc>
        <w:tc>
          <w:tcPr>
            <w:tcW w:w="0" w:type="auto"/>
            <w:vAlign w:val="center"/>
            <w:hideMark/>
          </w:tcPr>
          <w:p w14:paraId="4327BBF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c>
          <w:tcPr>
            <w:tcW w:w="0" w:type="auto"/>
            <w:vAlign w:val="center"/>
            <w:hideMark/>
          </w:tcPr>
          <w:p w14:paraId="66620E1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r>
      <w:tr w:rsidR="00057F93" w:rsidRPr="001A076D" w14:paraId="697D99DF"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62D7F71" w14:textId="77777777" w:rsidR="00031EBE" w:rsidRPr="001A076D" w:rsidRDefault="00031EBE" w:rsidP="00704790">
            <w:proofErr w:type="spellStart"/>
            <w:r w:rsidRPr="001A076D">
              <w:t>Legacy_Systems</w:t>
            </w:r>
            <w:proofErr w:type="spellEnd"/>
          </w:p>
        </w:tc>
        <w:tc>
          <w:tcPr>
            <w:tcW w:w="4260" w:type="dxa"/>
            <w:vAlign w:val="center"/>
            <w:hideMark/>
          </w:tcPr>
          <w:p w14:paraId="3A7EE705"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Outdated infrastructure constraining analytics scalability and integration.</w:t>
            </w:r>
          </w:p>
        </w:tc>
        <w:tc>
          <w:tcPr>
            <w:tcW w:w="0" w:type="auto"/>
            <w:vAlign w:val="center"/>
            <w:hideMark/>
          </w:tcPr>
          <w:p w14:paraId="317183E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6ADE33FE"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4433FD53"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284F0EF" w14:textId="77777777" w:rsidR="00031EBE" w:rsidRPr="001A076D" w:rsidRDefault="00031EBE" w:rsidP="00704790">
            <w:proofErr w:type="spellStart"/>
            <w:r w:rsidRPr="001A076D">
              <w:t>Low_Data_Literacy</w:t>
            </w:r>
            <w:proofErr w:type="spellEnd"/>
          </w:p>
        </w:tc>
        <w:tc>
          <w:tcPr>
            <w:tcW w:w="4260" w:type="dxa"/>
            <w:vAlign w:val="center"/>
            <w:hideMark/>
          </w:tcPr>
          <w:p w14:paraId="111BAA0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Limited understanding of analytics outputs and assumptions.</w:t>
            </w:r>
          </w:p>
        </w:tc>
        <w:tc>
          <w:tcPr>
            <w:tcW w:w="0" w:type="auto"/>
            <w:vAlign w:val="center"/>
            <w:hideMark/>
          </w:tcPr>
          <w:p w14:paraId="6D56F15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3B764B5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08A6268D"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98A3B03" w14:textId="77777777" w:rsidR="00031EBE" w:rsidRPr="001A076D" w:rsidRDefault="00031EBE" w:rsidP="00704790">
            <w:proofErr w:type="spellStart"/>
            <w:r w:rsidRPr="001A076D">
              <w:t>Resource_Constraints</w:t>
            </w:r>
            <w:proofErr w:type="spellEnd"/>
          </w:p>
        </w:tc>
        <w:tc>
          <w:tcPr>
            <w:tcW w:w="4260" w:type="dxa"/>
            <w:vAlign w:val="center"/>
            <w:hideMark/>
          </w:tcPr>
          <w:p w14:paraId="67069E1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Insufficient financial, technical, or human resources to scale analytics.</w:t>
            </w:r>
          </w:p>
        </w:tc>
        <w:tc>
          <w:tcPr>
            <w:tcW w:w="0" w:type="auto"/>
            <w:vAlign w:val="center"/>
            <w:hideMark/>
          </w:tcPr>
          <w:p w14:paraId="03EC5E9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1DF6304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2F28819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6921A924" w14:textId="77777777" w:rsidR="00031EBE" w:rsidRPr="001A076D" w:rsidRDefault="00031EBE" w:rsidP="00704790">
            <w:proofErr w:type="spellStart"/>
            <w:r w:rsidRPr="001A076D">
              <w:rPr>
                <w:rStyle w:val="Strong"/>
                <w:rFonts w:eastAsiaTheme="majorEastAsia"/>
              </w:rPr>
              <w:t>Governance_Maturity</w:t>
            </w:r>
            <w:proofErr w:type="spellEnd"/>
          </w:p>
        </w:tc>
        <w:tc>
          <w:tcPr>
            <w:tcW w:w="4260" w:type="dxa"/>
            <w:vAlign w:val="center"/>
            <w:hideMark/>
          </w:tcPr>
          <w:p w14:paraId="4B62B39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Structured governance practices enhancing accountability and transparency.</w:t>
            </w:r>
          </w:p>
        </w:tc>
        <w:tc>
          <w:tcPr>
            <w:tcW w:w="0" w:type="auto"/>
            <w:vAlign w:val="center"/>
            <w:hideMark/>
          </w:tcPr>
          <w:p w14:paraId="2490050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441D328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53</w:t>
            </w:r>
          </w:p>
        </w:tc>
      </w:tr>
      <w:tr w:rsidR="00057F93" w:rsidRPr="001A076D" w14:paraId="66ECBEF6"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FFF82AC" w14:textId="77777777" w:rsidR="00031EBE" w:rsidRPr="001A076D" w:rsidRDefault="00031EBE" w:rsidP="00704790">
            <w:proofErr w:type="spellStart"/>
            <w:r w:rsidRPr="001A076D">
              <w:t>Data_Ownership_Clarity</w:t>
            </w:r>
            <w:proofErr w:type="spellEnd"/>
          </w:p>
        </w:tc>
        <w:tc>
          <w:tcPr>
            <w:tcW w:w="4260" w:type="dxa"/>
            <w:vAlign w:val="center"/>
            <w:hideMark/>
          </w:tcPr>
          <w:p w14:paraId="4844E90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Clear accountability for data assets and outputs.</w:t>
            </w:r>
          </w:p>
        </w:tc>
        <w:tc>
          <w:tcPr>
            <w:tcW w:w="0" w:type="auto"/>
            <w:vAlign w:val="center"/>
            <w:hideMark/>
          </w:tcPr>
          <w:p w14:paraId="16ABDA7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59E9519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14890B0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366D5C9" w14:textId="77777777" w:rsidR="00031EBE" w:rsidRPr="001A076D" w:rsidRDefault="00031EBE" w:rsidP="00704790">
            <w:proofErr w:type="spellStart"/>
            <w:r w:rsidRPr="001A076D">
              <w:t>Data_Quality_Management</w:t>
            </w:r>
            <w:proofErr w:type="spellEnd"/>
          </w:p>
        </w:tc>
        <w:tc>
          <w:tcPr>
            <w:tcW w:w="4260" w:type="dxa"/>
            <w:vAlign w:val="center"/>
            <w:hideMark/>
          </w:tcPr>
          <w:p w14:paraId="3B24418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Processes ensuring data accuracy and reliability.</w:t>
            </w:r>
          </w:p>
        </w:tc>
        <w:tc>
          <w:tcPr>
            <w:tcW w:w="0" w:type="auto"/>
            <w:vAlign w:val="center"/>
            <w:hideMark/>
          </w:tcPr>
          <w:p w14:paraId="78F1E89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7376182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45E602DC"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6877C475" w14:textId="77777777" w:rsidR="00031EBE" w:rsidRPr="001A076D" w:rsidRDefault="00031EBE" w:rsidP="00704790">
            <w:proofErr w:type="spellStart"/>
            <w:r w:rsidRPr="001A076D">
              <w:t>Governance_Accountability</w:t>
            </w:r>
            <w:proofErr w:type="spellEnd"/>
          </w:p>
        </w:tc>
        <w:tc>
          <w:tcPr>
            <w:tcW w:w="4260" w:type="dxa"/>
            <w:vAlign w:val="center"/>
            <w:hideMark/>
          </w:tcPr>
          <w:p w14:paraId="55B8A4F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Formal oversight mechanisms for analytics governance.</w:t>
            </w:r>
          </w:p>
        </w:tc>
        <w:tc>
          <w:tcPr>
            <w:tcW w:w="0" w:type="auto"/>
            <w:vAlign w:val="center"/>
            <w:hideMark/>
          </w:tcPr>
          <w:p w14:paraId="279D066D"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4E0C38A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11569C59"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408817F" w14:textId="77777777" w:rsidR="00031EBE" w:rsidRPr="001A076D" w:rsidRDefault="00031EBE" w:rsidP="00704790">
            <w:proofErr w:type="spellStart"/>
            <w:r w:rsidRPr="001A076D">
              <w:t>Governance_By_Design</w:t>
            </w:r>
            <w:proofErr w:type="spellEnd"/>
          </w:p>
        </w:tc>
        <w:tc>
          <w:tcPr>
            <w:tcW w:w="4260" w:type="dxa"/>
            <w:vAlign w:val="center"/>
            <w:hideMark/>
          </w:tcPr>
          <w:p w14:paraId="755CBB3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Proactive integration of governance standards in analytics.</w:t>
            </w:r>
          </w:p>
        </w:tc>
        <w:tc>
          <w:tcPr>
            <w:tcW w:w="0" w:type="auto"/>
            <w:vAlign w:val="center"/>
            <w:hideMark/>
          </w:tcPr>
          <w:p w14:paraId="018794F6"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496A62A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5D67A53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2B8C9D0" w14:textId="77777777" w:rsidR="00031EBE" w:rsidRPr="001A076D" w:rsidRDefault="00031EBE" w:rsidP="00704790">
            <w:proofErr w:type="spellStart"/>
            <w:r w:rsidRPr="001A076D">
              <w:t>Governance_Friction</w:t>
            </w:r>
            <w:proofErr w:type="spellEnd"/>
          </w:p>
        </w:tc>
        <w:tc>
          <w:tcPr>
            <w:tcW w:w="4260" w:type="dxa"/>
            <w:vAlign w:val="center"/>
            <w:hideMark/>
          </w:tcPr>
          <w:p w14:paraId="46231557"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Operational complexity created by governance requirements.</w:t>
            </w:r>
          </w:p>
        </w:tc>
        <w:tc>
          <w:tcPr>
            <w:tcW w:w="0" w:type="auto"/>
            <w:vAlign w:val="center"/>
            <w:hideMark/>
          </w:tcPr>
          <w:p w14:paraId="4AF6903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700726C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16A545B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6C3A11A9" w14:textId="77777777" w:rsidR="00031EBE" w:rsidRPr="001A076D" w:rsidRDefault="00031EBE" w:rsidP="00704790">
            <w:proofErr w:type="spellStart"/>
            <w:r w:rsidRPr="001A076D">
              <w:t>Lineage_Visibility</w:t>
            </w:r>
            <w:proofErr w:type="spellEnd"/>
          </w:p>
        </w:tc>
        <w:tc>
          <w:tcPr>
            <w:tcW w:w="4260" w:type="dxa"/>
            <w:vAlign w:val="center"/>
            <w:hideMark/>
          </w:tcPr>
          <w:p w14:paraId="0AC462B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Transparency of data sources and transformations.</w:t>
            </w:r>
          </w:p>
        </w:tc>
        <w:tc>
          <w:tcPr>
            <w:tcW w:w="0" w:type="auto"/>
            <w:vAlign w:val="center"/>
            <w:hideMark/>
          </w:tcPr>
          <w:p w14:paraId="2B0B52D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6C766FA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4A286AAF"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5D6F2E74" w14:textId="77777777" w:rsidR="00031EBE" w:rsidRPr="001A076D" w:rsidRDefault="00031EBE" w:rsidP="00704790">
            <w:proofErr w:type="spellStart"/>
            <w:r w:rsidRPr="001A076D">
              <w:t>Policy_Formalisation</w:t>
            </w:r>
            <w:proofErr w:type="spellEnd"/>
          </w:p>
        </w:tc>
        <w:tc>
          <w:tcPr>
            <w:tcW w:w="4260" w:type="dxa"/>
            <w:vAlign w:val="center"/>
            <w:hideMark/>
          </w:tcPr>
          <w:p w14:paraId="0D55F6D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Documented governance policies guiding analytics usage.</w:t>
            </w:r>
          </w:p>
        </w:tc>
        <w:tc>
          <w:tcPr>
            <w:tcW w:w="0" w:type="auto"/>
            <w:vAlign w:val="center"/>
            <w:hideMark/>
          </w:tcPr>
          <w:p w14:paraId="35EBD373"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331BBCD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0A1D1424"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B91889B" w14:textId="77777777" w:rsidR="00031EBE" w:rsidRPr="001A076D" w:rsidRDefault="00031EBE" w:rsidP="00704790">
            <w:proofErr w:type="spellStart"/>
            <w:r w:rsidRPr="001A076D">
              <w:t>Quality_Metrics</w:t>
            </w:r>
            <w:proofErr w:type="spellEnd"/>
          </w:p>
        </w:tc>
        <w:tc>
          <w:tcPr>
            <w:tcW w:w="4260" w:type="dxa"/>
            <w:vAlign w:val="center"/>
            <w:hideMark/>
          </w:tcPr>
          <w:p w14:paraId="69324B4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Indicators used to assess data and model quality.</w:t>
            </w:r>
          </w:p>
        </w:tc>
        <w:tc>
          <w:tcPr>
            <w:tcW w:w="0" w:type="auto"/>
            <w:vAlign w:val="center"/>
            <w:hideMark/>
          </w:tcPr>
          <w:p w14:paraId="497F63C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c>
          <w:tcPr>
            <w:tcW w:w="0" w:type="auto"/>
            <w:vAlign w:val="center"/>
            <w:hideMark/>
          </w:tcPr>
          <w:p w14:paraId="3724640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r>
      <w:tr w:rsidR="00057F93" w:rsidRPr="001A076D" w14:paraId="662A840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89A6F24" w14:textId="77777777" w:rsidR="00031EBE" w:rsidRPr="001A076D" w:rsidRDefault="00031EBE" w:rsidP="00704790">
            <w:proofErr w:type="spellStart"/>
            <w:r w:rsidRPr="001A076D">
              <w:t>Regulatory_Defensibility</w:t>
            </w:r>
            <w:proofErr w:type="spellEnd"/>
          </w:p>
        </w:tc>
        <w:tc>
          <w:tcPr>
            <w:tcW w:w="4260" w:type="dxa"/>
            <w:vAlign w:val="center"/>
            <w:hideMark/>
          </w:tcPr>
          <w:p w14:paraId="77A6652F"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Ability to justify analytics outputs in regulatory contexts.</w:t>
            </w:r>
          </w:p>
        </w:tc>
        <w:tc>
          <w:tcPr>
            <w:tcW w:w="0" w:type="auto"/>
            <w:vAlign w:val="center"/>
            <w:hideMark/>
          </w:tcPr>
          <w:p w14:paraId="4584A34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0C77ACBD"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13118BF1"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8172728" w14:textId="77777777" w:rsidR="00031EBE" w:rsidRPr="001A076D" w:rsidRDefault="00031EBE" w:rsidP="00704790">
            <w:proofErr w:type="spellStart"/>
            <w:r w:rsidRPr="001A076D">
              <w:rPr>
                <w:rStyle w:val="Strong"/>
                <w:rFonts w:eastAsiaTheme="majorEastAsia"/>
              </w:rPr>
              <w:t>Organisational_Readiness</w:t>
            </w:r>
            <w:proofErr w:type="spellEnd"/>
          </w:p>
        </w:tc>
        <w:tc>
          <w:tcPr>
            <w:tcW w:w="4260" w:type="dxa"/>
            <w:vAlign w:val="center"/>
            <w:hideMark/>
          </w:tcPr>
          <w:p w14:paraId="7B45E89E"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Extent to which leadership and culture support analytics adoption.</w:t>
            </w:r>
          </w:p>
        </w:tc>
        <w:tc>
          <w:tcPr>
            <w:tcW w:w="0" w:type="auto"/>
            <w:vAlign w:val="center"/>
            <w:hideMark/>
          </w:tcPr>
          <w:p w14:paraId="43F9F35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66F9AA9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32</w:t>
            </w:r>
          </w:p>
        </w:tc>
      </w:tr>
      <w:tr w:rsidR="00057F93" w:rsidRPr="001A076D" w14:paraId="367A558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3325B6B" w14:textId="77777777" w:rsidR="00031EBE" w:rsidRPr="001A076D" w:rsidRDefault="00031EBE" w:rsidP="00704790">
            <w:proofErr w:type="spellStart"/>
            <w:r w:rsidRPr="001A076D">
              <w:t>Analytical_Skills_Capability</w:t>
            </w:r>
            <w:proofErr w:type="spellEnd"/>
          </w:p>
        </w:tc>
        <w:tc>
          <w:tcPr>
            <w:tcW w:w="4260" w:type="dxa"/>
            <w:vAlign w:val="center"/>
            <w:hideMark/>
          </w:tcPr>
          <w:p w14:paraId="5DE9DA8E"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Availability of personnel with analytics expertise.</w:t>
            </w:r>
          </w:p>
        </w:tc>
        <w:tc>
          <w:tcPr>
            <w:tcW w:w="0" w:type="auto"/>
            <w:vAlign w:val="center"/>
            <w:hideMark/>
          </w:tcPr>
          <w:p w14:paraId="6F726CC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13C2E28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0C41F86F"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E2EE944" w14:textId="77777777" w:rsidR="00031EBE" w:rsidRPr="001A076D" w:rsidRDefault="00031EBE" w:rsidP="00704790">
            <w:proofErr w:type="spellStart"/>
            <w:r w:rsidRPr="001A076D">
              <w:t>Change_Readiness</w:t>
            </w:r>
            <w:proofErr w:type="spellEnd"/>
          </w:p>
        </w:tc>
        <w:tc>
          <w:tcPr>
            <w:tcW w:w="4260" w:type="dxa"/>
            <w:vAlign w:val="center"/>
            <w:hideMark/>
          </w:tcPr>
          <w:p w14:paraId="38B7A068"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Organisational willingness to adopt new practices.</w:t>
            </w:r>
          </w:p>
        </w:tc>
        <w:tc>
          <w:tcPr>
            <w:tcW w:w="0" w:type="auto"/>
            <w:vAlign w:val="center"/>
            <w:hideMark/>
          </w:tcPr>
          <w:p w14:paraId="7791934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w:t>
            </w:r>
          </w:p>
        </w:tc>
        <w:tc>
          <w:tcPr>
            <w:tcW w:w="0" w:type="auto"/>
            <w:vAlign w:val="center"/>
            <w:hideMark/>
          </w:tcPr>
          <w:p w14:paraId="26CC721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w:t>
            </w:r>
          </w:p>
        </w:tc>
      </w:tr>
      <w:tr w:rsidR="00057F93" w:rsidRPr="001A076D" w14:paraId="0119629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59E47B83" w14:textId="77777777" w:rsidR="00031EBE" w:rsidRPr="001A076D" w:rsidRDefault="00031EBE" w:rsidP="00704790">
            <w:proofErr w:type="spellStart"/>
            <w:r w:rsidRPr="001A076D">
              <w:t>Cultural_Openness</w:t>
            </w:r>
            <w:proofErr w:type="spellEnd"/>
          </w:p>
        </w:tc>
        <w:tc>
          <w:tcPr>
            <w:tcW w:w="4260" w:type="dxa"/>
            <w:vAlign w:val="center"/>
            <w:hideMark/>
          </w:tcPr>
          <w:p w14:paraId="2D632B7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Acceptance of experimentation and data-driven decisions.</w:t>
            </w:r>
          </w:p>
        </w:tc>
        <w:tc>
          <w:tcPr>
            <w:tcW w:w="0" w:type="auto"/>
            <w:vAlign w:val="center"/>
            <w:hideMark/>
          </w:tcPr>
          <w:p w14:paraId="5087CDD2"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04EFDDB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749D1E0B"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5E7FBAB" w14:textId="77777777" w:rsidR="00031EBE" w:rsidRPr="001A076D" w:rsidRDefault="00031EBE" w:rsidP="00704790">
            <w:proofErr w:type="spellStart"/>
            <w:r w:rsidRPr="001A076D">
              <w:t>Executive_Sponsorship</w:t>
            </w:r>
            <w:proofErr w:type="spellEnd"/>
          </w:p>
        </w:tc>
        <w:tc>
          <w:tcPr>
            <w:tcW w:w="4260" w:type="dxa"/>
            <w:vAlign w:val="center"/>
            <w:hideMark/>
          </w:tcPr>
          <w:p w14:paraId="6FAEAD88"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Senior endorsement of analytics initiatives.</w:t>
            </w:r>
          </w:p>
        </w:tc>
        <w:tc>
          <w:tcPr>
            <w:tcW w:w="0" w:type="auto"/>
            <w:vAlign w:val="center"/>
            <w:hideMark/>
          </w:tcPr>
          <w:p w14:paraId="1B441A9E"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1EBDDB9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3EC6023E"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A967A11" w14:textId="77777777" w:rsidR="00031EBE" w:rsidRPr="001A076D" w:rsidRDefault="00031EBE" w:rsidP="00704790">
            <w:proofErr w:type="spellStart"/>
            <w:r w:rsidRPr="001A076D">
              <w:t>Leadership_Alignment</w:t>
            </w:r>
            <w:proofErr w:type="spellEnd"/>
          </w:p>
        </w:tc>
        <w:tc>
          <w:tcPr>
            <w:tcW w:w="4260" w:type="dxa"/>
            <w:vAlign w:val="center"/>
            <w:hideMark/>
          </w:tcPr>
          <w:p w14:paraId="09D5B19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Consistency between executive priorities and analytics.</w:t>
            </w:r>
          </w:p>
        </w:tc>
        <w:tc>
          <w:tcPr>
            <w:tcW w:w="0" w:type="auto"/>
            <w:vAlign w:val="center"/>
            <w:hideMark/>
          </w:tcPr>
          <w:p w14:paraId="660A0E3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2AD1696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r>
      <w:tr w:rsidR="00057F93" w:rsidRPr="001A076D" w14:paraId="36E5AC54"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D50CC3B" w14:textId="77777777" w:rsidR="00031EBE" w:rsidRPr="001A076D" w:rsidRDefault="00031EBE" w:rsidP="00704790">
            <w:proofErr w:type="spellStart"/>
            <w:r w:rsidRPr="001A076D">
              <w:t>Senior_Literacy</w:t>
            </w:r>
            <w:proofErr w:type="spellEnd"/>
          </w:p>
        </w:tc>
        <w:tc>
          <w:tcPr>
            <w:tcW w:w="4260" w:type="dxa"/>
            <w:vAlign w:val="center"/>
            <w:hideMark/>
          </w:tcPr>
          <w:p w14:paraId="2FB7C6C1"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Senior leaders’ understanding of analytics capabilities.</w:t>
            </w:r>
          </w:p>
        </w:tc>
        <w:tc>
          <w:tcPr>
            <w:tcW w:w="0" w:type="auto"/>
            <w:vAlign w:val="center"/>
            <w:hideMark/>
          </w:tcPr>
          <w:p w14:paraId="3850B35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0AFD6A5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r>
      <w:tr w:rsidR="00057F93" w:rsidRPr="001A076D" w14:paraId="1599D50A"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410DDBF" w14:textId="77777777" w:rsidR="00031EBE" w:rsidRPr="001A076D" w:rsidRDefault="00031EBE" w:rsidP="00704790">
            <w:proofErr w:type="spellStart"/>
            <w:r w:rsidRPr="001A076D">
              <w:rPr>
                <w:rStyle w:val="Strong"/>
                <w:rFonts w:eastAsiaTheme="majorEastAsia"/>
              </w:rPr>
              <w:t>Predictive_Analytics_Capability</w:t>
            </w:r>
            <w:proofErr w:type="spellEnd"/>
          </w:p>
        </w:tc>
        <w:tc>
          <w:tcPr>
            <w:tcW w:w="4260" w:type="dxa"/>
            <w:vAlign w:val="center"/>
            <w:hideMark/>
          </w:tcPr>
          <w:p w14:paraId="3617A9F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Technical sophistication of predictive modelling within SSE PLC.</w:t>
            </w:r>
          </w:p>
        </w:tc>
        <w:tc>
          <w:tcPr>
            <w:tcW w:w="0" w:type="auto"/>
            <w:vAlign w:val="center"/>
            <w:hideMark/>
          </w:tcPr>
          <w:p w14:paraId="44DFA6A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5308D9D6"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20</w:t>
            </w:r>
          </w:p>
        </w:tc>
      </w:tr>
      <w:tr w:rsidR="00057F93" w:rsidRPr="001A076D" w14:paraId="3576E44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98EA27F" w14:textId="77777777" w:rsidR="00031EBE" w:rsidRPr="001A076D" w:rsidRDefault="00031EBE" w:rsidP="00704790">
            <w:proofErr w:type="spellStart"/>
            <w:r w:rsidRPr="001A076D">
              <w:t>Data_Availability</w:t>
            </w:r>
            <w:proofErr w:type="spellEnd"/>
          </w:p>
        </w:tc>
        <w:tc>
          <w:tcPr>
            <w:tcW w:w="4260" w:type="dxa"/>
            <w:vAlign w:val="center"/>
            <w:hideMark/>
          </w:tcPr>
          <w:p w14:paraId="7FFCAF02"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Access to sufficient and relevant modelling data.</w:t>
            </w:r>
          </w:p>
        </w:tc>
        <w:tc>
          <w:tcPr>
            <w:tcW w:w="0" w:type="auto"/>
            <w:vAlign w:val="center"/>
            <w:hideMark/>
          </w:tcPr>
          <w:p w14:paraId="1BD2EDDE"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c>
          <w:tcPr>
            <w:tcW w:w="0" w:type="auto"/>
            <w:vAlign w:val="center"/>
            <w:hideMark/>
          </w:tcPr>
          <w:p w14:paraId="05FC272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1</w:t>
            </w:r>
          </w:p>
        </w:tc>
      </w:tr>
      <w:tr w:rsidR="00057F93" w:rsidRPr="001A076D" w14:paraId="4ECF61C8"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D203ADB" w14:textId="77777777" w:rsidR="00031EBE" w:rsidRPr="001A076D" w:rsidRDefault="00031EBE" w:rsidP="00704790">
            <w:proofErr w:type="spellStart"/>
            <w:r w:rsidRPr="001A076D">
              <w:lastRenderedPageBreak/>
              <w:t>Integration_With_Business</w:t>
            </w:r>
            <w:proofErr w:type="spellEnd"/>
          </w:p>
        </w:tc>
        <w:tc>
          <w:tcPr>
            <w:tcW w:w="4260" w:type="dxa"/>
            <w:vAlign w:val="center"/>
            <w:hideMark/>
          </w:tcPr>
          <w:p w14:paraId="487EACD7"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Alignment of predictive outputs with business processes.</w:t>
            </w:r>
          </w:p>
        </w:tc>
        <w:tc>
          <w:tcPr>
            <w:tcW w:w="0" w:type="auto"/>
            <w:vAlign w:val="center"/>
            <w:hideMark/>
          </w:tcPr>
          <w:p w14:paraId="3EB9804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6D7C261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267267A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4E70C81" w14:textId="77777777" w:rsidR="00031EBE" w:rsidRPr="001A076D" w:rsidRDefault="00031EBE" w:rsidP="00704790">
            <w:proofErr w:type="spellStart"/>
            <w:r w:rsidRPr="001A076D">
              <w:t>Model_Validation_Practices</w:t>
            </w:r>
            <w:proofErr w:type="spellEnd"/>
          </w:p>
        </w:tc>
        <w:tc>
          <w:tcPr>
            <w:tcW w:w="4260" w:type="dxa"/>
            <w:vAlign w:val="center"/>
            <w:hideMark/>
          </w:tcPr>
          <w:p w14:paraId="2ED751FC"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Testing and back-testing procedures ensuring reliability.</w:t>
            </w:r>
          </w:p>
        </w:tc>
        <w:tc>
          <w:tcPr>
            <w:tcW w:w="0" w:type="auto"/>
            <w:vAlign w:val="center"/>
            <w:hideMark/>
          </w:tcPr>
          <w:p w14:paraId="1570EEF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288C38F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3A815AAC"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DFE1D53" w14:textId="77777777" w:rsidR="00031EBE" w:rsidRPr="001A076D" w:rsidRDefault="00031EBE" w:rsidP="00704790">
            <w:proofErr w:type="spellStart"/>
            <w:r w:rsidRPr="001A076D">
              <w:t>Senior_Literacy</w:t>
            </w:r>
            <w:proofErr w:type="spellEnd"/>
          </w:p>
        </w:tc>
        <w:tc>
          <w:tcPr>
            <w:tcW w:w="4260" w:type="dxa"/>
            <w:vAlign w:val="center"/>
            <w:hideMark/>
          </w:tcPr>
          <w:p w14:paraId="68B7B578"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Leadership understanding of analytics outputs.</w:t>
            </w:r>
          </w:p>
        </w:tc>
        <w:tc>
          <w:tcPr>
            <w:tcW w:w="0" w:type="auto"/>
            <w:vAlign w:val="center"/>
            <w:hideMark/>
          </w:tcPr>
          <w:p w14:paraId="6AB99EE6"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6E11C36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010119D3"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F804AAF" w14:textId="77777777" w:rsidR="00031EBE" w:rsidRPr="001A076D" w:rsidRDefault="00031EBE" w:rsidP="00704790">
            <w:proofErr w:type="spellStart"/>
            <w:r w:rsidRPr="001A076D">
              <w:t>Technical_Modelling_Strength</w:t>
            </w:r>
            <w:proofErr w:type="spellEnd"/>
          </w:p>
        </w:tc>
        <w:tc>
          <w:tcPr>
            <w:tcW w:w="4260" w:type="dxa"/>
            <w:vAlign w:val="center"/>
            <w:hideMark/>
          </w:tcPr>
          <w:p w14:paraId="47BDD904"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Advanced modelling techniques and methodologies.</w:t>
            </w:r>
          </w:p>
        </w:tc>
        <w:tc>
          <w:tcPr>
            <w:tcW w:w="0" w:type="auto"/>
            <w:vAlign w:val="center"/>
            <w:hideMark/>
          </w:tcPr>
          <w:p w14:paraId="593B463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5200BA8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091F44DE"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2487764" w14:textId="77777777" w:rsidR="00031EBE" w:rsidRPr="001A076D" w:rsidRDefault="00031EBE" w:rsidP="00704790">
            <w:proofErr w:type="spellStart"/>
            <w:r w:rsidRPr="001A076D">
              <w:t>Tooling_Infrastructure</w:t>
            </w:r>
            <w:proofErr w:type="spellEnd"/>
          </w:p>
        </w:tc>
        <w:tc>
          <w:tcPr>
            <w:tcW w:w="4260" w:type="dxa"/>
            <w:vAlign w:val="center"/>
            <w:hideMark/>
          </w:tcPr>
          <w:p w14:paraId="5118F299"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Technology platforms supporting analytics deployment.</w:t>
            </w:r>
          </w:p>
        </w:tc>
        <w:tc>
          <w:tcPr>
            <w:tcW w:w="0" w:type="auto"/>
            <w:vAlign w:val="center"/>
            <w:hideMark/>
          </w:tcPr>
          <w:p w14:paraId="451FB08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6BC53F6E"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6DA02AB9"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0FA1AD54" w14:textId="77777777" w:rsidR="00031EBE" w:rsidRPr="001A076D" w:rsidRDefault="00031EBE" w:rsidP="00704790">
            <w:proofErr w:type="spellStart"/>
            <w:r w:rsidRPr="001A076D">
              <w:t>Uneven_Maturity</w:t>
            </w:r>
            <w:proofErr w:type="spellEnd"/>
          </w:p>
        </w:tc>
        <w:tc>
          <w:tcPr>
            <w:tcW w:w="4260" w:type="dxa"/>
            <w:vAlign w:val="center"/>
            <w:hideMark/>
          </w:tcPr>
          <w:p w14:paraId="4883173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Variability in analytics capability across business units.</w:t>
            </w:r>
          </w:p>
        </w:tc>
        <w:tc>
          <w:tcPr>
            <w:tcW w:w="0" w:type="auto"/>
            <w:vAlign w:val="center"/>
            <w:hideMark/>
          </w:tcPr>
          <w:p w14:paraId="681EF03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c>
          <w:tcPr>
            <w:tcW w:w="0" w:type="auto"/>
            <w:vAlign w:val="center"/>
            <w:hideMark/>
          </w:tcPr>
          <w:p w14:paraId="05F39B7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r>
      <w:tr w:rsidR="00057F93" w:rsidRPr="001A076D" w14:paraId="295F27E9"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493FD22" w14:textId="77777777" w:rsidR="00031EBE" w:rsidRPr="001A076D" w:rsidRDefault="00031EBE" w:rsidP="00704790">
            <w:proofErr w:type="spellStart"/>
            <w:r w:rsidRPr="001A076D">
              <w:rPr>
                <w:rStyle w:val="Strong"/>
                <w:rFonts w:eastAsiaTheme="majorEastAsia"/>
              </w:rPr>
              <w:t>Strategic_Embedding</w:t>
            </w:r>
            <w:proofErr w:type="spellEnd"/>
          </w:p>
        </w:tc>
        <w:tc>
          <w:tcPr>
            <w:tcW w:w="4260" w:type="dxa"/>
            <w:vAlign w:val="center"/>
            <w:hideMark/>
          </w:tcPr>
          <w:p w14:paraId="2C62D9D8"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Integration of predictive analytics into strategic decision processes.</w:t>
            </w:r>
          </w:p>
        </w:tc>
        <w:tc>
          <w:tcPr>
            <w:tcW w:w="0" w:type="auto"/>
            <w:vAlign w:val="center"/>
            <w:hideMark/>
          </w:tcPr>
          <w:p w14:paraId="674BFAC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68E1615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30</w:t>
            </w:r>
          </w:p>
        </w:tc>
      </w:tr>
      <w:tr w:rsidR="00057F93" w:rsidRPr="001A076D" w14:paraId="2DA8CDE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28AD40F" w14:textId="77777777" w:rsidR="00031EBE" w:rsidRPr="001A076D" w:rsidRDefault="00031EBE" w:rsidP="00704790">
            <w:proofErr w:type="spellStart"/>
            <w:r w:rsidRPr="001A076D">
              <w:t>Capital_Allocation</w:t>
            </w:r>
            <w:proofErr w:type="spellEnd"/>
          </w:p>
        </w:tc>
        <w:tc>
          <w:tcPr>
            <w:tcW w:w="4260" w:type="dxa"/>
            <w:vAlign w:val="center"/>
            <w:hideMark/>
          </w:tcPr>
          <w:p w14:paraId="62F6290D"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Use of predictive insights in investment decisions.</w:t>
            </w:r>
          </w:p>
        </w:tc>
        <w:tc>
          <w:tcPr>
            <w:tcW w:w="0" w:type="auto"/>
            <w:vAlign w:val="center"/>
            <w:hideMark/>
          </w:tcPr>
          <w:p w14:paraId="1891BD4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2A161ED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693C8E4C"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FEF130B" w14:textId="77777777" w:rsidR="00031EBE" w:rsidRPr="001A076D" w:rsidRDefault="00031EBE" w:rsidP="00704790">
            <w:proofErr w:type="spellStart"/>
            <w:r w:rsidRPr="001A076D">
              <w:t>Churn_Optimisation</w:t>
            </w:r>
            <w:proofErr w:type="spellEnd"/>
          </w:p>
        </w:tc>
        <w:tc>
          <w:tcPr>
            <w:tcW w:w="4260" w:type="dxa"/>
            <w:vAlign w:val="center"/>
            <w:hideMark/>
          </w:tcPr>
          <w:p w14:paraId="51BA72D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Application of predictive models in retention strategies.</w:t>
            </w:r>
          </w:p>
        </w:tc>
        <w:tc>
          <w:tcPr>
            <w:tcW w:w="0" w:type="auto"/>
            <w:vAlign w:val="center"/>
            <w:hideMark/>
          </w:tcPr>
          <w:p w14:paraId="78D3DCB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72C7776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4E86BAF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532BD865" w14:textId="77777777" w:rsidR="00031EBE" w:rsidRPr="001A076D" w:rsidRDefault="00031EBE" w:rsidP="00704790">
            <w:proofErr w:type="spellStart"/>
            <w:r w:rsidRPr="001A076D">
              <w:t>Decision_Integration</w:t>
            </w:r>
            <w:proofErr w:type="spellEnd"/>
          </w:p>
        </w:tc>
        <w:tc>
          <w:tcPr>
            <w:tcW w:w="4260" w:type="dxa"/>
            <w:vAlign w:val="center"/>
            <w:hideMark/>
          </w:tcPr>
          <w:p w14:paraId="54196BE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Incorporation of analytics outputs in executive discussions.</w:t>
            </w:r>
          </w:p>
        </w:tc>
        <w:tc>
          <w:tcPr>
            <w:tcW w:w="0" w:type="auto"/>
            <w:vAlign w:val="center"/>
            <w:hideMark/>
          </w:tcPr>
          <w:p w14:paraId="6E4DC5F3"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c>
          <w:tcPr>
            <w:tcW w:w="0" w:type="auto"/>
            <w:vAlign w:val="center"/>
            <w:hideMark/>
          </w:tcPr>
          <w:p w14:paraId="38AFE23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7</w:t>
            </w:r>
          </w:p>
        </w:tc>
      </w:tr>
      <w:tr w:rsidR="00057F93" w:rsidRPr="001A076D" w14:paraId="55EC9334"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1BE6A4C" w14:textId="77777777" w:rsidR="00031EBE" w:rsidRPr="001A076D" w:rsidRDefault="00031EBE" w:rsidP="00704790">
            <w:proofErr w:type="spellStart"/>
            <w:r w:rsidRPr="001A076D">
              <w:t>Demonstrated_Value</w:t>
            </w:r>
            <w:proofErr w:type="spellEnd"/>
          </w:p>
        </w:tc>
        <w:tc>
          <w:tcPr>
            <w:tcW w:w="4260" w:type="dxa"/>
            <w:vAlign w:val="center"/>
            <w:hideMark/>
          </w:tcPr>
          <w:p w14:paraId="2100A8AC"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Observable business impact attributable to analytics.</w:t>
            </w:r>
          </w:p>
        </w:tc>
        <w:tc>
          <w:tcPr>
            <w:tcW w:w="0" w:type="auto"/>
            <w:vAlign w:val="center"/>
            <w:hideMark/>
          </w:tcPr>
          <w:p w14:paraId="315397C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6EF2066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5EB65135"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6FD82068" w14:textId="77777777" w:rsidR="00031EBE" w:rsidRPr="001A076D" w:rsidRDefault="00031EBE" w:rsidP="00704790">
            <w:proofErr w:type="spellStart"/>
            <w:r w:rsidRPr="001A076D">
              <w:t>Long_Term_Planning_Use</w:t>
            </w:r>
            <w:proofErr w:type="spellEnd"/>
          </w:p>
        </w:tc>
        <w:tc>
          <w:tcPr>
            <w:tcW w:w="4260" w:type="dxa"/>
            <w:vAlign w:val="center"/>
            <w:hideMark/>
          </w:tcPr>
          <w:p w14:paraId="516032E9"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Use of predictive modelling in long-term strategy.</w:t>
            </w:r>
          </w:p>
        </w:tc>
        <w:tc>
          <w:tcPr>
            <w:tcW w:w="0" w:type="auto"/>
            <w:vAlign w:val="center"/>
            <w:hideMark/>
          </w:tcPr>
          <w:p w14:paraId="728DFB8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c>
          <w:tcPr>
            <w:tcW w:w="0" w:type="auto"/>
            <w:vAlign w:val="center"/>
            <w:hideMark/>
          </w:tcPr>
          <w:p w14:paraId="4BF7063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r>
      <w:tr w:rsidR="00057F93" w:rsidRPr="001A076D" w14:paraId="2AD48A46"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356474E" w14:textId="77777777" w:rsidR="00031EBE" w:rsidRPr="001A076D" w:rsidRDefault="00031EBE" w:rsidP="00704790">
            <w:r w:rsidRPr="001A076D">
              <w:t>Performance_Impact</w:t>
            </w:r>
          </w:p>
        </w:tc>
        <w:tc>
          <w:tcPr>
            <w:tcW w:w="4260" w:type="dxa"/>
            <w:vAlign w:val="center"/>
            <w:hideMark/>
          </w:tcPr>
          <w:p w14:paraId="6FFA482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Measurable organisational improvements linked to analytics.</w:t>
            </w:r>
          </w:p>
        </w:tc>
        <w:tc>
          <w:tcPr>
            <w:tcW w:w="0" w:type="auto"/>
            <w:vAlign w:val="center"/>
            <w:hideMark/>
          </w:tcPr>
          <w:p w14:paraId="6FAE4785"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0BFAAD3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5B3F5FE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6C9711A" w14:textId="77777777" w:rsidR="00031EBE" w:rsidRPr="001A076D" w:rsidRDefault="00031EBE" w:rsidP="00704790">
            <w:proofErr w:type="spellStart"/>
            <w:r w:rsidRPr="001A076D">
              <w:t>Pricing_Strategy</w:t>
            </w:r>
            <w:proofErr w:type="spellEnd"/>
          </w:p>
        </w:tc>
        <w:tc>
          <w:tcPr>
            <w:tcW w:w="4260" w:type="dxa"/>
            <w:vAlign w:val="center"/>
            <w:hideMark/>
          </w:tcPr>
          <w:p w14:paraId="6904CBD5"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Application of analytics in pricing decisions.</w:t>
            </w:r>
          </w:p>
        </w:tc>
        <w:tc>
          <w:tcPr>
            <w:tcW w:w="0" w:type="auto"/>
            <w:vAlign w:val="center"/>
            <w:hideMark/>
          </w:tcPr>
          <w:p w14:paraId="780C9EF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c>
          <w:tcPr>
            <w:tcW w:w="0" w:type="auto"/>
            <w:vAlign w:val="center"/>
            <w:hideMark/>
          </w:tcPr>
          <w:p w14:paraId="173B5BD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0</w:t>
            </w:r>
          </w:p>
        </w:tc>
      </w:tr>
      <w:tr w:rsidR="00057F93" w:rsidRPr="001A076D" w14:paraId="1906B675"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94E48F4" w14:textId="77777777" w:rsidR="00031EBE" w:rsidRPr="001A076D" w:rsidRDefault="00031EBE" w:rsidP="00704790">
            <w:proofErr w:type="spellStart"/>
            <w:r w:rsidRPr="001A076D">
              <w:t>Risk_Modelling</w:t>
            </w:r>
            <w:proofErr w:type="spellEnd"/>
          </w:p>
        </w:tc>
        <w:tc>
          <w:tcPr>
            <w:tcW w:w="4260" w:type="dxa"/>
            <w:vAlign w:val="center"/>
            <w:hideMark/>
          </w:tcPr>
          <w:p w14:paraId="3B51890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Use of predictive analytics to anticipate risk.</w:t>
            </w:r>
          </w:p>
        </w:tc>
        <w:tc>
          <w:tcPr>
            <w:tcW w:w="0" w:type="auto"/>
            <w:vAlign w:val="center"/>
            <w:hideMark/>
          </w:tcPr>
          <w:p w14:paraId="42031AA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0C22403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63F9914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319261A0" w14:textId="77777777" w:rsidR="00031EBE" w:rsidRPr="001A076D" w:rsidRDefault="00031EBE" w:rsidP="00704790">
            <w:proofErr w:type="spellStart"/>
            <w:r w:rsidRPr="001A076D">
              <w:t>Strategic_Alignment</w:t>
            </w:r>
            <w:proofErr w:type="spellEnd"/>
          </w:p>
        </w:tc>
        <w:tc>
          <w:tcPr>
            <w:tcW w:w="4260" w:type="dxa"/>
            <w:vAlign w:val="center"/>
            <w:hideMark/>
          </w:tcPr>
          <w:p w14:paraId="57B7F6A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Alignment between analytics initiatives and organisational goals.</w:t>
            </w:r>
          </w:p>
        </w:tc>
        <w:tc>
          <w:tcPr>
            <w:tcW w:w="0" w:type="auto"/>
            <w:vAlign w:val="center"/>
            <w:hideMark/>
          </w:tcPr>
          <w:p w14:paraId="477EB2C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629E0A2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3CE42E9E"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78463ED4" w14:textId="77777777" w:rsidR="00031EBE" w:rsidRPr="001A076D" w:rsidRDefault="00031EBE" w:rsidP="00704790">
            <w:proofErr w:type="spellStart"/>
            <w:r w:rsidRPr="001A076D">
              <w:rPr>
                <w:rStyle w:val="Strong"/>
                <w:rFonts w:eastAsiaTheme="majorEastAsia"/>
              </w:rPr>
              <w:t>Trust_Explainability</w:t>
            </w:r>
            <w:proofErr w:type="spellEnd"/>
          </w:p>
        </w:tc>
        <w:tc>
          <w:tcPr>
            <w:tcW w:w="4260" w:type="dxa"/>
            <w:vAlign w:val="center"/>
            <w:hideMark/>
          </w:tcPr>
          <w:p w14:paraId="39E5518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Stakeholder confidence shaped by transparency and defensibility.</w:t>
            </w:r>
          </w:p>
        </w:tc>
        <w:tc>
          <w:tcPr>
            <w:tcW w:w="0" w:type="auto"/>
            <w:vAlign w:val="center"/>
            <w:hideMark/>
          </w:tcPr>
          <w:p w14:paraId="2D74EA3B"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794A928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40</w:t>
            </w:r>
          </w:p>
        </w:tc>
      </w:tr>
      <w:tr w:rsidR="00057F93" w:rsidRPr="001A076D" w14:paraId="0D5D1DE7"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8DD3AB1" w14:textId="77777777" w:rsidR="00031EBE" w:rsidRPr="001A076D" w:rsidRDefault="00031EBE" w:rsidP="00704790">
            <w:proofErr w:type="spellStart"/>
            <w:r w:rsidRPr="001A076D">
              <w:t>Executive_Confidence</w:t>
            </w:r>
            <w:proofErr w:type="spellEnd"/>
          </w:p>
        </w:tc>
        <w:tc>
          <w:tcPr>
            <w:tcW w:w="4260" w:type="dxa"/>
            <w:vAlign w:val="center"/>
            <w:hideMark/>
          </w:tcPr>
          <w:p w14:paraId="7A21633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Senior willingness to rely on predictive insights.</w:t>
            </w:r>
          </w:p>
        </w:tc>
        <w:tc>
          <w:tcPr>
            <w:tcW w:w="0" w:type="auto"/>
            <w:vAlign w:val="center"/>
            <w:hideMark/>
          </w:tcPr>
          <w:p w14:paraId="6DE89A7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vAlign w:val="center"/>
            <w:hideMark/>
          </w:tcPr>
          <w:p w14:paraId="0F7B6EFA"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8</w:t>
            </w:r>
          </w:p>
        </w:tc>
      </w:tr>
      <w:tr w:rsidR="00057F93" w:rsidRPr="001A076D" w14:paraId="532A4E5B"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850D96B" w14:textId="77777777" w:rsidR="00031EBE" w:rsidRPr="001A076D" w:rsidRDefault="00031EBE" w:rsidP="00704790">
            <w:proofErr w:type="spellStart"/>
            <w:r w:rsidRPr="001A076D">
              <w:t>Explainability_Limitations</w:t>
            </w:r>
            <w:proofErr w:type="spellEnd"/>
          </w:p>
        </w:tc>
        <w:tc>
          <w:tcPr>
            <w:tcW w:w="4260" w:type="dxa"/>
            <w:vAlign w:val="center"/>
            <w:hideMark/>
          </w:tcPr>
          <w:p w14:paraId="60B1C80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Challenges in articulating model assumptions.</w:t>
            </w:r>
          </w:p>
        </w:tc>
        <w:tc>
          <w:tcPr>
            <w:tcW w:w="0" w:type="auto"/>
            <w:vAlign w:val="center"/>
            <w:hideMark/>
          </w:tcPr>
          <w:p w14:paraId="1F54369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c>
          <w:tcPr>
            <w:tcW w:w="0" w:type="auto"/>
            <w:vAlign w:val="center"/>
            <w:hideMark/>
          </w:tcPr>
          <w:p w14:paraId="7CBF54EF"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2</w:t>
            </w:r>
          </w:p>
        </w:tc>
      </w:tr>
      <w:tr w:rsidR="00057F93" w:rsidRPr="001A076D" w14:paraId="58328DD0"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90CEABA" w14:textId="77777777" w:rsidR="00031EBE" w:rsidRPr="001A076D" w:rsidRDefault="00031EBE" w:rsidP="00704790">
            <w:proofErr w:type="spellStart"/>
            <w:r w:rsidRPr="001A076D">
              <w:t>Historical_Accuracy</w:t>
            </w:r>
            <w:proofErr w:type="spellEnd"/>
          </w:p>
        </w:tc>
        <w:tc>
          <w:tcPr>
            <w:tcW w:w="4260" w:type="dxa"/>
            <w:vAlign w:val="center"/>
            <w:hideMark/>
          </w:tcPr>
          <w:p w14:paraId="1F95AA1A"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Perceived reliability based on past performance.</w:t>
            </w:r>
          </w:p>
        </w:tc>
        <w:tc>
          <w:tcPr>
            <w:tcW w:w="0" w:type="auto"/>
            <w:vAlign w:val="center"/>
            <w:hideMark/>
          </w:tcPr>
          <w:p w14:paraId="4BAB7AB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0C8EAA93"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0403DE2A"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677382F" w14:textId="77777777" w:rsidR="00031EBE" w:rsidRPr="001A076D" w:rsidRDefault="00031EBE" w:rsidP="00704790">
            <w:proofErr w:type="spellStart"/>
            <w:r w:rsidRPr="001A076D">
              <w:t>Historical_Validation</w:t>
            </w:r>
            <w:proofErr w:type="spellEnd"/>
          </w:p>
        </w:tc>
        <w:tc>
          <w:tcPr>
            <w:tcW w:w="4260" w:type="dxa"/>
            <w:vAlign w:val="center"/>
            <w:hideMark/>
          </w:tcPr>
          <w:p w14:paraId="46B331D3"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Evidence of systematic testing and verification.</w:t>
            </w:r>
          </w:p>
        </w:tc>
        <w:tc>
          <w:tcPr>
            <w:tcW w:w="0" w:type="auto"/>
            <w:vAlign w:val="center"/>
            <w:hideMark/>
          </w:tcPr>
          <w:p w14:paraId="638B41D1"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7068EAC8"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0DCEA983"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236EAD21" w14:textId="77777777" w:rsidR="00031EBE" w:rsidRPr="001A076D" w:rsidRDefault="00031EBE" w:rsidP="00704790">
            <w:proofErr w:type="spellStart"/>
            <w:r w:rsidRPr="001A076D">
              <w:t>Opaque_Models</w:t>
            </w:r>
            <w:proofErr w:type="spellEnd"/>
          </w:p>
        </w:tc>
        <w:tc>
          <w:tcPr>
            <w:tcW w:w="4260" w:type="dxa"/>
            <w:vAlign w:val="center"/>
            <w:hideMark/>
          </w:tcPr>
          <w:p w14:paraId="67F4837B"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Models perceived as complex or difficult to interpret.</w:t>
            </w:r>
          </w:p>
        </w:tc>
        <w:tc>
          <w:tcPr>
            <w:tcW w:w="0" w:type="auto"/>
            <w:vAlign w:val="center"/>
            <w:hideMark/>
          </w:tcPr>
          <w:p w14:paraId="2A65043D"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c>
          <w:tcPr>
            <w:tcW w:w="0" w:type="auto"/>
            <w:vAlign w:val="center"/>
            <w:hideMark/>
          </w:tcPr>
          <w:p w14:paraId="006069FC"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4</w:t>
            </w:r>
          </w:p>
        </w:tc>
      </w:tr>
      <w:tr w:rsidR="00057F93" w:rsidRPr="001A076D" w14:paraId="4E2C8712"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4C49CC93" w14:textId="77777777" w:rsidR="00031EBE" w:rsidRPr="001A076D" w:rsidRDefault="00031EBE" w:rsidP="00704790">
            <w:proofErr w:type="spellStart"/>
            <w:r w:rsidRPr="001A076D">
              <w:t>Regulatory_Defensibility</w:t>
            </w:r>
            <w:proofErr w:type="spellEnd"/>
          </w:p>
        </w:tc>
        <w:tc>
          <w:tcPr>
            <w:tcW w:w="4260" w:type="dxa"/>
            <w:vAlign w:val="center"/>
            <w:hideMark/>
          </w:tcPr>
          <w:p w14:paraId="4639FE46"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Ability to justify analytics outputs to regulators.</w:t>
            </w:r>
          </w:p>
        </w:tc>
        <w:tc>
          <w:tcPr>
            <w:tcW w:w="0" w:type="auto"/>
            <w:vAlign w:val="center"/>
            <w:hideMark/>
          </w:tcPr>
          <w:p w14:paraId="39DC8B7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c>
          <w:tcPr>
            <w:tcW w:w="0" w:type="auto"/>
            <w:vAlign w:val="center"/>
            <w:hideMark/>
          </w:tcPr>
          <w:p w14:paraId="5CDE1084"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r>
      <w:tr w:rsidR="00057F93" w:rsidRPr="001A076D" w14:paraId="147E9B5F"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1D46A5B1" w14:textId="77777777" w:rsidR="00031EBE" w:rsidRPr="001A076D" w:rsidRDefault="00031EBE" w:rsidP="00704790">
            <w:proofErr w:type="spellStart"/>
            <w:r w:rsidRPr="001A076D">
              <w:t>Risk_Perception</w:t>
            </w:r>
            <w:proofErr w:type="spellEnd"/>
          </w:p>
        </w:tc>
        <w:tc>
          <w:tcPr>
            <w:tcW w:w="4260" w:type="dxa"/>
            <w:vAlign w:val="center"/>
            <w:hideMark/>
          </w:tcPr>
          <w:p w14:paraId="3A4F3D36"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Executive concern about reliance on predictive outputs.</w:t>
            </w:r>
          </w:p>
        </w:tc>
        <w:tc>
          <w:tcPr>
            <w:tcW w:w="0" w:type="auto"/>
            <w:vAlign w:val="center"/>
            <w:hideMark/>
          </w:tcPr>
          <w:p w14:paraId="0CEC0627"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c>
          <w:tcPr>
            <w:tcW w:w="0" w:type="auto"/>
            <w:vAlign w:val="center"/>
            <w:hideMark/>
          </w:tcPr>
          <w:p w14:paraId="55B4CF39"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6</w:t>
            </w:r>
          </w:p>
        </w:tc>
      </w:tr>
      <w:tr w:rsidR="00057F93" w:rsidRPr="001A076D" w14:paraId="476065D8" w14:textId="77777777" w:rsidTr="00704790">
        <w:tc>
          <w:tcPr>
            <w:cnfStyle w:val="001000000000" w:firstRow="0" w:lastRow="0" w:firstColumn="1" w:lastColumn="0" w:oddVBand="0" w:evenVBand="0" w:oddHBand="0" w:evenHBand="0" w:firstRowFirstColumn="0" w:firstRowLastColumn="0" w:lastRowFirstColumn="0" w:lastRowLastColumn="0"/>
            <w:tcW w:w="2830" w:type="dxa"/>
            <w:vAlign w:val="center"/>
            <w:hideMark/>
          </w:tcPr>
          <w:p w14:paraId="581B40EF" w14:textId="77777777" w:rsidR="00031EBE" w:rsidRPr="001A076D" w:rsidRDefault="00031EBE" w:rsidP="00704790">
            <w:proofErr w:type="spellStart"/>
            <w:r w:rsidRPr="001A076D">
              <w:t>Transparency_of_Assumptions</w:t>
            </w:r>
            <w:proofErr w:type="spellEnd"/>
          </w:p>
        </w:tc>
        <w:tc>
          <w:tcPr>
            <w:tcW w:w="4260" w:type="dxa"/>
            <w:vAlign w:val="center"/>
            <w:hideMark/>
          </w:tcPr>
          <w:p w14:paraId="2896FE39" w14:textId="77777777" w:rsidR="00031EBE" w:rsidRPr="001A076D" w:rsidRDefault="00031EBE" w:rsidP="00704790">
            <w:pPr>
              <w:cnfStyle w:val="000000000000" w:firstRow="0" w:lastRow="0" w:firstColumn="0" w:lastColumn="0" w:oddVBand="0" w:evenVBand="0" w:oddHBand="0" w:evenHBand="0" w:firstRowFirstColumn="0" w:firstRowLastColumn="0" w:lastRowFirstColumn="0" w:lastRowLastColumn="0"/>
            </w:pPr>
            <w:r w:rsidRPr="001A076D">
              <w:t>Clarity regarding model inputs and methodological boundaries.</w:t>
            </w:r>
          </w:p>
        </w:tc>
        <w:tc>
          <w:tcPr>
            <w:tcW w:w="0" w:type="auto"/>
            <w:vAlign w:val="center"/>
            <w:hideMark/>
          </w:tcPr>
          <w:p w14:paraId="43A38BAD"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c>
          <w:tcPr>
            <w:tcW w:w="0" w:type="auto"/>
            <w:vAlign w:val="center"/>
            <w:hideMark/>
          </w:tcPr>
          <w:p w14:paraId="743243D0" w14:textId="77777777" w:rsidR="00031EBE" w:rsidRPr="001A076D" w:rsidRDefault="00031EBE" w:rsidP="00ED2801">
            <w:pPr>
              <w:jc w:val="center"/>
              <w:cnfStyle w:val="000000000000" w:firstRow="0" w:lastRow="0" w:firstColumn="0" w:lastColumn="0" w:oddVBand="0" w:evenVBand="0" w:oddHBand="0" w:evenHBand="0" w:firstRowFirstColumn="0" w:firstRowLastColumn="0" w:lastRowFirstColumn="0" w:lastRowLastColumn="0"/>
            </w:pPr>
            <w:r w:rsidRPr="001A076D">
              <w:t>5</w:t>
            </w:r>
          </w:p>
        </w:tc>
      </w:tr>
    </w:tbl>
    <w:p w14:paraId="784052E7" w14:textId="0E176BDD" w:rsidR="006B2767" w:rsidRPr="001A076D" w:rsidRDefault="006B2767" w:rsidP="006B2767">
      <w:pPr>
        <w:pStyle w:val="NormalWeb"/>
        <w:rPr>
          <w:b/>
          <w:bCs/>
        </w:rPr>
      </w:pPr>
      <w:r w:rsidRPr="001A076D">
        <w:rPr>
          <w:b/>
          <w:bCs/>
        </w:rPr>
        <w:lastRenderedPageBreak/>
        <w:t>Interpretation of Coding Density</w:t>
      </w:r>
    </w:p>
    <w:p w14:paraId="215CA005" w14:textId="77777777" w:rsidR="006B2767" w:rsidRPr="001A076D" w:rsidRDefault="006B2767" w:rsidP="00D473BE">
      <w:pPr>
        <w:pStyle w:val="NormalWeb"/>
        <w:jc w:val="both"/>
      </w:pPr>
      <w:r w:rsidRPr="001A076D">
        <w:t>Governance Maturity emerged as the most densely coded theme (53 references across 8 sources), followed by Trust and Explainability (40 references) and Strategic Embedding (30 references). This distribution indicates that participants most frequently emphasised the importance of governance discipline and executive trust in enabling predictive analytics to influence strategic decision-maki</w:t>
      </w:r>
      <w:r w:rsidR="00223916" w:rsidRPr="001A076D">
        <w:t>ng</w:t>
      </w:r>
      <w:r w:rsidR="00B23D5C" w:rsidRPr="001A076D">
        <w:t>.</w:t>
      </w:r>
    </w:p>
    <w:p w14:paraId="17E2FC5D" w14:textId="77777777" w:rsidR="005C78EE" w:rsidRPr="001A076D" w:rsidRDefault="005C78EE" w:rsidP="005C78EE">
      <w:pPr>
        <w:rPr>
          <w:b/>
          <w:bCs/>
        </w:rPr>
      </w:pPr>
      <w:r w:rsidRPr="001A076D">
        <w:rPr>
          <w:b/>
          <w:bCs/>
        </w:rPr>
        <w:t>Table A6.2 – Summary of Dominant Themes by Coding Frequency</w:t>
      </w:r>
    </w:p>
    <w:p w14:paraId="43198561" w14:textId="77777777" w:rsidR="005C78EE" w:rsidRPr="001A076D" w:rsidRDefault="005C78EE" w:rsidP="005C78EE">
      <w:pPr>
        <w:rPr>
          <w:b/>
          <w:bCs/>
        </w:rPr>
      </w:pPr>
    </w:p>
    <w:tbl>
      <w:tblPr>
        <w:tblStyle w:val="GridTable1Light"/>
        <w:tblW w:w="0" w:type="auto"/>
        <w:tblLook w:val="04A0" w:firstRow="1" w:lastRow="0" w:firstColumn="1" w:lastColumn="0" w:noHBand="0" w:noVBand="1"/>
      </w:tblPr>
      <w:tblGrid>
        <w:gridCol w:w="2746"/>
        <w:gridCol w:w="1016"/>
        <w:gridCol w:w="1336"/>
        <w:gridCol w:w="4344"/>
      </w:tblGrid>
      <w:tr w:rsidR="005C78EE" w:rsidRPr="001A076D" w14:paraId="495E02B9" w14:textId="77777777" w:rsidTr="00F82B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F837E0" w14:textId="77777777" w:rsidR="005C78EE" w:rsidRPr="001A076D" w:rsidRDefault="005C78EE" w:rsidP="005C78EE">
            <w:pPr>
              <w:jc w:val="center"/>
            </w:pPr>
            <w:r w:rsidRPr="001A076D">
              <w:t>Theme</w:t>
            </w:r>
          </w:p>
        </w:tc>
        <w:tc>
          <w:tcPr>
            <w:tcW w:w="0" w:type="auto"/>
            <w:hideMark/>
          </w:tcPr>
          <w:p w14:paraId="42848024" w14:textId="77777777" w:rsidR="005C78EE" w:rsidRPr="001A076D" w:rsidRDefault="005C78EE" w:rsidP="005C78EE">
            <w:pPr>
              <w:jc w:val="center"/>
              <w:cnfStyle w:val="100000000000" w:firstRow="1" w:lastRow="0" w:firstColumn="0" w:lastColumn="0" w:oddVBand="0" w:evenVBand="0" w:oddHBand="0" w:evenHBand="0" w:firstRowFirstColumn="0" w:firstRowLastColumn="0" w:lastRowFirstColumn="0" w:lastRowLastColumn="0"/>
            </w:pPr>
            <w:r w:rsidRPr="001A076D">
              <w:t>Sources</w:t>
            </w:r>
          </w:p>
        </w:tc>
        <w:tc>
          <w:tcPr>
            <w:tcW w:w="0" w:type="auto"/>
            <w:hideMark/>
          </w:tcPr>
          <w:p w14:paraId="7034B0FA" w14:textId="77777777" w:rsidR="005C78EE" w:rsidRPr="001A076D" w:rsidRDefault="005C78EE" w:rsidP="005C78EE">
            <w:pPr>
              <w:jc w:val="center"/>
              <w:cnfStyle w:val="100000000000" w:firstRow="1" w:lastRow="0" w:firstColumn="0" w:lastColumn="0" w:oddVBand="0" w:evenVBand="0" w:oddHBand="0" w:evenHBand="0" w:firstRowFirstColumn="0" w:firstRowLastColumn="0" w:lastRowFirstColumn="0" w:lastRowLastColumn="0"/>
            </w:pPr>
            <w:r w:rsidRPr="001A076D">
              <w:t>References</w:t>
            </w:r>
          </w:p>
        </w:tc>
        <w:tc>
          <w:tcPr>
            <w:tcW w:w="0" w:type="auto"/>
            <w:hideMark/>
          </w:tcPr>
          <w:p w14:paraId="30766719" w14:textId="77777777" w:rsidR="005C78EE" w:rsidRPr="001A076D" w:rsidRDefault="005C78EE" w:rsidP="005C78EE">
            <w:pPr>
              <w:jc w:val="center"/>
              <w:cnfStyle w:val="100000000000" w:firstRow="1" w:lastRow="0" w:firstColumn="0" w:lastColumn="0" w:oddVBand="0" w:evenVBand="0" w:oddHBand="0" w:evenHBand="0" w:firstRowFirstColumn="0" w:firstRowLastColumn="0" w:lastRowFirstColumn="0" w:lastRowLastColumn="0"/>
            </w:pPr>
            <w:r w:rsidRPr="001A076D">
              <w:t>Interpretation</w:t>
            </w:r>
          </w:p>
        </w:tc>
      </w:tr>
      <w:tr w:rsidR="005C78EE" w:rsidRPr="001A076D" w14:paraId="644AB7FC"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369B487A" w14:textId="77777777" w:rsidR="005C78EE" w:rsidRPr="001A076D" w:rsidRDefault="005C78EE" w:rsidP="005C78EE">
            <w:pPr>
              <w:rPr>
                <w:b w:val="0"/>
                <w:bCs w:val="0"/>
              </w:rPr>
            </w:pPr>
            <w:r w:rsidRPr="001A076D">
              <w:t>Governance Maturity</w:t>
            </w:r>
          </w:p>
        </w:tc>
        <w:tc>
          <w:tcPr>
            <w:tcW w:w="0" w:type="auto"/>
            <w:hideMark/>
          </w:tcPr>
          <w:p w14:paraId="7E383EEB"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4ED2ABF7"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53</w:t>
            </w:r>
          </w:p>
        </w:tc>
        <w:tc>
          <w:tcPr>
            <w:tcW w:w="0" w:type="auto"/>
            <w:hideMark/>
          </w:tcPr>
          <w:p w14:paraId="031C0078"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Most dominant theme linked to accountability and trust</w:t>
            </w:r>
          </w:p>
        </w:tc>
      </w:tr>
      <w:tr w:rsidR="005C78EE" w:rsidRPr="001A076D" w14:paraId="3B5A88C9"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218127D3" w14:textId="77777777" w:rsidR="005C78EE" w:rsidRPr="001A076D" w:rsidRDefault="005C78EE" w:rsidP="005C78EE">
            <w:r w:rsidRPr="001A076D">
              <w:t>Trust &amp; Explainability</w:t>
            </w:r>
          </w:p>
        </w:tc>
        <w:tc>
          <w:tcPr>
            <w:tcW w:w="0" w:type="auto"/>
            <w:hideMark/>
          </w:tcPr>
          <w:p w14:paraId="72E19BFF"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542A7761"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40</w:t>
            </w:r>
          </w:p>
        </w:tc>
        <w:tc>
          <w:tcPr>
            <w:tcW w:w="0" w:type="auto"/>
            <w:hideMark/>
          </w:tcPr>
          <w:p w14:paraId="7C3293BC"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Strong emphasis on transparency and executive confidence</w:t>
            </w:r>
          </w:p>
        </w:tc>
      </w:tr>
      <w:tr w:rsidR="005C78EE" w:rsidRPr="001A076D" w14:paraId="246922E3"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1B3E59AB" w14:textId="77777777" w:rsidR="005C78EE" w:rsidRPr="001A076D" w:rsidRDefault="005C78EE" w:rsidP="005C78EE">
            <w:r w:rsidRPr="001A076D">
              <w:t>Strategic Embedding</w:t>
            </w:r>
          </w:p>
        </w:tc>
        <w:tc>
          <w:tcPr>
            <w:tcW w:w="0" w:type="auto"/>
            <w:hideMark/>
          </w:tcPr>
          <w:p w14:paraId="4202B602"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7D0D501A"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30</w:t>
            </w:r>
          </w:p>
        </w:tc>
        <w:tc>
          <w:tcPr>
            <w:tcW w:w="0" w:type="auto"/>
            <w:hideMark/>
          </w:tcPr>
          <w:p w14:paraId="02C6EC6F"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Analytics increasingly influencing strategic decisions</w:t>
            </w:r>
          </w:p>
        </w:tc>
      </w:tr>
      <w:tr w:rsidR="005C78EE" w:rsidRPr="001A076D" w14:paraId="51A4A094"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706C19A8" w14:textId="77777777" w:rsidR="005C78EE" w:rsidRPr="001A076D" w:rsidRDefault="005C78EE" w:rsidP="005C78EE">
            <w:r w:rsidRPr="001A076D">
              <w:t>Organisational Readiness</w:t>
            </w:r>
          </w:p>
        </w:tc>
        <w:tc>
          <w:tcPr>
            <w:tcW w:w="0" w:type="auto"/>
            <w:hideMark/>
          </w:tcPr>
          <w:p w14:paraId="7E2145E7"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5D83A321"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32</w:t>
            </w:r>
          </w:p>
        </w:tc>
        <w:tc>
          <w:tcPr>
            <w:tcW w:w="0" w:type="auto"/>
            <w:hideMark/>
          </w:tcPr>
          <w:p w14:paraId="1E161EB4"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Leadership alignment and culture strongly influence adoption</w:t>
            </w:r>
          </w:p>
        </w:tc>
      </w:tr>
      <w:tr w:rsidR="005C78EE" w:rsidRPr="001A076D" w14:paraId="4090C868"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33B128A8" w14:textId="77777777" w:rsidR="005C78EE" w:rsidRPr="001A076D" w:rsidRDefault="005C78EE" w:rsidP="005C78EE">
            <w:r w:rsidRPr="001A076D">
              <w:t>Predictive Analytics Capability</w:t>
            </w:r>
          </w:p>
        </w:tc>
        <w:tc>
          <w:tcPr>
            <w:tcW w:w="0" w:type="auto"/>
            <w:hideMark/>
          </w:tcPr>
          <w:p w14:paraId="2E71752C"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51A8DF0B"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20</w:t>
            </w:r>
          </w:p>
        </w:tc>
        <w:tc>
          <w:tcPr>
            <w:tcW w:w="0" w:type="auto"/>
            <w:hideMark/>
          </w:tcPr>
          <w:p w14:paraId="56817C77"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Technical capability exists but varies across functions</w:t>
            </w:r>
          </w:p>
        </w:tc>
      </w:tr>
      <w:tr w:rsidR="005C78EE" w:rsidRPr="001A076D" w14:paraId="7C10E216"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0D651C32" w14:textId="77777777" w:rsidR="005C78EE" w:rsidRPr="001A076D" w:rsidRDefault="005C78EE" w:rsidP="005C78EE">
            <w:r w:rsidRPr="001A076D">
              <w:t>Barriers &amp; Enablers</w:t>
            </w:r>
          </w:p>
        </w:tc>
        <w:tc>
          <w:tcPr>
            <w:tcW w:w="0" w:type="auto"/>
            <w:hideMark/>
          </w:tcPr>
          <w:p w14:paraId="7AF7588B"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8</w:t>
            </w:r>
          </w:p>
        </w:tc>
        <w:tc>
          <w:tcPr>
            <w:tcW w:w="0" w:type="auto"/>
            <w:hideMark/>
          </w:tcPr>
          <w:p w14:paraId="7E0CB70A" w14:textId="77777777" w:rsidR="005C78EE" w:rsidRPr="001A076D" w:rsidRDefault="005C78EE" w:rsidP="005C78EE">
            <w:pPr>
              <w:jc w:val="center"/>
              <w:cnfStyle w:val="000000000000" w:firstRow="0" w:lastRow="0" w:firstColumn="0" w:lastColumn="0" w:oddVBand="0" w:evenVBand="0" w:oddHBand="0" w:evenHBand="0" w:firstRowFirstColumn="0" w:firstRowLastColumn="0" w:lastRowFirstColumn="0" w:lastRowLastColumn="0"/>
            </w:pPr>
            <w:r w:rsidRPr="001A076D">
              <w:t>26</w:t>
            </w:r>
          </w:p>
        </w:tc>
        <w:tc>
          <w:tcPr>
            <w:tcW w:w="0" w:type="auto"/>
            <w:hideMark/>
          </w:tcPr>
          <w:p w14:paraId="48D70613" w14:textId="77777777" w:rsidR="005C78EE" w:rsidRPr="001A076D" w:rsidRDefault="005C78EE" w:rsidP="005C78EE">
            <w:pPr>
              <w:cnfStyle w:val="000000000000" w:firstRow="0" w:lastRow="0" w:firstColumn="0" w:lastColumn="0" w:oddVBand="0" w:evenVBand="0" w:oddHBand="0" w:evenHBand="0" w:firstRowFirstColumn="0" w:firstRowLastColumn="0" w:lastRowFirstColumn="0" w:lastRowLastColumn="0"/>
            </w:pPr>
            <w:r w:rsidRPr="001A076D">
              <w:t>Structural and cultural factors affect adoption</w:t>
            </w:r>
          </w:p>
        </w:tc>
      </w:tr>
    </w:tbl>
    <w:p w14:paraId="28F8CE87" w14:textId="77777777" w:rsidR="00471A8D" w:rsidRPr="001A076D" w:rsidRDefault="00471A8D" w:rsidP="00471A8D">
      <w:pPr>
        <w:rPr>
          <w:b/>
          <w:bCs/>
        </w:rPr>
      </w:pPr>
    </w:p>
    <w:p w14:paraId="248DD0F6" w14:textId="4870C315" w:rsidR="00471A8D" w:rsidRPr="001A076D" w:rsidRDefault="00471A8D" w:rsidP="00471A8D">
      <w:pPr>
        <w:rPr>
          <w:b/>
          <w:bCs/>
        </w:rPr>
      </w:pPr>
      <w:r w:rsidRPr="001A076D">
        <w:rPr>
          <w:b/>
          <w:bCs/>
        </w:rPr>
        <w:t>Table A6.3 – Cross-Thematic Relationship Matrix</w:t>
      </w:r>
    </w:p>
    <w:p w14:paraId="69EBB0AE" w14:textId="77777777" w:rsidR="00471A8D" w:rsidRPr="001A076D" w:rsidRDefault="00471A8D" w:rsidP="00471A8D">
      <w:pPr>
        <w:rPr>
          <w:b/>
          <w:bCs/>
        </w:rPr>
      </w:pPr>
    </w:p>
    <w:tbl>
      <w:tblPr>
        <w:tblStyle w:val="GridTable1Light"/>
        <w:tblW w:w="0" w:type="auto"/>
        <w:tblLook w:val="04A0" w:firstRow="1" w:lastRow="0" w:firstColumn="1" w:lastColumn="0" w:noHBand="0" w:noVBand="1"/>
      </w:tblPr>
      <w:tblGrid>
        <w:gridCol w:w="2910"/>
        <w:gridCol w:w="2348"/>
        <w:gridCol w:w="4184"/>
      </w:tblGrid>
      <w:tr w:rsidR="00471A8D" w:rsidRPr="001A076D" w14:paraId="4F6C03E0" w14:textId="77777777" w:rsidTr="00F82B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963419" w14:textId="77777777" w:rsidR="00471A8D" w:rsidRPr="001A076D" w:rsidRDefault="00471A8D" w:rsidP="00471A8D">
            <w:pPr>
              <w:jc w:val="center"/>
            </w:pPr>
            <w:r w:rsidRPr="001A076D">
              <w:t>Primary Theme</w:t>
            </w:r>
          </w:p>
        </w:tc>
        <w:tc>
          <w:tcPr>
            <w:tcW w:w="0" w:type="auto"/>
            <w:hideMark/>
          </w:tcPr>
          <w:p w14:paraId="70598EE7" w14:textId="77777777" w:rsidR="00471A8D" w:rsidRPr="001A076D" w:rsidRDefault="00471A8D" w:rsidP="00471A8D">
            <w:pPr>
              <w:jc w:val="center"/>
              <w:cnfStyle w:val="100000000000" w:firstRow="1" w:lastRow="0" w:firstColumn="0" w:lastColumn="0" w:oddVBand="0" w:evenVBand="0" w:oddHBand="0" w:evenHBand="0" w:firstRowFirstColumn="0" w:firstRowLastColumn="0" w:lastRowFirstColumn="0" w:lastRowLastColumn="0"/>
            </w:pPr>
            <w:r w:rsidRPr="001A076D">
              <w:t>Related Theme</w:t>
            </w:r>
          </w:p>
        </w:tc>
        <w:tc>
          <w:tcPr>
            <w:tcW w:w="0" w:type="auto"/>
            <w:hideMark/>
          </w:tcPr>
          <w:p w14:paraId="36CC1C72" w14:textId="77777777" w:rsidR="00471A8D" w:rsidRPr="001A076D" w:rsidRDefault="00471A8D" w:rsidP="00471A8D">
            <w:pPr>
              <w:jc w:val="center"/>
              <w:cnfStyle w:val="100000000000" w:firstRow="1" w:lastRow="0" w:firstColumn="0" w:lastColumn="0" w:oddVBand="0" w:evenVBand="0" w:oddHBand="0" w:evenHBand="0" w:firstRowFirstColumn="0" w:firstRowLastColumn="0" w:lastRowFirstColumn="0" w:lastRowLastColumn="0"/>
            </w:pPr>
            <w:r w:rsidRPr="001A076D">
              <w:t>Nature of Relationship</w:t>
            </w:r>
          </w:p>
        </w:tc>
      </w:tr>
      <w:tr w:rsidR="00471A8D" w:rsidRPr="001A076D" w14:paraId="032A1A83"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7DDD86A2" w14:textId="77777777" w:rsidR="00471A8D" w:rsidRPr="001A076D" w:rsidRDefault="00471A8D" w:rsidP="00471A8D">
            <w:pPr>
              <w:rPr>
                <w:b w:val="0"/>
                <w:bCs w:val="0"/>
              </w:rPr>
            </w:pPr>
            <w:r w:rsidRPr="001A076D">
              <w:t>Governance Maturity</w:t>
            </w:r>
          </w:p>
        </w:tc>
        <w:tc>
          <w:tcPr>
            <w:tcW w:w="0" w:type="auto"/>
            <w:hideMark/>
          </w:tcPr>
          <w:p w14:paraId="3682E206"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Trust &amp; Explainability</w:t>
            </w:r>
          </w:p>
        </w:tc>
        <w:tc>
          <w:tcPr>
            <w:tcW w:w="0" w:type="auto"/>
            <w:hideMark/>
          </w:tcPr>
          <w:p w14:paraId="5625CCAE"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Governance increases confidence in analytics outputs</w:t>
            </w:r>
          </w:p>
        </w:tc>
      </w:tr>
      <w:tr w:rsidR="00471A8D" w:rsidRPr="001A076D" w14:paraId="0B40311E"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0147CB44" w14:textId="77777777" w:rsidR="00471A8D" w:rsidRPr="001A076D" w:rsidRDefault="00471A8D" w:rsidP="00471A8D">
            <w:r w:rsidRPr="001A076D">
              <w:t>Trust &amp; Explainability</w:t>
            </w:r>
          </w:p>
        </w:tc>
        <w:tc>
          <w:tcPr>
            <w:tcW w:w="0" w:type="auto"/>
            <w:hideMark/>
          </w:tcPr>
          <w:p w14:paraId="3A4DA19C"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Strategic Embedding</w:t>
            </w:r>
          </w:p>
        </w:tc>
        <w:tc>
          <w:tcPr>
            <w:tcW w:w="0" w:type="auto"/>
            <w:hideMark/>
          </w:tcPr>
          <w:p w14:paraId="4F3DA718"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Trust enables strategic adoption</w:t>
            </w:r>
          </w:p>
        </w:tc>
      </w:tr>
      <w:tr w:rsidR="00471A8D" w:rsidRPr="001A076D" w14:paraId="3EEC8CC1"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38A906DE" w14:textId="77777777" w:rsidR="00471A8D" w:rsidRPr="001A076D" w:rsidRDefault="00471A8D" w:rsidP="00471A8D">
            <w:r w:rsidRPr="001A076D">
              <w:t>Organisational Readiness</w:t>
            </w:r>
          </w:p>
        </w:tc>
        <w:tc>
          <w:tcPr>
            <w:tcW w:w="0" w:type="auto"/>
            <w:hideMark/>
          </w:tcPr>
          <w:p w14:paraId="47794A9D"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Strategic Embedding</w:t>
            </w:r>
          </w:p>
        </w:tc>
        <w:tc>
          <w:tcPr>
            <w:tcW w:w="0" w:type="auto"/>
            <w:hideMark/>
          </w:tcPr>
          <w:p w14:paraId="13304C51"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Cultural readiness influences integration</w:t>
            </w:r>
          </w:p>
        </w:tc>
      </w:tr>
      <w:tr w:rsidR="00471A8D" w:rsidRPr="001A076D" w14:paraId="08BB4C98"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13E08CFA" w14:textId="77777777" w:rsidR="00471A8D" w:rsidRPr="001A076D" w:rsidRDefault="00471A8D" w:rsidP="00471A8D">
            <w:r w:rsidRPr="001A076D">
              <w:t>Predictive Analytics Capability</w:t>
            </w:r>
          </w:p>
        </w:tc>
        <w:tc>
          <w:tcPr>
            <w:tcW w:w="0" w:type="auto"/>
            <w:hideMark/>
          </w:tcPr>
          <w:p w14:paraId="288D0387"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Strategic Embedding</w:t>
            </w:r>
          </w:p>
        </w:tc>
        <w:tc>
          <w:tcPr>
            <w:tcW w:w="0" w:type="auto"/>
            <w:hideMark/>
          </w:tcPr>
          <w:p w14:paraId="44CD0811" w14:textId="4C29FD03"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Capability alone </w:t>
            </w:r>
            <w:r w:rsidR="00160B40" w:rsidRPr="001A076D">
              <w:t xml:space="preserve">is </w:t>
            </w:r>
            <w:r w:rsidRPr="001A076D">
              <w:t>insufficient without trust</w:t>
            </w:r>
          </w:p>
        </w:tc>
      </w:tr>
      <w:tr w:rsidR="00471A8D" w:rsidRPr="001A076D" w14:paraId="42329FF4"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14762396" w14:textId="77777777" w:rsidR="00471A8D" w:rsidRPr="001A076D" w:rsidRDefault="00471A8D" w:rsidP="00471A8D">
            <w:r w:rsidRPr="001A076D">
              <w:t>Barriers &amp; Enablers</w:t>
            </w:r>
          </w:p>
        </w:tc>
        <w:tc>
          <w:tcPr>
            <w:tcW w:w="0" w:type="auto"/>
            <w:hideMark/>
          </w:tcPr>
          <w:p w14:paraId="133FE618"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Organisational Readiness</w:t>
            </w:r>
          </w:p>
        </w:tc>
        <w:tc>
          <w:tcPr>
            <w:tcW w:w="0" w:type="auto"/>
            <w:hideMark/>
          </w:tcPr>
          <w:p w14:paraId="156AEDD4"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Structural barriers reduce adoption maturity</w:t>
            </w:r>
          </w:p>
        </w:tc>
      </w:tr>
    </w:tbl>
    <w:p w14:paraId="6AF15A6E" w14:textId="77777777" w:rsidR="00471A8D" w:rsidRPr="001A076D" w:rsidRDefault="00471A8D" w:rsidP="00471A8D">
      <w:pPr>
        <w:rPr>
          <w:b/>
          <w:bCs/>
        </w:rPr>
      </w:pPr>
    </w:p>
    <w:p w14:paraId="2B5465DB" w14:textId="4B5A86C7" w:rsidR="00471A8D" w:rsidRPr="001A076D" w:rsidRDefault="00471A8D" w:rsidP="00471A8D">
      <w:pPr>
        <w:rPr>
          <w:b/>
          <w:bCs/>
        </w:rPr>
      </w:pPr>
      <w:r w:rsidRPr="001A076D">
        <w:rPr>
          <w:b/>
          <w:bCs/>
        </w:rPr>
        <w:t>Table A6.4 – NVivo Coding Query Outputs</w:t>
      </w:r>
    </w:p>
    <w:p w14:paraId="636D7C69" w14:textId="77777777" w:rsidR="00471A8D" w:rsidRPr="001A076D" w:rsidRDefault="00471A8D" w:rsidP="00471A8D">
      <w:pPr>
        <w:rPr>
          <w:b/>
          <w:bCs/>
        </w:rPr>
      </w:pPr>
    </w:p>
    <w:tbl>
      <w:tblPr>
        <w:tblStyle w:val="GridTable1Light"/>
        <w:tblW w:w="0" w:type="auto"/>
        <w:tblLook w:val="04A0" w:firstRow="1" w:lastRow="0" w:firstColumn="1" w:lastColumn="0" w:noHBand="0" w:noVBand="1"/>
      </w:tblPr>
      <w:tblGrid>
        <w:gridCol w:w="1991"/>
        <w:gridCol w:w="3232"/>
        <w:gridCol w:w="4219"/>
      </w:tblGrid>
      <w:tr w:rsidR="00471A8D" w:rsidRPr="001A076D" w14:paraId="5F6856D4" w14:textId="77777777" w:rsidTr="00F82B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D45B59" w14:textId="77777777" w:rsidR="00471A8D" w:rsidRPr="001A076D" w:rsidRDefault="00471A8D" w:rsidP="00471A8D">
            <w:pPr>
              <w:jc w:val="center"/>
            </w:pPr>
            <w:r w:rsidRPr="001A076D">
              <w:t>Query Type</w:t>
            </w:r>
          </w:p>
        </w:tc>
        <w:tc>
          <w:tcPr>
            <w:tcW w:w="0" w:type="auto"/>
            <w:hideMark/>
          </w:tcPr>
          <w:p w14:paraId="70C14889" w14:textId="77777777" w:rsidR="00471A8D" w:rsidRPr="001A076D" w:rsidRDefault="00471A8D" w:rsidP="00471A8D">
            <w:pPr>
              <w:jc w:val="center"/>
              <w:cnfStyle w:val="100000000000" w:firstRow="1" w:lastRow="0" w:firstColumn="0" w:lastColumn="0" w:oddVBand="0" w:evenVBand="0" w:oddHBand="0" w:evenHBand="0" w:firstRowFirstColumn="0" w:firstRowLastColumn="0" w:lastRowFirstColumn="0" w:lastRowLastColumn="0"/>
            </w:pPr>
            <w:r w:rsidRPr="001A076D">
              <w:t>Purpose</w:t>
            </w:r>
          </w:p>
        </w:tc>
        <w:tc>
          <w:tcPr>
            <w:tcW w:w="0" w:type="auto"/>
            <w:hideMark/>
          </w:tcPr>
          <w:p w14:paraId="42089C7E" w14:textId="77777777" w:rsidR="00471A8D" w:rsidRPr="001A076D" w:rsidRDefault="00471A8D" w:rsidP="00471A8D">
            <w:pPr>
              <w:jc w:val="center"/>
              <w:cnfStyle w:val="100000000000" w:firstRow="1" w:lastRow="0" w:firstColumn="0" w:lastColumn="0" w:oddVBand="0" w:evenVBand="0" w:oddHBand="0" w:evenHBand="0" w:firstRowFirstColumn="0" w:firstRowLastColumn="0" w:lastRowFirstColumn="0" w:lastRowLastColumn="0"/>
            </w:pPr>
            <w:r w:rsidRPr="001A076D">
              <w:t>Outcome</w:t>
            </w:r>
          </w:p>
        </w:tc>
      </w:tr>
      <w:tr w:rsidR="00471A8D" w:rsidRPr="001A076D" w14:paraId="33A49E38"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40D7E0AD" w14:textId="77777777" w:rsidR="00471A8D" w:rsidRPr="001A076D" w:rsidRDefault="00471A8D" w:rsidP="007F1EF3">
            <w:pPr>
              <w:jc w:val="center"/>
              <w:rPr>
                <w:b w:val="0"/>
                <w:bCs w:val="0"/>
              </w:rPr>
            </w:pPr>
            <w:r w:rsidRPr="001A076D">
              <w:t>Word Frequency Query</w:t>
            </w:r>
          </w:p>
        </w:tc>
        <w:tc>
          <w:tcPr>
            <w:tcW w:w="0" w:type="auto"/>
            <w:hideMark/>
          </w:tcPr>
          <w:p w14:paraId="34D328A3" w14:textId="31823C0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Identify </w:t>
            </w:r>
            <w:r w:rsidR="0088535B" w:rsidRPr="001A076D">
              <w:t>dominant,</w:t>
            </w:r>
            <w:r w:rsidRPr="001A076D">
              <w:t xml:space="preserve"> recurring concepts</w:t>
            </w:r>
          </w:p>
        </w:tc>
        <w:tc>
          <w:tcPr>
            <w:tcW w:w="0" w:type="auto"/>
            <w:hideMark/>
          </w:tcPr>
          <w:p w14:paraId="23CABC40" w14:textId="2B8C41CA"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Governance, trust, accountability, </w:t>
            </w:r>
            <w:r w:rsidR="00160B40" w:rsidRPr="001A076D">
              <w:t xml:space="preserve">and </w:t>
            </w:r>
            <w:r w:rsidRPr="001A076D">
              <w:t>transparency emerged strongly</w:t>
            </w:r>
          </w:p>
        </w:tc>
      </w:tr>
      <w:tr w:rsidR="00471A8D" w:rsidRPr="001A076D" w14:paraId="3D6C5373"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4D56A24F" w14:textId="77777777" w:rsidR="00471A8D" w:rsidRPr="001A076D" w:rsidRDefault="00471A8D" w:rsidP="007F1EF3">
            <w:pPr>
              <w:jc w:val="center"/>
            </w:pPr>
            <w:r w:rsidRPr="001A076D">
              <w:t>Matrix Coding Query</w:t>
            </w:r>
          </w:p>
        </w:tc>
        <w:tc>
          <w:tcPr>
            <w:tcW w:w="0" w:type="auto"/>
            <w:hideMark/>
          </w:tcPr>
          <w:p w14:paraId="0F9D93FC"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Examine relationships between themes</w:t>
            </w:r>
          </w:p>
        </w:tc>
        <w:tc>
          <w:tcPr>
            <w:tcW w:w="0" w:type="auto"/>
            <w:hideMark/>
          </w:tcPr>
          <w:p w14:paraId="2B42D183" w14:textId="5A534CE3"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Governance and trust </w:t>
            </w:r>
            <w:r w:rsidR="00160B40" w:rsidRPr="001A076D">
              <w:t xml:space="preserve">are </w:t>
            </w:r>
            <w:r w:rsidRPr="001A076D">
              <w:t>strongly associated with strategic embedding</w:t>
            </w:r>
          </w:p>
        </w:tc>
      </w:tr>
      <w:tr w:rsidR="00471A8D" w:rsidRPr="001A076D" w14:paraId="38B1230E"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7FCA39D7" w14:textId="77777777" w:rsidR="00471A8D" w:rsidRPr="001A076D" w:rsidRDefault="00471A8D" w:rsidP="007F1EF3">
            <w:pPr>
              <w:jc w:val="center"/>
            </w:pPr>
            <w:r w:rsidRPr="001A076D">
              <w:t>Coding Density Analysis</w:t>
            </w:r>
          </w:p>
        </w:tc>
        <w:tc>
          <w:tcPr>
            <w:tcW w:w="0" w:type="auto"/>
            <w:hideMark/>
          </w:tcPr>
          <w:p w14:paraId="0C19EFDC" w14:textId="38D43493"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Assess </w:t>
            </w:r>
            <w:r w:rsidR="00160B40" w:rsidRPr="001A076D">
              <w:t xml:space="preserve">the </w:t>
            </w:r>
            <w:r w:rsidRPr="001A076D">
              <w:t>concentration of thematic references</w:t>
            </w:r>
          </w:p>
        </w:tc>
        <w:tc>
          <w:tcPr>
            <w:tcW w:w="0" w:type="auto"/>
            <w:hideMark/>
          </w:tcPr>
          <w:p w14:paraId="5A137D0C" w14:textId="6164DB59"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Governance maturity recorded </w:t>
            </w:r>
            <w:r w:rsidR="00160B40" w:rsidRPr="001A076D">
              <w:t xml:space="preserve">the </w:t>
            </w:r>
            <w:r w:rsidRPr="001A076D">
              <w:t>highest coding density</w:t>
            </w:r>
          </w:p>
        </w:tc>
      </w:tr>
      <w:tr w:rsidR="00471A8D" w:rsidRPr="001A076D" w14:paraId="4A5E2D1E" w14:textId="77777777" w:rsidTr="00F82BDF">
        <w:tc>
          <w:tcPr>
            <w:cnfStyle w:val="001000000000" w:firstRow="0" w:lastRow="0" w:firstColumn="1" w:lastColumn="0" w:oddVBand="0" w:evenVBand="0" w:oddHBand="0" w:evenHBand="0" w:firstRowFirstColumn="0" w:firstRowLastColumn="0" w:lastRowFirstColumn="0" w:lastRowLastColumn="0"/>
            <w:tcW w:w="0" w:type="auto"/>
            <w:hideMark/>
          </w:tcPr>
          <w:p w14:paraId="7E9AA6ED" w14:textId="77777777" w:rsidR="00471A8D" w:rsidRPr="001A076D" w:rsidRDefault="00471A8D" w:rsidP="007F1EF3">
            <w:pPr>
              <w:jc w:val="center"/>
            </w:pPr>
            <w:r w:rsidRPr="001A076D">
              <w:t>Text Search Query</w:t>
            </w:r>
          </w:p>
        </w:tc>
        <w:tc>
          <w:tcPr>
            <w:tcW w:w="0" w:type="auto"/>
            <w:hideMark/>
          </w:tcPr>
          <w:p w14:paraId="0E02BFF2" w14:textId="77777777"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Explore repeated references to predictive analytics</w:t>
            </w:r>
          </w:p>
        </w:tc>
        <w:tc>
          <w:tcPr>
            <w:tcW w:w="0" w:type="auto"/>
            <w:hideMark/>
          </w:tcPr>
          <w:p w14:paraId="1A8A6555" w14:textId="77FAE4C2" w:rsidR="00471A8D" w:rsidRPr="001A076D" w:rsidRDefault="00471A8D" w:rsidP="00471A8D">
            <w:pPr>
              <w:cnfStyle w:val="000000000000" w:firstRow="0" w:lastRow="0" w:firstColumn="0" w:lastColumn="0" w:oddVBand="0" w:evenVBand="0" w:oddHBand="0" w:evenHBand="0" w:firstRowFirstColumn="0" w:firstRowLastColumn="0" w:lastRowFirstColumn="0" w:lastRowLastColumn="0"/>
            </w:pPr>
            <w:r w:rsidRPr="001A076D">
              <w:t xml:space="preserve">Frequent links between trust and explainability </w:t>
            </w:r>
            <w:r w:rsidR="00160B40" w:rsidRPr="001A076D">
              <w:t xml:space="preserve">were </w:t>
            </w:r>
            <w:r w:rsidRPr="001A076D">
              <w:t>identified</w:t>
            </w:r>
          </w:p>
        </w:tc>
      </w:tr>
    </w:tbl>
    <w:p w14:paraId="71DC50CC" w14:textId="20946A81" w:rsidR="00294145" w:rsidRDefault="00294145" w:rsidP="00294145">
      <w:pPr>
        <w:pStyle w:val="Heading2"/>
        <w:rPr>
          <w:rFonts w:ascii="Times New Roman" w:hAnsi="Times New Roman" w:cs="Times New Roman"/>
          <w:b/>
          <w:bCs/>
          <w:color w:val="auto"/>
        </w:rPr>
      </w:pPr>
      <w:r w:rsidRPr="001A076D">
        <w:rPr>
          <w:rFonts w:ascii="Times New Roman" w:hAnsi="Times New Roman" w:cs="Times New Roman"/>
          <w:b/>
          <w:bCs/>
          <w:color w:val="auto"/>
        </w:rPr>
        <w:lastRenderedPageBreak/>
        <w:t>Appendix 7: Interview Participant Profile Summary</w:t>
      </w:r>
    </w:p>
    <w:p w14:paraId="1644E86B" w14:textId="502B85DF" w:rsidR="00821279" w:rsidRPr="00821279" w:rsidRDefault="00821279" w:rsidP="00821279">
      <w:pPr>
        <w:jc w:val="both"/>
      </w:pPr>
      <w:r>
        <w:t>This appendix presents a summary of the participants who took part in the qualitative phase of the study. It includes anonymised participant profiles, organisational roles, functional areas, interview modes, interview durations, and participant summary statistics. The appendix provides contextual information about the interview sample and demonstrates the breadth of senior expertise represented in the qualitative data used to support the thematic analysis presented in Chapter 4.</w:t>
      </w:r>
    </w:p>
    <w:p w14:paraId="2C148EE8" w14:textId="77777777" w:rsidR="00294145" w:rsidRPr="001A076D" w:rsidRDefault="00294145" w:rsidP="00294145">
      <w:pPr>
        <w:spacing w:before="100" w:beforeAutospacing="1" w:after="100" w:afterAutospacing="1"/>
      </w:pPr>
      <w:r w:rsidRPr="001A076D">
        <w:rPr>
          <w:b/>
          <w:bCs/>
        </w:rPr>
        <w:t>Table A7.1: Summary of Interview Participants</w:t>
      </w:r>
    </w:p>
    <w:tbl>
      <w:tblPr>
        <w:tblStyle w:val="GridTable1Light"/>
        <w:tblW w:w="0" w:type="auto"/>
        <w:tblLook w:val="04A0" w:firstRow="1" w:lastRow="0" w:firstColumn="1" w:lastColumn="0" w:noHBand="0" w:noVBand="1"/>
      </w:tblPr>
      <w:tblGrid>
        <w:gridCol w:w="1376"/>
        <w:gridCol w:w="2977"/>
        <w:gridCol w:w="2465"/>
        <w:gridCol w:w="1431"/>
        <w:gridCol w:w="1193"/>
      </w:tblGrid>
      <w:tr w:rsidR="00294145" w:rsidRPr="001A076D" w14:paraId="4B49910E" w14:textId="77777777" w:rsidTr="002941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BBB2A3B" w14:textId="77777777" w:rsidR="00294145" w:rsidRPr="001A076D" w:rsidRDefault="00294145" w:rsidP="000E49D9">
            <w:pPr>
              <w:jc w:val="center"/>
            </w:pPr>
            <w:r w:rsidRPr="001A076D">
              <w:t>Participant</w:t>
            </w:r>
          </w:p>
        </w:tc>
        <w:tc>
          <w:tcPr>
            <w:tcW w:w="0" w:type="auto"/>
            <w:vAlign w:val="center"/>
            <w:hideMark/>
          </w:tcPr>
          <w:p w14:paraId="464FEC01" w14:textId="77777777" w:rsidR="00294145" w:rsidRPr="001A076D" w:rsidRDefault="00294145" w:rsidP="000E49D9">
            <w:pPr>
              <w:jc w:val="center"/>
              <w:cnfStyle w:val="100000000000" w:firstRow="1" w:lastRow="0" w:firstColumn="0" w:lastColumn="0" w:oddVBand="0" w:evenVBand="0" w:oddHBand="0" w:evenHBand="0" w:firstRowFirstColumn="0" w:firstRowLastColumn="0" w:lastRowFirstColumn="0" w:lastRowLastColumn="0"/>
            </w:pPr>
            <w:r w:rsidRPr="001A076D">
              <w:t>Position</w:t>
            </w:r>
          </w:p>
        </w:tc>
        <w:tc>
          <w:tcPr>
            <w:tcW w:w="0" w:type="auto"/>
            <w:vAlign w:val="center"/>
            <w:hideMark/>
          </w:tcPr>
          <w:p w14:paraId="031DC2A6" w14:textId="77777777" w:rsidR="00294145" w:rsidRPr="001A076D" w:rsidRDefault="00294145" w:rsidP="000E49D9">
            <w:pPr>
              <w:jc w:val="center"/>
              <w:cnfStyle w:val="100000000000" w:firstRow="1" w:lastRow="0" w:firstColumn="0" w:lastColumn="0" w:oddVBand="0" w:evenVBand="0" w:oddHBand="0" w:evenHBand="0" w:firstRowFirstColumn="0" w:firstRowLastColumn="0" w:lastRowFirstColumn="0" w:lastRowLastColumn="0"/>
            </w:pPr>
            <w:r w:rsidRPr="001A076D">
              <w:t>Functional Area</w:t>
            </w:r>
          </w:p>
        </w:tc>
        <w:tc>
          <w:tcPr>
            <w:tcW w:w="0" w:type="auto"/>
            <w:vAlign w:val="center"/>
            <w:hideMark/>
          </w:tcPr>
          <w:p w14:paraId="27C11D71" w14:textId="77777777" w:rsidR="00294145" w:rsidRPr="001A076D" w:rsidRDefault="00294145" w:rsidP="000E49D9">
            <w:pPr>
              <w:jc w:val="center"/>
              <w:cnfStyle w:val="100000000000" w:firstRow="1" w:lastRow="0" w:firstColumn="0" w:lastColumn="0" w:oddVBand="0" w:evenVBand="0" w:oddHBand="0" w:evenHBand="0" w:firstRowFirstColumn="0" w:firstRowLastColumn="0" w:lastRowFirstColumn="0" w:lastRowLastColumn="0"/>
            </w:pPr>
            <w:r w:rsidRPr="001A076D">
              <w:t>Interview Mode</w:t>
            </w:r>
          </w:p>
        </w:tc>
        <w:tc>
          <w:tcPr>
            <w:tcW w:w="0" w:type="auto"/>
            <w:vAlign w:val="center"/>
            <w:hideMark/>
          </w:tcPr>
          <w:p w14:paraId="3693484D" w14:textId="77777777" w:rsidR="00294145" w:rsidRPr="001A076D" w:rsidRDefault="00294145" w:rsidP="000E49D9">
            <w:pPr>
              <w:jc w:val="center"/>
              <w:cnfStyle w:val="100000000000" w:firstRow="1" w:lastRow="0" w:firstColumn="0" w:lastColumn="0" w:oddVBand="0" w:evenVBand="0" w:oddHBand="0" w:evenHBand="0" w:firstRowFirstColumn="0" w:firstRowLastColumn="0" w:lastRowFirstColumn="0" w:lastRowLastColumn="0"/>
            </w:pPr>
            <w:r w:rsidRPr="001A076D">
              <w:t>Duration</w:t>
            </w:r>
          </w:p>
        </w:tc>
      </w:tr>
      <w:tr w:rsidR="00294145" w:rsidRPr="001A076D" w14:paraId="52573A5F"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04EB32E" w14:textId="77777777" w:rsidR="00294145" w:rsidRPr="001A076D" w:rsidRDefault="00294145" w:rsidP="002F1694">
            <w:pPr>
              <w:jc w:val="center"/>
            </w:pPr>
            <w:r w:rsidRPr="001A076D">
              <w:t>P1</w:t>
            </w:r>
          </w:p>
        </w:tc>
        <w:tc>
          <w:tcPr>
            <w:tcW w:w="0" w:type="auto"/>
            <w:vAlign w:val="center"/>
            <w:hideMark/>
          </w:tcPr>
          <w:p w14:paraId="463CD788"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Senior Strategy &amp; Investment Executive</w:t>
            </w:r>
          </w:p>
        </w:tc>
        <w:tc>
          <w:tcPr>
            <w:tcW w:w="0" w:type="auto"/>
            <w:vAlign w:val="center"/>
            <w:hideMark/>
          </w:tcPr>
          <w:p w14:paraId="272564DC"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Group Strategy &amp; Investment Planning</w:t>
            </w:r>
          </w:p>
        </w:tc>
        <w:tc>
          <w:tcPr>
            <w:tcW w:w="0" w:type="auto"/>
            <w:vAlign w:val="center"/>
            <w:hideMark/>
          </w:tcPr>
          <w:p w14:paraId="609B0757"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36757005"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56 minutes</w:t>
            </w:r>
          </w:p>
        </w:tc>
      </w:tr>
      <w:tr w:rsidR="00294145" w:rsidRPr="001A076D" w14:paraId="353CEA6C"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7671E15" w14:textId="77777777" w:rsidR="00294145" w:rsidRPr="001A076D" w:rsidRDefault="00294145" w:rsidP="002F1694">
            <w:pPr>
              <w:jc w:val="center"/>
            </w:pPr>
            <w:r w:rsidRPr="001A076D">
              <w:t>P2</w:t>
            </w:r>
          </w:p>
        </w:tc>
        <w:tc>
          <w:tcPr>
            <w:tcW w:w="0" w:type="auto"/>
            <w:vAlign w:val="center"/>
            <w:hideMark/>
          </w:tcPr>
          <w:p w14:paraId="49FA0816"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Executive Director – Enterprise Risk &amp; Corporate Strategy</w:t>
            </w:r>
          </w:p>
        </w:tc>
        <w:tc>
          <w:tcPr>
            <w:tcW w:w="0" w:type="auto"/>
            <w:vAlign w:val="center"/>
            <w:hideMark/>
          </w:tcPr>
          <w:p w14:paraId="18150298"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Enterprise Risk &amp; Corporate Strategy</w:t>
            </w:r>
          </w:p>
        </w:tc>
        <w:tc>
          <w:tcPr>
            <w:tcW w:w="0" w:type="auto"/>
            <w:vAlign w:val="center"/>
            <w:hideMark/>
          </w:tcPr>
          <w:p w14:paraId="79114972"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273B9E84"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58 minutes</w:t>
            </w:r>
          </w:p>
        </w:tc>
      </w:tr>
      <w:tr w:rsidR="00294145" w:rsidRPr="001A076D" w14:paraId="511ACEBA"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CF9FB1C" w14:textId="77777777" w:rsidR="00294145" w:rsidRPr="001A076D" w:rsidRDefault="00294145" w:rsidP="002F1694">
            <w:pPr>
              <w:jc w:val="center"/>
            </w:pPr>
            <w:r w:rsidRPr="001A076D">
              <w:t>P3</w:t>
            </w:r>
          </w:p>
        </w:tc>
        <w:tc>
          <w:tcPr>
            <w:tcW w:w="0" w:type="auto"/>
            <w:vAlign w:val="center"/>
            <w:hideMark/>
          </w:tcPr>
          <w:p w14:paraId="1D236520"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Senior Data Engineering &amp; Architecture Manager</w:t>
            </w:r>
          </w:p>
        </w:tc>
        <w:tc>
          <w:tcPr>
            <w:tcW w:w="0" w:type="auto"/>
            <w:vAlign w:val="center"/>
            <w:hideMark/>
          </w:tcPr>
          <w:p w14:paraId="71EB2B2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Data Engineering &amp; Enterprise Architecture</w:t>
            </w:r>
          </w:p>
        </w:tc>
        <w:tc>
          <w:tcPr>
            <w:tcW w:w="0" w:type="auto"/>
            <w:vAlign w:val="center"/>
            <w:hideMark/>
          </w:tcPr>
          <w:p w14:paraId="65E36FA7"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613F3681"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55 minutes</w:t>
            </w:r>
          </w:p>
        </w:tc>
      </w:tr>
      <w:tr w:rsidR="00294145" w:rsidRPr="001A076D" w14:paraId="227789FF"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798393" w14:textId="77777777" w:rsidR="00294145" w:rsidRPr="001A076D" w:rsidRDefault="00294145" w:rsidP="002F1694">
            <w:pPr>
              <w:jc w:val="center"/>
            </w:pPr>
            <w:r w:rsidRPr="001A076D">
              <w:t>P4</w:t>
            </w:r>
          </w:p>
        </w:tc>
        <w:tc>
          <w:tcPr>
            <w:tcW w:w="0" w:type="auto"/>
            <w:vAlign w:val="center"/>
            <w:hideMark/>
          </w:tcPr>
          <w:p w14:paraId="2CB95540"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Business Data Owner &amp; Senior Data Steward</w:t>
            </w:r>
          </w:p>
        </w:tc>
        <w:tc>
          <w:tcPr>
            <w:tcW w:w="0" w:type="auto"/>
            <w:vAlign w:val="center"/>
            <w:hideMark/>
          </w:tcPr>
          <w:p w14:paraId="5D08509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Commercial &amp; Customer Data Governance</w:t>
            </w:r>
          </w:p>
        </w:tc>
        <w:tc>
          <w:tcPr>
            <w:tcW w:w="0" w:type="auto"/>
            <w:vAlign w:val="center"/>
            <w:hideMark/>
          </w:tcPr>
          <w:p w14:paraId="2308909E"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1AA0B61F"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61 minutes</w:t>
            </w:r>
          </w:p>
        </w:tc>
      </w:tr>
      <w:tr w:rsidR="00294145" w:rsidRPr="001A076D" w14:paraId="75FD1865"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EF5C118" w14:textId="77777777" w:rsidR="00294145" w:rsidRPr="001A076D" w:rsidRDefault="00294145" w:rsidP="002F1694">
            <w:pPr>
              <w:jc w:val="center"/>
            </w:pPr>
            <w:r w:rsidRPr="001A076D">
              <w:t>P5</w:t>
            </w:r>
          </w:p>
        </w:tc>
        <w:tc>
          <w:tcPr>
            <w:tcW w:w="0" w:type="auto"/>
            <w:vAlign w:val="center"/>
            <w:hideMark/>
          </w:tcPr>
          <w:p w14:paraId="14FD9E2C"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Senior Data Scientist &amp; Predictive Analytics Lead</w:t>
            </w:r>
          </w:p>
        </w:tc>
        <w:tc>
          <w:tcPr>
            <w:tcW w:w="0" w:type="auto"/>
            <w:vAlign w:val="center"/>
            <w:hideMark/>
          </w:tcPr>
          <w:p w14:paraId="60A9B96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Predictive Analytics &amp; Data Science</w:t>
            </w:r>
          </w:p>
        </w:tc>
        <w:tc>
          <w:tcPr>
            <w:tcW w:w="0" w:type="auto"/>
            <w:vAlign w:val="center"/>
            <w:hideMark/>
          </w:tcPr>
          <w:p w14:paraId="6A3A7FD4"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6146D8EE"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59 minutes</w:t>
            </w:r>
          </w:p>
        </w:tc>
      </w:tr>
      <w:tr w:rsidR="00294145" w:rsidRPr="001A076D" w14:paraId="008D8D0F"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9DD727" w14:textId="77777777" w:rsidR="00294145" w:rsidRPr="001A076D" w:rsidRDefault="00294145" w:rsidP="002F1694">
            <w:pPr>
              <w:jc w:val="center"/>
            </w:pPr>
            <w:r w:rsidRPr="001A076D">
              <w:t>P6</w:t>
            </w:r>
          </w:p>
        </w:tc>
        <w:tc>
          <w:tcPr>
            <w:tcW w:w="0" w:type="auto"/>
            <w:vAlign w:val="center"/>
            <w:hideMark/>
          </w:tcPr>
          <w:p w14:paraId="07539B69"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Head of Enterprise Architecture &amp; Data Platforms</w:t>
            </w:r>
          </w:p>
        </w:tc>
        <w:tc>
          <w:tcPr>
            <w:tcW w:w="0" w:type="auto"/>
            <w:vAlign w:val="center"/>
            <w:hideMark/>
          </w:tcPr>
          <w:p w14:paraId="2D7DAD03"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Enterprise Architecture &amp; Data Platforms</w:t>
            </w:r>
          </w:p>
        </w:tc>
        <w:tc>
          <w:tcPr>
            <w:tcW w:w="0" w:type="auto"/>
            <w:vAlign w:val="center"/>
            <w:hideMark/>
          </w:tcPr>
          <w:p w14:paraId="496329D3"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7C486668"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65 minutes</w:t>
            </w:r>
          </w:p>
        </w:tc>
      </w:tr>
      <w:tr w:rsidR="00294145" w:rsidRPr="001A076D" w14:paraId="73082E63"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16933DE" w14:textId="77777777" w:rsidR="00294145" w:rsidRPr="001A076D" w:rsidRDefault="00294145" w:rsidP="002F1694">
            <w:pPr>
              <w:jc w:val="center"/>
            </w:pPr>
            <w:r w:rsidRPr="001A076D">
              <w:t>P7</w:t>
            </w:r>
          </w:p>
        </w:tc>
        <w:tc>
          <w:tcPr>
            <w:tcW w:w="0" w:type="auto"/>
            <w:vAlign w:val="center"/>
            <w:hideMark/>
          </w:tcPr>
          <w:p w14:paraId="4BF7A710"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Head of Marketing &amp; Customer Insight</w:t>
            </w:r>
          </w:p>
        </w:tc>
        <w:tc>
          <w:tcPr>
            <w:tcW w:w="0" w:type="auto"/>
            <w:vAlign w:val="center"/>
            <w:hideMark/>
          </w:tcPr>
          <w:p w14:paraId="76D0E6D4"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Marketing &amp; Customer Analytics</w:t>
            </w:r>
          </w:p>
        </w:tc>
        <w:tc>
          <w:tcPr>
            <w:tcW w:w="0" w:type="auto"/>
            <w:vAlign w:val="center"/>
            <w:hideMark/>
          </w:tcPr>
          <w:p w14:paraId="473440EF"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3AABFCA6"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54 minutes</w:t>
            </w:r>
          </w:p>
        </w:tc>
      </w:tr>
      <w:tr w:rsidR="00294145" w:rsidRPr="001A076D" w14:paraId="2BC7EF45"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BE8941D" w14:textId="77777777" w:rsidR="00294145" w:rsidRPr="001A076D" w:rsidRDefault="00294145" w:rsidP="002F1694">
            <w:pPr>
              <w:jc w:val="center"/>
            </w:pPr>
            <w:r w:rsidRPr="001A076D">
              <w:t>P8</w:t>
            </w:r>
          </w:p>
        </w:tc>
        <w:tc>
          <w:tcPr>
            <w:tcW w:w="0" w:type="auto"/>
            <w:vAlign w:val="center"/>
            <w:hideMark/>
          </w:tcPr>
          <w:p w14:paraId="4486D1A9"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Head of Commercial Strategy &amp; Sales Performance</w:t>
            </w:r>
          </w:p>
        </w:tc>
        <w:tc>
          <w:tcPr>
            <w:tcW w:w="0" w:type="auto"/>
            <w:vAlign w:val="center"/>
            <w:hideMark/>
          </w:tcPr>
          <w:p w14:paraId="032611EC"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Commercial Strategy &amp; Pricing</w:t>
            </w:r>
          </w:p>
        </w:tc>
        <w:tc>
          <w:tcPr>
            <w:tcW w:w="0" w:type="auto"/>
            <w:vAlign w:val="center"/>
            <w:hideMark/>
          </w:tcPr>
          <w:p w14:paraId="668A2FD2"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Microsoft Teams</w:t>
            </w:r>
          </w:p>
        </w:tc>
        <w:tc>
          <w:tcPr>
            <w:tcW w:w="0" w:type="auto"/>
            <w:vAlign w:val="center"/>
            <w:hideMark/>
          </w:tcPr>
          <w:p w14:paraId="5E59881F" w14:textId="77777777" w:rsidR="00294145" w:rsidRPr="001A076D" w:rsidRDefault="00294145" w:rsidP="002F1694">
            <w:pPr>
              <w:jc w:val="center"/>
              <w:cnfStyle w:val="000000000000" w:firstRow="0" w:lastRow="0" w:firstColumn="0" w:lastColumn="0" w:oddVBand="0" w:evenVBand="0" w:oddHBand="0" w:evenHBand="0" w:firstRowFirstColumn="0" w:firstRowLastColumn="0" w:lastRowFirstColumn="0" w:lastRowLastColumn="0"/>
            </w:pPr>
            <w:r w:rsidRPr="001A076D">
              <w:t>49 minutes</w:t>
            </w:r>
          </w:p>
        </w:tc>
      </w:tr>
    </w:tbl>
    <w:p w14:paraId="3032F406" w14:textId="77777777" w:rsidR="00294145" w:rsidRPr="001A076D" w:rsidRDefault="00294145" w:rsidP="00294145">
      <w:pPr>
        <w:spacing w:before="100" w:beforeAutospacing="1" w:after="100" w:afterAutospacing="1"/>
      </w:pPr>
      <w:r w:rsidRPr="001A076D">
        <w:rPr>
          <w:b/>
          <w:bCs/>
        </w:rPr>
        <w:t>Table A7.2: Participant Summary Statistics</w:t>
      </w:r>
    </w:p>
    <w:tbl>
      <w:tblPr>
        <w:tblStyle w:val="GridTable1Light"/>
        <w:tblW w:w="0" w:type="auto"/>
        <w:tblLook w:val="04A0" w:firstRow="1" w:lastRow="0" w:firstColumn="1" w:lastColumn="0" w:noHBand="0" w:noVBand="1"/>
      </w:tblPr>
      <w:tblGrid>
        <w:gridCol w:w="2380"/>
        <w:gridCol w:w="7062"/>
      </w:tblGrid>
      <w:tr w:rsidR="00294145" w:rsidRPr="001A076D" w14:paraId="7F3F2424" w14:textId="77777777" w:rsidTr="002941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DC8485F" w14:textId="77777777" w:rsidR="00294145" w:rsidRPr="001A076D" w:rsidRDefault="00294145" w:rsidP="00294145">
            <w:r w:rsidRPr="001A076D">
              <w:t>Characteristic</w:t>
            </w:r>
          </w:p>
        </w:tc>
        <w:tc>
          <w:tcPr>
            <w:tcW w:w="0" w:type="auto"/>
            <w:vAlign w:val="center"/>
            <w:hideMark/>
          </w:tcPr>
          <w:p w14:paraId="778D3535" w14:textId="77777777" w:rsidR="00294145" w:rsidRPr="001A076D" w:rsidRDefault="00294145" w:rsidP="00294145">
            <w:pPr>
              <w:cnfStyle w:val="100000000000" w:firstRow="1" w:lastRow="0" w:firstColumn="0" w:lastColumn="0" w:oddVBand="0" w:evenVBand="0" w:oddHBand="0" w:evenHBand="0" w:firstRowFirstColumn="0" w:firstRowLastColumn="0" w:lastRowFirstColumn="0" w:lastRowLastColumn="0"/>
            </w:pPr>
            <w:r w:rsidRPr="001A076D">
              <w:t>Summary</w:t>
            </w:r>
          </w:p>
        </w:tc>
      </w:tr>
      <w:tr w:rsidR="00294145" w:rsidRPr="001A076D" w14:paraId="4E56A907"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5A7CE1" w14:textId="77777777" w:rsidR="00294145" w:rsidRPr="001A076D" w:rsidRDefault="00294145" w:rsidP="00294145">
            <w:r w:rsidRPr="001A076D">
              <w:t>Number of participants</w:t>
            </w:r>
          </w:p>
        </w:tc>
        <w:tc>
          <w:tcPr>
            <w:tcW w:w="0" w:type="auto"/>
            <w:vAlign w:val="center"/>
            <w:hideMark/>
          </w:tcPr>
          <w:p w14:paraId="0E758AB3"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8</w:t>
            </w:r>
          </w:p>
        </w:tc>
      </w:tr>
      <w:tr w:rsidR="00294145" w:rsidRPr="001A076D" w14:paraId="16EC7F8B"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9F4DA1" w14:textId="77777777" w:rsidR="00294145" w:rsidRPr="001A076D" w:rsidRDefault="00294145" w:rsidP="00294145">
            <w:r w:rsidRPr="001A076D">
              <w:t>Interview approach</w:t>
            </w:r>
          </w:p>
        </w:tc>
        <w:tc>
          <w:tcPr>
            <w:tcW w:w="0" w:type="auto"/>
            <w:vAlign w:val="center"/>
            <w:hideMark/>
          </w:tcPr>
          <w:p w14:paraId="1371FC66"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Semi-structured interviews</w:t>
            </w:r>
          </w:p>
        </w:tc>
      </w:tr>
      <w:tr w:rsidR="00294145" w:rsidRPr="001A076D" w14:paraId="6FC88DEC"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E5AA9A" w14:textId="77777777" w:rsidR="00294145" w:rsidRPr="001A076D" w:rsidRDefault="00294145" w:rsidP="00294145">
            <w:r w:rsidRPr="001A076D">
              <w:t>Interview mode</w:t>
            </w:r>
          </w:p>
        </w:tc>
        <w:tc>
          <w:tcPr>
            <w:tcW w:w="0" w:type="auto"/>
            <w:vAlign w:val="center"/>
            <w:hideMark/>
          </w:tcPr>
          <w:p w14:paraId="4ACE84C6"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Microsoft Teams</w:t>
            </w:r>
          </w:p>
        </w:tc>
      </w:tr>
      <w:tr w:rsidR="00294145" w:rsidRPr="001A076D" w14:paraId="34CBAAF0"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F98972" w14:textId="77777777" w:rsidR="00294145" w:rsidRPr="001A076D" w:rsidRDefault="00294145" w:rsidP="00294145">
            <w:r w:rsidRPr="001A076D">
              <w:t>Total interview duration</w:t>
            </w:r>
          </w:p>
        </w:tc>
        <w:tc>
          <w:tcPr>
            <w:tcW w:w="0" w:type="auto"/>
            <w:vAlign w:val="center"/>
            <w:hideMark/>
          </w:tcPr>
          <w:p w14:paraId="2F1ADE3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457 minutes (approximately 7 hours 37 minutes)</w:t>
            </w:r>
          </w:p>
        </w:tc>
      </w:tr>
      <w:tr w:rsidR="00294145" w:rsidRPr="001A076D" w14:paraId="176B0D9B"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469938E" w14:textId="77777777" w:rsidR="00294145" w:rsidRPr="001A076D" w:rsidRDefault="00294145" w:rsidP="00294145">
            <w:r w:rsidRPr="001A076D">
              <w:t>Average interview duration</w:t>
            </w:r>
          </w:p>
        </w:tc>
        <w:tc>
          <w:tcPr>
            <w:tcW w:w="0" w:type="auto"/>
            <w:vAlign w:val="center"/>
            <w:hideMark/>
          </w:tcPr>
          <w:p w14:paraId="614E644F"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57.1 minutes</w:t>
            </w:r>
          </w:p>
        </w:tc>
      </w:tr>
      <w:tr w:rsidR="00294145" w:rsidRPr="001A076D" w14:paraId="2BA00AD5"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0F5C429" w14:textId="77777777" w:rsidR="00294145" w:rsidRPr="001A076D" w:rsidRDefault="00294145" w:rsidP="00294145">
            <w:r w:rsidRPr="001A076D">
              <w:t>Duration range</w:t>
            </w:r>
          </w:p>
        </w:tc>
        <w:tc>
          <w:tcPr>
            <w:tcW w:w="0" w:type="auto"/>
            <w:vAlign w:val="center"/>
            <w:hideMark/>
          </w:tcPr>
          <w:p w14:paraId="6F730BFE" w14:textId="3AEAAE44"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4</w:t>
            </w:r>
            <w:r w:rsidR="005D7884" w:rsidRPr="001A076D">
              <w:t>5</w:t>
            </w:r>
            <w:r w:rsidRPr="001A076D">
              <w:t>–6</w:t>
            </w:r>
            <w:r w:rsidR="005D7884" w:rsidRPr="001A076D">
              <w:t>0</w:t>
            </w:r>
            <w:r w:rsidRPr="001A076D">
              <w:t xml:space="preserve"> minutes</w:t>
            </w:r>
          </w:p>
        </w:tc>
      </w:tr>
      <w:tr w:rsidR="00294145" w:rsidRPr="001A076D" w14:paraId="518CB5AF"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5CC607A" w14:textId="77777777" w:rsidR="00294145" w:rsidRPr="001A076D" w:rsidRDefault="00294145" w:rsidP="00294145">
            <w:r w:rsidRPr="001A076D">
              <w:t>Participant seniority</w:t>
            </w:r>
          </w:p>
        </w:tc>
        <w:tc>
          <w:tcPr>
            <w:tcW w:w="0" w:type="auto"/>
            <w:vAlign w:val="center"/>
            <w:hideMark/>
          </w:tcPr>
          <w:p w14:paraId="7C9DECA7"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Executive Director (1), Heads of Function (3), Senior Managers/Technical Leads (4)</w:t>
            </w:r>
          </w:p>
        </w:tc>
      </w:tr>
      <w:tr w:rsidR="00294145" w:rsidRPr="001A076D" w14:paraId="21C78829" w14:textId="77777777" w:rsidTr="0029414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22CD86" w14:textId="77777777" w:rsidR="00294145" w:rsidRPr="001A076D" w:rsidRDefault="00294145" w:rsidP="00294145">
            <w:r w:rsidRPr="001A076D">
              <w:t>Organisational focus</w:t>
            </w:r>
          </w:p>
        </w:tc>
        <w:tc>
          <w:tcPr>
            <w:tcW w:w="0" w:type="auto"/>
            <w:vAlign w:val="center"/>
            <w:hideMark/>
          </w:tcPr>
          <w:p w14:paraId="38334414" w14:textId="77777777" w:rsidR="00294145" w:rsidRPr="001A076D" w:rsidRDefault="00294145" w:rsidP="00294145">
            <w:pPr>
              <w:cnfStyle w:val="000000000000" w:firstRow="0" w:lastRow="0" w:firstColumn="0" w:lastColumn="0" w:oddVBand="0" w:evenVBand="0" w:oddHBand="0" w:evenHBand="0" w:firstRowFirstColumn="0" w:firstRowLastColumn="0" w:lastRowFirstColumn="0" w:lastRowLastColumn="0"/>
            </w:pPr>
            <w:r w:rsidRPr="001A076D">
              <w:t>Strategy, Risk, Data Engineering, Data Governance, Data Science, Enterprise Architecture, Marketing, Commercial Strategy</w:t>
            </w:r>
          </w:p>
        </w:tc>
      </w:tr>
    </w:tbl>
    <w:p w14:paraId="7EBF5F03" w14:textId="77777777" w:rsidR="00294145" w:rsidRPr="001A076D" w:rsidRDefault="00294145" w:rsidP="00294145">
      <w:pPr>
        <w:spacing w:before="100" w:beforeAutospacing="1" w:after="100" w:afterAutospacing="1"/>
      </w:pPr>
      <w:r w:rsidRPr="001A076D">
        <w:rPr>
          <w:b/>
          <w:bCs/>
        </w:rPr>
        <w:t>Appendix Note</w:t>
      </w:r>
    </w:p>
    <w:p w14:paraId="2E10E095" w14:textId="3FCC2A07" w:rsidR="00821279" w:rsidRDefault="00821279" w:rsidP="00393713">
      <w:pPr>
        <w:pStyle w:val="NormalWeb"/>
        <w:jc w:val="both"/>
      </w:pPr>
      <w:r>
        <w:lastRenderedPageBreak/>
        <w:t xml:space="preserve">Eight senior professionals from SSE plc participated in the qualitative phase of the study using purposive sampling. Participants were selected based on their direct involvement in predictive analytics, data governance, strategic decision-making, enterprise architecture, or commercial data management. To preserve confidentiality and comply with the approved ethical protocol, all participants were anonymised using participant identifiers (P1–P8). Interviews were conducted remotely via Microsoft Teams and ranged from </w:t>
      </w:r>
      <w:r w:rsidRPr="00393713">
        <w:t>4</w:t>
      </w:r>
      <w:r w:rsidR="00393713">
        <w:t>5</w:t>
      </w:r>
      <w:r w:rsidRPr="00393713">
        <w:t xml:space="preserve"> to 6</w:t>
      </w:r>
      <w:r w:rsidR="00393713">
        <w:t>0</w:t>
      </w:r>
      <w:r w:rsidRPr="00393713">
        <w:t xml:space="preserve"> minutes</w:t>
      </w:r>
      <w:r>
        <w:t xml:space="preserve">, yielding a total of </w:t>
      </w:r>
      <w:r>
        <w:rPr>
          <w:rStyle w:val="Strong"/>
        </w:rPr>
        <w:t>457 minutes</w:t>
      </w:r>
      <w:r>
        <w:t xml:space="preserve"> (approximately </w:t>
      </w:r>
      <w:r w:rsidRPr="00393713">
        <w:t>7 hours and 37 minutes)</w:t>
      </w:r>
      <w:r>
        <w:t xml:space="preserve"> of qualitative data. The diversity of participant roles and functional expertise provided rich organisational perspectives that complemented and helped explain the quantitative findings.</w:t>
      </w:r>
    </w:p>
    <w:p w14:paraId="666AD2C9" w14:textId="77777777" w:rsidR="00821279" w:rsidRPr="001A076D" w:rsidRDefault="00821279" w:rsidP="00294145">
      <w:pPr>
        <w:spacing w:before="100" w:beforeAutospacing="1" w:after="100" w:afterAutospacing="1"/>
        <w:jc w:val="both"/>
      </w:pPr>
    </w:p>
    <w:p w14:paraId="792403CE" w14:textId="1CE467D3" w:rsidR="00294145" w:rsidRPr="001A076D" w:rsidRDefault="00294145" w:rsidP="00294145">
      <w:pPr>
        <w:tabs>
          <w:tab w:val="left" w:pos="1896"/>
        </w:tabs>
      </w:pPr>
    </w:p>
    <w:p w14:paraId="52B2301C" w14:textId="29AF8DC5" w:rsidR="00294145" w:rsidRPr="001A076D" w:rsidRDefault="00294145" w:rsidP="00294145">
      <w:pPr>
        <w:tabs>
          <w:tab w:val="left" w:pos="1896"/>
        </w:tabs>
        <w:sectPr w:rsidR="00294145" w:rsidRPr="001A076D" w:rsidSect="00CE3AFC">
          <w:headerReference w:type="even" r:id="rId110"/>
          <w:headerReference w:type="default" r:id="rId111"/>
          <w:footerReference w:type="even" r:id="rId112"/>
          <w:footerReference w:type="default" r:id="rId113"/>
          <w:headerReference w:type="first" r:id="rId114"/>
          <w:footerReference w:type="first" r:id="rId115"/>
          <w:pgSz w:w="11906" w:h="16838"/>
          <w:pgMar w:top="1135" w:right="1440" w:bottom="1440" w:left="1014" w:header="708" w:footer="708" w:gutter="0"/>
          <w:pgNumType w:start="0"/>
          <w:cols w:space="708"/>
          <w:titlePg/>
          <w:docGrid w:linePitch="360"/>
        </w:sectPr>
      </w:pPr>
      <w:r w:rsidRPr="001A076D">
        <w:tab/>
      </w:r>
    </w:p>
    <w:p w14:paraId="3DEB5E91" w14:textId="77777777" w:rsidR="00AD6F4A" w:rsidRPr="001A076D" w:rsidRDefault="00AD6F4A" w:rsidP="00B23D5C"/>
    <w:sectPr w:rsidR="00AD6F4A" w:rsidRPr="001A076D" w:rsidSect="0090569A">
      <w:footerReference w:type="default" r:id="rId116"/>
      <w:type w:val="continuous"/>
      <w:pgSz w:w="11900" w:h="16840"/>
      <w:pgMar w:top="1000" w:right="1000" w:bottom="1000" w:left="1525" w:header="0" w:footer="1000" w:gutter="0"/>
      <w:cols w:space="720"/>
      <w:formProt w:val="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187EFF6" w14:textId="77777777" w:rsidR="00FE44DF" w:rsidRDefault="00FE44DF" w:rsidP="00124D2B">
      <w:r>
        <w:separator/>
      </w:r>
    </w:p>
  </w:endnote>
  <w:endnote w:type="continuationSeparator" w:id="0">
    <w:p w14:paraId="2041E4FC" w14:textId="77777777" w:rsidR="00FE44DF" w:rsidRDefault="00FE44DF" w:rsidP="00124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panose1 w:val="020B0604020202020204"/>
    <w:charset w:val="01"/>
    <w:family w:val="roman"/>
    <w:pitch w:val="variable"/>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ple Color Emoji">
    <w:panose1 w:val="00000000000000000000"/>
    <w:charset w:val="00"/>
    <w:family w:val="auto"/>
    <w:pitch w:val="variable"/>
    <w:sig w:usb0="00000003" w:usb1="18000000" w:usb2="14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95260274"/>
      <w:docPartObj>
        <w:docPartGallery w:val="Page Numbers (Bottom of Page)"/>
        <w:docPartUnique/>
      </w:docPartObj>
    </w:sdtPr>
    <w:sdtContent>
      <w:p w14:paraId="59853431" w14:textId="61F3D59F" w:rsidR="00FE4F18" w:rsidRDefault="00FE4F18" w:rsidP="00FE4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749501" w14:textId="77777777" w:rsidR="00FE4F18" w:rsidRDefault="00FE4F18" w:rsidP="00AD37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52096376"/>
      <w:docPartObj>
        <w:docPartGallery w:val="Page Numbers (Bottom of Page)"/>
        <w:docPartUnique/>
      </w:docPartObj>
    </w:sdtPr>
    <w:sdtContent>
      <w:p w14:paraId="6CC89F56" w14:textId="281176EC" w:rsidR="00FE4F18" w:rsidRDefault="00FE4F18" w:rsidP="00FE4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6EB2A7" w14:textId="77777777" w:rsidR="00FE4F18" w:rsidRDefault="00FE4F18" w:rsidP="00AD37D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3ABE01B" w14:textId="77777777" w:rsidR="00277819" w:rsidRDefault="0027781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C30C540" w14:textId="3F229481" w:rsidR="00FE4F18" w:rsidRDefault="00FE4F18">
    <w:pPr>
      <w:pStyle w:val="Footer"/>
      <w:rPr>
        <w:rFonts w:ascii="Helvetica Neue" w:hAnsi="Helvetica Neue"/>
      </w:rPr>
    </w:pPr>
    <w:r>
      <w:rPr>
        <w:rFonts w:ascii="Helvetica Neue" w:hAnsi="Helvetica Neue"/>
      </w:rPr>
      <w:fldChar w:fldCharType="begin"/>
    </w:r>
    <w:r>
      <w:rPr>
        <w:rFonts w:ascii="Helvetica Neue" w:hAnsi="Helvetica Neue"/>
      </w:rPr>
      <w:instrText xml:space="preserve"> CREATEDATE \@"MMM\ d', 'yyyy" </w:instrText>
    </w:r>
    <w:r>
      <w:rPr>
        <w:rFonts w:ascii="Helvetica Neue" w:hAnsi="Helvetica Neue"/>
      </w:rPr>
      <w:fldChar w:fldCharType="separate"/>
    </w:r>
    <w:r w:rsidR="00E512B1">
      <w:rPr>
        <w:rFonts w:ascii="Helvetica Neue" w:hAnsi="Helvetica Neue"/>
        <w:noProof/>
      </w:rPr>
      <w:t>Jul 26, 2026</w:t>
    </w:r>
    <w:r>
      <w:rPr>
        <w:rFonts w:ascii="Helvetica Neue" w:hAnsi="Helvetica Neue"/>
      </w:rPr>
      <w:fldChar w:fldCharType="end"/>
    </w:r>
    <w:r>
      <w:rPr>
        <w:rFonts w:ascii="Helvetica Neue" w:hAnsi="Helvetica Neue"/>
      </w:rPr>
      <w:tab/>
    </w:r>
    <w:r>
      <w:rPr>
        <w:rFonts w:ascii="Helvetica Neue" w:hAnsi="Helvetica Neue"/>
      </w:rPr>
      <w:tab/>
    </w:r>
    <w:r>
      <w:rPr>
        <w:rFonts w:ascii="Helvetica Neue" w:hAnsi="Helvetica Neue"/>
      </w:rPr>
      <w:fldChar w:fldCharType="begin"/>
    </w:r>
    <w:r>
      <w:rPr>
        <w:rFonts w:ascii="Helvetica Neue" w:hAnsi="Helvetica Neue"/>
      </w:rPr>
      <w:instrText xml:space="preserve"> PAGE </w:instrText>
    </w:r>
    <w:r>
      <w:rPr>
        <w:rFonts w:ascii="Helvetica Neue" w:hAnsi="Helvetica Neue"/>
      </w:rPr>
      <w:fldChar w:fldCharType="separate"/>
    </w:r>
    <w:r>
      <w:rPr>
        <w:rFonts w:ascii="Helvetica Neue" w:hAnsi="Helvetica Neue"/>
      </w:rPr>
      <w:t>3</w:t>
    </w:r>
    <w:r>
      <w:rPr>
        <w:rFonts w:ascii="Helvetica Neue" w:hAnsi="Helvetica Neue"/>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61EC65" w14:textId="77777777" w:rsidR="00FE44DF" w:rsidRDefault="00FE44DF" w:rsidP="00124D2B">
      <w:r>
        <w:separator/>
      </w:r>
    </w:p>
  </w:footnote>
  <w:footnote w:type="continuationSeparator" w:id="0">
    <w:p w14:paraId="5DB24110" w14:textId="77777777" w:rsidR="00FE44DF" w:rsidRDefault="00FE44DF" w:rsidP="00124D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D1AC46F" w14:textId="77777777" w:rsidR="00277819" w:rsidRDefault="002778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19AC261" w14:textId="77777777" w:rsidR="00277819" w:rsidRDefault="002778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A288F22" w14:textId="77777777" w:rsidR="00277819" w:rsidRDefault="002778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440292"/>
    <w:multiLevelType w:val="multilevel"/>
    <w:tmpl w:val="7C1CB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E1518"/>
    <w:multiLevelType w:val="multilevel"/>
    <w:tmpl w:val="E0F8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5273EB"/>
    <w:multiLevelType w:val="hybridMultilevel"/>
    <w:tmpl w:val="8A1CE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42652"/>
    <w:multiLevelType w:val="multilevel"/>
    <w:tmpl w:val="A536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734ABC"/>
    <w:multiLevelType w:val="multilevel"/>
    <w:tmpl w:val="9DB241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331169"/>
    <w:multiLevelType w:val="multilevel"/>
    <w:tmpl w:val="138C2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9A05B7"/>
    <w:multiLevelType w:val="multilevel"/>
    <w:tmpl w:val="B61A9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2F02DB"/>
    <w:multiLevelType w:val="multilevel"/>
    <w:tmpl w:val="979A7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0F10DB"/>
    <w:multiLevelType w:val="multilevel"/>
    <w:tmpl w:val="B96AA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085FB1"/>
    <w:multiLevelType w:val="multilevel"/>
    <w:tmpl w:val="BC42C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E1464E"/>
    <w:multiLevelType w:val="multilevel"/>
    <w:tmpl w:val="CE86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C845D9"/>
    <w:multiLevelType w:val="multilevel"/>
    <w:tmpl w:val="8C2AB3F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00093A"/>
    <w:multiLevelType w:val="multilevel"/>
    <w:tmpl w:val="72C2E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540E86"/>
    <w:multiLevelType w:val="multilevel"/>
    <w:tmpl w:val="C3308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FB76E5"/>
    <w:multiLevelType w:val="multilevel"/>
    <w:tmpl w:val="FA345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FA2653"/>
    <w:multiLevelType w:val="multilevel"/>
    <w:tmpl w:val="D6BEF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DA0519"/>
    <w:multiLevelType w:val="multilevel"/>
    <w:tmpl w:val="6D42F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9D226C"/>
    <w:multiLevelType w:val="multilevel"/>
    <w:tmpl w:val="8FC6239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6D69EC"/>
    <w:multiLevelType w:val="multilevel"/>
    <w:tmpl w:val="A6FA5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B47832"/>
    <w:multiLevelType w:val="multilevel"/>
    <w:tmpl w:val="E3442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CD1233"/>
    <w:multiLevelType w:val="multilevel"/>
    <w:tmpl w:val="D938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AB3866"/>
    <w:multiLevelType w:val="multilevel"/>
    <w:tmpl w:val="DD303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212592"/>
    <w:multiLevelType w:val="multilevel"/>
    <w:tmpl w:val="0C94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1A495D"/>
    <w:multiLevelType w:val="multilevel"/>
    <w:tmpl w:val="716C9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5A6300"/>
    <w:multiLevelType w:val="multilevel"/>
    <w:tmpl w:val="781A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195FCA"/>
    <w:multiLevelType w:val="multilevel"/>
    <w:tmpl w:val="2F10D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8B4860"/>
    <w:multiLevelType w:val="multilevel"/>
    <w:tmpl w:val="7BE0D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571FED"/>
    <w:multiLevelType w:val="hybridMultilevel"/>
    <w:tmpl w:val="DCFE8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430CAC"/>
    <w:multiLevelType w:val="multilevel"/>
    <w:tmpl w:val="B0204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A73BBC"/>
    <w:multiLevelType w:val="multilevel"/>
    <w:tmpl w:val="BC940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25116D"/>
    <w:multiLevelType w:val="hybridMultilevel"/>
    <w:tmpl w:val="61C43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6A75BF"/>
    <w:multiLevelType w:val="multilevel"/>
    <w:tmpl w:val="EF38F43E"/>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FA744BF"/>
    <w:multiLevelType w:val="multilevel"/>
    <w:tmpl w:val="2F2AA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056200"/>
    <w:multiLevelType w:val="multilevel"/>
    <w:tmpl w:val="E774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DC1406"/>
    <w:multiLevelType w:val="multilevel"/>
    <w:tmpl w:val="BC3E2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C74D86"/>
    <w:multiLevelType w:val="multilevel"/>
    <w:tmpl w:val="CA722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9425CE"/>
    <w:multiLevelType w:val="multilevel"/>
    <w:tmpl w:val="2876A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8F3210"/>
    <w:multiLevelType w:val="multilevel"/>
    <w:tmpl w:val="B46E893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94F421F"/>
    <w:multiLevelType w:val="multilevel"/>
    <w:tmpl w:val="B9605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E902B0"/>
    <w:multiLevelType w:val="hybridMultilevel"/>
    <w:tmpl w:val="6AC6CD1A"/>
    <w:lvl w:ilvl="0" w:tplc="08090001">
      <w:start w:val="1"/>
      <w:numFmt w:val="bullet"/>
      <w:lvlText w:val=""/>
      <w:lvlJc w:val="left"/>
      <w:pPr>
        <w:ind w:left="1440" w:hanging="360"/>
      </w:pPr>
      <w:rPr>
        <w:rFonts w:ascii="Symbol" w:hAnsi="Symbol" w:hint="default"/>
      </w:rPr>
    </w:lvl>
    <w:lvl w:ilvl="1" w:tplc="DC66E996">
      <w:numFmt w:val="bullet"/>
      <w:lvlText w:val="•"/>
      <w:lvlJc w:val="left"/>
      <w:pPr>
        <w:ind w:left="1440" w:hanging="360"/>
      </w:pPr>
      <w:rPr>
        <w:rFonts w:ascii="Times New Roman" w:eastAsia="Times New Roman" w:hAnsi="Times New Roman" w:cs="Times New Roman"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27D7394"/>
    <w:multiLevelType w:val="multilevel"/>
    <w:tmpl w:val="A8D81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8B1933"/>
    <w:multiLevelType w:val="multilevel"/>
    <w:tmpl w:val="D14C0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DB2AB6"/>
    <w:multiLevelType w:val="multilevel"/>
    <w:tmpl w:val="A4A6F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F03C9E"/>
    <w:multiLevelType w:val="multilevel"/>
    <w:tmpl w:val="4E208B7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5617F1"/>
    <w:multiLevelType w:val="multilevel"/>
    <w:tmpl w:val="3E046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FD732A"/>
    <w:multiLevelType w:val="multilevel"/>
    <w:tmpl w:val="AF502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7654203">
    <w:abstractNumId w:val="43"/>
  </w:num>
  <w:num w:numId="2" w16cid:durableId="814759751">
    <w:abstractNumId w:val="7"/>
  </w:num>
  <w:num w:numId="3" w16cid:durableId="580338185">
    <w:abstractNumId w:val="32"/>
  </w:num>
  <w:num w:numId="4" w16cid:durableId="2145418000">
    <w:abstractNumId w:val="24"/>
  </w:num>
  <w:num w:numId="5" w16cid:durableId="1551186568">
    <w:abstractNumId w:val="27"/>
  </w:num>
  <w:num w:numId="6" w16cid:durableId="1995571919">
    <w:abstractNumId w:val="30"/>
  </w:num>
  <w:num w:numId="7" w16cid:durableId="64032472">
    <w:abstractNumId w:val="39"/>
  </w:num>
  <w:num w:numId="8" w16cid:durableId="648290482">
    <w:abstractNumId w:val="12"/>
  </w:num>
  <w:num w:numId="9" w16cid:durableId="1471509756">
    <w:abstractNumId w:val="0"/>
  </w:num>
  <w:num w:numId="10" w16cid:durableId="249461848">
    <w:abstractNumId w:val="10"/>
  </w:num>
  <w:num w:numId="11" w16cid:durableId="747924759">
    <w:abstractNumId w:val="38"/>
  </w:num>
  <w:num w:numId="12" w16cid:durableId="254947227">
    <w:abstractNumId w:val="25"/>
  </w:num>
  <w:num w:numId="13" w16cid:durableId="1403288999">
    <w:abstractNumId w:val="41"/>
  </w:num>
  <w:num w:numId="14" w16cid:durableId="231814301">
    <w:abstractNumId w:val="29"/>
  </w:num>
  <w:num w:numId="15" w16cid:durableId="1217162167">
    <w:abstractNumId w:val="4"/>
  </w:num>
  <w:num w:numId="16" w16cid:durableId="1923562122">
    <w:abstractNumId w:val="17"/>
  </w:num>
  <w:num w:numId="17" w16cid:durableId="343172197">
    <w:abstractNumId w:val="37"/>
  </w:num>
  <w:num w:numId="18" w16cid:durableId="196549898">
    <w:abstractNumId w:val="44"/>
  </w:num>
  <w:num w:numId="19" w16cid:durableId="1975940364">
    <w:abstractNumId w:val="31"/>
  </w:num>
  <w:num w:numId="20" w16cid:durableId="323164492">
    <w:abstractNumId w:val="11"/>
  </w:num>
  <w:num w:numId="21" w16cid:durableId="991759706">
    <w:abstractNumId w:val="18"/>
  </w:num>
  <w:num w:numId="22" w16cid:durableId="590553836">
    <w:abstractNumId w:val="23"/>
  </w:num>
  <w:num w:numId="23" w16cid:durableId="824468051">
    <w:abstractNumId w:val="26"/>
  </w:num>
  <w:num w:numId="24" w16cid:durableId="366414474">
    <w:abstractNumId w:val="19"/>
  </w:num>
  <w:num w:numId="25" w16cid:durableId="1965387014">
    <w:abstractNumId w:val="15"/>
  </w:num>
  <w:num w:numId="26" w16cid:durableId="2018539114">
    <w:abstractNumId w:val="21"/>
  </w:num>
  <w:num w:numId="27" w16cid:durableId="871958625">
    <w:abstractNumId w:val="36"/>
  </w:num>
  <w:num w:numId="28" w16cid:durableId="799109340">
    <w:abstractNumId w:val="22"/>
  </w:num>
  <w:num w:numId="29" w16cid:durableId="280959077">
    <w:abstractNumId w:val="42"/>
  </w:num>
  <w:num w:numId="30" w16cid:durableId="1657882003">
    <w:abstractNumId w:val="20"/>
  </w:num>
  <w:num w:numId="31" w16cid:durableId="1038051112">
    <w:abstractNumId w:val="45"/>
  </w:num>
  <w:num w:numId="32" w16cid:durableId="1393500851">
    <w:abstractNumId w:val="46"/>
  </w:num>
  <w:num w:numId="33" w16cid:durableId="1082679825">
    <w:abstractNumId w:val="40"/>
  </w:num>
  <w:num w:numId="34" w16cid:durableId="2095317929">
    <w:abstractNumId w:val="6"/>
  </w:num>
  <w:num w:numId="35" w16cid:durableId="691959208">
    <w:abstractNumId w:val="35"/>
  </w:num>
  <w:num w:numId="36" w16cid:durableId="237638013">
    <w:abstractNumId w:val="8"/>
  </w:num>
  <w:num w:numId="37" w16cid:durableId="1205364928">
    <w:abstractNumId w:val="5"/>
  </w:num>
  <w:num w:numId="38" w16cid:durableId="915289451">
    <w:abstractNumId w:val="3"/>
  </w:num>
  <w:num w:numId="39" w16cid:durableId="1856993951">
    <w:abstractNumId w:val="9"/>
  </w:num>
  <w:num w:numId="40" w16cid:durableId="1427573816">
    <w:abstractNumId w:val="1"/>
  </w:num>
  <w:num w:numId="41" w16cid:durableId="1447190287">
    <w:abstractNumId w:val="14"/>
  </w:num>
  <w:num w:numId="42" w16cid:durableId="264071374">
    <w:abstractNumId w:val="13"/>
  </w:num>
  <w:num w:numId="43" w16cid:durableId="563494338">
    <w:abstractNumId w:val="34"/>
  </w:num>
  <w:num w:numId="44" w16cid:durableId="78672024">
    <w:abstractNumId w:val="28"/>
  </w:num>
  <w:num w:numId="45" w16cid:durableId="2103985257">
    <w:abstractNumId w:val="16"/>
  </w:num>
  <w:num w:numId="46" w16cid:durableId="691956219">
    <w:abstractNumId w:val="2"/>
  </w:num>
  <w:num w:numId="47" w16cid:durableId="504901009">
    <w:abstractNumId w:val="33"/>
  </w:num>
  <w:numIdMacAtCleanup w:val="33"/>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12A"/>
    <w:rsid w:val="00001C97"/>
    <w:rsid w:val="00003DA1"/>
    <w:rsid w:val="00004FE5"/>
    <w:rsid w:val="0000525D"/>
    <w:rsid w:val="00016C69"/>
    <w:rsid w:val="000220D5"/>
    <w:rsid w:val="00024E90"/>
    <w:rsid w:val="00030F12"/>
    <w:rsid w:val="00031EBE"/>
    <w:rsid w:val="00034008"/>
    <w:rsid w:val="00035509"/>
    <w:rsid w:val="00035E36"/>
    <w:rsid w:val="0003636D"/>
    <w:rsid w:val="00040F6C"/>
    <w:rsid w:val="0004374F"/>
    <w:rsid w:val="00047713"/>
    <w:rsid w:val="00057F93"/>
    <w:rsid w:val="000611A8"/>
    <w:rsid w:val="00061835"/>
    <w:rsid w:val="000626F9"/>
    <w:rsid w:val="00064340"/>
    <w:rsid w:val="00065CDF"/>
    <w:rsid w:val="000678BF"/>
    <w:rsid w:val="0007216C"/>
    <w:rsid w:val="00074893"/>
    <w:rsid w:val="00075A5B"/>
    <w:rsid w:val="00077F98"/>
    <w:rsid w:val="0008221E"/>
    <w:rsid w:val="000868A4"/>
    <w:rsid w:val="000929E4"/>
    <w:rsid w:val="00092E7F"/>
    <w:rsid w:val="000A216D"/>
    <w:rsid w:val="000A3B08"/>
    <w:rsid w:val="000A4967"/>
    <w:rsid w:val="000A5841"/>
    <w:rsid w:val="000B0F3F"/>
    <w:rsid w:val="000B1EEB"/>
    <w:rsid w:val="000B4DF1"/>
    <w:rsid w:val="000B6C61"/>
    <w:rsid w:val="000C03B3"/>
    <w:rsid w:val="000C076D"/>
    <w:rsid w:val="000D0310"/>
    <w:rsid w:val="000D333E"/>
    <w:rsid w:val="000D79D7"/>
    <w:rsid w:val="000E49D9"/>
    <w:rsid w:val="000F1E3C"/>
    <w:rsid w:val="000F3267"/>
    <w:rsid w:val="000F4331"/>
    <w:rsid w:val="000F6D4B"/>
    <w:rsid w:val="00102FE1"/>
    <w:rsid w:val="00107EAE"/>
    <w:rsid w:val="00121CC6"/>
    <w:rsid w:val="001221D5"/>
    <w:rsid w:val="00123D10"/>
    <w:rsid w:val="00124D2B"/>
    <w:rsid w:val="001309E3"/>
    <w:rsid w:val="001310CF"/>
    <w:rsid w:val="00135DCC"/>
    <w:rsid w:val="00140025"/>
    <w:rsid w:val="00141CA4"/>
    <w:rsid w:val="00150040"/>
    <w:rsid w:val="00154863"/>
    <w:rsid w:val="00154CE4"/>
    <w:rsid w:val="00157C4C"/>
    <w:rsid w:val="00157FB1"/>
    <w:rsid w:val="00160B40"/>
    <w:rsid w:val="0016133E"/>
    <w:rsid w:val="00163062"/>
    <w:rsid w:val="00165650"/>
    <w:rsid w:val="00165B25"/>
    <w:rsid w:val="00166741"/>
    <w:rsid w:val="00166972"/>
    <w:rsid w:val="00166CEA"/>
    <w:rsid w:val="001674CB"/>
    <w:rsid w:val="00167952"/>
    <w:rsid w:val="00171388"/>
    <w:rsid w:val="00171BD4"/>
    <w:rsid w:val="00175C6C"/>
    <w:rsid w:val="001770AA"/>
    <w:rsid w:val="00181E0F"/>
    <w:rsid w:val="0018593B"/>
    <w:rsid w:val="00185C39"/>
    <w:rsid w:val="00191918"/>
    <w:rsid w:val="0019234B"/>
    <w:rsid w:val="00193D36"/>
    <w:rsid w:val="001959D7"/>
    <w:rsid w:val="001A076D"/>
    <w:rsid w:val="001A101C"/>
    <w:rsid w:val="001A326B"/>
    <w:rsid w:val="001B0593"/>
    <w:rsid w:val="001B05B3"/>
    <w:rsid w:val="001B0EB1"/>
    <w:rsid w:val="001B3F95"/>
    <w:rsid w:val="001B68CC"/>
    <w:rsid w:val="001C00E2"/>
    <w:rsid w:val="001C16F4"/>
    <w:rsid w:val="001C274E"/>
    <w:rsid w:val="001C3917"/>
    <w:rsid w:val="001C46C6"/>
    <w:rsid w:val="001C4C07"/>
    <w:rsid w:val="001C6CB0"/>
    <w:rsid w:val="001C7563"/>
    <w:rsid w:val="001D287B"/>
    <w:rsid w:val="001D5277"/>
    <w:rsid w:val="001E1D67"/>
    <w:rsid w:val="001E1DC9"/>
    <w:rsid w:val="001E261B"/>
    <w:rsid w:val="001E488C"/>
    <w:rsid w:val="001F3A04"/>
    <w:rsid w:val="001F4C91"/>
    <w:rsid w:val="001F5A7F"/>
    <w:rsid w:val="001F7684"/>
    <w:rsid w:val="00201026"/>
    <w:rsid w:val="0020126C"/>
    <w:rsid w:val="00201FE1"/>
    <w:rsid w:val="002108A3"/>
    <w:rsid w:val="00211473"/>
    <w:rsid w:val="00211527"/>
    <w:rsid w:val="00213D97"/>
    <w:rsid w:val="002146A1"/>
    <w:rsid w:val="00214765"/>
    <w:rsid w:val="00222455"/>
    <w:rsid w:val="00223916"/>
    <w:rsid w:val="00225965"/>
    <w:rsid w:val="00227E1D"/>
    <w:rsid w:val="002317D6"/>
    <w:rsid w:val="00235BDB"/>
    <w:rsid w:val="002407F7"/>
    <w:rsid w:val="002417AC"/>
    <w:rsid w:val="00244BF8"/>
    <w:rsid w:val="00245AB7"/>
    <w:rsid w:val="00250928"/>
    <w:rsid w:val="00252773"/>
    <w:rsid w:val="0025466D"/>
    <w:rsid w:val="0025735B"/>
    <w:rsid w:val="00257AE2"/>
    <w:rsid w:val="00261C07"/>
    <w:rsid w:val="00264E71"/>
    <w:rsid w:val="002657C6"/>
    <w:rsid w:val="00266A44"/>
    <w:rsid w:val="002711C4"/>
    <w:rsid w:val="00276BC8"/>
    <w:rsid w:val="00276EE8"/>
    <w:rsid w:val="00277366"/>
    <w:rsid w:val="002775A1"/>
    <w:rsid w:val="00277819"/>
    <w:rsid w:val="00281B70"/>
    <w:rsid w:val="0028269A"/>
    <w:rsid w:val="00282CD7"/>
    <w:rsid w:val="00291293"/>
    <w:rsid w:val="00292A75"/>
    <w:rsid w:val="00292E47"/>
    <w:rsid w:val="00294145"/>
    <w:rsid w:val="00295AB2"/>
    <w:rsid w:val="002A0EBF"/>
    <w:rsid w:val="002A274A"/>
    <w:rsid w:val="002A3F79"/>
    <w:rsid w:val="002A4631"/>
    <w:rsid w:val="002A4729"/>
    <w:rsid w:val="002A5293"/>
    <w:rsid w:val="002A578A"/>
    <w:rsid w:val="002B205A"/>
    <w:rsid w:val="002B3561"/>
    <w:rsid w:val="002C24AF"/>
    <w:rsid w:val="002C3B88"/>
    <w:rsid w:val="002C4E06"/>
    <w:rsid w:val="002D2473"/>
    <w:rsid w:val="002D4D42"/>
    <w:rsid w:val="002E1E61"/>
    <w:rsid w:val="002E30E1"/>
    <w:rsid w:val="002E5346"/>
    <w:rsid w:val="002E6E8F"/>
    <w:rsid w:val="002E7675"/>
    <w:rsid w:val="002F1694"/>
    <w:rsid w:val="002F2724"/>
    <w:rsid w:val="002F2DCA"/>
    <w:rsid w:val="002F3CBE"/>
    <w:rsid w:val="002F5EC6"/>
    <w:rsid w:val="0030281E"/>
    <w:rsid w:val="0030715F"/>
    <w:rsid w:val="00311CF7"/>
    <w:rsid w:val="00317502"/>
    <w:rsid w:val="00321AC2"/>
    <w:rsid w:val="003241C9"/>
    <w:rsid w:val="0033062C"/>
    <w:rsid w:val="00331786"/>
    <w:rsid w:val="00334305"/>
    <w:rsid w:val="00336A08"/>
    <w:rsid w:val="0035261B"/>
    <w:rsid w:val="0036376A"/>
    <w:rsid w:val="003677AD"/>
    <w:rsid w:val="00370D01"/>
    <w:rsid w:val="003809D7"/>
    <w:rsid w:val="003811E3"/>
    <w:rsid w:val="0038338A"/>
    <w:rsid w:val="003847E8"/>
    <w:rsid w:val="00385412"/>
    <w:rsid w:val="00385768"/>
    <w:rsid w:val="0038755D"/>
    <w:rsid w:val="00390A34"/>
    <w:rsid w:val="003933E2"/>
    <w:rsid w:val="00393713"/>
    <w:rsid w:val="00396392"/>
    <w:rsid w:val="003A03B9"/>
    <w:rsid w:val="003A2889"/>
    <w:rsid w:val="003A7086"/>
    <w:rsid w:val="003B1FD8"/>
    <w:rsid w:val="003B408F"/>
    <w:rsid w:val="003C57F4"/>
    <w:rsid w:val="003C79C6"/>
    <w:rsid w:val="003D0933"/>
    <w:rsid w:val="003D0E68"/>
    <w:rsid w:val="003D17EB"/>
    <w:rsid w:val="003D2A76"/>
    <w:rsid w:val="003D2E9B"/>
    <w:rsid w:val="003D715E"/>
    <w:rsid w:val="003E1D8E"/>
    <w:rsid w:val="003E5568"/>
    <w:rsid w:val="003E65EA"/>
    <w:rsid w:val="003F1EB2"/>
    <w:rsid w:val="003F28EE"/>
    <w:rsid w:val="003F5CD4"/>
    <w:rsid w:val="003F6050"/>
    <w:rsid w:val="003F63DC"/>
    <w:rsid w:val="00406AE7"/>
    <w:rsid w:val="00406BB0"/>
    <w:rsid w:val="00407817"/>
    <w:rsid w:val="00407EE4"/>
    <w:rsid w:val="0041494B"/>
    <w:rsid w:val="00416FEC"/>
    <w:rsid w:val="0042004D"/>
    <w:rsid w:val="0042229A"/>
    <w:rsid w:val="004242E1"/>
    <w:rsid w:val="004262DF"/>
    <w:rsid w:val="00427547"/>
    <w:rsid w:val="0043147F"/>
    <w:rsid w:val="00433E40"/>
    <w:rsid w:val="004362A9"/>
    <w:rsid w:val="004405F8"/>
    <w:rsid w:val="0044060A"/>
    <w:rsid w:val="00441260"/>
    <w:rsid w:val="00446E7F"/>
    <w:rsid w:val="004558BB"/>
    <w:rsid w:val="00463EBD"/>
    <w:rsid w:val="00464B01"/>
    <w:rsid w:val="004659C7"/>
    <w:rsid w:val="00466B11"/>
    <w:rsid w:val="0047010F"/>
    <w:rsid w:val="0047012C"/>
    <w:rsid w:val="00471A8D"/>
    <w:rsid w:val="00473016"/>
    <w:rsid w:val="0047359C"/>
    <w:rsid w:val="00473EC3"/>
    <w:rsid w:val="00477D24"/>
    <w:rsid w:val="004811C8"/>
    <w:rsid w:val="00484CA8"/>
    <w:rsid w:val="0048576C"/>
    <w:rsid w:val="00490568"/>
    <w:rsid w:val="00492BC8"/>
    <w:rsid w:val="004A07CE"/>
    <w:rsid w:val="004A1032"/>
    <w:rsid w:val="004A2CAE"/>
    <w:rsid w:val="004A4093"/>
    <w:rsid w:val="004A55FA"/>
    <w:rsid w:val="004B033B"/>
    <w:rsid w:val="004B5859"/>
    <w:rsid w:val="004C269F"/>
    <w:rsid w:val="004C5D50"/>
    <w:rsid w:val="004D2742"/>
    <w:rsid w:val="004D5960"/>
    <w:rsid w:val="004D6E25"/>
    <w:rsid w:val="004D7971"/>
    <w:rsid w:val="004E0ED9"/>
    <w:rsid w:val="004E19E3"/>
    <w:rsid w:val="004E2456"/>
    <w:rsid w:val="004E4B82"/>
    <w:rsid w:val="004F1EEC"/>
    <w:rsid w:val="004F2125"/>
    <w:rsid w:val="004F50B2"/>
    <w:rsid w:val="004F5D94"/>
    <w:rsid w:val="00500374"/>
    <w:rsid w:val="00501B48"/>
    <w:rsid w:val="00501C09"/>
    <w:rsid w:val="0050214A"/>
    <w:rsid w:val="005052C1"/>
    <w:rsid w:val="005105E4"/>
    <w:rsid w:val="0051215D"/>
    <w:rsid w:val="00514A84"/>
    <w:rsid w:val="005243B1"/>
    <w:rsid w:val="00527884"/>
    <w:rsid w:val="005303D7"/>
    <w:rsid w:val="005366AB"/>
    <w:rsid w:val="00537A0B"/>
    <w:rsid w:val="00540661"/>
    <w:rsid w:val="00541F85"/>
    <w:rsid w:val="00546D38"/>
    <w:rsid w:val="00547268"/>
    <w:rsid w:val="00550DBA"/>
    <w:rsid w:val="00552B0E"/>
    <w:rsid w:val="00553F03"/>
    <w:rsid w:val="005543E6"/>
    <w:rsid w:val="00555C28"/>
    <w:rsid w:val="005572C2"/>
    <w:rsid w:val="00557842"/>
    <w:rsid w:val="00557FF2"/>
    <w:rsid w:val="00560AE6"/>
    <w:rsid w:val="0056167C"/>
    <w:rsid w:val="005617B3"/>
    <w:rsid w:val="00563F84"/>
    <w:rsid w:val="00564DB3"/>
    <w:rsid w:val="00567B49"/>
    <w:rsid w:val="00573AC9"/>
    <w:rsid w:val="005749F0"/>
    <w:rsid w:val="00574D18"/>
    <w:rsid w:val="00576BFC"/>
    <w:rsid w:val="00576FE2"/>
    <w:rsid w:val="0057715E"/>
    <w:rsid w:val="00577272"/>
    <w:rsid w:val="005775C4"/>
    <w:rsid w:val="00581047"/>
    <w:rsid w:val="00582D47"/>
    <w:rsid w:val="00584032"/>
    <w:rsid w:val="00585036"/>
    <w:rsid w:val="00591075"/>
    <w:rsid w:val="0059283F"/>
    <w:rsid w:val="005941E4"/>
    <w:rsid w:val="00596842"/>
    <w:rsid w:val="005977AD"/>
    <w:rsid w:val="005A2164"/>
    <w:rsid w:val="005A4AA4"/>
    <w:rsid w:val="005A5CE1"/>
    <w:rsid w:val="005B1978"/>
    <w:rsid w:val="005B4638"/>
    <w:rsid w:val="005B4924"/>
    <w:rsid w:val="005B7276"/>
    <w:rsid w:val="005C0285"/>
    <w:rsid w:val="005C2088"/>
    <w:rsid w:val="005C4669"/>
    <w:rsid w:val="005C723F"/>
    <w:rsid w:val="005C78EE"/>
    <w:rsid w:val="005D3083"/>
    <w:rsid w:val="005D7884"/>
    <w:rsid w:val="005D7B2C"/>
    <w:rsid w:val="005E18AC"/>
    <w:rsid w:val="005E3604"/>
    <w:rsid w:val="005E46EC"/>
    <w:rsid w:val="005F06E8"/>
    <w:rsid w:val="005F2F39"/>
    <w:rsid w:val="005F301D"/>
    <w:rsid w:val="005F4BB6"/>
    <w:rsid w:val="005F4E76"/>
    <w:rsid w:val="006033EA"/>
    <w:rsid w:val="0060375B"/>
    <w:rsid w:val="00604E97"/>
    <w:rsid w:val="00604FB6"/>
    <w:rsid w:val="006054BF"/>
    <w:rsid w:val="00613460"/>
    <w:rsid w:val="00614FCE"/>
    <w:rsid w:val="006171E1"/>
    <w:rsid w:val="00620051"/>
    <w:rsid w:val="00620794"/>
    <w:rsid w:val="00622BB3"/>
    <w:rsid w:val="00624669"/>
    <w:rsid w:val="00627AE9"/>
    <w:rsid w:val="00630FA8"/>
    <w:rsid w:val="00634361"/>
    <w:rsid w:val="006361B1"/>
    <w:rsid w:val="00640045"/>
    <w:rsid w:val="00645DF7"/>
    <w:rsid w:val="00645E0E"/>
    <w:rsid w:val="006479B7"/>
    <w:rsid w:val="0065076D"/>
    <w:rsid w:val="00652020"/>
    <w:rsid w:val="00657996"/>
    <w:rsid w:val="00657E3E"/>
    <w:rsid w:val="0066121C"/>
    <w:rsid w:val="006729E9"/>
    <w:rsid w:val="00672E19"/>
    <w:rsid w:val="00676602"/>
    <w:rsid w:val="00683345"/>
    <w:rsid w:val="006834CA"/>
    <w:rsid w:val="00685192"/>
    <w:rsid w:val="006922C5"/>
    <w:rsid w:val="00692581"/>
    <w:rsid w:val="00695237"/>
    <w:rsid w:val="00695751"/>
    <w:rsid w:val="006964F4"/>
    <w:rsid w:val="0069764F"/>
    <w:rsid w:val="00697BFC"/>
    <w:rsid w:val="006A29C8"/>
    <w:rsid w:val="006A478E"/>
    <w:rsid w:val="006A4F8A"/>
    <w:rsid w:val="006A58E0"/>
    <w:rsid w:val="006B0C07"/>
    <w:rsid w:val="006B2551"/>
    <w:rsid w:val="006B2767"/>
    <w:rsid w:val="006B4E0D"/>
    <w:rsid w:val="006B56A8"/>
    <w:rsid w:val="006B588D"/>
    <w:rsid w:val="006B60E8"/>
    <w:rsid w:val="006C2187"/>
    <w:rsid w:val="006C2342"/>
    <w:rsid w:val="006C480A"/>
    <w:rsid w:val="006D056D"/>
    <w:rsid w:val="006D06F0"/>
    <w:rsid w:val="006D0826"/>
    <w:rsid w:val="006D157D"/>
    <w:rsid w:val="006D198B"/>
    <w:rsid w:val="006D3BDE"/>
    <w:rsid w:val="006D6982"/>
    <w:rsid w:val="006E24BD"/>
    <w:rsid w:val="006F363F"/>
    <w:rsid w:val="006F5852"/>
    <w:rsid w:val="006F645A"/>
    <w:rsid w:val="006F7DB4"/>
    <w:rsid w:val="0070294E"/>
    <w:rsid w:val="00704790"/>
    <w:rsid w:val="0071543F"/>
    <w:rsid w:val="007171D2"/>
    <w:rsid w:val="00722301"/>
    <w:rsid w:val="007279DE"/>
    <w:rsid w:val="00730C97"/>
    <w:rsid w:val="0073157B"/>
    <w:rsid w:val="00731D82"/>
    <w:rsid w:val="007330DC"/>
    <w:rsid w:val="0073712A"/>
    <w:rsid w:val="00737CDB"/>
    <w:rsid w:val="00747AC2"/>
    <w:rsid w:val="00752F6D"/>
    <w:rsid w:val="00757309"/>
    <w:rsid w:val="007603D7"/>
    <w:rsid w:val="00761159"/>
    <w:rsid w:val="00765F54"/>
    <w:rsid w:val="00781F42"/>
    <w:rsid w:val="00782832"/>
    <w:rsid w:val="00784C9B"/>
    <w:rsid w:val="0078647C"/>
    <w:rsid w:val="007903FD"/>
    <w:rsid w:val="00791786"/>
    <w:rsid w:val="007917C9"/>
    <w:rsid w:val="007952FE"/>
    <w:rsid w:val="007966FC"/>
    <w:rsid w:val="007A520F"/>
    <w:rsid w:val="007A7BC8"/>
    <w:rsid w:val="007B0E4D"/>
    <w:rsid w:val="007B1D4D"/>
    <w:rsid w:val="007B4367"/>
    <w:rsid w:val="007C0E48"/>
    <w:rsid w:val="007C6C8F"/>
    <w:rsid w:val="007D3BB7"/>
    <w:rsid w:val="007D4BE8"/>
    <w:rsid w:val="007D6ECE"/>
    <w:rsid w:val="007E0E6F"/>
    <w:rsid w:val="007E4268"/>
    <w:rsid w:val="007E47DE"/>
    <w:rsid w:val="007E4E84"/>
    <w:rsid w:val="007E600A"/>
    <w:rsid w:val="007F0715"/>
    <w:rsid w:val="007F1EF3"/>
    <w:rsid w:val="007F2555"/>
    <w:rsid w:val="007F282A"/>
    <w:rsid w:val="007F3225"/>
    <w:rsid w:val="007F3767"/>
    <w:rsid w:val="00805666"/>
    <w:rsid w:val="00806890"/>
    <w:rsid w:val="00815233"/>
    <w:rsid w:val="00815FBF"/>
    <w:rsid w:val="00820D85"/>
    <w:rsid w:val="00821279"/>
    <w:rsid w:val="008269D4"/>
    <w:rsid w:val="008279F3"/>
    <w:rsid w:val="00830039"/>
    <w:rsid w:val="008300E6"/>
    <w:rsid w:val="0083387C"/>
    <w:rsid w:val="00841BC4"/>
    <w:rsid w:val="008429C5"/>
    <w:rsid w:val="00843DB0"/>
    <w:rsid w:val="00845E82"/>
    <w:rsid w:val="0085288C"/>
    <w:rsid w:val="00853EDE"/>
    <w:rsid w:val="00854131"/>
    <w:rsid w:val="008572B8"/>
    <w:rsid w:val="00860E13"/>
    <w:rsid w:val="00862728"/>
    <w:rsid w:val="00863295"/>
    <w:rsid w:val="00865809"/>
    <w:rsid w:val="0086682E"/>
    <w:rsid w:val="00870E32"/>
    <w:rsid w:val="00872466"/>
    <w:rsid w:val="0087286C"/>
    <w:rsid w:val="00874B84"/>
    <w:rsid w:val="00874E16"/>
    <w:rsid w:val="00876265"/>
    <w:rsid w:val="008769F0"/>
    <w:rsid w:val="00877815"/>
    <w:rsid w:val="00881830"/>
    <w:rsid w:val="00882941"/>
    <w:rsid w:val="0088535B"/>
    <w:rsid w:val="00891BA5"/>
    <w:rsid w:val="00894446"/>
    <w:rsid w:val="008957FD"/>
    <w:rsid w:val="00896385"/>
    <w:rsid w:val="00896CE6"/>
    <w:rsid w:val="00897234"/>
    <w:rsid w:val="008A1BDD"/>
    <w:rsid w:val="008A5BA5"/>
    <w:rsid w:val="008B1E0C"/>
    <w:rsid w:val="008B4EAA"/>
    <w:rsid w:val="008B62E6"/>
    <w:rsid w:val="008C2C2E"/>
    <w:rsid w:val="008C30B6"/>
    <w:rsid w:val="008C70E4"/>
    <w:rsid w:val="008D3278"/>
    <w:rsid w:val="008D3636"/>
    <w:rsid w:val="008D4DA5"/>
    <w:rsid w:val="008E084C"/>
    <w:rsid w:val="008E15C2"/>
    <w:rsid w:val="008E5238"/>
    <w:rsid w:val="008E52D0"/>
    <w:rsid w:val="008E5B58"/>
    <w:rsid w:val="008E639F"/>
    <w:rsid w:val="008E7DFC"/>
    <w:rsid w:val="008F01F5"/>
    <w:rsid w:val="008F30E0"/>
    <w:rsid w:val="008F4764"/>
    <w:rsid w:val="008F4A80"/>
    <w:rsid w:val="008F4F13"/>
    <w:rsid w:val="008F7CA8"/>
    <w:rsid w:val="00901724"/>
    <w:rsid w:val="009038E0"/>
    <w:rsid w:val="00903FCD"/>
    <w:rsid w:val="0090569A"/>
    <w:rsid w:val="00905CDE"/>
    <w:rsid w:val="00915C07"/>
    <w:rsid w:val="009245AF"/>
    <w:rsid w:val="009275FE"/>
    <w:rsid w:val="00931E2C"/>
    <w:rsid w:val="00932B47"/>
    <w:rsid w:val="00934C1D"/>
    <w:rsid w:val="00941CA1"/>
    <w:rsid w:val="00942D98"/>
    <w:rsid w:val="00946165"/>
    <w:rsid w:val="0094646A"/>
    <w:rsid w:val="00947813"/>
    <w:rsid w:val="00947C69"/>
    <w:rsid w:val="00950B56"/>
    <w:rsid w:val="0095494D"/>
    <w:rsid w:val="009553E1"/>
    <w:rsid w:val="009553F9"/>
    <w:rsid w:val="00956A9A"/>
    <w:rsid w:val="009579E3"/>
    <w:rsid w:val="0096079A"/>
    <w:rsid w:val="00962CFE"/>
    <w:rsid w:val="00963A61"/>
    <w:rsid w:val="009641F5"/>
    <w:rsid w:val="00964F10"/>
    <w:rsid w:val="00966D29"/>
    <w:rsid w:val="009712FD"/>
    <w:rsid w:val="00972AD1"/>
    <w:rsid w:val="00972DD7"/>
    <w:rsid w:val="0098274E"/>
    <w:rsid w:val="009839C2"/>
    <w:rsid w:val="00985D80"/>
    <w:rsid w:val="009941B8"/>
    <w:rsid w:val="009A1A97"/>
    <w:rsid w:val="009A2C6A"/>
    <w:rsid w:val="009A41CF"/>
    <w:rsid w:val="009A5900"/>
    <w:rsid w:val="009A5AE0"/>
    <w:rsid w:val="009A75F1"/>
    <w:rsid w:val="009A7B7B"/>
    <w:rsid w:val="009B2E34"/>
    <w:rsid w:val="009B3913"/>
    <w:rsid w:val="009B686C"/>
    <w:rsid w:val="009C63DA"/>
    <w:rsid w:val="009D054B"/>
    <w:rsid w:val="009D4690"/>
    <w:rsid w:val="009D5205"/>
    <w:rsid w:val="009D7335"/>
    <w:rsid w:val="009E04EF"/>
    <w:rsid w:val="009E3174"/>
    <w:rsid w:val="009E3933"/>
    <w:rsid w:val="009E455A"/>
    <w:rsid w:val="009E4611"/>
    <w:rsid w:val="009E6D14"/>
    <w:rsid w:val="009E6EF3"/>
    <w:rsid w:val="009E742D"/>
    <w:rsid w:val="00A00413"/>
    <w:rsid w:val="00A00B95"/>
    <w:rsid w:val="00A01C5E"/>
    <w:rsid w:val="00A02801"/>
    <w:rsid w:val="00A02C12"/>
    <w:rsid w:val="00A04AA9"/>
    <w:rsid w:val="00A0678D"/>
    <w:rsid w:val="00A1014C"/>
    <w:rsid w:val="00A14BDA"/>
    <w:rsid w:val="00A16318"/>
    <w:rsid w:val="00A21065"/>
    <w:rsid w:val="00A24C5A"/>
    <w:rsid w:val="00A251F0"/>
    <w:rsid w:val="00A27CB4"/>
    <w:rsid w:val="00A302F7"/>
    <w:rsid w:val="00A30547"/>
    <w:rsid w:val="00A41A1F"/>
    <w:rsid w:val="00A42D63"/>
    <w:rsid w:val="00A43CA8"/>
    <w:rsid w:val="00A444A7"/>
    <w:rsid w:val="00A53D4C"/>
    <w:rsid w:val="00A61090"/>
    <w:rsid w:val="00A6159E"/>
    <w:rsid w:val="00A635F5"/>
    <w:rsid w:val="00A70B25"/>
    <w:rsid w:val="00A77AE5"/>
    <w:rsid w:val="00A77C4D"/>
    <w:rsid w:val="00A81B51"/>
    <w:rsid w:val="00A83272"/>
    <w:rsid w:val="00A839BB"/>
    <w:rsid w:val="00A86ECD"/>
    <w:rsid w:val="00A943F4"/>
    <w:rsid w:val="00A96534"/>
    <w:rsid w:val="00AA1516"/>
    <w:rsid w:val="00AA64B9"/>
    <w:rsid w:val="00AB0771"/>
    <w:rsid w:val="00AB157C"/>
    <w:rsid w:val="00AB1F77"/>
    <w:rsid w:val="00AB20D0"/>
    <w:rsid w:val="00AB495F"/>
    <w:rsid w:val="00AB4C6B"/>
    <w:rsid w:val="00AB6C32"/>
    <w:rsid w:val="00AC2C45"/>
    <w:rsid w:val="00AC5D0D"/>
    <w:rsid w:val="00AC77D4"/>
    <w:rsid w:val="00AD0CEB"/>
    <w:rsid w:val="00AD17A2"/>
    <w:rsid w:val="00AD37D4"/>
    <w:rsid w:val="00AD3AC7"/>
    <w:rsid w:val="00AD6DDD"/>
    <w:rsid w:val="00AD6F4A"/>
    <w:rsid w:val="00AE1354"/>
    <w:rsid w:val="00AE15CC"/>
    <w:rsid w:val="00AE31F2"/>
    <w:rsid w:val="00AE56B9"/>
    <w:rsid w:val="00AF16AF"/>
    <w:rsid w:val="00AF2CEC"/>
    <w:rsid w:val="00AF3E64"/>
    <w:rsid w:val="00AF5950"/>
    <w:rsid w:val="00AF6BC3"/>
    <w:rsid w:val="00B022C6"/>
    <w:rsid w:val="00B02AC3"/>
    <w:rsid w:val="00B05000"/>
    <w:rsid w:val="00B07D36"/>
    <w:rsid w:val="00B13F37"/>
    <w:rsid w:val="00B16A7A"/>
    <w:rsid w:val="00B2263C"/>
    <w:rsid w:val="00B23D5C"/>
    <w:rsid w:val="00B2457C"/>
    <w:rsid w:val="00B36014"/>
    <w:rsid w:val="00B4160F"/>
    <w:rsid w:val="00B4386F"/>
    <w:rsid w:val="00B53379"/>
    <w:rsid w:val="00B5672F"/>
    <w:rsid w:val="00B613DE"/>
    <w:rsid w:val="00B62CF1"/>
    <w:rsid w:val="00B66F60"/>
    <w:rsid w:val="00B67FFC"/>
    <w:rsid w:val="00B70A7B"/>
    <w:rsid w:val="00B720AB"/>
    <w:rsid w:val="00B77BED"/>
    <w:rsid w:val="00B80855"/>
    <w:rsid w:val="00B846FA"/>
    <w:rsid w:val="00B84CBC"/>
    <w:rsid w:val="00B8558E"/>
    <w:rsid w:val="00B870C4"/>
    <w:rsid w:val="00B870FD"/>
    <w:rsid w:val="00B876D4"/>
    <w:rsid w:val="00B903D9"/>
    <w:rsid w:val="00B9265F"/>
    <w:rsid w:val="00B92ACC"/>
    <w:rsid w:val="00BA0BF9"/>
    <w:rsid w:val="00BA1BC6"/>
    <w:rsid w:val="00BA3209"/>
    <w:rsid w:val="00BA3FA8"/>
    <w:rsid w:val="00BA5CDE"/>
    <w:rsid w:val="00BB0C5F"/>
    <w:rsid w:val="00BB177E"/>
    <w:rsid w:val="00BB23FB"/>
    <w:rsid w:val="00BB5CDD"/>
    <w:rsid w:val="00BC02F4"/>
    <w:rsid w:val="00BC46B6"/>
    <w:rsid w:val="00BD0B17"/>
    <w:rsid w:val="00BD37B7"/>
    <w:rsid w:val="00BD4061"/>
    <w:rsid w:val="00BD75E5"/>
    <w:rsid w:val="00BD773F"/>
    <w:rsid w:val="00BE0205"/>
    <w:rsid w:val="00BE18D8"/>
    <w:rsid w:val="00BE3799"/>
    <w:rsid w:val="00BE51AC"/>
    <w:rsid w:val="00BE55F6"/>
    <w:rsid w:val="00BE5AF0"/>
    <w:rsid w:val="00BE65C8"/>
    <w:rsid w:val="00BF5E25"/>
    <w:rsid w:val="00C05CE9"/>
    <w:rsid w:val="00C13380"/>
    <w:rsid w:val="00C1459A"/>
    <w:rsid w:val="00C16A0E"/>
    <w:rsid w:val="00C20839"/>
    <w:rsid w:val="00C20EBC"/>
    <w:rsid w:val="00C218B8"/>
    <w:rsid w:val="00C22649"/>
    <w:rsid w:val="00C2395B"/>
    <w:rsid w:val="00C23F20"/>
    <w:rsid w:val="00C24C6A"/>
    <w:rsid w:val="00C24F9E"/>
    <w:rsid w:val="00C2561B"/>
    <w:rsid w:val="00C2792D"/>
    <w:rsid w:val="00C319B0"/>
    <w:rsid w:val="00C3302C"/>
    <w:rsid w:val="00C36973"/>
    <w:rsid w:val="00C4295D"/>
    <w:rsid w:val="00C42FD9"/>
    <w:rsid w:val="00C44800"/>
    <w:rsid w:val="00C44A8B"/>
    <w:rsid w:val="00C44D5D"/>
    <w:rsid w:val="00C44E94"/>
    <w:rsid w:val="00C468E1"/>
    <w:rsid w:val="00C47606"/>
    <w:rsid w:val="00C478C2"/>
    <w:rsid w:val="00C47D86"/>
    <w:rsid w:val="00C51A23"/>
    <w:rsid w:val="00C60426"/>
    <w:rsid w:val="00C60AB2"/>
    <w:rsid w:val="00C64A16"/>
    <w:rsid w:val="00C66193"/>
    <w:rsid w:val="00C674F1"/>
    <w:rsid w:val="00C67639"/>
    <w:rsid w:val="00C73D70"/>
    <w:rsid w:val="00C74918"/>
    <w:rsid w:val="00C80073"/>
    <w:rsid w:val="00C80F30"/>
    <w:rsid w:val="00C81F4C"/>
    <w:rsid w:val="00C83A65"/>
    <w:rsid w:val="00C928E5"/>
    <w:rsid w:val="00C9337E"/>
    <w:rsid w:val="00C93D5A"/>
    <w:rsid w:val="00C94E6D"/>
    <w:rsid w:val="00C95268"/>
    <w:rsid w:val="00C95567"/>
    <w:rsid w:val="00C95B16"/>
    <w:rsid w:val="00C96AEC"/>
    <w:rsid w:val="00C977D4"/>
    <w:rsid w:val="00CA0957"/>
    <w:rsid w:val="00CA29D8"/>
    <w:rsid w:val="00CA37CF"/>
    <w:rsid w:val="00CA6A4B"/>
    <w:rsid w:val="00CB3C4F"/>
    <w:rsid w:val="00CB58E0"/>
    <w:rsid w:val="00CC51B0"/>
    <w:rsid w:val="00CD04B2"/>
    <w:rsid w:val="00CD338C"/>
    <w:rsid w:val="00CD68F8"/>
    <w:rsid w:val="00CD7535"/>
    <w:rsid w:val="00CE0C88"/>
    <w:rsid w:val="00CE1B64"/>
    <w:rsid w:val="00CE2141"/>
    <w:rsid w:val="00CE3094"/>
    <w:rsid w:val="00CE3AFC"/>
    <w:rsid w:val="00CE6898"/>
    <w:rsid w:val="00CF412E"/>
    <w:rsid w:val="00CF53D8"/>
    <w:rsid w:val="00CF5688"/>
    <w:rsid w:val="00CF6338"/>
    <w:rsid w:val="00CF7271"/>
    <w:rsid w:val="00D004BA"/>
    <w:rsid w:val="00D013C5"/>
    <w:rsid w:val="00D04734"/>
    <w:rsid w:val="00D10482"/>
    <w:rsid w:val="00D109A0"/>
    <w:rsid w:val="00D12204"/>
    <w:rsid w:val="00D13488"/>
    <w:rsid w:val="00D2039B"/>
    <w:rsid w:val="00D26CE7"/>
    <w:rsid w:val="00D27FE2"/>
    <w:rsid w:val="00D31C2A"/>
    <w:rsid w:val="00D365F5"/>
    <w:rsid w:val="00D41C9E"/>
    <w:rsid w:val="00D44F0D"/>
    <w:rsid w:val="00D4547D"/>
    <w:rsid w:val="00D45FE8"/>
    <w:rsid w:val="00D462AC"/>
    <w:rsid w:val="00D46D5D"/>
    <w:rsid w:val="00D473BE"/>
    <w:rsid w:val="00D53386"/>
    <w:rsid w:val="00D550F2"/>
    <w:rsid w:val="00D652A6"/>
    <w:rsid w:val="00D6650D"/>
    <w:rsid w:val="00D71408"/>
    <w:rsid w:val="00D72E78"/>
    <w:rsid w:val="00D7398D"/>
    <w:rsid w:val="00D73EE9"/>
    <w:rsid w:val="00D74318"/>
    <w:rsid w:val="00D74C29"/>
    <w:rsid w:val="00D756EF"/>
    <w:rsid w:val="00D75735"/>
    <w:rsid w:val="00D7585E"/>
    <w:rsid w:val="00D76E6D"/>
    <w:rsid w:val="00D82120"/>
    <w:rsid w:val="00D84BB0"/>
    <w:rsid w:val="00D902A9"/>
    <w:rsid w:val="00DA1C2C"/>
    <w:rsid w:val="00DA3C66"/>
    <w:rsid w:val="00DA6173"/>
    <w:rsid w:val="00DB1E5E"/>
    <w:rsid w:val="00DB57F2"/>
    <w:rsid w:val="00DB6A2D"/>
    <w:rsid w:val="00DB7320"/>
    <w:rsid w:val="00DC1619"/>
    <w:rsid w:val="00DC2760"/>
    <w:rsid w:val="00DC3C69"/>
    <w:rsid w:val="00DC3E9A"/>
    <w:rsid w:val="00DC5408"/>
    <w:rsid w:val="00DC6945"/>
    <w:rsid w:val="00DC699F"/>
    <w:rsid w:val="00DD3A7B"/>
    <w:rsid w:val="00DD3EB1"/>
    <w:rsid w:val="00DE2F1B"/>
    <w:rsid w:val="00DE6CBB"/>
    <w:rsid w:val="00DF05B0"/>
    <w:rsid w:val="00DF1B11"/>
    <w:rsid w:val="00DF26CF"/>
    <w:rsid w:val="00DF2D94"/>
    <w:rsid w:val="00DF3DDA"/>
    <w:rsid w:val="00DF4848"/>
    <w:rsid w:val="00E02ADF"/>
    <w:rsid w:val="00E03F70"/>
    <w:rsid w:val="00E05C48"/>
    <w:rsid w:val="00E107F9"/>
    <w:rsid w:val="00E10811"/>
    <w:rsid w:val="00E115C3"/>
    <w:rsid w:val="00E23533"/>
    <w:rsid w:val="00E241C5"/>
    <w:rsid w:val="00E37DBF"/>
    <w:rsid w:val="00E40A5D"/>
    <w:rsid w:val="00E42039"/>
    <w:rsid w:val="00E426A3"/>
    <w:rsid w:val="00E45173"/>
    <w:rsid w:val="00E512B1"/>
    <w:rsid w:val="00E545DC"/>
    <w:rsid w:val="00E54CEF"/>
    <w:rsid w:val="00E55DD6"/>
    <w:rsid w:val="00E56345"/>
    <w:rsid w:val="00E60907"/>
    <w:rsid w:val="00E6277A"/>
    <w:rsid w:val="00E63A14"/>
    <w:rsid w:val="00E63C58"/>
    <w:rsid w:val="00E646BA"/>
    <w:rsid w:val="00E65922"/>
    <w:rsid w:val="00E71553"/>
    <w:rsid w:val="00E728E0"/>
    <w:rsid w:val="00E76A46"/>
    <w:rsid w:val="00E82762"/>
    <w:rsid w:val="00E83522"/>
    <w:rsid w:val="00E856F4"/>
    <w:rsid w:val="00E857DE"/>
    <w:rsid w:val="00E8645D"/>
    <w:rsid w:val="00E86CDE"/>
    <w:rsid w:val="00E92BE0"/>
    <w:rsid w:val="00E9542A"/>
    <w:rsid w:val="00E974E1"/>
    <w:rsid w:val="00E976DA"/>
    <w:rsid w:val="00EA14DC"/>
    <w:rsid w:val="00EA46BA"/>
    <w:rsid w:val="00EA617F"/>
    <w:rsid w:val="00EA6857"/>
    <w:rsid w:val="00EA6A46"/>
    <w:rsid w:val="00EB3B3B"/>
    <w:rsid w:val="00EB40DB"/>
    <w:rsid w:val="00EB6525"/>
    <w:rsid w:val="00EB764C"/>
    <w:rsid w:val="00EB7846"/>
    <w:rsid w:val="00EC4DB0"/>
    <w:rsid w:val="00EC5E52"/>
    <w:rsid w:val="00EC68CC"/>
    <w:rsid w:val="00ED2801"/>
    <w:rsid w:val="00ED487C"/>
    <w:rsid w:val="00ED6557"/>
    <w:rsid w:val="00EE2346"/>
    <w:rsid w:val="00EE272D"/>
    <w:rsid w:val="00EE50E7"/>
    <w:rsid w:val="00EE6C3C"/>
    <w:rsid w:val="00EF4D0B"/>
    <w:rsid w:val="00EF55DF"/>
    <w:rsid w:val="00EF7B28"/>
    <w:rsid w:val="00F044E2"/>
    <w:rsid w:val="00F058CF"/>
    <w:rsid w:val="00F11101"/>
    <w:rsid w:val="00F13A78"/>
    <w:rsid w:val="00F13D53"/>
    <w:rsid w:val="00F14C97"/>
    <w:rsid w:val="00F1613B"/>
    <w:rsid w:val="00F16C7E"/>
    <w:rsid w:val="00F2246E"/>
    <w:rsid w:val="00F23FCD"/>
    <w:rsid w:val="00F24669"/>
    <w:rsid w:val="00F25086"/>
    <w:rsid w:val="00F26807"/>
    <w:rsid w:val="00F26AAD"/>
    <w:rsid w:val="00F26DEF"/>
    <w:rsid w:val="00F276DB"/>
    <w:rsid w:val="00F27CC9"/>
    <w:rsid w:val="00F30122"/>
    <w:rsid w:val="00F33438"/>
    <w:rsid w:val="00F348F4"/>
    <w:rsid w:val="00F3591D"/>
    <w:rsid w:val="00F37062"/>
    <w:rsid w:val="00F374B6"/>
    <w:rsid w:val="00F4039C"/>
    <w:rsid w:val="00F44009"/>
    <w:rsid w:val="00F50A1D"/>
    <w:rsid w:val="00F52976"/>
    <w:rsid w:val="00F53030"/>
    <w:rsid w:val="00F555A9"/>
    <w:rsid w:val="00F6207F"/>
    <w:rsid w:val="00F66F77"/>
    <w:rsid w:val="00F7035F"/>
    <w:rsid w:val="00F70CFC"/>
    <w:rsid w:val="00F7756C"/>
    <w:rsid w:val="00F815A1"/>
    <w:rsid w:val="00F82BDF"/>
    <w:rsid w:val="00F83916"/>
    <w:rsid w:val="00F852E8"/>
    <w:rsid w:val="00F85EBD"/>
    <w:rsid w:val="00F877D5"/>
    <w:rsid w:val="00F87D27"/>
    <w:rsid w:val="00F9123C"/>
    <w:rsid w:val="00F97738"/>
    <w:rsid w:val="00FA369A"/>
    <w:rsid w:val="00FA3A91"/>
    <w:rsid w:val="00FA5527"/>
    <w:rsid w:val="00FA5CBB"/>
    <w:rsid w:val="00FA6B0E"/>
    <w:rsid w:val="00FB1C35"/>
    <w:rsid w:val="00FB59A1"/>
    <w:rsid w:val="00FB6C64"/>
    <w:rsid w:val="00FC30A8"/>
    <w:rsid w:val="00FC6942"/>
    <w:rsid w:val="00FD068A"/>
    <w:rsid w:val="00FD1CA7"/>
    <w:rsid w:val="00FE44DF"/>
    <w:rsid w:val="00FE4F18"/>
    <w:rsid w:val="00FE5A0D"/>
    <w:rsid w:val="00FE6064"/>
    <w:rsid w:val="00FE7ECE"/>
    <w:rsid w:val="00FF4674"/>
    <w:rsid w:val="00FF4DF8"/>
    <w:rsid w:val="00FF56B0"/>
    <w:rsid w:val="00FF6EA9"/>
    <w:rsid w:val="00FF7A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D4A8C"/>
  <w15:chartTrackingRefBased/>
  <w15:docId w15:val="{864A7AA4-2448-924B-97ED-56FF05046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14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371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71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371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371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1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1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1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1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1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7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37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737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12A"/>
    <w:rPr>
      <w:rFonts w:eastAsiaTheme="majorEastAsia" w:cstheme="majorBidi"/>
      <w:color w:val="272727" w:themeColor="text1" w:themeTint="D8"/>
    </w:rPr>
  </w:style>
  <w:style w:type="paragraph" w:styleId="Title">
    <w:name w:val="Title"/>
    <w:basedOn w:val="Normal"/>
    <w:next w:val="Normal"/>
    <w:link w:val="TitleChar"/>
    <w:uiPriority w:val="10"/>
    <w:qFormat/>
    <w:rsid w:val="007371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1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1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3712A"/>
    <w:rPr>
      <w:i/>
      <w:iCs/>
      <w:color w:val="404040" w:themeColor="text1" w:themeTint="BF"/>
    </w:rPr>
  </w:style>
  <w:style w:type="paragraph" w:styleId="ListParagraph">
    <w:name w:val="List Paragraph"/>
    <w:basedOn w:val="Normal"/>
    <w:uiPriority w:val="34"/>
    <w:qFormat/>
    <w:rsid w:val="0073712A"/>
    <w:pPr>
      <w:ind w:left="720"/>
      <w:contextualSpacing/>
    </w:pPr>
  </w:style>
  <w:style w:type="character" w:styleId="IntenseEmphasis">
    <w:name w:val="Intense Emphasis"/>
    <w:basedOn w:val="DefaultParagraphFont"/>
    <w:uiPriority w:val="21"/>
    <w:qFormat/>
    <w:rsid w:val="0073712A"/>
    <w:rPr>
      <w:i/>
      <w:iCs/>
      <w:color w:val="0F4761" w:themeColor="accent1" w:themeShade="BF"/>
    </w:rPr>
  </w:style>
  <w:style w:type="paragraph" w:styleId="IntenseQuote">
    <w:name w:val="Intense Quote"/>
    <w:basedOn w:val="Normal"/>
    <w:next w:val="Normal"/>
    <w:link w:val="IntenseQuoteChar"/>
    <w:uiPriority w:val="30"/>
    <w:qFormat/>
    <w:rsid w:val="007371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12A"/>
    <w:rPr>
      <w:i/>
      <w:iCs/>
      <w:color w:val="0F4761" w:themeColor="accent1" w:themeShade="BF"/>
    </w:rPr>
  </w:style>
  <w:style w:type="character" w:styleId="IntenseReference">
    <w:name w:val="Intense Reference"/>
    <w:basedOn w:val="DefaultParagraphFont"/>
    <w:uiPriority w:val="32"/>
    <w:qFormat/>
    <w:rsid w:val="0073712A"/>
    <w:rPr>
      <w:b/>
      <w:bCs/>
      <w:smallCaps/>
      <w:color w:val="0F4761" w:themeColor="accent1" w:themeShade="BF"/>
      <w:spacing w:val="5"/>
    </w:rPr>
  </w:style>
  <w:style w:type="paragraph" w:styleId="NoSpacing">
    <w:name w:val="No Spacing"/>
    <w:link w:val="NoSpacingChar"/>
    <w:uiPriority w:val="1"/>
    <w:qFormat/>
    <w:rsid w:val="0073712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3712A"/>
    <w:rPr>
      <w:rFonts w:eastAsiaTheme="minorEastAsia"/>
      <w:kern w:val="0"/>
      <w:sz w:val="22"/>
      <w:szCs w:val="22"/>
      <w:lang w:val="en-US" w:eastAsia="zh-CN"/>
      <w14:ligatures w14:val="none"/>
    </w:rPr>
  </w:style>
  <w:style w:type="paragraph" w:styleId="NormalWeb">
    <w:name w:val="Normal (Web)"/>
    <w:basedOn w:val="Normal"/>
    <w:uiPriority w:val="99"/>
    <w:unhideWhenUsed/>
    <w:rsid w:val="004811C8"/>
    <w:pPr>
      <w:spacing w:before="100" w:beforeAutospacing="1" w:after="100" w:afterAutospacing="1"/>
    </w:pPr>
  </w:style>
  <w:style w:type="character" w:styleId="Strong">
    <w:name w:val="Strong"/>
    <w:basedOn w:val="DefaultParagraphFont"/>
    <w:uiPriority w:val="22"/>
    <w:qFormat/>
    <w:rsid w:val="004811C8"/>
    <w:rPr>
      <w:b/>
      <w:bCs/>
    </w:rPr>
  </w:style>
  <w:style w:type="character" w:styleId="Emphasis">
    <w:name w:val="Emphasis"/>
    <w:basedOn w:val="DefaultParagraphFont"/>
    <w:uiPriority w:val="20"/>
    <w:qFormat/>
    <w:rsid w:val="00AB20D0"/>
    <w:rPr>
      <w:i/>
      <w:iCs/>
    </w:rPr>
  </w:style>
  <w:style w:type="character" w:styleId="Hyperlink">
    <w:name w:val="Hyperlink"/>
    <w:basedOn w:val="DefaultParagraphFont"/>
    <w:uiPriority w:val="99"/>
    <w:unhideWhenUsed/>
    <w:rsid w:val="00AB20D0"/>
    <w:rPr>
      <w:color w:val="0000FF"/>
      <w:u w:val="single"/>
    </w:rPr>
  </w:style>
  <w:style w:type="table" w:styleId="GridTable4-Accent2">
    <w:name w:val="Grid Table 4 Accent 2"/>
    <w:basedOn w:val="TableNormal"/>
    <w:uiPriority w:val="49"/>
    <w:rsid w:val="00B022C6"/>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B022C6"/>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B022C6"/>
    <w:pPr>
      <w:spacing w:before="120"/>
    </w:pPr>
    <w:rPr>
      <w:b/>
      <w:bCs/>
      <w:i/>
      <w:iCs/>
    </w:rPr>
  </w:style>
  <w:style w:type="paragraph" w:styleId="TOC2">
    <w:name w:val="toc 2"/>
    <w:basedOn w:val="Normal"/>
    <w:next w:val="Normal"/>
    <w:autoRedefine/>
    <w:uiPriority w:val="39"/>
    <w:unhideWhenUsed/>
    <w:rsid w:val="00B022C6"/>
    <w:pPr>
      <w:spacing w:before="120"/>
      <w:ind w:left="240"/>
    </w:pPr>
    <w:rPr>
      <w:b/>
      <w:bCs/>
      <w:sz w:val="22"/>
      <w:szCs w:val="22"/>
    </w:rPr>
  </w:style>
  <w:style w:type="paragraph" w:styleId="TOC3">
    <w:name w:val="toc 3"/>
    <w:basedOn w:val="Normal"/>
    <w:next w:val="Normal"/>
    <w:autoRedefine/>
    <w:uiPriority w:val="39"/>
    <w:unhideWhenUsed/>
    <w:rsid w:val="00B022C6"/>
    <w:pPr>
      <w:ind w:left="480"/>
    </w:pPr>
    <w:rPr>
      <w:sz w:val="20"/>
      <w:szCs w:val="20"/>
    </w:rPr>
  </w:style>
  <w:style w:type="table" w:styleId="TableGrid">
    <w:name w:val="Table Grid"/>
    <w:basedOn w:val="TableNormal"/>
    <w:uiPriority w:val="39"/>
    <w:rsid w:val="00B022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2F3CBE"/>
    <w:pPr>
      <w:ind w:left="720"/>
    </w:pPr>
    <w:rPr>
      <w:sz w:val="20"/>
      <w:szCs w:val="20"/>
    </w:rPr>
  </w:style>
  <w:style w:type="paragraph" w:styleId="TOC5">
    <w:name w:val="toc 5"/>
    <w:basedOn w:val="Normal"/>
    <w:next w:val="Normal"/>
    <w:autoRedefine/>
    <w:uiPriority w:val="39"/>
    <w:unhideWhenUsed/>
    <w:rsid w:val="002F3CBE"/>
    <w:pPr>
      <w:ind w:left="960"/>
    </w:pPr>
    <w:rPr>
      <w:sz w:val="20"/>
      <w:szCs w:val="20"/>
    </w:rPr>
  </w:style>
  <w:style w:type="paragraph" w:styleId="TOC6">
    <w:name w:val="toc 6"/>
    <w:basedOn w:val="Normal"/>
    <w:next w:val="Normal"/>
    <w:autoRedefine/>
    <w:uiPriority w:val="39"/>
    <w:unhideWhenUsed/>
    <w:rsid w:val="002F3CBE"/>
    <w:pPr>
      <w:ind w:left="1200"/>
    </w:pPr>
    <w:rPr>
      <w:sz w:val="20"/>
      <w:szCs w:val="20"/>
    </w:rPr>
  </w:style>
  <w:style w:type="paragraph" w:styleId="TOC7">
    <w:name w:val="toc 7"/>
    <w:basedOn w:val="Normal"/>
    <w:next w:val="Normal"/>
    <w:autoRedefine/>
    <w:uiPriority w:val="39"/>
    <w:unhideWhenUsed/>
    <w:rsid w:val="002F3CBE"/>
    <w:pPr>
      <w:ind w:left="1440"/>
    </w:pPr>
    <w:rPr>
      <w:sz w:val="20"/>
      <w:szCs w:val="20"/>
    </w:rPr>
  </w:style>
  <w:style w:type="paragraph" w:styleId="TOC8">
    <w:name w:val="toc 8"/>
    <w:basedOn w:val="Normal"/>
    <w:next w:val="Normal"/>
    <w:autoRedefine/>
    <w:uiPriority w:val="39"/>
    <w:unhideWhenUsed/>
    <w:rsid w:val="002F3CBE"/>
    <w:pPr>
      <w:ind w:left="1680"/>
    </w:pPr>
    <w:rPr>
      <w:sz w:val="20"/>
      <w:szCs w:val="20"/>
    </w:rPr>
  </w:style>
  <w:style w:type="paragraph" w:styleId="TOC9">
    <w:name w:val="toc 9"/>
    <w:basedOn w:val="Normal"/>
    <w:next w:val="Normal"/>
    <w:autoRedefine/>
    <w:uiPriority w:val="39"/>
    <w:unhideWhenUsed/>
    <w:rsid w:val="002F3CBE"/>
    <w:pPr>
      <w:ind w:left="1920"/>
    </w:pPr>
    <w:rPr>
      <w:sz w:val="20"/>
      <w:szCs w:val="20"/>
    </w:rPr>
  </w:style>
  <w:style w:type="character" w:styleId="UnresolvedMention">
    <w:name w:val="Unresolved Mention"/>
    <w:basedOn w:val="DefaultParagraphFont"/>
    <w:uiPriority w:val="99"/>
    <w:semiHidden/>
    <w:unhideWhenUsed/>
    <w:rsid w:val="002F3CBE"/>
    <w:rPr>
      <w:color w:val="605E5C"/>
      <w:shd w:val="clear" w:color="auto" w:fill="E1DFDD"/>
    </w:rPr>
  </w:style>
  <w:style w:type="paragraph" w:styleId="BodyText2">
    <w:name w:val="Body Text 2"/>
    <w:basedOn w:val="Normal"/>
    <w:link w:val="BodyText2Char"/>
    <w:uiPriority w:val="99"/>
    <w:rsid w:val="0083387C"/>
    <w:pPr>
      <w:ind w:left="720" w:hanging="720"/>
    </w:pPr>
    <w:rPr>
      <w:b/>
      <w:bCs/>
      <w:sz w:val="22"/>
      <w:szCs w:val="22"/>
      <w:lang w:eastAsia="en-US"/>
    </w:rPr>
  </w:style>
  <w:style w:type="character" w:customStyle="1" w:styleId="BodyText2Char">
    <w:name w:val="Body Text 2 Char"/>
    <w:basedOn w:val="DefaultParagraphFont"/>
    <w:link w:val="BodyText2"/>
    <w:uiPriority w:val="99"/>
    <w:rsid w:val="0083387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83387C"/>
    <w:pPr>
      <w:keepNext/>
      <w:spacing w:after="240"/>
    </w:pPr>
    <w:rPr>
      <w:b/>
      <w:bCs/>
      <w:lang w:eastAsia="en-US"/>
    </w:rPr>
  </w:style>
  <w:style w:type="paragraph" w:styleId="BalloonText">
    <w:name w:val="Balloon Text"/>
    <w:basedOn w:val="Normal"/>
    <w:link w:val="BalloonTextChar"/>
    <w:uiPriority w:val="99"/>
    <w:semiHidden/>
    <w:rsid w:val="0083387C"/>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83387C"/>
    <w:rPr>
      <w:rFonts w:ascii="Tahoma" w:eastAsia="Times New Roman" w:hAnsi="Tahoma" w:cs="Tahoma"/>
      <w:kern w:val="0"/>
      <w:sz w:val="16"/>
      <w:szCs w:val="16"/>
      <w14:ligatures w14:val="none"/>
    </w:rPr>
  </w:style>
  <w:style w:type="character" w:styleId="FollowedHyperlink">
    <w:name w:val="FollowedHyperlink"/>
    <w:uiPriority w:val="99"/>
    <w:semiHidden/>
    <w:rsid w:val="0083387C"/>
    <w:rPr>
      <w:color w:val="800080"/>
      <w:u w:val="single"/>
    </w:rPr>
  </w:style>
  <w:style w:type="paragraph" w:styleId="Header">
    <w:name w:val="header"/>
    <w:basedOn w:val="Normal"/>
    <w:link w:val="HeaderChar"/>
    <w:rsid w:val="0083387C"/>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83387C"/>
    <w:rPr>
      <w:rFonts w:ascii="Times New Roman" w:eastAsia="Times New Roman" w:hAnsi="Times New Roman" w:cs="Times New Roman"/>
      <w:kern w:val="0"/>
      <w:sz w:val="20"/>
      <w:szCs w:val="20"/>
      <w14:ligatures w14:val="none"/>
    </w:rPr>
  </w:style>
  <w:style w:type="paragraph" w:styleId="Footer">
    <w:name w:val="footer"/>
    <w:basedOn w:val="Normal"/>
    <w:link w:val="FooterChar"/>
    <w:rsid w:val="0083387C"/>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83387C"/>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83387C"/>
    <w:rPr>
      <w:color w:val="535353"/>
      <w:u w:val="single"/>
      <w:effect w:val="none"/>
    </w:rPr>
  </w:style>
  <w:style w:type="paragraph" w:customStyle="1" w:styleId="NormalWeb1">
    <w:name w:val="Normal (Web)1"/>
    <w:basedOn w:val="Normal"/>
    <w:uiPriority w:val="99"/>
    <w:rsid w:val="0083387C"/>
    <w:pPr>
      <w:spacing w:before="100" w:beforeAutospacing="1" w:after="300"/>
    </w:pPr>
  </w:style>
  <w:style w:type="character" w:styleId="PageNumber">
    <w:name w:val="page number"/>
    <w:basedOn w:val="DefaultParagraphFont"/>
    <w:uiPriority w:val="99"/>
    <w:rsid w:val="0083387C"/>
  </w:style>
  <w:style w:type="character" w:styleId="CommentReference">
    <w:name w:val="annotation reference"/>
    <w:uiPriority w:val="99"/>
    <w:semiHidden/>
    <w:unhideWhenUsed/>
    <w:rsid w:val="0083387C"/>
    <w:rPr>
      <w:sz w:val="16"/>
      <w:szCs w:val="16"/>
    </w:rPr>
  </w:style>
  <w:style w:type="paragraph" w:styleId="CommentText">
    <w:name w:val="annotation text"/>
    <w:basedOn w:val="Normal"/>
    <w:link w:val="CommentTextChar"/>
    <w:uiPriority w:val="99"/>
    <w:semiHidden/>
    <w:unhideWhenUsed/>
    <w:rsid w:val="0083387C"/>
    <w:rPr>
      <w:sz w:val="20"/>
      <w:szCs w:val="20"/>
      <w:lang w:eastAsia="en-US"/>
    </w:rPr>
  </w:style>
  <w:style w:type="character" w:customStyle="1" w:styleId="CommentTextChar">
    <w:name w:val="Comment Text Char"/>
    <w:basedOn w:val="DefaultParagraphFont"/>
    <w:link w:val="CommentText"/>
    <w:uiPriority w:val="99"/>
    <w:semiHidden/>
    <w:rsid w:val="0083387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3387C"/>
    <w:rPr>
      <w:b/>
      <w:bCs/>
    </w:rPr>
  </w:style>
  <w:style w:type="character" w:customStyle="1" w:styleId="CommentSubjectChar">
    <w:name w:val="Comment Subject Char"/>
    <w:basedOn w:val="CommentTextChar"/>
    <w:link w:val="CommentSubject"/>
    <w:uiPriority w:val="99"/>
    <w:semiHidden/>
    <w:rsid w:val="0083387C"/>
    <w:rPr>
      <w:rFonts w:ascii="Times New Roman" w:eastAsia="Times New Roman" w:hAnsi="Times New Roman" w:cs="Times New Roman"/>
      <w:b/>
      <w:bCs/>
      <w:kern w:val="0"/>
      <w:sz w:val="20"/>
      <w:szCs w:val="20"/>
      <w14:ligatures w14:val="none"/>
    </w:rPr>
  </w:style>
  <w:style w:type="paragraph" w:customStyle="1" w:styleId="TableContents">
    <w:name w:val="Table Contents"/>
    <w:basedOn w:val="Normal"/>
    <w:qFormat/>
    <w:rsid w:val="007E47DE"/>
    <w:pPr>
      <w:widowControl w:val="0"/>
      <w:suppressLineNumbers/>
      <w:suppressAutoHyphens/>
    </w:pPr>
    <w:rPr>
      <w:rFonts w:ascii="Liberation Serif" w:eastAsia="Arial Unicode MS" w:hAnsi="Liberation Serif" w:cs="Arial Unicode MS"/>
      <w:kern w:val="2"/>
      <w:lang w:val="en-US" w:eastAsia="zh-CN" w:bidi="hi-IN"/>
    </w:rPr>
  </w:style>
  <w:style w:type="paragraph" w:customStyle="1" w:styleId="TableHeading">
    <w:name w:val="Table Heading"/>
    <w:basedOn w:val="TableContents"/>
    <w:qFormat/>
    <w:rsid w:val="007E47DE"/>
    <w:pPr>
      <w:jc w:val="center"/>
    </w:pPr>
    <w:rPr>
      <w:b/>
      <w:bCs/>
    </w:rPr>
  </w:style>
  <w:style w:type="table" w:styleId="GridTable4-Accent1">
    <w:name w:val="Grid Table 4 Accent 1"/>
    <w:basedOn w:val="TableNormal"/>
    <w:uiPriority w:val="49"/>
    <w:rsid w:val="00B16A7A"/>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292E47"/>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3-Accent1">
    <w:name w:val="List Table 3 Accent 1"/>
    <w:basedOn w:val="TableNormal"/>
    <w:uiPriority w:val="48"/>
    <w:rsid w:val="00292E47"/>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5Dark-Accent2">
    <w:name w:val="Grid Table 5 Dark Accent 2"/>
    <w:basedOn w:val="TableNormal"/>
    <w:uiPriority w:val="50"/>
    <w:rsid w:val="00D462A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ListTable3-Accent6">
    <w:name w:val="List Table 3 Accent 6"/>
    <w:basedOn w:val="TableNormal"/>
    <w:uiPriority w:val="48"/>
    <w:rsid w:val="0020126C"/>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4-Accent1">
    <w:name w:val="List Table 4 Accent 1"/>
    <w:basedOn w:val="TableNormal"/>
    <w:uiPriority w:val="49"/>
    <w:rsid w:val="0020126C"/>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3-Accent2">
    <w:name w:val="List Table 3 Accent 2"/>
    <w:basedOn w:val="TableNormal"/>
    <w:uiPriority w:val="48"/>
    <w:rsid w:val="0020126C"/>
    <w:tblPr>
      <w:tblStyleRowBandSize w:val="1"/>
      <w:tblStyleCol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blStylePr w:type="firstRow">
      <w:rPr>
        <w:b/>
        <w:bCs/>
        <w:color w:val="FFFFFF" w:themeColor="background1"/>
      </w:rPr>
      <w:tblPr/>
      <w:tcPr>
        <w:shd w:val="clear" w:color="auto" w:fill="E97132" w:themeFill="accent2"/>
      </w:tcPr>
    </w:tblStylePr>
    <w:tblStylePr w:type="lastRow">
      <w:rPr>
        <w:b/>
        <w:bCs/>
      </w:rPr>
      <w:tblPr/>
      <w:tcPr>
        <w:tcBorders>
          <w:top w:val="double" w:sz="4" w:space="0" w:color="E9713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7132" w:themeColor="accent2"/>
          <w:right w:val="single" w:sz="4" w:space="0" w:color="E97132" w:themeColor="accent2"/>
        </w:tcBorders>
      </w:tcPr>
    </w:tblStylePr>
    <w:tblStylePr w:type="band1Horz">
      <w:tblPr/>
      <w:tcPr>
        <w:tcBorders>
          <w:top w:val="single" w:sz="4" w:space="0" w:color="E97132" w:themeColor="accent2"/>
          <w:bottom w:val="single" w:sz="4" w:space="0" w:color="E9713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7132" w:themeColor="accent2"/>
          <w:left w:val="nil"/>
        </w:tcBorders>
      </w:tcPr>
    </w:tblStylePr>
    <w:tblStylePr w:type="swCell">
      <w:tblPr/>
      <w:tcPr>
        <w:tcBorders>
          <w:top w:val="double" w:sz="4" w:space="0" w:color="E97132" w:themeColor="accent2"/>
          <w:right w:val="nil"/>
        </w:tcBorders>
      </w:tcPr>
    </w:tblStylePr>
  </w:style>
  <w:style w:type="table" w:styleId="ListTable4-Accent2">
    <w:name w:val="List Table 4 Accent 2"/>
    <w:basedOn w:val="TableNormal"/>
    <w:uiPriority w:val="49"/>
    <w:rsid w:val="0096079A"/>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Caption">
    <w:name w:val="caption"/>
    <w:basedOn w:val="Normal"/>
    <w:next w:val="Normal"/>
    <w:uiPriority w:val="35"/>
    <w:unhideWhenUsed/>
    <w:qFormat/>
    <w:rsid w:val="007F282A"/>
    <w:pPr>
      <w:spacing w:after="200"/>
    </w:pPr>
    <w:rPr>
      <w:i/>
      <w:iCs/>
      <w:color w:val="0E2841" w:themeColor="text2"/>
      <w:sz w:val="18"/>
      <w:szCs w:val="18"/>
    </w:rPr>
  </w:style>
  <w:style w:type="paragraph" w:styleId="TableofFigures">
    <w:name w:val="table of figures"/>
    <w:basedOn w:val="Normal"/>
    <w:next w:val="Normal"/>
    <w:uiPriority w:val="99"/>
    <w:unhideWhenUsed/>
    <w:rsid w:val="00F97738"/>
  </w:style>
  <w:style w:type="paragraph" w:customStyle="1" w:styleId="p1">
    <w:name w:val="p1"/>
    <w:basedOn w:val="Normal"/>
    <w:rsid w:val="007171D2"/>
    <w:pPr>
      <w:spacing w:before="100" w:beforeAutospacing="1" w:after="100" w:afterAutospacing="1"/>
    </w:pPr>
  </w:style>
  <w:style w:type="paragraph" w:customStyle="1" w:styleId="p2">
    <w:name w:val="p2"/>
    <w:basedOn w:val="Normal"/>
    <w:rsid w:val="007171D2"/>
    <w:pPr>
      <w:spacing w:before="100" w:beforeAutospacing="1" w:after="100" w:afterAutospacing="1"/>
    </w:pPr>
  </w:style>
  <w:style w:type="character" w:customStyle="1" w:styleId="s1">
    <w:name w:val="s1"/>
    <w:basedOn w:val="DefaultParagraphFont"/>
    <w:rsid w:val="00896CE6"/>
  </w:style>
  <w:style w:type="paragraph" w:customStyle="1" w:styleId="p3">
    <w:name w:val="p3"/>
    <w:basedOn w:val="Normal"/>
    <w:rsid w:val="00896CE6"/>
    <w:pPr>
      <w:spacing w:before="100" w:beforeAutospacing="1" w:after="100" w:afterAutospacing="1"/>
    </w:pPr>
  </w:style>
  <w:style w:type="paragraph" w:customStyle="1" w:styleId="p4">
    <w:name w:val="p4"/>
    <w:basedOn w:val="Normal"/>
    <w:rsid w:val="00896CE6"/>
    <w:pPr>
      <w:spacing w:before="100" w:beforeAutospacing="1" w:after="100" w:afterAutospacing="1"/>
    </w:pPr>
  </w:style>
  <w:style w:type="character" w:customStyle="1" w:styleId="muitypography-root">
    <w:name w:val="muitypography-root"/>
    <w:basedOn w:val="DefaultParagraphFont"/>
    <w:rsid w:val="00331786"/>
  </w:style>
  <w:style w:type="character" w:customStyle="1" w:styleId="apple-converted-space">
    <w:name w:val="apple-converted-space"/>
    <w:basedOn w:val="DefaultParagraphFont"/>
    <w:rsid w:val="00331786"/>
  </w:style>
  <w:style w:type="table" w:styleId="GridTable1Light">
    <w:name w:val="Grid Table 1 Light"/>
    <w:basedOn w:val="TableNormal"/>
    <w:uiPriority w:val="46"/>
    <w:rsid w:val="006D3BD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pdq2pgselectionanchorcontainer">
    <w:name w:val="pdq2pg_selectionanchorcontainer"/>
    <w:basedOn w:val="Normal"/>
    <w:rsid w:val="003D0933"/>
    <w:pPr>
      <w:spacing w:before="100" w:beforeAutospacing="1" w:after="100" w:afterAutospacing="1"/>
    </w:pPr>
  </w:style>
  <w:style w:type="character" w:styleId="BookTitle">
    <w:name w:val="Book Title"/>
    <w:basedOn w:val="DefaultParagraphFont"/>
    <w:uiPriority w:val="33"/>
    <w:qFormat/>
    <w:rsid w:val="00277819"/>
    <w:rPr>
      <w:b/>
      <w:bCs/>
      <w:i/>
      <w:iCs/>
      <w:spacing w:val="5"/>
    </w:rPr>
  </w:style>
  <w:style w:type="character" w:styleId="SubtleEmphasis">
    <w:name w:val="Subtle Emphasis"/>
    <w:basedOn w:val="DefaultParagraphFont"/>
    <w:uiPriority w:val="19"/>
    <w:qFormat/>
    <w:rsid w:val="00277819"/>
    <w:rPr>
      <w:i/>
      <w:iCs/>
      <w:color w:val="404040" w:themeColor="text1" w:themeTint="BF"/>
    </w:rPr>
  </w:style>
  <w:style w:type="character" w:styleId="SubtleReference">
    <w:name w:val="Subtle Reference"/>
    <w:basedOn w:val="DefaultParagraphFont"/>
    <w:uiPriority w:val="31"/>
    <w:qFormat/>
    <w:rsid w:val="00277819"/>
    <w:rPr>
      <w:smallCaps/>
      <w:color w:val="5A5A5A" w:themeColor="text1" w:themeTint="A5"/>
    </w:rPr>
  </w:style>
  <w:style w:type="table" w:styleId="PlainTable5">
    <w:name w:val="Plain Table 5"/>
    <w:basedOn w:val="TableNormal"/>
    <w:uiPriority w:val="45"/>
    <w:rsid w:val="0022596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82344693">
      <w:bodyDiv w:val="1"/>
      <w:marLeft w:val="0"/>
      <w:marRight w:val="0"/>
      <w:marTop w:val="0"/>
      <w:marBottom w:val="0"/>
      <w:divBdr>
        <w:top w:val="none" w:sz="0" w:space="0" w:color="auto"/>
        <w:left w:val="none" w:sz="0" w:space="0" w:color="auto"/>
        <w:bottom w:val="none" w:sz="0" w:space="0" w:color="auto"/>
        <w:right w:val="none" w:sz="0" w:space="0" w:color="auto"/>
      </w:divBdr>
      <w:divsChild>
        <w:div w:id="608320677">
          <w:marLeft w:val="0"/>
          <w:marRight w:val="0"/>
          <w:marTop w:val="0"/>
          <w:marBottom w:val="0"/>
          <w:divBdr>
            <w:top w:val="none" w:sz="0" w:space="0" w:color="auto"/>
            <w:left w:val="none" w:sz="0" w:space="0" w:color="auto"/>
            <w:bottom w:val="none" w:sz="0" w:space="0" w:color="auto"/>
            <w:right w:val="none" w:sz="0" w:space="0" w:color="auto"/>
          </w:divBdr>
        </w:div>
      </w:divsChild>
    </w:div>
    <w:div w:id="356125469">
      <w:bodyDiv w:val="1"/>
      <w:marLeft w:val="0"/>
      <w:marRight w:val="0"/>
      <w:marTop w:val="0"/>
      <w:marBottom w:val="0"/>
      <w:divBdr>
        <w:top w:val="none" w:sz="0" w:space="0" w:color="auto"/>
        <w:left w:val="none" w:sz="0" w:space="0" w:color="auto"/>
        <w:bottom w:val="none" w:sz="0" w:space="0" w:color="auto"/>
        <w:right w:val="none" w:sz="0" w:space="0" w:color="auto"/>
      </w:divBdr>
      <w:divsChild>
        <w:div w:id="665979094">
          <w:marLeft w:val="0"/>
          <w:marRight w:val="0"/>
          <w:marTop w:val="0"/>
          <w:marBottom w:val="0"/>
          <w:divBdr>
            <w:top w:val="none" w:sz="0" w:space="0" w:color="auto"/>
            <w:left w:val="none" w:sz="0" w:space="0" w:color="auto"/>
            <w:bottom w:val="none" w:sz="0" w:space="0" w:color="auto"/>
            <w:right w:val="none" w:sz="0" w:space="0" w:color="auto"/>
          </w:divBdr>
        </w:div>
      </w:divsChild>
    </w:div>
    <w:div w:id="425351804">
      <w:bodyDiv w:val="1"/>
      <w:marLeft w:val="0"/>
      <w:marRight w:val="0"/>
      <w:marTop w:val="0"/>
      <w:marBottom w:val="0"/>
      <w:divBdr>
        <w:top w:val="none" w:sz="0" w:space="0" w:color="auto"/>
        <w:left w:val="none" w:sz="0" w:space="0" w:color="auto"/>
        <w:bottom w:val="none" w:sz="0" w:space="0" w:color="auto"/>
        <w:right w:val="none" w:sz="0" w:space="0" w:color="auto"/>
      </w:divBdr>
      <w:divsChild>
        <w:div w:id="66153597">
          <w:marLeft w:val="0"/>
          <w:marRight w:val="0"/>
          <w:marTop w:val="0"/>
          <w:marBottom w:val="0"/>
          <w:divBdr>
            <w:top w:val="none" w:sz="0" w:space="0" w:color="auto"/>
            <w:left w:val="none" w:sz="0" w:space="0" w:color="auto"/>
            <w:bottom w:val="none" w:sz="0" w:space="0" w:color="auto"/>
            <w:right w:val="none" w:sz="0" w:space="0" w:color="auto"/>
          </w:divBdr>
        </w:div>
      </w:divsChild>
    </w:div>
    <w:div w:id="792334386">
      <w:bodyDiv w:val="1"/>
      <w:marLeft w:val="0"/>
      <w:marRight w:val="0"/>
      <w:marTop w:val="0"/>
      <w:marBottom w:val="0"/>
      <w:divBdr>
        <w:top w:val="none" w:sz="0" w:space="0" w:color="auto"/>
        <w:left w:val="none" w:sz="0" w:space="0" w:color="auto"/>
        <w:bottom w:val="none" w:sz="0" w:space="0" w:color="auto"/>
        <w:right w:val="none" w:sz="0" w:space="0" w:color="auto"/>
      </w:divBdr>
      <w:divsChild>
        <w:div w:id="551625014">
          <w:marLeft w:val="0"/>
          <w:marRight w:val="0"/>
          <w:marTop w:val="0"/>
          <w:marBottom w:val="0"/>
          <w:divBdr>
            <w:top w:val="none" w:sz="0" w:space="0" w:color="auto"/>
            <w:left w:val="none" w:sz="0" w:space="0" w:color="auto"/>
            <w:bottom w:val="none" w:sz="0" w:space="0" w:color="auto"/>
            <w:right w:val="none" w:sz="0" w:space="0" w:color="auto"/>
          </w:divBdr>
        </w:div>
      </w:divsChild>
    </w:div>
    <w:div w:id="1013923176">
      <w:bodyDiv w:val="1"/>
      <w:marLeft w:val="0"/>
      <w:marRight w:val="0"/>
      <w:marTop w:val="0"/>
      <w:marBottom w:val="0"/>
      <w:divBdr>
        <w:top w:val="none" w:sz="0" w:space="0" w:color="auto"/>
        <w:left w:val="none" w:sz="0" w:space="0" w:color="auto"/>
        <w:bottom w:val="none" w:sz="0" w:space="0" w:color="auto"/>
        <w:right w:val="none" w:sz="0" w:space="0" w:color="auto"/>
      </w:divBdr>
      <w:divsChild>
        <w:div w:id="1376464233">
          <w:marLeft w:val="0"/>
          <w:marRight w:val="0"/>
          <w:marTop w:val="0"/>
          <w:marBottom w:val="0"/>
          <w:divBdr>
            <w:top w:val="none" w:sz="0" w:space="0" w:color="auto"/>
            <w:left w:val="none" w:sz="0" w:space="0" w:color="auto"/>
            <w:bottom w:val="none" w:sz="0" w:space="0" w:color="auto"/>
            <w:right w:val="none" w:sz="0" w:space="0" w:color="auto"/>
          </w:divBdr>
        </w:div>
      </w:divsChild>
    </w:div>
    <w:div w:id="1178422701">
      <w:bodyDiv w:val="1"/>
      <w:marLeft w:val="0"/>
      <w:marRight w:val="0"/>
      <w:marTop w:val="0"/>
      <w:marBottom w:val="0"/>
      <w:divBdr>
        <w:top w:val="none" w:sz="0" w:space="0" w:color="auto"/>
        <w:left w:val="none" w:sz="0" w:space="0" w:color="auto"/>
        <w:bottom w:val="none" w:sz="0" w:space="0" w:color="auto"/>
        <w:right w:val="none" w:sz="0" w:space="0" w:color="auto"/>
      </w:divBdr>
      <w:divsChild>
        <w:div w:id="1174608739">
          <w:marLeft w:val="0"/>
          <w:marRight w:val="0"/>
          <w:marTop w:val="0"/>
          <w:marBottom w:val="0"/>
          <w:divBdr>
            <w:top w:val="none" w:sz="0" w:space="0" w:color="auto"/>
            <w:left w:val="none" w:sz="0" w:space="0" w:color="auto"/>
            <w:bottom w:val="none" w:sz="0" w:space="0" w:color="auto"/>
            <w:right w:val="none" w:sz="0" w:space="0" w:color="auto"/>
          </w:divBdr>
        </w:div>
      </w:divsChild>
    </w:div>
    <w:div w:id="1184786401">
      <w:bodyDiv w:val="1"/>
      <w:marLeft w:val="0"/>
      <w:marRight w:val="0"/>
      <w:marTop w:val="0"/>
      <w:marBottom w:val="0"/>
      <w:divBdr>
        <w:top w:val="none" w:sz="0" w:space="0" w:color="auto"/>
        <w:left w:val="none" w:sz="0" w:space="0" w:color="auto"/>
        <w:bottom w:val="none" w:sz="0" w:space="0" w:color="auto"/>
        <w:right w:val="none" w:sz="0" w:space="0" w:color="auto"/>
      </w:divBdr>
      <w:divsChild>
        <w:div w:id="1514030253">
          <w:marLeft w:val="0"/>
          <w:marRight w:val="0"/>
          <w:marTop w:val="0"/>
          <w:marBottom w:val="0"/>
          <w:divBdr>
            <w:top w:val="none" w:sz="0" w:space="0" w:color="auto"/>
            <w:left w:val="none" w:sz="0" w:space="0" w:color="auto"/>
            <w:bottom w:val="none" w:sz="0" w:space="0" w:color="auto"/>
            <w:right w:val="none" w:sz="0" w:space="0" w:color="auto"/>
          </w:divBdr>
        </w:div>
      </w:divsChild>
    </w:div>
    <w:div w:id="1380662124">
      <w:bodyDiv w:val="1"/>
      <w:marLeft w:val="0"/>
      <w:marRight w:val="0"/>
      <w:marTop w:val="0"/>
      <w:marBottom w:val="0"/>
      <w:divBdr>
        <w:top w:val="none" w:sz="0" w:space="0" w:color="auto"/>
        <w:left w:val="none" w:sz="0" w:space="0" w:color="auto"/>
        <w:bottom w:val="none" w:sz="0" w:space="0" w:color="auto"/>
        <w:right w:val="none" w:sz="0" w:space="0" w:color="auto"/>
      </w:divBdr>
      <w:divsChild>
        <w:div w:id="19428319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117" Type="http://schemas.openxmlformats.org/officeDocument/2006/relationships/fontTable" Target="fontTable.xml"/><Relationship Id="rId21" Type="http://schemas.openxmlformats.org/officeDocument/2006/relationships/image" Target="media/image11.png"/><Relationship Id="rId42" Type="http://schemas.openxmlformats.org/officeDocument/2006/relationships/hyperlink" Target="https://edmcouncil.org/page/DCAM" TargetMode="External"/><Relationship Id="rId47" Type="http://schemas.openxmlformats.org/officeDocument/2006/relationships/hyperlink" Target="https://ssrn.com/abstract=344580" TargetMode="External"/><Relationship Id="rId63" Type="http://schemas.openxmlformats.org/officeDocument/2006/relationships/hyperlink" Target="https://www.nationalgrid.com/electricity-transmission/about-us/digitalisation-strategy-and-action-plan" TargetMode="External"/><Relationship Id="rId68" Type="http://schemas.openxmlformats.org/officeDocument/2006/relationships/hyperlink" Target="https://www.ofgem.gov.uk/publications/review-digitalisation-strategies-energy-networks-2023" TargetMode="External"/><Relationship Id="rId84" Type="http://schemas.openxmlformats.org/officeDocument/2006/relationships/hyperlink" Target="https://www.sse.com/media/214daz5u/sse-plc-net-zero-transition-report-2024.pdf" TargetMode="External"/><Relationship Id="rId89" Type="http://schemas.openxmlformats.org/officeDocument/2006/relationships/hyperlink" Target="https://doi.org/10.1016/j.dss.2021.113755" TargetMode="External"/><Relationship Id="rId112" Type="http://schemas.openxmlformats.org/officeDocument/2006/relationships/footer" Target="footer1.xml"/><Relationship Id="rId16" Type="http://schemas.openxmlformats.org/officeDocument/2006/relationships/image" Target="media/image6.png"/><Relationship Id="rId107" Type="http://schemas.openxmlformats.org/officeDocument/2006/relationships/image" Target="media/image19.eps"/><Relationship Id="rId11" Type="http://schemas.microsoft.com/office/2007/relationships/hdphoto" Target="media/hdphoto2.wdp"/><Relationship Id="rId32" Type="http://schemas.openxmlformats.org/officeDocument/2006/relationships/hyperlink" Target="http://dx.doi.org/10.1016/j.dss.2017.03.005" TargetMode="External"/><Relationship Id="rId37" Type="http://schemas.openxmlformats.org/officeDocument/2006/relationships/hyperlink" Target="https://www.aeaweb.org/articles?id=10.1257/mac.20180386" TargetMode="External"/><Relationship Id="rId53" Type="http://schemas.openxmlformats.org/officeDocument/2006/relationships/hyperlink" Target="https://doi.org/10.1109/ACCESS.2023.3333915" TargetMode="External"/><Relationship Id="rId58" Type="http://schemas.openxmlformats.org/officeDocument/2006/relationships/hyperlink" Target="https://hbr.org/2012/10/big-data-the-management-revolution" TargetMode="External"/><Relationship Id="rId74" Type="http://schemas.openxmlformats.org/officeDocument/2006/relationships/hyperlink" Target="https://doi.org/10.1016/j.jsis.2023.101789" TargetMode="External"/><Relationship Id="rId79" Type="http://schemas.openxmlformats.org/officeDocument/2006/relationships/hyperlink" Target="https://doi.org/10.1057/ejis.2014.17" TargetMode="External"/><Relationship Id="rId102" Type="http://schemas.openxmlformats.org/officeDocument/2006/relationships/hyperlink" Target="https://www.uwtsd.ac.uk/research/research-ethics/" TargetMode="External"/><Relationship Id="rId5" Type="http://schemas.openxmlformats.org/officeDocument/2006/relationships/webSettings" Target="webSettings.xml"/><Relationship Id="rId90" Type="http://schemas.openxmlformats.org/officeDocument/2006/relationships/hyperlink" Target="https://doi.org/10.1177/001872675100400101" TargetMode="External"/><Relationship Id="rId95" Type="http://schemas.openxmlformats.org/officeDocument/2006/relationships/hyperlink" Target="https://doi.org/10.1016/j.enpol.2020.111612" TargetMode="External"/><Relationship Id="rId22" Type="http://schemas.openxmlformats.org/officeDocument/2006/relationships/image" Target="media/image12.png"/><Relationship Id="rId27" Type="http://schemas.openxmlformats.org/officeDocument/2006/relationships/image" Target="media/image16.png"/><Relationship Id="rId43" Type="http://schemas.openxmlformats.org/officeDocument/2006/relationships/hyperlink" Target="https://doi.org/10.63125/6b3aeg93" TargetMode="External"/><Relationship Id="rId48" Type="http://schemas.openxmlformats.org/officeDocument/2006/relationships/hyperlink" Target="https://doi.org/10.1016/j.ijpe.2014.04.018" TargetMode="External"/><Relationship Id="rId64" Type="http://schemas.openxmlformats.org/officeDocument/2006/relationships/hyperlink" Target="https://doi.org/10.3390/systems13080687" TargetMode="External"/><Relationship Id="rId69" Type="http://schemas.openxmlformats.org/officeDocument/2006/relationships/hyperlink" Target="https://www.ijcat.com" TargetMode="External"/><Relationship Id="rId113" Type="http://schemas.openxmlformats.org/officeDocument/2006/relationships/footer" Target="footer2.xml"/><Relationship Id="rId118" Type="http://schemas.openxmlformats.org/officeDocument/2006/relationships/theme" Target="theme/theme1.xml"/><Relationship Id="rId80" Type="http://schemas.openxmlformats.org/officeDocument/2006/relationships/hyperlink" Target="https://doi.org/10.25300/MISQ/2020/14181" TargetMode="External"/><Relationship Id="rId85" Type="http://schemas.openxmlformats.org/officeDocument/2006/relationships/hyperlink" Target="https://www.sse.com/investors/reports-and-results/" TargetMode="External"/><Relationship Id="rId12" Type="http://schemas.microsoft.com/office/2007/relationships/hdphoto" Target="media/hdphoto3.wdp"/><Relationship Id="rId17" Type="http://schemas.openxmlformats.org/officeDocument/2006/relationships/image" Target="media/image7.png"/><Relationship Id="rId33" Type="http://schemas.openxmlformats.org/officeDocument/2006/relationships/hyperlink" Target="https://doi.org/10.1177/1468794112468475" TargetMode="External"/><Relationship Id="rId38" Type="http://schemas.openxmlformats.org/officeDocument/2006/relationships/hyperlink" Target="https://www.ucg.ac.me/skladiste/blog_609332/objava_105202/fajlovi/Creswell.pdf" TargetMode="External"/><Relationship Id="rId59" Type="http://schemas.openxmlformats.org/officeDocument/2006/relationships/hyperlink" Target="https://doi.org/10.1145/3457607" TargetMode="External"/><Relationship Id="rId103" Type="http://schemas.openxmlformats.org/officeDocument/2006/relationships/hyperlink" Target="https://mytsd.uwtsd.ac.uk" TargetMode="External"/><Relationship Id="rId108" Type="http://schemas.openxmlformats.org/officeDocument/2006/relationships/image" Target="media/image20.eps"/><Relationship Id="rId54" Type="http://schemas.openxmlformats.org/officeDocument/2006/relationships/hyperlink" Target="https://doi.org/10.1145/1629175.1629210" TargetMode="External"/><Relationship Id="rId70" Type="http://schemas.openxmlformats.org/officeDocument/2006/relationships/hyperlink" Target="https://doi.org/10.17705/1CAIS.02903" TargetMode="External"/><Relationship Id="rId75" Type="http://schemas.openxmlformats.org/officeDocument/2006/relationships/hyperlink" Target="https://doi.org/10.1016/j.techfore.2023.122727" TargetMode="External"/><Relationship Id="rId91" Type="http://schemas.openxmlformats.org/officeDocument/2006/relationships/hyperlink" Target="https://doi.org/10.61978/novatio.v3i3.1105" TargetMode="External"/><Relationship Id="rId96" Type="http://schemas.openxmlformats.org/officeDocument/2006/relationships/hyperlink" Target="https://ebooks.umu.ac.ug/librarian/books-file/Case%20Study%20Research%20and%20Applications.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microsoft.com/office/2007/relationships/hdphoto" Target="media/hdphoto4.wdp"/><Relationship Id="rId28" Type="http://schemas.openxmlformats.org/officeDocument/2006/relationships/image" Target="media/image17.png"/><Relationship Id="rId49" Type="http://schemas.openxmlformats.org/officeDocument/2006/relationships/hyperlink" Target="https://ico.org.uk/for-organisations/uk-gdpr-guidance-and-resources/data-protection-principles/a-guide-to-the-data-protection-principles/" TargetMode="External"/><Relationship Id="rId114" Type="http://schemas.openxmlformats.org/officeDocument/2006/relationships/header" Target="header3.xml"/><Relationship Id="rId10" Type="http://schemas.microsoft.com/office/2007/relationships/hdphoto" Target="media/hdphoto1.wdp"/><Relationship Id="rId31" Type="http://schemas.openxmlformats.org/officeDocument/2006/relationships/hyperlink" Target="https://doi.org/10.37547/tajet/volume08issue01-16" TargetMode="External"/><Relationship Id="rId44" Type="http://schemas.openxmlformats.org/officeDocument/2006/relationships/hyperlink" Target="https://doi.org/10.4135/9781452230184" TargetMode="External"/><Relationship Id="rId52" Type="http://schemas.openxmlformats.org/officeDocument/2006/relationships/hyperlink" Target="https://doi.org/10.13140/RG.2.2.34573.44006" TargetMode="External"/><Relationship Id="rId60" Type="http://schemas.openxmlformats.org/officeDocument/2006/relationships/hyperlink" Target="https://doi.org/10.1109/AI-SI66213.2025.11341381" TargetMode="External"/><Relationship Id="rId65" Type="http://schemas.openxmlformats.org/officeDocument/2006/relationships/hyperlink" Target="https://www.ofgem.gov.uk/sites/default/files/2021-11/Digitalisation_Strategy_Action_Plan_Guidance_v1.pdf" TargetMode="External"/><Relationship Id="rId73" Type="http://schemas.openxmlformats.org/officeDocument/2006/relationships/hyperlink" Target="https://www.researchgate.net/publication/280645794_Data_driven_Profiting_from_your_most_important_business_asset" TargetMode="External"/><Relationship Id="rId78" Type="http://schemas.openxmlformats.org/officeDocument/2006/relationships/hyperlink" Target="https://acrobat.adobe.com/id/urn:aaid:sc:EU:ecbff086-ff6b-428e-9547-c6a008dadf4e" TargetMode="External"/><Relationship Id="rId81" Type="http://schemas.openxmlformats.org/officeDocument/2006/relationships/hyperlink" Target="https://www.ohdsi.org/wp-content/uploads/2017/10/MISQ-Predictive-Analytics-in-IS-Shmueli-Koppius-2011.pdf" TargetMode="External"/><Relationship Id="rId86" Type="http://schemas.openxmlformats.org/officeDocument/2006/relationships/hyperlink" Target="https://www.sse.com/sustainability/" TargetMode="External"/><Relationship Id="rId94" Type="http://schemas.openxmlformats.org/officeDocument/2006/relationships/hyperlink" Target="https://doi.org/10.54097/c8940s80" TargetMode="External"/><Relationship Id="rId99" Type="http://schemas.openxmlformats.org/officeDocument/2006/relationships/hyperlink" Target="file:///C:/Users/c.lohmann-hancock/AppData/Local/Microsoft/Windows/INetCache/REICoP-17-20-v3-Final.pdf" TargetMode="External"/><Relationship Id="rId10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bayanbox.ir/view/236051966444369258/9781483344379-Designing-and-Conducting-Mixed-Methods-Research-3e.pdf" TargetMode="External"/><Relationship Id="rId109" Type="http://schemas.openxmlformats.org/officeDocument/2006/relationships/image" Target="media/image21.eps"/><Relationship Id="rId34" Type="http://schemas.openxmlformats.org/officeDocument/2006/relationships/hyperlink" Target="https://psycnet.apa.org/doi/10.1191/1478088706qp063oa" TargetMode="External"/><Relationship Id="rId50" Type="http://schemas.openxmlformats.org/officeDocument/2006/relationships/hyperlink" Target="https://www.iea.org/programmes/digital-demand-driven-electricity-networks-initiative" TargetMode="External"/><Relationship Id="rId55" Type="http://schemas.openxmlformats.org/officeDocument/2006/relationships/hyperlink" Target="https://doi.org/10.1016/j.ijinfomgt.2014.02.002" TargetMode="External"/><Relationship Id="rId76" Type="http://schemas.openxmlformats.org/officeDocument/2006/relationships/hyperlink" Target="https://doi.org/10.1007/978-3-031-82369-5_6" TargetMode="External"/><Relationship Id="rId97" Type="http://schemas.openxmlformats.org/officeDocument/2006/relationships/hyperlink" Target="https://mytsd.uwtsd.ac.uk" TargetMode="External"/><Relationship Id="rId104"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https://www.researchgate.net/publication/256438799_Data_Science_for_Business" TargetMode="External"/><Relationship Id="rId92" Type="http://schemas.openxmlformats.org/officeDocument/2006/relationships/hyperlink" Target="https://doi.org/10.1007/s00146-021-01384-9" TargetMode="External"/><Relationship Id="rId2" Type="http://schemas.openxmlformats.org/officeDocument/2006/relationships/numbering" Target="numbering.xml"/><Relationship Id="rId29" Type="http://schemas.openxmlformats.org/officeDocument/2006/relationships/hyperlink" Target="https://doi.org/10.1016/j.ijinfomgt.2019.07.008" TargetMode="External"/><Relationship Id="rId24" Type="http://schemas.openxmlformats.org/officeDocument/2006/relationships/image" Target="media/image13.png"/><Relationship Id="rId40" Type="http://schemas.openxmlformats.org/officeDocument/2006/relationships/hyperlink" Target="https://cs.brown.edu/courses/cs295-11/competing.pdf" TargetMode="External"/><Relationship Id="rId45" Type="http://schemas.openxmlformats.org/officeDocument/2006/relationships/hyperlink" Target="https://doi.org/10.1177/1525822X05279903" TargetMode="External"/><Relationship Id="rId66" Type="http://schemas.openxmlformats.org/officeDocument/2006/relationships/hyperlink" Target="https://www.ofgem.gov.uk/sites/default/files/2023-11/Data%20Sharing%20in%20a%20Digital%20Future%20-%20Consumer%20Consent.pdf" TargetMode="External"/><Relationship Id="rId87" Type="http://schemas.openxmlformats.org/officeDocument/2006/relationships/hyperlink" Target="https://www.sse.com/investors/reportsresults/" TargetMode="External"/><Relationship Id="rId110" Type="http://schemas.openxmlformats.org/officeDocument/2006/relationships/header" Target="header1.xml"/><Relationship Id="rId115" Type="http://schemas.openxmlformats.org/officeDocument/2006/relationships/footer" Target="footer3.xml"/><Relationship Id="rId61" Type="http://schemas.openxmlformats.org/officeDocument/2006/relationships/hyperlink" Target="https://doi.org/10.1177/1077800413513733" TargetMode="External"/><Relationship Id="rId82" Type="http://schemas.openxmlformats.org/officeDocument/2006/relationships/hyperlink" Target="https://doi.org/10.58425/ajt.v5i4.523"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hyperlink" Target="https://doi.org/10.1108/JEIM-01-2017-0007" TargetMode="External"/><Relationship Id="rId35" Type="http://schemas.openxmlformats.org/officeDocument/2006/relationships/hyperlink" Target="https://doi.org/10.1007/978-3-030-44999-5_36" TargetMode="External"/><Relationship Id="rId56" Type="http://schemas.openxmlformats.org/officeDocument/2006/relationships/hyperlink" Target="https://sloanreview.mit.edu/article/big-data-analytics-and-the-path-from-insights-to-value/" TargetMode="External"/><Relationship Id="rId77" Type="http://schemas.openxmlformats.org/officeDocument/2006/relationships/hyperlink" Target="https://doi.org/10.62823/jcecs/11.04.8479" TargetMode="External"/><Relationship Id="rId10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5" Type="http://schemas.openxmlformats.org/officeDocument/2006/relationships/hyperlink" Target="https://forms.office.com/Pages/AnalysisPage.aspx?AnalyzerToken=kK8DLV29NTOtmeLoXvWXSSSJreRAu8Cw&amp;id=DQSIkWdsW0yxEjajBLZtrQAAAAAAAAAAAAO__bfAE2tUN0FJWVlGVFRMSk0zREFIMUlBR0NaT0lYSy4u" TargetMode="External"/><Relationship Id="rId8" Type="http://schemas.openxmlformats.org/officeDocument/2006/relationships/image" Target="media/image1.png"/><Relationship Id="rId51" Type="http://schemas.openxmlformats.org/officeDocument/2006/relationships/hyperlink" Target="https://doi.org/10.1177/1525822X05282260" TargetMode="External"/><Relationship Id="rId72" Type="http://schemas.openxmlformats.org/officeDocument/2006/relationships/hyperlink" Target="https://doi.org/10.63125/he1tfg25" TargetMode="External"/><Relationship Id="rId93" Type="http://schemas.openxmlformats.org/officeDocument/2006/relationships/hyperlink" Target="https://pearl.plymouth.ac.uk/cgi/viewcontent.cgi?article=1141&amp;context=pbs-research" TargetMode="External"/><Relationship Id="rId98" Type="http://schemas.openxmlformats.org/officeDocument/2006/relationships/hyperlink" Target="mailto:pgresearch@uwtsd.ac.uk" TargetMode="External"/><Relationship Id="rId3" Type="http://schemas.openxmlformats.org/officeDocument/2006/relationships/styles" Target="styles.xml"/><Relationship Id="rId25" Type="http://schemas.openxmlformats.org/officeDocument/2006/relationships/image" Target="media/image14.png"/><Relationship Id="rId46" Type="http://schemas.openxmlformats.org/officeDocument/2006/relationships/hyperlink" Target="https://doi.org/10.1016/j.im.2016.07.004" TargetMode="External"/><Relationship Id="rId67" Type="http://schemas.openxmlformats.org/officeDocument/2006/relationships/hyperlink" Target="https://www.ofgem.gov.uk/publications/ofgems-decarbonisation-action-plan" TargetMode="External"/><Relationship Id="rId116" Type="http://schemas.openxmlformats.org/officeDocument/2006/relationships/footer" Target="footer4.xml"/><Relationship Id="rId20" Type="http://schemas.openxmlformats.org/officeDocument/2006/relationships/image" Target="media/image10.png"/><Relationship Id="rId41" Type="http://schemas.openxmlformats.org/officeDocument/2006/relationships/hyperlink" Target="https://doi.org/10.4324/9781315134543" TargetMode="External"/><Relationship Id="rId62" Type="http://schemas.openxmlformats.org/officeDocument/2006/relationships/hyperlink" Target="https://www.nationalgrid.com/document/151041/download" TargetMode="External"/><Relationship Id="rId83" Type="http://schemas.openxmlformats.org/officeDocument/2006/relationships/hyperlink" Target="https://doi.org/10.1007/s10551-018-3972-8" TargetMode="External"/><Relationship Id="rId88" Type="http://schemas.openxmlformats.org/officeDocument/2006/relationships/hyperlink" Target="https://cdn.bookey.app/files/pdf/book/en/the-art-of-case-study-research.pdf" TargetMode="External"/><Relationship Id="rId111" Type="http://schemas.openxmlformats.org/officeDocument/2006/relationships/header" Target="header2.xml"/><Relationship Id="rId15" Type="http://schemas.openxmlformats.org/officeDocument/2006/relationships/image" Target="media/image5.png"/><Relationship Id="rId36" Type="http://schemas.openxmlformats.org/officeDocument/2006/relationships/hyperlink" Target="https://ide.mit.edu/sites/default/files/publications/IDE%20Research%20Brief_v13_0.pdf" TargetMode="External"/><Relationship Id="rId57" Type="http://schemas.openxmlformats.org/officeDocument/2006/relationships/hyperlink" Target="https://www.jstor.org/stable/258792" TargetMode="External"/><Relationship Id="rId106" Type="http://schemas.openxmlformats.org/officeDocument/2006/relationships/image" Target="media/image18.e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9165CC-1529-FE43-8800-4351480BB0E2}">
  <we:reference id="wa200000368" version="1.0.0.0" store="en-US" storeType="OMEX"/>
  <we:alternateReferences>
    <we:reference id="wa200000368" version="1.0.0.0" store="" storeType="OMEX"/>
  </we:alternateReferences>
  <we:properties>
    <we:property name="documentId" value="&quot;2494f53293b9e8f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0A3AC-F3CD-864F-A8DB-263F518EA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143</Pages>
  <Words>41676</Words>
  <Characters>271311</Characters>
  <Application>Microsoft Office Word</Application>
  <DocSecurity>0</DocSecurity>
  <Lines>6617</Lines>
  <Paragraphs>3816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Depiver (2307234)</dc:creator>
  <cp:keywords/>
  <dc:description/>
  <cp:lastModifiedBy>Joshua Depiver</cp:lastModifiedBy>
  <cp:revision>50</cp:revision>
  <cp:lastPrinted>2026-07-27T07:27:00Z</cp:lastPrinted>
  <dcterms:created xsi:type="dcterms:W3CDTF">2026-07-26T21:06:00Z</dcterms:created>
  <dcterms:modified xsi:type="dcterms:W3CDTF">2026-07-28T19:30:00Z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a1fd0ee3-564e-4e11-978b-d8e753c43644</vt:lpwstr>
  </property>
</Properties>
</file>