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FB8D39" w14:textId="4BB1F02B" w:rsidR="001B51E1" w:rsidRDefault="00C15B89" w:rsidP="00043FBD">
      <w:pPr>
        <w:jc w:val="center"/>
        <w:rPr>
          <w:rFonts w:asciiTheme="majorHAnsi" w:hAnsiTheme="majorHAnsi" w:cstheme="majorHAnsi"/>
          <w:b/>
          <w:bCs/>
          <w:u w:val="single"/>
        </w:rPr>
      </w:pPr>
      <w:r>
        <w:rPr>
          <w:rFonts w:asciiTheme="majorHAnsi" w:hAnsiTheme="majorHAnsi" w:cstheme="majorHAnsi"/>
          <w:b/>
          <w:bCs/>
          <w:u w:val="single"/>
        </w:rPr>
        <w:t>SOLICITORS ESSAY.</w:t>
      </w:r>
    </w:p>
    <w:p w14:paraId="04577DB6" w14:textId="2B7E6BA9" w:rsidR="00043FBD" w:rsidRDefault="00043FBD" w:rsidP="00043FBD">
      <w:pPr>
        <w:jc w:val="center"/>
        <w:rPr>
          <w:rFonts w:asciiTheme="majorHAnsi" w:hAnsiTheme="majorHAnsi" w:cstheme="majorHAnsi"/>
          <w:b/>
          <w:bCs/>
          <w:u w:val="single"/>
        </w:rPr>
      </w:pPr>
    </w:p>
    <w:p w14:paraId="2BF5033E" w14:textId="2F2BD8DD" w:rsidR="00043FBD" w:rsidRPr="00BC1D42" w:rsidRDefault="00C15B89" w:rsidP="00BC1D42">
      <w:pPr>
        <w:spacing w:line="480" w:lineRule="auto"/>
        <w:jc w:val="both"/>
        <w:rPr>
          <w:rFonts w:asciiTheme="majorHAnsi" w:hAnsiTheme="majorHAnsi" w:cstheme="majorHAnsi"/>
        </w:rPr>
      </w:pPr>
      <w:r w:rsidRPr="00BC1D42">
        <w:rPr>
          <w:rFonts w:asciiTheme="majorHAnsi" w:hAnsiTheme="majorHAnsi" w:cstheme="majorHAnsi"/>
        </w:rPr>
        <w:t xml:space="preserve">The statement ‘should Solicitors be trusted to the ends of the earth?’ may no longer reflect public opinion. </w:t>
      </w:r>
      <w:r w:rsidR="0018376D" w:rsidRPr="00BC1D42">
        <w:rPr>
          <w:rFonts w:asciiTheme="majorHAnsi" w:hAnsiTheme="majorHAnsi" w:cstheme="majorHAnsi"/>
        </w:rPr>
        <w:t xml:space="preserve">Despite there being measures in places such as the Solicitors Regulation Authority code of conduct to hold legal professionals accountable and each to the same standard, there have been many cases where a breach of practice with a significant loss to the client. Despite it being the intention that solicitors should be trusted this does not always reflect reality (Colins, 2012). </w:t>
      </w:r>
    </w:p>
    <w:p w14:paraId="7FFBB68C" w14:textId="3F525141" w:rsidR="0018376D" w:rsidRPr="00BC1D42" w:rsidRDefault="0018376D" w:rsidP="00BC1D42">
      <w:pPr>
        <w:spacing w:line="480" w:lineRule="auto"/>
        <w:jc w:val="both"/>
        <w:rPr>
          <w:rFonts w:asciiTheme="majorHAnsi" w:hAnsiTheme="majorHAnsi" w:cstheme="majorHAnsi"/>
        </w:rPr>
      </w:pPr>
    </w:p>
    <w:p w14:paraId="540408DF" w14:textId="16D7E6ED" w:rsidR="0018376D" w:rsidRDefault="00C15B89" w:rsidP="00BC1D42">
      <w:pPr>
        <w:spacing w:line="480" w:lineRule="auto"/>
        <w:jc w:val="both"/>
        <w:rPr>
          <w:rFonts w:asciiTheme="majorHAnsi" w:hAnsiTheme="majorHAnsi" w:cstheme="majorHAnsi"/>
        </w:rPr>
      </w:pPr>
      <w:r w:rsidRPr="00BC1D42">
        <w:rPr>
          <w:rFonts w:asciiTheme="majorHAnsi" w:hAnsiTheme="majorHAnsi" w:cstheme="majorHAnsi"/>
        </w:rPr>
        <w:t>There is one main legal body in place which holds solicitors accountable and stipulates how legal; practice must be conducted and</w:t>
      </w:r>
      <w:r w:rsidRPr="00BC1D42">
        <w:rPr>
          <w:rFonts w:asciiTheme="majorHAnsi" w:hAnsiTheme="majorHAnsi" w:cstheme="majorHAnsi"/>
        </w:rPr>
        <w:t xml:space="preserve"> that is the Solicitors Regulation Authority (SRA)</w:t>
      </w:r>
      <w:r w:rsidR="00C411DC" w:rsidRPr="00BC1D42">
        <w:rPr>
          <w:rFonts w:asciiTheme="majorHAnsi" w:hAnsiTheme="majorHAnsi" w:cstheme="majorHAnsi"/>
        </w:rPr>
        <w:t xml:space="preserve"> created by the Law Society in 2007</w:t>
      </w:r>
      <w:r w:rsidRPr="00BC1D42">
        <w:rPr>
          <w:rFonts w:asciiTheme="majorHAnsi" w:hAnsiTheme="majorHAnsi" w:cstheme="majorHAnsi"/>
        </w:rPr>
        <w:t>. The SRA’s main objective is to</w:t>
      </w:r>
      <w:r w:rsidR="00181B7A" w:rsidRPr="00BC1D42">
        <w:rPr>
          <w:rFonts w:asciiTheme="majorHAnsi" w:hAnsiTheme="majorHAnsi" w:cstheme="majorHAnsi"/>
        </w:rPr>
        <w:t xml:space="preserve"> </w:t>
      </w:r>
      <w:r w:rsidR="00CC4D7A" w:rsidRPr="00BC1D42">
        <w:rPr>
          <w:rFonts w:asciiTheme="majorHAnsi" w:hAnsiTheme="majorHAnsi" w:cstheme="majorHAnsi"/>
        </w:rPr>
        <w:t>regulate</w:t>
      </w:r>
      <w:r w:rsidR="00181B7A" w:rsidRPr="00BC1D42">
        <w:rPr>
          <w:rFonts w:asciiTheme="majorHAnsi" w:hAnsiTheme="majorHAnsi" w:cstheme="majorHAnsi"/>
        </w:rPr>
        <w:t xml:space="preserve"> by</w:t>
      </w:r>
      <w:r w:rsidRPr="00BC1D42">
        <w:rPr>
          <w:rFonts w:asciiTheme="majorHAnsi" w:hAnsiTheme="majorHAnsi" w:cstheme="majorHAnsi"/>
        </w:rPr>
        <w:t xml:space="preserve"> provid</w:t>
      </w:r>
      <w:r w:rsidR="00181B7A" w:rsidRPr="00BC1D42">
        <w:rPr>
          <w:rFonts w:asciiTheme="majorHAnsi" w:hAnsiTheme="majorHAnsi" w:cstheme="majorHAnsi"/>
        </w:rPr>
        <w:t>ing</w:t>
      </w:r>
      <w:r w:rsidRPr="00BC1D42">
        <w:rPr>
          <w:rFonts w:asciiTheme="majorHAnsi" w:hAnsiTheme="majorHAnsi" w:cstheme="majorHAnsi"/>
        </w:rPr>
        <w:t xml:space="preserve"> a code of conduct to which describes the standards of professionalism that the SRA and the public expect from </w:t>
      </w:r>
      <w:r w:rsidR="00C411DC" w:rsidRPr="00BC1D42">
        <w:rPr>
          <w:rFonts w:asciiTheme="majorHAnsi" w:hAnsiTheme="majorHAnsi" w:cstheme="majorHAnsi"/>
        </w:rPr>
        <w:t>regulated persons</w:t>
      </w:r>
      <w:r w:rsidR="00181B7A" w:rsidRPr="00BC1D42">
        <w:rPr>
          <w:rFonts w:asciiTheme="majorHAnsi" w:hAnsiTheme="majorHAnsi" w:cstheme="majorHAnsi"/>
        </w:rPr>
        <w:t xml:space="preserve"> this is inclusive of solicitors in England and Wales</w:t>
      </w:r>
      <w:r w:rsidRPr="00BC1D42">
        <w:rPr>
          <w:rFonts w:asciiTheme="majorHAnsi" w:hAnsiTheme="majorHAnsi" w:cstheme="majorHAnsi"/>
        </w:rPr>
        <w:t>.</w:t>
      </w:r>
      <w:r w:rsidR="00CC4D7A" w:rsidRPr="00BC1D42">
        <w:rPr>
          <w:rFonts w:asciiTheme="majorHAnsi" w:hAnsiTheme="majorHAnsi" w:cstheme="majorHAnsi"/>
        </w:rPr>
        <w:t xml:space="preserve"> </w:t>
      </w:r>
      <w:r w:rsidR="00C411DC" w:rsidRPr="00BC1D42">
        <w:rPr>
          <w:rFonts w:asciiTheme="majorHAnsi" w:hAnsiTheme="majorHAnsi" w:cstheme="majorHAnsi"/>
        </w:rPr>
        <w:t>Failure to meet standards and follow the SRA code of conduct or serious breach of the regulatory requirements would result in the SRA taking regulatory action against the individual (Solicitors Regulation Authority, 2021).</w:t>
      </w:r>
    </w:p>
    <w:p w14:paraId="73C2BDB4" w14:textId="10F497A8" w:rsidR="00CB08A3" w:rsidRDefault="00CB08A3" w:rsidP="00BC1D42">
      <w:pPr>
        <w:spacing w:line="480" w:lineRule="auto"/>
        <w:jc w:val="both"/>
        <w:rPr>
          <w:rFonts w:asciiTheme="majorHAnsi" w:hAnsiTheme="majorHAnsi" w:cstheme="majorHAnsi"/>
        </w:rPr>
      </w:pPr>
    </w:p>
    <w:p w14:paraId="383E6341" w14:textId="3353E7E6" w:rsidR="00147EC5" w:rsidRDefault="00C15B89" w:rsidP="00BC1D42">
      <w:pPr>
        <w:spacing w:line="480" w:lineRule="auto"/>
        <w:jc w:val="both"/>
        <w:rPr>
          <w:rFonts w:asciiTheme="majorHAnsi" w:hAnsiTheme="majorHAnsi" w:cstheme="majorHAnsi"/>
        </w:rPr>
      </w:pPr>
      <w:r>
        <w:rPr>
          <w:rFonts w:asciiTheme="majorHAnsi" w:hAnsiTheme="majorHAnsi" w:cstheme="majorHAnsi"/>
        </w:rPr>
        <w:t>The SRA doesn't just regulate individuals but firms also ensure that firms regulated by the SRA are compliant with their requirements and regulatory arrangements, these firms are required to operate their firm by the Autho</w:t>
      </w:r>
      <w:r>
        <w:rPr>
          <w:rFonts w:asciiTheme="majorHAnsi" w:hAnsiTheme="majorHAnsi" w:cstheme="majorHAnsi"/>
        </w:rPr>
        <w:t>risation of Firms rules set out by the SRA failure to do so could result in a loss of authorisation. The SRA's website also allows anyone to search for any firm or individual to check whether they are registered with the SRA this could potentially offer so</w:t>
      </w:r>
      <w:r>
        <w:rPr>
          <w:rFonts w:asciiTheme="majorHAnsi" w:hAnsiTheme="majorHAnsi" w:cstheme="majorHAnsi"/>
        </w:rPr>
        <w:t>me reassurance to the public that the firm or individual of choice is being regulated as if a firm is authorised by the SRA it is a requirement that they have a designated compliance officer on site.</w:t>
      </w:r>
    </w:p>
    <w:p w14:paraId="38927E40" w14:textId="670228DA" w:rsidR="00CB08A3" w:rsidRDefault="00CB08A3" w:rsidP="00BC1D42">
      <w:pPr>
        <w:spacing w:line="480" w:lineRule="auto"/>
        <w:jc w:val="both"/>
        <w:rPr>
          <w:rFonts w:asciiTheme="majorHAnsi" w:hAnsiTheme="majorHAnsi" w:cstheme="majorHAnsi"/>
        </w:rPr>
      </w:pPr>
    </w:p>
    <w:p w14:paraId="58E61799" w14:textId="77777777" w:rsidR="00CB08A3" w:rsidRPr="00BC1D42" w:rsidRDefault="00CB08A3" w:rsidP="00BC1D42">
      <w:pPr>
        <w:spacing w:line="480" w:lineRule="auto"/>
        <w:jc w:val="both"/>
        <w:rPr>
          <w:rFonts w:asciiTheme="majorHAnsi" w:hAnsiTheme="majorHAnsi" w:cstheme="majorHAnsi"/>
        </w:rPr>
      </w:pPr>
    </w:p>
    <w:p w14:paraId="568EC894" w14:textId="47FDDA1B" w:rsidR="001F0452" w:rsidRPr="00BC1D42" w:rsidRDefault="00C15B89" w:rsidP="00BC1D42">
      <w:pPr>
        <w:spacing w:line="480" w:lineRule="auto"/>
        <w:jc w:val="both"/>
        <w:rPr>
          <w:rFonts w:asciiTheme="majorHAnsi" w:hAnsiTheme="majorHAnsi" w:cstheme="majorHAnsi"/>
        </w:rPr>
      </w:pPr>
      <w:r w:rsidRPr="00BC1D42">
        <w:rPr>
          <w:rFonts w:asciiTheme="majorHAnsi" w:hAnsiTheme="majorHAnsi" w:cstheme="majorHAnsi"/>
        </w:rPr>
        <w:t xml:space="preserve">The seven principles that make up the code of conduct </w:t>
      </w:r>
      <w:r w:rsidRPr="00BC1D42">
        <w:rPr>
          <w:rFonts w:asciiTheme="majorHAnsi" w:hAnsiTheme="majorHAnsi" w:cstheme="majorHAnsi"/>
        </w:rPr>
        <w:t xml:space="preserve">are to ensure that all legal professionals and firms uphold the rule of law, public trust and confidence, act with confidence, honesty and integrity, strive to </w:t>
      </w:r>
      <w:r w:rsidRPr="00BC1D42">
        <w:rPr>
          <w:rFonts w:asciiTheme="majorHAnsi" w:hAnsiTheme="majorHAnsi" w:cstheme="majorHAnsi"/>
        </w:rPr>
        <w:lastRenderedPageBreak/>
        <w:t xml:space="preserve">encourage equality and inclusion, and lastly in each client’s best interest. </w:t>
      </w:r>
      <w:r>
        <w:rPr>
          <w:rFonts w:asciiTheme="majorHAnsi" w:hAnsiTheme="majorHAnsi" w:cstheme="majorHAnsi"/>
        </w:rPr>
        <w:t>It is also importan</w:t>
      </w:r>
      <w:r>
        <w:rPr>
          <w:rFonts w:asciiTheme="majorHAnsi" w:hAnsiTheme="majorHAnsi" w:cstheme="majorHAnsi"/>
        </w:rPr>
        <w:t xml:space="preserve">t that solicitors have certain attributes to ensure a </w:t>
      </w:r>
      <w:r w:rsidR="00CB08A3">
        <w:rPr>
          <w:rFonts w:asciiTheme="majorHAnsi" w:hAnsiTheme="majorHAnsi" w:cstheme="majorHAnsi"/>
        </w:rPr>
        <w:t>fair professional</w:t>
      </w:r>
      <w:r>
        <w:rPr>
          <w:rFonts w:asciiTheme="majorHAnsi" w:hAnsiTheme="majorHAnsi" w:cstheme="majorHAnsi"/>
        </w:rPr>
        <w:t xml:space="preserve"> service and </w:t>
      </w:r>
      <w:r w:rsidR="00CB08A3">
        <w:rPr>
          <w:rFonts w:asciiTheme="majorHAnsi" w:hAnsiTheme="majorHAnsi" w:cstheme="majorHAnsi"/>
        </w:rPr>
        <w:t xml:space="preserve">an overall great </w:t>
      </w:r>
      <w:r>
        <w:rPr>
          <w:rFonts w:asciiTheme="majorHAnsi" w:hAnsiTheme="majorHAnsi" w:cstheme="majorHAnsi"/>
        </w:rPr>
        <w:t xml:space="preserve">experience for the client, a solicitor must have good listening skills, questioning skills, patience, resilience, politeness, independence and </w:t>
      </w:r>
      <w:r>
        <w:rPr>
          <w:rFonts w:asciiTheme="majorHAnsi" w:hAnsiTheme="majorHAnsi" w:cstheme="majorHAnsi"/>
        </w:rPr>
        <w:t>fairness.</w:t>
      </w:r>
    </w:p>
    <w:p w14:paraId="3A90AD54" w14:textId="77777777" w:rsidR="00EB627E" w:rsidRPr="00BC1D42" w:rsidRDefault="00EB627E" w:rsidP="00BC1D42">
      <w:pPr>
        <w:spacing w:line="480" w:lineRule="auto"/>
        <w:jc w:val="both"/>
        <w:rPr>
          <w:rFonts w:asciiTheme="majorHAnsi" w:hAnsiTheme="majorHAnsi" w:cstheme="majorHAnsi"/>
        </w:rPr>
      </w:pPr>
    </w:p>
    <w:p w14:paraId="05A3C319" w14:textId="1084FA68" w:rsidR="00C411DC" w:rsidRPr="00BC1D42" w:rsidRDefault="00C15B89" w:rsidP="00BC1D42">
      <w:pPr>
        <w:spacing w:line="480" w:lineRule="auto"/>
        <w:jc w:val="both"/>
        <w:rPr>
          <w:rFonts w:asciiTheme="majorHAnsi" w:hAnsiTheme="majorHAnsi" w:cstheme="majorHAnsi"/>
        </w:rPr>
      </w:pPr>
      <w:r w:rsidRPr="00BC1D42">
        <w:rPr>
          <w:rFonts w:asciiTheme="majorHAnsi" w:hAnsiTheme="majorHAnsi" w:cstheme="majorHAnsi"/>
        </w:rPr>
        <w:t xml:space="preserve">The </w:t>
      </w:r>
      <w:r w:rsidR="00CC4D7A" w:rsidRPr="00BC1D42">
        <w:rPr>
          <w:rFonts w:asciiTheme="majorHAnsi" w:hAnsiTheme="majorHAnsi" w:cstheme="majorHAnsi"/>
        </w:rPr>
        <w:t xml:space="preserve">purpose of the SRA </w:t>
      </w:r>
      <w:r w:rsidR="000B5831" w:rsidRPr="00BC1D42">
        <w:rPr>
          <w:rFonts w:asciiTheme="majorHAnsi" w:hAnsiTheme="majorHAnsi" w:cstheme="majorHAnsi"/>
        </w:rPr>
        <w:t>is to preserve and enhance the legal profession to instil public confidence to do this the seven main principles of the SRA are surrounding</w:t>
      </w:r>
      <w:r w:rsidR="009C15C8" w:rsidRPr="00BC1D42">
        <w:rPr>
          <w:rFonts w:asciiTheme="majorHAnsi" w:hAnsiTheme="majorHAnsi" w:cstheme="majorHAnsi"/>
        </w:rPr>
        <w:t xml:space="preserve"> client care. Client care is the foundation for </w:t>
      </w:r>
      <w:r w:rsidR="000B5831" w:rsidRPr="00BC1D42">
        <w:rPr>
          <w:rFonts w:asciiTheme="majorHAnsi" w:hAnsiTheme="majorHAnsi" w:cstheme="majorHAnsi"/>
        </w:rPr>
        <w:t xml:space="preserve">the principles behind the legal profession every principle is in place with the </w:t>
      </w:r>
      <w:r w:rsidR="00EB627E" w:rsidRPr="00BC1D42">
        <w:rPr>
          <w:rFonts w:asciiTheme="majorHAnsi" w:hAnsiTheme="majorHAnsi" w:cstheme="majorHAnsi"/>
        </w:rPr>
        <w:t>client’s</w:t>
      </w:r>
      <w:r w:rsidR="000B5831" w:rsidRPr="00BC1D42">
        <w:rPr>
          <w:rFonts w:asciiTheme="majorHAnsi" w:hAnsiTheme="majorHAnsi" w:cstheme="majorHAnsi"/>
        </w:rPr>
        <w:t xml:space="preserve"> best interests as the main focus</w:t>
      </w:r>
      <w:r w:rsidR="009A36FC" w:rsidRPr="00BC1D42">
        <w:rPr>
          <w:rFonts w:asciiTheme="majorHAnsi" w:hAnsiTheme="majorHAnsi" w:cstheme="majorHAnsi"/>
        </w:rPr>
        <w:t xml:space="preserve"> there are many safeguards in place to ensure that each client has fair representation each principle has a level of importance; a few key rules that need to be followed are conflict of interest not only between </w:t>
      </w:r>
      <w:r w:rsidR="00EB627E" w:rsidRPr="00BC1D42">
        <w:rPr>
          <w:rFonts w:asciiTheme="majorHAnsi" w:hAnsiTheme="majorHAnsi" w:cstheme="majorHAnsi"/>
        </w:rPr>
        <w:t>the client and the solicitor but also between clients within the same firm.</w:t>
      </w:r>
      <w:r w:rsidR="001F0452">
        <w:rPr>
          <w:rFonts w:asciiTheme="majorHAnsi" w:hAnsiTheme="majorHAnsi" w:cstheme="majorHAnsi"/>
        </w:rPr>
        <w:t xml:space="preserve"> </w:t>
      </w:r>
      <w:r w:rsidR="00EB627E" w:rsidRPr="00BC1D42">
        <w:rPr>
          <w:rFonts w:asciiTheme="majorHAnsi" w:hAnsiTheme="majorHAnsi" w:cstheme="majorHAnsi"/>
        </w:rPr>
        <w:t>By practising this rule will ensure there is no bias,</w:t>
      </w:r>
      <w:r w:rsidR="000B5831" w:rsidRPr="00BC1D42">
        <w:rPr>
          <w:rFonts w:asciiTheme="majorHAnsi" w:hAnsiTheme="majorHAnsi" w:cstheme="majorHAnsi"/>
        </w:rPr>
        <w:t xml:space="preserve"> however, despite this, it has been reported that less than half of the general population of the UK trust lawyers this was revealed in a survey conducted by watchdog, on a more positive note it found that 31 per cent of the general public which had used legal services with the two years before the survey 84 per cent were satisfied with the outcome of the legal work received (Baksi, 2011). </w:t>
      </w:r>
    </w:p>
    <w:p w14:paraId="023F2581" w14:textId="4B8E810E" w:rsidR="00481C0D" w:rsidRPr="00BC1D42" w:rsidRDefault="00481C0D" w:rsidP="00BC1D42">
      <w:pPr>
        <w:spacing w:line="480" w:lineRule="auto"/>
        <w:jc w:val="both"/>
        <w:rPr>
          <w:rFonts w:asciiTheme="majorHAnsi" w:hAnsiTheme="majorHAnsi" w:cstheme="majorHAnsi"/>
        </w:rPr>
      </w:pPr>
    </w:p>
    <w:p w14:paraId="34F9E2F6" w14:textId="03C31777" w:rsidR="00481C0D" w:rsidRPr="00BC1D42" w:rsidRDefault="00C15B89" w:rsidP="00BC1D42">
      <w:pPr>
        <w:spacing w:line="480" w:lineRule="auto"/>
        <w:jc w:val="both"/>
        <w:rPr>
          <w:rFonts w:asciiTheme="majorHAnsi" w:hAnsiTheme="majorHAnsi" w:cstheme="majorHAnsi"/>
        </w:rPr>
      </w:pPr>
      <w:r w:rsidRPr="00BC1D42">
        <w:rPr>
          <w:rFonts w:asciiTheme="majorHAnsi" w:hAnsiTheme="majorHAnsi" w:cstheme="majorHAnsi"/>
        </w:rPr>
        <w:t xml:space="preserve">Client confidentiality is fundamental when considering the scenarios in which a client would require a Lawyer, Solicitor or legal advice. </w:t>
      </w:r>
      <w:r w:rsidR="00EE5F47" w:rsidRPr="00BC1D42">
        <w:rPr>
          <w:rFonts w:asciiTheme="majorHAnsi" w:hAnsiTheme="majorHAnsi" w:cstheme="majorHAnsi"/>
        </w:rPr>
        <w:t>Included within the SRA it states that 'affairs of clients and former clients must remain confidential unless disclosure is required or permitted by law or the client consents' this does extend beyond death the only instance that it would be possible for the information to be released would be if requested by the executor of the will. However</w:t>
      </w:r>
      <w:r w:rsidR="00256AAE" w:rsidRPr="00BC1D42">
        <w:rPr>
          <w:rFonts w:asciiTheme="majorHAnsi" w:hAnsiTheme="majorHAnsi" w:cstheme="majorHAnsi"/>
        </w:rPr>
        <w:t>,</w:t>
      </w:r>
      <w:r w:rsidR="00EE5F47" w:rsidRPr="00BC1D42">
        <w:rPr>
          <w:rFonts w:asciiTheme="majorHAnsi" w:hAnsiTheme="majorHAnsi" w:cstheme="majorHAnsi"/>
        </w:rPr>
        <w:t xml:space="preserve"> some exceptional circumstances may lawfully allow information to be released without the clients' consent such as Government agencies like HMRC could request information without the client</w:t>
      </w:r>
      <w:r w:rsidR="00C470DC" w:rsidRPr="00BC1D42">
        <w:rPr>
          <w:rFonts w:asciiTheme="majorHAnsi" w:hAnsiTheme="majorHAnsi" w:cstheme="majorHAnsi"/>
        </w:rPr>
        <w:t>’</w:t>
      </w:r>
      <w:r w:rsidR="00EE5F47" w:rsidRPr="00BC1D42">
        <w:rPr>
          <w:rFonts w:asciiTheme="majorHAnsi" w:hAnsiTheme="majorHAnsi" w:cstheme="majorHAnsi"/>
        </w:rPr>
        <w:t>s constant this is permitted by law.</w:t>
      </w:r>
      <w:r w:rsidR="00C470DC" w:rsidRPr="00BC1D42">
        <w:rPr>
          <w:rFonts w:asciiTheme="majorHAnsi" w:hAnsiTheme="majorHAnsi" w:cstheme="majorHAnsi"/>
        </w:rPr>
        <w:t xml:space="preserve"> </w:t>
      </w:r>
      <w:r w:rsidR="005E638A" w:rsidRPr="00BC1D42">
        <w:rPr>
          <w:rFonts w:asciiTheme="majorHAnsi" w:hAnsiTheme="majorHAnsi" w:cstheme="majorHAnsi"/>
        </w:rPr>
        <w:t>Despite there being codes of practice and regulations in place there are instances where Solicitors have breached the client confidentiality rule, in some instances these breaches could be made public when reported by the press thus potentially damaging the public’s trust and views towards the legal profession (Hyde, 2017).</w:t>
      </w:r>
    </w:p>
    <w:p w14:paraId="66DEC06A" w14:textId="23AA48D5" w:rsidR="00DA6835" w:rsidRPr="00BC1D42" w:rsidRDefault="00DA6835" w:rsidP="00BC1D42">
      <w:pPr>
        <w:spacing w:line="480" w:lineRule="auto"/>
        <w:jc w:val="both"/>
        <w:rPr>
          <w:rFonts w:asciiTheme="majorHAnsi" w:hAnsiTheme="majorHAnsi" w:cstheme="majorHAnsi"/>
        </w:rPr>
      </w:pPr>
    </w:p>
    <w:p w14:paraId="114764BE" w14:textId="0C73642D" w:rsidR="00DA6835" w:rsidRPr="00BC1D42" w:rsidRDefault="00C15B89" w:rsidP="00BC1D42">
      <w:pPr>
        <w:spacing w:line="480" w:lineRule="auto"/>
        <w:jc w:val="both"/>
        <w:rPr>
          <w:rFonts w:asciiTheme="majorHAnsi" w:hAnsiTheme="majorHAnsi" w:cstheme="majorHAnsi"/>
        </w:rPr>
      </w:pPr>
      <w:r w:rsidRPr="00BC1D42">
        <w:rPr>
          <w:rFonts w:asciiTheme="majorHAnsi" w:hAnsiTheme="majorHAnsi" w:cstheme="majorHAnsi"/>
        </w:rPr>
        <w:t xml:space="preserve">As well as client confidentiality it is equally important to avoid any conflicts of interest at all costs, as stated within the SRA Solicitors must avoid any conflicts of interest </w:t>
      </w:r>
      <w:r w:rsidRPr="00BC1D42">
        <w:rPr>
          <w:rFonts w:asciiTheme="majorHAnsi" w:hAnsiTheme="majorHAnsi" w:cstheme="majorHAnsi"/>
        </w:rPr>
        <w:t>between themselves and their clients but also between clients that the firm represents, this includes any current conflicts of interest but also to consider any significant risk of a conflict. Moreover, there are specific circumstances that will allow a So</w:t>
      </w:r>
      <w:r w:rsidRPr="00BC1D42">
        <w:rPr>
          <w:rFonts w:asciiTheme="majorHAnsi" w:hAnsiTheme="majorHAnsi" w:cstheme="majorHAnsi"/>
        </w:rPr>
        <w:t>licitor to represent both clients providing they have a substantially common interest</w:t>
      </w:r>
      <w:r w:rsidR="00AE0A2F" w:rsidRPr="00BC1D42">
        <w:rPr>
          <w:rFonts w:asciiTheme="majorHAnsi" w:hAnsiTheme="majorHAnsi" w:cstheme="majorHAnsi"/>
        </w:rPr>
        <w:t xml:space="preserve">. The SRA have this particular rule in place to avoid professional bias and ensure professional honesty at all times. there have been reported cases that have seen Solicitors represent clients who are aware they have a conflict of interest and continued to represent them for financial gain arguably hurting the image of the profession as these cases tend to be widely reported (Slingo, 2019).   </w:t>
      </w:r>
    </w:p>
    <w:p w14:paraId="322B7124" w14:textId="6760ACA5" w:rsidR="00256AAE" w:rsidRPr="00BC1D42" w:rsidRDefault="00256AAE" w:rsidP="00BC1D42">
      <w:pPr>
        <w:spacing w:line="480" w:lineRule="auto"/>
        <w:jc w:val="both"/>
        <w:rPr>
          <w:rFonts w:asciiTheme="majorHAnsi" w:hAnsiTheme="majorHAnsi" w:cstheme="majorHAnsi"/>
        </w:rPr>
      </w:pPr>
    </w:p>
    <w:p w14:paraId="02CC279D" w14:textId="10A0332C" w:rsidR="00762137" w:rsidRPr="00BC1D42" w:rsidRDefault="00C15B89" w:rsidP="00BC1D42">
      <w:pPr>
        <w:spacing w:line="480" w:lineRule="auto"/>
        <w:jc w:val="both"/>
        <w:rPr>
          <w:rFonts w:asciiTheme="majorHAnsi" w:hAnsiTheme="majorHAnsi" w:cstheme="majorHAnsi"/>
        </w:rPr>
      </w:pPr>
      <w:r w:rsidRPr="00BC1D42">
        <w:rPr>
          <w:rFonts w:asciiTheme="majorHAnsi" w:hAnsiTheme="majorHAnsi" w:cstheme="majorHAnsi"/>
        </w:rPr>
        <w:t>One thing that can be said is</w:t>
      </w:r>
      <w:r w:rsidRPr="00BC1D42">
        <w:rPr>
          <w:rFonts w:asciiTheme="majorHAnsi" w:hAnsiTheme="majorHAnsi" w:cstheme="majorHAnsi"/>
        </w:rPr>
        <w:t xml:space="preserve"> despite the cases being widely reported and the stories of Solicitors misusing their conflict of interest for personal gain and in some cases leaving their clients in a bad financial situation, contained within these reports it is usually documented as to</w:t>
      </w:r>
      <w:r w:rsidRPr="00BC1D42">
        <w:rPr>
          <w:rFonts w:asciiTheme="majorHAnsi" w:hAnsiTheme="majorHAnsi" w:cstheme="majorHAnsi"/>
        </w:rPr>
        <w:t xml:space="preserve"> how the case has been dealt with by the SRA so whereas news reports of Solicitors abusing their position could be damaging to the legal sector and Solicitors it could be argued that it has the potential to instil some trust that the SRA are doing their du</w:t>
      </w:r>
      <w:r w:rsidRPr="00BC1D42">
        <w:rPr>
          <w:rFonts w:asciiTheme="majorHAnsi" w:hAnsiTheme="majorHAnsi" w:cstheme="majorHAnsi"/>
        </w:rPr>
        <w:t>e diligence and eliminating those persons (Sawyer, 2017).</w:t>
      </w:r>
    </w:p>
    <w:p w14:paraId="6CD7D4B5" w14:textId="2F0806A9" w:rsidR="00356B95" w:rsidRPr="00BC1D42" w:rsidRDefault="00356B95" w:rsidP="00BC1D42">
      <w:pPr>
        <w:spacing w:line="480" w:lineRule="auto"/>
        <w:jc w:val="both"/>
        <w:rPr>
          <w:rFonts w:asciiTheme="majorHAnsi" w:hAnsiTheme="majorHAnsi" w:cstheme="majorHAnsi"/>
        </w:rPr>
      </w:pPr>
    </w:p>
    <w:p w14:paraId="56C3D499" w14:textId="664C3E5E" w:rsidR="00042E47" w:rsidRPr="00BC1D42" w:rsidRDefault="00C15B89" w:rsidP="00BC1D42">
      <w:pPr>
        <w:spacing w:line="480" w:lineRule="auto"/>
        <w:jc w:val="both"/>
        <w:rPr>
          <w:rFonts w:asciiTheme="majorHAnsi" w:hAnsiTheme="majorHAnsi" w:cstheme="majorHAnsi"/>
        </w:rPr>
      </w:pPr>
      <w:r w:rsidRPr="00BC1D42">
        <w:rPr>
          <w:rFonts w:asciiTheme="majorHAnsi" w:hAnsiTheme="majorHAnsi" w:cstheme="majorHAnsi"/>
        </w:rPr>
        <w:t xml:space="preserve">Firms and Solicitors are often at risk of </w:t>
      </w:r>
      <w:r w:rsidR="009417BA" w:rsidRPr="00BC1D42">
        <w:rPr>
          <w:rFonts w:asciiTheme="majorHAnsi" w:hAnsiTheme="majorHAnsi" w:cstheme="majorHAnsi"/>
        </w:rPr>
        <w:t>being targeted by potential fraudsters as it is widely known that in some cases Solicitors have client accounts some of which hold large sums of money, so a potential risk could be phishing emails sent by a fraudster posing as the firm with account details for clients to transfer funds into. Another misuse of firms and solicitors is by criminals who use the proceeds from criminal activity to purchase a house by doing this they would be required to put their funds into a client account this would then clean the money as it has been entered into a legitim</w:t>
      </w:r>
      <w:r w:rsidR="00DE72BF" w:rsidRPr="00BC1D42">
        <w:rPr>
          <w:rFonts w:asciiTheme="majorHAnsi" w:hAnsiTheme="majorHAnsi" w:cstheme="majorHAnsi"/>
        </w:rPr>
        <w:t>ate enterprise. To attempt to overcome the risk of being targeted by criminals there is anti-money laundering due diligence that must be carried out</w:t>
      </w:r>
      <w:r w:rsidR="009417BA" w:rsidRPr="00BC1D42">
        <w:rPr>
          <w:rFonts w:asciiTheme="majorHAnsi" w:hAnsiTheme="majorHAnsi" w:cstheme="majorHAnsi"/>
        </w:rPr>
        <w:t xml:space="preserve"> </w:t>
      </w:r>
      <w:r w:rsidR="00DE72BF" w:rsidRPr="00BC1D42">
        <w:rPr>
          <w:rFonts w:asciiTheme="majorHAnsi" w:hAnsiTheme="majorHAnsi" w:cstheme="majorHAnsi"/>
        </w:rPr>
        <w:t xml:space="preserve">such as client identification inclusive of electronic identity checks, evidence of the source of funds each firm would carry </w:t>
      </w:r>
      <w:r w:rsidR="00DE72BF" w:rsidRPr="00BC1D42">
        <w:rPr>
          <w:rFonts w:asciiTheme="majorHAnsi" w:hAnsiTheme="majorHAnsi" w:cstheme="majorHAnsi"/>
        </w:rPr>
        <w:lastRenderedPageBreak/>
        <w:t>out their own risk assessments and would also have an appointed money laundering reporting officer. Each solicitor must do their due diligence as if found to have assisted in money laundering that solicitor would be held personally liable and will be prosecuted</w:t>
      </w:r>
      <w:r w:rsidR="00A02E64" w:rsidRPr="00BC1D42">
        <w:rPr>
          <w:rFonts w:asciiTheme="majorHAnsi" w:hAnsiTheme="majorHAnsi" w:cstheme="majorHAnsi"/>
        </w:rPr>
        <w:t xml:space="preserve">, this is all regulated by government money laundering legislation, and provides anti-money laundering guidelines (Money Laundering, Terrorist Financing and Transfer of Funds (Information on the Payer) Regulations, 2017). </w:t>
      </w:r>
    </w:p>
    <w:p w14:paraId="47593F55" w14:textId="45DF7599" w:rsidR="000C153C" w:rsidRPr="00BC1D42" w:rsidRDefault="000C153C" w:rsidP="00BC1D42">
      <w:pPr>
        <w:spacing w:line="480" w:lineRule="auto"/>
        <w:jc w:val="both"/>
        <w:rPr>
          <w:rFonts w:asciiTheme="majorHAnsi" w:hAnsiTheme="majorHAnsi" w:cstheme="majorHAnsi"/>
        </w:rPr>
      </w:pPr>
    </w:p>
    <w:p w14:paraId="28AF40A1" w14:textId="7D30A4F9" w:rsidR="000C153C" w:rsidRPr="00BC1D42" w:rsidRDefault="00C15B89" w:rsidP="00BC1D42">
      <w:pPr>
        <w:spacing w:line="480" w:lineRule="auto"/>
        <w:jc w:val="both"/>
        <w:rPr>
          <w:rFonts w:asciiTheme="majorHAnsi" w:hAnsiTheme="majorHAnsi" w:cstheme="majorHAnsi"/>
        </w:rPr>
      </w:pPr>
      <w:r w:rsidRPr="00BC1D42">
        <w:rPr>
          <w:rFonts w:asciiTheme="majorHAnsi" w:hAnsiTheme="majorHAnsi" w:cstheme="majorHAnsi"/>
        </w:rPr>
        <w:t>Also in place is the Proceeds of Crime Act (2002) which is an act that has established the Assets Recovery Agency whi</w:t>
      </w:r>
      <w:r w:rsidRPr="00BC1D42">
        <w:rPr>
          <w:rFonts w:asciiTheme="majorHAnsi" w:hAnsiTheme="majorHAnsi" w:cstheme="majorHAnsi"/>
        </w:rPr>
        <w:t>ch will allow the recovery of property obtained through unlawful conduct</w:t>
      </w:r>
      <w:r w:rsidR="00D53BF3" w:rsidRPr="00BC1D42">
        <w:rPr>
          <w:rFonts w:asciiTheme="majorHAnsi" w:hAnsiTheme="majorHAnsi" w:cstheme="majorHAnsi"/>
        </w:rPr>
        <w:t>, this is in place to provide confiscation orders to persons who benefit from criminal conduct</w:t>
      </w:r>
      <w:r w:rsidR="00E967AC" w:rsidRPr="00BC1D42">
        <w:rPr>
          <w:rFonts w:asciiTheme="majorHAnsi" w:hAnsiTheme="majorHAnsi" w:cstheme="majorHAnsi"/>
        </w:rPr>
        <w:t xml:space="preserve">, however, this doesn't provide a definite safeguard as there have been incidents reported where not all funds from criminal activity have been able to be recovered and returned to the victim (Blackmore, 2015). </w:t>
      </w:r>
    </w:p>
    <w:p w14:paraId="13D39DD6" w14:textId="385AC4B4" w:rsidR="00DE72BF" w:rsidRPr="00BC1D42" w:rsidRDefault="00DE72BF" w:rsidP="00BC1D42">
      <w:pPr>
        <w:spacing w:line="480" w:lineRule="auto"/>
        <w:jc w:val="both"/>
        <w:rPr>
          <w:rFonts w:asciiTheme="majorHAnsi" w:hAnsiTheme="majorHAnsi" w:cstheme="majorHAnsi"/>
        </w:rPr>
      </w:pPr>
    </w:p>
    <w:p w14:paraId="288C61A5" w14:textId="51BBF4FE" w:rsidR="00042E47" w:rsidRPr="00BC1D42" w:rsidRDefault="00C15B89" w:rsidP="00BC1D42">
      <w:pPr>
        <w:spacing w:line="480" w:lineRule="auto"/>
        <w:jc w:val="both"/>
        <w:rPr>
          <w:rFonts w:asciiTheme="majorHAnsi" w:hAnsiTheme="majorHAnsi" w:cstheme="majorHAnsi"/>
        </w:rPr>
      </w:pPr>
      <w:r w:rsidRPr="00BC1D42">
        <w:rPr>
          <w:rFonts w:asciiTheme="majorHAnsi" w:hAnsiTheme="majorHAnsi" w:cstheme="majorHAnsi"/>
        </w:rPr>
        <w:t>The industry within the last year has had to overcome some changes concerning risk and compliance. There have always been very strict</w:t>
      </w:r>
      <w:r w:rsidRPr="00BC1D42">
        <w:rPr>
          <w:rFonts w:asciiTheme="majorHAnsi" w:hAnsiTheme="majorHAnsi" w:cstheme="majorHAnsi"/>
        </w:rPr>
        <w:t xml:space="preserve"> rules to ensure that all potential risks are identified and each firm are complying, however, this last year has seen some big changes and some adapting needed as with the global pandemic this has forced firms to operate remotely this meaning that Solicit</w:t>
      </w:r>
      <w:r w:rsidRPr="00BC1D42">
        <w:rPr>
          <w:rFonts w:asciiTheme="majorHAnsi" w:hAnsiTheme="majorHAnsi" w:cstheme="majorHAnsi"/>
        </w:rPr>
        <w:t>ors are still</w:t>
      </w:r>
      <w:r w:rsidR="005435C1" w:rsidRPr="00BC1D42">
        <w:rPr>
          <w:rFonts w:asciiTheme="majorHAnsi" w:hAnsiTheme="majorHAnsi" w:cstheme="majorHAnsi"/>
        </w:rPr>
        <w:t xml:space="preserve"> required to represent their clients but doing so remotely from their own home thus opening the doors to many potential risks, for instance, client confidentiality as one could assume that most do not live alone and there being no physical presence of the firm's compliance officer to oversee conduct, cyber security and anti - money laundering. Within the first two months of the United Kingdom being put into lockdown, there had been an increase of 300% in phishing scams. The SRA and legal professionals have had to overcome some big challenges over the past 12 months to ensure that client's money is protected, that diversity and standards of service are not affected while maintaining integrity and ethics and ensuring legal standards are met (Solicitors Regulation Authority, 2021).</w:t>
      </w:r>
    </w:p>
    <w:p w14:paraId="2FCE89A4" w14:textId="32B299A7" w:rsidR="00EB627E" w:rsidRPr="00BC1D42" w:rsidRDefault="00EB627E" w:rsidP="00BC1D42">
      <w:pPr>
        <w:spacing w:line="480" w:lineRule="auto"/>
        <w:jc w:val="both"/>
        <w:rPr>
          <w:rFonts w:asciiTheme="majorHAnsi" w:hAnsiTheme="majorHAnsi" w:cstheme="majorHAnsi"/>
        </w:rPr>
      </w:pPr>
    </w:p>
    <w:p w14:paraId="136C48AE" w14:textId="5C819917" w:rsidR="00D27244" w:rsidRPr="00BC1D42" w:rsidRDefault="00C15B89" w:rsidP="00BC1D42">
      <w:pPr>
        <w:spacing w:line="480" w:lineRule="auto"/>
        <w:jc w:val="both"/>
        <w:rPr>
          <w:rFonts w:asciiTheme="majorHAnsi" w:hAnsiTheme="majorHAnsi" w:cstheme="majorHAnsi"/>
        </w:rPr>
      </w:pPr>
      <w:r w:rsidRPr="00BC1D42">
        <w:rPr>
          <w:rFonts w:asciiTheme="majorHAnsi" w:hAnsiTheme="majorHAnsi" w:cstheme="majorHAnsi"/>
        </w:rPr>
        <w:lastRenderedPageBreak/>
        <w:t xml:space="preserve">Some of the safeguards and guidance that have been put in place by the SRA to ensure that firms remain compliant and eliminate as much risk as possible while working remotely include, using live video call to </w:t>
      </w:r>
      <w:r w:rsidRPr="00BC1D42">
        <w:rPr>
          <w:rFonts w:asciiTheme="majorHAnsi" w:hAnsiTheme="majorHAnsi" w:cstheme="majorHAnsi"/>
        </w:rPr>
        <w:t xml:space="preserve">identify their clients, using additional data to analyse evidence submitted by the client such as geolocation, IP address verifying phone numbers where possible, using encryption to mitigate any potential risks when using email. </w:t>
      </w:r>
    </w:p>
    <w:p w14:paraId="72DB0083" w14:textId="56AF96C7" w:rsidR="0076286B" w:rsidRPr="00BC1D42" w:rsidRDefault="0076286B" w:rsidP="00BC1D42">
      <w:pPr>
        <w:spacing w:line="480" w:lineRule="auto"/>
        <w:jc w:val="both"/>
        <w:rPr>
          <w:rFonts w:asciiTheme="majorHAnsi" w:hAnsiTheme="majorHAnsi" w:cstheme="majorHAnsi"/>
        </w:rPr>
      </w:pPr>
    </w:p>
    <w:p w14:paraId="29382D6E" w14:textId="5FA552C4" w:rsidR="0076286B" w:rsidRPr="00BC1D42" w:rsidRDefault="00C15B89" w:rsidP="00BC1D42">
      <w:pPr>
        <w:spacing w:line="480" w:lineRule="auto"/>
        <w:jc w:val="both"/>
        <w:rPr>
          <w:rFonts w:asciiTheme="majorHAnsi" w:hAnsiTheme="majorHAnsi" w:cstheme="majorHAnsi"/>
        </w:rPr>
      </w:pPr>
      <w:r w:rsidRPr="00BC1D42">
        <w:rPr>
          <w:rFonts w:asciiTheme="majorHAnsi" w:hAnsiTheme="majorHAnsi" w:cstheme="majorHAnsi"/>
        </w:rPr>
        <w:t>A big objective of the SRA is to ensure that the profession continues to move forward by ensuring that equality, diversity and inclusion are always at the forefront to make the route into the legal profession more available one big change has been the deve</w:t>
      </w:r>
      <w:r w:rsidRPr="00BC1D42">
        <w:rPr>
          <w:rFonts w:asciiTheme="majorHAnsi" w:hAnsiTheme="majorHAnsi" w:cstheme="majorHAnsi"/>
        </w:rPr>
        <w:t xml:space="preserve">lopment of the Solicitors Qualifying Exam this will be implemented from September 2021, this was introduced as a more affordable way to qualifying as a solicitor and aims to cut costs significantly </w:t>
      </w:r>
      <w:r w:rsidR="00CD7B0E" w:rsidRPr="00BC1D42">
        <w:rPr>
          <w:rFonts w:asciiTheme="majorHAnsi" w:hAnsiTheme="majorHAnsi" w:cstheme="majorHAnsi"/>
        </w:rPr>
        <w:t>by</w:t>
      </w:r>
      <w:r w:rsidRPr="00BC1D42">
        <w:rPr>
          <w:rFonts w:asciiTheme="majorHAnsi" w:hAnsiTheme="majorHAnsi" w:cstheme="majorHAnsi"/>
        </w:rPr>
        <w:t xml:space="preserve"> </w:t>
      </w:r>
      <w:r w:rsidR="00CD7B0E" w:rsidRPr="00BC1D42">
        <w:rPr>
          <w:rFonts w:asciiTheme="majorHAnsi" w:hAnsiTheme="majorHAnsi" w:cstheme="majorHAnsi"/>
        </w:rPr>
        <w:t>making entry to the legal profession more accessible</w:t>
      </w:r>
      <w:r w:rsidRPr="00BC1D42">
        <w:rPr>
          <w:rFonts w:asciiTheme="majorHAnsi" w:hAnsiTheme="majorHAnsi" w:cstheme="majorHAnsi"/>
        </w:rPr>
        <w:t xml:space="preserve"> </w:t>
      </w:r>
      <w:r w:rsidR="00CD7B0E" w:rsidRPr="00BC1D42">
        <w:rPr>
          <w:rFonts w:asciiTheme="majorHAnsi" w:hAnsiTheme="majorHAnsi" w:cstheme="majorHAnsi"/>
        </w:rPr>
        <w:t xml:space="preserve">to those from different backgrounds. The SRA also publish an annual report on their equality, diversity and inclusion work (SRA, 2021). </w:t>
      </w:r>
    </w:p>
    <w:p w14:paraId="148951C3" w14:textId="588721ED" w:rsidR="00B3490B" w:rsidRPr="00BC1D42" w:rsidRDefault="00C15B89" w:rsidP="00BC1D42">
      <w:pPr>
        <w:spacing w:line="480" w:lineRule="auto"/>
        <w:jc w:val="both"/>
        <w:rPr>
          <w:rFonts w:asciiTheme="majorHAnsi" w:hAnsiTheme="majorHAnsi" w:cstheme="majorHAnsi"/>
        </w:rPr>
      </w:pPr>
      <w:r w:rsidRPr="00BC1D42">
        <w:rPr>
          <w:rFonts w:asciiTheme="majorHAnsi" w:hAnsiTheme="majorHAnsi" w:cstheme="majorHAnsi"/>
        </w:rPr>
        <w:t xml:space="preserve">In practice equality, diversion and inclusion are extremely important as most people in their lifetime will need to seek </w:t>
      </w:r>
      <w:r w:rsidRPr="00BC1D42">
        <w:rPr>
          <w:rFonts w:asciiTheme="majorHAnsi" w:hAnsiTheme="majorHAnsi" w:cstheme="majorHAnsi"/>
        </w:rPr>
        <w:t>some form of legal advice it is important that it is available to everyone, this could mean something such as disabled access to the firms building or legal funding for those that need it. Every Solicitor has a responsibility to ensure that no person is di</w:t>
      </w:r>
      <w:r w:rsidRPr="00BC1D42">
        <w:rPr>
          <w:rFonts w:asciiTheme="majorHAnsi" w:hAnsiTheme="majorHAnsi" w:cstheme="majorHAnsi"/>
        </w:rPr>
        <w:t>scriminated against there is legislation in place that sets the minimum legal obligation and protects some characteristics this can be seen in the Equality Act (2010).</w:t>
      </w:r>
      <w:r w:rsidR="001F0452">
        <w:rPr>
          <w:rFonts w:asciiTheme="majorHAnsi" w:hAnsiTheme="majorHAnsi" w:cstheme="majorHAnsi"/>
        </w:rPr>
        <w:t xml:space="preserve"> </w:t>
      </w:r>
    </w:p>
    <w:p w14:paraId="4FB8082F" w14:textId="39BF9868" w:rsidR="00922FA8" w:rsidRPr="00BC1D42" w:rsidRDefault="00922FA8" w:rsidP="00BC1D42">
      <w:pPr>
        <w:spacing w:line="480" w:lineRule="auto"/>
        <w:jc w:val="both"/>
        <w:rPr>
          <w:rFonts w:asciiTheme="majorHAnsi" w:hAnsiTheme="majorHAnsi" w:cstheme="majorHAnsi"/>
        </w:rPr>
      </w:pPr>
    </w:p>
    <w:p w14:paraId="0646AE11" w14:textId="5143B805" w:rsidR="00B3490B" w:rsidRPr="00BC1D42" w:rsidRDefault="00C15B89" w:rsidP="00BC1D42">
      <w:pPr>
        <w:spacing w:line="480" w:lineRule="auto"/>
        <w:jc w:val="both"/>
        <w:rPr>
          <w:rFonts w:asciiTheme="majorHAnsi" w:hAnsiTheme="majorHAnsi" w:cstheme="majorHAnsi"/>
        </w:rPr>
      </w:pPr>
      <w:r w:rsidRPr="00BC1D42">
        <w:rPr>
          <w:rFonts w:asciiTheme="majorHAnsi" w:hAnsiTheme="majorHAnsi" w:cstheme="majorHAnsi"/>
        </w:rPr>
        <w:t xml:space="preserve">Solicitors </w:t>
      </w:r>
      <w:r w:rsidR="00570B01" w:rsidRPr="00BC1D42">
        <w:rPr>
          <w:rFonts w:asciiTheme="majorHAnsi" w:hAnsiTheme="majorHAnsi" w:cstheme="majorHAnsi"/>
        </w:rPr>
        <w:t>must discharge their professional duties with anything less than complete integrity, probity and trustworthiness failure to uphold these standards will result in severe sanctions imposed upon them by the Solicitors Disciplinary Tribunal</w:t>
      </w:r>
      <w:r w:rsidRPr="00BC1D42">
        <w:rPr>
          <w:rFonts w:asciiTheme="majorHAnsi" w:hAnsiTheme="majorHAnsi" w:cstheme="majorHAnsi"/>
        </w:rPr>
        <w:t>, however, despite this the SRA reports that there has been a steady increase in reports of sol</w:t>
      </w:r>
      <w:r w:rsidRPr="00BC1D42">
        <w:rPr>
          <w:rFonts w:asciiTheme="majorHAnsi" w:hAnsiTheme="majorHAnsi" w:cstheme="majorHAnsi"/>
        </w:rPr>
        <w:t xml:space="preserve">icitors misleading the courts. Often widely reported in the media are cases where a solicitor has acted dishonestly. </w:t>
      </w:r>
      <w:r w:rsidR="00570B01" w:rsidRPr="00BC1D42">
        <w:rPr>
          <w:rFonts w:asciiTheme="majorHAnsi" w:hAnsiTheme="majorHAnsi" w:cstheme="majorHAnsi"/>
        </w:rPr>
        <w:t xml:space="preserve">These high standards were implemented after the case of Bolton v The Law Society (1993). </w:t>
      </w:r>
    </w:p>
    <w:p w14:paraId="0A26EB96" w14:textId="184A82B2" w:rsidR="00DC2F4A" w:rsidRPr="00BC1D42" w:rsidRDefault="00DC2F4A" w:rsidP="00BC1D42">
      <w:pPr>
        <w:spacing w:line="480" w:lineRule="auto"/>
        <w:jc w:val="both"/>
        <w:rPr>
          <w:rFonts w:asciiTheme="majorHAnsi" w:hAnsiTheme="majorHAnsi" w:cstheme="majorHAnsi"/>
        </w:rPr>
      </w:pPr>
    </w:p>
    <w:p w14:paraId="7D849292" w14:textId="5CE0D8B2" w:rsidR="00570B01" w:rsidRPr="00BC1D42" w:rsidRDefault="00C15B89" w:rsidP="00BC1D42">
      <w:pPr>
        <w:spacing w:line="480" w:lineRule="auto"/>
        <w:jc w:val="both"/>
        <w:rPr>
          <w:rFonts w:asciiTheme="majorHAnsi" w:hAnsiTheme="majorHAnsi" w:cstheme="majorHAnsi"/>
        </w:rPr>
      </w:pPr>
      <w:r w:rsidRPr="00BC1D42">
        <w:rPr>
          <w:rFonts w:asciiTheme="majorHAnsi" w:hAnsiTheme="majorHAnsi" w:cstheme="majorHAnsi"/>
        </w:rPr>
        <w:t xml:space="preserve">To conclude there have certainly been instances </w:t>
      </w:r>
      <w:r w:rsidRPr="00BC1D42">
        <w:rPr>
          <w:rFonts w:asciiTheme="majorHAnsi" w:hAnsiTheme="majorHAnsi" w:cstheme="majorHAnsi"/>
        </w:rPr>
        <w:t>where the solicitor should not have been trusted and has purposely mislead their client for their own gain</w:t>
      </w:r>
      <w:r w:rsidR="00C23324" w:rsidRPr="00BC1D42">
        <w:rPr>
          <w:rFonts w:asciiTheme="majorHAnsi" w:hAnsiTheme="majorHAnsi" w:cstheme="majorHAnsi"/>
        </w:rPr>
        <w:t xml:space="preserve"> as these cases tend to have media coverage it has seemingly </w:t>
      </w:r>
      <w:r w:rsidR="00C23324" w:rsidRPr="00BC1D42">
        <w:rPr>
          <w:rFonts w:asciiTheme="majorHAnsi" w:hAnsiTheme="majorHAnsi" w:cstheme="majorHAnsi"/>
        </w:rPr>
        <w:lastRenderedPageBreak/>
        <w:t>damaged the public's opinion of the profession</w:t>
      </w:r>
      <w:r w:rsidRPr="00BC1D42">
        <w:rPr>
          <w:rFonts w:asciiTheme="majorHAnsi" w:hAnsiTheme="majorHAnsi" w:cstheme="majorHAnsi"/>
        </w:rPr>
        <w:t>, but this does only cover the minority and</w:t>
      </w:r>
      <w:r w:rsidRPr="00BC1D42">
        <w:rPr>
          <w:rFonts w:asciiTheme="majorHAnsi" w:hAnsiTheme="majorHAnsi" w:cstheme="majorHAnsi"/>
        </w:rPr>
        <w:t xml:space="preserve"> not the majority</w:t>
      </w:r>
      <w:r w:rsidR="00C23324" w:rsidRPr="00BC1D42">
        <w:rPr>
          <w:rFonts w:asciiTheme="majorHAnsi" w:hAnsiTheme="majorHAnsi" w:cstheme="majorHAnsi"/>
        </w:rPr>
        <w:t xml:space="preserve"> it as the negative stories </w:t>
      </w:r>
      <w:r w:rsidR="00BC1D42" w:rsidRPr="00BC1D42">
        <w:rPr>
          <w:rFonts w:asciiTheme="majorHAnsi" w:hAnsiTheme="majorHAnsi" w:cstheme="majorHAnsi"/>
        </w:rPr>
        <w:t>arguably get</w:t>
      </w:r>
      <w:r w:rsidR="00C23324" w:rsidRPr="00BC1D42">
        <w:rPr>
          <w:rFonts w:asciiTheme="majorHAnsi" w:hAnsiTheme="majorHAnsi" w:cstheme="majorHAnsi"/>
        </w:rPr>
        <w:t xml:space="preserve"> more media coverage</w:t>
      </w:r>
      <w:r w:rsidRPr="00BC1D42">
        <w:rPr>
          <w:rFonts w:asciiTheme="majorHAnsi" w:hAnsiTheme="majorHAnsi" w:cstheme="majorHAnsi"/>
        </w:rPr>
        <w:t xml:space="preserve">. As a profession, there are a lot of safeguards in place with the SRA and government legislation not only to provide guidelines for Solicitors but to protect the public. </w:t>
      </w:r>
      <w:r w:rsidR="00C23324" w:rsidRPr="00BC1D42">
        <w:rPr>
          <w:rFonts w:asciiTheme="majorHAnsi" w:hAnsiTheme="majorHAnsi" w:cstheme="majorHAnsi"/>
        </w:rPr>
        <w:t xml:space="preserve">The need for the public’s trust in the profession could be seen as paramount as it was stated by Lord Bingham that it is essential ‘to maintain the reputation of solicitors’ profession as one in which every member, of whatever standing, may be trusted to the ends of the earth’ (Brooks, 2018). </w:t>
      </w:r>
    </w:p>
    <w:p w14:paraId="3924F2B9" w14:textId="20DB3A05" w:rsidR="00DC2F4A" w:rsidRPr="00BC1D42" w:rsidRDefault="00DC2F4A" w:rsidP="00BC1D42">
      <w:pPr>
        <w:spacing w:line="480" w:lineRule="auto"/>
        <w:jc w:val="both"/>
        <w:rPr>
          <w:rFonts w:asciiTheme="majorHAnsi" w:hAnsiTheme="majorHAnsi" w:cstheme="majorHAnsi"/>
        </w:rPr>
      </w:pPr>
    </w:p>
    <w:p w14:paraId="7C6178FA" w14:textId="77777777" w:rsidR="00BA0EA9" w:rsidRPr="00BC1D42" w:rsidRDefault="00BA0EA9" w:rsidP="00BC1D42">
      <w:pPr>
        <w:spacing w:line="480" w:lineRule="auto"/>
        <w:jc w:val="both"/>
        <w:rPr>
          <w:rFonts w:asciiTheme="majorHAnsi" w:hAnsiTheme="majorHAnsi" w:cstheme="majorHAnsi"/>
        </w:rPr>
      </w:pPr>
    </w:p>
    <w:p w14:paraId="37AA34C9" w14:textId="77777777" w:rsidR="00481C0D" w:rsidRPr="00BC1D42" w:rsidRDefault="00481C0D" w:rsidP="00BC1D42">
      <w:pPr>
        <w:spacing w:line="480" w:lineRule="auto"/>
        <w:jc w:val="both"/>
        <w:rPr>
          <w:rFonts w:asciiTheme="majorHAnsi" w:hAnsiTheme="majorHAnsi" w:cstheme="majorHAnsi"/>
        </w:rPr>
      </w:pPr>
    </w:p>
    <w:p w14:paraId="384E69A3" w14:textId="333752A7" w:rsidR="00EB627E" w:rsidRPr="00BC1D42" w:rsidRDefault="00EB627E" w:rsidP="00BC1D42">
      <w:pPr>
        <w:spacing w:line="480" w:lineRule="auto"/>
        <w:jc w:val="both"/>
        <w:rPr>
          <w:rFonts w:asciiTheme="majorHAnsi" w:hAnsiTheme="majorHAnsi" w:cstheme="majorHAnsi"/>
        </w:rPr>
      </w:pPr>
    </w:p>
    <w:p w14:paraId="6C6AB299" w14:textId="77777777" w:rsidR="00EB627E" w:rsidRPr="00BC1D42" w:rsidRDefault="00EB627E" w:rsidP="00BC1D42">
      <w:pPr>
        <w:spacing w:line="480" w:lineRule="auto"/>
        <w:jc w:val="both"/>
        <w:rPr>
          <w:rFonts w:asciiTheme="majorHAnsi" w:hAnsiTheme="majorHAnsi" w:cstheme="majorHAnsi"/>
        </w:rPr>
      </w:pPr>
    </w:p>
    <w:p w14:paraId="0585556D" w14:textId="672AEB0C" w:rsidR="009A36FC" w:rsidRDefault="009A36FC" w:rsidP="00043FBD">
      <w:pPr>
        <w:jc w:val="both"/>
        <w:rPr>
          <w:rFonts w:asciiTheme="majorHAnsi" w:hAnsiTheme="majorHAnsi" w:cstheme="majorHAnsi"/>
        </w:rPr>
      </w:pPr>
    </w:p>
    <w:p w14:paraId="74880AE4" w14:textId="77777777" w:rsidR="009A36FC" w:rsidRDefault="009A36FC" w:rsidP="00043FBD">
      <w:pPr>
        <w:jc w:val="both"/>
        <w:rPr>
          <w:rFonts w:asciiTheme="majorHAnsi" w:hAnsiTheme="majorHAnsi" w:cstheme="majorHAnsi"/>
        </w:rPr>
      </w:pPr>
    </w:p>
    <w:p w14:paraId="1F165C36" w14:textId="37DC525E" w:rsidR="0018376D" w:rsidRDefault="0018376D" w:rsidP="00043FBD">
      <w:pPr>
        <w:jc w:val="both"/>
        <w:rPr>
          <w:rFonts w:asciiTheme="majorHAnsi" w:hAnsiTheme="majorHAnsi" w:cstheme="majorHAnsi"/>
        </w:rPr>
      </w:pPr>
    </w:p>
    <w:p w14:paraId="1A50B652" w14:textId="7E11B519" w:rsidR="0018376D" w:rsidRDefault="00C15B89" w:rsidP="00043FBD">
      <w:pPr>
        <w:jc w:val="both"/>
        <w:rPr>
          <w:rFonts w:asciiTheme="majorHAnsi" w:hAnsiTheme="majorHAnsi" w:cstheme="majorHAnsi"/>
          <w:b/>
          <w:bCs/>
          <w:u w:val="single"/>
        </w:rPr>
      </w:pPr>
      <w:r>
        <w:rPr>
          <w:rFonts w:asciiTheme="majorHAnsi" w:hAnsiTheme="majorHAnsi" w:cstheme="majorHAnsi"/>
          <w:b/>
          <w:bCs/>
          <w:u w:val="single"/>
        </w:rPr>
        <w:t xml:space="preserve">REFERENCE LIST </w:t>
      </w:r>
    </w:p>
    <w:p w14:paraId="085D7FC3" w14:textId="05FB231A" w:rsidR="000B5831" w:rsidRDefault="000B5831" w:rsidP="00043FBD">
      <w:pPr>
        <w:jc w:val="both"/>
        <w:rPr>
          <w:rFonts w:asciiTheme="majorHAnsi" w:hAnsiTheme="majorHAnsi" w:cstheme="majorHAnsi"/>
          <w:b/>
          <w:bCs/>
          <w:u w:val="single"/>
        </w:rPr>
      </w:pPr>
    </w:p>
    <w:p w14:paraId="0E7E45F5" w14:textId="4B8992DA" w:rsidR="000B5831" w:rsidRPr="00A6537B" w:rsidRDefault="00C15B89" w:rsidP="00043FBD">
      <w:pPr>
        <w:jc w:val="both"/>
        <w:rPr>
          <w:rFonts w:asciiTheme="majorHAnsi" w:hAnsiTheme="majorHAnsi" w:cstheme="majorHAnsi"/>
        </w:rPr>
      </w:pPr>
      <w:r w:rsidRPr="00A6537B">
        <w:rPr>
          <w:rFonts w:asciiTheme="majorHAnsi" w:hAnsiTheme="majorHAnsi" w:cstheme="majorHAnsi"/>
        </w:rPr>
        <w:t>Baksi,</w:t>
      </w:r>
      <w:r w:rsidR="00A6537B" w:rsidRPr="00A6537B">
        <w:rPr>
          <w:rFonts w:asciiTheme="majorHAnsi" w:hAnsiTheme="majorHAnsi" w:cstheme="majorHAnsi"/>
        </w:rPr>
        <w:t xml:space="preserve">C. (2011) ‘Lawyers ‘not trusted’ by majority, says consumer watchdog’ </w:t>
      </w:r>
      <w:r w:rsidR="00A6537B">
        <w:rPr>
          <w:rFonts w:asciiTheme="majorHAnsi" w:hAnsiTheme="majorHAnsi" w:cstheme="majorHAnsi"/>
          <w:i/>
          <w:iCs/>
        </w:rPr>
        <w:t xml:space="preserve">The Law Society Gazette, </w:t>
      </w:r>
      <w:r w:rsidR="00A6537B">
        <w:rPr>
          <w:rFonts w:asciiTheme="majorHAnsi" w:hAnsiTheme="majorHAnsi" w:cstheme="majorHAnsi"/>
        </w:rPr>
        <w:t xml:space="preserve">21 June. Available at: </w:t>
      </w:r>
      <w:hyperlink r:id="rId4" w:history="1">
        <w:r w:rsidR="00A6537B" w:rsidRPr="00F17467">
          <w:rPr>
            <w:rStyle w:val="Hyperlink"/>
            <w:rFonts w:asciiTheme="majorHAnsi" w:hAnsiTheme="majorHAnsi" w:cstheme="majorHAnsi"/>
          </w:rPr>
          <w:t>https://www.lawgazette.co.uk/news/lawyers-not-trusted-by-majority-says-consumer-watchdog/61018.article</w:t>
        </w:r>
      </w:hyperlink>
      <w:r w:rsidR="00A6537B">
        <w:rPr>
          <w:rFonts w:asciiTheme="majorHAnsi" w:hAnsiTheme="majorHAnsi" w:cstheme="majorHAnsi"/>
        </w:rPr>
        <w:t xml:space="preserve"> (Accessed: 6 April 2021). </w:t>
      </w:r>
    </w:p>
    <w:p w14:paraId="2069501E" w14:textId="4E35CF61" w:rsidR="0018376D" w:rsidRDefault="0018376D" w:rsidP="00043FBD">
      <w:pPr>
        <w:jc w:val="both"/>
        <w:rPr>
          <w:rFonts w:asciiTheme="majorHAnsi" w:hAnsiTheme="majorHAnsi" w:cstheme="majorHAnsi"/>
          <w:b/>
          <w:bCs/>
          <w:u w:val="single"/>
        </w:rPr>
      </w:pPr>
    </w:p>
    <w:p w14:paraId="01619DE0" w14:textId="3C3CC952" w:rsidR="00E967AC" w:rsidRDefault="00C15B89" w:rsidP="00043FBD">
      <w:pPr>
        <w:jc w:val="both"/>
        <w:rPr>
          <w:rFonts w:asciiTheme="majorHAnsi" w:hAnsiTheme="majorHAnsi" w:cstheme="majorHAnsi"/>
        </w:rPr>
      </w:pPr>
      <w:r w:rsidRPr="00E967AC">
        <w:rPr>
          <w:rFonts w:asciiTheme="majorHAnsi" w:hAnsiTheme="majorHAnsi" w:cstheme="majorHAnsi"/>
        </w:rPr>
        <w:t>Blackmor</w:t>
      </w:r>
      <w:r w:rsidRPr="00E967AC">
        <w:rPr>
          <w:rFonts w:asciiTheme="majorHAnsi" w:hAnsiTheme="majorHAnsi" w:cstheme="majorHAnsi"/>
        </w:rPr>
        <w:t>e,N. (2015) ‘ Why Won’t Regulators Act on my £48,500 property fraud Loss?</w:t>
      </w:r>
      <w:r>
        <w:rPr>
          <w:rFonts w:asciiTheme="majorHAnsi" w:hAnsiTheme="majorHAnsi" w:cstheme="majorHAnsi"/>
          <w:b/>
          <w:bCs/>
          <w:u w:val="single"/>
        </w:rPr>
        <w:t xml:space="preserve">’ </w:t>
      </w:r>
      <w:r>
        <w:rPr>
          <w:rFonts w:asciiTheme="majorHAnsi" w:hAnsiTheme="majorHAnsi" w:cstheme="majorHAnsi"/>
          <w:i/>
          <w:iCs/>
        </w:rPr>
        <w:t xml:space="preserve">The Telegraph, </w:t>
      </w:r>
      <w:r>
        <w:rPr>
          <w:rFonts w:asciiTheme="majorHAnsi" w:hAnsiTheme="majorHAnsi" w:cstheme="majorHAnsi"/>
        </w:rPr>
        <w:t xml:space="preserve">26 October. Available at: </w:t>
      </w:r>
      <w:hyperlink r:id="rId5" w:history="1">
        <w:r w:rsidRPr="00F17467">
          <w:rPr>
            <w:rStyle w:val="Hyperlink"/>
            <w:rFonts w:asciiTheme="majorHAnsi" w:hAnsiTheme="majorHAnsi" w:cstheme="majorHAnsi"/>
          </w:rPr>
          <w:t>https://www.telegraph.co.uk/finance/personalfinance/borrowing/mortgages/11943552/Why-wont-regulators-act-on-my-48500-property-fraud-loss.html</w:t>
        </w:r>
      </w:hyperlink>
      <w:r>
        <w:rPr>
          <w:rFonts w:asciiTheme="majorHAnsi" w:hAnsiTheme="majorHAnsi" w:cstheme="majorHAnsi"/>
        </w:rPr>
        <w:t xml:space="preserve"> (Accessed: 8 April 2021). </w:t>
      </w:r>
    </w:p>
    <w:p w14:paraId="030435AB" w14:textId="77777777" w:rsidR="00E967AC" w:rsidRPr="00E967AC" w:rsidRDefault="00E967AC" w:rsidP="00043FBD">
      <w:pPr>
        <w:jc w:val="both"/>
        <w:rPr>
          <w:rFonts w:asciiTheme="majorHAnsi" w:hAnsiTheme="majorHAnsi" w:cstheme="majorHAnsi"/>
        </w:rPr>
      </w:pPr>
    </w:p>
    <w:p w14:paraId="6351EE58" w14:textId="622311BA" w:rsidR="0018376D" w:rsidRDefault="00C15B89" w:rsidP="00043FBD">
      <w:pPr>
        <w:jc w:val="both"/>
        <w:rPr>
          <w:rFonts w:asciiTheme="majorHAnsi" w:hAnsiTheme="majorHAnsi" w:cstheme="majorHAnsi"/>
        </w:rPr>
      </w:pPr>
      <w:r>
        <w:rPr>
          <w:rFonts w:asciiTheme="majorHAnsi" w:hAnsiTheme="majorHAnsi" w:cstheme="majorHAnsi"/>
        </w:rPr>
        <w:t xml:space="preserve">Colins, N. (2012) ‘Lawyer Struck off after one of worst cases of fraud’ </w:t>
      </w:r>
      <w:r>
        <w:rPr>
          <w:rFonts w:asciiTheme="majorHAnsi" w:hAnsiTheme="majorHAnsi" w:cstheme="majorHAnsi"/>
          <w:i/>
          <w:iCs/>
        </w:rPr>
        <w:t xml:space="preserve">The Telegraph, </w:t>
      </w:r>
      <w:r>
        <w:rPr>
          <w:rFonts w:asciiTheme="majorHAnsi" w:hAnsiTheme="majorHAnsi" w:cstheme="majorHAnsi"/>
        </w:rPr>
        <w:t xml:space="preserve">7 February. Available at: </w:t>
      </w:r>
      <w:hyperlink r:id="rId6" w:history="1">
        <w:r w:rsidRPr="00F17467">
          <w:rPr>
            <w:rStyle w:val="Hyperlink"/>
            <w:rFonts w:asciiTheme="majorHAnsi" w:hAnsiTheme="majorHAnsi" w:cstheme="majorHAnsi"/>
          </w:rPr>
          <w:t>https://</w:t>
        </w:r>
        <w:r w:rsidRPr="00F17467">
          <w:rPr>
            <w:rStyle w:val="Hyperlink"/>
            <w:rFonts w:asciiTheme="majorHAnsi" w:hAnsiTheme="majorHAnsi" w:cstheme="majorHAnsi"/>
          </w:rPr>
          <w:t>www.telegraph.co.uk/news/uknews/law-and-order/9066621/Lawyer-struck-off-after-one-of-worst-cases-of-fraud.html</w:t>
        </w:r>
      </w:hyperlink>
      <w:r>
        <w:rPr>
          <w:rFonts w:asciiTheme="majorHAnsi" w:hAnsiTheme="majorHAnsi" w:cstheme="majorHAnsi"/>
        </w:rPr>
        <w:t xml:space="preserve"> (Accessed: 29</w:t>
      </w:r>
      <w:r>
        <w:rPr>
          <w:rFonts w:asciiTheme="majorHAnsi" w:hAnsiTheme="majorHAnsi" w:cstheme="majorHAnsi"/>
          <w:vertAlign w:val="superscript"/>
        </w:rPr>
        <w:t xml:space="preserve"> </w:t>
      </w:r>
      <w:r>
        <w:rPr>
          <w:rFonts w:asciiTheme="majorHAnsi" w:hAnsiTheme="majorHAnsi" w:cstheme="majorHAnsi"/>
        </w:rPr>
        <w:t>March 2021).</w:t>
      </w:r>
    </w:p>
    <w:p w14:paraId="766BFCA9" w14:textId="27C8D569" w:rsidR="00C23324" w:rsidRDefault="00C23324" w:rsidP="00043FBD">
      <w:pPr>
        <w:jc w:val="both"/>
        <w:rPr>
          <w:rFonts w:asciiTheme="majorHAnsi" w:hAnsiTheme="majorHAnsi" w:cstheme="majorHAnsi"/>
        </w:rPr>
      </w:pPr>
    </w:p>
    <w:p w14:paraId="5EAFD3EA" w14:textId="2DD04643" w:rsidR="00C23324" w:rsidRPr="00BC1D42" w:rsidRDefault="00C15B89" w:rsidP="00043FBD">
      <w:pPr>
        <w:jc w:val="both"/>
        <w:rPr>
          <w:rFonts w:asciiTheme="majorHAnsi" w:hAnsiTheme="majorHAnsi" w:cstheme="majorHAnsi"/>
        </w:rPr>
      </w:pPr>
      <w:r>
        <w:rPr>
          <w:rFonts w:asciiTheme="majorHAnsi" w:hAnsiTheme="majorHAnsi" w:cstheme="majorHAnsi"/>
        </w:rPr>
        <w:t xml:space="preserve">Brooks,E. (2018) </w:t>
      </w:r>
      <w:r w:rsidR="00BC1D42">
        <w:rPr>
          <w:rFonts w:asciiTheme="majorHAnsi" w:hAnsiTheme="majorHAnsi" w:cstheme="majorHAnsi"/>
        </w:rPr>
        <w:t xml:space="preserve">‘Should Solicitors be Trusted to the Ends of the Earth?’ </w:t>
      </w:r>
      <w:r w:rsidR="00BC1D42">
        <w:rPr>
          <w:rFonts w:asciiTheme="majorHAnsi" w:hAnsiTheme="majorHAnsi" w:cstheme="majorHAnsi"/>
          <w:i/>
          <w:iCs/>
        </w:rPr>
        <w:t xml:space="preserve">Lawyer Monthly, </w:t>
      </w:r>
      <w:r w:rsidR="00BC1D42">
        <w:rPr>
          <w:rFonts w:asciiTheme="majorHAnsi" w:hAnsiTheme="majorHAnsi" w:cstheme="majorHAnsi"/>
        </w:rPr>
        <w:t xml:space="preserve">8 December. Available at: </w:t>
      </w:r>
      <w:hyperlink r:id="rId7" w:history="1">
        <w:r w:rsidR="00BC1D42" w:rsidRPr="00F17467">
          <w:rPr>
            <w:rStyle w:val="Hyperlink"/>
            <w:rFonts w:asciiTheme="majorHAnsi" w:hAnsiTheme="majorHAnsi" w:cstheme="majorHAnsi"/>
          </w:rPr>
          <w:t>https://www.lawyer-monthly.com/2018/12/should-solicitors-be-trusted-to-the-ends-of-the-earth/</w:t>
        </w:r>
      </w:hyperlink>
      <w:r w:rsidR="00BC1D42">
        <w:rPr>
          <w:rFonts w:asciiTheme="majorHAnsi" w:hAnsiTheme="majorHAnsi" w:cstheme="majorHAnsi"/>
        </w:rPr>
        <w:t xml:space="preserve"> (Accessed: 8 April 2021). </w:t>
      </w:r>
    </w:p>
    <w:p w14:paraId="25A8B634" w14:textId="5462BA56" w:rsidR="005E638A" w:rsidRDefault="005E638A" w:rsidP="00043FBD">
      <w:pPr>
        <w:jc w:val="both"/>
        <w:rPr>
          <w:rFonts w:asciiTheme="majorHAnsi" w:hAnsiTheme="majorHAnsi" w:cstheme="majorHAnsi"/>
        </w:rPr>
      </w:pPr>
    </w:p>
    <w:p w14:paraId="6A936016" w14:textId="40629F48" w:rsidR="005E638A" w:rsidRDefault="00C15B89" w:rsidP="00043FBD">
      <w:pPr>
        <w:jc w:val="both"/>
        <w:rPr>
          <w:rFonts w:asciiTheme="majorHAnsi" w:hAnsiTheme="majorHAnsi" w:cstheme="majorHAnsi"/>
        </w:rPr>
      </w:pPr>
      <w:r>
        <w:rPr>
          <w:rFonts w:asciiTheme="majorHAnsi" w:hAnsiTheme="majorHAnsi" w:cstheme="majorHAnsi"/>
        </w:rPr>
        <w:t xml:space="preserve">Hyde, J. (2017) ‘Retired </w:t>
      </w:r>
      <w:r>
        <w:rPr>
          <w:rFonts w:asciiTheme="majorHAnsi" w:hAnsiTheme="majorHAnsi" w:cstheme="majorHAnsi"/>
        </w:rPr>
        <w:t xml:space="preserve">Solicitor ends career after historic breach of client confidentiality </w:t>
      </w:r>
      <w:r>
        <w:rPr>
          <w:rFonts w:asciiTheme="majorHAnsi" w:hAnsiTheme="majorHAnsi" w:cstheme="majorHAnsi"/>
          <w:i/>
          <w:iCs/>
        </w:rPr>
        <w:t xml:space="preserve">The Law Society Gazette, </w:t>
      </w:r>
      <w:r>
        <w:rPr>
          <w:rFonts w:asciiTheme="majorHAnsi" w:hAnsiTheme="majorHAnsi" w:cstheme="majorHAnsi"/>
        </w:rPr>
        <w:t xml:space="preserve">29 June. Available at: </w:t>
      </w:r>
      <w:hyperlink r:id="rId8" w:history="1">
        <w:r w:rsidRPr="00F17467">
          <w:rPr>
            <w:rStyle w:val="Hyperlink"/>
            <w:rFonts w:asciiTheme="majorHAnsi" w:hAnsiTheme="majorHAnsi" w:cstheme="majorHAnsi"/>
          </w:rPr>
          <w:t>https://www.lawgazette.co.uk/news/retired-solicitor-ends-career-after-historic-breach-of-client-confidentiality/5061780.article</w:t>
        </w:r>
      </w:hyperlink>
      <w:r>
        <w:rPr>
          <w:rFonts w:asciiTheme="majorHAnsi" w:hAnsiTheme="majorHAnsi" w:cstheme="majorHAnsi"/>
        </w:rPr>
        <w:t xml:space="preserve"> (Accessed: 8 April 2021).</w:t>
      </w:r>
    </w:p>
    <w:p w14:paraId="22855A69" w14:textId="263CE199" w:rsidR="00762137" w:rsidRDefault="00C15B89" w:rsidP="00D85D50">
      <w:pPr>
        <w:tabs>
          <w:tab w:val="left" w:pos="1097"/>
        </w:tabs>
        <w:jc w:val="both"/>
        <w:rPr>
          <w:rFonts w:asciiTheme="majorHAnsi" w:hAnsiTheme="majorHAnsi" w:cstheme="majorHAnsi"/>
        </w:rPr>
      </w:pPr>
      <w:r>
        <w:rPr>
          <w:rFonts w:asciiTheme="majorHAnsi" w:hAnsiTheme="majorHAnsi" w:cstheme="majorHAnsi"/>
        </w:rPr>
        <w:tab/>
      </w:r>
    </w:p>
    <w:p w14:paraId="62A83075" w14:textId="15A90240" w:rsidR="00762137" w:rsidRPr="00762137" w:rsidRDefault="00C15B89" w:rsidP="00043FBD">
      <w:pPr>
        <w:jc w:val="both"/>
        <w:rPr>
          <w:rFonts w:asciiTheme="majorHAnsi" w:hAnsiTheme="majorHAnsi" w:cstheme="majorHAnsi"/>
        </w:rPr>
      </w:pPr>
      <w:r>
        <w:rPr>
          <w:rFonts w:asciiTheme="majorHAnsi" w:hAnsiTheme="majorHAnsi" w:cstheme="majorHAnsi"/>
        </w:rPr>
        <w:t xml:space="preserve">Sawyer, P. (2017) ‘Struck off Solicitor faces calls for further investigation over loans to farmers’ </w:t>
      </w:r>
      <w:r>
        <w:rPr>
          <w:rFonts w:asciiTheme="majorHAnsi" w:hAnsiTheme="majorHAnsi" w:cstheme="majorHAnsi"/>
          <w:i/>
          <w:iCs/>
        </w:rPr>
        <w:t xml:space="preserve">The Telegraph, </w:t>
      </w:r>
      <w:r>
        <w:rPr>
          <w:rFonts w:asciiTheme="majorHAnsi" w:hAnsiTheme="majorHAnsi" w:cstheme="majorHAnsi"/>
        </w:rPr>
        <w:t xml:space="preserve">14 January. Available at: </w:t>
      </w:r>
      <w:hyperlink r:id="rId9" w:history="1">
        <w:r w:rsidRPr="00F17467">
          <w:rPr>
            <w:rStyle w:val="Hyperlink"/>
            <w:rFonts w:asciiTheme="majorHAnsi" w:hAnsiTheme="majorHAnsi" w:cstheme="majorHAnsi"/>
          </w:rPr>
          <w:t>https://www.telegraph.co.uk/news/2017/01/14/struck-solicitor-faces-calls-investigation-loans-farmers/</w:t>
        </w:r>
      </w:hyperlink>
      <w:r>
        <w:rPr>
          <w:rFonts w:asciiTheme="majorHAnsi" w:hAnsiTheme="majorHAnsi" w:cstheme="majorHAnsi"/>
        </w:rPr>
        <w:t xml:space="preserve"> (Accessed: 8 April 2021). </w:t>
      </w:r>
    </w:p>
    <w:p w14:paraId="65DAB38F" w14:textId="122753F6" w:rsidR="00AE0A2F" w:rsidRDefault="00AE0A2F" w:rsidP="00043FBD">
      <w:pPr>
        <w:jc w:val="both"/>
        <w:rPr>
          <w:rFonts w:asciiTheme="majorHAnsi" w:hAnsiTheme="majorHAnsi" w:cstheme="majorHAnsi"/>
        </w:rPr>
      </w:pPr>
    </w:p>
    <w:p w14:paraId="09CCC423" w14:textId="266E3C34" w:rsidR="00AE0A2F" w:rsidRPr="008D16A0" w:rsidRDefault="00C15B89" w:rsidP="00043FBD">
      <w:pPr>
        <w:jc w:val="both"/>
        <w:rPr>
          <w:rFonts w:asciiTheme="majorHAnsi" w:hAnsiTheme="majorHAnsi" w:cstheme="majorHAnsi"/>
        </w:rPr>
      </w:pPr>
      <w:r>
        <w:rPr>
          <w:rFonts w:asciiTheme="majorHAnsi" w:hAnsiTheme="majorHAnsi" w:cstheme="majorHAnsi"/>
        </w:rPr>
        <w:lastRenderedPageBreak/>
        <w:t xml:space="preserve">Slingo, </w:t>
      </w:r>
      <w:r w:rsidR="008D16A0">
        <w:rPr>
          <w:rFonts w:asciiTheme="majorHAnsi" w:hAnsiTheme="majorHAnsi" w:cstheme="majorHAnsi"/>
        </w:rPr>
        <w:t xml:space="preserve">J. (2019) ‘Solicitors in conflict of interest case ordered to pay £70k’ </w:t>
      </w:r>
      <w:r w:rsidR="008D16A0">
        <w:rPr>
          <w:rFonts w:asciiTheme="majorHAnsi" w:hAnsiTheme="majorHAnsi" w:cstheme="majorHAnsi"/>
          <w:i/>
          <w:iCs/>
        </w:rPr>
        <w:t xml:space="preserve">The Law Society Gazette, </w:t>
      </w:r>
      <w:r w:rsidR="008D16A0">
        <w:rPr>
          <w:rFonts w:asciiTheme="majorHAnsi" w:hAnsiTheme="majorHAnsi" w:cstheme="majorHAnsi"/>
        </w:rPr>
        <w:t xml:space="preserve">20 August. Available at: </w:t>
      </w:r>
      <w:hyperlink r:id="rId10" w:history="1">
        <w:r w:rsidR="008D16A0" w:rsidRPr="00F17467">
          <w:rPr>
            <w:rStyle w:val="Hyperlink"/>
            <w:rFonts w:asciiTheme="majorHAnsi" w:hAnsiTheme="majorHAnsi" w:cstheme="majorHAnsi"/>
          </w:rPr>
          <w:t>https://www.lawgazette.co.uk/solicitors-in-conflict-of-interest-case-ordered-to-pay-70k/5101137.article</w:t>
        </w:r>
      </w:hyperlink>
      <w:r w:rsidR="008D16A0">
        <w:rPr>
          <w:rFonts w:asciiTheme="majorHAnsi" w:hAnsiTheme="majorHAnsi" w:cstheme="majorHAnsi"/>
        </w:rPr>
        <w:t xml:space="preserve"> (Accessed: 8 April 2021).</w:t>
      </w:r>
    </w:p>
    <w:p w14:paraId="76E7FCD2" w14:textId="3CDB0D8F" w:rsidR="00C411DC" w:rsidRDefault="00C411DC" w:rsidP="00043FBD">
      <w:pPr>
        <w:jc w:val="both"/>
        <w:rPr>
          <w:rFonts w:asciiTheme="majorHAnsi" w:hAnsiTheme="majorHAnsi" w:cstheme="majorHAnsi"/>
        </w:rPr>
      </w:pPr>
    </w:p>
    <w:p w14:paraId="0D8D319C" w14:textId="0EB885E1" w:rsidR="00C411DC" w:rsidRDefault="00C15B89" w:rsidP="00043FBD">
      <w:pPr>
        <w:jc w:val="both"/>
        <w:rPr>
          <w:rFonts w:asciiTheme="majorHAnsi" w:hAnsiTheme="majorHAnsi" w:cstheme="majorHAnsi"/>
        </w:rPr>
      </w:pPr>
      <w:r>
        <w:rPr>
          <w:rFonts w:asciiTheme="majorHAnsi" w:hAnsiTheme="majorHAnsi" w:cstheme="majorHAnsi"/>
        </w:rPr>
        <w:t xml:space="preserve">Solicitors Regulation Authority (2021) </w:t>
      </w:r>
      <w:r>
        <w:rPr>
          <w:rFonts w:asciiTheme="majorHAnsi" w:hAnsiTheme="majorHAnsi" w:cstheme="majorHAnsi"/>
          <w:i/>
          <w:iCs/>
        </w:rPr>
        <w:t xml:space="preserve">SRA Code of Conduct for Solicitors, REL’s and RFL’s. </w:t>
      </w:r>
      <w:r>
        <w:rPr>
          <w:rFonts w:asciiTheme="majorHAnsi" w:hAnsiTheme="majorHAnsi" w:cstheme="majorHAnsi"/>
        </w:rPr>
        <w:t xml:space="preserve">Available at: </w:t>
      </w:r>
      <w:hyperlink r:id="rId11" w:history="1">
        <w:r w:rsidRPr="00F17467">
          <w:rPr>
            <w:rStyle w:val="Hyperlink"/>
            <w:rFonts w:asciiTheme="majorHAnsi" w:hAnsiTheme="majorHAnsi" w:cstheme="majorHAnsi"/>
          </w:rPr>
          <w:t>https://www.sra.org.uk/solicitors/standards-regulations/code-conduct-solicitors/</w:t>
        </w:r>
      </w:hyperlink>
      <w:r>
        <w:rPr>
          <w:rFonts w:asciiTheme="majorHAnsi" w:hAnsiTheme="majorHAnsi" w:cstheme="majorHAnsi"/>
        </w:rPr>
        <w:t xml:space="preserve"> (Accessed: 29 March 2021).</w:t>
      </w:r>
    </w:p>
    <w:p w14:paraId="57F4C73A" w14:textId="648BE8A4" w:rsidR="00922FA8" w:rsidRDefault="00922FA8" w:rsidP="00043FBD">
      <w:pPr>
        <w:jc w:val="both"/>
        <w:rPr>
          <w:rFonts w:asciiTheme="majorHAnsi" w:hAnsiTheme="majorHAnsi" w:cstheme="majorHAnsi"/>
        </w:rPr>
      </w:pPr>
    </w:p>
    <w:p w14:paraId="6668BCFC" w14:textId="24FC6EC7" w:rsidR="00922FA8" w:rsidRDefault="00C15B89" w:rsidP="00043FBD">
      <w:pPr>
        <w:jc w:val="both"/>
        <w:rPr>
          <w:rFonts w:asciiTheme="majorHAnsi" w:hAnsiTheme="majorHAnsi" w:cstheme="majorHAnsi"/>
        </w:rPr>
      </w:pPr>
      <w:r>
        <w:rPr>
          <w:rFonts w:asciiTheme="majorHAnsi" w:hAnsiTheme="majorHAnsi" w:cstheme="majorHAnsi"/>
        </w:rPr>
        <w:t xml:space="preserve">Solicitors Regulation Authority (2021) </w:t>
      </w:r>
      <w:r>
        <w:rPr>
          <w:rFonts w:asciiTheme="majorHAnsi" w:hAnsiTheme="majorHAnsi" w:cstheme="majorHAnsi"/>
          <w:i/>
          <w:iCs/>
        </w:rPr>
        <w:t xml:space="preserve">Covid heightens risk faced by Law firms, </w:t>
      </w:r>
      <w:r>
        <w:rPr>
          <w:rFonts w:asciiTheme="majorHAnsi" w:hAnsiTheme="majorHAnsi" w:cstheme="majorHAnsi"/>
        </w:rPr>
        <w:t>Avail</w:t>
      </w:r>
      <w:r>
        <w:rPr>
          <w:rFonts w:asciiTheme="majorHAnsi" w:hAnsiTheme="majorHAnsi" w:cstheme="majorHAnsi"/>
        </w:rPr>
        <w:t xml:space="preserve">able at: </w:t>
      </w:r>
      <w:hyperlink r:id="rId12" w:history="1">
        <w:r w:rsidRPr="00F17467">
          <w:rPr>
            <w:rStyle w:val="Hyperlink"/>
            <w:rFonts w:asciiTheme="majorHAnsi" w:hAnsiTheme="majorHAnsi" w:cstheme="majorHAnsi"/>
          </w:rPr>
          <w:t>https://www.sra.org.uk/sra/news/press/2020-press-release-archive/risk-outlook-covid-threat/</w:t>
        </w:r>
      </w:hyperlink>
      <w:r>
        <w:rPr>
          <w:rFonts w:asciiTheme="majorHAnsi" w:hAnsiTheme="majorHAnsi" w:cstheme="majorHAnsi"/>
        </w:rPr>
        <w:t xml:space="preserve"> (Accessed: 8 April 2021). </w:t>
      </w:r>
    </w:p>
    <w:p w14:paraId="03328AD5" w14:textId="4504CC3E" w:rsidR="00CD7B0E" w:rsidRDefault="00CD7B0E" w:rsidP="00043FBD">
      <w:pPr>
        <w:jc w:val="both"/>
        <w:rPr>
          <w:rFonts w:asciiTheme="majorHAnsi" w:hAnsiTheme="majorHAnsi" w:cstheme="majorHAnsi"/>
        </w:rPr>
      </w:pPr>
    </w:p>
    <w:p w14:paraId="641C4F93" w14:textId="70859DD4" w:rsidR="00CD7B0E" w:rsidRPr="00CD7B0E" w:rsidRDefault="00C15B89" w:rsidP="00043FBD">
      <w:pPr>
        <w:jc w:val="both"/>
        <w:rPr>
          <w:rFonts w:asciiTheme="majorHAnsi" w:hAnsiTheme="majorHAnsi" w:cstheme="majorHAnsi"/>
        </w:rPr>
      </w:pPr>
      <w:r>
        <w:rPr>
          <w:rFonts w:asciiTheme="majorHAnsi" w:hAnsiTheme="majorHAnsi" w:cstheme="majorHAnsi"/>
        </w:rPr>
        <w:t>Solicitors Regulati</w:t>
      </w:r>
      <w:r>
        <w:rPr>
          <w:rFonts w:asciiTheme="majorHAnsi" w:hAnsiTheme="majorHAnsi" w:cstheme="majorHAnsi"/>
        </w:rPr>
        <w:t xml:space="preserve">on Authority (2021) </w:t>
      </w:r>
      <w:r>
        <w:rPr>
          <w:rFonts w:asciiTheme="majorHAnsi" w:hAnsiTheme="majorHAnsi" w:cstheme="majorHAnsi"/>
          <w:i/>
          <w:iCs/>
        </w:rPr>
        <w:t xml:space="preserve">Our Equality, Diversity and Inclusion work (2019/20), </w:t>
      </w:r>
      <w:r>
        <w:rPr>
          <w:rFonts w:asciiTheme="majorHAnsi" w:hAnsiTheme="majorHAnsi" w:cstheme="majorHAnsi"/>
        </w:rPr>
        <w:t xml:space="preserve">Available at: </w:t>
      </w:r>
      <w:hyperlink r:id="rId13" w:history="1">
        <w:r w:rsidRPr="00F17467">
          <w:rPr>
            <w:rStyle w:val="Hyperlink"/>
            <w:rFonts w:asciiTheme="majorHAnsi" w:hAnsiTheme="majorHAnsi" w:cstheme="majorHAnsi"/>
          </w:rPr>
          <w:t>https://www.sra.org.uk/sra/equality-diversity/diversity-work/edi-work/</w:t>
        </w:r>
      </w:hyperlink>
      <w:r>
        <w:rPr>
          <w:rFonts w:asciiTheme="majorHAnsi" w:hAnsiTheme="majorHAnsi" w:cstheme="majorHAnsi"/>
        </w:rPr>
        <w:t xml:space="preserve"> (Accessed:</w:t>
      </w:r>
      <w:r>
        <w:rPr>
          <w:rFonts w:asciiTheme="majorHAnsi" w:hAnsiTheme="majorHAnsi" w:cstheme="majorHAnsi"/>
        </w:rPr>
        <w:t xml:space="preserve"> 8 April 2021). </w:t>
      </w:r>
    </w:p>
    <w:p w14:paraId="7C291348" w14:textId="53E68622" w:rsidR="00EB627E" w:rsidRDefault="00EB627E" w:rsidP="00043FBD">
      <w:pPr>
        <w:jc w:val="both"/>
        <w:rPr>
          <w:rFonts w:asciiTheme="majorHAnsi" w:hAnsiTheme="majorHAnsi" w:cstheme="majorHAnsi"/>
        </w:rPr>
      </w:pPr>
    </w:p>
    <w:p w14:paraId="4DB49D1E" w14:textId="77777777" w:rsidR="00CD7B0E" w:rsidRDefault="00CD7B0E" w:rsidP="00043FBD">
      <w:pPr>
        <w:jc w:val="both"/>
        <w:rPr>
          <w:rFonts w:asciiTheme="majorHAnsi" w:hAnsiTheme="majorHAnsi" w:cstheme="majorHAnsi"/>
        </w:rPr>
      </w:pPr>
    </w:p>
    <w:p w14:paraId="77AB809C" w14:textId="5706A668" w:rsidR="00EB627E" w:rsidRDefault="00C15B89" w:rsidP="00043FBD">
      <w:pPr>
        <w:jc w:val="both"/>
        <w:rPr>
          <w:rFonts w:asciiTheme="majorHAnsi" w:hAnsiTheme="majorHAnsi" w:cstheme="majorHAnsi"/>
          <w:b/>
          <w:bCs/>
          <w:u w:val="single"/>
        </w:rPr>
      </w:pPr>
      <w:r w:rsidRPr="00EB627E">
        <w:rPr>
          <w:rFonts w:asciiTheme="majorHAnsi" w:hAnsiTheme="majorHAnsi" w:cstheme="majorHAnsi"/>
          <w:b/>
          <w:bCs/>
          <w:u w:val="single"/>
        </w:rPr>
        <w:t xml:space="preserve">Case List </w:t>
      </w:r>
    </w:p>
    <w:p w14:paraId="352AB621" w14:textId="2DF77FBE" w:rsidR="00EB627E" w:rsidRDefault="00EB627E" w:rsidP="00043FBD">
      <w:pPr>
        <w:jc w:val="both"/>
        <w:rPr>
          <w:rFonts w:asciiTheme="majorHAnsi" w:hAnsiTheme="majorHAnsi" w:cstheme="majorHAnsi"/>
          <w:b/>
          <w:bCs/>
          <w:u w:val="single"/>
        </w:rPr>
      </w:pPr>
    </w:p>
    <w:p w14:paraId="0AEC7365" w14:textId="45B0521A" w:rsidR="00570B01" w:rsidRPr="00570B01" w:rsidRDefault="00C15B89" w:rsidP="00043FBD">
      <w:pPr>
        <w:jc w:val="both"/>
        <w:rPr>
          <w:rFonts w:asciiTheme="majorHAnsi" w:hAnsiTheme="majorHAnsi" w:cstheme="majorHAnsi"/>
        </w:rPr>
      </w:pPr>
      <w:r>
        <w:rPr>
          <w:rFonts w:asciiTheme="majorHAnsi" w:hAnsiTheme="majorHAnsi" w:cstheme="majorHAnsi"/>
        </w:rPr>
        <w:t>Bolton v The Law Society (1993) EWCA Civ 32</w:t>
      </w:r>
    </w:p>
    <w:p w14:paraId="1DCBC21B" w14:textId="2CE24054" w:rsidR="00DE72BF" w:rsidRDefault="00DE72BF" w:rsidP="00043FBD">
      <w:pPr>
        <w:jc w:val="both"/>
        <w:rPr>
          <w:rFonts w:asciiTheme="majorHAnsi" w:hAnsiTheme="majorHAnsi" w:cstheme="majorHAnsi"/>
          <w:b/>
          <w:bCs/>
          <w:u w:val="single"/>
        </w:rPr>
      </w:pPr>
    </w:p>
    <w:p w14:paraId="7ECAAB08" w14:textId="18F4EC74" w:rsidR="00DE72BF" w:rsidRDefault="00C15B89" w:rsidP="00043FBD">
      <w:pPr>
        <w:jc w:val="both"/>
        <w:rPr>
          <w:rFonts w:asciiTheme="majorHAnsi" w:hAnsiTheme="majorHAnsi" w:cstheme="majorHAnsi"/>
          <w:b/>
          <w:bCs/>
          <w:u w:val="single"/>
        </w:rPr>
      </w:pPr>
      <w:r>
        <w:rPr>
          <w:rFonts w:asciiTheme="majorHAnsi" w:hAnsiTheme="majorHAnsi" w:cstheme="majorHAnsi"/>
          <w:b/>
          <w:bCs/>
          <w:u w:val="single"/>
        </w:rPr>
        <w:t xml:space="preserve">Legislation </w:t>
      </w:r>
    </w:p>
    <w:p w14:paraId="071FDE35" w14:textId="6C9C5657" w:rsidR="00B3490B" w:rsidRDefault="00B3490B" w:rsidP="00043FBD">
      <w:pPr>
        <w:jc w:val="both"/>
        <w:rPr>
          <w:rFonts w:asciiTheme="majorHAnsi" w:hAnsiTheme="majorHAnsi" w:cstheme="majorHAnsi"/>
          <w:b/>
          <w:bCs/>
          <w:u w:val="single"/>
        </w:rPr>
      </w:pPr>
    </w:p>
    <w:p w14:paraId="44A9458F" w14:textId="4051DF16" w:rsidR="00B3490B" w:rsidRPr="00B3490B" w:rsidRDefault="00C15B89" w:rsidP="00043FBD">
      <w:pPr>
        <w:jc w:val="both"/>
        <w:rPr>
          <w:rFonts w:asciiTheme="majorHAnsi" w:hAnsiTheme="majorHAnsi" w:cstheme="majorHAnsi"/>
        </w:rPr>
      </w:pPr>
      <w:r>
        <w:rPr>
          <w:rFonts w:asciiTheme="majorHAnsi" w:hAnsiTheme="majorHAnsi" w:cstheme="majorHAnsi"/>
        </w:rPr>
        <w:t xml:space="preserve">Equality Act (2010), </w:t>
      </w:r>
      <w:hyperlink r:id="rId14" w:history="1">
        <w:r w:rsidRPr="00F17467">
          <w:rPr>
            <w:rStyle w:val="Hyperlink"/>
            <w:rFonts w:asciiTheme="majorHAnsi" w:hAnsiTheme="majorHAnsi" w:cstheme="majorHAnsi"/>
          </w:rPr>
          <w:t>https://www.legislation.gov.uk/ukpga/2010/15/contents</w:t>
        </w:r>
      </w:hyperlink>
      <w:r>
        <w:rPr>
          <w:rFonts w:asciiTheme="majorHAnsi" w:hAnsiTheme="majorHAnsi" w:cstheme="majorHAnsi"/>
        </w:rPr>
        <w:t xml:space="preserve"> </w:t>
      </w:r>
    </w:p>
    <w:p w14:paraId="45A8E769" w14:textId="7BC28C85" w:rsidR="00A02E64" w:rsidRDefault="00A02E64" w:rsidP="00043FBD">
      <w:pPr>
        <w:jc w:val="both"/>
        <w:rPr>
          <w:rFonts w:asciiTheme="majorHAnsi" w:hAnsiTheme="majorHAnsi" w:cstheme="majorHAnsi"/>
          <w:b/>
          <w:bCs/>
          <w:u w:val="single"/>
        </w:rPr>
      </w:pPr>
    </w:p>
    <w:p w14:paraId="7195C14D" w14:textId="7D6A8535" w:rsidR="00A02E64" w:rsidRDefault="00C15B89" w:rsidP="00043FBD">
      <w:pPr>
        <w:jc w:val="both"/>
        <w:rPr>
          <w:rFonts w:asciiTheme="majorHAnsi" w:hAnsiTheme="majorHAnsi" w:cstheme="majorHAnsi"/>
        </w:rPr>
      </w:pPr>
      <w:r w:rsidRPr="00D85D50">
        <w:rPr>
          <w:rFonts w:asciiTheme="majorHAnsi" w:hAnsiTheme="majorHAnsi" w:cstheme="majorHAnsi"/>
        </w:rPr>
        <w:t>Money Laundering, Terrorist Financing and Transfer of Finds (information on the payer</w:t>
      </w:r>
      <w:r w:rsidR="00D85D50" w:rsidRPr="00D85D50">
        <w:rPr>
          <w:rFonts w:asciiTheme="majorHAnsi" w:hAnsiTheme="majorHAnsi" w:cstheme="majorHAnsi"/>
        </w:rPr>
        <w:t>) Regulations (2017)</w:t>
      </w:r>
      <w:r w:rsidR="00D85D50">
        <w:rPr>
          <w:rFonts w:asciiTheme="majorHAnsi" w:hAnsiTheme="majorHAnsi" w:cstheme="majorHAnsi"/>
        </w:rPr>
        <w:t xml:space="preserve">, </w:t>
      </w:r>
      <w:hyperlink r:id="rId15" w:history="1">
        <w:r w:rsidR="00D85D50" w:rsidRPr="00F17467">
          <w:rPr>
            <w:rStyle w:val="Hyperlink"/>
            <w:rFonts w:asciiTheme="majorHAnsi" w:hAnsiTheme="majorHAnsi" w:cstheme="majorHAnsi"/>
          </w:rPr>
          <w:t>https://www.legislation.gov.uk/uksi/2017/692/contents/made</w:t>
        </w:r>
      </w:hyperlink>
      <w:r w:rsidR="00D85D50">
        <w:rPr>
          <w:rFonts w:asciiTheme="majorHAnsi" w:hAnsiTheme="majorHAnsi" w:cstheme="majorHAnsi"/>
        </w:rPr>
        <w:t xml:space="preserve"> </w:t>
      </w:r>
    </w:p>
    <w:p w14:paraId="7A8544C7" w14:textId="65AC7051" w:rsidR="000C153C" w:rsidRDefault="000C153C" w:rsidP="00043FBD">
      <w:pPr>
        <w:jc w:val="both"/>
        <w:rPr>
          <w:rFonts w:asciiTheme="majorHAnsi" w:hAnsiTheme="majorHAnsi" w:cstheme="majorHAnsi"/>
        </w:rPr>
      </w:pPr>
    </w:p>
    <w:p w14:paraId="235DAE2B" w14:textId="400BBBBE" w:rsidR="000C153C" w:rsidRDefault="00C15B89" w:rsidP="00043FBD">
      <w:pPr>
        <w:jc w:val="both"/>
        <w:rPr>
          <w:rFonts w:asciiTheme="majorHAnsi" w:hAnsiTheme="majorHAnsi" w:cstheme="majorHAnsi"/>
        </w:rPr>
      </w:pPr>
      <w:r>
        <w:rPr>
          <w:rFonts w:asciiTheme="majorHAnsi" w:hAnsiTheme="majorHAnsi" w:cstheme="majorHAnsi"/>
        </w:rPr>
        <w:t xml:space="preserve">Proceeds of Crime Act (2002), </w:t>
      </w:r>
      <w:hyperlink r:id="rId16" w:history="1">
        <w:r w:rsidRPr="00F17467">
          <w:rPr>
            <w:rStyle w:val="Hyperlink"/>
            <w:rFonts w:asciiTheme="majorHAnsi" w:hAnsiTheme="majorHAnsi" w:cstheme="majorHAnsi"/>
          </w:rPr>
          <w:t>https://www.legislation.gov.uk/ukpga/2002/29/contents</w:t>
        </w:r>
      </w:hyperlink>
      <w:r>
        <w:rPr>
          <w:rFonts w:asciiTheme="majorHAnsi" w:hAnsiTheme="majorHAnsi" w:cstheme="majorHAnsi"/>
        </w:rPr>
        <w:t xml:space="preserve"> </w:t>
      </w:r>
    </w:p>
    <w:p w14:paraId="4EFD0F23" w14:textId="5D3A9AD6" w:rsidR="00D85D50" w:rsidRDefault="00D85D50" w:rsidP="00043FBD">
      <w:pPr>
        <w:jc w:val="both"/>
        <w:rPr>
          <w:rFonts w:asciiTheme="majorHAnsi" w:hAnsiTheme="majorHAnsi" w:cstheme="majorHAnsi"/>
        </w:rPr>
      </w:pPr>
    </w:p>
    <w:p w14:paraId="2C52FDE0" w14:textId="77777777" w:rsidR="00D85D50" w:rsidRPr="00D85D50" w:rsidRDefault="00D85D50" w:rsidP="00043FBD">
      <w:pPr>
        <w:jc w:val="both"/>
        <w:rPr>
          <w:rFonts w:asciiTheme="majorHAnsi" w:hAnsiTheme="majorHAnsi" w:cstheme="majorHAnsi"/>
        </w:rPr>
      </w:pPr>
    </w:p>
    <w:p w14:paraId="238174A6" w14:textId="77777777" w:rsidR="00EB627E" w:rsidRPr="00EB627E" w:rsidRDefault="00EB627E" w:rsidP="00043FBD">
      <w:pPr>
        <w:jc w:val="both"/>
        <w:rPr>
          <w:rFonts w:asciiTheme="majorHAnsi" w:hAnsiTheme="majorHAnsi" w:cstheme="majorHAnsi"/>
          <w:b/>
          <w:bCs/>
          <w:u w:val="single"/>
        </w:rPr>
      </w:pPr>
    </w:p>
    <w:sectPr w:rsidR="00EB627E" w:rsidRPr="00EB627E" w:rsidSect="00BD7923">
      <w:pgSz w:w="11900" w:h="16820"/>
      <w:pgMar w:top="720" w:right="720" w:bottom="720" w:left="720" w:header="709" w:footer="454" w:gutter="0"/>
      <w:cols w:space="708"/>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7"/>
  <w:proofState w:spelling="clean" w:grammar="clean"/>
  <w:defaultTabStop w:val="720"/>
  <w:drawingGridHorizontalSpacing w:val="100"/>
  <w:drawingGridVerticalSpacing w:val="136"/>
  <w:displayHorizontalDrawingGridEvery w:val="0"/>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3FBD"/>
    <w:rsid w:val="00042E47"/>
    <w:rsid w:val="00043FBD"/>
    <w:rsid w:val="00093F20"/>
    <w:rsid w:val="000B5831"/>
    <w:rsid w:val="000C153C"/>
    <w:rsid w:val="00147EC5"/>
    <w:rsid w:val="00181B7A"/>
    <w:rsid w:val="0018376D"/>
    <w:rsid w:val="00192C6C"/>
    <w:rsid w:val="001B51E1"/>
    <w:rsid w:val="001E1752"/>
    <w:rsid w:val="001F0452"/>
    <w:rsid w:val="00256AAE"/>
    <w:rsid w:val="003410AE"/>
    <w:rsid w:val="00356B95"/>
    <w:rsid w:val="00481C0D"/>
    <w:rsid w:val="005435C1"/>
    <w:rsid w:val="00570B01"/>
    <w:rsid w:val="005E638A"/>
    <w:rsid w:val="00626893"/>
    <w:rsid w:val="006B3935"/>
    <w:rsid w:val="00762137"/>
    <w:rsid w:val="0076286B"/>
    <w:rsid w:val="007E5E23"/>
    <w:rsid w:val="008D16A0"/>
    <w:rsid w:val="00922FA8"/>
    <w:rsid w:val="009417BA"/>
    <w:rsid w:val="009A36FC"/>
    <w:rsid w:val="009C15C8"/>
    <w:rsid w:val="009D27E4"/>
    <w:rsid w:val="00A02E64"/>
    <w:rsid w:val="00A6537B"/>
    <w:rsid w:val="00AE0A2F"/>
    <w:rsid w:val="00B3490B"/>
    <w:rsid w:val="00BA0EA9"/>
    <w:rsid w:val="00BC1D42"/>
    <w:rsid w:val="00BD7923"/>
    <w:rsid w:val="00C15B89"/>
    <w:rsid w:val="00C23324"/>
    <w:rsid w:val="00C411DC"/>
    <w:rsid w:val="00C470DC"/>
    <w:rsid w:val="00C56245"/>
    <w:rsid w:val="00CB08A3"/>
    <w:rsid w:val="00CC4D7A"/>
    <w:rsid w:val="00CD7B0E"/>
    <w:rsid w:val="00D27244"/>
    <w:rsid w:val="00D53BF3"/>
    <w:rsid w:val="00D85D50"/>
    <w:rsid w:val="00DA6835"/>
    <w:rsid w:val="00DC2F4A"/>
    <w:rsid w:val="00DE72BF"/>
    <w:rsid w:val="00E967AC"/>
    <w:rsid w:val="00EB627E"/>
    <w:rsid w:val="00EE5F47"/>
    <w:rsid w:val="00F174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F07F61"/>
  <w15:chartTrackingRefBased/>
  <w15:docId w15:val="{014C5862-3844-654C-9EBF-5FB3FC0256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8376D"/>
    <w:rPr>
      <w:color w:val="0563C1" w:themeColor="hyperlink"/>
      <w:u w:val="single"/>
    </w:rPr>
  </w:style>
  <w:style w:type="character" w:customStyle="1" w:styleId="UnresolvedMention1">
    <w:name w:val="Unresolved Mention1"/>
    <w:basedOn w:val="DefaultParagraphFont"/>
    <w:uiPriority w:val="99"/>
    <w:semiHidden/>
    <w:unhideWhenUsed/>
    <w:rsid w:val="001837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wgazette.co.uk/news/retired-solicitor-ends-career-after-historic-breach-of-client-confidentiality/5061780.article" TargetMode="External"/><Relationship Id="rId13" Type="http://schemas.openxmlformats.org/officeDocument/2006/relationships/hyperlink" Target="https://www.sra.org.uk/sra/equality-diversity/diversity-work/edi-work/"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lawyer-monthly.com/2018/12/should-solicitors-be-trusted-to-the-ends-of-the-earth/" TargetMode="External"/><Relationship Id="rId12" Type="http://schemas.openxmlformats.org/officeDocument/2006/relationships/hyperlink" Target="https://www.sra.org.uk/sra/news/press/2020-press-release-archive/risk-outlook-covid-threat/"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legislation.gov.uk/ukpga/2002/29/contents" TargetMode="External"/><Relationship Id="rId1" Type="http://schemas.openxmlformats.org/officeDocument/2006/relationships/styles" Target="styles.xml"/><Relationship Id="rId6" Type="http://schemas.openxmlformats.org/officeDocument/2006/relationships/hyperlink" Target="https://www.telegraph.co.uk/news/uknews/law-and-order/9066621/Lawyer-struck-off-after-one-of-worst-cases-of-fraud.html" TargetMode="External"/><Relationship Id="rId11" Type="http://schemas.openxmlformats.org/officeDocument/2006/relationships/hyperlink" Target="https://www.sra.org.uk/solicitors/standards-regulations/code-conduct-solicitors/" TargetMode="External"/><Relationship Id="rId5" Type="http://schemas.openxmlformats.org/officeDocument/2006/relationships/hyperlink" Target="https://www.telegraph.co.uk/finance/personalfinance/borrowing/mortgages/11943552/Why-wont-regulators-act-on-my-48500-property-fraud-loss.html" TargetMode="External"/><Relationship Id="rId15" Type="http://schemas.openxmlformats.org/officeDocument/2006/relationships/hyperlink" Target="https://www.legislation.gov.uk/uksi/2017/692/contents/made" TargetMode="External"/><Relationship Id="rId10" Type="http://schemas.openxmlformats.org/officeDocument/2006/relationships/hyperlink" Target="https://www.lawgazette.co.uk/solicitors-in-conflict-of-interest-case-ordered-to-pay-70k/5101137.article" TargetMode="External"/><Relationship Id="rId4" Type="http://schemas.openxmlformats.org/officeDocument/2006/relationships/hyperlink" Target="https://www.lawgazette.co.uk/news/lawyers-not-trusted-by-majority-says-consumer-watchdog/61018.article" TargetMode="External"/><Relationship Id="rId9" Type="http://schemas.openxmlformats.org/officeDocument/2006/relationships/hyperlink" Target="https://www.telegraph.co.uk/news/2017/01/14/struck-solicitor-faces-calls-investigation-loans-farmers/" TargetMode="External"/><Relationship Id="rId14" Type="http://schemas.openxmlformats.org/officeDocument/2006/relationships/hyperlink" Target="https://www.legislation.gov.uk/ukpga/2010/15/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2461</Words>
  <Characters>14028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Teresa Anne Kan (2017444)</dc:creator>
  <cp:lastModifiedBy>Teresa Anne Kan (2017444)</cp:lastModifiedBy>
  <cp:revision>2</cp:revision>
  <dcterms:created xsi:type="dcterms:W3CDTF">2021-05-05T08:52:00Z</dcterms:created>
  <dcterms:modified xsi:type="dcterms:W3CDTF">2021-05-05T08:52:00Z</dcterms:modified>
</cp:coreProperties>
</file>