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Pr="0077072A" w:rsidRDefault="00ED5964" w:rsidP="0077072A">
      <w:pPr>
        <w:jc w:val="center"/>
        <w:rPr>
          <w:b/>
          <w:bCs/>
          <w:i/>
          <w:iCs/>
          <w:sz w:val="40"/>
          <w:szCs w:val="40"/>
          <w:u w:val="single"/>
        </w:rPr>
      </w:pPr>
    </w:p>
    <w:p w14:paraId="09CAA2A5" w14:textId="7F60B74E" w:rsidR="0077072A" w:rsidRPr="0077072A" w:rsidRDefault="00CB0D67" w:rsidP="0077072A">
      <w:pPr>
        <w:jc w:val="center"/>
        <w:rPr>
          <w:b/>
          <w:bCs/>
          <w:i/>
          <w:iCs/>
          <w:sz w:val="40"/>
          <w:szCs w:val="40"/>
        </w:rPr>
      </w:pPr>
      <w:r w:rsidRPr="0077072A">
        <w:rPr>
          <w:b/>
          <w:bCs/>
          <w:i/>
          <w:iCs/>
          <w:sz w:val="40"/>
          <w:szCs w:val="40"/>
        </w:rPr>
        <w:t xml:space="preserve">Report case study on </w:t>
      </w:r>
      <w:r w:rsidR="0077072A" w:rsidRPr="0077072A">
        <w:rPr>
          <w:b/>
          <w:bCs/>
          <w:i/>
          <w:iCs/>
          <w:sz w:val="40"/>
          <w:szCs w:val="40"/>
        </w:rPr>
        <w:t>Mr. Ahmed.</w:t>
      </w:r>
    </w:p>
    <w:p w14:paraId="326ADD47" w14:textId="77777777" w:rsidR="00CB0D67" w:rsidRDefault="00CB0D67" w:rsidP="00ED5964">
      <w:pPr>
        <w:jc w:val="both"/>
      </w:pPr>
    </w:p>
    <w:p w14:paraId="035D95C8" w14:textId="77777777" w:rsidR="0077072A" w:rsidRDefault="0077072A" w:rsidP="00ED5964">
      <w:pPr>
        <w:jc w:val="both"/>
      </w:pPr>
    </w:p>
    <w:p w14:paraId="18054C66" w14:textId="77777777" w:rsidR="0077072A" w:rsidRDefault="0077072A" w:rsidP="00ED5964">
      <w:pPr>
        <w:jc w:val="both"/>
      </w:pPr>
    </w:p>
    <w:p w14:paraId="0D6A72B0" w14:textId="77777777" w:rsidR="0077072A" w:rsidRDefault="0077072A" w:rsidP="00ED5964">
      <w:pPr>
        <w:jc w:val="both"/>
      </w:pPr>
    </w:p>
    <w:p w14:paraId="2EF804A0" w14:textId="7E5C443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7072A">
        <w:rPr>
          <w:rFonts w:asciiTheme="minorBidi" w:hAnsiTheme="minorBidi"/>
          <w:sz w:val="28"/>
          <w:szCs w:val="28"/>
        </w:rPr>
        <w:t>Natalia Patry</w:t>
      </w:r>
      <w:r w:rsidR="00864BAB">
        <w:rPr>
          <w:rFonts w:asciiTheme="minorBidi" w:hAnsiTheme="minorBidi"/>
          <w:sz w:val="28"/>
          <w:szCs w:val="28"/>
        </w:rPr>
        <w:t>cja Kozak</w:t>
      </w:r>
    </w:p>
    <w:p w14:paraId="485B6F49" w14:textId="06B0BBD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7565D">
        <w:rPr>
          <w:rFonts w:asciiTheme="minorBidi" w:hAnsiTheme="minorBidi"/>
          <w:sz w:val="28"/>
          <w:szCs w:val="28"/>
        </w:rPr>
        <w:t>2505641</w:t>
      </w:r>
    </w:p>
    <w:p w14:paraId="3C1E7A20" w14:textId="00CD6B0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9069A">
        <w:rPr>
          <w:rFonts w:asciiTheme="minorBidi" w:hAnsiTheme="minorBidi"/>
          <w:sz w:val="28"/>
          <w:szCs w:val="28"/>
        </w:rPr>
        <w:t>LCHS4003</w:t>
      </w:r>
    </w:p>
    <w:p w14:paraId="4EEB2DA3" w14:textId="5CD3000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57949">
        <w:rPr>
          <w:rFonts w:asciiTheme="minorBidi" w:hAnsiTheme="minorBidi"/>
          <w:sz w:val="28"/>
          <w:szCs w:val="28"/>
        </w:rPr>
        <w:t>Introduction to Health and Social care</w:t>
      </w:r>
    </w:p>
    <w:p w14:paraId="0C6F95D6" w14:textId="6201734F"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C0289D">
        <w:rPr>
          <w:rFonts w:asciiTheme="minorBidi" w:hAnsiTheme="minorBidi"/>
          <w:sz w:val="28"/>
          <w:szCs w:val="28"/>
        </w:rPr>
        <w:t>Daniel</w:t>
      </w:r>
      <w:r w:rsidR="00166F66">
        <w:rPr>
          <w:rFonts w:asciiTheme="minorBidi" w:hAnsiTheme="minorBidi"/>
          <w:sz w:val="28"/>
          <w:szCs w:val="28"/>
        </w:rPr>
        <w:t xml:space="preserve"> Hanura</w:t>
      </w: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BC50602"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C609FC">
        <w:rPr>
          <w:rFonts w:asciiTheme="minorBidi" w:hAnsiTheme="minorBidi"/>
          <w:sz w:val="28"/>
          <w:szCs w:val="28"/>
        </w:rPr>
        <w:t xml:space="preserve"> 26/03/2026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421B0DC3" w14:textId="77777777" w:rsidR="00C609FC" w:rsidRDefault="00C609FC" w:rsidP="00F36ADC">
      <w:pPr>
        <w:pStyle w:val="Heading1"/>
        <w:rPr>
          <w:color w:val="4472C4" w:themeColor="accent1"/>
        </w:rPr>
      </w:pPr>
      <w:bookmarkStart w:id="0" w:name="_Toc210644593"/>
    </w:p>
    <w:p w14:paraId="48CC9C95" w14:textId="77777777" w:rsidR="00C609FC" w:rsidRDefault="00C609FC" w:rsidP="00C609FC"/>
    <w:p w14:paraId="4E624F45" w14:textId="77777777" w:rsidR="00C609FC" w:rsidRDefault="00C609FC" w:rsidP="00C609FC"/>
    <w:p w14:paraId="753641D4" w14:textId="77777777" w:rsidR="00C609FC" w:rsidRDefault="00C609FC" w:rsidP="00C609FC"/>
    <w:p w14:paraId="38E632F7" w14:textId="77777777" w:rsidR="00C609FC" w:rsidRDefault="00C609FC" w:rsidP="00C609FC"/>
    <w:sdt>
      <w:sdtPr>
        <w:rPr>
          <w:lang w:val="en-GB"/>
        </w:rPr>
        <w:id w:val="-751657281"/>
        <w:docPartObj>
          <w:docPartGallery w:val="Table of Contents"/>
          <w:docPartUnique/>
        </w:docPartObj>
      </w:sdtPr>
      <w:sdtEndPr>
        <w:rPr>
          <w:rFonts w:eastAsiaTheme="minorEastAsia" w:cstheme="minorBidi"/>
          <w:b/>
          <w:color w:val="auto"/>
          <w:kern w:val="2"/>
          <w:sz w:val="20"/>
          <w:szCs w:val="22"/>
          <w:lang w:eastAsia="zh-CN"/>
          <w14:ligatures w14:val="standardContextual"/>
        </w:rPr>
      </w:sdtEndPr>
      <w:sdtContent>
        <w:p w14:paraId="4D93C1FB" w14:textId="243D956B" w:rsidR="00C609FC" w:rsidRDefault="00C609FC">
          <w:pPr>
            <w:pStyle w:val="TOCHeading"/>
          </w:pPr>
          <w:r>
            <w:rPr>
              <w:lang w:val="en-GB"/>
            </w:rPr>
            <w:t>Contents</w:t>
          </w:r>
        </w:p>
        <w:p w14:paraId="0AFDFB54" w14:textId="2D1FA95D" w:rsidR="00C609FC" w:rsidRDefault="00C609FC">
          <w:pPr>
            <w:pStyle w:val="TOC1"/>
            <w:tabs>
              <w:tab w:val="right" w:leader="dot" w:pos="9016"/>
            </w:tabs>
            <w:rPr>
              <w:rFonts w:asciiTheme="minorHAnsi" w:hAnsiTheme="minorHAnsi" w:cstheme="minorBidi"/>
              <w:b w:val="0"/>
              <w:bCs w:val="0"/>
              <w:i w:val="0"/>
              <w:iCs w:val="0"/>
              <w:noProof/>
              <w:lang w:eastAsia="en-GB"/>
            </w:rPr>
          </w:pPr>
          <w:r>
            <w:fldChar w:fldCharType="begin"/>
          </w:r>
          <w:r>
            <w:instrText xml:space="preserve"> TOC \o "1-3" \h \z \u </w:instrText>
          </w:r>
          <w:r>
            <w:fldChar w:fldCharType="separate"/>
          </w:r>
          <w:hyperlink w:anchor="_Toc225428065" w:history="1">
            <w:r w:rsidRPr="00B5696F">
              <w:rPr>
                <w:rStyle w:val="Hyperlink"/>
                <w:noProof/>
              </w:rPr>
              <w:t>1: Written Report</w:t>
            </w:r>
            <w:r>
              <w:rPr>
                <w:noProof/>
                <w:webHidden/>
              </w:rPr>
              <w:tab/>
            </w:r>
            <w:r>
              <w:rPr>
                <w:noProof/>
                <w:webHidden/>
              </w:rPr>
              <w:fldChar w:fldCharType="begin"/>
            </w:r>
            <w:r>
              <w:rPr>
                <w:noProof/>
                <w:webHidden/>
              </w:rPr>
              <w:instrText xml:space="preserve"> PAGEREF _Toc225428065 \h </w:instrText>
            </w:r>
            <w:r>
              <w:rPr>
                <w:noProof/>
                <w:webHidden/>
              </w:rPr>
            </w:r>
            <w:r>
              <w:rPr>
                <w:noProof/>
                <w:webHidden/>
              </w:rPr>
              <w:fldChar w:fldCharType="separate"/>
            </w:r>
            <w:r>
              <w:rPr>
                <w:noProof/>
                <w:webHidden/>
              </w:rPr>
              <w:t>2</w:t>
            </w:r>
            <w:r>
              <w:rPr>
                <w:noProof/>
                <w:webHidden/>
              </w:rPr>
              <w:fldChar w:fldCharType="end"/>
            </w:r>
          </w:hyperlink>
        </w:p>
        <w:p w14:paraId="4C9F782B" w14:textId="52A9DE0C" w:rsidR="00C609FC" w:rsidRDefault="00C609FC">
          <w:pPr>
            <w:pStyle w:val="TOC2"/>
            <w:tabs>
              <w:tab w:val="right" w:leader="dot" w:pos="9016"/>
            </w:tabs>
            <w:rPr>
              <w:rFonts w:asciiTheme="minorHAnsi" w:hAnsiTheme="minorHAnsi" w:cstheme="minorBidi"/>
              <w:b w:val="0"/>
              <w:bCs w:val="0"/>
              <w:noProof/>
              <w:sz w:val="24"/>
              <w:szCs w:val="24"/>
              <w:lang w:eastAsia="en-GB"/>
            </w:rPr>
          </w:pPr>
          <w:hyperlink w:anchor="_Toc225428066" w:history="1">
            <w:r w:rsidRPr="00B5696F">
              <w:rPr>
                <w:rStyle w:val="Hyperlink"/>
                <w:noProof/>
              </w:rPr>
              <w:t>1.1 Introduction</w:t>
            </w:r>
            <w:r>
              <w:rPr>
                <w:noProof/>
                <w:webHidden/>
              </w:rPr>
              <w:tab/>
            </w:r>
            <w:r>
              <w:rPr>
                <w:noProof/>
                <w:webHidden/>
              </w:rPr>
              <w:fldChar w:fldCharType="begin"/>
            </w:r>
            <w:r>
              <w:rPr>
                <w:noProof/>
                <w:webHidden/>
              </w:rPr>
              <w:instrText xml:space="preserve"> PAGEREF _Toc225428066 \h </w:instrText>
            </w:r>
            <w:r>
              <w:rPr>
                <w:noProof/>
                <w:webHidden/>
              </w:rPr>
            </w:r>
            <w:r>
              <w:rPr>
                <w:noProof/>
                <w:webHidden/>
              </w:rPr>
              <w:fldChar w:fldCharType="separate"/>
            </w:r>
            <w:r>
              <w:rPr>
                <w:noProof/>
                <w:webHidden/>
              </w:rPr>
              <w:t>2</w:t>
            </w:r>
            <w:r>
              <w:rPr>
                <w:noProof/>
                <w:webHidden/>
              </w:rPr>
              <w:fldChar w:fldCharType="end"/>
            </w:r>
          </w:hyperlink>
        </w:p>
        <w:p w14:paraId="1CD1DB5F" w14:textId="0D953A9C" w:rsidR="00C609FC" w:rsidRDefault="00C609FC">
          <w:pPr>
            <w:pStyle w:val="TOC2"/>
            <w:tabs>
              <w:tab w:val="right" w:leader="dot" w:pos="9016"/>
            </w:tabs>
            <w:rPr>
              <w:rFonts w:asciiTheme="minorHAnsi" w:hAnsiTheme="minorHAnsi" w:cstheme="minorBidi"/>
              <w:b w:val="0"/>
              <w:bCs w:val="0"/>
              <w:noProof/>
              <w:sz w:val="24"/>
              <w:szCs w:val="24"/>
              <w:lang w:eastAsia="en-GB"/>
            </w:rPr>
          </w:pPr>
          <w:hyperlink w:anchor="_Toc225428067" w:history="1">
            <w:r w:rsidRPr="00B5696F">
              <w:rPr>
                <w:rStyle w:val="Hyperlink"/>
                <w:noProof/>
              </w:rPr>
              <w:t>1.2 Effectiv</w:t>
            </w:r>
            <w:r w:rsidRPr="00B5696F">
              <w:rPr>
                <w:rStyle w:val="Hyperlink"/>
                <w:noProof/>
              </w:rPr>
              <w:t>e</w:t>
            </w:r>
            <w:r w:rsidRPr="00B5696F">
              <w:rPr>
                <w:rStyle w:val="Hyperlink"/>
                <w:noProof/>
              </w:rPr>
              <w:t xml:space="preserve"> communication</w:t>
            </w:r>
            <w:r>
              <w:rPr>
                <w:noProof/>
                <w:webHidden/>
              </w:rPr>
              <w:tab/>
            </w:r>
            <w:r>
              <w:rPr>
                <w:noProof/>
                <w:webHidden/>
              </w:rPr>
              <w:fldChar w:fldCharType="begin"/>
            </w:r>
            <w:r>
              <w:rPr>
                <w:noProof/>
                <w:webHidden/>
              </w:rPr>
              <w:instrText xml:space="preserve"> PAGEREF _Toc225428067 \h </w:instrText>
            </w:r>
            <w:r>
              <w:rPr>
                <w:noProof/>
                <w:webHidden/>
              </w:rPr>
            </w:r>
            <w:r>
              <w:rPr>
                <w:noProof/>
                <w:webHidden/>
              </w:rPr>
              <w:fldChar w:fldCharType="separate"/>
            </w:r>
            <w:r>
              <w:rPr>
                <w:noProof/>
                <w:webHidden/>
              </w:rPr>
              <w:t>3</w:t>
            </w:r>
            <w:r>
              <w:rPr>
                <w:noProof/>
                <w:webHidden/>
              </w:rPr>
              <w:fldChar w:fldCharType="end"/>
            </w:r>
          </w:hyperlink>
        </w:p>
        <w:p w14:paraId="39D98582" w14:textId="6DF7336A" w:rsidR="00C609FC" w:rsidRDefault="00C609FC">
          <w:pPr>
            <w:pStyle w:val="TOC2"/>
            <w:tabs>
              <w:tab w:val="right" w:leader="dot" w:pos="9016"/>
            </w:tabs>
            <w:rPr>
              <w:rFonts w:asciiTheme="minorHAnsi" w:hAnsiTheme="minorHAnsi" w:cstheme="minorBidi"/>
              <w:b w:val="0"/>
              <w:bCs w:val="0"/>
              <w:noProof/>
              <w:sz w:val="24"/>
              <w:szCs w:val="24"/>
              <w:lang w:eastAsia="en-GB"/>
            </w:rPr>
          </w:pPr>
          <w:hyperlink w:anchor="_Toc225428068" w:history="1">
            <w:r w:rsidRPr="00B5696F">
              <w:rPr>
                <w:rStyle w:val="Hyperlink"/>
                <w:noProof/>
              </w:rPr>
              <w:t>1.4 Collaborative work</w:t>
            </w:r>
            <w:r>
              <w:rPr>
                <w:noProof/>
                <w:webHidden/>
              </w:rPr>
              <w:tab/>
            </w:r>
            <w:r>
              <w:rPr>
                <w:noProof/>
                <w:webHidden/>
              </w:rPr>
              <w:fldChar w:fldCharType="begin"/>
            </w:r>
            <w:r>
              <w:rPr>
                <w:noProof/>
                <w:webHidden/>
              </w:rPr>
              <w:instrText xml:space="preserve"> PAGEREF _Toc225428068 \h </w:instrText>
            </w:r>
            <w:r>
              <w:rPr>
                <w:noProof/>
                <w:webHidden/>
              </w:rPr>
            </w:r>
            <w:r>
              <w:rPr>
                <w:noProof/>
                <w:webHidden/>
              </w:rPr>
              <w:fldChar w:fldCharType="separate"/>
            </w:r>
            <w:r>
              <w:rPr>
                <w:noProof/>
                <w:webHidden/>
              </w:rPr>
              <w:t>4</w:t>
            </w:r>
            <w:r>
              <w:rPr>
                <w:noProof/>
                <w:webHidden/>
              </w:rPr>
              <w:fldChar w:fldCharType="end"/>
            </w:r>
          </w:hyperlink>
        </w:p>
        <w:p w14:paraId="68E39654" w14:textId="20A2F774" w:rsidR="00C609FC" w:rsidRDefault="00C609FC">
          <w:pPr>
            <w:pStyle w:val="TOC2"/>
            <w:tabs>
              <w:tab w:val="right" w:leader="dot" w:pos="9016"/>
            </w:tabs>
            <w:rPr>
              <w:rFonts w:asciiTheme="minorHAnsi" w:hAnsiTheme="minorHAnsi" w:cstheme="minorBidi"/>
              <w:b w:val="0"/>
              <w:bCs w:val="0"/>
              <w:noProof/>
              <w:sz w:val="24"/>
              <w:szCs w:val="24"/>
              <w:lang w:eastAsia="en-GB"/>
            </w:rPr>
          </w:pPr>
          <w:hyperlink w:anchor="_Toc225428069" w:history="1">
            <w:r w:rsidRPr="00B5696F">
              <w:rPr>
                <w:rStyle w:val="Hyperlink"/>
                <w:noProof/>
              </w:rPr>
              <w:t>1.4 Conclusion</w:t>
            </w:r>
            <w:r>
              <w:rPr>
                <w:noProof/>
                <w:webHidden/>
              </w:rPr>
              <w:tab/>
            </w:r>
            <w:r>
              <w:rPr>
                <w:noProof/>
                <w:webHidden/>
              </w:rPr>
              <w:fldChar w:fldCharType="begin"/>
            </w:r>
            <w:r>
              <w:rPr>
                <w:noProof/>
                <w:webHidden/>
              </w:rPr>
              <w:instrText xml:space="preserve"> PAGEREF _Toc225428069 \h </w:instrText>
            </w:r>
            <w:r>
              <w:rPr>
                <w:noProof/>
                <w:webHidden/>
              </w:rPr>
            </w:r>
            <w:r>
              <w:rPr>
                <w:noProof/>
                <w:webHidden/>
              </w:rPr>
              <w:fldChar w:fldCharType="separate"/>
            </w:r>
            <w:r>
              <w:rPr>
                <w:noProof/>
                <w:webHidden/>
              </w:rPr>
              <w:t>5</w:t>
            </w:r>
            <w:r>
              <w:rPr>
                <w:noProof/>
                <w:webHidden/>
              </w:rPr>
              <w:fldChar w:fldCharType="end"/>
            </w:r>
          </w:hyperlink>
        </w:p>
        <w:p w14:paraId="7E0B0701" w14:textId="27A4165F" w:rsidR="00C609FC" w:rsidRDefault="00C609FC">
          <w:pPr>
            <w:pStyle w:val="TOC2"/>
            <w:tabs>
              <w:tab w:val="right" w:leader="dot" w:pos="9016"/>
            </w:tabs>
            <w:rPr>
              <w:rFonts w:asciiTheme="minorHAnsi" w:hAnsiTheme="minorHAnsi" w:cstheme="minorBidi"/>
              <w:b w:val="0"/>
              <w:bCs w:val="0"/>
              <w:noProof/>
              <w:sz w:val="24"/>
              <w:szCs w:val="24"/>
              <w:lang w:eastAsia="en-GB"/>
            </w:rPr>
          </w:pPr>
          <w:hyperlink w:anchor="_Toc225428070" w:history="1">
            <w:r w:rsidRPr="00B5696F">
              <w:rPr>
                <w:rStyle w:val="Hyperlink"/>
                <w:noProof/>
              </w:rPr>
              <w:t>1.5 Referenc</w:t>
            </w:r>
            <w:r w:rsidRPr="00B5696F">
              <w:rPr>
                <w:rStyle w:val="Hyperlink"/>
                <w:noProof/>
              </w:rPr>
              <w:t>e</w:t>
            </w:r>
            <w:r w:rsidRPr="00B5696F">
              <w:rPr>
                <w:rStyle w:val="Hyperlink"/>
                <w:noProof/>
              </w:rPr>
              <w:t xml:space="preserve"> List</w:t>
            </w:r>
            <w:r>
              <w:rPr>
                <w:noProof/>
                <w:webHidden/>
              </w:rPr>
              <w:tab/>
            </w:r>
            <w:r>
              <w:rPr>
                <w:noProof/>
                <w:webHidden/>
              </w:rPr>
              <w:fldChar w:fldCharType="begin"/>
            </w:r>
            <w:r>
              <w:rPr>
                <w:noProof/>
                <w:webHidden/>
              </w:rPr>
              <w:instrText xml:space="preserve"> PAGEREF _Toc225428070 \h </w:instrText>
            </w:r>
            <w:r>
              <w:rPr>
                <w:noProof/>
                <w:webHidden/>
              </w:rPr>
            </w:r>
            <w:r>
              <w:rPr>
                <w:noProof/>
                <w:webHidden/>
              </w:rPr>
              <w:fldChar w:fldCharType="separate"/>
            </w:r>
            <w:r>
              <w:rPr>
                <w:noProof/>
                <w:webHidden/>
              </w:rPr>
              <w:t>5</w:t>
            </w:r>
            <w:r>
              <w:rPr>
                <w:noProof/>
                <w:webHidden/>
              </w:rPr>
              <w:fldChar w:fldCharType="end"/>
            </w:r>
          </w:hyperlink>
        </w:p>
        <w:p w14:paraId="3885AB53" w14:textId="5CFB000B" w:rsidR="00C609FC" w:rsidRDefault="00C609FC">
          <w:r>
            <w:rPr>
              <w:b/>
              <w:bCs/>
            </w:rPr>
            <w:fldChar w:fldCharType="end"/>
          </w:r>
        </w:p>
      </w:sdtContent>
    </w:sdt>
    <w:p w14:paraId="50B25DD7" w14:textId="77777777" w:rsidR="00C609FC" w:rsidRPr="00C609FC" w:rsidRDefault="00C609FC" w:rsidP="00C609FC"/>
    <w:p w14:paraId="5FAB10AE" w14:textId="77777777" w:rsidR="00C609FC" w:rsidRDefault="00C609FC" w:rsidP="00F36ADC">
      <w:pPr>
        <w:pStyle w:val="Heading1"/>
        <w:rPr>
          <w:color w:val="4472C4" w:themeColor="accent1"/>
        </w:rPr>
      </w:pPr>
      <w:bookmarkStart w:id="1" w:name="_Toc225428065"/>
    </w:p>
    <w:p w14:paraId="173890A1" w14:textId="77777777" w:rsidR="00C609FC" w:rsidRDefault="00C609FC" w:rsidP="00F36ADC">
      <w:pPr>
        <w:pStyle w:val="Heading1"/>
        <w:rPr>
          <w:color w:val="4472C4" w:themeColor="accent1"/>
        </w:rPr>
      </w:pPr>
    </w:p>
    <w:p w14:paraId="71A21F98" w14:textId="77777777" w:rsidR="00C609FC" w:rsidRDefault="00C609FC" w:rsidP="00F36ADC">
      <w:pPr>
        <w:pStyle w:val="Heading1"/>
        <w:rPr>
          <w:color w:val="4472C4" w:themeColor="accent1"/>
        </w:rPr>
      </w:pPr>
    </w:p>
    <w:p w14:paraId="7CB54A0E" w14:textId="77777777" w:rsidR="00C609FC" w:rsidRDefault="00C609FC" w:rsidP="00C609FC"/>
    <w:p w14:paraId="22467A08" w14:textId="77777777" w:rsidR="00C609FC" w:rsidRDefault="00C609FC" w:rsidP="00C609FC"/>
    <w:p w14:paraId="7AFB07FF" w14:textId="77777777" w:rsidR="00C609FC" w:rsidRPr="00C609FC" w:rsidRDefault="00C609FC" w:rsidP="00C609FC"/>
    <w:p w14:paraId="5077BE0C" w14:textId="77777777" w:rsidR="00C609FC" w:rsidRDefault="00C609FC" w:rsidP="00F36ADC">
      <w:pPr>
        <w:pStyle w:val="Heading1"/>
        <w:rPr>
          <w:color w:val="4472C4" w:themeColor="accent1"/>
        </w:rPr>
      </w:pPr>
    </w:p>
    <w:p w14:paraId="5BA4D31A" w14:textId="77777777" w:rsidR="00C609FC" w:rsidRDefault="00C609FC" w:rsidP="00F36ADC">
      <w:pPr>
        <w:pStyle w:val="Heading1"/>
        <w:rPr>
          <w:color w:val="4472C4" w:themeColor="accent1"/>
        </w:rPr>
      </w:pPr>
    </w:p>
    <w:p w14:paraId="32EB901F" w14:textId="77777777" w:rsidR="00C609FC" w:rsidRDefault="00C609FC" w:rsidP="00C609FC"/>
    <w:p w14:paraId="5CD7B222" w14:textId="77777777" w:rsidR="00C609FC" w:rsidRDefault="00C609FC" w:rsidP="00C609FC"/>
    <w:p w14:paraId="10042A8A" w14:textId="77777777" w:rsidR="00C609FC" w:rsidRDefault="00C609FC" w:rsidP="00C609FC"/>
    <w:p w14:paraId="68CE93E0" w14:textId="77777777" w:rsidR="00C609FC" w:rsidRPr="00C609FC" w:rsidRDefault="00C609FC" w:rsidP="00C609FC"/>
    <w:p w14:paraId="60E2C758" w14:textId="77777777" w:rsidR="00C609FC" w:rsidRDefault="00C609FC" w:rsidP="00F36ADC">
      <w:pPr>
        <w:pStyle w:val="Heading1"/>
        <w:rPr>
          <w:color w:val="4472C4" w:themeColor="accent1"/>
        </w:rPr>
      </w:pPr>
    </w:p>
    <w:p w14:paraId="7D4BFAA7" w14:textId="77777777" w:rsidR="00C609FC" w:rsidRDefault="00C609FC" w:rsidP="00C609FC"/>
    <w:p w14:paraId="1BE7CBA7" w14:textId="77777777" w:rsidR="00C609FC" w:rsidRDefault="00C609FC" w:rsidP="00C609FC"/>
    <w:p w14:paraId="146AC223" w14:textId="77777777" w:rsidR="00C609FC" w:rsidRDefault="00C609FC" w:rsidP="00C609FC"/>
    <w:p w14:paraId="3257BC8D" w14:textId="77777777" w:rsidR="00C609FC" w:rsidRDefault="00C609FC" w:rsidP="00C609FC"/>
    <w:p w14:paraId="0FE83E8D" w14:textId="77777777" w:rsidR="00C609FC" w:rsidRPr="00C609FC" w:rsidRDefault="00C609FC" w:rsidP="00C609FC"/>
    <w:p w14:paraId="77C18CB4" w14:textId="3A90D25B" w:rsidR="00933720" w:rsidRPr="002976D4" w:rsidRDefault="00AA77C8" w:rsidP="00C609FC">
      <w:pPr>
        <w:pStyle w:val="Heading1"/>
        <w:spacing w:line="360" w:lineRule="auto"/>
        <w:rPr>
          <w:color w:val="4472C4" w:themeColor="accent1"/>
        </w:rPr>
      </w:pPr>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bookmarkEnd w:id="1"/>
    </w:p>
    <w:p w14:paraId="7E817B09" w14:textId="50F31860" w:rsidR="00A035CD" w:rsidRPr="002976D4" w:rsidRDefault="00AA77C8" w:rsidP="00C609FC">
      <w:pPr>
        <w:pStyle w:val="Heading2"/>
        <w:spacing w:line="360" w:lineRule="auto"/>
        <w:rPr>
          <w:color w:val="4472C4" w:themeColor="accent1"/>
        </w:rPr>
      </w:pPr>
      <w:bookmarkStart w:id="2" w:name="_Toc210644594"/>
      <w:bookmarkStart w:id="3" w:name="_Toc225428066"/>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2"/>
      <w:bookmarkEnd w:id="3"/>
    </w:p>
    <w:p w14:paraId="4CC61BC1" w14:textId="34903A01" w:rsidR="00F36ADC" w:rsidRDefault="008A2717" w:rsidP="00C609FC">
      <w:pPr>
        <w:spacing w:after="0" w:line="360" w:lineRule="auto"/>
        <w:jc w:val="both"/>
        <w:rPr>
          <w:rFonts w:ascii="Arial" w:hAnsi="Arial" w:cs="Arial"/>
          <w:sz w:val="22"/>
        </w:rPr>
      </w:pPr>
      <w:r w:rsidRPr="008A2717">
        <w:rPr>
          <w:rFonts w:ascii="Arial" w:hAnsi="Arial" w:cs="Arial"/>
          <w:sz w:val="22"/>
        </w:rPr>
        <w:t>This essay will discuss the importance of effective communication, administrative tasks such as record keeping and significance of collaborative work between professionals.</w:t>
      </w:r>
      <w:r>
        <w:rPr>
          <w:rFonts w:ascii="Arial" w:hAnsi="Arial" w:cs="Arial"/>
          <w:sz w:val="22"/>
        </w:rPr>
        <w:t xml:space="preserve"> </w:t>
      </w:r>
      <w:r w:rsidR="00005BE0" w:rsidRPr="0030034F">
        <w:rPr>
          <w:rFonts w:ascii="Arial" w:hAnsi="Arial" w:cs="Arial"/>
          <w:sz w:val="22"/>
        </w:rPr>
        <w:t xml:space="preserve">Health and social care services </w:t>
      </w:r>
      <w:r w:rsidR="00FA63A0" w:rsidRPr="0030034F">
        <w:rPr>
          <w:rFonts w:ascii="Arial" w:hAnsi="Arial" w:cs="Arial"/>
          <w:sz w:val="22"/>
        </w:rPr>
        <w:t>aim to support service users with day</w:t>
      </w:r>
      <w:r w:rsidR="00DC2497" w:rsidRPr="0030034F">
        <w:rPr>
          <w:rFonts w:ascii="Arial" w:hAnsi="Arial" w:cs="Arial"/>
          <w:sz w:val="22"/>
        </w:rPr>
        <w:t>-to-day</w:t>
      </w:r>
      <w:r w:rsidR="00FA63A0" w:rsidRPr="0030034F">
        <w:rPr>
          <w:rFonts w:ascii="Arial" w:hAnsi="Arial" w:cs="Arial"/>
          <w:sz w:val="22"/>
        </w:rPr>
        <w:t xml:space="preserve"> living</w:t>
      </w:r>
      <w:r w:rsidR="006A3F1F" w:rsidRPr="0030034F">
        <w:rPr>
          <w:rFonts w:ascii="Arial" w:hAnsi="Arial" w:cs="Arial"/>
          <w:sz w:val="22"/>
        </w:rPr>
        <w:t xml:space="preserve">, by </w:t>
      </w:r>
      <w:r w:rsidR="00BE0375" w:rsidRPr="0030034F">
        <w:rPr>
          <w:rFonts w:ascii="Arial" w:hAnsi="Arial" w:cs="Arial"/>
          <w:sz w:val="22"/>
        </w:rPr>
        <w:t>assisting individuals with their physical</w:t>
      </w:r>
      <w:r w:rsidR="0075104C" w:rsidRPr="0030034F">
        <w:rPr>
          <w:rFonts w:ascii="Arial" w:hAnsi="Arial" w:cs="Arial"/>
          <w:sz w:val="22"/>
        </w:rPr>
        <w:t xml:space="preserve">, </w:t>
      </w:r>
      <w:r w:rsidR="00DC2497" w:rsidRPr="0030034F">
        <w:rPr>
          <w:rFonts w:ascii="Arial" w:hAnsi="Arial" w:cs="Arial"/>
          <w:sz w:val="22"/>
        </w:rPr>
        <w:t>emotional and</w:t>
      </w:r>
      <w:r w:rsidR="0075104C" w:rsidRPr="0030034F">
        <w:rPr>
          <w:rFonts w:ascii="Arial" w:hAnsi="Arial" w:cs="Arial"/>
          <w:sz w:val="22"/>
        </w:rPr>
        <w:t xml:space="preserve"> social wellbeing.</w:t>
      </w:r>
      <w:r w:rsidR="008F174B" w:rsidRPr="0030034F">
        <w:rPr>
          <w:rFonts w:ascii="Arial" w:hAnsi="Arial" w:cs="Arial"/>
          <w:sz w:val="22"/>
        </w:rPr>
        <w:t xml:space="preserve"> </w:t>
      </w:r>
      <w:r w:rsidR="003959E5" w:rsidRPr="0030034F">
        <w:rPr>
          <w:rFonts w:ascii="Arial" w:hAnsi="Arial" w:cs="Arial"/>
          <w:sz w:val="22"/>
        </w:rPr>
        <w:t>Strong communication</w:t>
      </w:r>
      <w:r w:rsidR="00F53426" w:rsidRPr="0030034F">
        <w:rPr>
          <w:rFonts w:ascii="Arial" w:hAnsi="Arial" w:cs="Arial"/>
          <w:sz w:val="22"/>
        </w:rPr>
        <w:t xml:space="preserve">, accurate administrative practice </w:t>
      </w:r>
      <w:r w:rsidR="00B5378A" w:rsidRPr="0030034F">
        <w:rPr>
          <w:rFonts w:ascii="Arial" w:hAnsi="Arial" w:cs="Arial"/>
          <w:sz w:val="22"/>
        </w:rPr>
        <w:t xml:space="preserve">and collaboration between different professionals are essential </w:t>
      </w:r>
      <w:r w:rsidR="00DC2497" w:rsidRPr="0030034F">
        <w:rPr>
          <w:rFonts w:ascii="Arial" w:hAnsi="Arial" w:cs="Arial"/>
          <w:sz w:val="22"/>
        </w:rPr>
        <w:t>in delivering effective care.</w:t>
      </w:r>
    </w:p>
    <w:p w14:paraId="0F6D7D4E" w14:textId="77777777" w:rsidR="00216946" w:rsidRPr="0030034F" w:rsidRDefault="00216946" w:rsidP="00C609FC">
      <w:pPr>
        <w:spacing w:after="0" w:line="360" w:lineRule="auto"/>
        <w:jc w:val="both"/>
        <w:rPr>
          <w:rFonts w:ascii="Arial" w:hAnsi="Arial" w:cs="Arial"/>
          <w:sz w:val="22"/>
        </w:rPr>
      </w:pPr>
    </w:p>
    <w:p w14:paraId="63C69414" w14:textId="7357041E" w:rsidR="00A71545" w:rsidRPr="00C609FC" w:rsidRDefault="00850C62" w:rsidP="00C609FC">
      <w:pPr>
        <w:spacing w:after="0" w:line="360" w:lineRule="auto"/>
        <w:jc w:val="both"/>
        <w:rPr>
          <w:rFonts w:ascii="Arial" w:hAnsi="Arial" w:cs="Arial"/>
          <w:sz w:val="22"/>
        </w:rPr>
      </w:pPr>
      <w:r w:rsidRPr="0030034F">
        <w:rPr>
          <w:rFonts w:ascii="Arial" w:hAnsi="Arial" w:cs="Arial"/>
          <w:sz w:val="22"/>
        </w:rPr>
        <w:t>This</w:t>
      </w:r>
      <w:r w:rsidR="006D2BBA" w:rsidRPr="0030034F">
        <w:rPr>
          <w:rFonts w:ascii="Arial" w:hAnsi="Arial" w:cs="Arial"/>
          <w:sz w:val="22"/>
        </w:rPr>
        <w:t xml:space="preserve"> essay will </w:t>
      </w:r>
      <w:r w:rsidR="00054A89" w:rsidRPr="0030034F">
        <w:rPr>
          <w:rFonts w:ascii="Arial" w:hAnsi="Arial" w:cs="Arial"/>
          <w:sz w:val="22"/>
        </w:rPr>
        <w:t>focus on Mr. Ahmeds case study</w:t>
      </w:r>
      <w:r w:rsidR="000D5CE7" w:rsidRPr="0030034F">
        <w:rPr>
          <w:rFonts w:ascii="Arial" w:hAnsi="Arial" w:cs="Arial"/>
          <w:sz w:val="22"/>
        </w:rPr>
        <w:t>, a 68</w:t>
      </w:r>
      <w:r w:rsidR="005C0836" w:rsidRPr="0030034F">
        <w:rPr>
          <w:rFonts w:ascii="Arial" w:hAnsi="Arial" w:cs="Arial"/>
          <w:sz w:val="22"/>
        </w:rPr>
        <w:t>-year-old</w:t>
      </w:r>
      <w:r w:rsidR="000D5CE7" w:rsidRPr="0030034F">
        <w:rPr>
          <w:rFonts w:ascii="Arial" w:hAnsi="Arial" w:cs="Arial"/>
          <w:sz w:val="22"/>
        </w:rPr>
        <w:t xml:space="preserve"> man who has recently been discharged from hospital following a stroke</w:t>
      </w:r>
      <w:r w:rsidR="005C0836" w:rsidRPr="0030034F">
        <w:rPr>
          <w:rFonts w:ascii="Arial" w:hAnsi="Arial" w:cs="Arial"/>
          <w:sz w:val="22"/>
        </w:rPr>
        <w:t>, receiving help from</w:t>
      </w:r>
      <w:r w:rsidR="00E61D39" w:rsidRPr="0030034F">
        <w:rPr>
          <w:rFonts w:ascii="Arial" w:hAnsi="Arial" w:cs="Arial"/>
          <w:sz w:val="22"/>
        </w:rPr>
        <w:t xml:space="preserve"> a domiciliary care agency three times daily to assist with personal care, medication administration, and meal preparation</w:t>
      </w:r>
      <w:r w:rsidR="00447A1A" w:rsidRPr="0030034F">
        <w:rPr>
          <w:rFonts w:ascii="Arial" w:hAnsi="Arial" w:cs="Arial"/>
          <w:sz w:val="22"/>
        </w:rPr>
        <w:t xml:space="preserve"> as well as </w:t>
      </w:r>
      <w:r w:rsidR="00360AFD" w:rsidRPr="0030034F">
        <w:rPr>
          <w:rFonts w:ascii="Arial" w:hAnsi="Arial" w:cs="Arial"/>
          <w:sz w:val="22"/>
        </w:rPr>
        <w:t>other professionals including his general practitioner</w:t>
      </w:r>
      <w:r w:rsidR="003B2680" w:rsidRPr="0030034F">
        <w:rPr>
          <w:rFonts w:ascii="Arial" w:hAnsi="Arial" w:cs="Arial"/>
          <w:sz w:val="22"/>
        </w:rPr>
        <w:t>(GP)</w:t>
      </w:r>
      <w:r w:rsidR="00360AFD" w:rsidRPr="0030034F">
        <w:rPr>
          <w:rFonts w:ascii="Arial" w:hAnsi="Arial" w:cs="Arial"/>
          <w:sz w:val="22"/>
        </w:rPr>
        <w:t>, district nur</w:t>
      </w:r>
      <w:r w:rsidR="00255EEA" w:rsidRPr="0030034F">
        <w:rPr>
          <w:rFonts w:ascii="Arial" w:hAnsi="Arial" w:cs="Arial"/>
          <w:sz w:val="22"/>
        </w:rPr>
        <w:t>se and a speech and language therapist</w:t>
      </w:r>
      <w:r w:rsidR="00A066B0" w:rsidRPr="0030034F">
        <w:rPr>
          <w:rFonts w:ascii="Arial" w:hAnsi="Arial" w:cs="Arial"/>
          <w:sz w:val="22"/>
        </w:rPr>
        <w:t xml:space="preserve">. </w:t>
      </w:r>
      <w:r w:rsidR="00E8245D" w:rsidRPr="0030034F">
        <w:rPr>
          <w:rFonts w:ascii="Arial" w:hAnsi="Arial" w:cs="Arial"/>
          <w:sz w:val="22"/>
        </w:rPr>
        <w:t>Mr. Ahmed</w:t>
      </w:r>
      <w:r w:rsidR="00703DCF" w:rsidRPr="0030034F">
        <w:rPr>
          <w:rFonts w:ascii="Arial" w:hAnsi="Arial" w:cs="Arial"/>
          <w:sz w:val="22"/>
        </w:rPr>
        <w:t>s</w:t>
      </w:r>
      <w:r w:rsidR="001A137E" w:rsidRPr="0030034F">
        <w:rPr>
          <w:rFonts w:ascii="Arial" w:hAnsi="Arial" w:cs="Arial"/>
          <w:sz w:val="22"/>
        </w:rPr>
        <w:t xml:space="preserve"> first </w:t>
      </w:r>
      <w:r w:rsidR="00703DCF" w:rsidRPr="0030034F">
        <w:rPr>
          <w:rFonts w:ascii="Arial" w:hAnsi="Arial" w:cs="Arial"/>
          <w:sz w:val="22"/>
        </w:rPr>
        <w:t xml:space="preserve">language is </w:t>
      </w:r>
      <w:r w:rsidR="00661427" w:rsidRPr="0030034F">
        <w:rPr>
          <w:rFonts w:ascii="Arial" w:hAnsi="Arial" w:cs="Arial"/>
          <w:sz w:val="22"/>
        </w:rPr>
        <w:t>Bengali;</w:t>
      </w:r>
      <w:r w:rsidR="005B0B22" w:rsidRPr="0030034F">
        <w:rPr>
          <w:rFonts w:ascii="Arial" w:hAnsi="Arial" w:cs="Arial"/>
          <w:sz w:val="22"/>
        </w:rPr>
        <w:t xml:space="preserve"> </w:t>
      </w:r>
      <w:r w:rsidR="00661427" w:rsidRPr="0030034F">
        <w:rPr>
          <w:rFonts w:ascii="Arial" w:hAnsi="Arial" w:cs="Arial"/>
          <w:sz w:val="22"/>
        </w:rPr>
        <w:t>he lives</w:t>
      </w:r>
      <w:r w:rsidR="00E8245D" w:rsidRPr="0030034F">
        <w:rPr>
          <w:rFonts w:ascii="Arial" w:hAnsi="Arial" w:cs="Arial"/>
          <w:sz w:val="22"/>
        </w:rPr>
        <w:t xml:space="preserve"> with his wife </w:t>
      </w:r>
      <w:r w:rsidR="00BA7AF9" w:rsidRPr="0030034F">
        <w:rPr>
          <w:rFonts w:ascii="Arial" w:hAnsi="Arial" w:cs="Arial"/>
          <w:sz w:val="22"/>
        </w:rPr>
        <w:t>who often communicates on his behalf</w:t>
      </w:r>
      <w:r w:rsidR="00215EC5" w:rsidRPr="0030034F">
        <w:rPr>
          <w:rFonts w:ascii="Arial" w:hAnsi="Arial" w:cs="Arial"/>
          <w:sz w:val="22"/>
        </w:rPr>
        <w:t xml:space="preserve"> regarding more complex conversations</w:t>
      </w:r>
      <w:r w:rsidR="00BA7AF9" w:rsidRPr="0030034F">
        <w:rPr>
          <w:rFonts w:ascii="Arial" w:hAnsi="Arial" w:cs="Arial"/>
          <w:sz w:val="22"/>
        </w:rPr>
        <w:t xml:space="preserve"> due to his limited </w:t>
      </w:r>
      <w:r w:rsidR="005B0B22" w:rsidRPr="0030034F">
        <w:rPr>
          <w:rFonts w:ascii="Arial" w:hAnsi="Arial" w:cs="Arial"/>
          <w:sz w:val="22"/>
        </w:rPr>
        <w:t>English</w:t>
      </w:r>
      <w:r w:rsidR="00215EC5" w:rsidRPr="0030034F">
        <w:rPr>
          <w:rFonts w:ascii="Arial" w:hAnsi="Arial" w:cs="Arial"/>
          <w:sz w:val="22"/>
        </w:rPr>
        <w:t>.</w:t>
      </w:r>
    </w:p>
    <w:p w14:paraId="25BBEC6F" w14:textId="77777777" w:rsidR="00A71545" w:rsidRPr="00242974" w:rsidRDefault="00A71545" w:rsidP="00C609FC">
      <w:pPr>
        <w:spacing w:after="0" w:line="360" w:lineRule="auto"/>
        <w:jc w:val="both"/>
        <w:rPr>
          <w:sz w:val="21"/>
          <w:szCs w:val="21"/>
        </w:rPr>
      </w:pPr>
    </w:p>
    <w:p w14:paraId="429C62C8" w14:textId="277446B2" w:rsidR="0030034F" w:rsidRDefault="00AA77C8" w:rsidP="00C609FC">
      <w:pPr>
        <w:pStyle w:val="Heading2"/>
        <w:spacing w:line="360" w:lineRule="auto"/>
        <w:rPr>
          <w:color w:val="4472C4" w:themeColor="accent1"/>
          <w:szCs w:val="24"/>
        </w:rPr>
      </w:pPr>
      <w:bookmarkStart w:id="4" w:name="_Toc210644595"/>
      <w:bookmarkStart w:id="5" w:name="_Toc225428067"/>
      <w:r w:rsidRPr="002976D4">
        <w:rPr>
          <w:color w:val="4472C4" w:themeColor="accent1"/>
          <w:szCs w:val="24"/>
        </w:rPr>
        <w:t>1</w:t>
      </w:r>
      <w:r w:rsidR="002370CE" w:rsidRPr="002976D4">
        <w:rPr>
          <w:color w:val="4472C4" w:themeColor="accent1"/>
          <w:szCs w:val="24"/>
        </w:rPr>
        <w:t xml:space="preserve">.2 </w:t>
      </w:r>
      <w:bookmarkEnd w:id="4"/>
      <w:r w:rsidR="00A82F21">
        <w:rPr>
          <w:color w:val="4472C4" w:themeColor="accent1"/>
          <w:szCs w:val="24"/>
        </w:rPr>
        <w:t>Effective communication</w:t>
      </w:r>
      <w:bookmarkEnd w:id="5"/>
    </w:p>
    <w:p w14:paraId="34717065" w14:textId="77777777" w:rsidR="002E5D4E" w:rsidRPr="002E5D4E" w:rsidRDefault="002E5D4E" w:rsidP="00C609FC">
      <w:pPr>
        <w:spacing w:line="360" w:lineRule="auto"/>
        <w:rPr>
          <w:rFonts w:ascii="Arial" w:hAnsi="Arial" w:cs="Arial"/>
          <w:sz w:val="22"/>
        </w:rPr>
      </w:pPr>
      <w:r w:rsidRPr="002E5D4E">
        <w:rPr>
          <w:rFonts w:ascii="Arial" w:hAnsi="Arial" w:cs="Arial"/>
          <w:sz w:val="22"/>
        </w:rPr>
        <w:t xml:space="preserve">Effective communication is a critical component of health and social care, enabling service users to receive quality care and ensuring all their needs are met whilst establishing trust between them and the care providers (Sharkiya, 2023). Communication involves information exchange between the service provider and user, ranging from verbal, non-verbal and written methods promoting positive outcomes of care in a safe environment. </w:t>
      </w:r>
    </w:p>
    <w:p w14:paraId="7EF1AE07" w14:textId="1A715CF7" w:rsidR="002E5D4E" w:rsidRPr="002E5D4E" w:rsidRDefault="002E5D4E" w:rsidP="00C609FC">
      <w:pPr>
        <w:spacing w:line="360" w:lineRule="auto"/>
        <w:rPr>
          <w:rFonts w:ascii="Arial" w:hAnsi="Arial" w:cs="Arial"/>
          <w:sz w:val="22"/>
        </w:rPr>
      </w:pPr>
      <w:r w:rsidRPr="002E5D4E">
        <w:rPr>
          <w:rFonts w:ascii="Arial" w:hAnsi="Arial" w:cs="Arial"/>
          <w:sz w:val="22"/>
        </w:rPr>
        <w:t>Entwistle et al.</w:t>
      </w:r>
      <w:r w:rsidR="00BB444E">
        <w:rPr>
          <w:rFonts w:ascii="Arial" w:hAnsi="Arial" w:cs="Arial"/>
          <w:sz w:val="22"/>
        </w:rPr>
        <w:t>,</w:t>
      </w:r>
      <w:r w:rsidRPr="002E5D4E">
        <w:rPr>
          <w:rFonts w:ascii="Arial" w:hAnsi="Arial" w:cs="Arial"/>
          <w:sz w:val="22"/>
        </w:rPr>
        <w:t xml:space="preserve"> (2010) discuss patient autonomy, encouraging the use of supporting resources relevant for the patient to make better decisions surrounding their own care. Reduced patient autonomy and miscommunication due to incomplete information are significant concerns. As his first language is Bengali and he has limited understanding of English, communication becomes challenging. Mr Ahmed relies on his wife to translate conversations between him and the healthcare professionals, which may be beneficial for simple interactions but can create difficulties when discussing more complex </w:t>
      </w:r>
      <w:r w:rsidR="00E269C4">
        <w:rPr>
          <w:rFonts w:ascii="Arial" w:hAnsi="Arial" w:cs="Arial"/>
          <w:sz w:val="22"/>
        </w:rPr>
        <w:t>medical information</w:t>
      </w:r>
      <w:r w:rsidRPr="002E5D4E">
        <w:rPr>
          <w:rFonts w:ascii="Arial" w:hAnsi="Arial" w:cs="Arial"/>
          <w:sz w:val="22"/>
        </w:rPr>
        <w:t>.</w:t>
      </w:r>
      <w:r w:rsidR="00225BB9">
        <w:rPr>
          <w:rFonts w:ascii="Arial" w:hAnsi="Arial" w:cs="Arial"/>
          <w:sz w:val="22"/>
        </w:rPr>
        <w:t xml:space="preserve"> Additionally, Reliance on informal interpretation </w:t>
      </w:r>
      <w:r w:rsidR="003B0C29">
        <w:rPr>
          <w:rFonts w:ascii="Arial" w:hAnsi="Arial" w:cs="Arial"/>
          <w:sz w:val="22"/>
        </w:rPr>
        <w:t xml:space="preserve">may cause concerns </w:t>
      </w:r>
      <w:r w:rsidR="00533411">
        <w:rPr>
          <w:rFonts w:ascii="Arial" w:hAnsi="Arial" w:cs="Arial"/>
          <w:sz w:val="22"/>
        </w:rPr>
        <w:t>regarding</w:t>
      </w:r>
      <w:r w:rsidR="003B0C29">
        <w:rPr>
          <w:rFonts w:ascii="Arial" w:hAnsi="Arial" w:cs="Arial"/>
          <w:sz w:val="22"/>
        </w:rPr>
        <w:t xml:space="preserve"> accuracy and confidentiality</w:t>
      </w:r>
      <w:r w:rsidR="00E854BF">
        <w:rPr>
          <w:rFonts w:ascii="Arial" w:hAnsi="Arial" w:cs="Arial"/>
          <w:sz w:val="22"/>
        </w:rPr>
        <w:t xml:space="preserve"> within healthcare settings</w:t>
      </w:r>
      <w:r w:rsidR="003B0C29">
        <w:rPr>
          <w:rFonts w:ascii="Arial" w:hAnsi="Arial" w:cs="Arial"/>
          <w:sz w:val="22"/>
        </w:rPr>
        <w:t>.</w:t>
      </w:r>
    </w:p>
    <w:p w14:paraId="18AE2C7F" w14:textId="0A083E1C" w:rsidR="002E5D4E" w:rsidRPr="002E5D4E" w:rsidRDefault="002E5D4E" w:rsidP="00C609FC">
      <w:pPr>
        <w:spacing w:line="360" w:lineRule="auto"/>
        <w:rPr>
          <w:rFonts w:ascii="Arial" w:hAnsi="Arial" w:cs="Arial"/>
          <w:sz w:val="22"/>
        </w:rPr>
      </w:pPr>
      <w:r w:rsidRPr="002E5D4E">
        <w:rPr>
          <w:rFonts w:ascii="Arial" w:hAnsi="Arial" w:cs="Arial"/>
          <w:sz w:val="22"/>
        </w:rPr>
        <w:t>According to Shamsi et al</w:t>
      </w:r>
      <w:r w:rsidR="00BB444E">
        <w:rPr>
          <w:rFonts w:ascii="Arial" w:hAnsi="Arial" w:cs="Arial"/>
          <w:sz w:val="22"/>
        </w:rPr>
        <w:t>.</w:t>
      </w:r>
      <w:r w:rsidR="00661367">
        <w:rPr>
          <w:rFonts w:ascii="Arial" w:hAnsi="Arial" w:cs="Arial"/>
          <w:sz w:val="22"/>
        </w:rPr>
        <w:t>,</w:t>
      </w:r>
      <w:r w:rsidRPr="002E5D4E">
        <w:rPr>
          <w:rFonts w:ascii="Arial" w:hAnsi="Arial" w:cs="Arial"/>
          <w:sz w:val="22"/>
        </w:rPr>
        <w:t xml:space="preserve"> (2020), language barriers can significantly affect the quality of healthcare, reducing the patients' understanding when individuals are unable to </w:t>
      </w:r>
      <w:r w:rsidRPr="002E5D4E">
        <w:rPr>
          <w:rFonts w:ascii="Arial" w:hAnsi="Arial" w:cs="Arial"/>
          <w:sz w:val="22"/>
        </w:rPr>
        <w:lastRenderedPageBreak/>
        <w:t>communicate with the professionals. Medical advice and following treatment plans may become hindered because of these difficulties, resulting in poor treatment outcomes moving forward. Studies have shown that digital tools such as Google Translate and MediBabble in hospitals have increased patients' and professionals’ satisfaction in care, which have been used due to the increased costs of interpreters (Shamsi et al, 2020). Therefore, implementing other sources of translation alongside Mr Ahmed's wife’s interpretations would enhance his understanding of treatment, promote independence and improve overall patient satisfaction</w:t>
      </w:r>
    </w:p>
    <w:p w14:paraId="6CEDB19E" w14:textId="77777777" w:rsidR="002E5D4E" w:rsidRPr="002E5D4E" w:rsidRDefault="002E5D4E" w:rsidP="00C609FC">
      <w:pPr>
        <w:spacing w:line="360" w:lineRule="auto"/>
        <w:rPr>
          <w:rFonts w:ascii="Arial" w:hAnsi="Arial" w:cs="Arial"/>
          <w:sz w:val="22"/>
        </w:rPr>
      </w:pPr>
      <w:r w:rsidRPr="002E5D4E">
        <w:rPr>
          <w:rFonts w:ascii="Arial" w:hAnsi="Arial" w:cs="Arial"/>
          <w:sz w:val="22"/>
        </w:rPr>
        <w:t>The Shannon-Weaver model of communication further explains how the process can be understood; it concentrates on how information is transmitted between a sender and receiver and considers the impact of noise a disruption on the process. In health care settings it is important that the message is not only sent but also that it has been received by the service user to ensure clear understanding and compliance. In Mr Ahmed's case the language barriers act as noise, increasing the risk of miscommunication by preventing the message from being understood.</w:t>
      </w:r>
    </w:p>
    <w:p w14:paraId="425D6155" w14:textId="3580C810" w:rsidR="00676FEB" w:rsidRPr="00423D3E" w:rsidRDefault="002E5D4E" w:rsidP="00C609FC">
      <w:pPr>
        <w:spacing w:line="360" w:lineRule="auto"/>
        <w:rPr>
          <w:rFonts w:ascii="Arial" w:hAnsi="Arial" w:cs="Arial"/>
          <w:sz w:val="22"/>
        </w:rPr>
      </w:pPr>
      <w:r w:rsidRPr="002E5D4E">
        <w:rPr>
          <w:rFonts w:ascii="Arial" w:hAnsi="Arial" w:cs="Arial"/>
          <w:sz w:val="22"/>
        </w:rPr>
        <w:t>In addition, effective communication is supported by the Equality Act of 2010, which legally protects people from discrimination and advances equality of opportunity to ensure individuals are not disadvantaged. Providing further communication support for Mr Ahmed, such as interpreters or translation tools, would promote equality and allow him to fully understand the care being provided to him. Therefore, with his wife’s support and professional support alongside the aid of alternative translation methods, interpretations would be more appropriate in enhancing Mr Ahmed's treatment plans and promoting his independence.</w:t>
      </w:r>
    </w:p>
    <w:p w14:paraId="3456BC62" w14:textId="3AA9A525" w:rsidR="00962EF9" w:rsidRPr="00C609FC" w:rsidRDefault="00676FEB" w:rsidP="00C609FC">
      <w:pPr>
        <w:spacing w:after="0" w:line="360" w:lineRule="auto"/>
        <w:jc w:val="both"/>
        <w:rPr>
          <w:color w:val="4472C4" w:themeColor="accent1"/>
          <w:sz w:val="28"/>
          <w:szCs w:val="28"/>
        </w:rPr>
      </w:pPr>
      <w:r w:rsidRPr="002976D4">
        <w:rPr>
          <w:color w:val="4472C4" w:themeColor="accent1"/>
          <w:sz w:val="28"/>
          <w:szCs w:val="28"/>
        </w:rPr>
        <w:t xml:space="preserve">1.3 </w:t>
      </w:r>
      <w:r w:rsidR="00A82F21">
        <w:rPr>
          <w:color w:val="4472C4" w:themeColor="accent1"/>
          <w:sz w:val="28"/>
          <w:szCs w:val="28"/>
        </w:rPr>
        <w:t xml:space="preserve">Administrative skills </w:t>
      </w:r>
    </w:p>
    <w:p w14:paraId="68BED764" w14:textId="574F7E68" w:rsidR="00BE4EB3" w:rsidRPr="00BE4EB3" w:rsidRDefault="00BE4EB3" w:rsidP="00C609FC">
      <w:pPr>
        <w:spacing w:after="0" w:line="360" w:lineRule="auto"/>
        <w:jc w:val="both"/>
        <w:rPr>
          <w:rFonts w:ascii="Arial" w:hAnsi="Arial" w:cs="Arial"/>
          <w:sz w:val="22"/>
        </w:rPr>
      </w:pPr>
      <w:r w:rsidRPr="00BE4EB3">
        <w:rPr>
          <w:rFonts w:ascii="Arial" w:hAnsi="Arial" w:cs="Arial"/>
          <w:sz w:val="22"/>
        </w:rPr>
        <w:t>Administrative skills are essential within health and social care services; they include maintaining accurate record-keeping, appointments, medication-dispensing documentation and coordinating services between different professionals. These skills are vital in ensuring confidentiality, patient safety and efficiency in the care being provided. Digitalisation of data has become a standardised practice within health and social care providers. It enables the transfer of information between systems, allowing multiple professionals to access data, improving patients' care by having all necessary information available (Masoli,</w:t>
      </w:r>
      <w:r w:rsidR="00AF2AC1">
        <w:rPr>
          <w:rFonts w:ascii="Arial" w:hAnsi="Arial" w:cs="Arial"/>
          <w:sz w:val="22"/>
        </w:rPr>
        <w:t xml:space="preserve"> </w:t>
      </w:r>
      <w:r w:rsidRPr="00BE4EB3">
        <w:rPr>
          <w:rFonts w:ascii="Arial" w:hAnsi="Arial" w:cs="Arial"/>
          <w:sz w:val="22"/>
        </w:rPr>
        <w:t>2023). Electronic health care records improve accuracy in record keeping, allowing professionals to access and update data more efficiently with fewer errors being made as opposed to updating paper records.</w:t>
      </w:r>
      <w:r w:rsidR="00DF0DC0">
        <w:rPr>
          <w:rFonts w:ascii="Arial" w:hAnsi="Arial" w:cs="Arial"/>
          <w:sz w:val="22"/>
        </w:rPr>
        <w:t xml:space="preserve"> </w:t>
      </w:r>
      <w:r w:rsidR="009C610D">
        <w:rPr>
          <w:rFonts w:ascii="Arial" w:hAnsi="Arial" w:cs="Arial"/>
          <w:sz w:val="22"/>
        </w:rPr>
        <w:t xml:space="preserve">They also </w:t>
      </w:r>
      <w:r w:rsidR="008D23CA">
        <w:rPr>
          <w:rFonts w:ascii="Arial" w:hAnsi="Arial" w:cs="Arial"/>
          <w:sz w:val="22"/>
        </w:rPr>
        <w:t xml:space="preserve">improve communication between professionals by making data more accessible and reducing </w:t>
      </w:r>
      <w:r w:rsidR="0047536E">
        <w:rPr>
          <w:rFonts w:ascii="Arial" w:hAnsi="Arial" w:cs="Arial"/>
          <w:sz w:val="22"/>
        </w:rPr>
        <w:t>the risk of duplication.</w:t>
      </w:r>
    </w:p>
    <w:p w14:paraId="7C5A029F" w14:textId="77777777" w:rsidR="00BE4EB3" w:rsidRPr="00BE4EB3" w:rsidRDefault="00BE4EB3" w:rsidP="00C609FC">
      <w:pPr>
        <w:spacing w:after="0" w:line="360" w:lineRule="auto"/>
        <w:jc w:val="both"/>
        <w:rPr>
          <w:rFonts w:ascii="Arial" w:hAnsi="Arial" w:cs="Arial"/>
          <w:sz w:val="22"/>
        </w:rPr>
      </w:pPr>
      <w:r w:rsidRPr="00BE4EB3">
        <w:rPr>
          <w:rFonts w:ascii="Arial" w:hAnsi="Arial" w:cs="Arial"/>
          <w:sz w:val="22"/>
        </w:rPr>
        <w:lastRenderedPageBreak/>
        <w:t>Mr Ahmed receives care from a multidisciplinary team which includes his general practitioner (GP), a district nurse and a speech and language therapist. As a result of multiple service providers being involved in his care, administrative skills are extremely important in ensuring accurate record-keeping. Correct documentation is required following the monitoring of his blood pressure, medication administration, support provided during the domiciliary care visits and updates on his progress with speech and language therapy.</w:t>
      </w:r>
    </w:p>
    <w:p w14:paraId="24239229" w14:textId="77777777" w:rsidR="00BE4EB3" w:rsidRPr="00BE4EB3" w:rsidRDefault="00BE4EB3" w:rsidP="00C609FC">
      <w:pPr>
        <w:spacing w:after="0" w:line="360" w:lineRule="auto"/>
        <w:jc w:val="both"/>
        <w:rPr>
          <w:rFonts w:ascii="Arial" w:hAnsi="Arial" w:cs="Arial"/>
          <w:sz w:val="22"/>
        </w:rPr>
      </w:pPr>
    </w:p>
    <w:p w14:paraId="03AB073D" w14:textId="093F39B4" w:rsidR="00BE4EB3" w:rsidRPr="00BE4EB3" w:rsidRDefault="00BE4EB3" w:rsidP="00C609FC">
      <w:pPr>
        <w:spacing w:after="0" w:line="360" w:lineRule="auto"/>
        <w:jc w:val="both"/>
        <w:rPr>
          <w:rFonts w:ascii="Arial" w:hAnsi="Arial" w:cs="Arial"/>
          <w:sz w:val="22"/>
        </w:rPr>
      </w:pPr>
      <w:r w:rsidRPr="00BE4EB3">
        <w:rPr>
          <w:rFonts w:ascii="Arial" w:hAnsi="Arial" w:cs="Arial"/>
          <w:sz w:val="22"/>
        </w:rPr>
        <w:t xml:space="preserve">Unfortunately, the case study does mention a concern regarding a missed care visit by the care agency resulting in Mr Ahmed not receiving his medication on time (pending investigation). This suggests poor administrative skills between the care providers, such as poor record-keeping or lack of communication, </w:t>
      </w:r>
      <w:r w:rsidR="00630F13">
        <w:rPr>
          <w:rFonts w:ascii="Arial" w:hAnsi="Arial" w:cs="Arial"/>
          <w:sz w:val="22"/>
        </w:rPr>
        <w:t>leading to failure</w:t>
      </w:r>
      <w:r w:rsidRPr="00BE4EB3">
        <w:rPr>
          <w:rFonts w:ascii="Arial" w:hAnsi="Arial" w:cs="Arial"/>
          <w:sz w:val="22"/>
        </w:rPr>
        <w:t xml:space="preserve"> to provide </w:t>
      </w:r>
      <w:r w:rsidR="00C5182D">
        <w:rPr>
          <w:rFonts w:ascii="Arial" w:hAnsi="Arial" w:cs="Arial"/>
          <w:sz w:val="22"/>
        </w:rPr>
        <w:t>appropriate care</w:t>
      </w:r>
      <w:r w:rsidRPr="00BE4EB3">
        <w:rPr>
          <w:rFonts w:ascii="Arial" w:hAnsi="Arial" w:cs="Arial"/>
          <w:sz w:val="22"/>
        </w:rPr>
        <w:t xml:space="preserve">. Limited resources or knowledge of manual processes can create inconsistencies in data being collected, leading to interference with record-keeping, resulting in </w:t>
      </w:r>
      <w:r w:rsidR="007071BE">
        <w:rPr>
          <w:rFonts w:ascii="Arial" w:hAnsi="Arial" w:cs="Arial"/>
          <w:sz w:val="22"/>
        </w:rPr>
        <w:t>increased risk of errors</w:t>
      </w:r>
      <w:r w:rsidRPr="00BE4EB3">
        <w:rPr>
          <w:rFonts w:ascii="Arial" w:hAnsi="Arial" w:cs="Arial"/>
          <w:sz w:val="22"/>
        </w:rPr>
        <w:t xml:space="preserve"> (Lugg-Widger</w:t>
      </w:r>
      <w:r w:rsidR="00E52B8F">
        <w:rPr>
          <w:rFonts w:ascii="Arial" w:hAnsi="Arial" w:cs="Arial"/>
          <w:sz w:val="22"/>
        </w:rPr>
        <w:t>,</w:t>
      </w:r>
      <w:r w:rsidRPr="00BE4EB3">
        <w:rPr>
          <w:rFonts w:ascii="Arial" w:hAnsi="Arial" w:cs="Arial"/>
          <w:sz w:val="22"/>
        </w:rPr>
        <w:t xml:space="preserve"> 2024).</w:t>
      </w:r>
      <w:r w:rsidR="00D46007">
        <w:rPr>
          <w:rFonts w:ascii="Arial" w:hAnsi="Arial" w:cs="Arial"/>
          <w:sz w:val="22"/>
        </w:rPr>
        <w:t xml:space="preserve"> </w:t>
      </w:r>
      <w:r w:rsidR="003E26DE">
        <w:rPr>
          <w:rFonts w:ascii="Arial" w:hAnsi="Arial" w:cs="Arial"/>
          <w:sz w:val="22"/>
        </w:rPr>
        <w:t xml:space="preserve">Furthermore, this poses safeguarding concerns </w:t>
      </w:r>
      <w:r w:rsidR="00371A14">
        <w:rPr>
          <w:rFonts w:ascii="Arial" w:hAnsi="Arial" w:cs="Arial"/>
          <w:sz w:val="22"/>
        </w:rPr>
        <w:t>by risking Mr. Ahmed</w:t>
      </w:r>
      <w:r w:rsidR="00F75B7F">
        <w:rPr>
          <w:rFonts w:ascii="Arial" w:hAnsi="Arial" w:cs="Arial"/>
          <w:sz w:val="22"/>
        </w:rPr>
        <w:t>’s</w:t>
      </w:r>
      <w:r w:rsidR="00371A14">
        <w:rPr>
          <w:rFonts w:ascii="Arial" w:hAnsi="Arial" w:cs="Arial"/>
          <w:sz w:val="22"/>
        </w:rPr>
        <w:t xml:space="preserve"> health and safety as well as </w:t>
      </w:r>
      <w:r w:rsidR="003F16D3">
        <w:rPr>
          <w:rFonts w:ascii="Arial" w:hAnsi="Arial" w:cs="Arial"/>
          <w:sz w:val="22"/>
        </w:rPr>
        <w:t>the trust that was initially built being lost.</w:t>
      </w:r>
    </w:p>
    <w:p w14:paraId="5341688E" w14:textId="77777777" w:rsidR="00BE4EB3" w:rsidRPr="00BE4EB3" w:rsidRDefault="00BE4EB3" w:rsidP="00C609FC">
      <w:pPr>
        <w:spacing w:after="0" w:line="360" w:lineRule="auto"/>
        <w:jc w:val="both"/>
        <w:rPr>
          <w:rFonts w:ascii="Arial" w:hAnsi="Arial" w:cs="Arial"/>
          <w:sz w:val="22"/>
        </w:rPr>
      </w:pPr>
    </w:p>
    <w:p w14:paraId="0F54EEAC" w14:textId="77777777" w:rsidR="00BE4EB3" w:rsidRPr="00BE4EB3" w:rsidRDefault="00BE4EB3" w:rsidP="00C609FC">
      <w:pPr>
        <w:spacing w:after="0" w:line="360" w:lineRule="auto"/>
        <w:jc w:val="both"/>
        <w:rPr>
          <w:rFonts w:ascii="Arial" w:hAnsi="Arial" w:cs="Arial"/>
          <w:sz w:val="22"/>
        </w:rPr>
      </w:pPr>
      <w:r w:rsidRPr="00BE4EB3">
        <w:rPr>
          <w:rFonts w:ascii="Arial" w:hAnsi="Arial" w:cs="Arial"/>
          <w:sz w:val="22"/>
        </w:rPr>
        <w:t xml:space="preserve">The Data Protection Act 2018 ensures the general data protection regime (GDPR) is applied when handling personal data. Any data provided on service users is to be handled with confidentiality and only shared between authorised care providers. It gives the individual the right to access their own personal data and make sure it is processed accordingly and lawfully. Mr Ahmed has medical records consisting of his personal information and care details; the Data Protection Act 2018 protects everything that is stored, maintaining his privacy. </w:t>
      </w:r>
    </w:p>
    <w:p w14:paraId="48550337" w14:textId="77777777" w:rsidR="00BE4EB3" w:rsidRPr="00BE4EB3" w:rsidRDefault="00BE4EB3" w:rsidP="00C609FC">
      <w:pPr>
        <w:spacing w:after="0" w:line="360" w:lineRule="auto"/>
        <w:jc w:val="both"/>
        <w:rPr>
          <w:rFonts w:ascii="Arial" w:hAnsi="Arial" w:cs="Arial"/>
          <w:sz w:val="22"/>
        </w:rPr>
      </w:pPr>
    </w:p>
    <w:p w14:paraId="7338813D" w14:textId="4C4ED42A" w:rsidR="00C85A7C" w:rsidRPr="00C440C0" w:rsidRDefault="00BE4EB3" w:rsidP="00C609FC">
      <w:pPr>
        <w:spacing w:after="0" w:line="360" w:lineRule="auto"/>
        <w:jc w:val="both"/>
        <w:rPr>
          <w:rFonts w:ascii="Arial" w:hAnsi="Arial" w:cs="Arial"/>
          <w:sz w:val="22"/>
        </w:rPr>
      </w:pPr>
      <w:r w:rsidRPr="00BE4EB3">
        <w:rPr>
          <w:rFonts w:ascii="Arial" w:hAnsi="Arial" w:cs="Arial"/>
          <w:sz w:val="22"/>
        </w:rPr>
        <w:t xml:space="preserve">Overall, good administrative skills within professional practices are </w:t>
      </w:r>
      <w:r w:rsidR="00BB7269">
        <w:rPr>
          <w:rFonts w:ascii="Arial" w:hAnsi="Arial" w:cs="Arial"/>
          <w:sz w:val="22"/>
        </w:rPr>
        <w:t>essential</w:t>
      </w:r>
      <w:r w:rsidRPr="00BE4EB3">
        <w:rPr>
          <w:rFonts w:ascii="Arial" w:hAnsi="Arial" w:cs="Arial"/>
          <w:sz w:val="22"/>
        </w:rPr>
        <w:t xml:space="preserve"> in accurate record keeping and maintaining professional standards while delivering quality care. Regarding Mr Ahmed's case, strong administrative skills are essential to prevent missed appointments from the care providers as well as not missing any medication that needs to be dispensed to him.</w:t>
      </w:r>
    </w:p>
    <w:p w14:paraId="79BDF766" w14:textId="5E0BB2BD" w:rsidR="00B85C58" w:rsidRPr="00C609FC" w:rsidRDefault="00AA77C8" w:rsidP="00C609FC">
      <w:pPr>
        <w:pStyle w:val="Heading2"/>
        <w:spacing w:line="360" w:lineRule="auto"/>
        <w:rPr>
          <w:color w:val="4472C4" w:themeColor="accent1"/>
          <w:szCs w:val="24"/>
        </w:rPr>
      </w:pPr>
      <w:bookmarkStart w:id="6" w:name="_Toc210644596"/>
      <w:bookmarkStart w:id="7" w:name="_Toc225428068"/>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bookmarkEnd w:id="6"/>
      <w:r w:rsidR="00C440C0">
        <w:rPr>
          <w:color w:val="4472C4" w:themeColor="accent1"/>
          <w:szCs w:val="24"/>
        </w:rPr>
        <w:t>Col</w:t>
      </w:r>
      <w:r w:rsidR="001D4A0A">
        <w:rPr>
          <w:color w:val="4472C4" w:themeColor="accent1"/>
          <w:szCs w:val="24"/>
        </w:rPr>
        <w:t>laborative work</w:t>
      </w:r>
      <w:bookmarkEnd w:id="7"/>
    </w:p>
    <w:p w14:paraId="4E0FC84F" w14:textId="4DC3F863" w:rsidR="00B85C58" w:rsidRPr="00B85C58" w:rsidRDefault="00B85C58" w:rsidP="00C609FC">
      <w:pPr>
        <w:tabs>
          <w:tab w:val="left" w:pos="2277"/>
        </w:tabs>
        <w:spacing w:after="0" w:line="360" w:lineRule="auto"/>
        <w:rPr>
          <w:rFonts w:ascii="Arial" w:hAnsi="Arial" w:cs="Arial"/>
          <w:sz w:val="22"/>
        </w:rPr>
      </w:pPr>
      <w:r w:rsidRPr="00B85C58">
        <w:rPr>
          <w:rFonts w:ascii="Arial" w:hAnsi="Arial" w:cs="Arial"/>
          <w:sz w:val="22"/>
        </w:rPr>
        <w:t>Following the discussion regarding Mr Ahmed's care from the multidisciplinary team, which involves a domiciliary care agency, his GP, a district nurse and a speech and language therapist, studies have shown that person-centred care (PPC) is more than just a set of techniques, skills and procedures being followed. It is a personal way of connecting with the patient whilst partnering with relevant professionals Jobe</w:t>
      </w:r>
      <w:r w:rsidR="004F17BC">
        <w:rPr>
          <w:rFonts w:ascii="Arial" w:hAnsi="Arial" w:cs="Arial"/>
          <w:sz w:val="22"/>
        </w:rPr>
        <w:t>,</w:t>
      </w:r>
      <w:r w:rsidRPr="00B85C58">
        <w:rPr>
          <w:rFonts w:ascii="Arial" w:hAnsi="Arial" w:cs="Arial"/>
          <w:sz w:val="22"/>
        </w:rPr>
        <w:t xml:space="preserve"> I</w:t>
      </w:r>
      <w:r w:rsidR="004F17BC">
        <w:rPr>
          <w:rFonts w:ascii="Arial" w:hAnsi="Arial" w:cs="Arial"/>
          <w:sz w:val="22"/>
        </w:rPr>
        <w:t>.</w:t>
      </w:r>
      <w:r w:rsidRPr="00B85C58">
        <w:rPr>
          <w:rFonts w:ascii="Arial" w:hAnsi="Arial" w:cs="Arial"/>
          <w:sz w:val="22"/>
        </w:rPr>
        <w:t xml:space="preserve"> et al. </w:t>
      </w:r>
      <w:r w:rsidR="004F17BC">
        <w:rPr>
          <w:rFonts w:ascii="Arial" w:hAnsi="Arial" w:cs="Arial"/>
          <w:sz w:val="22"/>
        </w:rPr>
        <w:t>(</w:t>
      </w:r>
      <w:r w:rsidRPr="00B85C58">
        <w:rPr>
          <w:rFonts w:ascii="Arial" w:hAnsi="Arial" w:cs="Arial"/>
          <w:sz w:val="22"/>
        </w:rPr>
        <w:t xml:space="preserve">2020). Correct documentation of medication administration ensures everyone on the healthcare team is on </w:t>
      </w:r>
      <w:r w:rsidRPr="00B85C58">
        <w:rPr>
          <w:rFonts w:ascii="Arial" w:hAnsi="Arial" w:cs="Arial"/>
          <w:sz w:val="22"/>
        </w:rPr>
        <w:lastRenderedPageBreak/>
        <w:t>the same page and prevents errors, which shows that the team can work together effectively.</w:t>
      </w:r>
    </w:p>
    <w:p w14:paraId="4E844BE0" w14:textId="77777777" w:rsidR="00B85C58" w:rsidRPr="00B85C58" w:rsidRDefault="00B85C58" w:rsidP="00C609FC">
      <w:pPr>
        <w:tabs>
          <w:tab w:val="left" w:pos="2277"/>
        </w:tabs>
        <w:spacing w:after="0" w:line="360" w:lineRule="auto"/>
        <w:rPr>
          <w:rFonts w:ascii="Arial" w:hAnsi="Arial" w:cs="Arial"/>
          <w:sz w:val="22"/>
        </w:rPr>
      </w:pPr>
    </w:p>
    <w:p w14:paraId="445FADA9" w14:textId="77777777" w:rsidR="00B85C58" w:rsidRPr="00B85C58" w:rsidRDefault="00B85C58" w:rsidP="00C609FC">
      <w:pPr>
        <w:tabs>
          <w:tab w:val="left" w:pos="2277"/>
        </w:tabs>
        <w:spacing w:after="0" w:line="360" w:lineRule="auto"/>
        <w:rPr>
          <w:rFonts w:ascii="Arial" w:hAnsi="Arial" w:cs="Arial"/>
          <w:sz w:val="22"/>
        </w:rPr>
      </w:pPr>
      <w:r w:rsidRPr="00B85C58">
        <w:rPr>
          <w:rFonts w:ascii="Arial" w:hAnsi="Arial" w:cs="Arial"/>
          <w:sz w:val="22"/>
        </w:rPr>
        <w:t>Furthermore, collaborative work involves different aspects of navigation, including shared decision-making, effective communication and mutual understanding between healthcare professionals. Each professional involved in Mr Ahmed's care contributes specific approaches to foster effective collaboration. For example, the district nurse who visits twice weekly to monitor his blood pressure and wound care may identify improvements in the wound healing, which should be correctly recorded, allowing the information to be shared between various health care professionals. This builds strong professional relationships, ensuring efficiency and team collaboration, and is important in maintaining well-coordinated support that meets all aspects of his care, including medical treatment and rehabilitation following the stroke.</w:t>
      </w:r>
    </w:p>
    <w:p w14:paraId="25960BB5" w14:textId="77777777" w:rsidR="00B85C58" w:rsidRPr="00B85C58" w:rsidRDefault="00B85C58" w:rsidP="00C609FC">
      <w:pPr>
        <w:tabs>
          <w:tab w:val="left" w:pos="2277"/>
        </w:tabs>
        <w:spacing w:after="0" w:line="360" w:lineRule="auto"/>
        <w:rPr>
          <w:rFonts w:ascii="Arial" w:hAnsi="Arial" w:cs="Arial"/>
          <w:sz w:val="22"/>
        </w:rPr>
      </w:pPr>
    </w:p>
    <w:p w14:paraId="084BD408" w14:textId="77777777" w:rsidR="00B85C58" w:rsidRPr="00B85C58" w:rsidRDefault="00B85C58" w:rsidP="00C609FC">
      <w:pPr>
        <w:tabs>
          <w:tab w:val="left" w:pos="2277"/>
        </w:tabs>
        <w:spacing w:after="0" w:line="360" w:lineRule="auto"/>
        <w:rPr>
          <w:rFonts w:ascii="Arial" w:hAnsi="Arial" w:cs="Arial"/>
          <w:sz w:val="22"/>
        </w:rPr>
      </w:pPr>
      <w:r w:rsidRPr="00B85C58">
        <w:rPr>
          <w:rFonts w:ascii="Arial" w:hAnsi="Arial" w:cs="Arial"/>
          <w:sz w:val="22"/>
        </w:rPr>
        <w:t>However, regarding Mr Ahmed’s case, a challenge has been identified following the missed care visit by the care agency, which resulted in delayed medication; this may indicate that collaborative work has not been met between the professionals. Studies have shown that across health and social care there has been a limited improvement in their ability to collaborate, where often exclusion from strategic discussions has been a setback in certain professional fields (Miller, Glasby and Dickinson 2021). This demonstrates that clear communication and regular discussions are essential when working collaboratively.</w:t>
      </w:r>
    </w:p>
    <w:p w14:paraId="6011F000" w14:textId="77777777" w:rsidR="00B85C58" w:rsidRPr="00B85C58" w:rsidRDefault="00B85C58" w:rsidP="00C609FC">
      <w:pPr>
        <w:tabs>
          <w:tab w:val="left" w:pos="2277"/>
        </w:tabs>
        <w:spacing w:after="0" w:line="360" w:lineRule="auto"/>
        <w:rPr>
          <w:rFonts w:ascii="Arial" w:hAnsi="Arial" w:cs="Arial"/>
          <w:sz w:val="22"/>
        </w:rPr>
      </w:pPr>
    </w:p>
    <w:p w14:paraId="0455CF0F" w14:textId="2B311993" w:rsidR="002857B3" w:rsidRDefault="00B85C58" w:rsidP="00C609FC">
      <w:pPr>
        <w:tabs>
          <w:tab w:val="left" w:pos="2277"/>
        </w:tabs>
        <w:spacing w:after="0" w:line="360" w:lineRule="auto"/>
        <w:rPr>
          <w:rFonts w:ascii="Arial" w:hAnsi="Arial" w:cs="Arial"/>
          <w:sz w:val="22"/>
        </w:rPr>
      </w:pPr>
      <w:r w:rsidRPr="00B85C58">
        <w:rPr>
          <w:rFonts w:ascii="Arial" w:hAnsi="Arial" w:cs="Arial"/>
          <w:sz w:val="22"/>
        </w:rPr>
        <w:t>To ensure Mr Ahmed receives well-coordinated care, it is important to improve collaborative work between the professionals involved in his care. Improvements such as in-person and online discussions using tools such as Microsoft Teams will be beneficial in ensuring all details regarding his care during a visit have been passed on to the next carer, resulting in better decision-making and avoiding errors such as missed appointments.</w:t>
      </w:r>
      <w:r w:rsidR="000767FC">
        <w:rPr>
          <w:rFonts w:ascii="Arial" w:hAnsi="Arial" w:cs="Arial"/>
          <w:sz w:val="22"/>
        </w:rPr>
        <w:tab/>
      </w:r>
    </w:p>
    <w:p w14:paraId="6838DF9A" w14:textId="77777777" w:rsidR="003A1BAD" w:rsidRPr="00F707DD" w:rsidRDefault="003A1BAD" w:rsidP="00C609FC">
      <w:pPr>
        <w:spacing w:after="0" w:line="360" w:lineRule="auto"/>
        <w:rPr>
          <w:rFonts w:ascii="Arial" w:hAnsi="Arial" w:cs="Arial"/>
          <w:sz w:val="22"/>
        </w:rPr>
      </w:pPr>
    </w:p>
    <w:p w14:paraId="1D87CE52" w14:textId="77777777" w:rsidR="0030034F" w:rsidRPr="00242974" w:rsidRDefault="0030034F" w:rsidP="00C609FC">
      <w:pPr>
        <w:spacing w:after="0" w:line="360" w:lineRule="auto"/>
        <w:rPr>
          <w:sz w:val="21"/>
          <w:szCs w:val="21"/>
        </w:rPr>
      </w:pPr>
    </w:p>
    <w:p w14:paraId="1497148C" w14:textId="6FE2C4CD" w:rsidR="00A946CB" w:rsidRPr="002976D4" w:rsidRDefault="00AA77C8" w:rsidP="00C609FC">
      <w:pPr>
        <w:pStyle w:val="Heading2"/>
        <w:spacing w:line="360" w:lineRule="auto"/>
        <w:rPr>
          <w:color w:val="4472C4" w:themeColor="accent1"/>
          <w:szCs w:val="24"/>
        </w:rPr>
      </w:pPr>
      <w:bookmarkStart w:id="8" w:name="_Toc210644597"/>
      <w:bookmarkStart w:id="9" w:name="_Toc225428069"/>
      <w:r w:rsidRPr="002976D4">
        <w:rPr>
          <w:color w:val="4472C4" w:themeColor="accent1"/>
          <w:szCs w:val="24"/>
        </w:rPr>
        <w:t>1</w:t>
      </w:r>
      <w:r w:rsidR="00A946CB" w:rsidRPr="002976D4">
        <w:rPr>
          <w:color w:val="4472C4" w:themeColor="accent1"/>
          <w:szCs w:val="24"/>
        </w:rPr>
        <w:t>.4 Conclusion</w:t>
      </w:r>
      <w:bookmarkEnd w:id="8"/>
      <w:bookmarkEnd w:id="9"/>
    </w:p>
    <w:p w14:paraId="131B6388" w14:textId="77777777" w:rsidR="00B07044" w:rsidRPr="00C609FC" w:rsidRDefault="00C92F12" w:rsidP="00C609FC">
      <w:pPr>
        <w:spacing w:line="360" w:lineRule="auto"/>
        <w:rPr>
          <w:rFonts w:ascii="Arial" w:hAnsi="Arial" w:cs="Arial"/>
          <w:sz w:val="22"/>
        </w:rPr>
      </w:pPr>
      <w:r w:rsidRPr="00C609FC">
        <w:rPr>
          <w:rFonts w:ascii="Arial" w:hAnsi="Arial" w:cs="Arial"/>
          <w:sz w:val="22"/>
        </w:rPr>
        <w:t xml:space="preserve">In conclusion, effective communication, good administrative skills and collaborative work are essential in providing quality health and social care. They ensure that the care being provided is consistent with the Equality Act 2010, which ensures that individuals receive equal access to services without discrimination as well as ensuring that the care provided is safe, well monitored and coordinated, meeting all the service users' needs. </w:t>
      </w:r>
    </w:p>
    <w:p w14:paraId="2B0C7450" w14:textId="4022D392" w:rsidR="0030034F" w:rsidRPr="00C609FC" w:rsidRDefault="00C92F12" w:rsidP="00C609FC">
      <w:pPr>
        <w:spacing w:line="360" w:lineRule="auto"/>
        <w:rPr>
          <w:rFonts w:ascii="Arial" w:hAnsi="Arial" w:cs="Arial"/>
          <w:sz w:val="22"/>
        </w:rPr>
      </w:pPr>
      <w:r w:rsidRPr="00C609FC">
        <w:rPr>
          <w:rFonts w:ascii="Arial" w:hAnsi="Arial" w:cs="Arial"/>
          <w:sz w:val="22"/>
        </w:rPr>
        <w:lastRenderedPageBreak/>
        <w:t>Additionally, the Shannon-Weaver model of communication demonstrates how language barriers in Mr Ahmed's case can affect the communication process; introducing additional digital tools such as Google Translate or MediBabble can enhance the entire communication process, which will lead to greater patient satisfaction. Overall, all these aspects work together to deliver high-quality, person-centred care (PPC) that promotes Mr Ahmed's wellbeing and independence.</w:t>
      </w:r>
    </w:p>
    <w:p w14:paraId="28E95531" w14:textId="77777777" w:rsidR="0030034F" w:rsidRPr="00242974" w:rsidRDefault="0030034F" w:rsidP="00364C35"/>
    <w:p w14:paraId="6C4B494D" w14:textId="763B24A0" w:rsidR="00226D31" w:rsidRPr="002976D4" w:rsidRDefault="00AA77C8" w:rsidP="00226D31">
      <w:pPr>
        <w:pStyle w:val="Heading2"/>
        <w:rPr>
          <w:color w:val="4472C4" w:themeColor="accent1"/>
          <w:szCs w:val="24"/>
        </w:rPr>
      </w:pPr>
      <w:bookmarkStart w:id="10" w:name="_Toc210644598"/>
      <w:bookmarkStart w:id="11" w:name="_Toc225428070"/>
      <w:r w:rsidRPr="002976D4">
        <w:rPr>
          <w:color w:val="4472C4" w:themeColor="accent1"/>
          <w:szCs w:val="24"/>
        </w:rPr>
        <w:t>1</w:t>
      </w:r>
      <w:r w:rsidR="00226D31" w:rsidRPr="002976D4">
        <w:rPr>
          <w:color w:val="4472C4" w:themeColor="accent1"/>
          <w:szCs w:val="24"/>
        </w:rPr>
        <w:t>.5 Reference List</w:t>
      </w:r>
      <w:bookmarkEnd w:id="10"/>
      <w:bookmarkEnd w:id="11"/>
    </w:p>
    <w:p w14:paraId="27464C58" w14:textId="7ED94BA9" w:rsidR="001D4A0A" w:rsidRDefault="001D4A0A" w:rsidP="001D4A0A">
      <w:pPr>
        <w:rPr>
          <w:rFonts w:ascii="Arial" w:hAnsi="Arial" w:cs="Arial"/>
          <w:color w:val="333333"/>
          <w:sz w:val="22"/>
          <w:shd w:val="clear" w:color="auto" w:fill="FBFBFB"/>
        </w:rPr>
      </w:pPr>
      <w:r w:rsidRPr="001D4A0A">
        <w:rPr>
          <w:rFonts w:ascii="Arial" w:hAnsi="Arial" w:cs="Arial"/>
          <w:color w:val="333333"/>
          <w:sz w:val="22"/>
          <w:shd w:val="clear" w:color="auto" w:fill="FBFBFB"/>
        </w:rPr>
        <w:t>Entwistle, V., Carter, S., Cribb, A.</w:t>
      </w:r>
      <w:r w:rsidR="00EE4A1E">
        <w:rPr>
          <w:rFonts w:ascii="Arial" w:hAnsi="Arial" w:cs="Arial"/>
          <w:color w:val="333333"/>
          <w:sz w:val="22"/>
          <w:shd w:val="clear" w:color="auto" w:fill="FBFBFB"/>
        </w:rPr>
        <w:t xml:space="preserve"> and</w:t>
      </w:r>
      <w:r w:rsidRPr="001D4A0A">
        <w:rPr>
          <w:rFonts w:ascii="Arial" w:hAnsi="Arial" w:cs="Arial"/>
          <w:color w:val="333333"/>
          <w:sz w:val="22"/>
          <w:shd w:val="clear" w:color="auto" w:fill="FBFBFB"/>
        </w:rPr>
        <w:t xml:space="preserve"> McCaffery, K. (2010) ‘</w:t>
      </w:r>
      <w:r w:rsidRPr="001D4A0A">
        <w:rPr>
          <w:rFonts w:ascii="Arial" w:hAnsi="Arial" w:cs="Arial"/>
          <w:i/>
          <w:iCs/>
          <w:color w:val="333333"/>
          <w:sz w:val="22"/>
          <w:shd w:val="clear" w:color="auto" w:fill="FBFBFB"/>
        </w:rPr>
        <w:t>Supporting Patient Autonomy: The Importance of Clinician-patient Relationships'</w:t>
      </w:r>
      <w:r w:rsidRPr="001D4A0A">
        <w:rPr>
          <w:rFonts w:ascii="Arial" w:hAnsi="Arial" w:cs="Arial"/>
          <w:color w:val="333333"/>
          <w:sz w:val="22"/>
          <w:shd w:val="clear" w:color="auto" w:fill="FBFBFB"/>
        </w:rPr>
        <w:t>, Journal of General Internal Medicine, 25(7), pp. 741-745.</w:t>
      </w:r>
    </w:p>
    <w:p w14:paraId="3AEF304B" w14:textId="5BDF7988" w:rsidR="001D4A0A" w:rsidRPr="001D4A0A" w:rsidRDefault="001D4A0A" w:rsidP="001D4A0A">
      <w:pPr>
        <w:rPr>
          <w:rFonts w:ascii="Arial" w:hAnsi="Arial" w:cs="Arial"/>
          <w:color w:val="333333"/>
          <w:sz w:val="22"/>
          <w:shd w:val="clear" w:color="auto" w:fill="FBFBFB"/>
        </w:rPr>
      </w:pPr>
      <w:r w:rsidRPr="001D4A0A">
        <w:rPr>
          <w:rFonts w:ascii="Arial" w:hAnsi="Arial" w:cs="Arial"/>
          <w:color w:val="333333"/>
          <w:sz w:val="22"/>
          <w:shd w:val="clear" w:color="auto" w:fill="FBFBFB"/>
        </w:rPr>
        <w:t xml:space="preserve">Goby, J. (2025) </w:t>
      </w:r>
      <w:r w:rsidRPr="001D4A0A">
        <w:rPr>
          <w:rFonts w:ascii="Arial" w:hAnsi="Arial" w:cs="Arial"/>
          <w:i/>
          <w:iCs/>
          <w:color w:val="333333"/>
          <w:sz w:val="22"/>
          <w:shd w:val="clear" w:color="auto" w:fill="FBFBFB"/>
        </w:rPr>
        <w:t>The Shannon and Weaver Model of Communication at Work</w:t>
      </w:r>
      <w:r w:rsidRPr="001D4A0A">
        <w:rPr>
          <w:rFonts w:ascii="Arial" w:hAnsi="Arial" w:cs="Arial"/>
          <w:color w:val="333333"/>
          <w:sz w:val="22"/>
          <w:shd w:val="clear" w:color="auto" w:fill="FBFBFB"/>
        </w:rPr>
        <w:t>. Available at: </w:t>
      </w:r>
      <w:hyperlink r:id="rId9" w:history="1">
        <w:r w:rsidRPr="001D4A0A">
          <w:rPr>
            <w:rStyle w:val="Hyperlink"/>
            <w:rFonts w:ascii="Arial" w:hAnsi="Arial" w:cs="Arial"/>
            <w:sz w:val="22"/>
            <w:shd w:val="clear" w:color="auto" w:fill="FBFBFB"/>
          </w:rPr>
          <w:t>Shannon and Weaver Model of Communication - 2025 Updated</w:t>
        </w:r>
      </w:hyperlink>
      <w:r w:rsidRPr="001D4A0A">
        <w:rPr>
          <w:rFonts w:ascii="Arial" w:hAnsi="Arial" w:cs="Arial"/>
          <w:color w:val="333333"/>
          <w:sz w:val="22"/>
          <w:shd w:val="clear" w:color="auto" w:fill="FBFBFB"/>
        </w:rPr>
        <w:t> (Accessed: 5/3/2026).</w:t>
      </w:r>
    </w:p>
    <w:p w14:paraId="3D3B855E" w14:textId="77D8FBB4" w:rsidR="001D4A0A" w:rsidRDefault="000E7EB4" w:rsidP="005E44B5">
      <w:pPr>
        <w:rPr>
          <w:rFonts w:ascii="Arial" w:hAnsi="Arial" w:cs="Arial"/>
          <w:color w:val="333333"/>
          <w:sz w:val="22"/>
          <w:shd w:val="clear" w:color="auto" w:fill="FBFBFB"/>
        </w:rPr>
      </w:pPr>
      <w:r>
        <w:rPr>
          <w:rFonts w:ascii="Arial" w:hAnsi="Arial" w:cs="Arial"/>
          <w:color w:val="333333"/>
          <w:sz w:val="22"/>
          <w:shd w:val="clear" w:color="auto" w:fill="FBFBFB"/>
        </w:rPr>
        <w:t>UK Government</w:t>
      </w:r>
      <w:r w:rsidR="001D4A0A" w:rsidRPr="001D4A0A">
        <w:rPr>
          <w:rFonts w:ascii="Arial" w:hAnsi="Arial" w:cs="Arial"/>
          <w:color w:val="333333"/>
          <w:sz w:val="22"/>
          <w:shd w:val="clear" w:color="auto" w:fill="FBFBFB"/>
        </w:rPr>
        <w:t xml:space="preserve"> (2015) </w:t>
      </w:r>
      <w:r w:rsidR="001D4A0A" w:rsidRPr="001D4A0A">
        <w:rPr>
          <w:rFonts w:ascii="Arial" w:hAnsi="Arial" w:cs="Arial"/>
          <w:i/>
          <w:iCs/>
          <w:color w:val="333333"/>
          <w:sz w:val="22"/>
          <w:shd w:val="clear" w:color="auto" w:fill="FBFBFB"/>
        </w:rPr>
        <w:t>Equality Act 2010: guidance</w:t>
      </w:r>
      <w:r w:rsidR="001D4A0A" w:rsidRPr="001D4A0A">
        <w:rPr>
          <w:rFonts w:ascii="Arial" w:hAnsi="Arial" w:cs="Arial"/>
          <w:color w:val="333333"/>
          <w:sz w:val="22"/>
          <w:shd w:val="clear" w:color="auto" w:fill="FBFBFB"/>
        </w:rPr>
        <w:t>. Available at: Equality (Accessed: 8/3/2026).</w:t>
      </w:r>
    </w:p>
    <w:p w14:paraId="263B6EF4" w14:textId="2E34BFD7" w:rsidR="000F4CA1" w:rsidRPr="000F4CA1" w:rsidRDefault="000F4CA1" w:rsidP="005E44B5">
      <w:pPr>
        <w:rPr>
          <w:rFonts w:ascii="Arial" w:hAnsi="Arial" w:cs="Arial"/>
          <w:color w:val="333333"/>
          <w:sz w:val="22"/>
          <w:shd w:val="clear" w:color="auto" w:fill="FBFBFB"/>
        </w:rPr>
      </w:pPr>
      <w:r w:rsidRPr="000F4CA1">
        <w:rPr>
          <w:rFonts w:ascii="Arial" w:hAnsi="Arial" w:cs="Arial"/>
          <w:color w:val="333333"/>
          <w:sz w:val="22"/>
          <w:shd w:val="clear" w:color="auto" w:fill="FBFBFB"/>
        </w:rPr>
        <w:t>Jobe, I., Lindberg, B. and Engström, Å. (2020) 'Health and social care professionals’ experiences of collaborative planning—Applying the person</w:t>
      </w:r>
      <w:r w:rsidRPr="000F4CA1">
        <w:rPr>
          <w:rFonts w:ascii="Cambria Math" w:hAnsi="Cambria Math" w:cs="Cambria Math"/>
          <w:color w:val="333333"/>
          <w:sz w:val="22"/>
          <w:shd w:val="clear" w:color="auto" w:fill="FBFBFB"/>
        </w:rPr>
        <w:t>‐</w:t>
      </w:r>
      <w:r w:rsidRPr="000F4CA1">
        <w:rPr>
          <w:rFonts w:ascii="Arial" w:hAnsi="Arial" w:cs="Arial"/>
          <w:color w:val="333333"/>
          <w:sz w:val="22"/>
          <w:shd w:val="clear" w:color="auto" w:fill="FBFBFB"/>
        </w:rPr>
        <w:t>centred practice framework', Nursing Open, 7(6).</w:t>
      </w:r>
      <w:r>
        <w:rPr>
          <w:rFonts w:ascii="Arial" w:hAnsi="Arial" w:cs="Arial"/>
          <w:color w:val="333333"/>
          <w:sz w:val="22"/>
          <w:shd w:val="clear" w:color="auto" w:fill="FBFBFB"/>
        </w:rPr>
        <w:t xml:space="preserve"> Available at:</w:t>
      </w:r>
      <w:r w:rsidR="00446905">
        <w:rPr>
          <w:rFonts w:ascii="Arial" w:hAnsi="Arial" w:cs="Arial"/>
          <w:color w:val="333333"/>
          <w:sz w:val="22"/>
          <w:shd w:val="clear" w:color="auto" w:fill="FBFBFB"/>
        </w:rPr>
        <w:t xml:space="preserve"> </w:t>
      </w:r>
      <w:r w:rsidR="00446905" w:rsidRPr="00446905">
        <w:rPr>
          <w:rFonts w:ascii="Arial" w:hAnsi="Arial" w:cs="Arial"/>
          <w:color w:val="333333"/>
          <w:sz w:val="22"/>
          <w:shd w:val="clear" w:color="auto" w:fill="FBFBFB"/>
        </w:rPr>
        <w:t>doi: </w:t>
      </w:r>
      <w:hyperlink r:id="rId10" w:tgtFrame="_blank" w:history="1">
        <w:r w:rsidR="00446905" w:rsidRPr="00446905">
          <w:rPr>
            <w:rStyle w:val="Hyperlink"/>
            <w:rFonts w:ascii="Arial" w:hAnsi="Arial" w:cs="Arial"/>
            <w:sz w:val="22"/>
            <w:shd w:val="clear" w:color="auto" w:fill="FBFBFB"/>
          </w:rPr>
          <w:t>10.1002/nop2.597</w:t>
        </w:r>
      </w:hyperlink>
      <w:r w:rsidR="00446905">
        <w:rPr>
          <w:rFonts w:ascii="Arial" w:hAnsi="Arial" w:cs="Arial"/>
          <w:color w:val="333333"/>
          <w:sz w:val="22"/>
          <w:shd w:val="clear" w:color="auto" w:fill="FBFBFB"/>
        </w:rPr>
        <w:t>.</w:t>
      </w:r>
    </w:p>
    <w:p w14:paraId="7904B751" w14:textId="0F727D41" w:rsidR="00332131" w:rsidRDefault="00332131" w:rsidP="005E44B5">
      <w:pPr>
        <w:rPr>
          <w:rFonts w:ascii="Arial" w:hAnsi="Arial" w:cs="Arial"/>
          <w:color w:val="333333"/>
          <w:sz w:val="22"/>
          <w:shd w:val="clear" w:color="auto" w:fill="FBFBFB"/>
        </w:rPr>
      </w:pPr>
      <w:r w:rsidRPr="00332131">
        <w:rPr>
          <w:rFonts w:ascii="Arial" w:hAnsi="Arial" w:cs="Arial"/>
          <w:color w:val="333333"/>
          <w:sz w:val="22"/>
          <w:shd w:val="clear" w:color="auto" w:fill="FBFBFB"/>
        </w:rPr>
        <w:t>Lugg-Widger, F., Sydenham, M., Oatley, R.</w:t>
      </w:r>
      <w:r w:rsidR="00EE4A1E">
        <w:rPr>
          <w:rFonts w:ascii="Arial" w:hAnsi="Arial" w:cs="Arial"/>
          <w:color w:val="333333"/>
          <w:sz w:val="22"/>
          <w:shd w:val="clear" w:color="auto" w:fill="FBFBFB"/>
        </w:rPr>
        <w:t xml:space="preserve"> and</w:t>
      </w:r>
      <w:r w:rsidRPr="00332131">
        <w:rPr>
          <w:rFonts w:ascii="Arial" w:hAnsi="Arial" w:cs="Arial"/>
          <w:color w:val="333333"/>
          <w:sz w:val="22"/>
          <w:shd w:val="clear" w:color="auto" w:fill="FBFBFB"/>
        </w:rPr>
        <w:t xml:space="preserve"> Scourfield, J. (2024) 'Use of Linked Administrative Adult Social Care Data for Research: A Scoping Review of Existing UK Studies' </w:t>
      </w:r>
      <w:r w:rsidRPr="00002B1C">
        <w:rPr>
          <w:rFonts w:ascii="Arial" w:hAnsi="Arial" w:cs="Arial"/>
          <w:i/>
          <w:iCs/>
          <w:color w:val="333333"/>
          <w:sz w:val="22"/>
          <w:shd w:val="clear" w:color="auto" w:fill="FBFBFB"/>
        </w:rPr>
        <w:t>The British Journal of Social Work,</w:t>
      </w:r>
      <w:r w:rsidRPr="00332131">
        <w:rPr>
          <w:rFonts w:ascii="Arial" w:hAnsi="Arial" w:cs="Arial"/>
          <w:color w:val="333333"/>
          <w:sz w:val="22"/>
          <w:shd w:val="clear" w:color="auto" w:fill="FBFBFB"/>
        </w:rPr>
        <w:t xml:space="preserve"> 55(1) pp. 437-452.</w:t>
      </w:r>
    </w:p>
    <w:p w14:paraId="78EFC24D" w14:textId="4D31F04B" w:rsidR="00DF42F3" w:rsidRPr="00DF42F3" w:rsidRDefault="00DF42F3" w:rsidP="005E44B5">
      <w:pPr>
        <w:rPr>
          <w:rFonts w:ascii="Arial" w:hAnsi="Arial" w:cs="Arial"/>
          <w:color w:val="333333"/>
          <w:sz w:val="22"/>
          <w:shd w:val="clear" w:color="auto" w:fill="FBFBFB"/>
        </w:rPr>
      </w:pPr>
      <w:r w:rsidRPr="00DF42F3">
        <w:rPr>
          <w:rFonts w:ascii="Arial" w:hAnsi="Arial" w:cs="Arial"/>
          <w:color w:val="333333"/>
          <w:sz w:val="22"/>
          <w:shd w:val="clear" w:color="auto" w:fill="FBFBFB"/>
        </w:rPr>
        <w:t>Miller, R., Glasby, J., and Dickinson, H. (2021) 'Integrated Health and Social Care in England: Ten Years On'</w:t>
      </w:r>
      <w:r w:rsidRPr="00DF42F3">
        <w:rPr>
          <w:rFonts w:ascii="Arial" w:hAnsi="Arial" w:cs="Arial"/>
          <w:i/>
          <w:iCs/>
          <w:color w:val="333333"/>
          <w:sz w:val="22"/>
          <w:shd w:val="clear" w:color="auto" w:fill="FBFBFB"/>
        </w:rPr>
        <w:t>, International Journal of Integrated Care</w:t>
      </w:r>
      <w:r w:rsidRPr="00DF42F3">
        <w:rPr>
          <w:rFonts w:ascii="Arial" w:hAnsi="Arial" w:cs="Arial"/>
          <w:color w:val="333333"/>
          <w:sz w:val="22"/>
          <w:shd w:val="clear" w:color="auto" w:fill="FBFBFB"/>
        </w:rPr>
        <w:t>, 21 p. 6. Available at: </w:t>
      </w:r>
      <w:hyperlink r:id="rId11" w:tgtFrame="_blank" w:history="1">
        <w:r w:rsidR="00A519BD" w:rsidRPr="00A519BD">
          <w:rPr>
            <w:rStyle w:val="Hyperlink"/>
            <w:rFonts w:ascii="Arial" w:hAnsi="Arial" w:cs="Arial"/>
            <w:b/>
            <w:bCs/>
            <w:sz w:val="22"/>
            <w:shd w:val="clear" w:color="auto" w:fill="FBFBFB"/>
          </w:rPr>
          <w:t>DOI: 10.5334/ijic.5666</w:t>
        </w:r>
      </w:hyperlink>
      <w:r w:rsidR="00A519BD">
        <w:rPr>
          <w:rFonts w:ascii="Arial" w:hAnsi="Arial" w:cs="Arial"/>
          <w:color w:val="333333"/>
          <w:sz w:val="22"/>
          <w:shd w:val="clear" w:color="auto" w:fill="FBFBFB"/>
        </w:rPr>
        <w:t>.</w:t>
      </w:r>
    </w:p>
    <w:p w14:paraId="490A5F9A" w14:textId="4BB9FD72" w:rsidR="00D7675D" w:rsidRDefault="00D7675D" w:rsidP="005E44B5">
      <w:pPr>
        <w:rPr>
          <w:rFonts w:ascii="Arial" w:hAnsi="Arial" w:cs="Arial"/>
          <w:color w:val="333333"/>
          <w:sz w:val="22"/>
          <w:shd w:val="clear" w:color="auto" w:fill="FBFBFB"/>
        </w:rPr>
      </w:pPr>
      <w:r w:rsidRPr="00D7675D">
        <w:rPr>
          <w:rFonts w:ascii="Arial" w:hAnsi="Arial" w:cs="Arial"/>
          <w:color w:val="333333"/>
          <w:sz w:val="22"/>
          <w:shd w:val="clear" w:color="auto" w:fill="FBFBFB"/>
        </w:rPr>
        <w:t>Masoli, J.A.H., Todd, O., Burton J.K., Wolff, C., Walesby, K.E., Hewitt, J., Conroy, S., Oppen, J.V., Wilkinson, C., Evans, R., Anand, A., Hollinghurst, J., Bhanu, C., Keevil, V.L.</w:t>
      </w:r>
      <w:r w:rsidR="00EE4A1E">
        <w:rPr>
          <w:rFonts w:ascii="Arial" w:hAnsi="Arial" w:cs="Arial"/>
          <w:color w:val="333333"/>
          <w:sz w:val="22"/>
          <w:shd w:val="clear" w:color="auto" w:fill="FBFBFB"/>
        </w:rPr>
        <w:t xml:space="preserve"> and</w:t>
      </w:r>
      <w:r w:rsidRPr="00D7675D">
        <w:rPr>
          <w:rFonts w:ascii="Arial" w:hAnsi="Arial" w:cs="Arial"/>
          <w:color w:val="333333"/>
          <w:sz w:val="22"/>
          <w:shd w:val="clear" w:color="auto" w:fill="FBFBFB"/>
        </w:rPr>
        <w:t xml:space="preserve"> Vardy, E.R.L.C.</w:t>
      </w:r>
      <w:r w:rsidR="00D77C00">
        <w:rPr>
          <w:rFonts w:ascii="Arial" w:hAnsi="Arial" w:cs="Arial"/>
          <w:color w:val="333333"/>
          <w:sz w:val="22"/>
          <w:shd w:val="clear" w:color="auto" w:fill="FBFBFB"/>
        </w:rPr>
        <w:t xml:space="preserve"> (2023)</w:t>
      </w:r>
      <w:r w:rsidRPr="00D7675D">
        <w:rPr>
          <w:rFonts w:ascii="Arial" w:hAnsi="Arial" w:cs="Arial"/>
          <w:color w:val="333333"/>
          <w:sz w:val="22"/>
          <w:shd w:val="clear" w:color="auto" w:fill="FBFBFB"/>
        </w:rPr>
        <w:t xml:space="preserve"> 'New horizons in the role of digital data in the healthcare of older </w:t>
      </w:r>
      <w:r w:rsidRPr="00D7675D">
        <w:rPr>
          <w:rFonts w:ascii="Arial" w:hAnsi="Arial" w:cs="Arial"/>
          <w:i/>
          <w:iCs/>
          <w:color w:val="333333"/>
          <w:sz w:val="22"/>
          <w:shd w:val="clear" w:color="auto" w:fill="FBFBFB"/>
        </w:rPr>
        <w:t>people' Age and Ageing</w:t>
      </w:r>
      <w:r w:rsidRPr="00D7675D">
        <w:rPr>
          <w:rFonts w:ascii="Arial" w:hAnsi="Arial" w:cs="Arial"/>
          <w:color w:val="333333"/>
          <w:sz w:val="22"/>
          <w:shd w:val="clear" w:color="auto" w:fill="FBFBFB"/>
        </w:rPr>
        <w:t>, 52(8) </w:t>
      </w:r>
      <w:r w:rsidRPr="00D7675D">
        <w:rPr>
          <w:rFonts w:ascii="Arial" w:hAnsi="Arial" w:cs="Arial"/>
          <w:color w:val="1B1B1B"/>
          <w:sz w:val="22"/>
          <w:shd w:val="clear" w:color="auto" w:fill="FFFFFF"/>
        </w:rPr>
        <w:t>doi: </w:t>
      </w:r>
      <w:hyperlink r:id="rId12" w:tgtFrame="_blank" w:history="1">
        <w:r w:rsidRPr="00D7675D">
          <w:rPr>
            <w:rFonts w:ascii="Arial" w:hAnsi="Arial" w:cs="Arial"/>
            <w:color w:val="005EA2"/>
            <w:sz w:val="22"/>
            <w:u w:val="single"/>
            <w:shd w:val="clear" w:color="auto" w:fill="FFFFFF"/>
          </w:rPr>
          <w:t>10.1093/ageing/afad134</w:t>
        </w:r>
      </w:hyperlink>
      <w:r w:rsidRPr="00D7675D">
        <w:rPr>
          <w:rFonts w:ascii="Arial" w:hAnsi="Arial" w:cs="Arial"/>
          <w:color w:val="333333"/>
          <w:sz w:val="22"/>
          <w:shd w:val="clear" w:color="auto" w:fill="FBFBFB"/>
        </w:rPr>
        <w:t>.</w:t>
      </w:r>
    </w:p>
    <w:p w14:paraId="36C2E218" w14:textId="77777777" w:rsidR="00661367" w:rsidRPr="00661367" w:rsidRDefault="00661367" w:rsidP="00661367">
      <w:pPr>
        <w:rPr>
          <w:rFonts w:ascii="Arial" w:hAnsi="Arial" w:cs="Arial"/>
          <w:color w:val="333333"/>
          <w:sz w:val="22"/>
          <w:shd w:val="clear" w:color="auto" w:fill="FBFBFB"/>
        </w:rPr>
      </w:pPr>
      <w:r w:rsidRPr="00661367">
        <w:rPr>
          <w:rFonts w:ascii="Arial" w:hAnsi="Arial" w:cs="Arial"/>
          <w:color w:val="333333"/>
          <w:sz w:val="22"/>
          <w:shd w:val="clear" w:color="auto" w:fill="FBFBFB"/>
        </w:rPr>
        <w:t xml:space="preserve">Sharkiya, S. (2023) </w:t>
      </w:r>
      <w:r w:rsidRPr="00661367">
        <w:rPr>
          <w:rFonts w:ascii="Arial" w:hAnsi="Arial" w:cs="Arial"/>
          <w:i/>
          <w:iCs/>
          <w:color w:val="333333"/>
          <w:sz w:val="22"/>
          <w:shd w:val="clear" w:color="auto" w:fill="FBFBFB"/>
        </w:rPr>
        <w:t>'Quality communication can improve patient-centred health outcomes among older patients: a rapid review'</w:t>
      </w:r>
      <w:r w:rsidRPr="00661367">
        <w:rPr>
          <w:rFonts w:ascii="Arial" w:hAnsi="Arial" w:cs="Arial"/>
          <w:color w:val="333333"/>
          <w:sz w:val="22"/>
          <w:shd w:val="clear" w:color="auto" w:fill="FBFBFB"/>
        </w:rPr>
        <w:t>, BMC Health Services Research, 23(886).</w:t>
      </w:r>
    </w:p>
    <w:p w14:paraId="24AC0321" w14:textId="748A79CF" w:rsidR="00661367" w:rsidRDefault="00377A9B" w:rsidP="005E44B5">
      <w:pPr>
        <w:rPr>
          <w:rFonts w:ascii="Arial" w:hAnsi="Arial" w:cs="Arial"/>
          <w:color w:val="333333"/>
          <w:sz w:val="22"/>
          <w:shd w:val="clear" w:color="auto" w:fill="FBFBFB"/>
        </w:rPr>
      </w:pPr>
      <w:r>
        <w:rPr>
          <w:rFonts w:ascii="Arial" w:hAnsi="Arial" w:cs="Arial"/>
          <w:color w:val="333333"/>
          <w:sz w:val="22"/>
          <w:shd w:val="clear" w:color="auto" w:fill="FBFBFB"/>
        </w:rPr>
        <w:t xml:space="preserve">Al </w:t>
      </w:r>
      <w:r w:rsidR="00661367" w:rsidRPr="00661367">
        <w:rPr>
          <w:rFonts w:ascii="Arial" w:hAnsi="Arial" w:cs="Arial"/>
          <w:color w:val="333333"/>
          <w:sz w:val="22"/>
          <w:shd w:val="clear" w:color="auto" w:fill="FBFBFB"/>
        </w:rPr>
        <w:t>Shamsi, H., Almutairi, A</w:t>
      </w:r>
      <w:r w:rsidR="0062597A">
        <w:rPr>
          <w:rFonts w:ascii="Arial" w:hAnsi="Arial" w:cs="Arial"/>
          <w:color w:val="333333"/>
          <w:sz w:val="22"/>
          <w:shd w:val="clear" w:color="auto" w:fill="FBFBFB"/>
        </w:rPr>
        <w:t>.G</w:t>
      </w:r>
      <w:r w:rsidR="00661367" w:rsidRPr="00661367">
        <w:rPr>
          <w:rFonts w:ascii="Arial" w:hAnsi="Arial" w:cs="Arial"/>
          <w:color w:val="333333"/>
          <w:sz w:val="22"/>
          <w:shd w:val="clear" w:color="auto" w:fill="FBFBFB"/>
        </w:rPr>
        <w:t xml:space="preserve">., </w:t>
      </w:r>
      <w:r w:rsidR="003B4B76">
        <w:rPr>
          <w:rFonts w:ascii="Arial" w:hAnsi="Arial" w:cs="Arial"/>
          <w:color w:val="333333"/>
          <w:sz w:val="22"/>
          <w:shd w:val="clear" w:color="auto" w:fill="FBFBFB"/>
        </w:rPr>
        <w:t xml:space="preserve">Al </w:t>
      </w:r>
      <w:r w:rsidR="00661367" w:rsidRPr="00661367">
        <w:rPr>
          <w:rFonts w:ascii="Arial" w:hAnsi="Arial" w:cs="Arial"/>
          <w:color w:val="333333"/>
          <w:sz w:val="22"/>
          <w:shd w:val="clear" w:color="auto" w:fill="FBFBFB"/>
        </w:rPr>
        <w:t>Mashrafi, S.</w:t>
      </w:r>
      <w:r w:rsidR="00EE4A1E">
        <w:rPr>
          <w:rFonts w:ascii="Arial" w:hAnsi="Arial" w:cs="Arial"/>
          <w:color w:val="333333"/>
          <w:sz w:val="22"/>
          <w:shd w:val="clear" w:color="auto" w:fill="FBFBFB"/>
        </w:rPr>
        <w:t xml:space="preserve"> and</w:t>
      </w:r>
      <w:r w:rsidR="003B4B76">
        <w:rPr>
          <w:rFonts w:ascii="Arial" w:hAnsi="Arial" w:cs="Arial"/>
          <w:color w:val="333333"/>
          <w:sz w:val="22"/>
          <w:shd w:val="clear" w:color="auto" w:fill="FBFBFB"/>
        </w:rPr>
        <w:t xml:space="preserve"> Al</w:t>
      </w:r>
      <w:r w:rsidR="00661367" w:rsidRPr="00661367">
        <w:rPr>
          <w:rFonts w:ascii="Arial" w:hAnsi="Arial" w:cs="Arial"/>
          <w:color w:val="333333"/>
          <w:sz w:val="22"/>
          <w:shd w:val="clear" w:color="auto" w:fill="FBFBFB"/>
        </w:rPr>
        <w:t xml:space="preserve"> Kalbani, T. (2020) '</w:t>
      </w:r>
      <w:r w:rsidR="00661367" w:rsidRPr="00661367">
        <w:rPr>
          <w:rFonts w:ascii="Arial" w:hAnsi="Arial" w:cs="Arial"/>
          <w:i/>
          <w:iCs/>
          <w:color w:val="333333"/>
          <w:sz w:val="22"/>
          <w:shd w:val="clear" w:color="auto" w:fill="FBFBFB"/>
        </w:rPr>
        <w:t>Implications of Language Barriers for Healthcare: A Systematic Review'</w:t>
      </w:r>
      <w:r w:rsidR="00661367" w:rsidRPr="00661367">
        <w:rPr>
          <w:rFonts w:ascii="Arial" w:hAnsi="Arial" w:cs="Arial"/>
          <w:color w:val="333333"/>
          <w:sz w:val="22"/>
          <w:shd w:val="clear" w:color="auto" w:fill="FBFBFB"/>
        </w:rPr>
        <w:t>, Oman Medical Journal, 35(2) e122.</w:t>
      </w:r>
    </w:p>
    <w:p w14:paraId="7DB5F377" w14:textId="77777777" w:rsidR="001D4A0A" w:rsidRPr="001D4A0A" w:rsidRDefault="001D4A0A" w:rsidP="001D4A0A">
      <w:pPr>
        <w:rPr>
          <w:rFonts w:ascii="Arial" w:hAnsi="Arial" w:cs="Arial"/>
          <w:color w:val="333333"/>
          <w:sz w:val="22"/>
          <w:shd w:val="clear" w:color="auto" w:fill="FBFBFB"/>
        </w:rPr>
      </w:pPr>
      <w:r w:rsidRPr="001D4A0A">
        <w:rPr>
          <w:rFonts w:ascii="Arial" w:hAnsi="Arial" w:cs="Arial"/>
          <w:color w:val="333333"/>
          <w:sz w:val="22"/>
          <w:shd w:val="clear" w:color="auto" w:fill="FBFBFB"/>
        </w:rPr>
        <w:t xml:space="preserve">University of Bath (no date) </w:t>
      </w:r>
      <w:r w:rsidRPr="001D4A0A">
        <w:rPr>
          <w:rFonts w:ascii="Arial" w:hAnsi="Arial" w:cs="Arial"/>
          <w:i/>
          <w:iCs/>
          <w:color w:val="333333"/>
          <w:sz w:val="22"/>
          <w:shd w:val="clear" w:color="auto" w:fill="FBFBFB"/>
        </w:rPr>
        <w:t>Data Protection Act.</w:t>
      </w:r>
      <w:r w:rsidRPr="001D4A0A">
        <w:rPr>
          <w:rFonts w:ascii="Arial" w:hAnsi="Arial" w:cs="Arial"/>
          <w:color w:val="333333"/>
          <w:sz w:val="22"/>
          <w:shd w:val="clear" w:color="auto" w:fill="FBFBFB"/>
        </w:rPr>
        <w:t xml:space="preserve"> Available at: </w:t>
      </w:r>
      <w:hyperlink r:id="rId13" w:history="1">
        <w:r w:rsidRPr="001D4A0A">
          <w:rPr>
            <w:rStyle w:val="Hyperlink"/>
            <w:rFonts w:ascii="Arial" w:hAnsi="Arial" w:cs="Arial"/>
            <w:sz w:val="22"/>
            <w:shd w:val="clear" w:color="auto" w:fill="FBFBFB"/>
          </w:rPr>
          <w:t>Data Protection Act</w:t>
        </w:r>
      </w:hyperlink>
      <w:r w:rsidRPr="001D4A0A">
        <w:rPr>
          <w:rFonts w:ascii="Arial" w:hAnsi="Arial" w:cs="Arial"/>
          <w:color w:val="333333"/>
          <w:sz w:val="22"/>
          <w:shd w:val="clear" w:color="auto" w:fill="FBFBFB"/>
        </w:rPr>
        <w:t> (Accessed: 16/3/2026).</w:t>
      </w:r>
    </w:p>
    <w:p w14:paraId="4DFFCD2E" w14:textId="77777777" w:rsidR="001D4A0A" w:rsidRPr="00D7675D" w:rsidRDefault="001D4A0A" w:rsidP="005E44B5">
      <w:pPr>
        <w:rPr>
          <w:rFonts w:ascii="Arial" w:hAnsi="Arial" w:cs="Arial"/>
          <w:color w:val="FF0000"/>
          <w:sz w:val="22"/>
        </w:rPr>
      </w:pPr>
    </w:p>
    <w:sectPr w:rsidR="001D4A0A" w:rsidRPr="00D7675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0178A2" w14:textId="77777777" w:rsidR="00003BA4" w:rsidRDefault="00003BA4" w:rsidP="003C7C97">
      <w:pPr>
        <w:spacing w:after="0" w:line="240" w:lineRule="auto"/>
      </w:pPr>
      <w:r>
        <w:separator/>
      </w:r>
    </w:p>
  </w:endnote>
  <w:endnote w:type="continuationSeparator" w:id="0">
    <w:p w14:paraId="7CE296CF" w14:textId="77777777" w:rsidR="00003BA4" w:rsidRDefault="00003BA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6849825"/>
      <w:docPartObj>
        <w:docPartGallery w:val="Page Numbers (Bottom of Page)"/>
        <w:docPartUnique/>
      </w:docPartObj>
    </w:sdtPr>
    <w:sdtContent>
      <w:p w14:paraId="1524AD21" w14:textId="3576C4FE" w:rsidR="002D478E" w:rsidRDefault="002D478E">
        <w:pPr>
          <w:pStyle w:val="Footer"/>
          <w:jc w:val="right"/>
        </w:pPr>
        <w:r>
          <w:fldChar w:fldCharType="begin"/>
        </w:r>
        <w:r>
          <w:instrText>PAGE   \* MERGEFORMAT</w:instrText>
        </w:r>
        <w:r>
          <w:fldChar w:fldCharType="separate"/>
        </w:r>
        <w:r>
          <w:t>2</w:t>
        </w:r>
        <w:r>
          <w:fldChar w:fldCharType="end"/>
        </w:r>
      </w:p>
    </w:sdtContent>
  </w:sdt>
  <w:p w14:paraId="3C155AFA" w14:textId="77777777" w:rsidR="0035445F" w:rsidRDefault="003544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F14F58" w14:textId="77777777" w:rsidR="00003BA4" w:rsidRDefault="00003BA4" w:rsidP="003C7C97">
      <w:pPr>
        <w:spacing w:after="0" w:line="240" w:lineRule="auto"/>
      </w:pPr>
      <w:r>
        <w:separator/>
      </w:r>
    </w:p>
  </w:footnote>
  <w:footnote w:type="continuationSeparator" w:id="0">
    <w:p w14:paraId="1C7CA882" w14:textId="77777777" w:rsidR="00003BA4" w:rsidRDefault="00003BA4"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0C0CBE"/>
    <w:multiLevelType w:val="hybridMultilevel"/>
    <w:tmpl w:val="1D2812E8"/>
    <w:lvl w:ilvl="0" w:tplc="08090003">
      <w:start w:val="1"/>
      <w:numFmt w:val="bullet"/>
      <w:lvlText w:val="o"/>
      <w:lvlJc w:val="left"/>
      <w:pPr>
        <w:ind w:left="2441" w:hanging="360"/>
      </w:pPr>
      <w:rPr>
        <w:rFonts w:ascii="Courier New" w:hAnsi="Courier New" w:cs="Courier New" w:hint="default"/>
      </w:rPr>
    </w:lvl>
    <w:lvl w:ilvl="1" w:tplc="08090003">
      <w:start w:val="1"/>
      <w:numFmt w:val="bullet"/>
      <w:lvlText w:val="o"/>
      <w:lvlJc w:val="left"/>
      <w:pPr>
        <w:ind w:left="3161" w:hanging="360"/>
      </w:pPr>
      <w:rPr>
        <w:rFonts w:ascii="Courier New" w:hAnsi="Courier New" w:cs="Courier New" w:hint="default"/>
      </w:rPr>
    </w:lvl>
    <w:lvl w:ilvl="2" w:tplc="08090005">
      <w:start w:val="1"/>
      <w:numFmt w:val="bullet"/>
      <w:lvlText w:val=""/>
      <w:lvlJc w:val="left"/>
      <w:pPr>
        <w:ind w:left="3881" w:hanging="360"/>
      </w:pPr>
      <w:rPr>
        <w:rFonts w:ascii="Wingdings" w:hAnsi="Wingdings" w:hint="default"/>
      </w:rPr>
    </w:lvl>
    <w:lvl w:ilvl="3" w:tplc="08090001">
      <w:start w:val="1"/>
      <w:numFmt w:val="bullet"/>
      <w:lvlText w:val=""/>
      <w:lvlJc w:val="left"/>
      <w:pPr>
        <w:ind w:left="4601" w:hanging="360"/>
      </w:pPr>
      <w:rPr>
        <w:rFonts w:ascii="Symbol" w:hAnsi="Symbol" w:hint="default"/>
      </w:rPr>
    </w:lvl>
    <w:lvl w:ilvl="4" w:tplc="08090003">
      <w:start w:val="1"/>
      <w:numFmt w:val="bullet"/>
      <w:lvlText w:val="o"/>
      <w:lvlJc w:val="left"/>
      <w:pPr>
        <w:ind w:left="5321" w:hanging="360"/>
      </w:pPr>
      <w:rPr>
        <w:rFonts w:ascii="Courier New" w:hAnsi="Courier New" w:cs="Courier New" w:hint="default"/>
      </w:rPr>
    </w:lvl>
    <w:lvl w:ilvl="5" w:tplc="08090005">
      <w:start w:val="1"/>
      <w:numFmt w:val="bullet"/>
      <w:lvlText w:val=""/>
      <w:lvlJc w:val="left"/>
      <w:pPr>
        <w:ind w:left="6041" w:hanging="360"/>
      </w:pPr>
      <w:rPr>
        <w:rFonts w:ascii="Wingdings" w:hAnsi="Wingdings" w:hint="default"/>
      </w:rPr>
    </w:lvl>
    <w:lvl w:ilvl="6" w:tplc="08090001">
      <w:start w:val="1"/>
      <w:numFmt w:val="bullet"/>
      <w:lvlText w:val=""/>
      <w:lvlJc w:val="left"/>
      <w:pPr>
        <w:ind w:left="6761" w:hanging="360"/>
      </w:pPr>
      <w:rPr>
        <w:rFonts w:ascii="Symbol" w:hAnsi="Symbol" w:hint="default"/>
      </w:rPr>
    </w:lvl>
    <w:lvl w:ilvl="7" w:tplc="08090003">
      <w:start w:val="1"/>
      <w:numFmt w:val="bullet"/>
      <w:lvlText w:val="o"/>
      <w:lvlJc w:val="left"/>
      <w:pPr>
        <w:ind w:left="7481" w:hanging="360"/>
      </w:pPr>
      <w:rPr>
        <w:rFonts w:ascii="Courier New" w:hAnsi="Courier New" w:cs="Courier New" w:hint="default"/>
      </w:rPr>
    </w:lvl>
    <w:lvl w:ilvl="8" w:tplc="08090005">
      <w:start w:val="1"/>
      <w:numFmt w:val="bullet"/>
      <w:lvlText w:val=""/>
      <w:lvlJc w:val="left"/>
      <w:pPr>
        <w:ind w:left="8201"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3AA3D52"/>
    <w:multiLevelType w:val="hybridMultilevel"/>
    <w:tmpl w:val="D8EEBFD6"/>
    <w:lvl w:ilvl="0" w:tplc="01A6B4E2">
      <w:start w:val="1"/>
      <w:numFmt w:val="decimal"/>
      <w:lvlText w:val="%1."/>
      <w:lvlJc w:val="left"/>
      <w:pPr>
        <w:ind w:left="1440" w:hanging="360"/>
      </w:pPr>
      <w:rPr>
        <w:rFonts w:ascii="Arial" w:eastAsia="Times New Roman" w:hAnsi="Arial" w:cs="Arial"/>
      </w:r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10"/>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3"/>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8"/>
  </w:num>
  <w:num w:numId="15" w16cid:durableId="1132019979">
    <w:abstractNumId w:val="2"/>
  </w:num>
  <w:num w:numId="16" w16cid:durableId="1457524365">
    <w:abstractNumId w:val="4"/>
  </w:num>
  <w:num w:numId="17" w16cid:durableId="1386294306">
    <w:abstractNumId w:val="22"/>
  </w:num>
  <w:num w:numId="18" w16cid:durableId="1838374920">
    <w:abstractNumId w:val="19"/>
  </w:num>
  <w:num w:numId="19" w16cid:durableId="1827044992">
    <w:abstractNumId w:val="6"/>
  </w:num>
  <w:num w:numId="20" w16cid:durableId="895820667">
    <w:abstractNumId w:val="15"/>
  </w:num>
  <w:num w:numId="21" w16cid:durableId="817497522">
    <w:abstractNumId w:val="23"/>
  </w:num>
  <w:num w:numId="22" w16cid:durableId="725690465">
    <w:abstractNumId w:val="0"/>
  </w:num>
  <w:num w:numId="23" w16cid:durableId="673920730">
    <w:abstractNumId w:val="9"/>
    <w:lvlOverride w:ilvl="0">
      <w:startOverride w:val="1"/>
    </w:lvlOverride>
    <w:lvlOverride w:ilvl="1"/>
    <w:lvlOverride w:ilvl="2"/>
    <w:lvlOverride w:ilvl="3"/>
    <w:lvlOverride w:ilvl="4"/>
    <w:lvlOverride w:ilvl="5"/>
    <w:lvlOverride w:ilvl="6"/>
    <w:lvlOverride w:ilvl="7"/>
    <w:lvlOverride w:ilvl="8"/>
  </w:num>
  <w:num w:numId="24" w16cid:durableId="1763724720">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392"/>
    <w:rsid w:val="00002B1C"/>
    <w:rsid w:val="000030FC"/>
    <w:rsid w:val="00003BA4"/>
    <w:rsid w:val="00005BE0"/>
    <w:rsid w:val="000117B1"/>
    <w:rsid w:val="000118C8"/>
    <w:rsid w:val="00012FAB"/>
    <w:rsid w:val="0002194D"/>
    <w:rsid w:val="00021EE6"/>
    <w:rsid w:val="000225C4"/>
    <w:rsid w:val="000228AA"/>
    <w:rsid w:val="00022C42"/>
    <w:rsid w:val="00027B15"/>
    <w:rsid w:val="00030A05"/>
    <w:rsid w:val="00032384"/>
    <w:rsid w:val="00032FE1"/>
    <w:rsid w:val="00035D7F"/>
    <w:rsid w:val="00046A48"/>
    <w:rsid w:val="00054A89"/>
    <w:rsid w:val="00070818"/>
    <w:rsid w:val="000711D0"/>
    <w:rsid w:val="00074140"/>
    <w:rsid w:val="0007565D"/>
    <w:rsid w:val="000767FC"/>
    <w:rsid w:val="00080484"/>
    <w:rsid w:val="0008238F"/>
    <w:rsid w:val="00082EC6"/>
    <w:rsid w:val="00085388"/>
    <w:rsid w:val="00097BE4"/>
    <w:rsid w:val="000A2CEF"/>
    <w:rsid w:val="000A5FF0"/>
    <w:rsid w:val="000B7ABF"/>
    <w:rsid w:val="000C392C"/>
    <w:rsid w:val="000C59EE"/>
    <w:rsid w:val="000D41DC"/>
    <w:rsid w:val="000D5CE7"/>
    <w:rsid w:val="000D6A83"/>
    <w:rsid w:val="000E0DBE"/>
    <w:rsid w:val="000E432F"/>
    <w:rsid w:val="000E7EB4"/>
    <w:rsid w:val="000F34DC"/>
    <w:rsid w:val="000F4CA1"/>
    <w:rsid w:val="000F5A84"/>
    <w:rsid w:val="00123DBC"/>
    <w:rsid w:val="00125D37"/>
    <w:rsid w:val="001271B6"/>
    <w:rsid w:val="00127997"/>
    <w:rsid w:val="00127C1A"/>
    <w:rsid w:val="00132815"/>
    <w:rsid w:val="001507EE"/>
    <w:rsid w:val="00150803"/>
    <w:rsid w:val="00150D81"/>
    <w:rsid w:val="00156D9C"/>
    <w:rsid w:val="00166F66"/>
    <w:rsid w:val="00167AC3"/>
    <w:rsid w:val="00183FE2"/>
    <w:rsid w:val="00184A9A"/>
    <w:rsid w:val="00187A7F"/>
    <w:rsid w:val="0019069A"/>
    <w:rsid w:val="001947DF"/>
    <w:rsid w:val="001A137E"/>
    <w:rsid w:val="001A1762"/>
    <w:rsid w:val="001A188B"/>
    <w:rsid w:val="001A5518"/>
    <w:rsid w:val="001B22BB"/>
    <w:rsid w:val="001B619C"/>
    <w:rsid w:val="001D4A0A"/>
    <w:rsid w:val="001D7CD1"/>
    <w:rsid w:val="001E42BC"/>
    <w:rsid w:val="001E66BA"/>
    <w:rsid w:val="001F213A"/>
    <w:rsid w:val="0020776C"/>
    <w:rsid w:val="00207893"/>
    <w:rsid w:val="00215489"/>
    <w:rsid w:val="00215EC5"/>
    <w:rsid w:val="00216946"/>
    <w:rsid w:val="002205D4"/>
    <w:rsid w:val="00222C3A"/>
    <w:rsid w:val="00225BB9"/>
    <w:rsid w:val="00226D31"/>
    <w:rsid w:val="00235115"/>
    <w:rsid w:val="002351AB"/>
    <w:rsid w:val="00235E61"/>
    <w:rsid w:val="00236401"/>
    <w:rsid w:val="002370CE"/>
    <w:rsid w:val="00240A5D"/>
    <w:rsid w:val="00240A91"/>
    <w:rsid w:val="00242974"/>
    <w:rsid w:val="002440C2"/>
    <w:rsid w:val="00245D9C"/>
    <w:rsid w:val="00252497"/>
    <w:rsid w:val="00255EEA"/>
    <w:rsid w:val="00256611"/>
    <w:rsid w:val="00260D91"/>
    <w:rsid w:val="00265B0A"/>
    <w:rsid w:val="0026688C"/>
    <w:rsid w:val="00270978"/>
    <w:rsid w:val="00271FF4"/>
    <w:rsid w:val="00284196"/>
    <w:rsid w:val="002857B3"/>
    <w:rsid w:val="00287A49"/>
    <w:rsid w:val="00290A84"/>
    <w:rsid w:val="00293194"/>
    <w:rsid w:val="00296C5C"/>
    <w:rsid w:val="002976D4"/>
    <w:rsid w:val="00297A4C"/>
    <w:rsid w:val="002A5577"/>
    <w:rsid w:val="002B4AA4"/>
    <w:rsid w:val="002B4D57"/>
    <w:rsid w:val="002C0224"/>
    <w:rsid w:val="002C5D5D"/>
    <w:rsid w:val="002C6747"/>
    <w:rsid w:val="002D478E"/>
    <w:rsid w:val="002D6146"/>
    <w:rsid w:val="002D7D50"/>
    <w:rsid w:val="002E2421"/>
    <w:rsid w:val="002E5D4E"/>
    <w:rsid w:val="002E71BA"/>
    <w:rsid w:val="002F35D6"/>
    <w:rsid w:val="002F5066"/>
    <w:rsid w:val="0030034F"/>
    <w:rsid w:val="00305E16"/>
    <w:rsid w:val="00310245"/>
    <w:rsid w:val="003153CF"/>
    <w:rsid w:val="00316C95"/>
    <w:rsid w:val="003220BB"/>
    <w:rsid w:val="00324564"/>
    <w:rsid w:val="00325327"/>
    <w:rsid w:val="003319FF"/>
    <w:rsid w:val="00332131"/>
    <w:rsid w:val="00332C7C"/>
    <w:rsid w:val="003458DB"/>
    <w:rsid w:val="00347E9C"/>
    <w:rsid w:val="00350F9B"/>
    <w:rsid w:val="003523D3"/>
    <w:rsid w:val="003532B0"/>
    <w:rsid w:val="00354349"/>
    <w:rsid w:val="0035445F"/>
    <w:rsid w:val="00360AFD"/>
    <w:rsid w:val="00364C35"/>
    <w:rsid w:val="003653D3"/>
    <w:rsid w:val="00371A14"/>
    <w:rsid w:val="00374F69"/>
    <w:rsid w:val="00377A9B"/>
    <w:rsid w:val="00377F2C"/>
    <w:rsid w:val="00381438"/>
    <w:rsid w:val="0038175B"/>
    <w:rsid w:val="00383645"/>
    <w:rsid w:val="0038736B"/>
    <w:rsid w:val="00390AA5"/>
    <w:rsid w:val="003959E5"/>
    <w:rsid w:val="00396F60"/>
    <w:rsid w:val="003A10F7"/>
    <w:rsid w:val="003A1BAD"/>
    <w:rsid w:val="003A41A0"/>
    <w:rsid w:val="003A51D6"/>
    <w:rsid w:val="003B0C29"/>
    <w:rsid w:val="003B125E"/>
    <w:rsid w:val="003B192B"/>
    <w:rsid w:val="003B2680"/>
    <w:rsid w:val="003B4B76"/>
    <w:rsid w:val="003B687E"/>
    <w:rsid w:val="003B69ED"/>
    <w:rsid w:val="003C1E48"/>
    <w:rsid w:val="003C7C97"/>
    <w:rsid w:val="003D0276"/>
    <w:rsid w:val="003E26DE"/>
    <w:rsid w:val="003F16D3"/>
    <w:rsid w:val="003F76C7"/>
    <w:rsid w:val="00400369"/>
    <w:rsid w:val="00403125"/>
    <w:rsid w:val="00406B8D"/>
    <w:rsid w:val="00410068"/>
    <w:rsid w:val="00412086"/>
    <w:rsid w:val="0041618E"/>
    <w:rsid w:val="0042295C"/>
    <w:rsid w:val="00422FD5"/>
    <w:rsid w:val="00423D3E"/>
    <w:rsid w:val="004247EA"/>
    <w:rsid w:val="00426EEC"/>
    <w:rsid w:val="00430455"/>
    <w:rsid w:val="00430AD0"/>
    <w:rsid w:val="00435DF7"/>
    <w:rsid w:val="00443CC3"/>
    <w:rsid w:val="004466C3"/>
    <w:rsid w:val="00446905"/>
    <w:rsid w:val="004477D5"/>
    <w:rsid w:val="00447A1A"/>
    <w:rsid w:val="0045406D"/>
    <w:rsid w:val="004552CE"/>
    <w:rsid w:val="00455AA5"/>
    <w:rsid w:val="0046067F"/>
    <w:rsid w:val="00463CFF"/>
    <w:rsid w:val="00467562"/>
    <w:rsid w:val="00472577"/>
    <w:rsid w:val="00473699"/>
    <w:rsid w:val="0047536E"/>
    <w:rsid w:val="004769A6"/>
    <w:rsid w:val="00481FF7"/>
    <w:rsid w:val="00482591"/>
    <w:rsid w:val="00484B5A"/>
    <w:rsid w:val="00486A06"/>
    <w:rsid w:val="00492B81"/>
    <w:rsid w:val="00495C20"/>
    <w:rsid w:val="004A2F2F"/>
    <w:rsid w:val="004A38F3"/>
    <w:rsid w:val="004A6575"/>
    <w:rsid w:val="004B52F7"/>
    <w:rsid w:val="004B7BD7"/>
    <w:rsid w:val="004C4D43"/>
    <w:rsid w:val="004D02BD"/>
    <w:rsid w:val="004D03B7"/>
    <w:rsid w:val="004D5D3D"/>
    <w:rsid w:val="004E7D70"/>
    <w:rsid w:val="004F17BC"/>
    <w:rsid w:val="004F29AF"/>
    <w:rsid w:val="00500295"/>
    <w:rsid w:val="00501AAF"/>
    <w:rsid w:val="005030CD"/>
    <w:rsid w:val="00506A65"/>
    <w:rsid w:val="00510731"/>
    <w:rsid w:val="005163A3"/>
    <w:rsid w:val="005213E2"/>
    <w:rsid w:val="00524BD4"/>
    <w:rsid w:val="00527AFA"/>
    <w:rsid w:val="005300E0"/>
    <w:rsid w:val="005312E2"/>
    <w:rsid w:val="00531CDF"/>
    <w:rsid w:val="0053209A"/>
    <w:rsid w:val="00532D2E"/>
    <w:rsid w:val="00533411"/>
    <w:rsid w:val="005353B6"/>
    <w:rsid w:val="005419DA"/>
    <w:rsid w:val="00542A34"/>
    <w:rsid w:val="00543D9E"/>
    <w:rsid w:val="00544212"/>
    <w:rsid w:val="00550023"/>
    <w:rsid w:val="00553E3D"/>
    <w:rsid w:val="00557768"/>
    <w:rsid w:val="00560B51"/>
    <w:rsid w:val="005678AC"/>
    <w:rsid w:val="005709B1"/>
    <w:rsid w:val="00572B3B"/>
    <w:rsid w:val="0057564B"/>
    <w:rsid w:val="00576249"/>
    <w:rsid w:val="0057751E"/>
    <w:rsid w:val="005836D2"/>
    <w:rsid w:val="00585528"/>
    <w:rsid w:val="00587C58"/>
    <w:rsid w:val="00590BEC"/>
    <w:rsid w:val="005A7FD4"/>
    <w:rsid w:val="005B0B22"/>
    <w:rsid w:val="005B153E"/>
    <w:rsid w:val="005B1A84"/>
    <w:rsid w:val="005B6911"/>
    <w:rsid w:val="005C0836"/>
    <w:rsid w:val="005C7417"/>
    <w:rsid w:val="005C784F"/>
    <w:rsid w:val="005D1AF9"/>
    <w:rsid w:val="005D5457"/>
    <w:rsid w:val="005D54DB"/>
    <w:rsid w:val="005E01ED"/>
    <w:rsid w:val="005E2699"/>
    <w:rsid w:val="005E44B5"/>
    <w:rsid w:val="005E7DE1"/>
    <w:rsid w:val="00605CF9"/>
    <w:rsid w:val="00612DEA"/>
    <w:rsid w:val="00614572"/>
    <w:rsid w:val="00616F84"/>
    <w:rsid w:val="006232DF"/>
    <w:rsid w:val="00623AD5"/>
    <w:rsid w:val="006254A6"/>
    <w:rsid w:val="0062597A"/>
    <w:rsid w:val="00630F13"/>
    <w:rsid w:val="00631F2E"/>
    <w:rsid w:val="0063507D"/>
    <w:rsid w:val="006457C0"/>
    <w:rsid w:val="00652BB7"/>
    <w:rsid w:val="0065432D"/>
    <w:rsid w:val="00661367"/>
    <w:rsid w:val="00661427"/>
    <w:rsid w:val="00661758"/>
    <w:rsid w:val="00664804"/>
    <w:rsid w:val="0067612C"/>
    <w:rsid w:val="00676FEB"/>
    <w:rsid w:val="006912C4"/>
    <w:rsid w:val="00692D21"/>
    <w:rsid w:val="00693497"/>
    <w:rsid w:val="00696CD9"/>
    <w:rsid w:val="006A3F1F"/>
    <w:rsid w:val="006A5CFC"/>
    <w:rsid w:val="006C4361"/>
    <w:rsid w:val="006C5138"/>
    <w:rsid w:val="006C689B"/>
    <w:rsid w:val="006C79E9"/>
    <w:rsid w:val="006D2BBA"/>
    <w:rsid w:val="006D32D2"/>
    <w:rsid w:val="006E005C"/>
    <w:rsid w:val="006E44CD"/>
    <w:rsid w:val="006E6EE5"/>
    <w:rsid w:val="006F0029"/>
    <w:rsid w:val="006F7184"/>
    <w:rsid w:val="007024F4"/>
    <w:rsid w:val="00703DCF"/>
    <w:rsid w:val="00705798"/>
    <w:rsid w:val="007071BE"/>
    <w:rsid w:val="007138EF"/>
    <w:rsid w:val="0071659E"/>
    <w:rsid w:val="00733711"/>
    <w:rsid w:val="00736EEA"/>
    <w:rsid w:val="007409C7"/>
    <w:rsid w:val="00746DB2"/>
    <w:rsid w:val="0075104C"/>
    <w:rsid w:val="007534CA"/>
    <w:rsid w:val="00754A45"/>
    <w:rsid w:val="00760BEB"/>
    <w:rsid w:val="00761F8A"/>
    <w:rsid w:val="007632A9"/>
    <w:rsid w:val="0077072A"/>
    <w:rsid w:val="00774092"/>
    <w:rsid w:val="00782830"/>
    <w:rsid w:val="0078664A"/>
    <w:rsid w:val="007870C8"/>
    <w:rsid w:val="007902FF"/>
    <w:rsid w:val="00791CF1"/>
    <w:rsid w:val="00795436"/>
    <w:rsid w:val="00796A38"/>
    <w:rsid w:val="00796C26"/>
    <w:rsid w:val="007A6ED4"/>
    <w:rsid w:val="007B0F6D"/>
    <w:rsid w:val="007B372F"/>
    <w:rsid w:val="007B707E"/>
    <w:rsid w:val="007C2E74"/>
    <w:rsid w:val="007C39E3"/>
    <w:rsid w:val="007C62C3"/>
    <w:rsid w:val="007C7CBD"/>
    <w:rsid w:val="007D0368"/>
    <w:rsid w:val="007D25AA"/>
    <w:rsid w:val="007E3EB4"/>
    <w:rsid w:val="007E585F"/>
    <w:rsid w:val="007F0873"/>
    <w:rsid w:val="007F4AE4"/>
    <w:rsid w:val="00805726"/>
    <w:rsid w:val="00815117"/>
    <w:rsid w:val="008171D0"/>
    <w:rsid w:val="00821144"/>
    <w:rsid w:val="00824365"/>
    <w:rsid w:val="0083486C"/>
    <w:rsid w:val="00847F55"/>
    <w:rsid w:val="008504F5"/>
    <w:rsid w:val="00850C62"/>
    <w:rsid w:val="008520F8"/>
    <w:rsid w:val="00855F34"/>
    <w:rsid w:val="00860A74"/>
    <w:rsid w:val="008617AC"/>
    <w:rsid w:val="00862C5E"/>
    <w:rsid w:val="00864BAB"/>
    <w:rsid w:val="00864D36"/>
    <w:rsid w:val="00870046"/>
    <w:rsid w:val="008727E4"/>
    <w:rsid w:val="008817E0"/>
    <w:rsid w:val="0088241A"/>
    <w:rsid w:val="008826B6"/>
    <w:rsid w:val="008844D4"/>
    <w:rsid w:val="008A1E38"/>
    <w:rsid w:val="008A2717"/>
    <w:rsid w:val="008A2902"/>
    <w:rsid w:val="008A4537"/>
    <w:rsid w:val="008A548C"/>
    <w:rsid w:val="008B0B22"/>
    <w:rsid w:val="008B23E3"/>
    <w:rsid w:val="008B513D"/>
    <w:rsid w:val="008C07F9"/>
    <w:rsid w:val="008C0A5C"/>
    <w:rsid w:val="008C58B0"/>
    <w:rsid w:val="008C591B"/>
    <w:rsid w:val="008C668B"/>
    <w:rsid w:val="008D23CA"/>
    <w:rsid w:val="008D3CDD"/>
    <w:rsid w:val="008E453A"/>
    <w:rsid w:val="008F174B"/>
    <w:rsid w:val="008F32FA"/>
    <w:rsid w:val="008F46E6"/>
    <w:rsid w:val="008F5D58"/>
    <w:rsid w:val="008F66FB"/>
    <w:rsid w:val="008F6D6C"/>
    <w:rsid w:val="00902740"/>
    <w:rsid w:val="00903D41"/>
    <w:rsid w:val="00914BC6"/>
    <w:rsid w:val="00926458"/>
    <w:rsid w:val="00933720"/>
    <w:rsid w:val="00941DB9"/>
    <w:rsid w:val="00956B8E"/>
    <w:rsid w:val="00962EF9"/>
    <w:rsid w:val="009647DE"/>
    <w:rsid w:val="009730CF"/>
    <w:rsid w:val="00984765"/>
    <w:rsid w:val="00984EEC"/>
    <w:rsid w:val="00986924"/>
    <w:rsid w:val="00991ADA"/>
    <w:rsid w:val="0099218C"/>
    <w:rsid w:val="00993EF0"/>
    <w:rsid w:val="009A455B"/>
    <w:rsid w:val="009A558C"/>
    <w:rsid w:val="009B389E"/>
    <w:rsid w:val="009C610D"/>
    <w:rsid w:val="009C7E52"/>
    <w:rsid w:val="009D1CD8"/>
    <w:rsid w:val="009E4934"/>
    <w:rsid w:val="009F40A7"/>
    <w:rsid w:val="009F4730"/>
    <w:rsid w:val="009F5CE6"/>
    <w:rsid w:val="00A00AD3"/>
    <w:rsid w:val="00A00ADE"/>
    <w:rsid w:val="00A035CD"/>
    <w:rsid w:val="00A066B0"/>
    <w:rsid w:val="00A17CFF"/>
    <w:rsid w:val="00A20AD8"/>
    <w:rsid w:val="00A24097"/>
    <w:rsid w:val="00A27BC2"/>
    <w:rsid w:val="00A334C7"/>
    <w:rsid w:val="00A33F0E"/>
    <w:rsid w:val="00A50E80"/>
    <w:rsid w:val="00A513B0"/>
    <w:rsid w:val="00A519BD"/>
    <w:rsid w:val="00A52347"/>
    <w:rsid w:val="00A62469"/>
    <w:rsid w:val="00A63F7F"/>
    <w:rsid w:val="00A667CE"/>
    <w:rsid w:val="00A6685F"/>
    <w:rsid w:val="00A71545"/>
    <w:rsid w:val="00A74260"/>
    <w:rsid w:val="00A75042"/>
    <w:rsid w:val="00A774BC"/>
    <w:rsid w:val="00A82678"/>
    <w:rsid w:val="00A826BA"/>
    <w:rsid w:val="00A82F21"/>
    <w:rsid w:val="00A83DBF"/>
    <w:rsid w:val="00A859C2"/>
    <w:rsid w:val="00A86D41"/>
    <w:rsid w:val="00A946CB"/>
    <w:rsid w:val="00AA0FEB"/>
    <w:rsid w:val="00AA4BA3"/>
    <w:rsid w:val="00AA77C8"/>
    <w:rsid w:val="00AB5595"/>
    <w:rsid w:val="00AB5FC1"/>
    <w:rsid w:val="00AB6A6D"/>
    <w:rsid w:val="00AC7BE2"/>
    <w:rsid w:val="00AE07DF"/>
    <w:rsid w:val="00AE35BF"/>
    <w:rsid w:val="00AE78D9"/>
    <w:rsid w:val="00AF029F"/>
    <w:rsid w:val="00AF2AC1"/>
    <w:rsid w:val="00AF3BCF"/>
    <w:rsid w:val="00B00816"/>
    <w:rsid w:val="00B01222"/>
    <w:rsid w:val="00B07044"/>
    <w:rsid w:val="00B1067E"/>
    <w:rsid w:val="00B15932"/>
    <w:rsid w:val="00B264B4"/>
    <w:rsid w:val="00B30C6F"/>
    <w:rsid w:val="00B3415C"/>
    <w:rsid w:val="00B351A6"/>
    <w:rsid w:val="00B35478"/>
    <w:rsid w:val="00B37598"/>
    <w:rsid w:val="00B509B5"/>
    <w:rsid w:val="00B5378A"/>
    <w:rsid w:val="00B56782"/>
    <w:rsid w:val="00B62367"/>
    <w:rsid w:val="00B73DCB"/>
    <w:rsid w:val="00B757A2"/>
    <w:rsid w:val="00B75A78"/>
    <w:rsid w:val="00B80C49"/>
    <w:rsid w:val="00B810E6"/>
    <w:rsid w:val="00B81790"/>
    <w:rsid w:val="00B81BBC"/>
    <w:rsid w:val="00B8207C"/>
    <w:rsid w:val="00B85C58"/>
    <w:rsid w:val="00B92DDA"/>
    <w:rsid w:val="00BA1605"/>
    <w:rsid w:val="00BA5497"/>
    <w:rsid w:val="00BA59A1"/>
    <w:rsid w:val="00BA69D9"/>
    <w:rsid w:val="00BA7AF9"/>
    <w:rsid w:val="00BB034E"/>
    <w:rsid w:val="00BB444E"/>
    <w:rsid w:val="00BB7095"/>
    <w:rsid w:val="00BB7269"/>
    <w:rsid w:val="00BC6DB4"/>
    <w:rsid w:val="00BD03D5"/>
    <w:rsid w:val="00BD27D2"/>
    <w:rsid w:val="00BD4D85"/>
    <w:rsid w:val="00BE0375"/>
    <w:rsid w:val="00BE1C63"/>
    <w:rsid w:val="00BE4EB3"/>
    <w:rsid w:val="00C0289D"/>
    <w:rsid w:val="00C14C7F"/>
    <w:rsid w:val="00C21731"/>
    <w:rsid w:val="00C2522B"/>
    <w:rsid w:val="00C270D2"/>
    <w:rsid w:val="00C3215E"/>
    <w:rsid w:val="00C34264"/>
    <w:rsid w:val="00C34498"/>
    <w:rsid w:val="00C440C0"/>
    <w:rsid w:val="00C45272"/>
    <w:rsid w:val="00C47770"/>
    <w:rsid w:val="00C5182D"/>
    <w:rsid w:val="00C57441"/>
    <w:rsid w:val="00C57B37"/>
    <w:rsid w:val="00C609FC"/>
    <w:rsid w:val="00C70191"/>
    <w:rsid w:val="00C708A7"/>
    <w:rsid w:val="00C75856"/>
    <w:rsid w:val="00C81578"/>
    <w:rsid w:val="00C81832"/>
    <w:rsid w:val="00C85A7C"/>
    <w:rsid w:val="00C87D9A"/>
    <w:rsid w:val="00C90B4E"/>
    <w:rsid w:val="00C92F12"/>
    <w:rsid w:val="00C94C69"/>
    <w:rsid w:val="00C95214"/>
    <w:rsid w:val="00C96779"/>
    <w:rsid w:val="00CA6FB3"/>
    <w:rsid w:val="00CB0D67"/>
    <w:rsid w:val="00CB3BD0"/>
    <w:rsid w:val="00CB50A1"/>
    <w:rsid w:val="00CC3F59"/>
    <w:rsid w:val="00CC7A86"/>
    <w:rsid w:val="00CD4774"/>
    <w:rsid w:val="00CF1CF9"/>
    <w:rsid w:val="00CF74C5"/>
    <w:rsid w:val="00D10AAF"/>
    <w:rsid w:val="00D27540"/>
    <w:rsid w:val="00D27B1F"/>
    <w:rsid w:val="00D27CE0"/>
    <w:rsid w:val="00D4006B"/>
    <w:rsid w:val="00D40D7A"/>
    <w:rsid w:val="00D412ED"/>
    <w:rsid w:val="00D43F69"/>
    <w:rsid w:val="00D46007"/>
    <w:rsid w:val="00D4616A"/>
    <w:rsid w:val="00D518B1"/>
    <w:rsid w:val="00D52734"/>
    <w:rsid w:val="00D57949"/>
    <w:rsid w:val="00D60A48"/>
    <w:rsid w:val="00D64250"/>
    <w:rsid w:val="00D64A0D"/>
    <w:rsid w:val="00D750B4"/>
    <w:rsid w:val="00D7675D"/>
    <w:rsid w:val="00D77C00"/>
    <w:rsid w:val="00D81C18"/>
    <w:rsid w:val="00D83322"/>
    <w:rsid w:val="00D8461A"/>
    <w:rsid w:val="00D9188C"/>
    <w:rsid w:val="00D91FFA"/>
    <w:rsid w:val="00D95CAF"/>
    <w:rsid w:val="00DA4E67"/>
    <w:rsid w:val="00DA734F"/>
    <w:rsid w:val="00DB3E28"/>
    <w:rsid w:val="00DB5220"/>
    <w:rsid w:val="00DC18B4"/>
    <w:rsid w:val="00DC1CC6"/>
    <w:rsid w:val="00DC1F79"/>
    <w:rsid w:val="00DC2497"/>
    <w:rsid w:val="00DC3DDE"/>
    <w:rsid w:val="00DC5B95"/>
    <w:rsid w:val="00DD0E62"/>
    <w:rsid w:val="00DD19CC"/>
    <w:rsid w:val="00DF0DC0"/>
    <w:rsid w:val="00DF42F3"/>
    <w:rsid w:val="00E067A8"/>
    <w:rsid w:val="00E12C2E"/>
    <w:rsid w:val="00E13924"/>
    <w:rsid w:val="00E14E77"/>
    <w:rsid w:val="00E15FD5"/>
    <w:rsid w:val="00E1725A"/>
    <w:rsid w:val="00E269C4"/>
    <w:rsid w:val="00E33758"/>
    <w:rsid w:val="00E357BD"/>
    <w:rsid w:val="00E37704"/>
    <w:rsid w:val="00E51A73"/>
    <w:rsid w:val="00E52B8F"/>
    <w:rsid w:val="00E53245"/>
    <w:rsid w:val="00E53E5E"/>
    <w:rsid w:val="00E60AE1"/>
    <w:rsid w:val="00E61D39"/>
    <w:rsid w:val="00E64325"/>
    <w:rsid w:val="00E673C5"/>
    <w:rsid w:val="00E67967"/>
    <w:rsid w:val="00E774D3"/>
    <w:rsid w:val="00E811F0"/>
    <w:rsid w:val="00E8245D"/>
    <w:rsid w:val="00E82723"/>
    <w:rsid w:val="00E854BF"/>
    <w:rsid w:val="00E85BCF"/>
    <w:rsid w:val="00E91300"/>
    <w:rsid w:val="00E96BD0"/>
    <w:rsid w:val="00EA29A5"/>
    <w:rsid w:val="00EA5B7B"/>
    <w:rsid w:val="00EB1A38"/>
    <w:rsid w:val="00EC0189"/>
    <w:rsid w:val="00EC0AC3"/>
    <w:rsid w:val="00EC107C"/>
    <w:rsid w:val="00EC3629"/>
    <w:rsid w:val="00EC7EBE"/>
    <w:rsid w:val="00EC7FD2"/>
    <w:rsid w:val="00ED12A7"/>
    <w:rsid w:val="00ED4241"/>
    <w:rsid w:val="00ED4562"/>
    <w:rsid w:val="00ED5964"/>
    <w:rsid w:val="00ED72F5"/>
    <w:rsid w:val="00EE1C25"/>
    <w:rsid w:val="00EE1E85"/>
    <w:rsid w:val="00EE4A1E"/>
    <w:rsid w:val="00EE53AD"/>
    <w:rsid w:val="00EF6A03"/>
    <w:rsid w:val="00F04709"/>
    <w:rsid w:val="00F05684"/>
    <w:rsid w:val="00F07D89"/>
    <w:rsid w:val="00F07E6E"/>
    <w:rsid w:val="00F10B30"/>
    <w:rsid w:val="00F13C79"/>
    <w:rsid w:val="00F14F20"/>
    <w:rsid w:val="00F15E98"/>
    <w:rsid w:val="00F1701C"/>
    <w:rsid w:val="00F1720B"/>
    <w:rsid w:val="00F2156E"/>
    <w:rsid w:val="00F2418A"/>
    <w:rsid w:val="00F24B5E"/>
    <w:rsid w:val="00F317C8"/>
    <w:rsid w:val="00F35434"/>
    <w:rsid w:val="00F36ADC"/>
    <w:rsid w:val="00F4308D"/>
    <w:rsid w:val="00F478A2"/>
    <w:rsid w:val="00F53426"/>
    <w:rsid w:val="00F605C6"/>
    <w:rsid w:val="00F65429"/>
    <w:rsid w:val="00F66DD2"/>
    <w:rsid w:val="00F673D0"/>
    <w:rsid w:val="00F6785B"/>
    <w:rsid w:val="00F707DD"/>
    <w:rsid w:val="00F73201"/>
    <w:rsid w:val="00F75B7F"/>
    <w:rsid w:val="00F778BC"/>
    <w:rsid w:val="00F90E09"/>
    <w:rsid w:val="00F915D6"/>
    <w:rsid w:val="00FA121A"/>
    <w:rsid w:val="00FA63A0"/>
    <w:rsid w:val="00FA726A"/>
    <w:rsid w:val="00FC03B4"/>
    <w:rsid w:val="00FC2D30"/>
    <w:rsid w:val="00FD5E72"/>
    <w:rsid w:val="00FD5F53"/>
    <w:rsid w:val="00FE305B"/>
    <w:rsid w:val="00FE46C1"/>
    <w:rsid w:val="00FE6593"/>
    <w:rsid w:val="00FE7064"/>
    <w:rsid w:val="00FF2B0A"/>
    <w:rsid w:val="00FF4329"/>
    <w:rsid w:val="00FF4C89"/>
    <w:rsid w:val="00FF5D06"/>
    <w:rsid w:val="00FF6F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1D4A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ath.ac.uk/legal-information/data-protection-ac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93/ageing/afad13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334/ijic.566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02/nop2.597" TargetMode="External"/><Relationship Id="rId4" Type="http://schemas.openxmlformats.org/officeDocument/2006/relationships/settings" Target="settings.xml"/><Relationship Id="rId9" Type="http://schemas.openxmlformats.org/officeDocument/2006/relationships/hyperlink" Target="https://humanfocus.co.uk/blog/the-shannon-and-weaver-model-of-communication-at-work/?srsltid=AfmBOop2CM1VjURmRuNjmwXF__m-fUWpMMxAt2DTCAvPCTh6xETK20xQ"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13762</TotalTime>
  <Pages>7</Pages>
  <Words>2094</Words>
  <Characters>11941</Characters>
  <Application>Microsoft Office Word</Application>
  <DocSecurity>0</DocSecurity>
  <Lines>99</Lines>
  <Paragraphs>28</Paragraphs>
  <ScaleCrop>false</ScaleCrop>
  <Company>University of Wales Trinity Saint David</Company>
  <LinksUpToDate>false</LinksUpToDate>
  <CharactersWithSpaces>14007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Natalia Kozak</cp:lastModifiedBy>
  <cp:revision>449</cp:revision>
  <dcterms:created xsi:type="dcterms:W3CDTF">2026-03-02T16:50:00Z</dcterms:created>
  <dcterms:modified xsi:type="dcterms:W3CDTF">2026-03-26T14:49:00Z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