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281E" w:rsidRPr="00914B1F" w:rsidRDefault="000F76F5">
      <w:pPr>
        <w:rPr>
          <w:b/>
        </w:rPr>
      </w:pPr>
      <w:r w:rsidRPr="00914B1F">
        <w:rPr>
          <w:b/>
        </w:rPr>
        <w:t xml:space="preserve">Question </w:t>
      </w:r>
      <w:r w:rsidR="0081281E" w:rsidRPr="00914B1F">
        <w:rPr>
          <w:b/>
        </w:rPr>
        <w:t>6. a)</w:t>
      </w:r>
    </w:p>
    <w:p w:rsidR="0081281E" w:rsidRDefault="0081281E">
      <w:r>
        <w:t>Fixtures and chattels are differentiated through the permanence of their fixture to the property, which is highlighted by the ownership at the time of change of ownership or sale. This is because anything physically fixed to the property becomes a fixture and becomes part of the transfer and cannot be removed.</w:t>
      </w:r>
    </w:p>
    <w:p w:rsidR="0081281E" w:rsidRDefault="0081281E">
      <w:r>
        <w:t>In contrast, a chattel will remain under original ownership and can be removed from the land and or property.</w:t>
      </w:r>
    </w:p>
    <w:p w:rsidR="0081281E" w:rsidRDefault="0081281E">
      <w:r>
        <w:t>However, chattels can become fixtures if it fixed to the property and or land.</w:t>
      </w:r>
    </w:p>
    <w:p w:rsidR="00154FE2" w:rsidRDefault="0081281E">
      <w:r w:rsidRPr="0081281E">
        <w:t>Hellawell v Eastwood (1851) 155 ER 554</w:t>
      </w:r>
      <w:r>
        <w:t>, highlights this as the claimant entered the property and seized the factory machinery to obtain the value of the arreared rent. The claimant argued that the machinery could not be seized as it wasn’t a chattel and was indeed a fixture to the property. This highlights the issues regarding the fixtures of chattels and the</w:t>
      </w:r>
      <w:r w:rsidR="00154FE2">
        <w:t>ir</w:t>
      </w:r>
      <w:r>
        <w:t xml:space="preserve"> difference</w:t>
      </w:r>
      <w:r w:rsidR="00154FE2">
        <w:t>s</w:t>
      </w:r>
      <w:r>
        <w:t>.</w:t>
      </w:r>
    </w:p>
    <w:p w:rsidR="0081281E" w:rsidRPr="00914B1F" w:rsidRDefault="0081281E">
      <w:pPr>
        <w:rPr>
          <w:b/>
        </w:rPr>
      </w:pPr>
      <w:r w:rsidRPr="00914B1F">
        <w:rPr>
          <w:b/>
        </w:rPr>
        <w:t>b)</w:t>
      </w:r>
      <w:r w:rsidR="00154FE2" w:rsidRPr="00914B1F">
        <w:rPr>
          <w:b/>
        </w:rPr>
        <w:t xml:space="preserve"> </w:t>
      </w:r>
    </w:p>
    <w:p w:rsidR="00154FE2" w:rsidRDefault="00154FE2">
      <w:r>
        <w:t>The five interests in include Easements, Rent Charges, Mortgage, Other charge types on land which is not created by an instrument and rights to entry.</w:t>
      </w:r>
    </w:p>
    <w:p w:rsidR="00154FE2" w:rsidRDefault="006D189D">
      <w:r>
        <w:t>Easement - T</w:t>
      </w:r>
      <w:r w:rsidR="00154FE2">
        <w:t xml:space="preserve">his is defined as the right to use another person’s property for as purpose which may include access of land and right of way. </w:t>
      </w:r>
    </w:p>
    <w:p w:rsidR="00154FE2" w:rsidRDefault="00154FE2">
      <w:r>
        <w:t xml:space="preserve">There are four conditions in which an easement can be presented, Such as, </w:t>
      </w:r>
    </w:p>
    <w:p w:rsidR="00154FE2" w:rsidRDefault="00154FE2" w:rsidP="00154FE2">
      <w:pPr>
        <w:pStyle w:val="ListParagraph"/>
        <w:numPr>
          <w:ilvl w:val="0"/>
          <w:numId w:val="1"/>
        </w:numPr>
      </w:pPr>
      <w:r>
        <w:t xml:space="preserve">The requirement for a dominant </w:t>
      </w:r>
      <w:r w:rsidR="00ED429D">
        <w:t xml:space="preserve">easement which benefits from and thereby can impose the easement on a servient tenement which is legally subject to the easement. </w:t>
      </w:r>
    </w:p>
    <w:p w:rsidR="00ED429D" w:rsidRDefault="00ED429D" w:rsidP="00154FE2">
      <w:pPr>
        <w:pStyle w:val="ListParagraph"/>
        <w:numPr>
          <w:ilvl w:val="0"/>
          <w:numId w:val="1"/>
        </w:numPr>
      </w:pPr>
      <w:r>
        <w:t xml:space="preserve">The dominant and servient tenement are obliged to be owned by different people. </w:t>
      </w:r>
    </w:p>
    <w:p w:rsidR="00ED429D" w:rsidRDefault="00ED429D" w:rsidP="00154FE2">
      <w:pPr>
        <w:pStyle w:val="ListParagraph"/>
        <w:numPr>
          <w:ilvl w:val="0"/>
          <w:numId w:val="1"/>
        </w:numPr>
      </w:pPr>
      <w:r>
        <w:t>The easement must provide an advantage to the dominant tenement.</w:t>
      </w:r>
    </w:p>
    <w:p w:rsidR="00A45036" w:rsidRDefault="00ED429D" w:rsidP="00A45036">
      <w:pPr>
        <w:pStyle w:val="ListParagraph"/>
        <w:numPr>
          <w:ilvl w:val="0"/>
          <w:numId w:val="1"/>
        </w:numPr>
      </w:pPr>
      <w:r>
        <w:t xml:space="preserve">The right of the easement must be legally capable of being granted, such as not being too vague. </w:t>
      </w:r>
      <w:r w:rsidR="00A45036">
        <w:t xml:space="preserve">This can be seen in </w:t>
      </w:r>
      <w:r w:rsidR="00A45036" w:rsidRPr="00A45036">
        <w:t>Reilly v Booth (1890) 44 Ch D 12, CA</w:t>
      </w:r>
      <w:r w:rsidR="00A45036">
        <w:t>, where the dominant tenement of the easement claimed that the rights to the easement were broad enough to allow him exclusive possession to the land. This was disputed and ended that he did not have exclusive rights over the property though his easement.</w:t>
      </w:r>
    </w:p>
    <w:p w:rsidR="00A45036" w:rsidRDefault="00A45036" w:rsidP="00A45036">
      <w:r>
        <w:t xml:space="preserve">Rent Charges – </w:t>
      </w:r>
      <w:r w:rsidR="000C4283">
        <w:t>I</w:t>
      </w:r>
      <w:r>
        <w:t>s an agreement in which ground rent that is charged annually for the use of the land. This is because it is not rent under</w:t>
      </w:r>
      <w:r w:rsidR="000C4283">
        <w:t>,</w:t>
      </w:r>
      <w:r>
        <w:t xml:space="preserve"> for example</w:t>
      </w:r>
      <w:r w:rsidR="000C4283">
        <w:t>,</w:t>
      </w:r>
      <w:r>
        <w:t xml:space="preserve"> a tenancy agreement but a lease.</w:t>
      </w:r>
    </w:p>
    <w:p w:rsidR="00A45036" w:rsidRDefault="00A45036" w:rsidP="00A45036">
      <w:r>
        <w:t xml:space="preserve">Mortgage – </w:t>
      </w:r>
      <w:r w:rsidR="000C4283">
        <w:t xml:space="preserve">Refers to the loan and transfer of property. </w:t>
      </w:r>
      <w:r>
        <w:t>To create a mortgage</w:t>
      </w:r>
      <w:r w:rsidR="000C4283">
        <w:t>, it is by deed under the Law of Property Act 1925</w:t>
      </w:r>
      <w:r w:rsidR="006D189D">
        <w:t xml:space="preserve"> in which a contract is formed between the borrow and lender</w:t>
      </w:r>
      <w:r w:rsidR="000C4283">
        <w:t xml:space="preserve">. The ownership of the mortgaged property is under the mortgagor. However, the lender accrues the interest.  </w:t>
      </w:r>
    </w:p>
    <w:p w:rsidR="000C4283" w:rsidRDefault="000C4283" w:rsidP="00A45036">
      <w:r>
        <w:t xml:space="preserve">Rights to entry – This refers to the landlord’s right to enter a property which has got a tenancy agreement attached. Legally, a landlord has no right to enter a property </w:t>
      </w:r>
      <w:r w:rsidR="006D189D">
        <w:t xml:space="preserve">unless the tenant agrees to this or unless there is a periodic inspection clause within the tenancy agreement. This will normally be within the tenancy and or agreement </w:t>
      </w:r>
      <w:r w:rsidR="009D4D41">
        <w:t>in which can be exercised to enter and recover the property if the tenant is in breach the agreement and is a legal interest in land.</w:t>
      </w:r>
    </w:p>
    <w:p w:rsidR="006D189D" w:rsidRPr="00914B1F" w:rsidRDefault="006D189D" w:rsidP="00A45036">
      <w:pPr>
        <w:rPr>
          <w:b/>
        </w:rPr>
      </w:pPr>
      <w:r w:rsidRPr="00914B1F">
        <w:rPr>
          <w:b/>
        </w:rPr>
        <w:t>c)</w:t>
      </w:r>
      <w:r w:rsidR="00F5115D" w:rsidRPr="00914B1F">
        <w:rPr>
          <w:b/>
        </w:rPr>
        <w:t xml:space="preserve"> </w:t>
      </w:r>
    </w:p>
    <w:p w:rsidR="006D189D" w:rsidRDefault="006D189D" w:rsidP="00A45036">
      <w:r>
        <w:lastRenderedPageBreak/>
        <w:t>The right to light refers to the right of light Act 195</w:t>
      </w:r>
      <w:r w:rsidR="0090768C">
        <w:t>9 in which gives the owner of a</w:t>
      </w:r>
      <w:r>
        <w:t xml:space="preserve"> property who has resided at the property with windows for sustained about of time the right to maintain the current illuminance levels within their property</w:t>
      </w:r>
      <w:r w:rsidR="009D4D41">
        <w:t xml:space="preserve"> and essentially forbids the obstruction to light</w:t>
      </w:r>
      <w:r>
        <w:t>.</w:t>
      </w:r>
    </w:p>
    <w:p w:rsidR="009D4D41" w:rsidRDefault="009D4D41" w:rsidP="00A45036">
      <w:r>
        <w:t xml:space="preserve">However, the right to light does not arise naturally and windows and doors must in place for this to be exercised. The right to light is granted through the prescription act 1832 which is English law and is a means </w:t>
      </w:r>
      <w:r w:rsidR="0090768C">
        <w:t>to acquire an easement, such as the right to light.</w:t>
      </w:r>
    </w:p>
    <w:p w:rsidR="0090768C" w:rsidRDefault="0090768C" w:rsidP="00A45036">
      <w:r>
        <w:t>Additionally,</w:t>
      </w:r>
      <w:r w:rsidRPr="0090768C">
        <w:t xml:space="preserve"> </w:t>
      </w:r>
      <w:r>
        <w:t xml:space="preserve">with the example set by, </w:t>
      </w:r>
      <w:r w:rsidRPr="0090768C">
        <w:t>Ray v Hazeldine [1904] 2 Ch 17; 73 LJ Ch 537; 90 LT 703</w:t>
      </w:r>
      <w:r>
        <w:t>, where the right to light can be granted through expressed word within the deed of the property which can be passed through ownership of that property. This enables the right of light to be passed through different ownerships. However, as the defendant had not achieved the right to light within the deed, it fell in favour of the plaintiff allowing them to construct a wall preventing light entering the defendant’s property.</w:t>
      </w:r>
    </w:p>
    <w:p w:rsidR="0090768C" w:rsidRDefault="0090768C" w:rsidP="00A45036">
      <w:r>
        <w:t xml:space="preserve">Obstruction notices can be served which are </w:t>
      </w:r>
      <w:r w:rsidR="00B90DE9">
        <w:t>re</w:t>
      </w:r>
      <w:r>
        <w:t xml:space="preserve">quired to respond or reject </w:t>
      </w:r>
      <w:r w:rsidR="00B90DE9">
        <w:t>within one year</w:t>
      </w:r>
      <w:r w:rsidR="003F272E">
        <w:t xml:space="preserve"> of the sending of the contract. However, if there is no objection this will allow the light obstruction to the property. </w:t>
      </w:r>
    </w:p>
    <w:p w:rsidR="00906EF4" w:rsidRDefault="003F272E" w:rsidP="00A45036">
      <w:r>
        <w:t xml:space="preserve">However, injunctions </w:t>
      </w:r>
      <w:r w:rsidR="00906EF4">
        <w:t>can be placed due to the drop in the illuminance levels within the property in which the removal</w:t>
      </w:r>
      <w:r>
        <w:t xml:space="preserve"> the obstruction</w:t>
      </w:r>
      <w:r w:rsidR="00906EF4">
        <w:t xml:space="preserve"> of light.</w:t>
      </w:r>
    </w:p>
    <w:p w:rsidR="0036670E" w:rsidRPr="00914B1F" w:rsidRDefault="000F76F5" w:rsidP="00A45036">
      <w:pPr>
        <w:rPr>
          <w:b/>
        </w:rPr>
      </w:pPr>
      <w:r w:rsidRPr="00914B1F">
        <w:rPr>
          <w:b/>
        </w:rPr>
        <w:t xml:space="preserve">Question </w:t>
      </w:r>
      <w:r w:rsidR="006C64AA" w:rsidRPr="00914B1F">
        <w:rPr>
          <w:b/>
        </w:rPr>
        <w:t>3</w:t>
      </w:r>
      <w:r w:rsidR="0036670E" w:rsidRPr="00914B1F">
        <w:rPr>
          <w:b/>
        </w:rPr>
        <w:t xml:space="preserve">. a) </w:t>
      </w:r>
    </w:p>
    <w:p w:rsidR="006C64AA" w:rsidRDefault="006C64AA" w:rsidP="00A45036">
      <w:r>
        <w:t xml:space="preserve">There </w:t>
      </w:r>
      <w:r w:rsidR="00933711">
        <w:t>are five grounds</w:t>
      </w:r>
      <w:r>
        <w:t xml:space="preserve"> of fair dismissal from an employee’s place of work </w:t>
      </w:r>
      <w:r w:rsidR="00933711">
        <w:t xml:space="preserve">which include, </w:t>
      </w:r>
    </w:p>
    <w:p w:rsidR="00933711" w:rsidRDefault="00933711" w:rsidP="008B65EF">
      <w:pPr>
        <w:pStyle w:val="ListParagraph"/>
        <w:numPr>
          <w:ilvl w:val="0"/>
          <w:numId w:val="2"/>
        </w:numPr>
      </w:pPr>
      <w:r>
        <w:t xml:space="preserve">Conduct </w:t>
      </w:r>
    </w:p>
    <w:p w:rsidR="00933711" w:rsidRDefault="00933711" w:rsidP="008B65EF">
      <w:pPr>
        <w:pStyle w:val="ListParagraph"/>
        <w:numPr>
          <w:ilvl w:val="0"/>
          <w:numId w:val="2"/>
        </w:numPr>
      </w:pPr>
      <w:r>
        <w:t xml:space="preserve">Capability </w:t>
      </w:r>
    </w:p>
    <w:p w:rsidR="00933711" w:rsidRDefault="00933711" w:rsidP="008B65EF">
      <w:pPr>
        <w:pStyle w:val="ListParagraph"/>
        <w:numPr>
          <w:ilvl w:val="0"/>
          <w:numId w:val="2"/>
        </w:numPr>
      </w:pPr>
      <w:r>
        <w:t xml:space="preserve">Redundancy </w:t>
      </w:r>
    </w:p>
    <w:p w:rsidR="00933711" w:rsidRDefault="00933711" w:rsidP="008B65EF">
      <w:pPr>
        <w:pStyle w:val="ListParagraph"/>
        <w:numPr>
          <w:ilvl w:val="0"/>
          <w:numId w:val="2"/>
        </w:numPr>
      </w:pPr>
      <w:r>
        <w:t xml:space="preserve">Statutory restriction </w:t>
      </w:r>
    </w:p>
    <w:p w:rsidR="00933711" w:rsidRDefault="00933711" w:rsidP="008B65EF">
      <w:pPr>
        <w:pStyle w:val="ListParagraph"/>
        <w:numPr>
          <w:ilvl w:val="0"/>
          <w:numId w:val="2"/>
        </w:numPr>
      </w:pPr>
      <w:r>
        <w:t xml:space="preserve">Other for substantial reason </w:t>
      </w:r>
    </w:p>
    <w:p w:rsidR="00933711" w:rsidRDefault="00933711" w:rsidP="00933711">
      <w:r>
        <w:t xml:space="preserve">Conduct – </w:t>
      </w:r>
      <w:r w:rsidR="00CF187E">
        <w:t>T</w:t>
      </w:r>
      <w:r w:rsidR="00CF187E" w:rsidRPr="00CF187E">
        <w:t xml:space="preserve">here are three different types of misconduct which different severities which include, Misconduct, serious misconduct and gross misconduct. </w:t>
      </w:r>
      <w:r>
        <w:t xml:space="preserve">This would include, misconduct such as persistent lateness or minor breaches of policy or contract. If the conduct of the employee continues to breach policy or the contract after written warnings have been provided, this can lead to </w:t>
      </w:r>
      <w:r w:rsidR="00CF187E">
        <w:t xml:space="preserve">serious </w:t>
      </w:r>
      <w:r>
        <w:t xml:space="preserve">misconduct. This can lead to dismissal from the </w:t>
      </w:r>
      <w:r w:rsidR="006A1796">
        <w:t>employee’s</w:t>
      </w:r>
      <w:r>
        <w:t xml:space="preserve"> place of work. </w:t>
      </w:r>
    </w:p>
    <w:p w:rsidR="00CF187E" w:rsidRDefault="00CF187E" w:rsidP="00933711">
      <w:r>
        <w:t>Gross misconduct refers to misconduct serious enough for instant dismissal without notice, this could include theft or abuse.</w:t>
      </w:r>
    </w:p>
    <w:p w:rsidR="00933711" w:rsidRDefault="00933711" w:rsidP="00933711">
      <w:r>
        <w:t>Capability – This can be due to two reasons including ill health and or poor performance with in the role.</w:t>
      </w:r>
    </w:p>
    <w:p w:rsidR="00933711" w:rsidRDefault="00352AE5" w:rsidP="00933711">
      <w:r>
        <w:t xml:space="preserve">Ill health can cause the employee to </w:t>
      </w:r>
      <w:r w:rsidR="006A1796">
        <w:t xml:space="preserve">struggle with the work load resulting in inadequate capability. However, there needs to be consideration on how the employee can be supported. Allowing time for the employee to recover and monitor the capability of the employee. Obtain full understanding of the employees’ health issues by acquiring a doctors note. Also, offering the employee different options which could include flexi-time work. </w:t>
      </w:r>
    </w:p>
    <w:p w:rsidR="006A1796" w:rsidRDefault="006A1796" w:rsidP="00933711">
      <w:r>
        <w:t>Additionally, poor performance where the employee is incapable of completing the work</w:t>
      </w:r>
      <w:r w:rsidR="003271A5">
        <w:t xml:space="preserve"> tasks to a satisfactory standard. This would require the employers to follow a management process in which </w:t>
      </w:r>
      <w:r w:rsidR="003271A5">
        <w:lastRenderedPageBreak/>
        <w:t xml:space="preserve">the performance of an individual is monitored which is likely to include disciplinaries and strategies to improve workers performance such as further training. </w:t>
      </w:r>
    </w:p>
    <w:p w:rsidR="0081281E" w:rsidRDefault="003271A5">
      <w:r>
        <w:t xml:space="preserve">Redundancy – This takes place when an employer needs to reduce the work force. This could be for a number of reasons such as, business closing down and less work for the employees to complete. </w:t>
      </w:r>
    </w:p>
    <w:p w:rsidR="005F4CE7" w:rsidRDefault="005F4CE7">
      <w:r>
        <w:t xml:space="preserve">However, redundancy takes a minimum of two weeks but can take a number of weeks as the employer works through a number of procedures. </w:t>
      </w:r>
    </w:p>
    <w:p w:rsidR="005F4CE7" w:rsidRDefault="005F4CE7">
      <w:r>
        <w:t>Statutory restriction – refers to the continuing of the employment of an employee which would then mean the employer is breaking the law. An example of this would include a lorry driver that has lost their license being unable to continue their work as a lorry driver.</w:t>
      </w:r>
    </w:p>
    <w:p w:rsidR="005F4CE7" w:rsidRDefault="005F4CE7">
      <w:r>
        <w:t xml:space="preserve">‘Some other substantial reason’ – This refers to other reasons for fair dismissal that don’t fit into the other four categories. Examples of this would be the dismissal of temporary employees to allow the permanent employee their original position. </w:t>
      </w:r>
    </w:p>
    <w:p w:rsidR="006D6B74" w:rsidRDefault="006D6B74">
      <w:r>
        <w:t>A test to test the fairness of dismissal would be the ‘Burchell’ test which applies to all cases of misconduct. This includes a three stage test of fair dismissal which includes,</w:t>
      </w:r>
    </w:p>
    <w:p w:rsidR="006D6B74" w:rsidRDefault="006D6B74" w:rsidP="006D6B74">
      <w:pPr>
        <w:pStyle w:val="ListParagraph"/>
        <w:numPr>
          <w:ilvl w:val="0"/>
          <w:numId w:val="3"/>
        </w:numPr>
      </w:pPr>
      <w:r>
        <w:t>Belief the employee is guilty of the misconduct.</w:t>
      </w:r>
    </w:p>
    <w:p w:rsidR="006D6B74" w:rsidRDefault="006D6B74" w:rsidP="006D6B74">
      <w:pPr>
        <w:pStyle w:val="ListParagraph"/>
        <w:numPr>
          <w:ilvl w:val="0"/>
          <w:numId w:val="3"/>
        </w:numPr>
      </w:pPr>
      <w:r>
        <w:t>Belief based upon reasonable grounds.</w:t>
      </w:r>
    </w:p>
    <w:p w:rsidR="006D6B74" w:rsidRDefault="006D6B74" w:rsidP="006D6B74">
      <w:pPr>
        <w:pStyle w:val="ListParagraph"/>
        <w:numPr>
          <w:ilvl w:val="0"/>
          <w:numId w:val="3"/>
        </w:numPr>
      </w:pPr>
      <w:r>
        <w:t xml:space="preserve">An investigation was carried out at the time of misconduct was said to take place. </w:t>
      </w:r>
    </w:p>
    <w:p w:rsidR="006D6B74" w:rsidRDefault="006D6B74" w:rsidP="006D6B74">
      <w:r>
        <w:t xml:space="preserve">However, the capacity of the employee needs to be taken into account as if they have any learning disabilities and or mental health issues this could cause issues in result of the test. </w:t>
      </w:r>
    </w:p>
    <w:p w:rsidR="00210629" w:rsidRPr="00914B1F" w:rsidRDefault="00210629" w:rsidP="006D6B74">
      <w:pPr>
        <w:rPr>
          <w:b/>
        </w:rPr>
      </w:pPr>
      <w:r w:rsidRPr="00914B1F">
        <w:rPr>
          <w:b/>
        </w:rPr>
        <w:t xml:space="preserve">b.) </w:t>
      </w:r>
    </w:p>
    <w:p w:rsidR="001111B9" w:rsidRDefault="001111B9" w:rsidP="006D6B74">
      <w:r>
        <w:t xml:space="preserve">Constructive dismissal takes place when an employer has committed a serious breach of the </w:t>
      </w:r>
      <w:r w:rsidR="00F256B5">
        <w:t>employee’s</w:t>
      </w:r>
      <w:r>
        <w:t xml:space="preserve"> employment contract. </w:t>
      </w:r>
    </w:p>
    <w:p w:rsidR="001111B9" w:rsidRDefault="001111B9" w:rsidP="006D6B74">
      <w:r>
        <w:t xml:space="preserve">This could be for a number of reasons such as, reduction in the agreed wages, unfair increase in the amount of work load presented on the employee, unlawful demotion and a change in location of work at short notice. </w:t>
      </w:r>
      <w:r w:rsidR="00955E6A">
        <w:t xml:space="preserve">This can be seen in the example of </w:t>
      </w:r>
      <w:r w:rsidR="00955E6A" w:rsidRPr="00955E6A">
        <w:t>Mostyn v. S and P Casuals</w:t>
      </w:r>
      <w:r w:rsidR="00955E6A">
        <w:t xml:space="preserve">, as due to the employee’s reduction in sales the employer held a meeting and reduced the employee’s salary by a significant amount. This was held as constructive dismissal due to the unfair reduction in wages which was originally agreed in the contract. This was because there was a breach in the expressed terms of the agreement relating to the agreed wages of the contract of employment. </w:t>
      </w:r>
    </w:p>
    <w:p w:rsidR="001111B9" w:rsidRDefault="001111B9" w:rsidP="006D6B74">
      <w:r>
        <w:t xml:space="preserve">This entitles the employee to resign from their role due to the conduct/breach of the </w:t>
      </w:r>
      <w:r w:rsidR="00F256B5">
        <w:t>employer</w:t>
      </w:r>
      <w:r>
        <w:t xml:space="preserve">. </w:t>
      </w:r>
      <w:r w:rsidR="00F256B5">
        <w:t>However</w:t>
      </w:r>
      <w:r>
        <w:t xml:space="preserve">, there needs to be a fundamental </w:t>
      </w:r>
      <w:r w:rsidR="00F256B5">
        <w:t xml:space="preserve">breach in the expressed and or implied terms. Additionally, the resignation of the employee must be due to the breach of the contract as enables yourself being constructively dismissed. </w:t>
      </w:r>
    </w:p>
    <w:p w:rsidR="0087680B" w:rsidRDefault="00A13D2F" w:rsidP="006D6B74">
      <w:r w:rsidRPr="0087680B">
        <w:rPr>
          <w:b/>
        </w:rPr>
        <w:t>C).</w:t>
      </w:r>
      <w:r w:rsidR="008B65EF">
        <w:t xml:space="preserve"> </w:t>
      </w:r>
    </w:p>
    <w:p w:rsidR="00A13D2F" w:rsidRDefault="008B65EF" w:rsidP="006D6B74">
      <w:r>
        <w:t>Summery dismissal is the result of gross misconduct</w:t>
      </w:r>
      <w:r w:rsidR="00DE4B60">
        <w:t xml:space="preserve"> which is serious enough for instant dismissal of an employee to take place without out notice and payment in lieu of notice. </w:t>
      </w:r>
    </w:p>
    <w:p w:rsidR="00DE4B60" w:rsidRDefault="00DE4B60" w:rsidP="006D6B74">
      <w:r>
        <w:t xml:space="preserve">Examples of summery dismissal include, theft, dishonesty assault and the undermining of the relationship of trust and confidence and or deliberate wrong doing. This can be seen </w:t>
      </w:r>
      <w:r w:rsidR="00E15642">
        <w:t xml:space="preserve">in </w:t>
      </w:r>
      <w:r w:rsidR="00E15642" w:rsidRPr="00E15642">
        <w:t>Hounga v Allen and Another [2014] UKSC 47</w:t>
      </w:r>
      <w:r w:rsidR="00E15642">
        <w:t xml:space="preserve">, where the deliberate act of not telling her employers that she </w:t>
      </w:r>
      <w:r w:rsidR="00E15642">
        <w:lastRenderedPageBreak/>
        <w:t>was indeed working illegally result in gross misconduct and summery dismissal from her employment.</w:t>
      </w:r>
    </w:p>
    <w:p w:rsidR="006A33DD" w:rsidRPr="00914B1F" w:rsidRDefault="000F76F5" w:rsidP="006D6B74">
      <w:pPr>
        <w:rPr>
          <w:b/>
        </w:rPr>
      </w:pPr>
      <w:r w:rsidRPr="00914B1F">
        <w:rPr>
          <w:b/>
        </w:rPr>
        <w:t xml:space="preserve">Question </w:t>
      </w:r>
      <w:r w:rsidR="00DC721D" w:rsidRPr="00914B1F">
        <w:rPr>
          <w:b/>
        </w:rPr>
        <w:t>4</w:t>
      </w:r>
      <w:r w:rsidR="00BD37B5" w:rsidRPr="00914B1F">
        <w:rPr>
          <w:b/>
        </w:rPr>
        <w:t>.)</w:t>
      </w:r>
    </w:p>
    <w:p w:rsidR="00F256B5" w:rsidRDefault="00DC721D" w:rsidP="006D6B74">
      <w:r>
        <w:t xml:space="preserve">The </w:t>
      </w:r>
      <w:r w:rsidR="00A743F8">
        <w:t>‘</w:t>
      </w:r>
      <w:r>
        <w:t>battle of the forms</w:t>
      </w:r>
      <w:r w:rsidR="00A743F8">
        <w:t>’</w:t>
      </w:r>
      <w:r>
        <w:t xml:space="preserve"> refer to the </w:t>
      </w:r>
      <w:r w:rsidR="00A743F8">
        <w:t xml:space="preserve">two parties intending to form an agreement/contract between each other in which are tendering different formations of the terms and conditions of the contract with as a result renders the determination of the contract difficult. </w:t>
      </w:r>
    </w:p>
    <w:p w:rsidR="00A743F8" w:rsidRDefault="00A743F8" w:rsidP="006D6B74">
      <w:r>
        <w:t xml:space="preserve">The battle of the forms refers to the expressed terms </w:t>
      </w:r>
      <w:r w:rsidR="00503EC8">
        <w:t xml:space="preserve">and conditions </w:t>
      </w:r>
      <w:r>
        <w:t>of</w:t>
      </w:r>
      <w:r w:rsidR="00503EC8">
        <w:t xml:space="preserve"> a</w:t>
      </w:r>
      <w:r>
        <w:t xml:space="preserve"> party, which are stated within the contract being counter offered rendering the original contract obsolete in which the other party has the choice to accept and or </w:t>
      </w:r>
      <w:r w:rsidR="00284521">
        <w:t>then again counter offer</w:t>
      </w:r>
      <w:r w:rsidR="00F667A2">
        <w:t xml:space="preserve"> with their own terms and conditions</w:t>
      </w:r>
      <w:r w:rsidR="00284521">
        <w:t xml:space="preserve">. This often leads to the last shot </w:t>
      </w:r>
      <w:r w:rsidR="00F667A2">
        <w:t>principle in which the last party to submit a counter offer achieves their desired outcome of the contract, the benefit of achieving the last shot principle enables leverage on the contract</w:t>
      </w:r>
      <w:r w:rsidR="00503EC8">
        <w:t xml:space="preserve"> with their own terms of conditions</w:t>
      </w:r>
      <w:r w:rsidR="00F667A2">
        <w:t xml:space="preserve">. </w:t>
      </w:r>
      <w:r w:rsidR="00510F88">
        <w:t xml:space="preserve">The can be seen in, </w:t>
      </w:r>
      <w:r w:rsidR="00510F88" w:rsidRPr="00510F88">
        <w:t>Butler Machine Tool Co Ltd v Ex-Cell-O Corp Ltd [1977] EWCA Civ 9</w:t>
      </w:r>
      <w:r w:rsidR="00510F88">
        <w:t xml:space="preserve">, where the battle of the forms was taking place leading to the </w:t>
      </w:r>
      <w:r w:rsidR="00F81B09">
        <w:t>last shot principle being exercised</w:t>
      </w:r>
      <w:r w:rsidR="00E543EC">
        <w:t xml:space="preserve"> when the </w:t>
      </w:r>
      <w:r w:rsidR="00F81B09">
        <w:t xml:space="preserve">a party apparently agreed </w:t>
      </w:r>
      <w:r w:rsidR="00E543EC">
        <w:t xml:space="preserve">to terms </w:t>
      </w:r>
      <w:r w:rsidR="00F81B09">
        <w:t xml:space="preserve">and conditions of the other party </w:t>
      </w:r>
      <w:r w:rsidR="00E543EC">
        <w:t>due to the signing of a slip from the suppliers</w:t>
      </w:r>
      <w:r w:rsidR="00F81B09">
        <w:t>.</w:t>
      </w:r>
      <w:r w:rsidR="00E543EC">
        <w:t xml:space="preserve"> </w:t>
      </w:r>
      <w:r w:rsidR="00F81B09">
        <w:t xml:space="preserve">By signing the slip they were agreeing to the buyer’s terms rather than the suppliers. </w:t>
      </w:r>
      <w:r w:rsidR="008F7F00">
        <w:t xml:space="preserve">This essential differentiates between the parties which terms and conditions </w:t>
      </w:r>
      <w:r w:rsidR="00F81B09">
        <w:t xml:space="preserve">in which </w:t>
      </w:r>
      <w:r w:rsidR="008F7F00">
        <w:t>will be applied to the contract.</w:t>
      </w:r>
    </w:p>
    <w:p w:rsidR="00F667A2" w:rsidRDefault="00F667A2" w:rsidP="006D6B74">
      <w:r>
        <w:t xml:space="preserve">However, there is the opportunity to achieve resolution </w:t>
      </w:r>
      <w:r w:rsidR="00016565">
        <w:t xml:space="preserve">which include, prevail clauses, written records and or agreements, negotiation, performance of the parties within the contract and the inclusion of the terms and conditions with correspondence. </w:t>
      </w:r>
    </w:p>
    <w:p w:rsidR="008F7F00" w:rsidRDefault="008F7F00" w:rsidP="006D6B74">
      <w:r>
        <w:t>Prevail clauses r</w:t>
      </w:r>
      <w:r w:rsidR="00FB0076">
        <w:t>efers to certain causes in which prevail over others by which could take place during a conflict or disagreement with contractual issues, certain clauses will prevail over others to resolve the conflict.</w:t>
      </w:r>
    </w:p>
    <w:p w:rsidR="00FB0076" w:rsidRDefault="00FB0076" w:rsidP="006D6B74">
      <w:r>
        <w:t xml:space="preserve">Negotiation enables the two parties to amicably resolve their issues with methods such as alternative dispute resolution, where for example the parties will meet, on neutral ground with a mediator. </w:t>
      </w:r>
    </w:p>
    <w:p w:rsidR="00FB0076" w:rsidRDefault="00FB0076" w:rsidP="006D6B74">
      <w:r>
        <w:t>Performance refers to the performance of</w:t>
      </w:r>
      <w:r w:rsidR="001B2D2A">
        <w:t xml:space="preserve"> the parties within the</w:t>
      </w:r>
      <w:r>
        <w:t xml:space="preserve"> contractual</w:t>
      </w:r>
      <w:r w:rsidR="001B2D2A">
        <w:t xml:space="preserve"> agreement</w:t>
      </w:r>
      <w:r>
        <w:t xml:space="preserve"> in </w:t>
      </w:r>
      <w:r w:rsidR="00444FC4">
        <w:t>which needs to be completed by both parties.</w:t>
      </w:r>
    </w:p>
    <w:p w:rsidR="003A4EB2" w:rsidRDefault="00444FC4" w:rsidP="006D6B74">
      <w:r>
        <w:t xml:space="preserve">Written records and agreements </w:t>
      </w:r>
      <w:r w:rsidR="003A4EB2">
        <w:t xml:space="preserve">refers to the type of agreement that has been present such as verbal and or written. If not written and signed, this agreement if completed verbally could be lost through ambiguous meanings and different </w:t>
      </w:r>
      <w:r w:rsidR="00BB11FF">
        <w:t xml:space="preserve">context language </w:t>
      </w:r>
      <w:r w:rsidR="003A4EB2">
        <w:t xml:space="preserve">between the parties. </w:t>
      </w:r>
    </w:p>
    <w:p w:rsidR="00F81B09" w:rsidRDefault="00F81B09" w:rsidP="006D6B74">
      <w:r>
        <w:t>The inclusion of the terms and conditions with correspondence refers to the presenting of the terms of condition</w:t>
      </w:r>
      <w:r w:rsidR="003A4EB2">
        <w:t>s to another party within the contract</w:t>
      </w:r>
      <w:r>
        <w:t xml:space="preserve"> which could be up for negotiation between the parties, </w:t>
      </w:r>
      <w:r w:rsidR="003A4EB2">
        <w:t xml:space="preserve">this </w:t>
      </w:r>
      <w:r>
        <w:t>correspondence</w:t>
      </w:r>
      <w:r w:rsidR="003A4EB2">
        <w:t xml:space="preserve"> requires, for example</w:t>
      </w:r>
      <w:r>
        <w:t>, ‘subject to contract’.</w:t>
      </w:r>
      <w:r w:rsidR="003A4EB2">
        <w:t xml:space="preserve"> This means that the parties are not legally bound to accept until a contract has been executed. This continues the state of negotiation between the parties. </w:t>
      </w:r>
    </w:p>
    <w:p w:rsidR="00064BDA" w:rsidRPr="00914B1F" w:rsidRDefault="000F76F5" w:rsidP="006D6B74">
      <w:pPr>
        <w:rPr>
          <w:b/>
        </w:rPr>
      </w:pPr>
      <w:r w:rsidRPr="00914B1F">
        <w:rPr>
          <w:b/>
        </w:rPr>
        <w:t xml:space="preserve">Question </w:t>
      </w:r>
      <w:r w:rsidR="00327CEF" w:rsidRPr="00914B1F">
        <w:rPr>
          <w:b/>
        </w:rPr>
        <w:t>5.)</w:t>
      </w:r>
    </w:p>
    <w:p w:rsidR="00327CEF" w:rsidRDefault="00F5115D" w:rsidP="006D6B74">
      <w:r>
        <w:t xml:space="preserve">Rylands V Fletcher refers to </w:t>
      </w:r>
      <w:r w:rsidR="003D0A72">
        <w:t xml:space="preserve">the formation of strict liability for tort law in which the defendant could be liable without the negligent conduct. This took place when John Ryland believed he employed competent contractors to build a reservoir on his land. Consequentially, after the reservoir was filled for the first time the reservoir burst and flooded the neighbouring property which belonged to Thomas Fletcher. </w:t>
      </w:r>
    </w:p>
    <w:p w:rsidR="00630466" w:rsidRDefault="0050455E" w:rsidP="006D6B74">
      <w:r>
        <w:lastRenderedPageBreak/>
        <w:t xml:space="preserve">The Rylands V Fletcher case established a new area of English tort law which came into force with immediate effect called ‘Strict Liability’. Strict Liability was developed which meant any person is legally responsible for the consequences of an activity, even if they are absent from the area of fault on the part of the defendant. </w:t>
      </w:r>
    </w:p>
    <w:p w:rsidR="0050455E" w:rsidRDefault="0050455E" w:rsidP="006D6B74">
      <w:r>
        <w:t>The</w:t>
      </w:r>
      <w:r w:rsidR="007673BA">
        <w:t xml:space="preserve"> 5</w:t>
      </w:r>
      <w:r>
        <w:t xml:space="preserve"> key requirements include, </w:t>
      </w:r>
    </w:p>
    <w:p w:rsidR="0050455E" w:rsidRDefault="00522326" w:rsidP="007673BA">
      <w:pPr>
        <w:pStyle w:val="ListParagraph"/>
        <w:numPr>
          <w:ilvl w:val="0"/>
          <w:numId w:val="7"/>
        </w:numPr>
      </w:pPr>
      <w:r>
        <w:t>Accumulation on the defendant’s land which refers to the defendant bringing something on to the land and must keep it there.</w:t>
      </w:r>
      <w:r w:rsidR="000F76F5">
        <w:t xml:space="preserve"> </w:t>
      </w:r>
    </w:p>
    <w:p w:rsidR="00214040" w:rsidRDefault="00214040" w:rsidP="007673BA">
      <w:pPr>
        <w:pStyle w:val="ListParagraph"/>
        <w:numPr>
          <w:ilvl w:val="0"/>
          <w:numId w:val="7"/>
        </w:numPr>
      </w:pPr>
      <w:r>
        <w:t xml:space="preserve">The requirement of non-natural use of land </w:t>
      </w:r>
    </w:p>
    <w:p w:rsidR="00214040" w:rsidRDefault="00970F57" w:rsidP="007673BA">
      <w:pPr>
        <w:pStyle w:val="ListParagraph"/>
        <w:numPr>
          <w:ilvl w:val="0"/>
          <w:numId w:val="7"/>
        </w:numPr>
      </w:pPr>
      <w:r>
        <w:t>‘Something’</w:t>
      </w:r>
      <w:r w:rsidR="00214040">
        <w:t>, which could include water, or inert material is possibly going to cause mischief if it escapes.</w:t>
      </w:r>
      <w:bookmarkStart w:id="0" w:name="_GoBack"/>
      <w:bookmarkEnd w:id="0"/>
    </w:p>
    <w:p w:rsidR="00214040" w:rsidRDefault="00214040" w:rsidP="007673BA">
      <w:pPr>
        <w:pStyle w:val="ListParagraph"/>
        <w:numPr>
          <w:ilvl w:val="0"/>
          <w:numId w:val="7"/>
        </w:numPr>
      </w:pPr>
      <w:r>
        <w:t>There must be an escape from the defendants land on to adjacent land.</w:t>
      </w:r>
    </w:p>
    <w:p w:rsidR="00522326" w:rsidRDefault="00522326" w:rsidP="007673BA">
      <w:pPr>
        <w:pStyle w:val="ListParagraph"/>
        <w:numPr>
          <w:ilvl w:val="0"/>
          <w:numId w:val="7"/>
        </w:numPr>
      </w:pPr>
      <w:r>
        <w:t xml:space="preserve">The damage must not be too remote </w:t>
      </w:r>
      <w:r w:rsidR="003F4E14">
        <w:t>and Foreseeable.</w:t>
      </w:r>
    </w:p>
    <w:p w:rsidR="00522326" w:rsidRDefault="003F4E14" w:rsidP="00522326">
      <w:r>
        <w:t>Case number 1.</w:t>
      </w:r>
    </w:p>
    <w:p w:rsidR="001F45F2" w:rsidRDefault="00522326" w:rsidP="00522326">
      <w:r>
        <w:t>Ellison v Ministry of Defence (1997) 81 BLR 101</w:t>
      </w:r>
      <w:r>
        <w:t xml:space="preserve"> refers to the </w:t>
      </w:r>
      <w:r w:rsidR="009D0214">
        <w:t xml:space="preserve">construction of an airfield on the </w:t>
      </w:r>
      <w:r w:rsidR="001F45F2">
        <w:t>defendant’s</w:t>
      </w:r>
      <w:r w:rsidR="009D0214">
        <w:t xml:space="preserve"> land which led to </w:t>
      </w:r>
      <w:r>
        <w:t>accumulation of something</w:t>
      </w:r>
      <w:r w:rsidR="009D0214">
        <w:t xml:space="preserve"> (rain water) on the</w:t>
      </w:r>
      <w:r>
        <w:t xml:space="preserve"> land</w:t>
      </w:r>
      <w:r w:rsidR="009D0214">
        <w:t xml:space="preserve">. This resulted in the accumulated </w:t>
      </w:r>
      <w:r w:rsidR="001F45F2">
        <w:t xml:space="preserve">rain </w:t>
      </w:r>
      <w:r w:rsidR="009D0214">
        <w:t xml:space="preserve">water </w:t>
      </w:r>
      <w:r w:rsidR="001F45F2">
        <w:t>escaping</w:t>
      </w:r>
      <w:r w:rsidR="009D0214">
        <w:t xml:space="preserve"> from the </w:t>
      </w:r>
      <w:r w:rsidR="001E66AF">
        <w:t xml:space="preserve">defendants land and flooding a neighbouring property. </w:t>
      </w:r>
      <w:r w:rsidR="001F45F2">
        <w:t xml:space="preserve">This could come under the key requirements of accumulation, </w:t>
      </w:r>
      <w:r w:rsidR="005B030F">
        <w:t>something escaping and causing mischief, damage and the requirement of non-natural use of the land.</w:t>
      </w:r>
    </w:p>
    <w:p w:rsidR="00522326" w:rsidRDefault="005B030F" w:rsidP="00522326">
      <w:r>
        <w:t>However, t</w:t>
      </w:r>
      <w:r w:rsidR="001E66AF">
        <w:t xml:space="preserve">he defendants land was an airfield, the construction work on the land was necessary for the use of the land as an airfield. </w:t>
      </w:r>
    </w:p>
    <w:p w:rsidR="001E66AF" w:rsidRDefault="001E66AF" w:rsidP="00522326">
      <w:r>
        <w:t>This resulted in the court being in favour of the defendant as due to the nature of the land,</w:t>
      </w:r>
      <w:r w:rsidR="005B030F">
        <w:t xml:space="preserve"> as</w:t>
      </w:r>
      <w:r>
        <w:t xml:space="preserve"> it does not conform to the key requirements of strict liability as it was not a non-natural use of the land. </w:t>
      </w:r>
    </w:p>
    <w:p w:rsidR="001E66AF" w:rsidRDefault="001E66AF" w:rsidP="00522326">
      <w:r>
        <w:t xml:space="preserve">Additionally, the accumulation of the rain water on the land had occurred naturally </w:t>
      </w:r>
      <w:r w:rsidR="00895FEF">
        <w:t xml:space="preserve">and was not </w:t>
      </w:r>
      <w:r w:rsidR="005B030F">
        <w:t>intentionally</w:t>
      </w:r>
      <w:r w:rsidR="00895FEF">
        <w:t xml:space="preserve"> or artificially kept there. This led to the result that the defendant was not liable for the damage to the neighbouring properties land under the Rylands v Fletcher </w:t>
      </w:r>
      <w:r w:rsidR="001F45F2">
        <w:t>key requirements.</w:t>
      </w:r>
    </w:p>
    <w:p w:rsidR="003F4E14" w:rsidRDefault="003F4E14" w:rsidP="00522326">
      <w:r>
        <w:t>Case number 2</w:t>
      </w:r>
    </w:p>
    <w:p w:rsidR="008A6B13" w:rsidRDefault="003F4E14" w:rsidP="00522326">
      <w:r w:rsidRPr="003F4E14">
        <w:t>Cambridge Water v Eastern Count</w:t>
      </w:r>
      <w:r>
        <w:t xml:space="preserve">ies Leather plc [1994] 2 AC 264 refers to the spilling of solvents from a the </w:t>
      </w:r>
      <w:r w:rsidR="008A6B13">
        <w:t>defendants</w:t>
      </w:r>
      <w:r>
        <w:t xml:space="preserve"> leather tanning business </w:t>
      </w:r>
      <w:r w:rsidR="008A6B13">
        <w:t xml:space="preserve">which accumulated over a long period of time and seeped from the property into the soil below. The solvent that had seeped into the soil had made its way to a bore hole of the claimants resulting in contaminated water ceasing the operations of the bore hole. The claimant pursued </w:t>
      </w:r>
      <w:r w:rsidR="00D51810">
        <w:t>a</w:t>
      </w:r>
      <w:r w:rsidR="008A6B13">
        <w:t xml:space="preserve"> rule in Rylands V Fletcher.</w:t>
      </w:r>
    </w:p>
    <w:p w:rsidR="008A6B13" w:rsidRDefault="00BA591E" w:rsidP="00522326">
      <w:r>
        <w:t xml:space="preserve">However, it was heard that the defendant did not come under the key requirements of strict liability as </w:t>
      </w:r>
      <w:r w:rsidR="00664659">
        <w:t xml:space="preserve">it was seen that the damage was too remote. As mentioned earlier, the key requirements under strict liability state that the damage must not be too remote and should be reasonably foreseeable. </w:t>
      </w:r>
    </w:p>
    <w:p w:rsidR="00664659" w:rsidRDefault="00664659" w:rsidP="00522326">
      <w:r>
        <w:t>This is because the defendant</w:t>
      </w:r>
      <w:r w:rsidR="00D40C2F">
        <w:t xml:space="preserve"> could not reasonably foresee that the spillages caused in the defendant’s property could result in the closing of the claimant operations. </w:t>
      </w:r>
    </w:p>
    <w:p w:rsidR="00D40C2F" w:rsidRDefault="00D40C2F" w:rsidP="00522326">
      <w:r>
        <w:t>Case Number 3</w:t>
      </w:r>
    </w:p>
    <w:p w:rsidR="00D40C2F" w:rsidRDefault="00D40C2F" w:rsidP="00522326">
      <w:r w:rsidRPr="00D40C2F">
        <w:t>Hale v Jennings Bros [1938] 1 All ER 579</w:t>
      </w:r>
      <w:r>
        <w:t xml:space="preserve">, refers to the case where the defendant who operated a ride at a fairground </w:t>
      </w:r>
      <w:r w:rsidR="00672843">
        <w:t xml:space="preserve">to which one of the seats of the ride came loose. The chair that had came loose hit the claimant. </w:t>
      </w:r>
    </w:p>
    <w:p w:rsidR="00672843" w:rsidRDefault="00967082" w:rsidP="00522326">
      <w:r>
        <w:lastRenderedPageBreak/>
        <w:t>This was held to amount to an escape</w:t>
      </w:r>
      <w:r w:rsidR="00672843">
        <w:t xml:space="preserve"> under the key requirements strict liability that ‘something’ </w:t>
      </w:r>
      <w:r w:rsidR="00D63E14">
        <w:t xml:space="preserve">is going to cause mischief if it escapes that they could be accountable under Rylands v Fletcher rule. This was granted and the defendant was liable for the personal injury caused by the seat coming loose. </w:t>
      </w:r>
    </w:p>
    <w:p w:rsidR="000F76F5" w:rsidRDefault="003A2919" w:rsidP="00522326">
      <w:r>
        <w:t>This was granted as under the key requirements of strict liability</w:t>
      </w:r>
      <w:r w:rsidR="00970F57">
        <w:t>;</w:t>
      </w:r>
      <w:r>
        <w:t xml:space="preserve"> the chair coming loose was not to remote and for</w:t>
      </w:r>
      <w:r w:rsidR="00970F57">
        <w:t xml:space="preserve">eseeable; something which could cause mischief </w:t>
      </w:r>
      <w:r w:rsidR="00967082">
        <w:t xml:space="preserve">if it </w:t>
      </w:r>
      <w:r w:rsidR="00970F57">
        <w:t>escaped.</w:t>
      </w:r>
    </w:p>
    <w:p w:rsidR="003A2919" w:rsidRDefault="000F76F5" w:rsidP="00522326">
      <w:r>
        <w:t xml:space="preserve">However, this case did not come strictly apply to this requirement of escape, as under Rylands v Fletcher rule, the escape refers to a defendants land but in this case refers to the property of the defendant. </w:t>
      </w:r>
    </w:p>
    <w:p w:rsidR="00D63E14" w:rsidRDefault="00D63E14" w:rsidP="00522326">
      <w:r>
        <w:t xml:space="preserve">Case Number 4 </w:t>
      </w:r>
    </w:p>
    <w:p w:rsidR="003F5C29" w:rsidRDefault="000F76F5" w:rsidP="00522326">
      <w:r w:rsidRPr="000F76F5">
        <w:t>However, there are defences to strict liability as seen in,</w:t>
      </w:r>
      <w:r>
        <w:t xml:space="preserve"> </w:t>
      </w:r>
      <w:r w:rsidRPr="000F76F5">
        <w:t>Perry v Kendricks Transport [1956] WLR 85  Court of Appeal</w:t>
      </w:r>
      <w:r w:rsidR="003F5C29">
        <w:t xml:space="preserve">. The defendant owned a bus which what kept on a piece of land. The claimant who was on the land approached two other individuals (strangers to bother the defendant and the claimant) to which set the bus alight resulting in an explosion. The claimant who was injured in the explosion </w:t>
      </w:r>
      <w:r w:rsidR="005A1CAE">
        <w:t>brought forward the principle of Ryland’s v Fletcher.</w:t>
      </w:r>
    </w:p>
    <w:p w:rsidR="00D63E14" w:rsidRDefault="005A1CAE" w:rsidP="00522326">
      <w:r>
        <w:t xml:space="preserve">However, the court went in favour of the defendant as this was caused by the deliberate act of a third party. </w:t>
      </w:r>
      <w:r w:rsidR="000F76F5">
        <w:t>This refers to the ‘act of a stranger’</w:t>
      </w:r>
      <w:r w:rsidR="003F5C29">
        <w:t xml:space="preserve"> defence as in the case, </w:t>
      </w:r>
      <w:r>
        <w:t xml:space="preserve">which does not conform to any of the key requirements. </w:t>
      </w:r>
    </w:p>
    <w:p w:rsidR="00D40C2F" w:rsidRDefault="00D40C2F" w:rsidP="00522326"/>
    <w:sectPr w:rsidR="00D40C2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D1037" w:rsidRDefault="003D1037" w:rsidP="0087680B">
      <w:pPr>
        <w:spacing w:after="0" w:line="240" w:lineRule="auto"/>
      </w:pPr>
      <w:r>
        <w:separator/>
      </w:r>
    </w:p>
  </w:endnote>
  <w:endnote w:type="continuationSeparator" w:id="0">
    <w:p w:rsidR="003D1037" w:rsidRDefault="003D1037" w:rsidP="00876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9557009"/>
      <w:docPartObj>
        <w:docPartGallery w:val="Page Numbers (Bottom of Page)"/>
        <w:docPartUnique/>
      </w:docPartObj>
    </w:sdtPr>
    <w:sdtEndPr>
      <w:rPr>
        <w:color w:val="7F7F7F" w:themeColor="background1" w:themeShade="7F"/>
        <w:spacing w:val="60"/>
      </w:rPr>
    </w:sdtEndPr>
    <w:sdtContent>
      <w:p w:rsidR="0087680B" w:rsidRDefault="0087680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275E6" w:rsidRPr="00B275E6">
          <w:rPr>
            <w:b/>
            <w:bCs/>
            <w:noProof/>
          </w:rPr>
          <w:t>4</w:t>
        </w:r>
        <w:r>
          <w:rPr>
            <w:b/>
            <w:bCs/>
            <w:noProof/>
          </w:rPr>
          <w:fldChar w:fldCharType="end"/>
        </w:r>
        <w:r>
          <w:rPr>
            <w:b/>
            <w:bCs/>
          </w:rPr>
          <w:t xml:space="preserve"> | </w:t>
        </w:r>
        <w:r>
          <w:rPr>
            <w:color w:val="7F7F7F" w:themeColor="background1" w:themeShade="7F"/>
            <w:spacing w:val="60"/>
          </w:rPr>
          <w:t>Page</w:t>
        </w:r>
      </w:p>
    </w:sdtContent>
  </w:sdt>
  <w:p w:rsidR="0087680B" w:rsidRDefault="00876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D1037" w:rsidRDefault="003D1037" w:rsidP="0087680B">
      <w:pPr>
        <w:spacing w:after="0" w:line="240" w:lineRule="auto"/>
      </w:pPr>
      <w:r>
        <w:separator/>
      </w:r>
    </w:p>
  </w:footnote>
  <w:footnote w:type="continuationSeparator" w:id="0">
    <w:p w:rsidR="003D1037" w:rsidRDefault="003D1037" w:rsidP="008768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680B" w:rsidRDefault="0087680B">
    <w:pPr>
      <w:pStyle w:val="Header"/>
    </w:pPr>
    <w:r>
      <w:t>1706618</w:t>
    </w:r>
  </w:p>
  <w:p w:rsidR="0087680B" w:rsidRDefault="008768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D09A1"/>
    <w:multiLevelType w:val="hybridMultilevel"/>
    <w:tmpl w:val="4D7847F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13D86D94"/>
    <w:multiLevelType w:val="hybridMultilevel"/>
    <w:tmpl w:val="3844D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005F9C"/>
    <w:multiLevelType w:val="hybridMultilevel"/>
    <w:tmpl w:val="72828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B4596E"/>
    <w:multiLevelType w:val="hybridMultilevel"/>
    <w:tmpl w:val="2B0CD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C039F8"/>
    <w:multiLevelType w:val="hybridMultilevel"/>
    <w:tmpl w:val="239C6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D2285A"/>
    <w:multiLevelType w:val="hybridMultilevel"/>
    <w:tmpl w:val="B1D0188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BA0151"/>
    <w:multiLevelType w:val="hybridMultilevel"/>
    <w:tmpl w:val="652CC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281E"/>
    <w:rsid w:val="00016565"/>
    <w:rsid w:val="00064BDA"/>
    <w:rsid w:val="000C4283"/>
    <w:rsid w:val="000F76F5"/>
    <w:rsid w:val="001111B9"/>
    <w:rsid w:val="00154FE2"/>
    <w:rsid w:val="001B2D2A"/>
    <w:rsid w:val="001B40BA"/>
    <w:rsid w:val="001E66AF"/>
    <w:rsid w:val="001F45F2"/>
    <w:rsid w:val="00210629"/>
    <w:rsid w:val="00214040"/>
    <w:rsid w:val="00284521"/>
    <w:rsid w:val="003271A5"/>
    <w:rsid w:val="00327CEF"/>
    <w:rsid w:val="00352AE5"/>
    <w:rsid w:val="0036670E"/>
    <w:rsid w:val="003A2919"/>
    <w:rsid w:val="003A4EB2"/>
    <w:rsid w:val="003D0A72"/>
    <w:rsid w:val="003D1037"/>
    <w:rsid w:val="003F272E"/>
    <w:rsid w:val="003F4E14"/>
    <w:rsid w:val="003F5C29"/>
    <w:rsid w:val="0040253A"/>
    <w:rsid w:val="00444FC4"/>
    <w:rsid w:val="00503EC8"/>
    <w:rsid w:val="0050455E"/>
    <w:rsid w:val="00510F88"/>
    <w:rsid w:val="00522326"/>
    <w:rsid w:val="0053789B"/>
    <w:rsid w:val="005A1CAE"/>
    <w:rsid w:val="005B030F"/>
    <w:rsid w:val="005F4CE7"/>
    <w:rsid w:val="00630466"/>
    <w:rsid w:val="00664659"/>
    <w:rsid w:val="00672843"/>
    <w:rsid w:val="006A1796"/>
    <w:rsid w:val="006A33DD"/>
    <w:rsid w:val="006C64AA"/>
    <w:rsid w:val="006D189D"/>
    <w:rsid w:val="006D6B74"/>
    <w:rsid w:val="007673BA"/>
    <w:rsid w:val="0081281E"/>
    <w:rsid w:val="0087680B"/>
    <w:rsid w:val="00895FEF"/>
    <w:rsid w:val="008A6B13"/>
    <w:rsid w:val="008B65EF"/>
    <w:rsid w:val="008F04F8"/>
    <w:rsid w:val="008F7F00"/>
    <w:rsid w:val="00906EF4"/>
    <w:rsid w:val="0090768C"/>
    <w:rsid w:val="00914B1F"/>
    <w:rsid w:val="00933711"/>
    <w:rsid w:val="00955E6A"/>
    <w:rsid w:val="00967082"/>
    <w:rsid w:val="00970F57"/>
    <w:rsid w:val="009D0214"/>
    <w:rsid w:val="009D4D41"/>
    <w:rsid w:val="00A13D2F"/>
    <w:rsid w:val="00A45036"/>
    <w:rsid w:val="00A743F8"/>
    <w:rsid w:val="00B275E6"/>
    <w:rsid w:val="00B90DE9"/>
    <w:rsid w:val="00BA591E"/>
    <w:rsid w:val="00BB11FF"/>
    <w:rsid w:val="00BD37B5"/>
    <w:rsid w:val="00C05510"/>
    <w:rsid w:val="00C37DA5"/>
    <w:rsid w:val="00CF187E"/>
    <w:rsid w:val="00D40C2F"/>
    <w:rsid w:val="00D51810"/>
    <w:rsid w:val="00D63E14"/>
    <w:rsid w:val="00D844AD"/>
    <w:rsid w:val="00DC721D"/>
    <w:rsid w:val="00DE4B60"/>
    <w:rsid w:val="00E15642"/>
    <w:rsid w:val="00E543EC"/>
    <w:rsid w:val="00ED429D"/>
    <w:rsid w:val="00F256B5"/>
    <w:rsid w:val="00F5115D"/>
    <w:rsid w:val="00F667A2"/>
    <w:rsid w:val="00F81B09"/>
    <w:rsid w:val="00FB0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C7DEBB"/>
  <w15:chartTrackingRefBased/>
  <w15:docId w15:val="{FBBEE60C-69F5-4484-95B6-20245FB5B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4FE2"/>
    <w:pPr>
      <w:ind w:left="720"/>
      <w:contextualSpacing/>
    </w:pPr>
  </w:style>
  <w:style w:type="paragraph" w:styleId="Header">
    <w:name w:val="header"/>
    <w:basedOn w:val="Normal"/>
    <w:link w:val="HeaderChar"/>
    <w:uiPriority w:val="99"/>
    <w:unhideWhenUsed/>
    <w:rsid w:val="008768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80B"/>
  </w:style>
  <w:style w:type="paragraph" w:styleId="Footer">
    <w:name w:val="footer"/>
    <w:basedOn w:val="Normal"/>
    <w:link w:val="FooterChar"/>
    <w:uiPriority w:val="99"/>
    <w:unhideWhenUsed/>
    <w:rsid w:val="008768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80B"/>
  </w:style>
  <w:style w:type="paragraph" w:styleId="BalloonText">
    <w:name w:val="Balloon Text"/>
    <w:basedOn w:val="Normal"/>
    <w:link w:val="BalloonTextChar"/>
    <w:uiPriority w:val="99"/>
    <w:semiHidden/>
    <w:unhideWhenUsed/>
    <w:rsid w:val="00B275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75E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2517</Words>
  <Characters>14351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Lawrence (1706618)</dc:creator>
  <cp:keywords/>
  <dc:description/>
  <cp:lastModifiedBy>Daniel Lawrence (1706618)</cp:lastModifiedBy>
  <cp:revision>2</cp:revision>
  <cp:lastPrinted>2019-05-20T14:28:00Z</cp:lastPrinted>
  <dcterms:created xsi:type="dcterms:W3CDTF">2019-05-20T14:30:00Z</dcterms:created>
  <dcterms:modified xsi:type="dcterms:W3CDTF">2019-05-20T14:30:00Z</dcterms:modified>
</cp:coreProperties>
</file>