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EF6F8" w14:textId="7195EE17" w:rsidR="0084100B" w:rsidRPr="00A248F4" w:rsidRDefault="005419FF">
      <w:pPr>
        <w:rPr>
          <w:rFonts w:ascii="Arial" w:hAnsi="Arial" w:cs="Arial"/>
          <w:sz w:val="24"/>
          <w:szCs w:val="24"/>
          <w:lang w:val="en-US"/>
        </w:rPr>
      </w:pPr>
      <w:r w:rsidRPr="00A248F4">
        <w:rPr>
          <w:rFonts w:ascii="Arial" w:hAnsi="Arial" w:cs="Arial"/>
          <w:sz w:val="24"/>
          <w:szCs w:val="24"/>
          <w:lang w:val="en-US"/>
        </w:rPr>
        <w:t xml:space="preserve">Module: </w:t>
      </w:r>
      <w:r w:rsidRPr="00A248F4">
        <w:rPr>
          <w:rFonts w:ascii="Arial" w:hAnsi="Arial" w:cs="Arial"/>
          <w:i/>
          <w:iCs/>
          <w:sz w:val="24"/>
          <w:szCs w:val="24"/>
          <w:lang w:val="en-US"/>
        </w:rPr>
        <w:t>Accounting fundamentals</w:t>
      </w:r>
    </w:p>
    <w:p w14:paraId="1FDBD0BC" w14:textId="578A8455" w:rsidR="005419FF" w:rsidRDefault="005419FF">
      <w:pPr>
        <w:rPr>
          <w:rFonts w:ascii="Arial" w:hAnsi="Arial" w:cs="Arial"/>
          <w:bCs/>
        </w:rPr>
      </w:pPr>
      <w:r w:rsidRPr="00A248F4">
        <w:rPr>
          <w:rFonts w:ascii="Arial" w:hAnsi="Arial" w:cs="Arial"/>
          <w:sz w:val="24"/>
          <w:szCs w:val="24"/>
          <w:lang w:val="en-US"/>
        </w:rPr>
        <w:t xml:space="preserve">Module code: </w:t>
      </w:r>
      <w:r w:rsidRPr="00A248F4">
        <w:rPr>
          <w:rFonts w:ascii="Arial" w:hAnsi="Arial" w:cs="Arial"/>
          <w:bCs/>
          <w:sz w:val="24"/>
          <w:szCs w:val="24"/>
        </w:rPr>
        <w:t>LCBB 4001</w:t>
      </w:r>
    </w:p>
    <w:p w14:paraId="7803895E" w14:textId="3AB9C8D8" w:rsidR="005419FF" w:rsidRDefault="005419FF">
      <w:pPr>
        <w:rPr>
          <w:rFonts w:ascii="Arial" w:hAnsi="Arial" w:cs="Arial"/>
          <w:bCs/>
        </w:rPr>
      </w:pPr>
    </w:p>
    <w:p w14:paraId="045ADD51" w14:textId="2CE90D8C" w:rsidR="005419FF" w:rsidRDefault="005419FF">
      <w:pPr>
        <w:rPr>
          <w:rFonts w:ascii="Arial" w:hAnsi="Arial" w:cs="Arial"/>
          <w:bCs/>
        </w:rPr>
      </w:pPr>
    </w:p>
    <w:p w14:paraId="03B97247" w14:textId="306B56E3" w:rsidR="005419FF" w:rsidRPr="00A248F4" w:rsidRDefault="005419FF">
      <w:pPr>
        <w:rPr>
          <w:rFonts w:ascii="Arial" w:hAnsi="Arial" w:cs="Arial"/>
          <w:sz w:val="24"/>
          <w:szCs w:val="24"/>
          <w:lang w:val="en-US"/>
        </w:rPr>
      </w:pPr>
      <w:r>
        <w:rPr>
          <w:rFonts w:ascii="Arial" w:hAnsi="Arial" w:cs="Arial"/>
          <w:bCs/>
        </w:rPr>
        <w:t xml:space="preserve">                                                                                                        </w:t>
      </w:r>
      <w:r w:rsidRPr="00A248F4">
        <w:rPr>
          <w:rFonts w:ascii="Arial" w:hAnsi="Arial" w:cs="Arial"/>
          <w:bCs/>
          <w:sz w:val="24"/>
          <w:szCs w:val="24"/>
        </w:rPr>
        <w:t>Date: 1</w:t>
      </w:r>
      <w:r w:rsidRPr="00A248F4">
        <w:rPr>
          <w:rFonts w:ascii="Arial" w:hAnsi="Arial" w:cs="Arial"/>
          <w:bCs/>
          <w:sz w:val="24"/>
          <w:szCs w:val="24"/>
          <w:vertAlign w:val="superscript"/>
        </w:rPr>
        <w:t>st</w:t>
      </w:r>
      <w:r w:rsidRPr="00A248F4">
        <w:rPr>
          <w:rFonts w:ascii="Arial" w:hAnsi="Arial" w:cs="Arial"/>
          <w:bCs/>
          <w:sz w:val="24"/>
          <w:szCs w:val="24"/>
        </w:rPr>
        <w:t xml:space="preserve"> of March 2022</w:t>
      </w:r>
    </w:p>
    <w:p w14:paraId="252636D5" w14:textId="46124FD0" w:rsidR="005419FF" w:rsidRDefault="005419FF">
      <w:pPr>
        <w:rPr>
          <w:rFonts w:ascii="Arial" w:hAnsi="Arial" w:cs="Arial"/>
          <w:lang w:val="en-US"/>
        </w:rPr>
      </w:pPr>
    </w:p>
    <w:p w14:paraId="478CAE83" w14:textId="7B0FAA28" w:rsidR="005419FF" w:rsidRDefault="005419FF">
      <w:pPr>
        <w:rPr>
          <w:rFonts w:ascii="Arial" w:hAnsi="Arial" w:cs="Arial"/>
          <w:lang w:val="en-US"/>
        </w:rPr>
      </w:pPr>
    </w:p>
    <w:p w14:paraId="22FFC72E" w14:textId="4988F2EC" w:rsidR="005419FF" w:rsidRDefault="005419FF">
      <w:pPr>
        <w:rPr>
          <w:rFonts w:ascii="Arial" w:hAnsi="Arial" w:cs="Arial"/>
          <w:lang w:val="en-US"/>
        </w:rPr>
      </w:pPr>
    </w:p>
    <w:p w14:paraId="25DC1EF4" w14:textId="089C3A9B" w:rsidR="005419FF" w:rsidRDefault="005419FF">
      <w:pPr>
        <w:rPr>
          <w:rFonts w:ascii="Arial" w:hAnsi="Arial" w:cs="Arial"/>
          <w:lang w:val="en-US"/>
        </w:rPr>
      </w:pPr>
    </w:p>
    <w:p w14:paraId="6C80F61E" w14:textId="2A6EC460" w:rsidR="005419FF" w:rsidRDefault="005419FF">
      <w:pPr>
        <w:rPr>
          <w:rFonts w:ascii="Arial" w:hAnsi="Arial" w:cs="Arial"/>
          <w:lang w:val="en-US"/>
        </w:rPr>
      </w:pPr>
    </w:p>
    <w:p w14:paraId="710EF8B1" w14:textId="77777777" w:rsidR="005419FF" w:rsidRDefault="005419FF" w:rsidP="005419FF">
      <w:pPr>
        <w:pStyle w:val="Title"/>
        <w:rPr>
          <w:i/>
          <w:iCs/>
          <w:lang w:val="en-US"/>
        </w:rPr>
      </w:pPr>
    </w:p>
    <w:p w14:paraId="7FDB6F6B" w14:textId="77777777" w:rsidR="00A248F4" w:rsidRDefault="00A248F4" w:rsidP="005419FF">
      <w:pPr>
        <w:pStyle w:val="Title"/>
        <w:jc w:val="center"/>
        <w:rPr>
          <w:rFonts w:ascii="Arial" w:hAnsi="Arial" w:cs="Arial"/>
          <w:i/>
          <w:iCs/>
          <w:lang w:val="en-US"/>
        </w:rPr>
      </w:pPr>
    </w:p>
    <w:p w14:paraId="76706ADE" w14:textId="204E6A89" w:rsidR="005419FF" w:rsidRPr="00A248F4" w:rsidRDefault="005419FF" w:rsidP="005419FF">
      <w:pPr>
        <w:pStyle w:val="Title"/>
        <w:jc w:val="center"/>
        <w:rPr>
          <w:rFonts w:ascii="Arial" w:hAnsi="Arial" w:cs="Arial"/>
          <w:i/>
          <w:iCs/>
          <w:lang w:val="en-US"/>
        </w:rPr>
      </w:pPr>
      <w:r w:rsidRPr="00A248F4">
        <w:rPr>
          <w:rFonts w:ascii="Arial" w:hAnsi="Arial" w:cs="Arial"/>
          <w:i/>
          <w:iCs/>
          <w:lang w:val="en-US"/>
        </w:rPr>
        <w:t>Essay on accounting fundamentals</w:t>
      </w:r>
    </w:p>
    <w:p w14:paraId="2EAC9FED" w14:textId="2F80182C" w:rsidR="005419FF" w:rsidRDefault="005419FF" w:rsidP="005419FF">
      <w:pPr>
        <w:rPr>
          <w:lang w:val="en-US"/>
        </w:rPr>
      </w:pPr>
    </w:p>
    <w:p w14:paraId="602C17FD" w14:textId="16A1341B" w:rsidR="005419FF" w:rsidRDefault="005419FF" w:rsidP="005419FF">
      <w:pPr>
        <w:rPr>
          <w:lang w:val="en-US"/>
        </w:rPr>
      </w:pPr>
    </w:p>
    <w:p w14:paraId="4158B890" w14:textId="03AD5478" w:rsidR="005419FF" w:rsidRDefault="005419FF" w:rsidP="005419FF">
      <w:pPr>
        <w:rPr>
          <w:lang w:val="en-US"/>
        </w:rPr>
      </w:pPr>
    </w:p>
    <w:p w14:paraId="2B8E1F24" w14:textId="064D6D9E" w:rsidR="005419FF" w:rsidRDefault="005419FF" w:rsidP="005419FF">
      <w:pPr>
        <w:rPr>
          <w:lang w:val="en-US"/>
        </w:rPr>
      </w:pPr>
    </w:p>
    <w:p w14:paraId="6372E917" w14:textId="4A64F504" w:rsidR="005419FF" w:rsidRDefault="005419FF" w:rsidP="005419FF">
      <w:pPr>
        <w:rPr>
          <w:lang w:val="en-US"/>
        </w:rPr>
      </w:pPr>
    </w:p>
    <w:p w14:paraId="1E18763E" w14:textId="2B7CEF8F" w:rsidR="005419FF" w:rsidRDefault="005419FF" w:rsidP="005419FF">
      <w:pPr>
        <w:rPr>
          <w:lang w:val="en-US"/>
        </w:rPr>
      </w:pPr>
    </w:p>
    <w:p w14:paraId="72FEFBEA" w14:textId="3B133E56" w:rsidR="005419FF" w:rsidRDefault="005419FF" w:rsidP="005419FF">
      <w:pPr>
        <w:rPr>
          <w:lang w:val="en-US"/>
        </w:rPr>
      </w:pPr>
    </w:p>
    <w:p w14:paraId="6C4B4CAB" w14:textId="1FC93DC0" w:rsidR="005419FF" w:rsidRDefault="005419FF" w:rsidP="005419FF">
      <w:pPr>
        <w:rPr>
          <w:lang w:val="en-US"/>
        </w:rPr>
      </w:pPr>
    </w:p>
    <w:p w14:paraId="74AA8035" w14:textId="77777777" w:rsidR="005419FF" w:rsidRDefault="005419FF" w:rsidP="005419FF">
      <w:pPr>
        <w:rPr>
          <w:rFonts w:ascii="Arial" w:hAnsi="Arial" w:cs="Arial"/>
          <w:sz w:val="24"/>
          <w:szCs w:val="24"/>
          <w:lang w:val="en-US"/>
        </w:rPr>
      </w:pPr>
    </w:p>
    <w:p w14:paraId="08378352" w14:textId="77777777" w:rsidR="005419FF" w:rsidRDefault="005419FF" w:rsidP="005419FF">
      <w:pPr>
        <w:rPr>
          <w:rFonts w:ascii="Arial" w:hAnsi="Arial" w:cs="Arial"/>
          <w:sz w:val="24"/>
          <w:szCs w:val="24"/>
          <w:lang w:val="en-US"/>
        </w:rPr>
      </w:pPr>
    </w:p>
    <w:p w14:paraId="552564F4" w14:textId="77777777" w:rsidR="005419FF" w:rsidRDefault="005419FF" w:rsidP="005419FF">
      <w:pPr>
        <w:rPr>
          <w:rFonts w:ascii="Arial" w:hAnsi="Arial" w:cs="Arial"/>
          <w:sz w:val="24"/>
          <w:szCs w:val="24"/>
          <w:lang w:val="en-US"/>
        </w:rPr>
      </w:pPr>
    </w:p>
    <w:p w14:paraId="0652AB85" w14:textId="54B59517" w:rsidR="005419FF" w:rsidRPr="005419FF" w:rsidRDefault="005419FF" w:rsidP="005419FF">
      <w:pPr>
        <w:rPr>
          <w:rFonts w:ascii="Arial" w:hAnsi="Arial" w:cs="Arial"/>
          <w:color w:val="333333"/>
          <w:sz w:val="24"/>
          <w:szCs w:val="24"/>
          <w:shd w:val="clear" w:color="auto" w:fill="FFFFFF"/>
        </w:rPr>
      </w:pPr>
      <w:r w:rsidRPr="005419FF">
        <w:rPr>
          <w:rFonts w:ascii="Arial" w:hAnsi="Arial" w:cs="Arial"/>
          <w:sz w:val="24"/>
          <w:szCs w:val="24"/>
          <w:lang w:val="en-US"/>
        </w:rPr>
        <w:t xml:space="preserve">Student: </w:t>
      </w:r>
      <w:r w:rsidRPr="005419FF">
        <w:rPr>
          <w:rFonts w:ascii="Arial" w:hAnsi="Arial" w:cs="Arial"/>
          <w:i/>
          <w:iCs/>
          <w:sz w:val="24"/>
          <w:szCs w:val="24"/>
          <w:lang w:val="en-US"/>
        </w:rPr>
        <w:t xml:space="preserve">Radu-Daniel Catrina </w:t>
      </w:r>
      <w:r w:rsidRPr="005419FF">
        <w:rPr>
          <w:rFonts w:ascii="Arial" w:hAnsi="Arial" w:cs="Arial"/>
          <w:i/>
          <w:iCs/>
          <w:color w:val="333333"/>
          <w:sz w:val="24"/>
          <w:szCs w:val="24"/>
          <w:shd w:val="clear" w:color="auto" w:fill="FFFFFF"/>
        </w:rPr>
        <w:t>2123271</w:t>
      </w:r>
    </w:p>
    <w:p w14:paraId="300C4351" w14:textId="496BB40F" w:rsidR="005419FF" w:rsidRDefault="005419FF" w:rsidP="005419FF">
      <w:pPr>
        <w:rPr>
          <w:rFonts w:ascii="Arial" w:hAnsi="Arial" w:cs="Arial"/>
          <w:bCs/>
          <w:i/>
          <w:iCs/>
          <w:sz w:val="24"/>
          <w:szCs w:val="24"/>
        </w:rPr>
      </w:pPr>
      <w:r w:rsidRPr="005419FF">
        <w:rPr>
          <w:rFonts w:ascii="Arial" w:hAnsi="Arial" w:cs="Arial"/>
          <w:color w:val="333333"/>
          <w:sz w:val="24"/>
          <w:szCs w:val="24"/>
          <w:shd w:val="clear" w:color="auto" w:fill="FFFFFF"/>
        </w:rPr>
        <w:t xml:space="preserve">Lecturer: </w:t>
      </w:r>
      <w:r w:rsidRPr="005419FF">
        <w:rPr>
          <w:rFonts w:ascii="Arial" w:hAnsi="Arial" w:cs="Arial"/>
          <w:bCs/>
          <w:i/>
          <w:iCs/>
          <w:sz w:val="24"/>
          <w:szCs w:val="24"/>
        </w:rPr>
        <w:t xml:space="preserve">Isaiah </w:t>
      </w:r>
      <w:proofErr w:type="spellStart"/>
      <w:r w:rsidRPr="005419FF">
        <w:rPr>
          <w:rFonts w:ascii="Arial" w:hAnsi="Arial" w:cs="Arial"/>
          <w:bCs/>
          <w:i/>
          <w:iCs/>
          <w:sz w:val="24"/>
          <w:szCs w:val="24"/>
        </w:rPr>
        <w:t>Oino</w:t>
      </w:r>
      <w:proofErr w:type="spellEnd"/>
    </w:p>
    <w:p w14:paraId="43E778A5" w14:textId="220C1993" w:rsidR="00802B14" w:rsidRDefault="00802B14" w:rsidP="005419FF">
      <w:pPr>
        <w:rPr>
          <w:rFonts w:ascii="Arial" w:hAnsi="Arial" w:cs="Arial"/>
          <w:bCs/>
          <w:i/>
          <w:iCs/>
          <w:sz w:val="24"/>
          <w:szCs w:val="24"/>
        </w:rPr>
      </w:pPr>
    </w:p>
    <w:p w14:paraId="453DE8C1" w14:textId="73171179" w:rsidR="00802B14" w:rsidRDefault="00802B14" w:rsidP="005419FF">
      <w:pPr>
        <w:rPr>
          <w:rFonts w:ascii="Arial" w:hAnsi="Arial" w:cs="Arial"/>
          <w:bCs/>
          <w:i/>
          <w:iCs/>
          <w:sz w:val="24"/>
          <w:szCs w:val="24"/>
        </w:rPr>
      </w:pPr>
    </w:p>
    <w:p w14:paraId="5706353C" w14:textId="24351664" w:rsidR="00802B14" w:rsidRDefault="00802B14" w:rsidP="005419FF">
      <w:pPr>
        <w:rPr>
          <w:rFonts w:ascii="Arial" w:hAnsi="Arial" w:cs="Arial"/>
          <w:bCs/>
          <w:i/>
          <w:iCs/>
          <w:sz w:val="24"/>
          <w:szCs w:val="24"/>
        </w:rPr>
      </w:pPr>
    </w:p>
    <w:p w14:paraId="23A8BAC5" w14:textId="1B11D323" w:rsidR="00802B14" w:rsidRDefault="00802B14" w:rsidP="005419FF">
      <w:pPr>
        <w:rPr>
          <w:rFonts w:ascii="Arial" w:hAnsi="Arial" w:cs="Arial"/>
          <w:bCs/>
          <w:i/>
          <w:iCs/>
          <w:sz w:val="24"/>
          <w:szCs w:val="24"/>
        </w:rPr>
      </w:pPr>
    </w:p>
    <w:p w14:paraId="6133DE46" w14:textId="77777777" w:rsidR="00307B94" w:rsidRDefault="00307B94" w:rsidP="002E419A">
      <w:pPr>
        <w:pStyle w:val="Title"/>
        <w:jc w:val="center"/>
        <w:rPr>
          <w:rFonts w:ascii="Arial" w:hAnsi="Arial" w:cs="Arial"/>
          <w:sz w:val="52"/>
          <w:szCs w:val="52"/>
        </w:rPr>
      </w:pPr>
    </w:p>
    <w:p w14:paraId="28576F06" w14:textId="78EC2FC9" w:rsidR="00A30496" w:rsidRDefault="00A30496" w:rsidP="002E419A">
      <w:pPr>
        <w:pStyle w:val="Title"/>
        <w:jc w:val="center"/>
        <w:rPr>
          <w:rFonts w:ascii="Arial" w:hAnsi="Arial" w:cs="Arial"/>
          <w:sz w:val="22"/>
          <w:szCs w:val="22"/>
        </w:rPr>
      </w:pPr>
    </w:p>
    <w:p w14:paraId="17F224D0" w14:textId="6285BDD2" w:rsidR="00C3029C" w:rsidRDefault="00C3029C" w:rsidP="00C3029C"/>
    <w:p w14:paraId="3FD0132E" w14:textId="38172960" w:rsidR="008D148F" w:rsidRPr="008D148F" w:rsidRDefault="008D148F" w:rsidP="00C3029C">
      <w:pPr>
        <w:rPr>
          <w:b/>
          <w:bCs/>
          <w:i/>
          <w:iCs/>
          <w:sz w:val="28"/>
          <w:szCs w:val="28"/>
        </w:rPr>
      </w:pPr>
      <w:r w:rsidRPr="008D148F">
        <w:rPr>
          <w:b/>
          <w:bCs/>
          <w:i/>
          <w:iCs/>
          <w:sz w:val="28"/>
          <w:szCs w:val="28"/>
        </w:rPr>
        <w:lastRenderedPageBreak/>
        <w:t>Adjusted Trial Balance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727"/>
        <w:gridCol w:w="2032"/>
        <w:gridCol w:w="2262"/>
      </w:tblGrid>
      <w:tr w:rsidR="00C3029C" w:rsidRPr="00C3029C" w14:paraId="60815E2F" w14:textId="77777777" w:rsidTr="00B26A5C">
        <w:trPr>
          <w:trHeight w:val="403"/>
        </w:trPr>
        <w:tc>
          <w:tcPr>
            <w:tcW w:w="5070" w:type="dxa"/>
            <w:tcBorders>
              <w:top w:val="nil"/>
              <w:left w:val="nil"/>
              <w:bottom w:val="single" w:sz="4" w:space="0" w:color="auto"/>
              <w:right w:val="single" w:sz="4" w:space="0" w:color="auto"/>
            </w:tcBorders>
          </w:tcPr>
          <w:p w14:paraId="558D4A80" w14:textId="77777777" w:rsidR="00C3029C" w:rsidRPr="00C3029C" w:rsidRDefault="00C3029C" w:rsidP="00C3029C">
            <w:pPr>
              <w:spacing w:after="160" w:line="259" w:lineRule="auto"/>
              <w:rPr>
                <w:bCs/>
              </w:rPr>
            </w:pPr>
            <w:bookmarkStart w:id="0" w:name="_Hlk97305146"/>
          </w:p>
        </w:tc>
        <w:tc>
          <w:tcPr>
            <w:tcW w:w="2126" w:type="dxa"/>
            <w:tcBorders>
              <w:top w:val="single" w:sz="4" w:space="0" w:color="auto"/>
              <w:left w:val="single" w:sz="4" w:space="0" w:color="auto"/>
              <w:bottom w:val="single" w:sz="4" w:space="0" w:color="auto"/>
              <w:right w:val="single" w:sz="4" w:space="0" w:color="auto"/>
            </w:tcBorders>
            <w:hideMark/>
          </w:tcPr>
          <w:p w14:paraId="28700248" w14:textId="77777777" w:rsidR="00C3029C" w:rsidRPr="00C3029C" w:rsidRDefault="00C3029C" w:rsidP="00C3029C">
            <w:pPr>
              <w:spacing w:after="160" w:line="259" w:lineRule="auto"/>
              <w:rPr>
                <w:bCs/>
              </w:rPr>
            </w:pPr>
            <w:r w:rsidRPr="00C3029C">
              <w:rPr>
                <w:bCs/>
              </w:rPr>
              <w:t>Debit (£)</w:t>
            </w:r>
          </w:p>
        </w:tc>
        <w:tc>
          <w:tcPr>
            <w:tcW w:w="2380" w:type="dxa"/>
            <w:tcBorders>
              <w:top w:val="single" w:sz="4" w:space="0" w:color="auto"/>
              <w:left w:val="single" w:sz="4" w:space="0" w:color="auto"/>
              <w:bottom w:val="single" w:sz="4" w:space="0" w:color="auto"/>
              <w:right w:val="single" w:sz="4" w:space="0" w:color="auto"/>
            </w:tcBorders>
            <w:hideMark/>
          </w:tcPr>
          <w:p w14:paraId="6C1443FE" w14:textId="77777777" w:rsidR="00C3029C" w:rsidRPr="00C3029C" w:rsidRDefault="00C3029C" w:rsidP="00C3029C">
            <w:pPr>
              <w:spacing w:after="160" w:line="259" w:lineRule="auto"/>
              <w:rPr>
                <w:bCs/>
              </w:rPr>
            </w:pPr>
            <w:r w:rsidRPr="00C3029C">
              <w:rPr>
                <w:bCs/>
              </w:rPr>
              <w:t>Credit (£)</w:t>
            </w:r>
          </w:p>
        </w:tc>
      </w:tr>
      <w:tr w:rsidR="00C3029C" w:rsidRPr="00C3029C" w14:paraId="643FDDBF"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5E07151A" w14:textId="77777777" w:rsidR="00C3029C" w:rsidRPr="00C3029C" w:rsidRDefault="00C3029C" w:rsidP="00C3029C">
            <w:pPr>
              <w:spacing w:after="160" w:line="259" w:lineRule="auto"/>
              <w:rPr>
                <w:bCs/>
              </w:rPr>
            </w:pPr>
            <w:r w:rsidRPr="00C3029C">
              <w:rPr>
                <w:bCs/>
              </w:rPr>
              <w:t>Finance Income</w:t>
            </w:r>
          </w:p>
        </w:tc>
        <w:tc>
          <w:tcPr>
            <w:tcW w:w="2126" w:type="dxa"/>
            <w:tcBorders>
              <w:top w:val="single" w:sz="4" w:space="0" w:color="auto"/>
              <w:left w:val="single" w:sz="4" w:space="0" w:color="auto"/>
              <w:bottom w:val="single" w:sz="4" w:space="0" w:color="auto"/>
              <w:right w:val="single" w:sz="4" w:space="0" w:color="auto"/>
            </w:tcBorders>
          </w:tcPr>
          <w:p w14:paraId="50C17317"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286921BB" w14:textId="77777777" w:rsidR="00C3029C" w:rsidRPr="00C3029C" w:rsidRDefault="00C3029C" w:rsidP="00C3029C">
            <w:pPr>
              <w:spacing w:after="160" w:line="259" w:lineRule="auto"/>
              <w:rPr>
                <w:bCs/>
              </w:rPr>
            </w:pPr>
            <w:r w:rsidRPr="00C3029C">
              <w:rPr>
                <w:bCs/>
              </w:rPr>
              <w:t>4,000</w:t>
            </w:r>
          </w:p>
        </w:tc>
      </w:tr>
      <w:tr w:rsidR="00C3029C" w:rsidRPr="00C3029C" w14:paraId="0C36319C"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012AC7ED" w14:textId="77777777" w:rsidR="00C3029C" w:rsidRPr="00C3029C" w:rsidRDefault="00C3029C" w:rsidP="00C3029C">
            <w:pPr>
              <w:spacing w:after="160" w:line="259" w:lineRule="auto"/>
              <w:rPr>
                <w:bCs/>
              </w:rPr>
            </w:pPr>
            <w:r w:rsidRPr="00C3029C">
              <w:rPr>
                <w:bCs/>
              </w:rPr>
              <w:t>Finance expense</w:t>
            </w:r>
          </w:p>
        </w:tc>
        <w:tc>
          <w:tcPr>
            <w:tcW w:w="2126" w:type="dxa"/>
            <w:tcBorders>
              <w:top w:val="single" w:sz="4" w:space="0" w:color="auto"/>
              <w:left w:val="single" w:sz="4" w:space="0" w:color="auto"/>
              <w:bottom w:val="single" w:sz="4" w:space="0" w:color="auto"/>
              <w:right w:val="single" w:sz="4" w:space="0" w:color="auto"/>
            </w:tcBorders>
            <w:hideMark/>
          </w:tcPr>
          <w:p w14:paraId="614472E9" w14:textId="77777777" w:rsidR="00C3029C" w:rsidRPr="00C3029C" w:rsidRDefault="00C3029C" w:rsidP="00C3029C">
            <w:pPr>
              <w:spacing w:after="160" w:line="259" w:lineRule="auto"/>
              <w:rPr>
                <w:bCs/>
              </w:rPr>
            </w:pPr>
            <w:r w:rsidRPr="00C3029C">
              <w:rPr>
                <w:bCs/>
              </w:rPr>
              <w:t>16,000</w:t>
            </w:r>
          </w:p>
        </w:tc>
        <w:tc>
          <w:tcPr>
            <w:tcW w:w="2380" w:type="dxa"/>
            <w:tcBorders>
              <w:top w:val="single" w:sz="4" w:space="0" w:color="auto"/>
              <w:left w:val="single" w:sz="4" w:space="0" w:color="auto"/>
              <w:bottom w:val="single" w:sz="4" w:space="0" w:color="auto"/>
              <w:right w:val="single" w:sz="4" w:space="0" w:color="auto"/>
            </w:tcBorders>
          </w:tcPr>
          <w:p w14:paraId="19F94E1B" w14:textId="77777777" w:rsidR="00C3029C" w:rsidRPr="00C3029C" w:rsidRDefault="00C3029C" w:rsidP="00C3029C">
            <w:pPr>
              <w:spacing w:after="160" w:line="259" w:lineRule="auto"/>
              <w:rPr>
                <w:bCs/>
              </w:rPr>
            </w:pPr>
          </w:p>
        </w:tc>
      </w:tr>
      <w:tr w:rsidR="00C3029C" w:rsidRPr="00C3029C" w14:paraId="4A2A0FED"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1619F24F" w14:textId="77777777" w:rsidR="00C3029C" w:rsidRPr="00C3029C" w:rsidRDefault="00C3029C" w:rsidP="00C3029C">
            <w:pPr>
              <w:spacing w:after="160" w:line="259" w:lineRule="auto"/>
              <w:rPr>
                <w:bCs/>
              </w:rPr>
            </w:pPr>
            <w:r w:rsidRPr="00C3029C">
              <w:rPr>
                <w:bCs/>
              </w:rPr>
              <w:t>Share Capital</w:t>
            </w:r>
          </w:p>
        </w:tc>
        <w:tc>
          <w:tcPr>
            <w:tcW w:w="2126" w:type="dxa"/>
            <w:tcBorders>
              <w:top w:val="single" w:sz="4" w:space="0" w:color="auto"/>
              <w:left w:val="single" w:sz="4" w:space="0" w:color="auto"/>
              <w:bottom w:val="single" w:sz="4" w:space="0" w:color="auto"/>
              <w:right w:val="single" w:sz="4" w:space="0" w:color="auto"/>
            </w:tcBorders>
          </w:tcPr>
          <w:p w14:paraId="7C7182DC"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29B61AAC" w14:textId="77777777" w:rsidR="00C3029C" w:rsidRPr="00C3029C" w:rsidRDefault="00C3029C" w:rsidP="00C3029C">
            <w:pPr>
              <w:spacing w:after="160" w:line="259" w:lineRule="auto"/>
              <w:rPr>
                <w:bCs/>
              </w:rPr>
            </w:pPr>
            <w:r w:rsidRPr="00C3029C">
              <w:rPr>
                <w:bCs/>
              </w:rPr>
              <w:t>347,900</w:t>
            </w:r>
          </w:p>
        </w:tc>
      </w:tr>
      <w:tr w:rsidR="00C3029C" w:rsidRPr="00C3029C" w14:paraId="01D1BDA8"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4AB1CFF6" w14:textId="77777777" w:rsidR="00C3029C" w:rsidRPr="00C3029C" w:rsidRDefault="00C3029C" w:rsidP="00C3029C">
            <w:pPr>
              <w:spacing w:after="160" w:line="259" w:lineRule="auto"/>
              <w:rPr>
                <w:bCs/>
              </w:rPr>
            </w:pPr>
            <w:r w:rsidRPr="00C3029C">
              <w:rPr>
                <w:bCs/>
              </w:rPr>
              <w:t>Bank</w:t>
            </w:r>
          </w:p>
        </w:tc>
        <w:tc>
          <w:tcPr>
            <w:tcW w:w="2126" w:type="dxa"/>
            <w:tcBorders>
              <w:top w:val="single" w:sz="4" w:space="0" w:color="auto"/>
              <w:left w:val="single" w:sz="4" w:space="0" w:color="auto"/>
              <w:bottom w:val="single" w:sz="4" w:space="0" w:color="auto"/>
              <w:right w:val="single" w:sz="4" w:space="0" w:color="auto"/>
            </w:tcBorders>
          </w:tcPr>
          <w:p w14:paraId="2283FA8B"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3C2F68BC" w14:textId="77777777" w:rsidR="00C3029C" w:rsidRPr="00C3029C" w:rsidRDefault="00C3029C" w:rsidP="00C3029C">
            <w:pPr>
              <w:spacing w:after="160" w:line="259" w:lineRule="auto"/>
              <w:rPr>
                <w:bCs/>
              </w:rPr>
            </w:pPr>
            <w:r w:rsidRPr="00C3029C">
              <w:rPr>
                <w:bCs/>
              </w:rPr>
              <w:t>2,000</w:t>
            </w:r>
          </w:p>
        </w:tc>
      </w:tr>
      <w:tr w:rsidR="00C3029C" w:rsidRPr="00C3029C" w14:paraId="75A71163"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666582D6" w14:textId="77777777" w:rsidR="00C3029C" w:rsidRPr="00C3029C" w:rsidRDefault="00C3029C" w:rsidP="00C3029C">
            <w:pPr>
              <w:spacing w:after="160" w:line="259" w:lineRule="auto"/>
              <w:rPr>
                <w:bCs/>
              </w:rPr>
            </w:pPr>
            <w:r w:rsidRPr="00C3029C">
              <w:rPr>
                <w:bCs/>
              </w:rPr>
              <w:t>Opening Inventory</w:t>
            </w:r>
          </w:p>
        </w:tc>
        <w:tc>
          <w:tcPr>
            <w:tcW w:w="2126" w:type="dxa"/>
            <w:tcBorders>
              <w:top w:val="single" w:sz="4" w:space="0" w:color="auto"/>
              <w:left w:val="single" w:sz="4" w:space="0" w:color="auto"/>
              <w:bottom w:val="single" w:sz="4" w:space="0" w:color="auto"/>
              <w:right w:val="single" w:sz="4" w:space="0" w:color="auto"/>
            </w:tcBorders>
            <w:hideMark/>
          </w:tcPr>
          <w:p w14:paraId="5F593D69" w14:textId="77777777" w:rsidR="00C3029C" w:rsidRPr="00C3029C" w:rsidRDefault="00C3029C" w:rsidP="00C3029C">
            <w:pPr>
              <w:spacing w:after="160" w:line="259" w:lineRule="auto"/>
              <w:rPr>
                <w:bCs/>
              </w:rPr>
            </w:pPr>
            <w:r w:rsidRPr="00C3029C">
              <w:rPr>
                <w:bCs/>
              </w:rPr>
              <w:t>90,000</w:t>
            </w:r>
          </w:p>
        </w:tc>
        <w:tc>
          <w:tcPr>
            <w:tcW w:w="2380" w:type="dxa"/>
            <w:tcBorders>
              <w:top w:val="single" w:sz="4" w:space="0" w:color="auto"/>
              <w:left w:val="single" w:sz="4" w:space="0" w:color="auto"/>
              <w:bottom w:val="single" w:sz="4" w:space="0" w:color="auto"/>
              <w:right w:val="single" w:sz="4" w:space="0" w:color="auto"/>
            </w:tcBorders>
          </w:tcPr>
          <w:p w14:paraId="7D95C4AD" w14:textId="77777777" w:rsidR="00C3029C" w:rsidRPr="00C3029C" w:rsidRDefault="00C3029C" w:rsidP="00C3029C">
            <w:pPr>
              <w:spacing w:after="160" w:line="259" w:lineRule="auto"/>
              <w:rPr>
                <w:bCs/>
              </w:rPr>
            </w:pPr>
          </w:p>
        </w:tc>
      </w:tr>
      <w:tr w:rsidR="00C3029C" w:rsidRPr="00C3029C" w14:paraId="57C1BBA3"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2552FC93" w14:textId="77777777" w:rsidR="00C3029C" w:rsidRPr="00C3029C" w:rsidRDefault="00C3029C" w:rsidP="00C3029C">
            <w:pPr>
              <w:spacing w:after="160" w:line="259" w:lineRule="auto"/>
              <w:rPr>
                <w:bCs/>
              </w:rPr>
            </w:pPr>
            <w:r w:rsidRPr="00C3029C">
              <w:rPr>
                <w:bCs/>
              </w:rPr>
              <w:t>Machinery at cost</w:t>
            </w:r>
          </w:p>
        </w:tc>
        <w:tc>
          <w:tcPr>
            <w:tcW w:w="2126" w:type="dxa"/>
            <w:tcBorders>
              <w:top w:val="single" w:sz="4" w:space="0" w:color="auto"/>
              <w:left w:val="single" w:sz="4" w:space="0" w:color="auto"/>
              <w:bottom w:val="single" w:sz="4" w:space="0" w:color="auto"/>
              <w:right w:val="single" w:sz="4" w:space="0" w:color="auto"/>
            </w:tcBorders>
            <w:hideMark/>
          </w:tcPr>
          <w:p w14:paraId="7BB065BF" w14:textId="77777777" w:rsidR="00C3029C" w:rsidRPr="00C3029C" w:rsidRDefault="00C3029C" w:rsidP="00C3029C">
            <w:pPr>
              <w:spacing w:after="160" w:line="259" w:lineRule="auto"/>
              <w:rPr>
                <w:bCs/>
              </w:rPr>
            </w:pPr>
            <w:r w:rsidRPr="00C3029C">
              <w:rPr>
                <w:bCs/>
              </w:rPr>
              <w:t>120,000</w:t>
            </w:r>
          </w:p>
        </w:tc>
        <w:tc>
          <w:tcPr>
            <w:tcW w:w="2380" w:type="dxa"/>
            <w:tcBorders>
              <w:top w:val="single" w:sz="4" w:space="0" w:color="auto"/>
              <w:left w:val="single" w:sz="4" w:space="0" w:color="auto"/>
              <w:bottom w:val="single" w:sz="4" w:space="0" w:color="auto"/>
              <w:right w:val="single" w:sz="4" w:space="0" w:color="auto"/>
            </w:tcBorders>
          </w:tcPr>
          <w:p w14:paraId="393C4221" w14:textId="77777777" w:rsidR="00C3029C" w:rsidRPr="00C3029C" w:rsidRDefault="00C3029C" w:rsidP="00C3029C">
            <w:pPr>
              <w:spacing w:after="160" w:line="259" w:lineRule="auto"/>
              <w:rPr>
                <w:bCs/>
              </w:rPr>
            </w:pPr>
          </w:p>
        </w:tc>
      </w:tr>
      <w:tr w:rsidR="00C3029C" w:rsidRPr="00C3029C" w14:paraId="3B2CB298"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3E483947" w14:textId="77777777" w:rsidR="00C3029C" w:rsidRPr="00C3029C" w:rsidRDefault="00C3029C" w:rsidP="00C3029C">
            <w:pPr>
              <w:spacing w:after="160" w:line="259" w:lineRule="auto"/>
              <w:rPr>
                <w:bCs/>
              </w:rPr>
            </w:pPr>
            <w:r w:rsidRPr="00C3029C">
              <w:rPr>
                <w:bCs/>
              </w:rPr>
              <w:t>Buildings at cost</w:t>
            </w:r>
          </w:p>
        </w:tc>
        <w:tc>
          <w:tcPr>
            <w:tcW w:w="2126" w:type="dxa"/>
            <w:tcBorders>
              <w:top w:val="single" w:sz="4" w:space="0" w:color="auto"/>
              <w:left w:val="single" w:sz="4" w:space="0" w:color="auto"/>
              <w:bottom w:val="single" w:sz="4" w:space="0" w:color="auto"/>
              <w:right w:val="single" w:sz="4" w:space="0" w:color="auto"/>
            </w:tcBorders>
            <w:hideMark/>
          </w:tcPr>
          <w:p w14:paraId="73CA2332" w14:textId="77777777" w:rsidR="00C3029C" w:rsidRPr="00C3029C" w:rsidRDefault="00C3029C" w:rsidP="00C3029C">
            <w:pPr>
              <w:spacing w:after="160" w:line="259" w:lineRule="auto"/>
              <w:rPr>
                <w:bCs/>
              </w:rPr>
            </w:pPr>
            <w:r w:rsidRPr="00C3029C">
              <w:rPr>
                <w:bCs/>
              </w:rPr>
              <w:t>750,000</w:t>
            </w:r>
          </w:p>
        </w:tc>
        <w:tc>
          <w:tcPr>
            <w:tcW w:w="2380" w:type="dxa"/>
            <w:tcBorders>
              <w:top w:val="single" w:sz="4" w:space="0" w:color="auto"/>
              <w:left w:val="single" w:sz="4" w:space="0" w:color="auto"/>
              <w:bottom w:val="single" w:sz="4" w:space="0" w:color="auto"/>
              <w:right w:val="single" w:sz="4" w:space="0" w:color="auto"/>
            </w:tcBorders>
          </w:tcPr>
          <w:p w14:paraId="2CB51D2B" w14:textId="77777777" w:rsidR="00C3029C" w:rsidRPr="00C3029C" w:rsidRDefault="00C3029C" w:rsidP="00C3029C">
            <w:pPr>
              <w:spacing w:after="160" w:line="259" w:lineRule="auto"/>
              <w:rPr>
                <w:bCs/>
              </w:rPr>
            </w:pPr>
          </w:p>
        </w:tc>
      </w:tr>
      <w:tr w:rsidR="00C3029C" w:rsidRPr="00C3029C" w14:paraId="1F2CFA41" w14:textId="77777777" w:rsidTr="00B26A5C">
        <w:tc>
          <w:tcPr>
            <w:tcW w:w="5070" w:type="dxa"/>
            <w:tcBorders>
              <w:top w:val="single" w:sz="4" w:space="0" w:color="auto"/>
              <w:left w:val="single" w:sz="4" w:space="0" w:color="auto"/>
              <w:bottom w:val="single" w:sz="4" w:space="0" w:color="auto"/>
              <w:right w:val="single" w:sz="4" w:space="0" w:color="auto"/>
            </w:tcBorders>
          </w:tcPr>
          <w:p w14:paraId="3CCC3EFF" w14:textId="77777777" w:rsidR="00C3029C" w:rsidRPr="00C3029C" w:rsidRDefault="00C3029C" w:rsidP="00C3029C">
            <w:pPr>
              <w:spacing w:after="160" w:line="259" w:lineRule="auto"/>
              <w:rPr>
                <w:bCs/>
              </w:rPr>
            </w:pPr>
            <w:r w:rsidRPr="00C3029C">
              <w:rPr>
                <w:bCs/>
              </w:rPr>
              <w:t>Depreciation for Buildings</w:t>
            </w:r>
          </w:p>
        </w:tc>
        <w:tc>
          <w:tcPr>
            <w:tcW w:w="2126" w:type="dxa"/>
            <w:tcBorders>
              <w:top w:val="single" w:sz="4" w:space="0" w:color="auto"/>
              <w:left w:val="single" w:sz="4" w:space="0" w:color="auto"/>
              <w:bottom w:val="single" w:sz="4" w:space="0" w:color="auto"/>
              <w:right w:val="single" w:sz="4" w:space="0" w:color="auto"/>
            </w:tcBorders>
          </w:tcPr>
          <w:p w14:paraId="029984F2" w14:textId="77777777" w:rsidR="00C3029C" w:rsidRPr="00C3029C" w:rsidRDefault="00C3029C" w:rsidP="00C3029C">
            <w:pPr>
              <w:spacing w:after="160" w:line="259" w:lineRule="auto"/>
              <w:rPr>
                <w:bCs/>
              </w:rPr>
            </w:pPr>
            <w:r w:rsidRPr="00C3029C">
              <w:rPr>
                <w:bCs/>
              </w:rPr>
              <w:t>32,500</w:t>
            </w:r>
          </w:p>
        </w:tc>
        <w:tc>
          <w:tcPr>
            <w:tcW w:w="2380" w:type="dxa"/>
            <w:tcBorders>
              <w:top w:val="single" w:sz="4" w:space="0" w:color="auto"/>
              <w:left w:val="single" w:sz="4" w:space="0" w:color="auto"/>
              <w:bottom w:val="single" w:sz="4" w:space="0" w:color="auto"/>
              <w:right w:val="single" w:sz="4" w:space="0" w:color="auto"/>
            </w:tcBorders>
          </w:tcPr>
          <w:p w14:paraId="568DF641" w14:textId="77777777" w:rsidR="00C3029C" w:rsidRPr="00C3029C" w:rsidRDefault="00C3029C" w:rsidP="00C3029C">
            <w:pPr>
              <w:spacing w:after="160" w:line="259" w:lineRule="auto"/>
              <w:rPr>
                <w:bCs/>
              </w:rPr>
            </w:pPr>
          </w:p>
        </w:tc>
      </w:tr>
      <w:tr w:rsidR="00C3029C" w:rsidRPr="00C3029C" w14:paraId="10046458" w14:textId="77777777" w:rsidTr="00B26A5C">
        <w:tc>
          <w:tcPr>
            <w:tcW w:w="5070" w:type="dxa"/>
            <w:tcBorders>
              <w:top w:val="single" w:sz="4" w:space="0" w:color="auto"/>
              <w:left w:val="single" w:sz="4" w:space="0" w:color="auto"/>
              <w:bottom w:val="single" w:sz="4" w:space="0" w:color="auto"/>
              <w:right w:val="single" w:sz="4" w:space="0" w:color="auto"/>
            </w:tcBorders>
          </w:tcPr>
          <w:p w14:paraId="1B89438B" w14:textId="77777777" w:rsidR="00C3029C" w:rsidRPr="00C3029C" w:rsidRDefault="00C3029C" w:rsidP="00C3029C">
            <w:pPr>
              <w:spacing w:after="160" w:line="259" w:lineRule="auto"/>
              <w:rPr>
                <w:bCs/>
              </w:rPr>
            </w:pPr>
            <w:r w:rsidRPr="00C3029C">
              <w:rPr>
                <w:bCs/>
              </w:rPr>
              <w:t>Depreciation for Machinery</w:t>
            </w:r>
          </w:p>
        </w:tc>
        <w:tc>
          <w:tcPr>
            <w:tcW w:w="2126" w:type="dxa"/>
            <w:tcBorders>
              <w:top w:val="single" w:sz="4" w:space="0" w:color="auto"/>
              <w:left w:val="single" w:sz="4" w:space="0" w:color="auto"/>
              <w:bottom w:val="single" w:sz="4" w:space="0" w:color="auto"/>
              <w:right w:val="single" w:sz="4" w:space="0" w:color="auto"/>
            </w:tcBorders>
          </w:tcPr>
          <w:p w14:paraId="7BF0DA3F" w14:textId="77777777" w:rsidR="00C3029C" w:rsidRPr="00C3029C" w:rsidRDefault="00C3029C" w:rsidP="00C3029C">
            <w:pPr>
              <w:spacing w:after="160" w:line="259" w:lineRule="auto"/>
              <w:rPr>
                <w:bCs/>
              </w:rPr>
            </w:pPr>
            <w:r w:rsidRPr="00C3029C">
              <w:rPr>
                <w:bCs/>
              </w:rPr>
              <w:t>30,000</w:t>
            </w:r>
          </w:p>
        </w:tc>
        <w:tc>
          <w:tcPr>
            <w:tcW w:w="2380" w:type="dxa"/>
            <w:tcBorders>
              <w:top w:val="single" w:sz="4" w:space="0" w:color="auto"/>
              <w:left w:val="single" w:sz="4" w:space="0" w:color="auto"/>
              <w:bottom w:val="single" w:sz="4" w:space="0" w:color="auto"/>
              <w:right w:val="single" w:sz="4" w:space="0" w:color="auto"/>
            </w:tcBorders>
          </w:tcPr>
          <w:p w14:paraId="61F1B046" w14:textId="77777777" w:rsidR="00C3029C" w:rsidRPr="00C3029C" w:rsidRDefault="00C3029C" w:rsidP="00C3029C">
            <w:pPr>
              <w:spacing w:after="160" w:line="259" w:lineRule="auto"/>
              <w:rPr>
                <w:bCs/>
              </w:rPr>
            </w:pPr>
          </w:p>
        </w:tc>
      </w:tr>
      <w:tr w:rsidR="00C3029C" w:rsidRPr="00C3029C" w14:paraId="7B65AC32"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138A4190" w14:textId="77777777" w:rsidR="00C3029C" w:rsidRPr="00C3029C" w:rsidRDefault="00C3029C" w:rsidP="00C3029C">
            <w:pPr>
              <w:spacing w:after="160" w:line="259" w:lineRule="auto"/>
              <w:rPr>
                <w:bCs/>
              </w:rPr>
            </w:pPr>
            <w:r w:rsidRPr="00C3029C">
              <w:rPr>
                <w:bCs/>
              </w:rPr>
              <w:t>Provision for Depreciation - Buildings</w:t>
            </w:r>
          </w:p>
        </w:tc>
        <w:tc>
          <w:tcPr>
            <w:tcW w:w="2126" w:type="dxa"/>
            <w:tcBorders>
              <w:top w:val="single" w:sz="4" w:space="0" w:color="auto"/>
              <w:left w:val="single" w:sz="4" w:space="0" w:color="auto"/>
              <w:bottom w:val="single" w:sz="4" w:space="0" w:color="auto"/>
              <w:right w:val="single" w:sz="4" w:space="0" w:color="auto"/>
            </w:tcBorders>
          </w:tcPr>
          <w:p w14:paraId="3A01F0A1"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7779169E" w14:textId="77777777" w:rsidR="00C3029C" w:rsidRPr="00C3029C" w:rsidRDefault="00C3029C" w:rsidP="00C3029C">
            <w:pPr>
              <w:spacing w:after="160" w:line="259" w:lineRule="auto"/>
              <w:rPr>
                <w:bCs/>
              </w:rPr>
            </w:pPr>
            <w:r w:rsidRPr="00C3029C">
              <w:rPr>
                <w:bCs/>
              </w:rPr>
              <w:t>132,500</w:t>
            </w:r>
          </w:p>
        </w:tc>
      </w:tr>
      <w:tr w:rsidR="00C3029C" w:rsidRPr="00C3029C" w14:paraId="1D39D279"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068C03A9" w14:textId="77777777" w:rsidR="00C3029C" w:rsidRPr="00C3029C" w:rsidRDefault="00C3029C" w:rsidP="00C3029C">
            <w:pPr>
              <w:spacing w:after="160" w:line="259" w:lineRule="auto"/>
              <w:rPr>
                <w:bCs/>
              </w:rPr>
            </w:pPr>
            <w:r w:rsidRPr="00C3029C">
              <w:rPr>
                <w:bCs/>
              </w:rPr>
              <w:t>Provision for Depreciation – Machinery</w:t>
            </w:r>
          </w:p>
        </w:tc>
        <w:tc>
          <w:tcPr>
            <w:tcW w:w="2126" w:type="dxa"/>
            <w:tcBorders>
              <w:top w:val="single" w:sz="4" w:space="0" w:color="auto"/>
              <w:left w:val="single" w:sz="4" w:space="0" w:color="auto"/>
              <w:bottom w:val="single" w:sz="4" w:space="0" w:color="auto"/>
              <w:right w:val="single" w:sz="4" w:space="0" w:color="auto"/>
            </w:tcBorders>
          </w:tcPr>
          <w:p w14:paraId="447529DC"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5DD3B0FD" w14:textId="77777777" w:rsidR="00C3029C" w:rsidRPr="00C3029C" w:rsidRDefault="00C3029C" w:rsidP="00C3029C">
            <w:pPr>
              <w:spacing w:after="160" w:line="259" w:lineRule="auto"/>
              <w:rPr>
                <w:bCs/>
              </w:rPr>
            </w:pPr>
            <w:r w:rsidRPr="00C3029C">
              <w:rPr>
                <w:bCs/>
              </w:rPr>
              <w:t>55,000</w:t>
            </w:r>
          </w:p>
        </w:tc>
      </w:tr>
      <w:tr w:rsidR="00C3029C" w:rsidRPr="00C3029C" w14:paraId="295B3BBD"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4E4C2966" w14:textId="77777777" w:rsidR="00C3029C" w:rsidRPr="00C3029C" w:rsidRDefault="00C3029C" w:rsidP="00C3029C">
            <w:pPr>
              <w:spacing w:after="160" w:line="259" w:lineRule="auto"/>
              <w:rPr>
                <w:bCs/>
              </w:rPr>
            </w:pPr>
            <w:r w:rsidRPr="00C3029C">
              <w:rPr>
                <w:bCs/>
              </w:rPr>
              <w:t>Legal expenses</w:t>
            </w:r>
          </w:p>
        </w:tc>
        <w:tc>
          <w:tcPr>
            <w:tcW w:w="2126" w:type="dxa"/>
            <w:tcBorders>
              <w:top w:val="single" w:sz="4" w:space="0" w:color="auto"/>
              <w:left w:val="single" w:sz="4" w:space="0" w:color="auto"/>
              <w:bottom w:val="single" w:sz="4" w:space="0" w:color="auto"/>
              <w:right w:val="single" w:sz="4" w:space="0" w:color="auto"/>
            </w:tcBorders>
            <w:hideMark/>
          </w:tcPr>
          <w:p w14:paraId="5ADD05CB" w14:textId="77777777" w:rsidR="00C3029C" w:rsidRPr="00C3029C" w:rsidRDefault="00C3029C" w:rsidP="00C3029C">
            <w:pPr>
              <w:spacing w:after="160" w:line="259" w:lineRule="auto"/>
              <w:rPr>
                <w:bCs/>
              </w:rPr>
            </w:pPr>
            <w:r w:rsidRPr="00C3029C">
              <w:rPr>
                <w:bCs/>
              </w:rPr>
              <w:t>7,000</w:t>
            </w:r>
          </w:p>
        </w:tc>
        <w:tc>
          <w:tcPr>
            <w:tcW w:w="2380" w:type="dxa"/>
            <w:tcBorders>
              <w:top w:val="single" w:sz="4" w:space="0" w:color="auto"/>
              <w:left w:val="single" w:sz="4" w:space="0" w:color="auto"/>
              <w:bottom w:val="single" w:sz="4" w:space="0" w:color="auto"/>
              <w:right w:val="single" w:sz="4" w:space="0" w:color="auto"/>
            </w:tcBorders>
          </w:tcPr>
          <w:p w14:paraId="6C34317B" w14:textId="77777777" w:rsidR="00C3029C" w:rsidRPr="00C3029C" w:rsidRDefault="00C3029C" w:rsidP="00C3029C">
            <w:pPr>
              <w:spacing w:after="160" w:line="259" w:lineRule="auto"/>
              <w:rPr>
                <w:bCs/>
              </w:rPr>
            </w:pPr>
          </w:p>
        </w:tc>
      </w:tr>
      <w:tr w:rsidR="00C3029C" w:rsidRPr="00C3029C" w14:paraId="44D3297D"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2C0F8579" w14:textId="77777777" w:rsidR="00C3029C" w:rsidRPr="00C3029C" w:rsidRDefault="00C3029C" w:rsidP="00C3029C">
            <w:pPr>
              <w:spacing w:after="160" w:line="259" w:lineRule="auto"/>
              <w:rPr>
                <w:bCs/>
              </w:rPr>
            </w:pPr>
            <w:r w:rsidRPr="00C3029C">
              <w:rPr>
                <w:bCs/>
              </w:rPr>
              <w:t>Heating and Lighting</w:t>
            </w:r>
          </w:p>
        </w:tc>
        <w:tc>
          <w:tcPr>
            <w:tcW w:w="2126" w:type="dxa"/>
            <w:tcBorders>
              <w:top w:val="single" w:sz="4" w:space="0" w:color="auto"/>
              <w:left w:val="single" w:sz="4" w:space="0" w:color="auto"/>
              <w:bottom w:val="single" w:sz="4" w:space="0" w:color="auto"/>
              <w:right w:val="single" w:sz="4" w:space="0" w:color="auto"/>
            </w:tcBorders>
            <w:hideMark/>
          </w:tcPr>
          <w:p w14:paraId="6A803531" w14:textId="77777777" w:rsidR="00C3029C" w:rsidRPr="00C3029C" w:rsidRDefault="00C3029C" w:rsidP="00C3029C">
            <w:pPr>
              <w:spacing w:after="160" w:line="259" w:lineRule="auto"/>
              <w:rPr>
                <w:bCs/>
              </w:rPr>
            </w:pPr>
            <w:r w:rsidRPr="00C3029C">
              <w:rPr>
                <w:bCs/>
              </w:rPr>
              <w:t>10,000</w:t>
            </w:r>
          </w:p>
        </w:tc>
        <w:tc>
          <w:tcPr>
            <w:tcW w:w="2380" w:type="dxa"/>
            <w:tcBorders>
              <w:top w:val="single" w:sz="4" w:space="0" w:color="auto"/>
              <w:left w:val="single" w:sz="4" w:space="0" w:color="auto"/>
              <w:bottom w:val="single" w:sz="4" w:space="0" w:color="auto"/>
              <w:right w:val="single" w:sz="4" w:space="0" w:color="auto"/>
            </w:tcBorders>
          </w:tcPr>
          <w:p w14:paraId="53858885" w14:textId="77777777" w:rsidR="00C3029C" w:rsidRPr="00C3029C" w:rsidRDefault="00C3029C" w:rsidP="00C3029C">
            <w:pPr>
              <w:spacing w:after="160" w:line="259" w:lineRule="auto"/>
              <w:rPr>
                <w:bCs/>
              </w:rPr>
            </w:pPr>
          </w:p>
        </w:tc>
      </w:tr>
      <w:tr w:rsidR="00C3029C" w:rsidRPr="00C3029C" w14:paraId="5433D783"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73EB6BB6" w14:textId="77777777" w:rsidR="00C3029C" w:rsidRPr="00C3029C" w:rsidRDefault="00C3029C" w:rsidP="00C3029C">
            <w:pPr>
              <w:spacing w:after="160" w:line="259" w:lineRule="auto"/>
              <w:rPr>
                <w:bCs/>
              </w:rPr>
            </w:pPr>
            <w:r w:rsidRPr="00C3029C">
              <w:rPr>
                <w:bCs/>
              </w:rPr>
              <w:t>Long Term Loans</w:t>
            </w:r>
          </w:p>
        </w:tc>
        <w:tc>
          <w:tcPr>
            <w:tcW w:w="2126" w:type="dxa"/>
            <w:tcBorders>
              <w:top w:val="single" w:sz="4" w:space="0" w:color="auto"/>
              <w:left w:val="single" w:sz="4" w:space="0" w:color="auto"/>
              <w:bottom w:val="single" w:sz="4" w:space="0" w:color="auto"/>
              <w:right w:val="single" w:sz="4" w:space="0" w:color="auto"/>
            </w:tcBorders>
          </w:tcPr>
          <w:p w14:paraId="29901403"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175C8A57" w14:textId="77777777" w:rsidR="00C3029C" w:rsidRPr="00C3029C" w:rsidRDefault="00C3029C" w:rsidP="00C3029C">
            <w:pPr>
              <w:spacing w:after="160" w:line="259" w:lineRule="auto"/>
              <w:rPr>
                <w:bCs/>
              </w:rPr>
            </w:pPr>
            <w:r w:rsidRPr="00C3029C">
              <w:rPr>
                <w:bCs/>
              </w:rPr>
              <w:t>200,000</w:t>
            </w:r>
          </w:p>
        </w:tc>
      </w:tr>
      <w:tr w:rsidR="00C3029C" w:rsidRPr="00C3029C" w14:paraId="0519E994"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63DFA75C" w14:textId="77777777" w:rsidR="00C3029C" w:rsidRPr="00C3029C" w:rsidRDefault="00C3029C" w:rsidP="00C3029C">
            <w:pPr>
              <w:spacing w:after="160" w:line="259" w:lineRule="auto"/>
              <w:rPr>
                <w:bCs/>
              </w:rPr>
            </w:pPr>
            <w:r w:rsidRPr="00C3029C">
              <w:rPr>
                <w:bCs/>
              </w:rPr>
              <w:t>Rent and Rates</w:t>
            </w:r>
          </w:p>
        </w:tc>
        <w:tc>
          <w:tcPr>
            <w:tcW w:w="2126" w:type="dxa"/>
            <w:tcBorders>
              <w:top w:val="single" w:sz="4" w:space="0" w:color="auto"/>
              <w:left w:val="single" w:sz="4" w:space="0" w:color="auto"/>
              <w:bottom w:val="single" w:sz="4" w:space="0" w:color="auto"/>
              <w:right w:val="single" w:sz="4" w:space="0" w:color="auto"/>
            </w:tcBorders>
            <w:hideMark/>
          </w:tcPr>
          <w:p w14:paraId="16246E68" w14:textId="77777777" w:rsidR="00C3029C" w:rsidRPr="00C3029C" w:rsidRDefault="00C3029C" w:rsidP="00C3029C">
            <w:pPr>
              <w:spacing w:after="160" w:line="259" w:lineRule="auto"/>
              <w:rPr>
                <w:bCs/>
              </w:rPr>
            </w:pPr>
            <w:r w:rsidRPr="00C3029C">
              <w:rPr>
                <w:bCs/>
              </w:rPr>
              <w:t>28,000</w:t>
            </w:r>
          </w:p>
        </w:tc>
        <w:tc>
          <w:tcPr>
            <w:tcW w:w="2380" w:type="dxa"/>
            <w:tcBorders>
              <w:top w:val="single" w:sz="4" w:space="0" w:color="auto"/>
              <w:left w:val="single" w:sz="4" w:space="0" w:color="auto"/>
              <w:bottom w:val="single" w:sz="4" w:space="0" w:color="auto"/>
              <w:right w:val="single" w:sz="4" w:space="0" w:color="auto"/>
            </w:tcBorders>
          </w:tcPr>
          <w:p w14:paraId="0EAC5A89" w14:textId="77777777" w:rsidR="00C3029C" w:rsidRPr="00C3029C" w:rsidRDefault="00C3029C" w:rsidP="00C3029C">
            <w:pPr>
              <w:spacing w:after="160" w:line="259" w:lineRule="auto"/>
              <w:rPr>
                <w:bCs/>
              </w:rPr>
            </w:pPr>
          </w:p>
        </w:tc>
      </w:tr>
      <w:tr w:rsidR="00C3029C" w:rsidRPr="00C3029C" w14:paraId="238A1F0D" w14:textId="77777777" w:rsidTr="00B26A5C">
        <w:tc>
          <w:tcPr>
            <w:tcW w:w="5070" w:type="dxa"/>
            <w:tcBorders>
              <w:top w:val="single" w:sz="4" w:space="0" w:color="auto"/>
              <w:left w:val="single" w:sz="4" w:space="0" w:color="auto"/>
              <w:bottom w:val="single" w:sz="4" w:space="0" w:color="auto"/>
              <w:right w:val="single" w:sz="4" w:space="0" w:color="auto"/>
            </w:tcBorders>
          </w:tcPr>
          <w:p w14:paraId="4E2281E5" w14:textId="77777777" w:rsidR="00C3029C" w:rsidRPr="00C3029C" w:rsidRDefault="00C3029C" w:rsidP="00C3029C">
            <w:pPr>
              <w:spacing w:after="160" w:line="259" w:lineRule="auto"/>
              <w:rPr>
                <w:bCs/>
              </w:rPr>
            </w:pPr>
            <w:r w:rsidRPr="00C3029C">
              <w:rPr>
                <w:bCs/>
              </w:rPr>
              <w:t>Rates accrual</w:t>
            </w:r>
          </w:p>
        </w:tc>
        <w:tc>
          <w:tcPr>
            <w:tcW w:w="2126" w:type="dxa"/>
            <w:tcBorders>
              <w:top w:val="single" w:sz="4" w:space="0" w:color="auto"/>
              <w:left w:val="single" w:sz="4" w:space="0" w:color="auto"/>
              <w:bottom w:val="single" w:sz="4" w:space="0" w:color="auto"/>
              <w:right w:val="single" w:sz="4" w:space="0" w:color="auto"/>
            </w:tcBorders>
          </w:tcPr>
          <w:p w14:paraId="1CDE11B3"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tcPr>
          <w:p w14:paraId="0E59BBE6" w14:textId="77777777" w:rsidR="00C3029C" w:rsidRPr="00C3029C" w:rsidRDefault="00C3029C" w:rsidP="00C3029C">
            <w:pPr>
              <w:spacing w:after="160" w:line="259" w:lineRule="auto"/>
              <w:rPr>
                <w:bCs/>
              </w:rPr>
            </w:pPr>
            <w:r w:rsidRPr="00C3029C">
              <w:rPr>
                <w:bCs/>
              </w:rPr>
              <w:t>3,220</w:t>
            </w:r>
          </w:p>
        </w:tc>
      </w:tr>
      <w:tr w:rsidR="00C3029C" w:rsidRPr="00C3029C" w14:paraId="75A524F3"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04D60DEB" w14:textId="77777777" w:rsidR="00C3029C" w:rsidRPr="00C3029C" w:rsidRDefault="00C3029C" w:rsidP="00C3029C">
            <w:pPr>
              <w:spacing w:after="160" w:line="259" w:lineRule="auto"/>
              <w:rPr>
                <w:bCs/>
              </w:rPr>
            </w:pPr>
            <w:r w:rsidRPr="00C3029C">
              <w:rPr>
                <w:bCs/>
              </w:rPr>
              <w:t>Insurance</w:t>
            </w:r>
          </w:p>
        </w:tc>
        <w:tc>
          <w:tcPr>
            <w:tcW w:w="2126" w:type="dxa"/>
            <w:tcBorders>
              <w:top w:val="single" w:sz="4" w:space="0" w:color="auto"/>
              <w:left w:val="single" w:sz="4" w:space="0" w:color="auto"/>
              <w:bottom w:val="single" w:sz="4" w:space="0" w:color="auto"/>
              <w:right w:val="single" w:sz="4" w:space="0" w:color="auto"/>
            </w:tcBorders>
            <w:hideMark/>
          </w:tcPr>
          <w:p w14:paraId="22E09BD5" w14:textId="77777777" w:rsidR="00C3029C" w:rsidRPr="00C3029C" w:rsidRDefault="00C3029C" w:rsidP="00C3029C">
            <w:pPr>
              <w:spacing w:after="160" w:line="259" w:lineRule="auto"/>
              <w:rPr>
                <w:bCs/>
              </w:rPr>
            </w:pPr>
            <w:r w:rsidRPr="00C3029C">
              <w:rPr>
                <w:bCs/>
              </w:rPr>
              <w:t>16,000</w:t>
            </w:r>
          </w:p>
        </w:tc>
        <w:tc>
          <w:tcPr>
            <w:tcW w:w="2380" w:type="dxa"/>
            <w:tcBorders>
              <w:top w:val="single" w:sz="4" w:space="0" w:color="auto"/>
              <w:left w:val="single" w:sz="4" w:space="0" w:color="auto"/>
              <w:bottom w:val="single" w:sz="4" w:space="0" w:color="auto"/>
              <w:right w:val="single" w:sz="4" w:space="0" w:color="auto"/>
            </w:tcBorders>
          </w:tcPr>
          <w:p w14:paraId="1DC6FB58" w14:textId="77777777" w:rsidR="00C3029C" w:rsidRPr="00C3029C" w:rsidRDefault="00C3029C" w:rsidP="00C3029C">
            <w:pPr>
              <w:spacing w:after="160" w:line="259" w:lineRule="auto"/>
              <w:rPr>
                <w:bCs/>
              </w:rPr>
            </w:pPr>
          </w:p>
        </w:tc>
      </w:tr>
      <w:tr w:rsidR="00C3029C" w:rsidRPr="00C3029C" w14:paraId="213A71CE" w14:textId="77777777" w:rsidTr="00B26A5C">
        <w:tc>
          <w:tcPr>
            <w:tcW w:w="5070" w:type="dxa"/>
            <w:tcBorders>
              <w:top w:val="single" w:sz="4" w:space="0" w:color="auto"/>
              <w:left w:val="single" w:sz="4" w:space="0" w:color="auto"/>
              <w:bottom w:val="single" w:sz="4" w:space="0" w:color="auto"/>
              <w:right w:val="single" w:sz="4" w:space="0" w:color="auto"/>
            </w:tcBorders>
          </w:tcPr>
          <w:p w14:paraId="5B877124" w14:textId="77777777" w:rsidR="00C3029C" w:rsidRPr="00C3029C" w:rsidRDefault="00C3029C" w:rsidP="00C3029C">
            <w:pPr>
              <w:spacing w:after="160" w:line="259" w:lineRule="auto"/>
              <w:rPr>
                <w:bCs/>
              </w:rPr>
            </w:pPr>
            <w:r w:rsidRPr="00C3029C">
              <w:rPr>
                <w:bCs/>
              </w:rPr>
              <w:t xml:space="preserve">Prepaid Insurance </w:t>
            </w:r>
          </w:p>
        </w:tc>
        <w:tc>
          <w:tcPr>
            <w:tcW w:w="2126" w:type="dxa"/>
            <w:tcBorders>
              <w:top w:val="single" w:sz="4" w:space="0" w:color="auto"/>
              <w:left w:val="single" w:sz="4" w:space="0" w:color="auto"/>
              <w:bottom w:val="single" w:sz="4" w:space="0" w:color="auto"/>
              <w:right w:val="single" w:sz="4" w:space="0" w:color="auto"/>
            </w:tcBorders>
          </w:tcPr>
          <w:p w14:paraId="760C5D73" w14:textId="77777777" w:rsidR="00C3029C" w:rsidRPr="00C3029C" w:rsidRDefault="00C3029C" w:rsidP="00C3029C">
            <w:pPr>
              <w:spacing w:after="160" w:line="259" w:lineRule="auto"/>
              <w:rPr>
                <w:bCs/>
              </w:rPr>
            </w:pPr>
            <w:r w:rsidRPr="00C3029C">
              <w:rPr>
                <w:bCs/>
              </w:rPr>
              <w:t>1,520</w:t>
            </w:r>
          </w:p>
        </w:tc>
        <w:tc>
          <w:tcPr>
            <w:tcW w:w="2380" w:type="dxa"/>
            <w:tcBorders>
              <w:top w:val="single" w:sz="4" w:space="0" w:color="auto"/>
              <w:left w:val="single" w:sz="4" w:space="0" w:color="auto"/>
              <w:bottom w:val="single" w:sz="4" w:space="0" w:color="auto"/>
              <w:right w:val="single" w:sz="4" w:space="0" w:color="auto"/>
            </w:tcBorders>
          </w:tcPr>
          <w:p w14:paraId="5369E9C8" w14:textId="77777777" w:rsidR="00C3029C" w:rsidRPr="00C3029C" w:rsidRDefault="00C3029C" w:rsidP="00C3029C">
            <w:pPr>
              <w:spacing w:after="160" w:line="259" w:lineRule="auto"/>
              <w:rPr>
                <w:bCs/>
              </w:rPr>
            </w:pPr>
          </w:p>
        </w:tc>
      </w:tr>
      <w:tr w:rsidR="00C3029C" w:rsidRPr="00C3029C" w14:paraId="66C40656"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5A2C9EA3" w14:textId="77777777" w:rsidR="00C3029C" w:rsidRPr="00C3029C" w:rsidRDefault="00C3029C" w:rsidP="00C3029C">
            <w:pPr>
              <w:spacing w:after="160" w:line="259" w:lineRule="auto"/>
              <w:rPr>
                <w:bCs/>
              </w:rPr>
            </w:pPr>
            <w:r w:rsidRPr="00C3029C">
              <w:rPr>
                <w:bCs/>
              </w:rPr>
              <w:t>Postage and Stationery</w:t>
            </w:r>
          </w:p>
        </w:tc>
        <w:tc>
          <w:tcPr>
            <w:tcW w:w="2126" w:type="dxa"/>
            <w:tcBorders>
              <w:top w:val="single" w:sz="4" w:space="0" w:color="auto"/>
              <w:left w:val="single" w:sz="4" w:space="0" w:color="auto"/>
              <w:bottom w:val="single" w:sz="4" w:space="0" w:color="auto"/>
              <w:right w:val="single" w:sz="4" w:space="0" w:color="auto"/>
            </w:tcBorders>
            <w:hideMark/>
          </w:tcPr>
          <w:p w14:paraId="7CCEB2E5" w14:textId="77777777" w:rsidR="00C3029C" w:rsidRPr="00C3029C" w:rsidRDefault="00C3029C" w:rsidP="00C3029C">
            <w:pPr>
              <w:spacing w:after="160" w:line="259" w:lineRule="auto"/>
              <w:rPr>
                <w:bCs/>
              </w:rPr>
            </w:pPr>
            <w:r w:rsidRPr="00C3029C">
              <w:rPr>
                <w:bCs/>
              </w:rPr>
              <w:t>6,000</w:t>
            </w:r>
          </w:p>
        </w:tc>
        <w:tc>
          <w:tcPr>
            <w:tcW w:w="2380" w:type="dxa"/>
            <w:tcBorders>
              <w:top w:val="single" w:sz="4" w:space="0" w:color="auto"/>
              <w:left w:val="single" w:sz="4" w:space="0" w:color="auto"/>
              <w:bottom w:val="single" w:sz="4" w:space="0" w:color="auto"/>
              <w:right w:val="single" w:sz="4" w:space="0" w:color="auto"/>
            </w:tcBorders>
          </w:tcPr>
          <w:p w14:paraId="20B1F9AC" w14:textId="77777777" w:rsidR="00C3029C" w:rsidRPr="00C3029C" w:rsidRDefault="00C3029C" w:rsidP="00C3029C">
            <w:pPr>
              <w:spacing w:after="160" w:line="259" w:lineRule="auto"/>
              <w:rPr>
                <w:bCs/>
              </w:rPr>
            </w:pPr>
          </w:p>
        </w:tc>
      </w:tr>
      <w:tr w:rsidR="00C3029C" w:rsidRPr="00C3029C" w14:paraId="5935DAA9"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0933FCB1" w14:textId="77777777" w:rsidR="00C3029C" w:rsidRPr="00C3029C" w:rsidRDefault="00C3029C" w:rsidP="00C3029C">
            <w:pPr>
              <w:spacing w:after="160" w:line="259" w:lineRule="auto"/>
              <w:rPr>
                <w:bCs/>
              </w:rPr>
            </w:pPr>
            <w:r w:rsidRPr="00C3029C">
              <w:rPr>
                <w:bCs/>
              </w:rPr>
              <w:t>Share Premium</w:t>
            </w:r>
          </w:p>
        </w:tc>
        <w:tc>
          <w:tcPr>
            <w:tcW w:w="2126" w:type="dxa"/>
            <w:tcBorders>
              <w:top w:val="single" w:sz="4" w:space="0" w:color="auto"/>
              <w:left w:val="single" w:sz="4" w:space="0" w:color="auto"/>
              <w:bottom w:val="single" w:sz="4" w:space="0" w:color="auto"/>
              <w:right w:val="single" w:sz="4" w:space="0" w:color="auto"/>
            </w:tcBorders>
          </w:tcPr>
          <w:p w14:paraId="2A71D7E9"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6C74D5AA" w14:textId="77777777" w:rsidR="00C3029C" w:rsidRPr="00C3029C" w:rsidRDefault="00C3029C" w:rsidP="00C3029C">
            <w:pPr>
              <w:spacing w:after="160" w:line="259" w:lineRule="auto"/>
              <w:rPr>
                <w:bCs/>
              </w:rPr>
            </w:pPr>
            <w:r w:rsidRPr="00C3029C">
              <w:rPr>
                <w:bCs/>
              </w:rPr>
              <w:t>100,000</w:t>
            </w:r>
          </w:p>
        </w:tc>
      </w:tr>
      <w:tr w:rsidR="00C3029C" w:rsidRPr="00C3029C" w14:paraId="72EE1543"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021261A3" w14:textId="77777777" w:rsidR="00C3029C" w:rsidRPr="00C3029C" w:rsidRDefault="00C3029C" w:rsidP="00C3029C">
            <w:pPr>
              <w:spacing w:after="160" w:line="259" w:lineRule="auto"/>
              <w:rPr>
                <w:bCs/>
              </w:rPr>
            </w:pPr>
            <w:r w:rsidRPr="00C3029C">
              <w:rPr>
                <w:bCs/>
              </w:rPr>
              <w:t>Sales Revenue</w:t>
            </w:r>
          </w:p>
        </w:tc>
        <w:tc>
          <w:tcPr>
            <w:tcW w:w="2126" w:type="dxa"/>
            <w:tcBorders>
              <w:top w:val="single" w:sz="4" w:space="0" w:color="auto"/>
              <w:left w:val="single" w:sz="4" w:space="0" w:color="auto"/>
              <w:bottom w:val="single" w:sz="4" w:space="0" w:color="auto"/>
              <w:right w:val="single" w:sz="4" w:space="0" w:color="auto"/>
            </w:tcBorders>
          </w:tcPr>
          <w:p w14:paraId="16384E55"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0921DB7E" w14:textId="77777777" w:rsidR="00C3029C" w:rsidRPr="00C3029C" w:rsidRDefault="00C3029C" w:rsidP="00C3029C">
            <w:pPr>
              <w:spacing w:after="160" w:line="259" w:lineRule="auto"/>
              <w:rPr>
                <w:bCs/>
              </w:rPr>
            </w:pPr>
            <w:r w:rsidRPr="00C3029C">
              <w:rPr>
                <w:bCs/>
              </w:rPr>
              <w:t>900,000</w:t>
            </w:r>
          </w:p>
        </w:tc>
      </w:tr>
      <w:tr w:rsidR="00C3029C" w:rsidRPr="00C3029C" w14:paraId="1C3A38EF"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32B296CA" w14:textId="77777777" w:rsidR="00C3029C" w:rsidRPr="00C3029C" w:rsidRDefault="00C3029C" w:rsidP="00C3029C">
            <w:pPr>
              <w:spacing w:after="160" w:line="259" w:lineRule="auto"/>
              <w:rPr>
                <w:bCs/>
              </w:rPr>
            </w:pPr>
            <w:r w:rsidRPr="00C3029C">
              <w:rPr>
                <w:bCs/>
              </w:rPr>
              <w:t>Retained Profits</w:t>
            </w:r>
          </w:p>
        </w:tc>
        <w:tc>
          <w:tcPr>
            <w:tcW w:w="2126" w:type="dxa"/>
            <w:tcBorders>
              <w:top w:val="single" w:sz="4" w:space="0" w:color="auto"/>
              <w:left w:val="single" w:sz="4" w:space="0" w:color="auto"/>
              <w:bottom w:val="single" w:sz="4" w:space="0" w:color="auto"/>
              <w:right w:val="single" w:sz="4" w:space="0" w:color="auto"/>
            </w:tcBorders>
          </w:tcPr>
          <w:p w14:paraId="084F8925"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6E4D0809" w14:textId="77777777" w:rsidR="00C3029C" w:rsidRPr="00C3029C" w:rsidRDefault="00C3029C" w:rsidP="00C3029C">
            <w:pPr>
              <w:spacing w:after="160" w:line="259" w:lineRule="auto"/>
              <w:rPr>
                <w:bCs/>
              </w:rPr>
            </w:pPr>
            <w:r w:rsidRPr="00C3029C">
              <w:rPr>
                <w:bCs/>
              </w:rPr>
              <w:t>50,000</w:t>
            </w:r>
          </w:p>
        </w:tc>
      </w:tr>
      <w:tr w:rsidR="00C3029C" w:rsidRPr="00C3029C" w14:paraId="6F87E51F"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00A6DF73" w14:textId="77777777" w:rsidR="00C3029C" w:rsidRPr="00C3029C" w:rsidRDefault="00C3029C" w:rsidP="00C3029C">
            <w:pPr>
              <w:spacing w:after="160" w:line="259" w:lineRule="auto"/>
              <w:rPr>
                <w:bCs/>
              </w:rPr>
            </w:pPr>
            <w:r w:rsidRPr="00C3029C">
              <w:rPr>
                <w:bCs/>
              </w:rPr>
              <w:t>Travelling Expenses</w:t>
            </w:r>
          </w:p>
        </w:tc>
        <w:tc>
          <w:tcPr>
            <w:tcW w:w="2126" w:type="dxa"/>
            <w:tcBorders>
              <w:top w:val="single" w:sz="4" w:space="0" w:color="auto"/>
              <w:left w:val="single" w:sz="4" w:space="0" w:color="auto"/>
              <w:bottom w:val="single" w:sz="4" w:space="0" w:color="auto"/>
              <w:right w:val="single" w:sz="4" w:space="0" w:color="auto"/>
            </w:tcBorders>
            <w:hideMark/>
          </w:tcPr>
          <w:p w14:paraId="1CD70237" w14:textId="77777777" w:rsidR="00C3029C" w:rsidRPr="00C3029C" w:rsidRDefault="00C3029C" w:rsidP="00C3029C">
            <w:pPr>
              <w:spacing w:after="160" w:line="259" w:lineRule="auto"/>
              <w:rPr>
                <w:bCs/>
              </w:rPr>
            </w:pPr>
            <w:r w:rsidRPr="00C3029C">
              <w:rPr>
                <w:bCs/>
              </w:rPr>
              <w:t>5,000</w:t>
            </w:r>
          </w:p>
        </w:tc>
        <w:tc>
          <w:tcPr>
            <w:tcW w:w="2380" w:type="dxa"/>
            <w:tcBorders>
              <w:top w:val="single" w:sz="4" w:space="0" w:color="auto"/>
              <w:left w:val="single" w:sz="4" w:space="0" w:color="auto"/>
              <w:bottom w:val="single" w:sz="4" w:space="0" w:color="auto"/>
              <w:right w:val="single" w:sz="4" w:space="0" w:color="auto"/>
            </w:tcBorders>
          </w:tcPr>
          <w:p w14:paraId="7F7CBDBD" w14:textId="77777777" w:rsidR="00C3029C" w:rsidRPr="00C3029C" w:rsidRDefault="00C3029C" w:rsidP="00C3029C">
            <w:pPr>
              <w:spacing w:after="160" w:line="259" w:lineRule="auto"/>
              <w:rPr>
                <w:bCs/>
              </w:rPr>
            </w:pPr>
          </w:p>
        </w:tc>
      </w:tr>
      <w:tr w:rsidR="00C3029C" w:rsidRPr="00C3029C" w14:paraId="5B0C16A0"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4B6DB63F" w14:textId="77777777" w:rsidR="00C3029C" w:rsidRPr="00C3029C" w:rsidRDefault="00C3029C" w:rsidP="00C3029C">
            <w:pPr>
              <w:spacing w:after="160" w:line="259" w:lineRule="auto"/>
              <w:rPr>
                <w:bCs/>
              </w:rPr>
            </w:pPr>
            <w:r w:rsidRPr="00C3029C">
              <w:rPr>
                <w:bCs/>
              </w:rPr>
              <w:t>Motor Running Expenses</w:t>
            </w:r>
          </w:p>
        </w:tc>
        <w:tc>
          <w:tcPr>
            <w:tcW w:w="2126" w:type="dxa"/>
            <w:tcBorders>
              <w:top w:val="single" w:sz="4" w:space="0" w:color="auto"/>
              <w:left w:val="single" w:sz="4" w:space="0" w:color="auto"/>
              <w:bottom w:val="single" w:sz="4" w:space="0" w:color="auto"/>
              <w:right w:val="single" w:sz="4" w:space="0" w:color="auto"/>
            </w:tcBorders>
            <w:hideMark/>
          </w:tcPr>
          <w:p w14:paraId="4AF55C96" w14:textId="77777777" w:rsidR="00C3029C" w:rsidRPr="00C3029C" w:rsidRDefault="00C3029C" w:rsidP="00C3029C">
            <w:pPr>
              <w:spacing w:after="160" w:line="259" w:lineRule="auto"/>
              <w:rPr>
                <w:bCs/>
              </w:rPr>
            </w:pPr>
            <w:r w:rsidRPr="00C3029C">
              <w:rPr>
                <w:bCs/>
              </w:rPr>
              <w:t>8,700</w:t>
            </w:r>
          </w:p>
        </w:tc>
        <w:tc>
          <w:tcPr>
            <w:tcW w:w="2380" w:type="dxa"/>
            <w:tcBorders>
              <w:top w:val="single" w:sz="4" w:space="0" w:color="auto"/>
              <w:left w:val="single" w:sz="4" w:space="0" w:color="auto"/>
              <w:bottom w:val="single" w:sz="4" w:space="0" w:color="auto"/>
              <w:right w:val="single" w:sz="4" w:space="0" w:color="auto"/>
            </w:tcBorders>
          </w:tcPr>
          <w:p w14:paraId="41EDCE31" w14:textId="77777777" w:rsidR="00C3029C" w:rsidRPr="00C3029C" w:rsidRDefault="00C3029C" w:rsidP="00C3029C">
            <w:pPr>
              <w:spacing w:after="160" w:line="259" w:lineRule="auto"/>
              <w:rPr>
                <w:bCs/>
              </w:rPr>
            </w:pPr>
          </w:p>
        </w:tc>
      </w:tr>
      <w:tr w:rsidR="00C3029C" w:rsidRPr="00C3029C" w14:paraId="2064A943"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79CCD662" w14:textId="77777777" w:rsidR="00C3029C" w:rsidRPr="00C3029C" w:rsidRDefault="00C3029C" w:rsidP="00C3029C">
            <w:pPr>
              <w:spacing w:after="160" w:line="259" w:lineRule="auto"/>
              <w:rPr>
                <w:bCs/>
              </w:rPr>
            </w:pPr>
            <w:r w:rsidRPr="00C3029C">
              <w:rPr>
                <w:bCs/>
              </w:rPr>
              <w:t>Salaries and Wages</w:t>
            </w:r>
          </w:p>
        </w:tc>
        <w:tc>
          <w:tcPr>
            <w:tcW w:w="2126" w:type="dxa"/>
            <w:tcBorders>
              <w:top w:val="single" w:sz="4" w:space="0" w:color="auto"/>
              <w:left w:val="single" w:sz="4" w:space="0" w:color="auto"/>
              <w:bottom w:val="single" w:sz="4" w:space="0" w:color="auto"/>
              <w:right w:val="single" w:sz="4" w:space="0" w:color="auto"/>
            </w:tcBorders>
            <w:hideMark/>
          </w:tcPr>
          <w:p w14:paraId="42495AC6" w14:textId="77777777" w:rsidR="00C3029C" w:rsidRPr="00C3029C" w:rsidRDefault="00C3029C" w:rsidP="00C3029C">
            <w:pPr>
              <w:spacing w:after="160" w:line="259" w:lineRule="auto"/>
              <w:rPr>
                <w:bCs/>
              </w:rPr>
            </w:pPr>
            <w:r w:rsidRPr="00C3029C">
              <w:rPr>
                <w:bCs/>
              </w:rPr>
              <w:t>150,000</w:t>
            </w:r>
          </w:p>
        </w:tc>
        <w:tc>
          <w:tcPr>
            <w:tcW w:w="2380" w:type="dxa"/>
            <w:tcBorders>
              <w:top w:val="single" w:sz="4" w:space="0" w:color="auto"/>
              <w:left w:val="single" w:sz="4" w:space="0" w:color="auto"/>
              <w:bottom w:val="single" w:sz="4" w:space="0" w:color="auto"/>
              <w:right w:val="single" w:sz="4" w:space="0" w:color="auto"/>
            </w:tcBorders>
          </w:tcPr>
          <w:p w14:paraId="132C2A6F" w14:textId="77777777" w:rsidR="00C3029C" w:rsidRPr="00C3029C" w:rsidRDefault="00C3029C" w:rsidP="00C3029C">
            <w:pPr>
              <w:spacing w:after="160" w:line="259" w:lineRule="auto"/>
              <w:rPr>
                <w:bCs/>
              </w:rPr>
            </w:pPr>
          </w:p>
        </w:tc>
      </w:tr>
      <w:tr w:rsidR="00C3029C" w:rsidRPr="00C3029C" w14:paraId="2C0BBD0A"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50BE2703" w14:textId="77777777" w:rsidR="00C3029C" w:rsidRPr="00C3029C" w:rsidRDefault="00C3029C" w:rsidP="00C3029C">
            <w:pPr>
              <w:spacing w:after="160" w:line="259" w:lineRule="auto"/>
              <w:rPr>
                <w:bCs/>
              </w:rPr>
            </w:pPr>
            <w:r w:rsidRPr="00C3029C">
              <w:rPr>
                <w:bCs/>
              </w:rPr>
              <w:t>Bad Debt</w:t>
            </w:r>
          </w:p>
        </w:tc>
        <w:tc>
          <w:tcPr>
            <w:tcW w:w="2126" w:type="dxa"/>
            <w:tcBorders>
              <w:top w:val="single" w:sz="4" w:space="0" w:color="auto"/>
              <w:left w:val="single" w:sz="4" w:space="0" w:color="auto"/>
              <w:bottom w:val="single" w:sz="4" w:space="0" w:color="auto"/>
              <w:right w:val="single" w:sz="4" w:space="0" w:color="auto"/>
            </w:tcBorders>
            <w:hideMark/>
          </w:tcPr>
          <w:p w14:paraId="29EB765B" w14:textId="77777777" w:rsidR="00C3029C" w:rsidRPr="00C3029C" w:rsidRDefault="00C3029C" w:rsidP="00C3029C">
            <w:pPr>
              <w:spacing w:after="160" w:line="259" w:lineRule="auto"/>
              <w:rPr>
                <w:bCs/>
              </w:rPr>
            </w:pPr>
            <w:r w:rsidRPr="00C3029C">
              <w:rPr>
                <w:bCs/>
              </w:rPr>
              <w:t>5,000</w:t>
            </w:r>
          </w:p>
        </w:tc>
        <w:tc>
          <w:tcPr>
            <w:tcW w:w="2380" w:type="dxa"/>
            <w:tcBorders>
              <w:top w:val="single" w:sz="4" w:space="0" w:color="auto"/>
              <w:left w:val="single" w:sz="4" w:space="0" w:color="auto"/>
              <w:bottom w:val="single" w:sz="4" w:space="0" w:color="auto"/>
              <w:right w:val="single" w:sz="4" w:space="0" w:color="auto"/>
            </w:tcBorders>
          </w:tcPr>
          <w:p w14:paraId="492859D9" w14:textId="77777777" w:rsidR="00C3029C" w:rsidRPr="00C3029C" w:rsidRDefault="00C3029C" w:rsidP="00C3029C">
            <w:pPr>
              <w:spacing w:after="160" w:line="259" w:lineRule="auto"/>
              <w:rPr>
                <w:bCs/>
              </w:rPr>
            </w:pPr>
          </w:p>
        </w:tc>
      </w:tr>
      <w:tr w:rsidR="00C3029C" w:rsidRPr="00C3029C" w14:paraId="73355B3E"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595FEEFD" w14:textId="77777777" w:rsidR="00C3029C" w:rsidRPr="00C3029C" w:rsidRDefault="00C3029C" w:rsidP="00C3029C">
            <w:pPr>
              <w:spacing w:after="160" w:line="259" w:lineRule="auto"/>
              <w:rPr>
                <w:bCs/>
              </w:rPr>
            </w:pPr>
            <w:r w:rsidRPr="00C3029C">
              <w:rPr>
                <w:bCs/>
              </w:rPr>
              <w:t xml:space="preserve">Purchases </w:t>
            </w:r>
          </w:p>
        </w:tc>
        <w:tc>
          <w:tcPr>
            <w:tcW w:w="2126" w:type="dxa"/>
            <w:tcBorders>
              <w:top w:val="single" w:sz="4" w:space="0" w:color="auto"/>
              <w:left w:val="single" w:sz="4" w:space="0" w:color="auto"/>
              <w:bottom w:val="single" w:sz="4" w:space="0" w:color="auto"/>
              <w:right w:val="single" w:sz="4" w:space="0" w:color="auto"/>
            </w:tcBorders>
            <w:hideMark/>
          </w:tcPr>
          <w:p w14:paraId="50604F41" w14:textId="77777777" w:rsidR="00C3029C" w:rsidRPr="00C3029C" w:rsidRDefault="00C3029C" w:rsidP="00C3029C">
            <w:pPr>
              <w:spacing w:after="160" w:line="259" w:lineRule="auto"/>
              <w:rPr>
                <w:bCs/>
              </w:rPr>
            </w:pPr>
            <w:r w:rsidRPr="00C3029C">
              <w:rPr>
                <w:bCs/>
              </w:rPr>
              <w:t>560,000</w:t>
            </w:r>
          </w:p>
        </w:tc>
        <w:tc>
          <w:tcPr>
            <w:tcW w:w="2380" w:type="dxa"/>
            <w:tcBorders>
              <w:top w:val="single" w:sz="4" w:space="0" w:color="auto"/>
              <w:left w:val="single" w:sz="4" w:space="0" w:color="auto"/>
              <w:bottom w:val="single" w:sz="4" w:space="0" w:color="auto"/>
              <w:right w:val="single" w:sz="4" w:space="0" w:color="auto"/>
            </w:tcBorders>
          </w:tcPr>
          <w:p w14:paraId="19CD474F" w14:textId="77777777" w:rsidR="00C3029C" w:rsidRPr="00C3029C" w:rsidRDefault="00C3029C" w:rsidP="00C3029C">
            <w:pPr>
              <w:spacing w:after="160" w:line="259" w:lineRule="auto"/>
              <w:rPr>
                <w:bCs/>
              </w:rPr>
            </w:pPr>
          </w:p>
        </w:tc>
      </w:tr>
      <w:tr w:rsidR="00C3029C" w:rsidRPr="00C3029C" w14:paraId="1F6E825E"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60FA468B" w14:textId="77777777" w:rsidR="00C3029C" w:rsidRPr="00C3029C" w:rsidRDefault="00C3029C" w:rsidP="00C3029C">
            <w:pPr>
              <w:spacing w:after="160" w:line="259" w:lineRule="auto"/>
              <w:rPr>
                <w:bCs/>
              </w:rPr>
            </w:pPr>
            <w:r w:rsidRPr="00C3029C">
              <w:rPr>
                <w:bCs/>
              </w:rPr>
              <w:t>Revaluation Reserve</w:t>
            </w:r>
          </w:p>
        </w:tc>
        <w:tc>
          <w:tcPr>
            <w:tcW w:w="2126" w:type="dxa"/>
            <w:tcBorders>
              <w:top w:val="single" w:sz="4" w:space="0" w:color="auto"/>
              <w:left w:val="single" w:sz="4" w:space="0" w:color="auto"/>
              <w:bottom w:val="single" w:sz="4" w:space="0" w:color="auto"/>
              <w:right w:val="single" w:sz="4" w:space="0" w:color="auto"/>
            </w:tcBorders>
          </w:tcPr>
          <w:p w14:paraId="7C71276C"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1C024DC7" w14:textId="77777777" w:rsidR="00C3029C" w:rsidRPr="00C3029C" w:rsidRDefault="00C3029C" w:rsidP="00C3029C">
            <w:pPr>
              <w:spacing w:after="160" w:line="259" w:lineRule="auto"/>
              <w:rPr>
                <w:bCs/>
              </w:rPr>
            </w:pPr>
            <w:r w:rsidRPr="00C3029C">
              <w:rPr>
                <w:bCs/>
              </w:rPr>
              <w:t>100,000</w:t>
            </w:r>
          </w:p>
        </w:tc>
      </w:tr>
      <w:tr w:rsidR="00C3029C" w:rsidRPr="00C3029C" w14:paraId="2FD6521D"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6D8C1707" w14:textId="77777777" w:rsidR="00C3029C" w:rsidRPr="00C3029C" w:rsidRDefault="00C3029C" w:rsidP="00C3029C">
            <w:pPr>
              <w:spacing w:after="160" w:line="259" w:lineRule="auto"/>
              <w:rPr>
                <w:bCs/>
              </w:rPr>
            </w:pPr>
            <w:r w:rsidRPr="00C3029C">
              <w:rPr>
                <w:bCs/>
              </w:rPr>
              <w:lastRenderedPageBreak/>
              <w:t>Provision for bad debts</w:t>
            </w:r>
          </w:p>
        </w:tc>
        <w:tc>
          <w:tcPr>
            <w:tcW w:w="2126" w:type="dxa"/>
            <w:tcBorders>
              <w:top w:val="single" w:sz="4" w:space="0" w:color="auto"/>
              <w:left w:val="single" w:sz="4" w:space="0" w:color="auto"/>
              <w:bottom w:val="single" w:sz="4" w:space="0" w:color="auto"/>
              <w:right w:val="single" w:sz="4" w:space="0" w:color="auto"/>
            </w:tcBorders>
          </w:tcPr>
          <w:p w14:paraId="325C614D"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1D0DA742" w14:textId="77777777" w:rsidR="00C3029C" w:rsidRPr="00C3029C" w:rsidRDefault="00C3029C" w:rsidP="00C3029C">
            <w:pPr>
              <w:spacing w:after="160" w:line="259" w:lineRule="auto"/>
              <w:rPr>
                <w:bCs/>
              </w:rPr>
            </w:pPr>
            <w:r w:rsidRPr="00C3029C">
              <w:rPr>
                <w:bCs/>
              </w:rPr>
              <w:t>4,000</w:t>
            </w:r>
          </w:p>
        </w:tc>
      </w:tr>
      <w:tr w:rsidR="00C3029C" w:rsidRPr="00C3029C" w14:paraId="34CD0F99"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4C18F2C8" w14:textId="77777777" w:rsidR="00C3029C" w:rsidRPr="00C3029C" w:rsidRDefault="00C3029C" w:rsidP="00C3029C">
            <w:pPr>
              <w:spacing w:after="160" w:line="259" w:lineRule="auto"/>
              <w:rPr>
                <w:bCs/>
              </w:rPr>
            </w:pPr>
            <w:r w:rsidRPr="00C3029C">
              <w:rPr>
                <w:bCs/>
              </w:rPr>
              <w:t>Taxation</w:t>
            </w:r>
          </w:p>
        </w:tc>
        <w:tc>
          <w:tcPr>
            <w:tcW w:w="2126" w:type="dxa"/>
            <w:tcBorders>
              <w:top w:val="single" w:sz="4" w:space="0" w:color="auto"/>
              <w:left w:val="single" w:sz="4" w:space="0" w:color="auto"/>
              <w:bottom w:val="single" w:sz="4" w:space="0" w:color="auto"/>
              <w:right w:val="single" w:sz="4" w:space="0" w:color="auto"/>
            </w:tcBorders>
            <w:hideMark/>
          </w:tcPr>
          <w:p w14:paraId="7426D119" w14:textId="77777777" w:rsidR="00C3029C" w:rsidRPr="00C3029C" w:rsidRDefault="00C3029C" w:rsidP="00C3029C">
            <w:pPr>
              <w:spacing w:after="160" w:line="259" w:lineRule="auto"/>
              <w:rPr>
                <w:bCs/>
              </w:rPr>
            </w:pPr>
            <w:r w:rsidRPr="00C3029C">
              <w:rPr>
                <w:bCs/>
              </w:rPr>
              <w:t>12,900</w:t>
            </w:r>
          </w:p>
        </w:tc>
        <w:tc>
          <w:tcPr>
            <w:tcW w:w="2380" w:type="dxa"/>
            <w:tcBorders>
              <w:top w:val="single" w:sz="4" w:space="0" w:color="auto"/>
              <w:left w:val="single" w:sz="4" w:space="0" w:color="auto"/>
              <w:bottom w:val="single" w:sz="4" w:space="0" w:color="auto"/>
              <w:right w:val="single" w:sz="4" w:space="0" w:color="auto"/>
            </w:tcBorders>
          </w:tcPr>
          <w:p w14:paraId="1030A23F" w14:textId="77777777" w:rsidR="00C3029C" w:rsidRPr="00C3029C" w:rsidRDefault="00C3029C" w:rsidP="00C3029C">
            <w:pPr>
              <w:spacing w:after="160" w:line="259" w:lineRule="auto"/>
              <w:rPr>
                <w:bCs/>
              </w:rPr>
            </w:pPr>
          </w:p>
        </w:tc>
      </w:tr>
      <w:tr w:rsidR="00C3029C" w:rsidRPr="00C3029C" w14:paraId="5CA8E27E"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39DC29B6" w14:textId="77777777" w:rsidR="00C3029C" w:rsidRPr="00C3029C" w:rsidRDefault="00C3029C" w:rsidP="00C3029C">
            <w:pPr>
              <w:spacing w:after="160" w:line="259" w:lineRule="auto"/>
              <w:rPr>
                <w:bCs/>
              </w:rPr>
            </w:pPr>
            <w:r w:rsidRPr="00C3029C">
              <w:rPr>
                <w:bCs/>
              </w:rPr>
              <w:t>Trade Receivables (debtors)</w:t>
            </w:r>
          </w:p>
        </w:tc>
        <w:tc>
          <w:tcPr>
            <w:tcW w:w="2126" w:type="dxa"/>
            <w:tcBorders>
              <w:top w:val="single" w:sz="4" w:space="0" w:color="auto"/>
              <w:left w:val="single" w:sz="4" w:space="0" w:color="auto"/>
              <w:bottom w:val="single" w:sz="4" w:space="0" w:color="auto"/>
              <w:right w:val="single" w:sz="4" w:space="0" w:color="auto"/>
            </w:tcBorders>
            <w:hideMark/>
          </w:tcPr>
          <w:p w14:paraId="4E390FBF" w14:textId="77777777" w:rsidR="00C3029C" w:rsidRPr="00C3029C" w:rsidRDefault="00C3029C" w:rsidP="00C3029C">
            <w:pPr>
              <w:spacing w:after="160" w:line="259" w:lineRule="auto"/>
              <w:rPr>
                <w:bCs/>
              </w:rPr>
            </w:pPr>
            <w:r w:rsidRPr="00C3029C">
              <w:rPr>
                <w:bCs/>
              </w:rPr>
              <w:t>400,000</w:t>
            </w:r>
          </w:p>
        </w:tc>
        <w:tc>
          <w:tcPr>
            <w:tcW w:w="2380" w:type="dxa"/>
            <w:tcBorders>
              <w:top w:val="single" w:sz="4" w:space="0" w:color="auto"/>
              <w:left w:val="single" w:sz="4" w:space="0" w:color="auto"/>
              <w:bottom w:val="single" w:sz="4" w:space="0" w:color="auto"/>
              <w:right w:val="single" w:sz="4" w:space="0" w:color="auto"/>
            </w:tcBorders>
          </w:tcPr>
          <w:p w14:paraId="7E1DEA0D" w14:textId="77777777" w:rsidR="00C3029C" w:rsidRPr="00C3029C" w:rsidRDefault="00C3029C" w:rsidP="00C3029C">
            <w:pPr>
              <w:spacing w:after="160" w:line="259" w:lineRule="auto"/>
              <w:rPr>
                <w:bCs/>
              </w:rPr>
            </w:pPr>
          </w:p>
        </w:tc>
      </w:tr>
      <w:tr w:rsidR="00C3029C" w:rsidRPr="00C3029C" w14:paraId="31ACFA9E" w14:textId="77777777" w:rsidTr="00B26A5C">
        <w:tc>
          <w:tcPr>
            <w:tcW w:w="5070" w:type="dxa"/>
            <w:tcBorders>
              <w:top w:val="single" w:sz="4" w:space="0" w:color="auto"/>
              <w:left w:val="single" w:sz="4" w:space="0" w:color="auto"/>
              <w:bottom w:val="single" w:sz="4" w:space="0" w:color="auto"/>
              <w:right w:val="single" w:sz="4" w:space="0" w:color="auto"/>
            </w:tcBorders>
            <w:hideMark/>
          </w:tcPr>
          <w:p w14:paraId="5605D9A8" w14:textId="77777777" w:rsidR="00C3029C" w:rsidRPr="00C3029C" w:rsidRDefault="00C3029C" w:rsidP="00C3029C">
            <w:pPr>
              <w:spacing w:after="160" w:line="259" w:lineRule="auto"/>
              <w:rPr>
                <w:bCs/>
              </w:rPr>
            </w:pPr>
            <w:r w:rsidRPr="00C3029C">
              <w:rPr>
                <w:bCs/>
              </w:rPr>
              <w:t>Trade Payables (creditors)</w:t>
            </w:r>
          </w:p>
        </w:tc>
        <w:tc>
          <w:tcPr>
            <w:tcW w:w="2126" w:type="dxa"/>
            <w:tcBorders>
              <w:top w:val="single" w:sz="4" w:space="0" w:color="auto"/>
              <w:left w:val="single" w:sz="4" w:space="0" w:color="auto"/>
              <w:bottom w:val="single" w:sz="4" w:space="0" w:color="auto"/>
              <w:right w:val="single" w:sz="4" w:space="0" w:color="auto"/>
            </w:tcBorders>
          </w:tcPr>
          <w:p w14:paraId="397BF2B9" w14:textId="77777777" w:rsidR="00C3029C" w:rsidRPr="00C3029C" w:rsidRDefault="00C3029C" w:rsidP="00C3029C">
            <w:pPr>
              <w:spacing w:after="160" w:line="259" w:lineRule="auto"/>
              <w:rPr>
                <w:bCs/>
              </w:rPr>
            </w:pPr>
          </w:p>
        </w:tc>
        <w:tc>
          <w:tcPr>
            <w:tcW w:w="2380" w:type="dxa"/>
            <w:tcBorders>
              <w:top w:val="single" w:sz="4" w:space="0" w:color="auto"/>
              <w:left w:val="single" w:sz="4" w:space="0" w:color="auto"/>
              <w:bottom w:val="single" w:sz="4" w:space="0" w:color="auto"/>
              <w:right w:val="single" w:sz="4" w:space="0" w:color="auto"/>
            </w:tcBorders>
            <w:hideMark/>
          </w:tcPr>
          <w:p w14:paraId="631B843D" w14:textId="77777777" w:rsidR="00C3029C" w:rsidRPr="00C3029C" w:rsidRDefault="00C3029C" w:rsidP="00C3029C">
            <w:pPr>
              <w:spacing w:after="160" w:line="259" w:lineRule="auto"/>
              <w:rPr>
                <w:bCs/>
              </w:rPr>
            </w:pPr>
            <w:r w:rsidRPr="00C3029C">
              <w:rPr>
                <w:bCs/>
              </w:rPr>
              <w:t>350,000</w:t>
            </w:r>
          </w:p>
        </w:tc>
      </w:tr>
      <w:tr w:rsidR="00C3029C" w:rsidRPr="00C3029C" w14:paraId="7E24A021" w14:textId="77777777" w:rsidTr="00B26A5C">
        <w:tc>
          <w:tcPr>
            <w:tcW w:w="5070" w:type="dxa"/>
            <w:tcBorders>
              <w:top w:val="single" w:sz="4" w:space="0" w:color="auto"/>
              <w:left w:val="nil"/>
              <w:bottom w:val="nil"/>
              <w:right w:val="single" w:sz="4" w:space="0" w:color="auto"/>
            </w:tcBorders>
          </w:tcPr>
          <w:p w14:paraId="54174CCC" w14:textId="77777777" w:rsidR="00C3029C" w:rsidRPr="00C3029C" w:rsidRDefault="00C3029C" w:rsidP="00C3029C">
            <w:pPr>
              <w:spacing w:after="160" w:line="259" w:lineRule="auto"/>
              <w:rPr>
                <w:bCs/>
              </w:rPr>
            </w:pPr>
          </w:p>
        </w:tc>
        <w:tc>
          <w:tcPr>
            <w:tcW w:w="2126" w:type="dxa"/>
            <w:tcBorders>
              <w:top w:val="single" w:sz="4" w:space="0" w:color="auto"/>
              <w:left w:val="single" w:sz="4" w:space="0" w:color="auto"/>
              <w:bottom w:val="single" w:sz="4" w:space="0" w:color="auto"/>
              <w:right w:val="single" w:sz="4" w:space="0" w:color="auto"/>
            </w:tcBorders>
            <w:hideMark/>
          </w:tcPr>
          <w:p w14:paraId="1CEA204D" w14:textId="77777777" w:rsidR="00C3029C" w:rsidRPr="00C3029C" w:rsidRDefault="00C3029C" w:rsidP="00C3029C">
            <w:pPr>
              <w:spacing w:after="160" w:line="259" w:lineRule="auto"/>
              <w:rPr>
                <w:bCs/>
              </w:rPr>
            </w:pPr>
            <w:r w:rsidRPr="00C3029C">
              <w:rPr>
                <w:bCs/>
              </w:rPr>
              <w:t>2,248,620</w:t>
            </w:r>
          </w:p>
        </w:tc>
        <w:tc>
          <w:tcPr>
            <w:tcW w:w="2380" w:type="dxa"/>
            <w:tcBorders>
              <w:top w:val="single" w:sz="4" w:space="0" w:color="auto"/>
              <w:left w:val="single" w:sz="4" w:space="0" w:color="auto"/>
              <w:bottom w:val="single" w:sz="4" w:space="0" w:color="auto"/>
              <w:right w:val="single" w:sz="4" w:space="0" w:color="auto"/>
            </w:tcBorders>
            <w:hideMark/>
          </w:tcPr>
          <w:p w14:paraId="5CE5FCEB" w14:textId="77777777" w:rsidR="00C3029C" w:rsidRPr="00C3029C" w:rsidRDefault="00C3029C" w:rsidP="00C3029C">
            <w:pPr>
              <w:spacing w:after="160" w:line="259" w:lineRule="auto"/>
              <w:rPr>
                <w:bCs/>
              </w:rPr>
            </w:pPr>
            <w:r w:rsidRPr="00C3029C">
              <w:rPr>
                <w:bCs/>
              </w:rPr>
              <w:t>2,248,620</w:t>
            </w:r>
          </w:p>
        </w:tc>
      </w:tr>
      <w:bookmarkEnd w:id="0"/>
    </w:tbl>
    <w:p w14:paraId="6C5D0632" w14:textId="46CD273C" w:rsidR="00C3029C" w:rsidRDefault="00C3029C" w:rsidP="00C3029C"/>
    <w:p w14:paraId="47670256" w14:textId="78675FF8" w:rsidR="00C3029C" w:rsidRDefault="00C3029C" w:rsidP="00C3029C"/>
    <w:p w14:paraId="78BE8B0A" w14:textId="77777777" w:rsidR="00C3029C" w:rsidRDefault="00C3029C" w:rsidP="00C3029C">
      <w:pPr>
        <w:rPr>
          <w:b/>
          <w:bCs/>
          <w:i/>
          <w:iCs/>
          <w:sz w:val="24"/>
          <w:szCs w:val="24"/>
          <w:u w:val="single"/>
        </w:rPr>
      </w:pPr>
    </w:p>
    <w:p w14:paraId="471A8E42" w14:textId="77777777" w:rsidR="00C3029C" w:rsidRDefault="00C3029C" w:rsidP="00C3029C">
      <w:pPr>
        <w:rPr>
          <w:b/>
          <w:bCs/>
          <w:i/>
          <w:iCs/>
          <w:sz w:val="24"/>
          <w:szCs w:val="24"/>
          <w:u w:val="single"/>
        </w:rPr>
      </w:pPr>
    </w:p>
    <w:p w14:paraId="31F2F8B2" w14:textId="77777777" w:rsidR="00C3029C" w:rsidRDefault="00C3029C" w:rsidP="00C3029C">
      <w:pPr>
        <w:rPr>
          <w:b/>
          <w:bCs/>
          <w:i/>
          <w:iCs/>
          <w:sz w:val="24"/>
          <w:szCs w:val="24"/>
          <w:u w:val="single"/>
        </w:rPr>
      </w:pPr>
    </w:p>
    <w:p w14:paraId="757F0094" w14:textId="77777777" w:rsidR="00C3029C" w:rsidRDefault="00C3029C" w:rsidP="00C3029C">
      <w:pPr>
        <w:rPr>
          <w:b/>
          <w:bCs/>
          <w:i/>
          <w:iCs/>
          <w:sz w:val="24"/>
          <w:szCs w:val="24"/>
          <w:u w:val="single"/>
        </w:rPr>
      </w:pPr>
    </w:p>
    <w:p w14:paraId="29DA0E5C" w14:textId="513B92E3" w:rsidR="00C3029C" w:rsidRDefault="00C3029C" w:rsidP="00C3029C">
      <w:pPr>
        <w:rPr>
          <w:b/>
          <w:bCs/>
          <w:i/>
          <w:iCs/>
          <w:sz w:val="24"/>
          <w:szCs w:val="24"/>
          <w:u w:val="single"/>
        </w:rPr>
      </w:pPr>
      <w:r w:rsidRPr="002F5B41">
        <w:rPr>
          <w:b/>
          <w:bCs/>
          <w:i/>
          <w:iCs/>
          <w:sz w:val="24"/>
          <w:szCs w:val="24"/>
          <w:u w:val="single"/>
        </w:rPr>
        <w:t>Method of calculations</w:t>
      </w:r>
    </w:p>
    <w:p w14:paraId="2D65996B" w14:textId="77777777" w:rsidR="00C3029C" w:rsidRPr="00147D8F" w:rsidRDefault="00C3029C" w:rsidP="00C3029C">
      <w:pPr>
        <w:pStyle w:val="ListParagraph"/>
        <w:numPr>
          <w:ilvl w:val="0"/>
          <w:numId w:val="4"/>
        </w:numPr>
        <w:rPr>
          <w:rFonts w:ascii="Arial" w:hAnsi="Arial" w:cs="Arial"/>
          <w:i/>
          <w:iCs/>
        </w:rPr>
      </w:pPr>
      <w:r w:rsidRPr="00147D8F">
        <w:rPr>
          <w:rFonts w:ascii="Arial" w:hAnsi="Arial" w:cs="Arial"/>
          <w:i/>
          <w:iCs/>
        </w:rPr>
        <w:t>Depreciation</w:t>
      </w:r>
    </w:p>
    <w:p w14:paraId="2DBB67FA" w14:textId="77777777" w:rsidR="00C3029C" w:rsidRPr="00147D8F" w:rsidRDefault="00C3029C" w:rsidP="00C3029C">
      <w:pPr>
        <w:pStyle w:val="ListParagraph"/>
        <w:rPr>
          <w:rFonts w:ascii="Arial" w:hAnsi="Arial" w:cs="Arial"/>
        </w:rPr>
      </w:pPr>
      <w:r w:rsidRPr="00147D8F">
        <w:rPr>
          <w:rFonts w:ascii="Arial" w:hAnsi="Arial" w:cs="Arial"/>
        </w:rPr>
        <w:t>Buildings (750,000 – 100,000) x 5% = 32,500 (new entry on debit) Then add to provisions on credit.</w:t>
      </w:r>
    </w:p>
    <w:p w14:paraId="0990ADF3" w14:textId="77777777" w:rsidR="00C3029C" w:rsidRPr="00147D8F" w:rsidRDefault="00C3029C" w:rsidP="00C3029C">
      <w:pPr>
        <w:pStyle w:val="ListParagraph"/>
        <w:rPr>
          <w:rFonts w:ascii="Arial" w:hAnsi="Arial" w:cs="Arial"/>
          <w:i/>
          <w:iCs/>
        </w:rPr>
      </w:pPr>
      <w:r w:rsidRPr="00147D8F">
        <w:rPr>
          <w:rFonts w:ascii="Arial" w:hAnsi="Arial" w:cs="Arial"/>
        </w:rPr>
        <w:t xml:space="preserve"> Machinery 120,000 x 25% = 30,000 (new entry on debit) Then add to provisions on credit.</w:t>
      </w:r>
    </w:p>
    <w:p w14:paraId="0E6E0BBD" w14:textId="77777777" w:rsidR="00C3029C" w:rsidRPr="00147D8F" w:rsidRDefault="00C3029C" w:rsidP="00C3029C">
      <w:pPr>
        <w:rPr>
          <w:rFonts w:ascii="Arial" w:hAnsi="Arial" w:cs="Arial"/>
        </w:rPr>
      </w:pPr>
    </w:p>
    <w:p w14:paraId="2EC4F793" w14:textId="77777777" w:rsidR="00C3029C" w:rsidRPr="00147D8F" w:rsidRDefault="00C3029C" w:rsidP="00C3029C">
      <w:pPr>
        <w:pStyle w:val="ListParagraph"/>
        <w:numPr>
          <w:ilvl w:val="0"/>
          <w:numId w:val="4"/>
        </w:numPr>
        <w:rPr>
          <w:rFonts w:ascii="Arial" w:hAnsi="Arial" w:cs="Arial"/>
          <w:i/>
          <w:iCs/>
        </w:rPr>
      </w:pPr>
      <w:r w:rsidRPr="00147D8F">
        <w:rPr>
          <w:rFonts w:ascii="Arial" w:hAnsi="Arial" w:cs="Arial"/>
          <w:i/>
          <w:iCs/>
        </w:rPr>
        <w:t>Bad debt</w:t>
      </w:r>
    </w:p>
    <w:p w14:paraId="555A98CB" w14:textId="77777777" w:rsidR="00C3029C" w:rsidRPr="00147D8F" w:rsidRDefault="00C3029C" w:rsidP="00C3029C">
      <w:pPr>
        <w:pStyle w:val="ListParagraph"/>
        <w:rPr>
          <w:rFonts w:ascii="Arial" w:hAnsi="Arial" w:cs="Arial"/>
        </w:rPr>
      </w:pPr>
      <w:r w:rsidRPr="00147D8F">
        <w:rPr>
          <w:rFonts w:ascii="Arial" w:hAnsi="Arial" w:cs="Arial"/>
        </w:rPr>
        <w:t>(1%×400000)-3000=1000 Then we add 1000 on Bad Debt debit side and Provisions on credit.</w:t>
      </w:r>
    </w:p>
    <w:p w14:paraId="0FA48E26" w14:textId="77777777" w:rsidR="00C3029C" w:rsidRPr="00147D8F" w:rsidRDefault="00C3029C" w:rsidP="00C3029C">
      <w:pPr>
        <w:rPr>
          <w:rFonts w:ascii="Arial" w:hAnsi="Arial" w:cs="Arial"/>
        </w:rPr>
      </w:pPr>
    </w:p>
    <w:p w14:paraId="36EDF895" w14:textId="77777777" w:rsidR="00C3029C" w:rsidRPr="00147D8F" w:rsidRDefault="00C3029C" w:rsidP="00C3029C">
      <w:pPr>
        <w:pStyle w:val="ListParagraph"/>
        <w:numPr>
          <w:ilvl w:val="0"/>
          <w:numId w:val="4"/>
        </w:numPr>
        <w:rPr>
          <w:rFonts w:ascii="Arial" w:hAnsi="Arial" w:cs="Arial"/>
          <w:i/>
          <w:iCs/>
        </w:rPr>
      </w:pPr>
      <w:r w:rsidRPr="00147D8F">
        <w:rPr>
          <w:rFonts w:ascii="Arial" w:hAnsi="Arial" w:cs="Arial"/>
          <w:i/>
          <w:iCs/>
        </w:rPr>
        <w:t>Prepaid insurance</w:t>
      </w:r>
    </w:p>
    <w:p w14:paraId="62664F7B" w14:textId="77777777" w:rsidR="00C3029C" w:rsidRPr="00147D8F" w:rsidRDefault="00C3029C" w:rsidP="00C3029C">
      <w:pPr>
        <w:pStyle w:val="ListParagraph"/>
        <w:rPr>
          <w:rFonts w:ascii="Arial" w:hAnsi="Arial" w:cs="Arial"/>
        </w:rPr>
      </w:pPr>
      <w:r w:rsidRPr="00147D8F">
        <w:rPr>
          <w:rFonts w:ascii="Arial" w:hAnsi="Arial" w:cs="Arial"/>
        </w:rPr>
        <w:t>17520-16000 = 1520 Then we add to a new entry on debit side.</w:t>
      </w:r>
    </w:p>
    <w:p w14:paraId="0A041C58" w14:textId="77777777" w:rsidR="00C3029C" w:rsidRPr="00147D8F" w:rsidRDefault="00C3029C" w:rsidP="00C3029C">
      <w:pPr>
        <w:pStyle w:val="ListParagraph"/>
        <w:rPr>
          <w:rFonts w:ascii="Arial" w:hAnsi="Arial" w:cs="Arial"/>
        </w:rPr>
      </w:pPr>
    </w:p>
    <w:p w14:paraId="5AC01CB5" w14:textId="77777777" w:rsidR="00C3029C" w:rsidRPr="00BF095A" w:rsidRDefault="00C3029C" w:rsidP="00C3029C">
      <w:pPr>
        <w:pStyle w:val="ListParagraph"/>
        <w:numPr>
          <w:ilvl w:val="0"/>
          <w:numId w:val="4"/>
        </w:numPr>
        <w:spacing w:line="240" w:lineRule="auto"/>
        <w:rPr>
          <w:rFonts w:ascii="Arial" w:hAnsi="Arial" w:cs="Arial"/>
        </w:rPr>
      </w:pPr>
      <w:r>
        <w:rPr>
          <w:rFonts w:ascii="Arial" w:hAnsi="Arial" w:cs="Arial"/>
        </w:rPr>
        <w:t xml:space="preserve">In this case we open a new entry called Rates Accrual and credit it by 3,220 and debit Rent and Rates for the same amount. </w:t>
      </w:r>
    </w:p>
    <w:p w14:paraId="171A2333" w14:textId="77777777" w:rsidR="00C3029C" w:rsidRDefault="00C3029C" w:rsidP="00C3029C">
      <w:pPr>
        <w:pStyle w:val="ListParagraph"/>
        <w:rPr>
          <w:rFonts w:ascii="Arial" w:hAnsi="Arial" w:cs="Arial"/>
        </w:rPr>
      </w:pPr>
    </w:p>
    <w:p w14:paraId="60C50E07" w14:textId="77777777" w:rsidR="00C3029C" w:rsidRDefault="00C3029C" w:rsidP="00C3029C">
      <w:pPr>
        <w:pStyle w:val="ListParagraph"/>
        <w:rPr>
          <w:rFonts w:ascii="Arial" w:hAnsi="Arial" w:cs="Arial"/>
        </w:rPr>
      </w:pPr>
    </w:p>
    <w:p w14:paraId="30D9AD4C" w14:textId="70096B85" w:rsidR="00C3029C" w:rsidRPr="00C3029C" w:rsidRDefault="00C3029C" w:rsidP="00C3029C">
      <w:pPr>
        <w:pStyle w:val="ListParagraph"/>
        <w:numPr>
          <w:ilvl w:val="0"/>
          <w:numId w:val="4"/>
        </w:numPr>
        <w:rPr>
          <w:rFonts w:ascii="Arial" w:hAnsi="Arial" w:cs="Arial"/>
          <w:color w:val="282829"/>
        </w:rPr>
      </w:pPr>
      <w:r w:rsidRPr="00C3029C">
        <w:rPr>
          <w:rFonts w:ascii="Arial" w:hAnsi="Arial" w:cs="Arial"/>
          <w:color w:val="282829"/>
        </w:rPr>
        <w:t>Since opening inventory and purchases are present in the trial balance a new entry for closing inventory is not required and cannot be present.</w:t>
      </w:r>
    </w:p>
    <w:p w14:paraId="7331F661" w14:textId="5EC5E232" w:rsidR="00C3029C" w:rsidRDefault="00C3029C" w:rsidP="00C3029C">
      <w:pPr>
        <w:rPr>
          <w:rFonts w:ascii="Arial" w:hAnsi="Arial" w:cs="Arial"/>
          <w:color w:val="282829"/>
        </w:rPr>
      </w:pPr>
    </w:p>
    <w:p w14:paraId="688374D9" w14:textId="77777777" w:rsidR="00C3029C" w:rsidRPr="00C3029C" w:rsidRDefault="00C3029C" w:rsidP="00C3029C"/>
    <w:p w14:paraId="62668481" w14:textId="77777777" w:rsidR="00C3029C" w:rsidRDefault="00C3029C">
      <w:pPr>
        <w:rPr>
          <w:rFonts w:ascii="Arial" w:hAnsi="Arial" w:cs="Arial"/>
          <w:sz w:val="52"/>
          <w:szCs w:val="52"/>
        </w:rPr>
      </w:pPr>
    </w:p>
    <w:p w14:paraId="35F16F05" w14:textId="77777777" w:rsidR="008D148F" w:rsidRPr="00362C68" w:rsidRDefault="00C3029C" w:rsidP="008D148F">
      <w:pPr>
        <w:jc w:val="center"/>
        <w:rPr>
          <w:rFonts w:ascii="Arial" w:hAnsi="Arial" w:cs="Arial"/>
        </w:rPr>
      </w:pPr>
      <w:r>
        <w:rPr>
          <w:rFonts w:ascii="Arial" w:hAnsi="Arial" w:cs="Arial"/>
          <w:sz w:val="52"/>
          <w:szCs w:val="52"/>
        </w:rPr>
        <w:br w:type="page"/>
      </w:r>
      <w:r w:rsidR="008D148F" w:rsidRPr="00362C68">
        <w:rPr>
          <w:rFonts w:ascii="Arial" w:hAnsi="Arial" w:cs="Arial"/>
        </w:rPr>
        <w:lastRenderedPageBreak/>
        <w:t>Generals Supplies Ltd.</w:t>
      </w:r>
    </w:p>
    <w:p w14:paraId="0A3CD25C" w14:textId="77777777" w:rsidR="008D148F" w:rsidRDefault="008D148F" w:rsidP="008D148F">
      <w:pPr>
        <w:jc w:val="center"/>
        <w:rPr>
          <w:rFonts w:ascii="Arial" w:hAnsi="Arial" w:cs="Arial"/>
        </w:rPr>
      </w:pPr>
      <w:r w:rsidRPr="00362C68">
        <w:rPr>
          <w:rFonts w:ascii="Arial" w:hAnsi="Arial" w:cs="Arial"/>
        </w:rPr>
        <w:t>Income Statement for year ending 31</w:t>
      </w:r>
      <w:r w:rsidRPr="00362C68">
        <w:rPr>
          <w:rFonts w:ascii="Arial" w:hAnsi="Arial" w:cs="Arial"/>
          <w:vertAlign w:val="superscript"/>
        </w:rPr>
        <w:t>st</w:t>
      </w:r>
      <w:r w:rsidRPr="00362C68">
        <w:rPr>
          <w:rFonts w:ascii="Arial" w:hAnsi="Arial" w:cs="Arial"/>
        </w:rPr>
        <w:t xml:space="preserve"> December 2021</w:t>
      </w:r>
    </w:p>
    <w:p w14:paraId="5A5EC818" w14:textId="77777777" w:rsidR="008D148F" w:rsidRPr="00362C68" w:rsidRDefault="008D148F" w:rsidP="008D148F">
      <w:pPr>
        <w:jc w:val="center"/>
        <w:rPr>
          <w:rFonts w:ascii="Arial" w:hAnsi="Arial" w:cs="Arial"/>
        </w:rPr>
      </w:pPr>
    </w:p>
    <w:p w14:paraId="012F3529" w14:textId="77777777" w:rsidR="008D148F" w:rsidRDefault="008D148F" w:rsidP="008D148F">
      <w:pPr>
        <w:rPr>
          <w:rFonts w:ascii="Arial" w:hAnsi="Arial" w:cs="Arial"/>
        </w:rPr>
      </w:pPr>
      <w:r>
        <w:rPr>
          <w:rFonts w:ascii="Arial" w:hAnsi="Arial" w:cs="Arial"/>
        </w:rPr>
        <w:t>SALES                                                                                                                        900,000</w:t>
      </w:r>
    </w:p>
    <w:p w14:paraId="0B1723B7" w14:textId="77777777" w:rsidR="008D148F" w:rsidRDefault="008D148F" w:rsidP="008D148F">
      <w:pPr>
        <w:rPr>
          <w:rFonts w:ascii="Arial" w:hAnsi="Arial" w:cs="Arial"/>
        </w:rPr>
      </w:pPr>
      <w:r>
        <w:rPr>
          <w:rFonts w:ascii="Arial" w:hAnsi="Arial" w:cs="Arial"/>
        </w:rPr>
        <w:t>Cost of sales</w:t>
      </w:r>
    </w:p>
    <w:p w14:paraId="11C1D157" w14:textId="77777777" w:rsidR="008D148F" w:rsidRDefault="008D148F" w:rsidP="008D148F">
      <w:pPr>
        <w:ind w:left="720"/>
        <w:rPr>
          <w:rFonts w:ascii="Arial" w:hAnsi="Arial" w:cs="Arial"/>
        </w:rPr>
      </w:pPr>
      <w:r>
        <w:rPr>
          <w:rFonts w:ascii="Arial" w:hAnsi="Arial" w:cs="Arial"/>
        </w:rPr>
        <w:t>Opening Inventory                                      90,000</w:t>
      </w:r>
    </w:p>
    <w:p w14:paraId="5388BBE0" w14:textId="77777777" w:rsidR="008D148F" w:rsidRDefault="008D148F" w:rsidP="008D148F">
      <w:pPr>
        <w:ind w:left="720"/>
        <w:rPr>
          <w:rFonts w:ascii="Arial" w:hAnsi="Arial" w:cs="Arial"/>
        </w:rPr>
      </w:pPr>
      <w:r>
        <w:rPr>
          <w:rFonts w:ascii="Arial" w:hAnsi="Arial" w:cs="Arial"/>
        </w:rPr>
        <w:t>Purchases                                                   560,000</w:t>
      </w:r>
    </w:p>
    <w:p w14:paraId="3F9C6A96" w14:textId="01600D43" w:rsidR="008D148F" w:rsidRDefault="008D148F" w:rsidP="008D148F">
      <w:pPr>
        <w:ind w:left="720"/>
        <w:rPr>
          <w:rFonts w:ascii="Arial" w:hAnsi="Arial" w:cs="Arial"/>
        </w:rPr>
      </w:pPr>
      <w:r>
        <w:rPr>
          <w:rFonts w:ascii="Arial" w:hAnsi="Arial" w:cs="Arial"/>
        </w:rPr>
        <w:t xml:space="preserve">Closing Inventory                                    </w:t>
      </w:r>
      <w:r w:rsidR="004408F0">
        <w:rPr>
          <w:rFonts w:ascii="Arial" w:hAnsi="Arial" w:cs="Arial"/>
        </w:rPr>
        <w:t xml:space="preserve">   (</w:t>
      </w:r>
      <w:r>
        <w:rPr>
          <w:rFonts w:ascii="Arial" w:hAnsi="Arial" w:cs="Arial"/>
        </w:rPr>
        <w:t>125,000)                                     (525,000)</w:t>
      </w:r>
    </w:p>
    <w:p w14:paraId="6EB1D55B" w14:textId="77777777" w:rsidR="008D148F" w:rsidRDefault="008D148F" w:rsidP="008D148F">
      <w:pPr>
        <w:rPr>
          <w:rFonts w:ascii="Arial" w:hAnsi="Arial" w:cs="Arial"/>
          <w:b/>
          <w:bCs/>
        </w:rPr>
      </w:pPr>
      <w:r w:rsidRPr="004356E6">
        <w:rPr>
          <w:rFonts w:ascii="Arial" w:hAnsi="Arial" w:cs="Arial"/>
          <w:b/>
          <w:bCs/>
        </w:rPr>
        <w:t xml:space="preserve">Gross profit  </w:t>
      </w:r>
      <w:r>
        <w:rPr>
          <w:rFonts w:ascii="Arial" w:hAnsi="Arial" w:cs="Arial"/>
          <w:b/>
          <w:bCs/>
        </w:rPr>
        <w:t xml:space="preserve">                                                                                                             </w:t>
      </w:r>
      <w:r w:rsidRPr="004356E6">
        <w:rPr>
          <w:rFonts w:ascii="Arial" w:hAnsi="Arial" w:cs="Arial"/>
          <w:b/>
          <w:bCs/>
        </w:rPr>
        <w:t>375,000</w:t>
      </w:r>
    </w:p>
    <w:p w14:paraId="3752EE3C" w14:textId="77777777" w:rsidR="008D148F" w:rsidRDefault="008D148F" w:rsidP="008D148F">
      <w:pPr>
        <w:rPr>
          <w:rFonts w:ascii="Arial" w:hAnsi="Arial" w:cs="Arial"/>
        </w:rPr>
      </w:pPr>
    </w:p>
    <w:p w14:paraId="038A361D" w14:textId="77777777" w:rsidR="008D148F" w:rsidRDefault="008D148F" w:rsidP="008D148F">
      <w:pPr>
        <w:rPr>
          <w:rFonts w:ascii="Arial" w:hAnsi="Arial" w:cs="Arial"/>
        </w:rPr>
      </w:pPr>
      <w:r>
        <w:rPr>
          <w:rFonts w:ascii="Arial" w:hAnsi="Arial" w:cs="Arial"/>
        </w:rPr>
        <w:t>EXPENSES</w:t>
      </w:r>
    </w:p>
    <w:p w14:paraId="684AA07E" w14:textId="77777777" w:rsidR="008D148F" w:rsidRPr="00167A2F" w:rsidRDefault="008D148F" w:rsidP="008D148F">
      <w:pPr>
        <w:rPr>
          <w:rFonts w:ascii="Arial" w:hAnsi="Arial" w:cs="Arial"/>
        </w:rPr>
      </w:pPr>
      <w:r>
        <w:rPr>
          <w:rFonts w:ascii="Arial" w:hAnsi="Arial" w:cs="Arial"/>
        </w:rPr>
        <w:t>Deducted Operating Expenses</w:t>
      </w:r>
    </w:p>
    <w:p w14:paraId="11FBF730" w14:textId="77777777" w:rsidR="008D148F" w:rsidRDefault="008D148F" w:rsidP="008D148F">
      <w:pPr>
        <w:ind w:left="720"/>
        <w:rPr>
          <w:rFonts w:ascii="Arial" w:hAnsi="Arial" w:cs="Arial"/>
        </w:rPr>
      </w:pPr>
      <w:r>
        <w:rPr>
          <w:rFonts w:ascii="Arial" w:hAnsi="Arial" w:cs="Arial"/>
        </w:rPr>
        <w:t>Rent and Rates                                         28,000</w:t>
      </w:r>
    </w:p>
    <w:p w14:paraId="0A46B81E" w14:textId="77777777" w:rsidR="008D148F" w:rsidRDefault="008D148F" w:rsidP="008D148F">
      <w:pPr>
        <w:ind w:left="720"/>
        <w:rPr>
          <w:rFonts w:ascii="Arial" w:hAnsi="Arial" w:cs="Arial"/>
        </w:rPr>
      </w:pPr>
      <w:r>
        <w:rPr>
          <w:rFonts w:ascii="Arial" w:hAnsi="Arial" w:cs="Arial"/>
        </w:rPr>
        <w:t>Motor Running Expense                           8,700</w:t>
      </w:r>
    </w:p>
    <w:p w14:paraId="56121BE8" w14:textId="77777777" w:rsidR="008D148F" w:rsidRDefault="008D148F" w:rsidP="008D148F">
      <w:pPr>
        <w:ind w:left="720"/>
        <w:rPr>
          <w:rFonts w:ascii="Arial" w:hAnsi="Arial" w:cs="Arial"/>
        </w:rPr>
      </w:pPr>
      <w:r>
        <w:rPr>
          <w:rFonts w:ascii="Arial" w:hAnsi="Arial" w:cs="Arial"/>
        </w:rPr>
        <w:t>Salaries and Wages                                 150,000</w:t>
      </w:r>
    </w:p>
    <w:p w14:paraId="0FC5784A" w14:textId="77777777" w:rsidR="008D148F" w:rsidRDefault="008D148F" w:rsidP="008D148F">
      <w:pPr>
        <w:ind w:left="720"/>
        <w:rPr>
          <w:rFonts w:ascii="Arial" w:hAnsi="Arial" w:cs="Arial"/>
        </w:rPr>
      </w:pPr>
      <w:r>
        <w:rPr>
          <w:rFonts w:ascii="Arial" w:hAnsi="Arial" w:cs="Arial"/>
        </w:rPr>
        <w:t>Insurance                                                  16,000</w:t>
      </w:r>
    </w:p>
    <w:p w14:paraId="25A45CAA" w14:textId="77777777" w:rsidR="008D148F" w:rsidRDefault="008D148F" w:rsidP="008D148F">
      <w:pPr>
        <w:ind w:left="720"/>
        <w:rPr>
          <w:rFonts w:ascii="Arial" w:hAnsi="Arial" w:cs="Arial"/>
        </w:rPr>
      </w:pPr>
      <w:r>
        <w:rPr>
          <w:rFonts w:ascii="Arial" w:hAnsi="Arial" w:cs="Arial"/>
        </w:rPr>
        <w:t>Postage and Stationery                             6,000</w:t>
      </w:r>
    </w:p>
    <w:p w14:paraId="2D83BEED" w14:textId="77777777" w:rsidR="008D148F" w:rsidRDefault="008D148F" w:rsidP="008D148F">
      <w:pPr>
        <w:ind w:left="720"/>
        <w:rPr>
          <w:rFonts w:ascii="Arial" w:hAnsi="Arial" w:cs="Arial"/>
        </w:rPr>
      </w:pPr>
      <w:r>
        <w:rPr>
          <w:rFonts w:ascii="Arial" w:hAnsi="Arial" w:cs="Arial"/>
        </w:rPr>
        <w:t>Heating and Lightning                               10,000</w:t>
      </w:r>
    </w:p>
    <w:p w14:paraId="3240436B" w14:textId="77777777" w:rsidR="008D148F" w:rsidRDefault="008D148F" w:rsidP="008D148F">
      <w:pPr>
        <w:ind w:left="720"/>
        <w:rPr>
          <w:rFonts w:ascii="Arial" w:hAnsi="Arial" w:cs="Arial"/>
        </w:rPr>
      </w:pPr>
      <w:r>
        <w:rPr>
          <w:rFonts w:ascii="Arial" w:hAnsi="Arial" w:cs="Arial"/>
        </w:rPr>
        <w:t>Bad debt                                                    5,000</w:t>
      </w:r>
    </w:p>
    <w:p w14:paraId="666737FC" w14:textId="77777777" w:rsidR="008D148F" w:rsidRDefault="008D148F" w:rsidP="008D148F">
      <w:pPr>
        <w:ind w:left="720"/>
        <w:rPr>
          <w:rFonts w:ascii="Arial" w:hAnsi="Arial" w:cs="Arial"/>
        </w:rPr>
      </w:pPr>
      <w:r>
        <w:rPr>
          <w:rFonts w:ascii="Arial" w:hAnsi="Arial" w:cs="Arial"/>
        </w:rPr>
        <w:t>Depreciation                                              62,500</w:t>
      </w:r>
    </w:p>
    <w:p w14:paraId="20DBAFC4" w14:textId="77777777" w:rsidR="008D148F" w:rsidRDefault="008D148F" w:rsidP="008D148F">
      <w:pPr>
        <w:ind w:left="720"/>
        <w:rPr>
          <w:rFonts w:ascii="Arial" w:hAnsi="Arial" w:cs="Arial"/>
        </w:rPr>
      </w:pPr>
      <w:r>
        <w:rPr>
          <w:rFonts w:ascii="Arial" w:hAnsi="Arial" w:cs="Arial"/>
        </w:rPr>
        <w:t>Traveling Expenses                                   5,000</w:t>
      </w:r>
    </w:p>
    <w:p w14:paraId="26F2B74A" w14:textId="77777777" w:rsidR="008D148F" w:rsidRDefault="008D148F" w:rsidP="008D148F">
      <w:pPr>
        <w:ind w:left="720"/>
        <w:rPr>
          <w:rFonts w:ascii="Arial" w:hAnsi="Arial" w:cs="Arial"/>
        </w:rPr>
      </w:pPr>
      <w:r>
        <w:rPr>
          <w:rFonts w:ascii="Arial" w:hAnsi="Arial" w:cs="Arial"/>
        </w:rPr>
        <w:t>Legal Expenses                                         7,000                                           (298,200)</w:t>
      </w:r>
    </w:p>
    <w:p w14:paraId="486E577E" w14:textId="77777777" w:rsidR="008D148F" w:rsidRDefault="008D148F" w:rsidP="008D148F">
      <w:pPr>
        <w:rPr>
          <w:rFonts w:ascii="Arial" w:hAnsi="Arial" w:cs="Arial"/>
          <w:b/>
          <w:bCs/>
        </w:rPr>
      </w:pPr>
      <w:r w:rsidRPr="00506534">
        <w:rPr>
          <w:rFonts w:ascii="Arial" w:hAnsi="Arial" w:cs="Arial"/>
          <w:b/>
          <w:bCs/>
        </w:rPr>
        <w:t xml:space="preserve">Operating Profit                                                                                                         </w:t>
      </w:r>
      <w:r>
        <w:rPr>
          <w:rFonts w:ascii="Arial" w:hAnsi="Arial" w:cs="Arial"/>
          <w:b/>
          <w:bCs/>
        </w:rPr>
        <w:t>76,800</w:t>
      </w:r>
    </w:p>
    <w:p w14:paraId="4C1F4CCC" w14:textId="77777777" w:rsidR="008D148F" w:rsidRDefault="008D148F" w:rsidP="008D148F">
      <w:pPr>
        <w:rPr>
          <w:rFonts w:ascii="Arial" w:hAnsi="Arial" w:cs="Arial"/>
          <w:b/>
          <w:bCs/>
        </w:rPr>
      </w:pPr>
    </w:p>
    <w:p w14:paraId="67D207A6" w14:textId="77777777" w:rsidR="008D148F" w:rsidRDefault="008D148F" w:rsidP="008D148F">
      <w:pPr>
        <w:rPr>
          <w:rFonts w:ascii="Arial" w:hAnsi="Arial" w:cs="Arial"/>
        </w:rPr>
      </w:pPr>
      <w:r>
        <w:rPr>
          <w:rFonts w:ascii="Arial" w:hAnsi="Arial" w:cs="Arial"/>
        </w:rPr>
        <w:t>Finance expense                                                                                                        (16,000)</w:t>
      </w:r>
    </w:p>
    <w:p w14:paraId="7F7C4777" w14:textId="77777777" w:rsidR="008D148F" w:rsidRDefault="008D148F" w:rsidP="008D148F">
      <w:pPr>
        <w:rPr>
          <w:rFonts w:ascii="Arial" w:hAnsi="Arial" w:cs="Arial"/>
        </w:rPr>
      </w:pPr>
      <w:r>
        <w:rPr>
          <w:rFonts w:ascii="Arial" w:hAnsi="Arial" w:cs="Arial"/>
        </w:rPr>
        <w:t>Finance Income                                                                                                            4,000</w:t>
      </w:r>
    </w:p>
    <w:p w14:paraId="5DCE8A1A" w14:textId="77777777" w:rsidR="008D148F" w:rsidRDefault="008D148F" w:rsidP="008D148F">
      <w:pPr>
        <w:rPr>
          <w:rFonts w:ascii="Arial" w:hAnsi="Arial" w:cs="Arial"/>
          <w:b/>
          <w:bCs/>
        </w:rPr>
      </w:pPr>
      <w:r w:rsidRPr="00D60F89">
        <w:rPr>
          <w:rFonts w:ascii="Arial" w:hAnsi="Arial" w:cs="Arial"/>
          <w:b/>
          <w:bCs/>
        </w:rPr>
        <w:t>Profit before tax</w:t>
      </w:r>
      <w:r>
        <w:rPr>
          <w:rFonts w:ascii="Arial" w:hAnsi="Arial" w:cs="Arial"/>
          <w:b/>
          <w:bCs/>
        </w:rPr>
        <w:t xml:space="preserve">                                                                                                          64,800</w:t>
      </w:r>
    </w:p>
    <w:p w14:paraId="5794FA9C" w14:textId="77777777" w:rsidR="008D148F" w:rsidRDefault="008D148F" w:rsidP="008D148F">
      <w:pPr>
        <w:rPr>
          <w:rFonts w:ascii="Arial" w:hAnsi="Arial" w:cs="Arial"/>
          <w:b/>
          <w:bCs/>
        </w:rPr>
      </w:pPr>
    </w:p>
    <w:p w14:paraId="095F137C" w14:textId="77777777" w:rsidR="008D148F" w:rsidRDefault="008D148F" w:rsidP="008D148F">
      <w:pPr>
        <w:rPr>
          <w:rFonts w:ascii="Arial" w:hAnsi="Arial" w:cs="Arial"/>
        </w:rPr>
      </w:pPr>
      <w:r>
        <w:rPr>
          <w:rFonts w:ascii="Arial" w:hAnsi="Arial" w:cs="Arial"/>
        </w:rPr>
        <w:t>Taxation                                                                                                                       (12,900)</w:t>
      </w:r>
    </w:p>
    <w:p w14:paraId="1F7B233D" w14:textId="77777777" w:rsidR="008D148F" w:rsidRDefault="008D148F" w:rsidP="008D148F">
      <w:pPr>
        <w:rPr>
          <w:rFonts w:ascii="Arial" w:hAnsi="Arial" w:cs="Arial"/>
          <w:b/>
          <w:bCs/>
        </w:rPr>
      </w:pPr>
    </w:p>
    <w:p w14:paraId="52038E8F" w14:textId="77777777" w:rsidR="008D148F" w:rsidRDefault="008D148F" w:rsidP="008D148F">
      <w:pPr>
        <w:rPr>
          <w:rFonts w:ascii="Arial" w:hAnsi="Arial" w:cs="Arial"/>
          <w:b/>
          <w:bCs/>
        </w:rPr>
      </w:pPr>
    </w:p>
    <w:p w14:paraId="6D80F503" w14:textId="77777777" w:rsidR="008D148F" w:rsidRPr="00D60F89" w:rsidRDefault="008D148F" w:rsidP="008D148F">
      <w:pPr>
        <w:rPr>
          <w:rFonts w:ascii="Arial" w:hAnsi="Arial" w:cs="Arial"/>
          <w:b/>
          <w:bCs/>
        </w:rPr>
      </w:pPr>
      <w:r w:rsidRPr="00D60F89">
        <w:rPr>
          <w:rFonts w:ascii="Arial" w:hAnsi="Arial" w:cs="Arial"/>
          <w:b/>
          <w:bCs/>
        </w:rPr>
        <w:t>Net Profit</w:t>
      </w:r>
      <w:r>
        <w:rPr>
          <w:rFonts w:ascii="Arial" w:hAnsi="Arial" w:cs="Arial"/>
          <w:b/>
          <w:bCs/>
        </w:rPr>
        <w:t xml:space="preserve">                                                                                                                     51,900</w:t>
      </w:r>
    </w:p>
    <w:p w14:paraId="2B02C08A" w14:textId="074477F8" w:rsidR="00C3029C" w:rsidRPr="00C3029C" w:rsidRDefault="00C3029C">
      <w:pPr>
        <w:rPr>
          <w:rFonts w:ascii="Arial" w:hAnsi="Arial" w:cs="Arial"/>
        </w:rPr>
      </w:pPr>
    </w:p>
    <w:p w14:paraId="6AD5AABA" w14:textId="77777777" w:rsidR="008D148F" w:rsidRDefault="008D148F" w:rsidP="008D148F">
      <w:pPr>
        <w:jc w:val="center"/>
        <w:rPr>
          <w:rFonts w:ascii="Arial" w:hAnsi="Arial" w:cs="Arial"/>
        </w:rPr>
      </w:pPr>
    </w:p>
    <w:p w14:paraId="00D4F582" w14:textId="77777777" w:rsidR="008D148F" w:rsidRDefault="008D148F" w:rsidP="008D148F">
      <w:pPr>
        <w:jc w:val="center"/>
        <w:rPr>
          <w:rFonts w:ascii="Arial" w:hAnsi="Arial" w:cs="Arial"/>
        </w:rPr>
      </w:pPr>
    </w:p>
    <w:p w14:paraId="67070678" w14:textId="77777777" w:rsidR="008D148F" w:rsidRDefault="008D148F" w:rsidP="008D148F">
      <w:pPr>
        <w:jc w:val="center"/>
        <w:rPr>
          <w:rFonts w:ascii="Arial" w:hAnsi="Arial" w:cs="Arial"/>
        </w:rPr>
      </w:pPr>
    </w:p>
    <w:p w14:paraId="186E7B1E" w14:textId="77777777" w:rsidR="008D148F" w:rsidRDefault="008D148F" w:rsidP="008D148F">
      <w:pPr>
        <w:jc w:val="center"/>
        <w:rPr>
          <w:rFonts w:ascii="Arial" w:hAnsi="Arial" w:cs="Arial"/>
        </w:rPr>
      </w:pPr>
    </w:p>
    <w:p w14:paraId="75003BA0" w14:textId="13900DCF" w:rsidR="008D148F" w:rsidRPr="00362C68" w:rsidRDefault="008D148F" w:rsidP="008D148F">
      <w:pPr>
        <w:jc w:val="center"/>
        <w:rPr>
          <w:rFonts w:ascii="Arial" w:hAnsi="Arial" w:cs="Arial"/>
        </w:rPr>
      </w:pPr>
      <w:r w:rsidRPr="00362C68">
        <w:rPr>
          <w:rFonts w:ascii="Arial" w:hAnsi="Arial" w:cs="Arial"/>
        </w:rPr>
        <w:lastRenderedPageBreak/>
        <w:t>Generals Supplies Ltd.</w:t>
      </w:r>
    </w:p>
    <w:p w14:paraId="24FC6DAD" w14:textId="77777777" w:rsidR="008D148F" w:rsidRDefault="008D148F" w:rsidP="008D148F">
      <w:pPr>
        <w:jc w:val="center"/>
        <w:rPr>
          <w:rFonts w:ascii="Arial" w:hAnsi="Arial" w:cs="Arial"/>
        </w:rPr>
      </w:pPr>
      <w:r>
        <w:rPr>
          <w:rFonts w:ascii="Arial" w:hAnsi="Arial" w:cs="Arial"/>
        </w:rPr>
        <w:t>Balance Sheet</w:t>
      </w:r>
      <w:r w:rsidRPr="00362C68">
        <w:rPr>
          <w:rFonts w:ascii="Arial" w:hAnsi="Arial" w:cs="Arial"/>
        </w:rPr>
        <w:t xml:space="preserve"> for year ending 31</w:t>
      </w:r>
      <w:r w:rsidRPr="00362C68">
        <w:rPr>
          <w:rFonts w:ascii="Arial" w:hAnsi="Arial" w:cs="Arial"/>
          <w:vertAlign w:val="superscript"/>
        </w:rPr>
        <w:t>st</w:t>
      </w:r>
      <w:r w:rsidRPr="00362C68">
        <w:rPr>
          <w:rFonts w:ascii="Arial" w:hAnsi="Arial" w:cs="Arial"/>
        </w:rPr>
        <w:t xml:space="preserve"> December 2021</w:t>
      </w:r>
    </w:p>
    <w:p w14:paraId="030845C4" w14:textId="77777777" w:rsidR="008D148F" w:rsidRDefault="008D148F" w:rsidP="008D148F">
      <w:pPr>
        <w:rPr>
          <w:rFonts w:ascii="Arial" w:hAnsi="Arial" w:cs="Arial"/>
        </w:rPr>
      </w:pPr>
    </w:p>
    <w:p w14:paraId="6F69215B" w14:textId="77777777" w:rsidR="008D148F" w:rsidRDefault="008D148F" w:rsidP="008D148F">
      <w:pPr>
        <w:rPr>
          <w:rFonts w:ascii="Arial" w:hAnsi="Arial" w:cs="Arial"/>
        </w:rPr>
      </w:pPr>
      <w:r>
        <w:rPr>
          <w:rFonts w:ascii="Arial" w:hAnsi="Arial" w:cs="Arial"/>
        </w:rPr>
        <w:t>ASSETS</w:t>
      </w:r>
    </w:p>
    <w:p w14:paraId="2F317FE5" w14:textId="77777777" w:rsidR="008D148F" w:rsidRDefault="008D148F" w:rsidP="008D148F">
      <w:pPr>
        <w:rPr>
          <w:rFonts w:ascii="Arial" w:hAnsi="Arial" w:cs="Arial"/>
        </w:rPr>
      </w:pPr>
      <w:r>
        <w:rPr>
          <w:rFonts w:ascii="Arial" w:hAnsi="Arial" w:cs="Arial"/>
        </w:rPr>
        <w:t>Non-current assets</w:t>
      </w:r>
    </w:p>
    <w:p w14:paraId="19044AE3" w14:textId="77777777" w:rsidR="008D148F" w:rsidRDefault="008D148F" w:rsidP="008D148F">
      <w:pPr>
        <w:ind w:left="720"/>
        <w:rPr>
          <w:rFonts w:ascii="Arial" w:hAnsi="Arial" w:cs="Arial"/>
        </w:rPr>
      </w:pPr>
      <w:r>
        <w:rPr>
          <w:rFonts w:ascii="Arial" w:hAnsi="Arial" w:cs="Arial"/>
        </w:rPr>
        <w:t>Buildings                                                           617,500</w:t>
      </w:r>
    </w:p>
    <w:p w14:paraId="54B9A002" w14:textId="77777777" w:rsidR="008D148F" w:rsidRDefault="008D148F" w:rsidP="008D148F">
      <w:pPr>
        <w:ind w:left="720"/>
        <w:rPr>
          <w:rFonts w:ascii="Arial" w:hAnsi="Arial" w:cs="Arial"/>
        </w:rPr>
      </w:pPr>
      <w:r>
        <w:rPr>
          <w:rFonts w:ascii="Arial" w:hAnsi="Arial" w:cs="Arial"/>
        </w:rPr>
        <w:t>Machinery                                                         65,000</w:t>
      </w:r>
    </w:p>
    <w:p w14:paraId="703C59BF" w14:textId="77777777" w:rsidR="008D148F" w:rsidRDefault="008D148F" w:rsidP="008D148F">
      <w:pPr>
        <w:rPr>
          <w:rFonts w:ascii="Arial" w:hAnsi="Arial" w:cs="Arial"/>
        </w:rPr>
      </w:pPr>
      <w:r>
        <w:rPr>
          <w:rFonts w:ascii="Arial" w:hAnsi="Arial" w:cs="Arial"/>
        </w:rPr>
        <w:t>Current Assets</w:t>
      </w:r>
    </w:p>
    <w:p w14:paraId="564BD93D" w14:textId="77777777" w:rsidR="008D148F" w:rsidRDefault="008D148F" w:rsidP="008D148F">
      <w:pPr>
        <w:ind w:left="720"/>
        <w:rPr>
          <w:rFonts w:ascii="Arial" w:hAnsi="Arial" w:cs="Arial"/>
        </w:rPr>
      </w:pPr>
      <w:r>
        <w:rPr>
          <w:rFonts w:ascii="Arial" w:hAnsi="Arial" w:cs="Arial"/>
        </w:rPr>
        <w:t>Closing inventory                                              125,000</w:t>
      </w:r>
    </w:p>
    <w:p w14:paraId="36D9E5E2" w14:textId="77777777" w:rsidR="008D148F" w:rsidRDefault="008D148F" w:rsidP="008D148F">
      <w:pPr>
        <w:ind w:left="720"/>
        <w:rPr>
          <w:rFonts w:ascii="Arial" w:hAnsi="Arial" w:cs="Arial"/>
        </w:rPr>
      </w:pPr>
      <w:r>
        <w:rPr>
          <w:rFonts w:ascii="Arial" w:hAnsi="Arial" w:cs="Arial"/>
        </w:rPr>
        <w:t>Trade Receivables                                            396,000</w:t>
      </w:r>
    </w:p>
    <w:p w14:paraId="6054D814" w14:textId="77777777" w:rsidR="008D148F" w:rsidRDefault="008D148F" w:rsidP="008D148F">
      <w:pPr>
        <w:ind w:left="720"/>
        <w:rPr>
          <w:rFonts w:ascii="Arial" w:hAnsi="Arial" w:cs="Arial"/>
        </w:rPr>
      </w:pPr>
      <w:r>
        <w:rPr>
          <w:rFonts w:ascii="Arial" w:hAnsi="Arial" w:cs="Arial"/>
        </w:rPr>
        <w:t>Prepaid Insurance                                             1,520</w:t>
      </w:r>
    </w:p>
    <w:p w14:paraId="31F27452" w14:textId="77777777" w:rsidR="008D148F" w:rsidRDefault="008D148F" w:rsidP="008D148F">
      <w:pPr>
        <w:rPr>
          <w:rFonts w:ascii="Arial" w:hAnsi="Arial" w:cs="Arial"/>
          <w:b/>
          <w:bCs/>
        </w:rPr>
      </w:pPr>
      <w:r w:rsidRPr="00167A2F">
        <w:rPr>
          <w:rFonts w:ascii="Arial" w:hAnsi="Arial" w:cs="Arial"/>
          <w:b/>
          <w:bCs/>
        </w:rPr>
        <w:t xml:space="preserve">Total Assets                                                          </w:t>
      </w:r>
      <w:r>
        <w:rPr>
          <w:rFonts w:ascii="Arial" w:hAnsi="Arial" w:cs="Arial"/>
          <w:b/>
          <w:bCs/>
        </w:rPr>
        <w:t xml:space="preserve">      </w:t>
      </w:r>
      <w:r w:rsidRPr="00167A2F">
        <w:rPr>
          <w:rFonts w:ascii="Arial" w:hAnsi="Arial" w:cs="Arial"/>
          <w:b/>
          <w:bCs/>
        </w:rPr>
        <w:t>1,20</w:t>
      </w:r>
      <w:r>
        <w:rPr>
          <w:rFonts w:ascii="Arial" w:hAnsi="Arial" w:cs="Arial"/>
          <w:b/>
          <w:bCs/>
        </w:rPr>
        <w:t>5</w:t>
      </w:r>
      <w:r w:rsidRPr="00167A2F">
        <w:rPr>
          <w:rFonts w:ascii="Arial" w:hAnsi="Arial" w:cs="Arial"/>
          <w:b/>
          <w:bCs/>
        </w:rPr>
        <w:t>,</w:t>
      </w:r>
      <w:r>
        <w:rPr>
          <w:rFonts w:ascii="Arial" w:hAnsi="Arial" w:cs="Arial"/>
          <w:b/>
          <w:bCs/>
        </w:rPr>
        <w:t>02</w:t>
      </w:r>
      <w:r w:rsidRPr="00167A2F">
        <w:rPr>
          <w:rFonts w:ascii="Arial" w:hAnsi="Arial" w:cs="Arial"/>
          <w:b/>
          <w:bCs/>
        </w:rPr>
        <w:t>0</w:t>
      </w:r>
    </w:p>
    <w:p w14:paraId="3D654DB3" w14:textId="77777777" w:rsidR="008D148F" w:rsidRDefault="008D148F" w:rsidP="008D148F">
      <w:pPr>
        <w:rPr>
          <w:rFonts w:ascii="Arial" w:hAnsi="Arial" w:cs="Arial"/>
          <w:b/>
          <w:bCs/>
        </w:rPr>
      </w:pPr>
    </w:p>
    <w:p w14:paraId="726292AF" w14:textId="77777777" w:rsidR="008D148F" w:rsidRDefault="008D148F" w:rsidP="008D148F">
      <w:pPr>
        <w:rPr>
          <w:rFonts w:ascii="Arial" w:hAnsi="Arial" w:cs="Arial"/>
        </w:rPr>
      </w:pPr>
    </w:p>
    <w:p w14:paraId="4AA2286D" w14:textId="77777777" w:rsidR="008D148F" w:rsidRPr="00B94F3D" w:rsidRDefault="008D148F" w:rsidP="008D148F">
      <w:pPr>
        <w:rPr>
          <w:rFonts w:ascii="Arial" w:hAnsi="Arial" w:cs="Arial"/>
        </w:rPr>
      </w:pPr>
      <w:r w:rsidRPr="00B94F3D">
        <w:rPr>
          <w:rFonts w:ascii="Arial" w:hAnsi="Arial" w:cs="Arial"/>
        </w:rPr>
        <w:t>LIABILITIES</w:t>
      </w:r>
    </w:p>
    <w:p w14:paraId="49F5CA51" w14:textId="77777777" w:rsidR="008D148F" w:rsidRDefault="008D148F" w:rsidP="008D148F">
      <w:pPr>
        <w:rPr>
          <w:rFonts w:ascii="Arial" w:hAnsi="Arial" w:cs="Arial"/>
        </w:rPr>
      </w:pPr>
      <w:r>
        <w:rPr>
          <w:rFonts w:ascii="Arial" w:hAnsi="Arial" w:cs="Arial"/>
        </w:rPr>
        <w:t>Non-current Liabilities</w:t>
      </w:r>
    </w:p>
    <w:p w14:paraId="755F74C4" w14:textId="77777777" w:rsidR="008D148F" w:rsidRDefault="008D148F" w:rsidP="008D148F">
      <w:pPr>
        <w:ind w:left="720"/>
        <w:rPr>
          <w:rFonts w:ascii="Arial" w:hAnsi="Arial" w:cs="Arial"/>
        </w:rPr>
      </w:pPr>
      <w:r>
        <w:rPr>
          <w:rFonts w:ascii="Arial" w:hAnsi="Arial" w:cs="Arial"/>
        </w:rPr>
        <w:t>Long-term Loans                                              200,000</w:t>
      </w:r>
    </w:p>
    <w:p w14:paraId="6A0F8042" w14:textId="77777777" w:rsidR="008D148F" w:rsidRDefault="008D148F" w:rsidP="008D148F">
      <w:pPr>
        <w:rPr>
          <w:rFonts w:ascii="Arial" w:hAnsi="Arial" w:cs="Arial"/>
        </w:rPr>
      </w:pPr>
      <w:r>
        <w:rPr>
          <w:rFonts w:ascii="Arial" w:hAnsi="Arial" w:cs="Arial"/>
        </w:rPr>
        <w:t>Current Liabilities</w:t>
      </w:r>
    </w:p>
    <w:p w14:paraId="6FB843F5" w14:textId="77777777" w:rsidR="008D148F" w:rsidRDefault="008D148F" w:rsidP="008D148F">
      <w:pPr>
        <w:ind w:left="720"/>
        <w:rPr>
          <w:rFonts w:ascii="Arial" w:hAnsi="Arial" w:cs="Arial"/>
        </w:rPr>
      </w:pPr>
      <w:r>
        <w:rPr>
          <w:rFonts w:ascii="Arial" w:hAnsi="Arial" w:cs="Arial"/>
        </w:rPr>
        <w:t>Trade Payables                                                350,000</w:t>
      </w:r>
    </w:p>
    <w:p w14:paraId="0B1401FF" w14:textId="77777777" w:rsidR="008D148F" w:rsidRDefault="008D148F" w:rsidP="008D148F">
      <w:pPr>
        <w:ind w:left="720"/>
        <w:rPr>
          <w:rFonts w:ascii="Arial" w:hAnsi="Arial" w:cs="Arial"/>
        </w:rPr>
      </w:pPr>
      <w:r>
        <w:rPr>
          <w:rFonts w:ascii="Arial" w:hAnsi="Arial" w:cs="Arial"/>
        </w:rPr>
        <w:t>Rates Accrual                                                   3,220</w:t>
      </w:r>
    </w:p>
    <w:p w14:paraId="199D4E02" w14:textId="77777777" w:rsidR="008D148F" w:rsidRDefault="008D148F" w:rsidP="008D148F">
      <w:pPr>
        <w:ind w:left="720"/>
        <w:rPr>
          <w:rFonts w:ascii="Arial" w:hAnsi="Arial" w:cs="Arial"/>
        </w:rPr>
      </w:pPr>
      <w:r>
        <w:rPr>
          <w:rFonts w:ascii="Arial" w:hAnsi="Arial" w:cs="Arial"/>
        </w:rPr>
        <w:t>Bank                                                                  2,000</w:t>
      </w:r>
    </w:p>
    <w:p w14:paraId="42C6694F" w14:textId="77777777" w:rsidR="008D148F" w:rsidRPr="001022E6" w:rsidRDefault="008D148F" w:rsidP="008D148F">
      <w:pPr>
        <w:rPr>
          <w:rFonts w:ascii="Arial" w:hAnsi="Arial" w:cs="Arial"/>
          <w:b/>
          <w:bCs/>
        </w:rPr>
      </w:pPr>
      <w:r w:rsidRPr="001022E6">
        <w:rPr>
          <w:rFonts w:ascii="Arial" w:hAnsi="Arial" w:cs="Arial"/>
          <w:b/>
          <w:bCs/>
        </w:rPr>
        <w:t>Total Liabilities                                                           55</w:t>
      </w:r>
      <w:r>
        <w:rPr>
          <w:rFonts w:ascii="Arial" w:hAnsi="Arial" w:cs="Arial"/>
          <w:b/>
          <w:bCs/>
        </w:rPr>
        <w:t>5</w:t>
      </w:r>
      <w:r w:rsidRPr="001022E6">
        <w:rPr>
          <w:rFonts w:ascii="Arial" w:hAnsi="Arial" w:cs="Arial"/>
          <w:b/>
          <w:bCs/>
        </w:rPr>
        <w:t>,220</w:t>
      </w:r>
    </w:p>
    <w:p w14:paraId="50C2D995" w14:textId="77777777" w:rsidR="008D148F" w:rsidRDefault="008D148F" w:rsidP="008D148F">
      <w:pPr>
        <w:rPr>
          <w:rFonts w:ascii="Arial" w:hAnsi="Arial" w:cs="Arial"/>
        </w:rPr>
      </w:pPr>
      <w:r>
        <w:rPr>
          <w:rFonts w:ascii="Arial" w:hAnsi="Arial" w:cs="Arial"/>
        </w:rPr>
        <w:t>EQUITY</w:t>
      </w:r>
    </w:p>
    <w:p w14:paraId="5E2219D2" w14:textId="77777777" w:rsidR="008D148F" w:rsidRDefault="008D148F" w:rsidP="008D148F">
      <w:pPr>
        <w:ind w:left="720"/>
        <w:rPr>
          <w:rFonts w:ascii="Arial" w:hAnsi="Arial" w:cs="Arial"/>
        </w:rPr>
      </w:pPr>
      <w:r>
        <w:rPr>
          <w:rFonts w:ascii="Arial" w:hAnsi="Arial" w:cs="Arial"/>
        </w:rPr>
        <w:t>Share Capital                                                   347,900</w:t>
      </w:r>
    </w:p>
    <w:p w14:paraId="5D456E52" w14:textId="77777777" w:rsidR="008D148F" w:rsidRDefault="008D148F" w:rsidP="008D148F">
      <w:pPr>
        <w:ind w:left="720"/>
        <w:rPr>
          <w:rFonts w:ascii="Arial" w:hAnsi="Arial" w:cs="Arial"/>
        </w:rPr>
      </w:pPr>
      <w:r>
        <w:rPr>
          <w:rFonts w:ascii="Arial" w:hAnsi="Arial" w:cs="Arial"/>
        </w:rPr>
        <w:t>Share Premium                                                100,000</w:t>
      </w:r>
    </w:p>
    <w:p w14:paraId="4BA6223F" w14:textId="77777777" w:rsidR="008D148F" w:rsidRDefault="008D148F" w:rsidP="008D148F">
      <w:pPr>
        <w:ind w:left="720"/>
        <w:rPr>
          <w:rFonts w:ascii="Arial" w:hAnsi="Arial" w:cs="Arial"/>
        </w:rPr>
      </w:pPr>
      <w:r>
        <w:rPr>
          <w:rFonts w:ascii="Arial" w:hAnsi="Arial" w:cs="Arial"/>
        </w:rPr>
        <w:t>Revaluation Reserve                                        100,000</w:t>
      </w:r>
    </w:p>
    <w:p w14:paraId="3F7C984A" w14:textId="77777777" w:rsidR="008D148F" w:rsidRDefault="008D148F" w:rsidP="008D148F">
      <w:pPr>
        <w:ind w:left="720"/>
        <w:rPr>
          <w:rFonts w:ascii="Arial" w:hAnsi="Arial" w:cs="Arial"/>
        </w:rPr>
      </w:pPr>
      <w:r>
        <w:rPr>
          <w:rFonts w:ascii="Arial" w:hAnsi="Arial" w:cs="Arial"/>
        </w:rPr>
        <w:t>Retained Profits                                                101,900</w:t>
      </w:r>
    </w:p>
    <w:p w14:paraId="29EB1AB6" w14:textId="77777777" w:rsidR="008D148F" w:rsidRDefault="008D148F" w:rsidP="008D148F">
      <w:pPr>
        <w:rPr>
          <w:rFonts w:ascii="Arial" w:hAnsi="Arial" w:cs="Arial"/>
          <w:b/>
          <w:bCs/>
        </w:rPr>
      </w:pPr>
      <w:r w:rsidRPr="0032776A">
        <w:rPr>
          <w:rFonts w:ascii="Arial" w:hAnsi="Arial" w:cs="Arial"/>
          <w:b/>
          <w:bCs/>
        </w:rPr>
        <w:t>Total equity                                                                  6</w:t>
      </w:r>
      <w:r>
        <w:rPr>
          <w:rFonts w:ascii="Arial" w:hAnsi="Arial" w:cs="Arial"/>
          <w:b/>
          <w:bCs/>
        </w:rPr>
        <w:t>49</w:t>
      </w:r>
      <w:r w:rsidRPr="0032776A">
        <w:rPr>
          <w:rFonts w:ascii="Arial" w:hAnsi="Arial" w:cs="Arial"/>
          <w:b/>
          <w:bCs/>
        </w:rPr>
        <w:t>,800</w:t>
      </w:r>
    </w:p>
    <w:p w14:paraId="3B6C8B10" w14:textId="77777777" w:rsidR="008D148F" w:rsidRDefault="008D148F" w:rsidP="008D148F">
      <w:pPr>
        <w:rPr>
          <w:rFonts w:ascii="Arial" w:hAnsi="Arial" w:cs="Arial"/>
          <w:b/>
          <w:bCs/>
        </w:rPr>
      </w:pPr>
    </w:p>
    <w:p w14:paraId="4E1FC193" w14:textId="77777777" w:rsidR="008D148F" w:rsidRPr="0032776A" w:rsidRDefault="008D148F" w:rsidP="008D148F">
      <w:pPr>
        <w:rPr>
          <w:rFonts w:ascii="Arial" w:hAnsi="Arial" w:cs="Arial"/>
          <w:b/>
          <w:bCs/>
        </w:rPr>
      </w:pPr>
      <w:r>
        <w:rPr>
          <w:rFonts w:ascii="Arial" w:hAnsi="Arial" w:cs="Arial"/>
          <w:b/>
          <w:bCs/>
        </w:rPr>
        <w:t>Total Liabilities + Total Equity                                   1,205,020</w:t>
      </w:r>
    </w:p>
    <w:p w14:paraId="73843215" w14:textId="318237EE" w:rsidR="00C3029C" w:rsidRPr="00C3029C" w:rsidRDefault="00A30496" w:rsidP="00C3029C">
      <w:pPr>
        <w:jc w:val="center"/>
        <w:rPr>
          <w:rFonts w:ascii="Arial" w:hAnsi="Arial" w:cs="Arial"/>
        </w:rPr>
      </w:pPr>
      <w:r>
        <w:rPr>
          <w:rFonts w:ascii="Arial" w:hAnsi="Arial" w:cs="Arial"/>
          <w:sz w:val="52"/>
          <w:szCs w:val="52"/>
        </w:rPr>
        <w:br w:type="page"/>
      </w:r>
    </w:p>
    <w:p w14:paraId="6E01F8A4" w14:textId="1C74C836" w:rsidR="00C3029C" w:rsidRPr="00C3029C" w:rsidRDefault="00C3029C">
      <w:pPr>
        <w:rPr>
          <w:rFonts w:ascii="Arial" w:hAnsi="Arial" w:cs="Arial"/>
        </w:rPr>
      </w:pPr>
    </w:p>
    <w:p w14:paraId="379684BD" w14:textId="77777777" w:rsidR="00307B94" w:rsidRDefault="00307B94" w:rsidP="002E419A">
      <w:pPr>
        <w:pStyle w:val="Title"/>
        <w:jc w:val="center"/>
        <w:rPr>
          <w:rFonts w:ascii="Arial" w:hAnsi="Arial" w:cs="Arial"/>
          <w:sz w:val="52"/>
          <w:szCs w:val="52"/>
        </w:rPr>
      </w:pPr>
    </w:p>
    <w:p w14:paraId="15DDA8B4" w14:textId="1DE2FED8" w:rsidR="00802B14" w:rsidRPr="002E419A" w:rsidRDefault="0069745D" w:rsidP="002E419A">
      <w:pPr>
        <w:pStyle w:val="Title"/>
        <w:jc w:val="center"/>
        <w:rPr>
          <w:rStyle w:val="IntenseEmphasis"/>
          <w:rFonts w:ascii="Arial" w:hAnsi="Arial" w:cs="Arial"/>
          <w:i w:val="0"/>
          <w:iCs w:val="0"/>
          <w:color w:val="auto"/>
          <w:sz w:val="52"/>
          <w:szCs w:val="52"/>
        </w:rPr>
      </w:pPr>
      <w:r w:rsidRPr="002E419A">
        <w:rPr>
          <w:rFonts w:ascii="Arial" w:hAnsi="Arial" w:cs="Arial"/>
          <w:sz w:val="52"/>
          <w:szCs w:val="52"/>
        </w:rPr>
        <w:t>Accounting principles and their importance to the preparation and presentation of financial accounts</w:t>
      </w:r>
    </w:p>
    <w:p w14:paraId="5F7AC8FF" w14:textId="047DC48B" w:rsidR="0069745D" w:rsidRDefault="0069745D" w:rsidP="0069745D"/>
    <w:p w14:paraId="67E9BD2B" w14:textId="0D0B0F10" w:rsidR="0069745D" w:rsidRDefault="0069745D" w:rsidP="0069745D"/>
    <w:p w14:paraId="7AF1873F" w14:textId="77777777" w:rsidR="002E419A" w:rsidRDefault="002E419A" w:rsidP="0069745D">
      <w:pPr>
        <w:rPr>
          <w:rFonts w:ascii="Arial" w:hAnsi="Arial" w:cs="Arial"/>
        </w:rPr>
      </w:pPr>
    </w:p>
    <w:p w14:paraId="579ED7DC" w14:textId="77777777" w:rsidR="002E419A" w:rsidRDefault="002E419A" w:rsidP="0069745D">
      <w:pPr>
        <w:rPr>
          <w:rFonts w:ascii="Arial" w:hAnsi="Arial" w:cs="Arial"/>
        </w:rPr>
      </w:pPr>
    </w:p>
    <w:p w14:paraId="6F820ED2" w14:textId="77777777" w:rsidR="00307B94" w:rsidRDefault="00307B94" w:rsidP="002E419A">
      <w:pPr>
        <w:pStyle w:val="Subtitle"/>
        <w:jc w:val="center"/>
        <w:rPr>
          <w:rFonts w:ascii="Arial" w:hAnsi="Arial" w:cs="Arial"/>
          <w:sz w:val="28"/>
          <w:szCs w:val="28"/>
        </w:rPr>
      </w:pPr>
    </w:p>
    <w:p w14:paraId="14376FCE" w14:textId="77777777" w:rsidR="00307B94" w:rsidRDefault="00307B94" w:rsidP="002E419A">
      <w:pPr>
        <w:pStyle w:val="Subtitle"/>
        <w:jc w:val="center"/>
        <w:rPr>
          <w:rFonts w:ascii="Arial" w:hAnsi="Arial" w:cs="Arial"/>
          <w:sz w:val="28"/>
          <w:szCs w:val="28"/>
        </w:rPr>
      </w:pPr>
    </w:p>
    <w:p w14:paraId="029BAA36" w14:textId="77777777" w:rsidR="00307B94" w:rsidRDefault="00307B94" w:rsidP="002E419A">
      <w:pPr>
        <w:pStyle w:val="Subtitle"/>
        <w:jc w:val="center"/>
        <w:rPr>
          <w:rFonts w:ascii="Arial" w:hAnsi="Arial" w:cs="Arial"/>
          <w:sz w:val="28"/>
          <w:szCs w:val="28"/>
        </w:rPr>
      </w:pPr>
    </w:p>
    <w:p w14:paraId="7C4D96A0" w14:textId="3D4B08C1" w:rsidR="0069745D" w:rsidRPr="002B61CB" w:rsidRDefault="002E419A" w:rsidP="002E419A">
      <w:pPr>
        <w:pStyle w:val="Subtitle"/>
        <w:jc w:val="center"/>
        <w:rPr>
          <w:rFonts w:ascii="Arial" w:hAnsi="Arial" w:cs="Arial"/>
          <w:sz w:val="28"/>
          <w:szCs w:val="28"/>
        </w:rPr>
      </w:pPr>
      <w:r w:rsidRPr="002B61CB">
        <w:rPr>
          <w:rFonts w:ascii="Arial" w:hAnsi="Arial" w:cs="Arial"/>
          <w:sz w:val="28"/>
          <w:szCs w:val="28"/>
        </w:rPr>
        <w:t>Introduction</w:t>
      </w:r>
    </w:p>
    <w:p w14:paraId="4DBC6E10" w14:textId="50D7466F" w:rsidR="00ED4CF5" w:rsidRDefault="00ED4CF5" w:rsidP="00ED4CF5"/>
    <w:p w14:paraId="6DB5FC5E" w14:textId="3A9FF96C" w:rsidR="00ED4CF5" w:rsidRDefault="00933312" w:rsidP="00ED4CF5">
      <w:pPr>
        <w:rPr>
          <w:rFonts w:ascii="Arial" w:hAnsi="Arial" w:cs="Arial"/>
        </w:rPr>
      </w:pPr>
      <w:r>
        <w:rPr>
          <w:rFonts w:ascii="Arial" w:hAnsi="Arial" w:cs="Arial"/>
        </w:rPr>
        <w:t xml:space="preserve">As a </w:t>
      </w:r>
      <w:r w:rsidR="00496E72">
        <w:rPr>
          <w:rFonts w:ascii="Arial" w:hAnsi="Arial" w:cs="Arial"/>
        </w:rPr>
        <w:t>general exposition</w:t>
      </w:r>
      <w:r>
        <w:rPr>
          <w:rFonts w:ascii="Arial" w:hAnsi="Arial" w:cs="Arial"/>
        </w:rPr>
        <w:t>, a</w:t>
      </w:r>
      <w:r w:rsidR="00BC6644">
        <w:rPr>
          <w:rFonts w:ascii="Arial" w:hAnsi="Arial" w:cs="Arial"/>
        </w:rPr>
        <w:t xml:space="preserve">ccounting </w:t>
      </w:r>
      <w:r w:rsidR="004659B2">
        <w:rPr>
          <w:rFonts w:ascii="Arial" w:hAnsi="Arial" w:cs="Arial"/>
        </w:rPr>
        <w:t xml:space="preserve">as a process, is defined as the </w:t>
      </w:r>
      <w:r>
        <w:rPr>
          <w:rFonts w:ascii="Arial" w:hAnsi="Arial" w:cs="Arial"/>
        </w:rPr>
        <w:t>procedure in which an individual records the financial transactions of a company or business. But to express it in so few words</w:t>
      </w:r>
      <w:r w:rsidR="00496E72">
        <w:rPr>
          <w:rFonts w:ascii="Arial" w:hAnsi="Arial" w:cs="Arial"/>
        </w:rPr>
        <w:t xml:space="preserve">, would be detrimental, since the </w:t>
      </w:r>
      <w:r w:rsidR="0043008E">
        <w:rPr>
          <w:rFonts w:ascii="Arial" w:hAnsi="Arial" w:cs="Arial"/>
        </w:rPr>
        <w:t xml:space="preserve">process of accounting is a complex and debated topic among economists. </w:t>
      </w:r>
      <w:r w:rsidR="00197B37">
        <w:rPr>
          <w:rFonts w:ascii="Arial" w:hAnsi="Arial" w:cs="Arial"/>
        </w:rPr>
        <w:t xml:space="preserve">According to (Berkowitz and </w:t>
      </w:r>
      <w:proofErr w:type="spellStart"/>
      <w:r w:rsidR="00197B37">
        <w:rPr>
          <w:rFonts w:ascii="Arial" w:hAnsi="Arial" w:cs="Arial"/>
        </w:rPr>
        <w:t>Rampell</w:t>
      </w:r>
      <w:proofErr w:type="spellEnd"/>
      <w:r w:rsidR="00197B37">
        <w:rPr>
          <w:rFonts w:ascii="Arial" w:hAnsi="Arial" w:cs="Arial"/>
        </w:rPr>
        <w:t>, 2002)</w:t>
      </w:r>
      <w:r w:rsidR="0022600D">
        <w:rPr>
          <w:rFonts w:ascii="Arial" w:hAnsi="Arial" w:cs="Arial"/>
        </w:rPr>
        <w:t>,</w:t>
      </w:r>
      <w:r w:rsidR="000D1878">
        <w:rPr>
          <w:rFonts w:ascii="Arial" w:hAnsi="Arial" w:cs="Arial"/>
        </w:rPr>
        <w:t xml:space="preserve"> </w:t>
      </w:r>
      <w:r w:rsidR="00E3796A">
        <w:rPr>
          <w:rFonts w:ascii="Arial" w:hAnsi="Arial" w:cs="Arial"/>
        </w:rPr>
        <w:t xml:space="preserve">one of those debates consists of </w:t>
      </w:r>
      <w:r w:rsidR="0022600D">
        <w:rPr>
          <w:rFonts w:ascii="Arial" w:hAnsi="Arial" w:cs="Arial"/>
        </w:rPr>
        <w:t xml:space="preserve">how an accountant undertakes his </w:t>
      </w:r>
      <w:r w:rsidR="00E3796A">
        <w:rPr>
          <w:rFonts w:ascii="Arial" w:hAnsi="Arial" w:cs="Arial"/>
        </w:rPr>
        <w:t xml:space="preserve">role as </w:t>
      </w:r>
      <w:r w:rsidR="000A5D66">
        <w:rPr>
          <w:rFonts w:ascii="Arial" w:hAnsi="Arial" w:cs="Arial"/>
        </w:rPr>
        <w:t>an</w:t>
      </w:r>
      <w:r w:rsidR="00E3796A">
        <w:rPr>
          <w:rFonts w:ascii="Arial" w:hAnsi="Arial" w:cs="Arial"/>
        </w:rPr>
        <w:t xml:space="preserve"> authenticator of financial statements and marks </w:t>
      </w:r>
      <w:r w:rsidR="00E3796A" w:rsidRPr="00970267">
        <w:rPr>
          <w:rFonts w:ascii="Arial" w:hAnsi="Arial" w:cs="Arial"/>
        </w:rPr>
        <w:t>rules versus principles</w:t>
      </w:r>
      <w:r w:rsidR="00E3796A">
        <w:rPr>
          <w:rFonts w:ascii="Arial" w:hAnsi="Arial" w:cs="Arial"/>
        </w:rPr>
        <w:t xml:space="preserve"> </w:t>
      </w:r>
      <w:r w:rsidR="00F07E20">
        <w:rPr>
          <w:rFonts w:ascii="Arial" w:hAnsi="Arial" w:cs="Arial"/>
        </w:rPr>
        <w:t xml:space="preserve">as </w:t>
      </w:r>
      <w:r w:rsidR="000A5D66">
        <w:rPr>
          <w:rFonts w:ascii="Arial" w:hAnsi="Arial" w:cs="Arial"/>
        </w:rPr>
        <w:t xml:space="preserve">a crucial element. </w:t>
      </w:r>
      <w:r w:rsidR="00970267">
        <w:rPr>
          <w:rFonts w:ascii="Arial" w:hAnsi="Arial" w:cs="Arial"/>
        </w:rPr>
        <w:t>They emphasize how accountants rely</w:t>
      </w:r>
      <w:r w:rsidR="00A17ABC">
        <w:rPr>
          <w:rFonts w:ascii="Arial" w:hAnsi="Arial" w:cs="Arial"/>
        </w:rPr>
        <w:t xml:space="preserve"> predominantly on rules</w:t>
      </w:r>
      <w:r w:rsidR="00970267">
        <w:rPr>
          <w:rFonts w:ascii="Arial" w:hAnsi="Arial" w:cs="Arial"/>
        </w:rPr>
        <w:t xml:space="preserve"> in order to bypass the responsibility of enacting judgment and </w:t>
      </w:r>
      <w:r w:rsidR="00A17ABC">
        <w:rPr>
          <w:rFonts w:ascii="Arial" w:hAnsi="Arial" w:cs="Arial"/>
        </w:rPr>
        <w:t>thus turn a blind eye to the intention</w:t>
      </w:r>
      <w:r w:rsidR="00562428">
        <w:rPr>
          <w:rFonts w:ascii="Arial" w:hAnsi="Arial" w:cs="Arial"/>
        </w:rPr>
        <w:t xml:space="preserve"> or spirit</w:t>
      </w:r>
      <w:r w:rsidR="00A17ABC">
        <w:rPr>
          <w:rFonts w:ascii="Arial" w:hAnsi="Arial" w:cs="Arial"/>
        </w:rPr>
        <w:t xml:space="preserve"> of the law.</w:t>
      </w:r>
    </w:p>
    <w:p w14:paraId="5223A9FE" w14:textId="000534E7" w:rsidR="00BC78C8" w:rsidRDefault="00BC78C8" w:rsidP="00ED4CF5">
      <w:pPr>
        <w:rPr>
          <w:rFonts w:ascii="Arial" w:hAnsi="Arial" w:cs="Arial"/>
        </w:rPr>
      </w:pPr>
      <w:r>
        <w:rPr>
          <w:rFonts w:ascii="Arial" w:hAnsi="Arial" w:cs="Arial"/>
        </w:rPr>
        <w:t xml:space="preserve">In this paper I intend to classify and define some key accounting principles, and in doing so relate their importance </w:t>
      </w:r>
      <w:r w:rsidR="00B94C5C">
        <w:rPr>
          <w:rFonts w:ascii="Arial" w:hAnsi="Arial" w:cs="Arial"/>
        </w:rPr>
        <w:t>in</w:t>
      </w:r>
      <w:r>
        <w:rPr>
          <w:rFonts w:ascii="Arial" w:hAnsi="Arial" w:cs="Arial"/>
        </w:rPr>
        <w:t xml:space="preserve"> the preparation of financial accounts. </w:t>
      </w:r>
    </w:p>
    <w:p w14:paraId="62CB3B03" w14:textId="29A3CBAB" w:rsidR="00F1339E" w:rsidRDefault="00F1339E" w:rsidP="00ED4CF5">
      <w:pPr>
        <w:rPr>
          <w:rFonts w:ascii="Arial" w:hAnsi="Arial" w:cs="Arial"/>
        </w:rPr>
      </w:pPr>
    </w:p>
    <w:p w14:paraId="0BC91DD7" w14:textId="3D8A75DB" w:rsidR="00F1339E" w:rsidRDefault="00F1339E" w:rsidP="00ED4CF5">
      <w:pPr>
        <w:rPr>
          <w:rFonts w:ascii="Arial" w:hAnsi="Arial" w:cs="Arial"/>
        </w:rPr>
      </w:pPr>
    </w:p>
    <w:p w14:paraId="366EE560" w14:textId="77777777" w:rsidR="002B61CB" w:rsidRDefault="002B61CB" w:rsidP="002B61CB">
      <w:pPr>
        <w:pStyle w:val="Subtitle"/>
        <w:jc w:val="center"/>
        <w:rPr>
          <w:rFonts w:ascii="Arial" w:hAnsi="Arial" w:cs="Arial"/>
          <w:sz w:val="28"/>
          <w:szCs w:val="28"/>
        </w:rPr>
      </w:pPr>
    </w:p>
    <w:p w14:paraId="1505B579" w14:textId="77777777" w:rsidR="00307B94" w:rsidRDefault="00307B94" w:rsidP="002B61CB">
      <w:pPr>
        <w:pStyle w:val="Subtitle"/>
        <w:jc w:val="center"/>
        <w:rPr>
          <w:rFonts w:ascii="Arial" w:hAnsi="Arial" w:cs="Arial"/>
          <w:sz w:val="28"/>
          <w:szCs w:val="28"/>
        </w:rPr>
      </w:pPr>
    </w:p>
    <w:p w14:paraId="4B8F578F" w14:textId="77777777" w:rsidR="00307B94" w:rsidRDefault="00307B94" w:rsidP="002B61CB">
      <w:pPr>
        <w:pStyle w:val="Subtitle"/>
        <w:jc w:val="center"/>
        <w:rPr>
          <w:rFonts w:ascii="Arial" w:hAnsi="Arial" w:cs="Arial"/>
          <w:sz w:val="28"/>
          <w:szCs w:val="28"/>
        </w:rPr>
      </w:pPr>
    </w:p>
    <w:p w14:paraId="54C896EC" w14:textId="77777777" w:rsidR="00307B94" w:rsidRDefault="00307B94" w:rsidP="002B61CB">
      <w:pPr>
        <w:pStyle w:val="Subtitle"/>
        <w:jc w:val="center"/>
        <w:rPr>
          <w:rFonts w:ascii="Arial" w:hAnsi="Arial" w:cs="Arial"/>
          <w:sz w:val="28"/>
          <w:szCs w:val="28"/>
        </w:rPr>
      </w:pPr>
    </w:p>
    <w:p w14:paraId="7F801638" w14:textId="77777777" w:rsidR="00AF5025" w:rsidRDefault="00AF5025" w:rsidP="002B61CB">
      <w:pPr>
        <w:pStyle w:val="Subtitle"/>
        <w:jc w:val="center"/>
        <w:rPr>
          <w:rFonts w:ascii="Arial" w:hAnsi="Arial" w:cs="Arial"/>
          <w:sz w:val="28"/>
          <w:szCs w:val="28"/>
        </w:rPr>
      </w:pPr>
    </w:p>
    <w:p w14:paraId="03D8279B" w14:textId="52A8E0F3" w:rsidR="00F1339E" w:rsidRDefault="002B61CB" w:rsidP="002B61CB">
      <w:pPr>
        <w:pStyle w:val="Subtitle"/>
        <w:jc w:val="center"/>
        <w:rPr>
          <w:rFonts w:ascii="Arial" w:hAnsi="Arial" w:cs="Arial"/>
          <w:sz w:val="28"/>
          <w:szCs w:val="28"/>
        </w:rPr>
      </w:pPr>
      <w:r w:rsidRPr="002B61CB">
        <w:rPr>
          <w:rFonts w:ascii="Arial" w:hAnsi="Arial" w:cs="Arial"/>
          <w:sz w:val="28"/>
          <w:szCs w:val="28"/>
        </w:rPr>
        <w:t>Account</w:t>
      </w:r>
      <w:r w:rsidR="00B33834">
        <w:rPr>
          <w:rFonts w:ascii="Arial" w:hAnsi="Arial" w:cs="Arial"/>
          <w:sz w:val="28"/>
          <w:szCs w:val="28"/>
        </w:rPr>
        <w:t>ing</w:t>
      </w:r>
      <w:r w:rsidRPr="002B61CB">
        <w:rPr>
          <w:rFonts w:ascii="Arial" w:hAnsi="Arial" w:cs="Arial"/>
          <w:sz w:val="28"/>
          <w:szCs w:val="28"/>
        </w:rPr>
        <w:t xml:space="preserve"> principles</w:t>
      </w:r>
      <w:r w:rsidR="00B33834">
        <w:rPr>
          <w:rFonts w:ascii="Arial" w:hAnsi="Arial" w:cs="Arial"/>
          <w:sz w:val="28"/>
          <w:szCs w:val="28"/>
        </w:rPr>
        <w:t xml:space="preserve">: defining and classifying  </w:t>
      </w:r>
    </w:p>
    <w:p w14:paraId="754040D9" w14:textId="3D04C6C2" w:rsidR="002B61CB" w:rsidRDefault="002B61CB" w:rsidP="002B61CB"/>
    <w:p w14:paraId="40666F8C" w14:textId="77777777" w:rsidR="00AF5025" w:rsidRDefault="00AF5025" w:rsidP="002B61CB">
      <w:pPr>
        <w:rPr>
          <w:rFonts w:ascii="Arial" w:hAnsi="Arial" w:cs="Arial"/>
        </w:rPr>
      </w:pPr>
    </w:p>
    <w:p w14:paraId="7B49D91D" w14:textId="6FE15BE0" w:rsidR="002B61CB" w:rsidRDefault="00307B94" w:rsidP="002B61CB">
      <w:pPr>
        <w:rPr>
          <w:rFonts w:ascii="Arial" w:hAnsi="Arial" w:cs="Arial"/>
        </w:rPr>
      </w:pPr>
      <w:r>
        <w:rPr>
          <w:rFonts w:ascii="Arial" w:hAnsi="Arial" w:cs="Arial"/>
        </w:rPr>
        <w:t xml:space="preserve">Before we begin, it’s important to give some context into what accounting principles are and how we can identify them. </w:t>
      </w:r>
    </w:p>
    <w:p w14:paraId="0A06F40C" w14:textId="09BB0D59" w:rsidR="00BC78C8" w:rsidRDefault="00307B94" w:rsidP="00ED4CF5">
      <w:pPr>
        <w:rPr>
          <w:rFonts w:ascii="Arial" w:hAnsi="Arial" w:cs="Arial"/>
        </w:rPr>
      </w:pPr>
      <w:r>
        <w:rPr>
          <w:rFonts w:ascii="Arial" w:hAnsi="Arial" w:cs="Arial"/>
        </w:rPr>
        <w:t xml:space="preserve">Accounting principles are a set of regulations that dictates how an organization conducts in regards to preparing financial documents. </w:t>
      </w:r>
      <w:r w:rsidR="001B3E2D">
        <w:rPr>
          <w:rFonts w:ascii="Arial" w:hAnsi="Arial" w:cs="Arial"/>
        </w:rPr>
        <w:t>Although specific to certain countries, there are a number of principles that are accepted worldwide and remain consistent.</w:t>
      </w:r>
      <w:r w:rsidR="00AF5025">
        <w:rPr>
          <w:rFonts w:ascii="Arial" w:hAnsi="Arial" w:cs="Arial"/>
        </w:rPr>
        <w:t xml:space="preserve"> </w:t>
      </w:r>
      <w:r w:rsidR="00A62A58">
        <w:rPr>
          <w:rFonts w:ascii="Arial" w:hAnsi="Arial" w:cs="Arial"/>
        </w:rPr>
        <w:t xml:space="preserve">In such, we have GAAP, and acronym which stands for generally accepted accounting principles. </w:t>
      </w:r>
    </w:p>
    <w:p w14:paraId="32796F2B" w14:textId="7ABF3B1D" w:rsidR="00F35B5C" w:rsidRDefault="00872A42" w:rsidP="00ED4CF5">
      <w:pPr>
        <w:rPr>
          <w:rFonts w:ascii="Arial" w:hAnsi="Arial" w:cs="Arial"/>
        </w:rPr>
      </w:pPr>
      <w:r>
        <w:rPr>
          <w:rFonts w:ascii="Arial" w:hAnsi="Arial" w:cs="Arial"/>
        </w:rPr>
        <w:t>To elaborate, Bragg states the following:</w:t>
      </w:r>
    </w:p>
    <w:p w14:paraId="56AB743A" w14:textId="77777777" w:rsidR="003A3028" w:rsidRDefault="00872A42" w:rsidP="00872A42">
      <w:pPr>
        <w:ind w:left="720"/>
        <w:rPr>
          <w:rFonts w:ascii="Arial" w:hAnsi="Arial" w:cs="Arial"/>
        </w:rPr>
      </w:pPr>
      <w:r>
        <w:rPr>
          <w:rFonts w:ascii="Arial" w:hAnsi="Arial" w:cs="Arial"/>
        </w:rPr>
        <w:t>Generally accepted accounting principles (GAAP) are concerned with the measurement of economic activity, the time when such measurements are to be made and recorded, the disclosures regarding this activity and the preparation and presentation of summarized economic information in the form of financial statements.</w:t>
      </w:r>
    </w:p>
    <w:p w14:paraId="20888A07" w14:textId="77777777" w:rsidR="005938F0" w:rsidRDefault="005938F0" w:rsidP="005938F0">
      <w:pPr>
        <w:rPr>
          <w:rFonts w:ascii="Arial" w:hAnsi="Arial" w:cs="Arial"/>
        </w:rPr>
      </w:pPr>
      <w:r>
        <w:rPr>
          <w:rFonts w:ascii="Arial" w:hAnsi="Arial" w:cs="Arial"/>
        </w:rPr>
        <w:t xml:space="preserve">                                                                                                                      </w:t>
      </w:r>
    </w:p>
    <w:p w14:paraId="5069C320" w14:textId="77777777" w:rsidR="008E073F" w:rsidRDefault="005938F0" w:rsidP="005938F0">
      <w:pPr>
        <w:rPr>
          <w:rFonts w:ascii="Arial" w:hAnsi="Arial" w:cs="Arial"/>
        </w:rPr>
      </w:pPr>
      <w:r>
        <w:rPr>
          <w:rFonts w:ascii="Arial" w:hAnsi="Arial" w:cs="Arial"/>
        </w:rPr>
        <w:t xml:space="preserve">                                                                                                                      </w:t>
      </w:r>
      <w:r w:rsidR="003A3028">
        <w:rPr>
          <w:rFonts w:ascii="Arial" w:hAnsi="Arial" w:cs="Arial"/>
        </w:rPr>
        <w:t>(Bragg, 201</w:t>
      </w:r>
      <w:r>
        <w:rPr>
          <w:rFonts w:ascii="Arial" w:hAnsi="Arial" w:cs="Arial"/>
        </w:rPr>
        <w:t>0</w:t>
      </w:r>
      <w:r w:rsidR="003A3028">
        <w:rPr>
          <w:rFonts w:ascii="Arial" w:hAnsi="Arial" w:cs="Arial"/>
        </w:rPr>
        <w:t>, p.1)</w:t>
      </w:r>
    </w:p>
    <w:p w14:paraId="47792B33" w14:textId="77777777" w:rsidR="008E073F" w:rsidRDefault="008E073F" w:rsidP="005938F0">
      <w:pPr>
        <w:rPr>
          <w:rFonts w:ascii="Arial" w:hAnsi="Arial" w:cs="Arial"/>
        </w:rPr>
      </w:pPr>
    </w:p>
    <w:p w14:paraId="154BCD36" w14:textId="33D536BD" w:rsidR="00872A42" w:rsidRDefault="008E073F" w:rsidP="005938F0">
      <w:pPr>
        <w:rPr>
          <w:rFonts w:ascii="Arial" w:hAnsi="Arial" w:cs="Arial"/>
        </w:rPr>
      </w:pPr>
      <w:r>
        <w:rPr>
          <w:rFonts w:ascii="Arial" w:hAnsi="Arial" w:cs="Arial"/>
        </w:rPr>
        <w:t xml:space="preserve">Therefore, we can state that the purpose of these principles is mainly to maintain consistency across the board and facilitate the </w:t>
      </w:r>
      <w:r w:rsidR="00E97A25">
        <w:rPr>
          <w:rFonts w:ascii="Arial" w:hAnsi="Arial" w:cs="Arial"/>
        </w:rPr>
        <w:t>evaluation of financial documents.</w:t>
      </w:r>
      <w:r w:rsidR="00872A42">
        <w:rPr>
          <w:rFonts w:ascii="Arial" w:hAnsi="Arial" w:cs="Arial"/>
        </w:rPr>
        <w:t xml:space="preserve"> </w:t>
      </w:r>
    </w:p>
    <w:p w14:paraId="794BD0FE" w14:textId="6C9D89C5" w:rsidR="00277D99" w:rsidRDefault="00277D99" w:rsidP="005938F0">
      <w:pPr>
        <w:rPr>
          <w:rFonts w:ascii="Arial" w:hAnsi="Arial" w:cs="Arial"/>
        </w:rPr>
      </w:pPr>
    </w:p>
    <w:p w14:paraId="0458C7B4" w14:textId="14AAD4A8" w:rsidR="00D23479" w:rsidRDefault="00A15E71" w:rsidP="005938F0">
      <w:pPr>
        <w:rPr>
          <w:rFonts w:ascii="Arial" w:hAnsi="Arial" w:cs="Arial"/>
        </w:rPr>
      </w:pPr>
      <w:r>
        <w:rPr>
          <w:rFonts w:ascii="Arial" w:hAnsi="Arial" w:cs="Arial"/>
        </w:rPr>
        <w:t>W</w:t>
      </w:r>
      <w:r w:rsidR="00277D99">
        <w:rPr>
          <w:rFonts w:ascii="Arial" w:hAnsi="Arial" w:cs="Arial"/>
        </w:rPr>
        <w:t>e can classify accounting principles intro two main categories:</w:t>
      </w:r>
    </w:p>
    <w:p w14:paraId="6E553C16" w14:textId="5318A590" w:rsidR="00277D99" w:rsidRDefault="00277D99" w:rsidP="00A15E71">
      <w:pPr>
        <w:pStyle w:val="ListParagraph"/>
        <w:numPr>
          <w:ilvl w:val="0"/>
          <w:numId w:val="1"/>
        </w:numPr>
        <w:rPr>
          <w:rFonts w:ascii="Arial" w:hAnsi="Arial" w:cs="Arial"/>
        </w:rPr>
      </w:pPr>
      <w:r w:rsidRPr="004E0C07">
        <w:rPr>
          <w:rFonts w:ascii="Arial" w:hAnsi="Arial" w:cs="Arial"/>
          <w:b/>
          <w:bCs/>
        </w:rPr>
        <w:t>Recognition principles</w:t>
      </w:r>
      <w:r w:rsidR="00B0675E" w:rsidRPr="00A15E71">
        <w:rPr>
          <w:rFonts w:ascii="Arial" w:hAnsi="Arial" w:cs="Arial"/>
        </w:rPr>
        <w:t xml:space="preserve"> (empirical standards that determine the assessment </w:t>
      </w:r>
      <w:r w:rsidR="00A15E71" w:rsidRPr="00A15E71">
        <w:rPr>
          <w:rFonts w:ascii="Arial" w:hAnsi="Arial" w:cs="Arial"/>
        </w:rPr>
        <w:t>of elements within the accounting circuit)</w:t>
      </w:r>
      <w:r w:rsidR="00A15E71">
        <w:rPr>
          <w:rFonts w:ascii="Arial" w:hAnsi="Arial" w:cs="Arial"/>
        </w:rPr>
        <w:t>.</w:t>
      </w:r>
    </w:p>
    <w:p w14:paraId="73947148" w14:textId="5CAF38A1" w:rsidR="00A15E71" w:rsidRDefault="00A15E71" w:rsidP="00A15E71">
      <w:pPr>
        <w:pStyle w:val="ListParagraph"/>
        <w:numPr>
          <w:ilvl w:val="0"/>
          <w:numId w:val="1"/>
        </w:numPr>
        <w:rPr>
          <w:rFonts w:ascii="Arial" w:hAnsi="Arial" w:cs="Arial"/>
        </w:rPr>
      </w:pPr>
      <w:r w:rsidRPr="004E0C07">
        <w:rPr>
          <w:rFonts w:ascii="Arial" w:hAnsi="Arial" w:cs="Arial"/>
          <w:b/>
          <w:bCs/>
        </w:rPr>
        <w:t>Disclosure principles</w:t>
      </w:r>
      <w:r>
        <w:rPr>
          <w:rFonts w:ascii="Arial" w:hAnsi="Arial" w:cs="Arial"/>
        </w:rPr>
        <w:t xml:space="preserve"> (</w:t>
      </w:r>
      <w:r w:rsidR="00925AD2">
        <w:rPr>
          <w:rFonts w:ascii="Arial" w:hAnsi="Arial" w:cs="Arial"/>
        </w:rPr>
        <w:t xml:space="preserve">qualitative based </w:t>
      </w:r>
      <w:r w:rsidR="00C1322B">
        <w:rPr>
          <w:rFonts w:ascii="Arial" w:hAnsi="Arial" w:cs="Arial"/>
        </w:rPr>
        <w:t>entries</w:t>
      </w:r>
      <w:r w:rsidR="00925AD2">
        <w:rPr>
          <w:rFonts w:ascii="Arial" w:hAnsi="Arial" w:cs="Arial"/>
        </w:rPr>
        <w:t xml:space="preserve"> without which financial statements would lack important relevant </w:t>
      </w:r>
      <w:r w:rsidR="00C1322B">
        <w:rPr>
          <w:rFonts w:ascii="Arial" w:hAnsi="Arial" w:cs="Arial"/>
        </w:rPr>
        <w:t>information</w:t>
      </w:r>
      <w:r w:rsidR="00925AD2">
        <w:rPr>
          <w:rFonts w:ascii="Arial" w:hAnsi="Arial" w:cs="Arial"/>
        </w:rPr>
        <w:t>).</w:t>
      </w:r>
    </w:p>
    <w:p w14:paraId="7A6107FD" w14:textId="0938D167" w:rsidR="00E97A25" w:rsidRDefault="00C1322B" w:rsidP="00C1322B">
      <w:pPr>
        <w:rPr>
          <w:rFonts w:ascii="Arial" w:hAnsi="Arial" w:cs="Arial"/>
        </w:rPr>
      </w:pPr>
      <w:r>
        <w:rPr>
          <w:rFonts w:ascii="Arial" w:hAnsi="Arial" w:cs="Arial"/>
        </w:rPr>
        <w:t>According to the same (Bragg, 2010)</w:t>
      </w:r>
      <w:r w:rsidR="00D408BA">
        <w:rPr>
          <w:rFonts w:ascii="Arial" w:hAnsi="Arial" w:cs="Arial"/>
        </w:rPr>
        <w:t>,</w:t>
      </w:r>
      <w:r>
        <w:rPr>
          <w:rFonts w:ascii="Arial" w:hAnsi="Arial" w:cs="Arial"/>
        </w:rPr>
        <w:t xml:space="preserve"> disclosure principles supplement recognition principles by </w:t>
      </w:r>
      <w:r w:rsidR="008F521C">
        <w:rPr>
          <w:rFonts w:ascii="Arial" w:hAnsi="Arial" w:cs="Arial"/>
        </w:rPr>
        <w:t xml:space="preserve">overstepping empirical data and </w:t>
      </w:r>
      <w:r w:rsidR="003F5B4C">
        <w:rPr>
          <w:rFonts w:ascii="Arial" w:hAnsi="Arial" w:cs="Arial"/>
        </w:rPr>
        <w:t>clarify</w:t>
      </w:r>
      <w:r w:rsidR="00BD399A">
        <w:rPr>
          <w:rFonts w:ascii="Arial" w:hAnsi="Arial" w:cs="Arial"/>
        </w:rPr>
        <w:t>ing</w:t>
      </w:r>
      <w:r w:rsidR="003F5B4C">
        <w:rPr>
          <w:rFonts w:ascii="Arial" w:hAnsi="Arial" w:cs="Arial"/>
        </w:rPr>
        <w:t xml:space="preserve"> suppositions.</w:t>
      </w:r>
    </w:p>
    <w:p w14:paraId="491C66DC" w14:textId="15A1C721" w:rsidR="00C1322B" w:rsidRDefault="00C1322B" w:rsidP="00C1322B">
      <w:pPr>
        <w:rPr>
          <w:rFonts w:ascii="Arial" w:hAnsi="Arial" w:cs="Arial"/>
        </w:rPr>
      </w:pPr>
      <w:r>
        <w:rPr>
          <w:rFonts w:ascii="Arial" w:hAnsi="Arial" w:cs="Arial"/>
        </w:rPr>
        <w:t xml:space="preserve"> </w:t>
      </w:r>
    </w:p>
    <w:p w14:paraId="4AB2B412" w14:textId="44B2EFA1" w:rsidR="008E073F" w:rsidRDefault="008E073F" w:rsidP="00C1322B">
      <w:pPr>
        <w:rPr>
          <w:rFonts w:ascii="Arial" w:hAnsi="Arial" w:cs="Arial"/>
        </w:rPr>
      </w:pPr>
      <w:r>
        <w:rPr>
          <w:rFonts w:ascii="Arial" w:hAnsi="Arial" w:cs="Arial"/>
        </w:rPr>
        <w:t xml:space="preserve"> </w:t>
      </w:r>
    </w:p>
    <w:p w14:paraId="2C476F77" w14:textId="4B8BE3DF" w:rsidR="00B33834" w:rsidRDefault="00B33834" w:rsidP="00C1322B">
      <w:pPr>
        <w:rPr>
          <w:rFonts w:ascii="Arial" w:hAnsi="Arial" w:cs="Arial"/>
        </w:rPr>
      </w:pPr>
    </w:p>
    <w:p w14:paraId="50B1D254" w14:textId="50DEC512" w:rsidR="00B33834" w:rsidRDefault="00B33834" w:rsidP="00C1322B">
      <w:pPr>
        <w:rPr>
          <w:rFonts w:ascii="Arial" w:hAnsi="Arial" w:cs="Arial"/>
        </w:rPr>
      </w:pPr>
    </w:p>
    <w:p w14:paraId="0D3B143E" w14:textId="77777777" w:rsidR="00B33834" w:rsidRDefault="00B33834" w:rsidP="00C1322B">
      <w:pPr>
        <w:rPr>
          <w:rFonts w:ascii="Arial" w:hAnsi="Arial" w:cs="Arial"/>
        </w:rPr>
      </w:pPr>
    </w:p>
    <w:p w14:paraId="360B50C5" w14:textId="77777777" w:rsidR="00B33834" w:rsidRDefault="00B33834" w:rsidP="00C1322B">
      <w:pPr>
        <w:rPr>
          <w:rFonts w:ascii="Arial" w:hAnsi="Arial" w:cs="Arial"/>
        </w:rPr>
      </w:pPr>
    </w:p>
    <w:p w14:paraId="0286865B" w14:textId="104706D9" w:rsidR="005938F0" w:rsidRDefault="00B33834" w:rsidP="00B30E98">
      <w:pPr>
        <w:pStyle w:val="Subtitle"/>
        <w:jc w:val="center"/>
        <w:rPr>
          <w:rFonts w:ascii="Arial" w:hAnsi="Arial" w:cs="Arial"/>
          <w:sz w:val="28"/>
          <w:szCs w:val="28"/>
        </w:rPr>
      </w:pPr>
      <w:r w:rsidRPr="00F26EDE">
        <w:rPr>
          <w:rFonts w:ascii="Arial" w:hAnsi="Arial" w:cs="Arial"/>
          <w:sz w:val="28"/>
          <w:szCs w:val="28"/>
        </w:rPr>
        <w:t>Accounting principles</w:t>
      </w:r>
      <w:r w:rsidR="00F26EDE" w:rsidRPr="00F26EDE">
        <w:rPr>
          <w:rFonts w:ascii="Arial" w:hAnsi="Arial" w:cs="Arial"/>
          <w:sz w:val="28"/>
          <w:szCs w:val="28"/>
        </w:rPr>
        <w:t>: individual examples</w:t>
      </w:r>
      <w:r w:rsidR="008E073F">
        <w:rPr>
          <w:rFonts w:ascii="Arial" w:hAnsi="Arial" w:cs="Arial"/>
          <w:sz w:val="28"/>
          <w:szCs w:val="28"/>
        </w:rPr>
        <w:t xml:space="preserve"> and relevancy to financial accounts</w:t>
      </w:r>
    </w:p>
    <w:p w14:paraId="0FDE65A3" w14:textId="61EDD789" w:rsidR="008E073F" w:rsidRDefault="008E073F" w:rsidP="008E073F"/>
    <w:p w14:paraId="7C727AE2" w14:textId="4EE12151" w:rsidR="008E073F" w:rsidRDefault="008E073F" w:rsidP="008E073F"/>
    <w:p w14:paraId="2DC80BF3" w14:textId="71686E6A" w:rsidR="008E073F" w:rsidRPr="009657BF" w:rsidRDefault="008E073F" w:rsidP="008E073F">
      <w:pPr>
        <w:rPr>
          <w:rFonts w:ascii="Arial" w:hAnsi="Arial" w:cs="Arial"/>
        </w:rPr>
      </w:pPr>
      <w:r w:rsidRPr="009657BF">
        <w:rPr>
          <w:rFonts w:ascii="Arial" w:hAnsi="Arial" w:cs="Arial"/>
        </w:rPr>
        <w:t xml:space="preserve">In an attempt to better understand </w:t>
      </w:r>
      <w:r w:rsidR="009D1DE3" w:rsidRPr="009657BF">
        <w:rPr>
          <w:rFonts w:ascii="Arial" w:hAnsi="Arial" w:cs="Arial"/>
        </w:rPr>
        <w:t>the different principles involved and commonly used in the accounting process, we will enumerate a number of them and give insight into how and why they are relevant.</w:t>
      </w:r>
    </w:p>
    <w:p w14:paraId="4E60DBEE" w14:textId="74E22A60" w:rsidR="009D1DE3" w:rsidRPr="009657BF" w:rsidRDefault="009D1DE3" w:rsidP="008E073F">
      <w:pPr>
        <w:rPr>
          <w:rFonts w:ascii="Arial" w:hAnsi="Arial" w:cs="Arial"/>
        </w:rPr>
      </w:pPr>
    </w:p>
    <w:p w14:paraId="23809AD0" w14:textId="2F9BB631" w:rsidR="009D1DE3" w:rsidRPr="009657BF" w:rsidRDefault="00D51511" w:rsidP="009D1DE3">
      <w:pPr>
        <w:pStyle w:val="ListParagraph"/>
        <w:numPr>
          <w:ilvl w:val="0"/>
          <w:numId w:val="2"/>
        </w:numPr>
        <w:rPr>
          <w:rFonts w:ascii="Arial" w:hAnsi="Arial" w:cs="Arial"/>
          <w:b/>
          <w:bCs/>
        </w:rPr>
      </w:pPr>
      <w:r w:rsidRPr="009657BF">
        <w:rPr>
          <w:rFonts w:ascii="Arial" w:hAnsi="Arial" w:cs="Arial"/>
          <w:b/>
          <w:bCs/>
        </w:rPr>
        <w:t>Consistency</w:t>
      </w:r>
    </w:p>
    <w:p w14:paraId="03A9484D" w14:textId="69985788" w:rsidR="00D51511" w:rsidRPr="009657BF" w:rsidRDefault="00D51511" w:rsidP="00D51511">
      <w:pPr>
        <w:pStyle w:val="ListParagraph"/>
        <w:rPr>
          <w:rFonts w:ascii="Arial" w:hAnsi="Arial" w:cs="Arial"/>
        </w:rPr>
      </w:pPr>
      <w:r w:rsidRPr="009657BF">
        <w:rPr>
          <w:rFonts w:ascii="Arial" w:hAnsi="Arial" w:cs="Arial"/>
        </w:rPr>
        <w:t>In order to have continuity</w:t>
      </w:r>
      <w:r w:rsidR="003E040A">
        <w:rPr>
          <w:rFonts w:ascii="Arial" w:hAnsi="Arial" w:cs="Arial"/>
        </w:rPr>
        <w:t xml:space="preserve"> in our work</w:t>
      </w:r>
      <w:r w:rsidRPr="009657BF">
        <w:rPr>
          <w:rFonts w:ascii="Arial" w:hAnsi="Arial" w:cs="Arial"/>
        </w:rPr>
        <w:t>, we will start by talking about consistency and the role it has when applying accounting standards.</w:t>
      </w:r>
    </w:p>
    <w:p w14:paraId="30EB112F" w14:textId="2D0CC9D0" w:rsidR="009657BF" w:rsidRDefault="009657BF" w:rsidP="00D51511">
      <w:pPr>
        <w:pStyle w:val="ListParagraph"/>
        <w:rPr>
          <w:rFonts w:ascii="Arial" w:hAnsi="Arial" w:cs="Arial"/>
        </w:rPr>
      </w:pPr>
      <w:r w:rsidRPr="009657BF">
        <w:rPr>
          <w:rFonts w:ascii="Arial" w:hAnsi="Arial" w:cs="Arial"/>
        </w:rPr>
        <w:t xml:space="preserve">As argued by </w:t>
      </w:r>
      <w:r w:rsidRPr="001E0FB6">
        <w:rPr>
          <w:rFonts w:ascii="Arial" w:hAnsi="Arial" w:cs="Arial"/>
        </w:rPr>
        <w:t>(</w:t>
      </w:r>
      <w:r w:rsidR="001E0FB6" w:rsidRPr="001E0FB6">
        <w:rPr>
          <w:rFonts w:ascii="Arial" w:hAnsi="Arial" w:cs="Arial"/>
          <w:shd w:val="clear" w:color="auto" w:fill="FFFFFF"/>
        </w:rPr>
        <w:t>WÜSTEMANN and WÜSTEMANN, 2010</w:t>
      </w:r>
      <w:r w:rsidRPr="001E0FB6">
        <w:rPr>
          <w:rFonts w:ascii="Arial" w:hAnsi="Arial" w:cs="Arial"/>
        </w:rPr>
        <w:t>)</w:t>
      </w:r>
      <w:r w:rsidR="00D410C9">
        <w:rPr>
          <w:rFonts w:ascii="Arial" w:hAnsi="Arial" w:cs="Arial"/>
        </w:rPr>
        <w:t>, a consistent use of accounting standards must be use</w:t>
      </w:r>
      <w:r w:rsidR="00363359">
        <w:rPr>
          <w:rFonts w:ascii="Arial" w:hAnsi="Arial" w:cs="Arial"/>
        </w:rPr>
        <w:t>d</w:t>
      </w:r>
      <w:r w:rsidR="00D410C9">
        <w:rPr>
          <w:rFonts w:ascii="Arial" w:hAnsi="Arial" w:cs="Arial"/>
        </w:rPr>
        <w:t xml:space="preserve"> in order to facilitate and purposely steer the process without allowing the use of personal judgement in decision making. </w:t>
      </w:r>
    </w:p>
    <w:p w14:paraId="7BE17B20" w14:textId="132C9D2B" w:rsidR="00D410C9" w:rsidRDefault="00D410C9" w:rsidP="00D51511">
      <w:pPr>
        <w:pStyle w:val="ListParagraph"/>
        <w:rPr>
          <w:rFonts w:ascii="Arial" w:hAnsi="Arial" w:cs="Arial"/>
        </w:rPr>
      </w:pPr>
      <w:r>
        <w:rPr>
          <w:rFonts w:ascii="Arial" w:hAnsi="Arial" w:cs="Arial"/>
        </w:rPr>
        <w:t xml:space="preserve">In such, we circle back to the Rules Vs. </w:t>
      </w:r>
      <w:r w:rsidR="00363359">
        <w:rPr>
          <w:rFonts w:ascii="Arial" w:hAnsi="Arial" w:cs="Arial"/>
        </w:rPr>
        <w:t>Principles dilemma</w:t>
      </w:r>
      <w:r w:rsidR="004A5CAE">
        <w:rPr>
          <w:rFonts w:ascii="Arial" w:hAnsi="Arial" w:cs="Arial"/>
        </w:rPr>
        <w:t>,</w:t>
      </w:r>
      <w:r w:rsidR="00363359">
        <w:rPr>
          <w:rFonts w:ascii="Arial" w:hAnsi="Arial" w:cs="Arial"/>
        </w:rPr>
        <w:t xml:space="preserve"> </w:t>
      </w:r>
      <w:r w:rsidR="004A5CAE">
        <w:rPr>
          <w:rFonts w:ascii="Arial" w:hAnsi="Arial" w:cs="Arial"/>
        </w:rPr>
        <w:t xml:space="preserve">and could say that only in the absence of </w:t>
      </w:r>
      <w:r w:rsidR="000D7D65">
        <w:rPr>
          <w:rFonts w:ascii="Arial" w:hAnsi="Arial" w:cs="Arial"/>
        </w:rPr>
        <w:t xml:space="preserve">proper accounting standards we should use judgement-based decisions. </w:t>
      </w:r>
    </w:p>
    <w:p w14:paraId="3196325E" w14:textId="139E8D86" w:rsidR="00984429" w:rsidRDefault="00984429" w:rsidP="00D51511">
      <w:pPr>
        <w:pStyle w:val="ListParagraph"/>
        <w:rPr>
          <w:rFonts w:ascii="Arial" w:hAnsi="Arial" w:cs="Arial"/>
        </w:rPr>
      </w:pPr>
      <w:r>
        <w:rPr>
          <w:rFonts w:ascii="Arial" w:hAnsi="Arial" w:cs="Arial"/>
        </w:rPr>
        <w:t xml:space="preserve">That being said, we must underline the fact that it’s incorrect to state one is better than the other, since their benefits are relative and circumstantially. </w:t>
      </w:r>
    </w:p>
    <w:p w14:paraId="7B4B0426" w14:textId="77777777" w:rsidR="00287737" w:rsidRDefault="007F7E96" w:rsidP="00D51511">
      <w:pPr>
        <w:pStyle w:val="ListParagraph"/>
        <w:rPr>
          <w:rFonts w:ascii="Arial" w:hAnsi="Arial" w:cs="Arial"/>
        </w:rPr>
      </w:pPr>
      <w:r>
        <w:rPr>
          <w:rFonts w:ascii="Arial" w:hAnsi="Arial" w:cs="Arial"/>
        </w:rPr>
        <w:t>For instance, whil</w:t>
      </w:r>
      <w:r w:rsidR="00952F79">
        <w:rPr>
          <w:rFonts w:ascii="Arial" w:hAnsi="Arial" w:cs="Arial"/>
        </w:rPr>
        <w:t>e</w:t>
      </w:r>
      <w:r>
        <w:rPr>
          <w:rFonts w:ascii="Arial" w:hAnsi="Arial" w:cs="Arial"/>
        </w:rPr>
        <w:t xml:space="preserve"> rules-based accounting is more conducive to coherent practices and alleviating </w:t>
      </w:r>
      <w:r w:rsidR="00952F79">
        <w:rPr>
          <w:rFonts w:ascii="Arial" w:hAnsi="Arial" w:cs="Arial"/>
        </w:rPr>
        <w:t xml:space="preserve">ambiguity which can lead to lawsuits, principles-based accounting gives individuals more space for manoeuvring within the financial statements by using own judgement and practices to reach desired outcome. </w:t>
      </w:r>
    </w:p>
    <w:p w14:paraId="44A7FF0F" w14:textId="35BC94AF" w:rsidR="007F7E96" w:rsidRDefault="00287737" w:rsidP="00D51511">
      <w:pPr>
        <w:pStyle w:val="ListParagraph"/>
        <w:rPr>
          <w:rFonts w:ascii="Arial" w:hAnsi="Arial" w:cs="Arial"/>
        </w:rPr>
      </w:pPr>
      <w:r>
        <w:rPr>
          <w:rFonts w:ascii="Arial" w:hAnsi="Arial" w:cs="Arial"/>
        </w:rPr>
        <w:t>Tweedie</w:t>
      </w:r>
      <w:r w:rsidR="00A34A39">
        <w:rPr>
          <w:rFonts w:ascii="Arial" w:hAnsi="Arial" w:cs="Arial"/>
        </w:rPr>
        <w:t xml:space="preserve"> (2002, 2007, cited in </w:t>
      </w:r>
      <w:r w:rsidR="00A34A39" w:rsidRPr="001E0FB6">
        <w:rPr>
          <w:rFonts w:ascii="Arial" w:hAnsi="Arial" w:cs="Arial"/>
          <w:shd w:val="clear" w:color="auto" w:fill="FFFFFF"/>
        </w:rPr>
        <w:t>WÜSTEMANN and WÜSTEMANN, 2010</w:t>
      </w:r>
      <w:r w:rsidR="00A34A39">
        <w:rPr>
          <w:rFonts w:ascii="Arial" w:hAnsi="Arial" w:cs="Arial"/>
          <w:shd w:val="clear" w:color="auto" w:fill="FFFFFF"/>
        </w:rPr>
        <w:t>)</w:t>
      </w:r>
      <w:r w:rsidR="00A34A39">
        <w:rPr>
          <w:rFonts w:ascii="Arial" w:hAnsi="Arial" w:cs="Arial"/>
        </w:rPr>
        <w:t xml:space="preserve"> states that, r</w:t>
      </w:r>
      <w:r>
        <w:rPr>
          <w:rFonts w:ascii="Arial" w:hAnsi="Arial" w:cs="Arial"/>
        </w:rPr>
        <w:t>ecently we have seen a shift within</w:t>
      </w:r>
      <w:r w:rsidR="00952F79">
        <w:rPr>
          <w:rFonts w:ascii="Arial" w:hAnsi="Arial" w:cs="Arial"/>
        </w:rPr>
        <w:t xml:space="preserve"> </w:t>
      </w:r>
      <w:r>
        <w:rPr>
          <w:rFonts w:ascii="Arial" w:hAnsi="Arial" w:cs="Arial"/>
        </w:rPr>
        <w:t xml:space="preserve">the IASB (International accounting standard board) from a rules-based to a principle-based accounting </w:t>
      </w:r>
      <w:r w:rsidR="003E32FD">
        <w:rPr>
          <w:rFonts w:ascii="Arial" w:hAnsi="Arial" w:cs="Arial"/>
        </w:rPr>
        <w:t xml:space="preserve">and in doing so, </w:t>
      </w:r>
      <w:r w:rsidR="00F04D30">
        <w:rPr>
          <w:rFonts w:ascii="Arial" w:hAnsi="Arial" w:cs="Arial"/>
        </w:rPr>
        <w:t>facilitating the use of personal judgement.</w:t>
      </w:r>
    </w:p>
    <w:p w14:paraId="0F648F2E" w14:textId="1FD58711" w:rsidR="003E32FD" w:rsidRDefault="003E32FD" w:rsidP="00D51511">
      <w:pPr>
        <w:pStyle w:val="ListParagraph"/>
        <w:rPr>
          <w:rFonts w:ascii="Arial" w:hAnsi="Arial" w:cs="Arial"/>
        </w:rPr>
      </w:pPr>
    </w:p>
    <w:p w14:paraId="5DAB6939" w14:textId="13F08594" w:rsidR="003E32FD" w:rsidRDefault="003E32FD" w:rsidP="00D51511">
      <w:pPr>
        <w:pStyle w:val="ListParagraph"/>
        <w:rPr>
          <w:rFonts w:ascii="Arial" w:hAnsi="Arial" w:cs="Arial"/>
        </w:rPr>
      </w:pPr>
    </w:p>
    <w:p w14:paraId="0D413864" w14:textId="00C5E51D" w:rsidR="003E32FD" w:rsidRDefault="001C342D" w:rsidP="003E040A">
      <w:pPr>
        <w:pStyle w:val="ListParagraph"/>
        <w:numPr>
          <w:ilvl w:val="0"/>
          <w:numId w:val="2"/>
        </w:numPr>
        <w:rPr>
          <w:rFonts w:ascii="Arial" w:hAnsi="Arial" w:cs="Arial"/>
          <w:b/>
          <w:bCs/>
        </w:rPr>
      </w:pPr>
      <w:r>
        <w:rPr>
          <w:rFonts w:ascii="Arial" w:hAnsi="Arial" w:cs="Arial"/>
          <w:b/>
          <w:bCs/>
        </w:rPr>
        <w:t>Going Concern</w:t>
      </w:r>
    </w:p>
    <w:p w14:paraId="42F34986" w14:textId="2221505A" w:rsidR="001C342D" w:rsidRDefault="001C342D" w:rsidP="001C342D">
      <w:pPr>
        <w:pStyle w:val="ListParagraph"/>
        <w:rPr>
          <w:rFonts w:ascii="Arial" w:hAnsi="Arial" w:cs="Arial"/>
        </w:rPr>
      </w:pPr>
      <w:r>
        <w:rPr>
          <w:rFonts w:ascii="Arial" w:hAnsi="Arial" w:cs="Arial"/>
        </w:rPr>
        <w:t>This principle can best be defined as</w:t>
      </w:r>
      <w:r w:rsidR="009E5319">
        <w:rPr>
          <w:rFonts w:ascii="Arial" w:hAnsi="Arial" w:cs="Arial"/>
        </w:rPr>
        <w:t>,</w:t>
      </w:r>
      <w:r>
        <w:rPr>
          <w:rFonts w:ascii="Arial" w:hAnsi="Arial" w:cs="Arial"/>
        </w:rPr>
        <w:t xml:space="preserve"> a presumption</w:t>
      </w:r>
      <w:r w:rsidR="007809F3">
        <w:rPr>
          <w:rFonts w:ascii="Arial" w:hAnsi="Arial" w:cs="Arial"/>
        </w:rPr>
        <w:t xml:space="preserve"> </w:t>
      </w:r>
      <w:r w:rsidR="007758FD">
        <w:rPr>
          <w:rFonts w:ascii="Arial" w:hAnsi="Arial" w:cs="Arial"/>
        </w:rPr>
        <w:t>an</w:t>
      </w:r>
      <w:r w:rsidR="007809F3">
        <w:rPr>
          <w:rFonts w:ascii="Arial" w:hAnsi="Arial" w:cs="Arial"/>
        </w:rPr>
        <w:t xml:space="preserve"> auditor</w:t>
      </w:r>
      <w:r>
        <w:rPr>
          <w:rFonts w:ascii="Arial" w:hAnsi="Arial" w:cs="Arial"/>
        </w:rPr>
        <w:t xml:space="preserve"> </w:t>
      </w:r>
      <w:r w:rsidR="007758FD">
        <w:rPr>
          <w:rFonts w:ascii="Arial" w:hAnsi="Arial" w:cs="Arial"/>
        </w:rPr>
        <w:t>makes</w:t>
      </w:r>
      <w:r w:rsidR="007809F3">
        <w:rPr>
          <w:rFonts w:ascii="Arial" w:hAnsi="Arial" w:cs="Arial"/>
        </w:rPr>
        <w:t xml:space="preserve"> </w:t>
      </w:r>
      <w:r>
        <w:rPr>
          <w:rFonts w:ascii="Arial" w:hAnsi="Arial" w:cs="Arial"/>
        </w:rPr>
        <w:t xml:space="preserve">in regards to the predicted future a company has </w:t>
      </w:r>
      <w:r w:rsidR="009E5319">
        <w:rPr>
          <w:rFonts w:ascii="Arial" w:hAnsi="Arial" w:cs="Arial"/>
        </w:rPr>
        <w:t xml:space="preserve">on the market, more specific that said company will continue to conduct business. </w:t>
      </w:r>
    </w:p>
    <w:p w14:paraId="19EDE0C5" w14:textId="32EFCB4A" w:rsidR="00F04D30" w:rsidRDefault="00176CF9" w:rsidP="00F04D30">
      <w:pPr>
        <w:pStyle w:val="ListParagraph"/>
        <w:rPr>
          <w:rFonts w:ascii="Arial" w:hAnsi="Arial" w:cs="Arial"/>
        </w:rPr>
      </w:pPr>
      <w:r>
        <w:rPr>
          <w:rFonts w:ascii="Arial" w:hAnsi="Arial" w:cs="Arial"/>
        </w:rPr>
        <w:lastRenderedPageBreak/>
        <w:t>According to (</w:t>
      </w:r>
      <w:proofErr w:type="spellStart"/>
      <w:r>
        <w:rPr>
          <w:rFonts w:ascii="Arial" w:hAnsi="Arial" w:cs="Arial"/>
        </w:rPr>
        <w:t>Holzmann</w:t>
      </w:r>
      <w:proofErr w:type="spellEnd"/>
      <w:r>
        <w:rPr>
          <w:rFonts w:ascii="Arial" w:hAnsi="Arial" w:cs="Arial"/>
        </w:rPr>
        <w:t xml:space="preserve"> and </w:t>
      </w:r>
      <w:proofErr w:type="spellStart"/>
      <w:r>
        <w:rPr>
          <w:rFonts w:ascii="Arial" w:hAnsi="Arial" w:cs="Arial"/>
        </w:rPr>
        <w:t>Munter</w:t>
      </w:r>
      <w:proofErr w:type="spellEnd"/>
      <w:r>
        <w:rPr>
          <w:rFonts w:ascii="Arial" w:hAnsi="Arial" w:cs="Arial"/>
        </w:rPr>
        <w:t>, 2015), in order to diminish doubt from the equation, an assessment should be made taking into account qualitative and quantitative information</w:t>
      </w:r>
      <w:r w:rsidR="00B55B74">
        <w:rPr>
          <w:rFonts w:ascii="Arial" w:hAnsi="Arial" w:cs="Arial"/>
        </w:rPr>
        <w:t xml:space="preserve"> including current funds and assets or possible contingencies.</w:t>
      </w:r>
    </w:p>
    <w:p w14:paraId="34569533" w14:textId="29D65CE8" w:rsidR="00B55B74" w:rsidRDefault="00B55B74" w:rsidP="00F04D30">
      <w:pPr>
        <w:pStyle w:val="ListParagraph"/>
        <w:rPr>
          <w:rFonts w:ascii="Arial" w:hAnsi="Arial" w:cs="Arial"/>
        </w:rPr>
      </w:pPr>
      <w:r>
        <w:rPr>
          <w:rFonts w:ascii="Arial" w:hAnsi="Arial" w:cs="Arial"/>
        </w:rPr>
        <w:t xml:space="preserve">Thus, we again reference the importance of recognition and disclosure principles </w:t>
      </w:r>
      <w:r w:rsidR="0030593B">
        <w:rPr>
          <w:rFonts w:ascii="Arial" w:hAnsi="Arial" w:cs="Arial"/>
        </w:rPr>
        <w:t xml:space="preserve">mentioned earlier and emphasize the correlation between the two. </w:t>
      </w:r>
    </w:p>
    <w:p w14:paraId="1FB6ED0D" w14:textId="0C2C7ABC" w:rsidR="00D67F3A" w:rsidRDefault="00D67F3A" w:rsidP="00F04D30">
      <w:pPr>
        <w:pStyle w:val="ListParagraph"/>
        <w:rPr>
          <w:rFonts w:ascii="Arial" w:hAnsi="Arial" w:cs="Arial"/>
        </w:rPr>
      </w:pPr>
      <w:r>
        <w:rPr>
          <w:rFonts w:ascii="Arial" w:hAnsi="Arial" w:cs="Arial"/>
        </w:rPr>
        <w:t xml:space="preserve">If the assessment </w:t>
      </w:r>
      <w:r w:rsidR="000F110A">
        <w:rPr>
          <w:rFonts w:ascii="Arial" w:hAnsi="Arial" w:cs="Arial"/>
        </w:rPr>
        <w:t xml:space="preserve">concluded that </w:t>
      </w:r>
      <w:r w:rsidR="00310FB6">
        <w:rPr>
          <w:rFonts w:ascii="Arial" w:hAnsi="Arial" w:cs="Arial"/>
        </w:rPr>
        <w:t xml:space="preserve">a </w:t>
      </w:r>
      <w:r w:rsidR="000F110A">
        <w:rPr>
          <w:rFonts w:ascii="Arial" w:hAnsi="Arial" w:cs="Arial"/>
        </w:rPr>
        <w:t>company is not sustainable from a financial standpoint, a plan for alleviating risk will be</w:t>
      </w:r>
      <w:r w:rsidR="00310FB6">
        <w:rPr>
          <w:rFonts w:ascii="Arial" w:hAnsi="Arial" w:cs="Arial"/>
        </w:rPr>
        <w:t xml:space="preserve"> enacted, with said company being required to offload assets or reduce expenditure in order to create cash flow.</w:t>
      </w:r>
    </w:p>
    <w:p w14:paraId="7ABA09EC" w14:textId="7991E175" w:rsidR="00CD2BBB" w:rsidRDefault="00031A9C" w:rsidP="00F04D30">
      <w:pPr>
        <w:pStyle w:val="ListParagraph"/>
        <w:rPr>
          <w:rFonts w:ascii="Arial" w:hAnsi="Arial" w:cs="Arial"/>
        </w:rPr>
      </w:pPr>
      <w:r>
        <w:rPr>
          <w:rFonts w:ascii="Arial" w:hAnsi="Arial" w:cs="Arial"/>
        </w:rPr>
        <w:t>‘’</w:t>
      </w:r>
      <w:r w:rsidRPr="00031A9C">
        <w:rPr>
          <w:rFonts w:ascii="Arial" w:hAnsi="Arial" w:cs="Arial"/>
        </w:rPr>
        <w:t>The mitigating effect of management’s plans can overcome a substantial doubt conclusion only if it is probable the plans can be effectively implemented</w:t>
      </w:r>
      <w:r>
        <w:rPr>
          <w:rFonts w:ascii="Arial" w:hAnsi="Arial" w:cs="Arial"/>
        </w:rPr>
        <w:t>’’ (</w:t>
      </w:r>
      <w:proofErr w:type="spellStart"/>
      <w:r>
        <w:rPr>
          <w:rFonts w:ascii="Arial" w:hAnsi="Arial" w:cs="Arial"/>
        </w:rPr>
        <w:t>Holzmann</w:t>
      </w:r>
      <w:proofErr w:type="spellEnd"/>
      <w:r>
        <w:rPr>
          <w:rFonts w:ascii="Arial" w:hAnsi="Arial" w:cs="Arial"/>
        </w:rPr>
        <w:t xml:space="preserve"> and Muller, 2015, p.75).</w:t>
      </w:r>
    </w:p>
    <w:p w14:paraId="6C833F43" w14:textId="021ECDA0" w:rsidR="00873567" w:rsidRDefault="00873567" w:rsidP="00F04D30">
      <w:pPr>
        <w:pStyle w:val="ListParagraph"/>
        <w:rPr>
          <w:rFonts w:ascii="Arial" w:hAnsi="Arial" w:cs="Arial"/>
        </w:rPr>
      </w:pPr>
    </w:p>
    <w:p w14:paraId="72C33655" w14:textId="46085876" w:rsidR="00873567" w:rsidRDefault="00873567" w:rsidP="00F04D30">
      <w:pPr>
        <w:pStyle w:val="ListParagraph"/>
        <w:rPr>
          <w:rFonts w:ascii="Arial" w:hAnsi="Arial" w:cs="Arial"/>
        </w:rPr>
      </w:pPr>
    </w:p>
    <w:p w14:paraId="493681E8" w14:textId="4274CEA9" w:rsidR="00873567" w:rsidRDefault="00873567" w:rsidP="00873567">
      <w:pPr>
        <w:pStyle w:val="ListParagraph"/>
        <w:numPr>
          <w:ilvl w:val="0"/>
          <w:numId w:val="2"/>
        </w:numPr>
        <w:rPr>
          <w:rFonts w:ascii="Arial" w:hAnsi="Arial" w:cs="Arial"/>
          <w:b/>
          <w:bCs/>
        </w:rPr>
      </w:pPr>
      <w:r>
        <w:rPr>
          <w:rFonts w:ascii="Arial" w:hAnsi="Arial" w:cs="Arial"/>
          <w:b/>
          <w:bCs/>
        </w:rPr>
        <w:t>Monetary Unit</w:t>
      </w:r>
    </w:p>
    <w:p w14:paraId="7DE5D65A" w14:textId="577CEB90" w:rsidR="0058024A" w:rsidRDefault="00245897" w:rsidP="00245897">
      <w:pPr>
        <w:pStyle w:val="ListParagraph"/>
        <w:rPr>
          <w:rFonts w:ascii="Arial" w:hAnsi="Arial" w:cs="Arial"/>
        </w:rPr>
      </w:pPr>
      <w:r>
        <w:rPr>
          <w:rFonts w:ascii="Arial" w:hAnsi="Arial" w:cs="Arial"/>
        </w:rPr>
        <w:t>This princ</w:t>
      </w:r>
      <w:r w:rsidR="00591E3C">
        <w:rPr>
          <w:rFonts w:ascii="Arial" w:hAnsi="Arial" w:cs="Arial"/>
        </w:rPr>
        <w:t xml:space="preserve">iple </w:t>
      </w:r>
      <w:r w:rsidR="00642F13">
        <w:rPr>
          <w:rFonts w:ascii="Arial" w:hAnsi="Arial" w:cs="Arial"/>
        </w:rPr>
        <w:t xml:space="preserve">is used in the recording of financial transactions and states that only those transactions that are quantifiable and able to be </w:t>
      </w:r>
      <w:r w:rsidR="00E37EAC">
        <w:rPr>
          <w:rFonts w:ascii="Arial" w:hAnsi="Arial" w:cs="Arial"/>
        </w:rPr>
        <w:t>calculated in monetary terms, should be recorded.</w:t>
      </w:r>
      <w:r w:rsidR="009535CB">
        <w:rPr>
          <w:rFonts w:ascii="Arial" w:hAnsi="Arial" w:cs="Arial"/>
        </w:rPr>
        <w:t xml:space="preserve"> </w:t>
      </w:r>
      <w:r w:rsidR="00BE1F43">
        <w:rPr>
          <w:rFonts w:ascii="Arial" w:hAnsi="Arial" w:cs="Arial"/>
        </w:rPr>
        <w:t xml:space="preserve">We can exemplify by saying it’s feasible to record an </w:t>
      </w:r>
      <w:r w:rsidR="00553DC4">
        <w:rPr>
          <w:rFonts w:ascii="Arial" w:hAnsi="Arial" w:cs="Arial"/>
        </w:rPr>
        <w:t>asset</w:t>
      </w:r>
      <w:r w:rsidR="00BE1F43">
        <w:rPr>
          <w:rFonts w:ascii="Arial" w:hAnsi="Arial" w:cs="Arial"/>
        </w:rPr>
        <w:t xml:space="preserve"> worth (a vehicle) but not feasible to record</w:t>
      </w:r>
      <w:r w:rsidR="0058024A">
        <w:rPr>
          <w:rFonts w:ascii="Arial" w:hAnsi="Arial" w:cs="Arial"/>
        </w:rPr>
        <w:t xml:space="preserve"> unmeasurable ones like workers skills.</w:t>
      </w:r>
    </w:p>
    <w:p w14:paraId="5B19EDB2" w14:textId="31A022F0" w:rsidR="0058024A" w:rsidRDefault="00375CC9" w:rsidP="00245897">
      <w:pPr>
        <w:pStyle w:val="ListParagraph"/>
        <w:rPr>
          <w:rFonts w:ascii="Arial" w:hAnsi="Arial" w:cs="Arial"/>
        </w:rPr>
      </w:pPr>
      <w:r>
        <w:rPr>
          <w:rFonts w:ascii="Arial" w:hAnsi="Arial" w:cs="Arial"/>
        </w:rPr>
        <w:t xml:space="preserve">This principle simplifies accounting by attributing consistency </w:t>
      </w:r>
      <w:r w:rsidR="004C419A">
        <w:rPr>
          <w:rFonts w:ascii="Arial" w:hAnsi="Arial" w:cs="Arial"/>
        </w:rPr>
        <w:t>in terms of unified and stable currency upon which the records are presented and assessed.</w:t>
      </w:r>
      <w:r w:rsidR="00DA1875">
        <w:rPr>
          <w:rFonts w:ascii="Arial" w:hAnsi="Arial" w:cs="Arial"/>
        </w:rPr>
        <w:t xml:space="preserve"> Simultaneously, it does have some drawbacks since it doesn’t take into account inflation</w:t>
      </w:r>
      <w:r w:rsidR="007260DE">
        <w:rPr>
          <w:rFonts w:ascii="Arial" w:hAnsi="Arial" w:cs="Arial"/>
        </w:rPr>
        <w:t xml:space="preserve">. So, as per the above example, let’s assume that inflation has risen in recent years in the automotive market due to shortages of vehicles. </w:t>
      </w:r>
      <w:r w:rsidR="005C49E2">
        <w:rPr>
          <w:rFonts w:ascii="Arial" w:hAnsi="Arial" w:cs="Arial"/>
        </w:rPr>
        <w:t xml:space="preserve">A car </w:t>
      </w:r>
      <w:r w:rsidR="009D341D">
        <w:rPr>
          <w:rFonts w:ascii="Arial" w:hAnsi="Arial" w:cs="Arial"/>
        </w:rPr>
        <w:t xml:space="preserve">purchased in 2015 for 10,000£ will still be recorded as such in 2022 even though </w:t>
      </w:r>
      <w:r w:rsidR="00E909DC">
        <w:rPr>
          <w:rFonts w:ascii="Arial" w:hAnsi="Arial" w:cs="Arial"/>
        </w:rPr>
        <w:t>its</w:t>
      </w:r>
      <w:r w:rsidR="009D341D">
        <w:rPr>
          <w:rFonts w:ascii="Arial" w:hAnsi="Arial" w:cs="Arial"/>
        </w:rPr>
        <w:t xml:space="preserve"> price has risen in the last 7 years. </w:t>
      </w:r>
    </w:p>
    <w:p w14:paraId="67691FEF" w14:textId="58C734D0" w:rsidR="00E83FA4" w:rsidRDefault="007E14E3" w:rsidP="00245897">
      <w:pPr>
        <w:pStyle w:val="ListParagraph"/>
        <w:rPr>
          <w:rFonts w:ascii="Arial" w:hAnsi="Arial" w:cs="Arial"/>
        </w:rPr>
      </w:pPr>
      <w:r>
        <w:rPr>
          <w:rFonts w:ascii="Arial" w:hAnsi="Arial" w:cs="Arial"/>
        </w:rPr>
        <w:t>Due to the sizeable number of accounts an auditor needs to record</w:t>
      </w:r>
      <w:r w:rsidR="00E777B6">
        <w:rPr>
          <w:rFonts w:ascii="Arial" w:hAnsi="Arial" w:cs="Arial"/>
        </w:rPr>
        <w:t>, a common practice is to sample them in order to obtain an estimation of the cumulative errors.</w:t>
      </w:r>
    </w:p>
    <w:p w14:paraId="6D4202CD" w14:textId="51A863A2" w:rsidR="00E777B6" w:rsidRDefault="00E777B6" w:rsidP="00245897">
      <w:pPr>
        <w:pStyle w:val="ListParagraph"/>
        <w:rPr>
          <w:rFonts w:ascii="Arial" w:hAnsi="Arial" w:cs="Arial"/>
        </w:rPr>
      </w:pPr>
      <w:r>
        <w:rPr>
          <w:rFonts w:ascii="Arial" w:hAnsi="Arial" w:cs="Arial"/>
        </w:rPr>
        <w:t xml:space="preserve">In order to do that, the monetary unit sampling system is used (MUS) where each monetary unit </w:t>
      </w:r>
      <w:r w:rsidR="00894827">
        <w:rPr>
          <w:rFonts w:ascii="Arial" w:hAnsi="Arial" w:cs="Arial"/>
        </w:rPr>
        <w:t xml:space="preserve">has a probability of being sampled based on their respective recorded </w:t>
      </w:r>
      <w:r w:rsidR="00122F51">
        <w:rPr>
          <w:rFonts w:ascii="Arial" w:hAnsi="Arial" w:cs="Arial"/>
        </w:rPr>
        <w:t>amount</w:t>
      </w:r>
      <w:r w:rsidR="001D266B">
        <w:rPr>
          <w:rFonts w:ascii="Arial" w:hAnsi="Arial" w:cs="Arial"/>
        </w:rPr>
        <w:t xml:space="preserve"> (Higgins and </w:t>
      </w:r>
      <w:proofErr w:type="spellStart"/>
      <w:r w:rsidR="001D266B">
        <w:rPr>
          <w:rFonts w:ascii="Arial" w:hAnsi="Arial" w:cs="Arial"/>
        </w:rPr>
        <w:t>Nandram</w:t>
      </w:r>
      <w:proofErr w:type="spellEnd"/>
      <w:r w:rsidR="001D266B">
        <w:rPr>
          <w:rFonts w:ascii="Arial" w:hAnsi="Arial" w:cs="Arial"/>
        </w:rPr>
        <w:t xml:space="preserve">, 2009). </w:t>
      </w:r>
    </w:p>
    <w:p w14:paraId="4403185D" w14:textId="50774130" w:rsidR="00A4520F" w:rsidRDefault="00A4520F" w:rsidP="00245897">
      <w:pPr>
        <w:pStyle w:val="ListParagraph"/>
        <w:rPr>
          <w:rFonts w:ascii="Arial" w:hAnsi="Arial" w:cs="Arial"/>
        </w:rPr>
      </w:pPr>
      <w:r>
        <w:rPr>
          <w:rFonts w:ascii="Arial" w:hAnsi="Arial" w:cs="Arial"/>
        </w:rPr>
        <w:t xml:space="preserve">This practice is easier to apply for the auditor since it disregards the </w:t>
      </w:r>
      <w:r w:rsidR="00700FB8">
        <w:rPr>
          <w:rFonts w:ascii="Arial" w:hAnsi="Arial" w:cs="Arial"/>
        </w:rPr>
        <w:t xml:space="preserve">classification of groups within the body of accounts. </w:t>
      </w:r>
    </w:p>
    <w:p w14:paraId="0A0CBDEF" w14:textId="25DF3817" w:rsidR="00700FB8" w:rsidRDefault="00700FB8" w:rsidP="00245897">
      <w:pPr>
        <w:pStyle w:val="ListParagraph"/>
        <w:rPr>
          <w:rFonts w:ascii="Arial" w:hAnsi="Arial" w:cs="Arial"/>
        </w:rPr>
      </w:pPr>
    </w:p>
    <w:p w14:paraId="7F77A205" w14:textId="2B8F8797" w:rsidR="00700FB8" w:rsidRDefault="00700FB8" w:rsidP="00245897">
      <w:pPr>
        <w:pStyle w:val="ListParagraph"/>
        <w:rPr>
          <w:rFonts w:ascii="Arial" w:hAnsi="Arial" w:cs="Arial"/>
        </w:rPr>
      </w:pPr>
    </w:p>
    <w:p w14:paraId="3C516361" w14:textId="38368D86" w:rsidR="00700FB8" w:rsidRPr="00F86466" w:rsidRDefault="00700FB8" w:rsidP="00F86466">
      <w:pPr>
        <w:pStyle w:val="ListParagraph"/>
        <w:numPr>
          <w:ilvl w:val="0"/>
          <w:numId w:val="2"/>
        </w:numPr>
        <w:rPr>
          <w:rFonts w:ascii="Arial" w:hAnsi="Arial" w:cs="Arial"/>
          <w:b/>
          <w:bCs/>
        </w:rPr>
      </w:pPr>
      <w:r w:rsidRPr="00F86466">
        <w:rPr>
          <w:rFonts w:ascii="Arial" w:hAnsi="Arial" w:cs="Arial"/>
          <w:b/>
          <w:bCs/>
        </w:rPr>
        <w:t>Materiality</w:t>
      </w:r>
    </w:p>
    <w:p w14:paraId="5C91267E" w14:textId="77777777" w:rsidR="00833186" w:rsidRDefault="00DC71AC" w:rsidP="00833186">
      <w:pPr>
        <w:pStyle w:val="ListParagraph"/>
        <w:rPr>
          <w:rFonts w:ascii="Arial" w:hAnsi="Arial" w:cs="Arial"/>
        </w:rPr>
      </w:pPr>
      <w:r>
        <w:rPr>
          <w:rFonts w:ascii="Arial" w:hAnsi="Arial" w:cs="Arial"/>
        </w:rPr>
        <w:t xml:space="preserve">This principle states that all relevant information with substantial impact on a financial statement must be disclosed to a user of said statements in order to prevent </w:t>
      </w:r>
      <w:r>
        <w:rPr>
          <w:rFonts w:ascii="Arial" w:hAnsi="Arial" w:cs="Arial"/>
        </w:rPr>
        <w:lastRenderedPageBreak/>
        <w:t xml:space="preserve">disingenuous reports. </w:t>
      </w:r>
      <w:r w:rsidR="00B50500">
        <w:rPr>
          <w:rFonts w:ascii="Arial" w:hAnsi="Arial" w:cs="Arial"/>
        </w:rPr>
        <w:t>In such, we could say that materiality is an exception to disclosure but one that must be assessed properly and with transparency.</w:t>
      </w:r>
    </w:p>
    <w:p w14:paraId="09F8FE58" w14:textId="56C84879" w:rsidR="00F86466" w:rsidRPr="00833186" w:rsidRDefault="00F86466" w:rsidP="00833186">
      <w:pPr>
        <w:pStyle w:val="ListParagraph"/>
        <w:rPr>
          <w:rFonts w:ascii="Arial" w:hAnsi="Arial" w:cs="Arial"/>
        </w:rPr>
      </w:pPr>
      <w:r w:rsidRPr="00833186">
        <w:rPr>
          <w:rFonts w:ascii="Arial" w:hAnsi="Arial" w:cs="Arial"/>
        </w:rPr>
        <w:t>In order to determine what is considered relevant or irrelevant information, besides personal judgement, auditors use a base</w:t>
      </w:r>
      <w:r w:rsidR="00B50500" w:rsidRPr="00833186">
        <w:rPr>
          <w:rFonts w:ascii="Arial" w:hAnsi="Arial" w:cs="Arial"/>
        </w:rPr>
        <w:t xml:space="preserve"> concept</w:t>
      </w:r>
      <w:r w:rsidRPr="00833186">
        <w:rPr>
          <w:rFonts w:ascii="Arial" w:hAnsi="Arial" w:cs="Arial"/>
        </w:rPr>
        <w:t xml:space="preserve"> called the 5% rule. This dictates that anything below this threshold is regarded as having insignificant impact and can be </w:t>
      </w:r>
      <w:r w:rsidR="004F5108" w:rsidRPr="00833186">
        <w:rPr>
          <w:rFonts w:ascii="Arial" w:hAnsi="Arial" w:cs="Arial"/>
        </w:rPr>
        <w:t>overlooked</w:t>
      </w:r>
      <w:r w:rsidRPr="00833186">
        <w:rPr>
          <w:rFonts w:ascii="Arial" w:hAnsi="Arial" w:cs="Arial"/>
        </w:rPr>
        <w:t xml:space="preserve">. </w:t>
      </w:r>
      <w:r w:rsidR="00B50500" w:rsidRPr="00833186">
        <w:rPr>
          <w:rFonts w:ascii="Arial" w:hAnsi="Arial" w:cs="Arial"/>
        </w:rPr>
        <w:t xml:space="preserve">Although a widely used concept, this is not to be regarded as an enforcing rule </w:t>
      </w:r>
      <w:r w:rsidR="004F5108" w:rsidRPr="00833186">
        <w:rPr>
          <w:rFonts w:ascii="Arial" w:hAnsi="Arial" w:cs="Arial"/>
        </w:rPr>
        <w:t>but more of a guideline for auditors in enacting judgement.</w:t>
      </w:r>
    </w:p>
    <w:p w14:paraId="005ECF18" w14:textId="74018D2D" w:rsidR="004F5108" w:rsidRDefault="007C28A3" w:rsidP="00700FB8">
      <w:pPr>
        <w:pStyle w:val="ListParagraph"/>
        <w:rPr>
          <w:rFonts w:ascii="Arial" w:hAnsi="Arial" w:cs="Arial"/>
          <w:shd w:val="clear" w:color="auto" w:fill="FFFFFF"/>
        </w:rPr>
      </w:pPr>
      <w:r>
        <w:rPr>
          <w:rFonts w:ascii="Arial" w:hAnsi="Arial" w:cs="Arial"/>
        </w:rPr>
        <w:t>To elaborate</w:t>
      </w:r>
      <w:r w:rsidR="004F5108">
        <w:rPr>
          <w:rFonts w:ascii="Arial" w:hAnsi="Arial" w:cs="Arial"/>
        </w:rPr>
        <w:t xml:space="preserve">, </w:t>
      </w:r>
      <w:r w:rsidR="00260BF1">
        <w:rPr>
          <w:rFonts w:ascii="Arial" w:hAnsi="Arial" w:cs="Arial"/>
        </w:rPr>
        <w:t xml:space="preserve">(Johnson, 2005, p.12) states the following </w:t>
      </w:r>
      <w:r w:rsidR="00260BF1" w:rsidRPr="00260BF1">
        <w:rPr>
          <w:rFonts w:ascii="Arial" w:hAnsi="Arial" w:cs="Arial"/>
        </w:rPr>
        <w:t>‘’</w:t>
      </w:r>
      <w:r w:rsidR="00260BF1" w:rsidRPr="00260BF1">
        <w:rPr>
          <w:rFonts w:ascii="Arial" w:hAnsi="Arial" w:cs="Arial"/>
          <w:shd w:val="clear" w:color="auto" w:fill="FFFFFF"/>
        </w:rPr>
        <w:t>So long as the practitioner is aware that it is merely a starting point and not in any way a rule to be relied upon for final assessment, it is a useful tool’’.</w:t>
      </w:r>
    </w:p>
    <w:p w14:paraId="7A91FE97" w14:textId="204BE100" w:rsidR="00EA748F" w:rsidRDefault="00EA748F" w:rsidP="00700FB8">
      <w:pPr>
        <w:pStyle w:val="ListParagraph"/>
        <w:rPr>
          <w:rFonts w:ascii="Arial" w:hAnsi="Arial" w:cs="Arial"/>
          <w:shd w:val="clear" w:color="auto" w:fill="FFFFFF"/>
        </w:rPr>
      </w:pPr>
      <w:r>
        <w:rPr>
          <w:rFonts w:ascii="Arial" w:hAnsi="Arial" w:cs="Arial"/>
          <w:shd w:val="clear" w:color="auto" w:fill="FFFFFF"/>
        </w:rPr>
        <w:t xml:space="preserve">Materiality is based predominantly on quantitative estimates </w:t>
      </w:r>
      <w:r w:rsidR="00FF369D">
        <w:rPr>
          <w:rFonts w:ascii="Arial" w:hAnsi="Arial" w:cs="Arial"/>
          <w:shd w:val="clear" w:color="auto" w:fill="FFFFFF"/>
        </w:rPr>
        <w:t xml:space="preserve">since the qualitative side is more complex and harder to asses. </w:t>
      </w:r>
    </w:p>
    <w:p w14:paraId="1A036ED4" w14:textId="10BF8CD7" w:rsidR="001723A2" w:rsidRDefault="001723A2" w:rsidP="00700FB8">
      <w:pPr>
        <w:pStyle w:val="ListParagraph"/>
        <w:rPr>
          <w:rFonts w:ascii="Arial" w:hAnsi="Arial" w:cs="Arial"/>
          <w:shd w:val="clear" w:color="auto" w:fill="FFFFFF"/>
        </w:rPr>
      </w:pPr>
    </w:p>
    <w:p w14:paraId="1F8AD512" w14:textId="2C1CD986" w:rsidR="001723A2" w:rsidRDefault="001723A2" w:rsidP="00700FB8">
      <w:pPr>
        <w:pStyle w:val="ListParagraph"/>
        <w:rPr>
          <w:rFonts w:ascii="Arial" w:hAnsi="Arial" w:cs="Arial"/>
          <w:shd w:val="clear" w:color="auto" w:fill="FFFFFF"/>
        </w:rPr>
      </w:pPr>
    </w:p>
    <w:p w14:paraId="69D1B62E" w14:textId="7CE1A610" w:rsidR="001723A2" w:rsidRDefault="001723A2" w:rsidP="001723A2">
      <w:pPr>
        <w:pStyle w:val="ListParagraph"/>
        <w:numPr>
          <w:ilvl w:val="0"/>
          <w:numId w:val="2"/>
        </w:numPr>
        <w:rPr>
          <w:rFonts w:ascii="Arial" w:hAnsi="Arial" w:cs="Arial"/>
          <w:b/>
          <w:bCs/>
          <w:shd w:val="clear" w:color="auto" w:fill="FFFFFF"/>
        </w:rPr>
      </w:pPr>
      <w:r w:rsidRPr="001723A2">
        <w:rPr>
          <w:rFonts w:ascii="Arial" w:hAnsi="Arial" w:cs="Arial"/>
          <w:b/>
          <w:bCs/>
          <w:shd w:val="clear" w:color="auto" w:fill="FFFFFF"/>
        </w:rPr>
        <w:t xml:space="preserve">Conservatism </w:t>
      </w:r>
    </w:p>
    <w:p w14:paraId="1C0425EC" w14:textId="0AA2A8AF" w:rsidR="00043B5C" w:rsidRDefault="001723A2" w:rsidP="001723A2">
      <w:pPr>
        <w:pStyle w:val="ListParagraph"/>
        <w:rPr>
          <w:rFonts w:ascii="Arial" w:hAnsi="Arial" w:cs="Arial"/>
          <w:shd w:val="clear" w:color="auto" w:fill="FFFFFF"/>
        </w:rPr>
      </w:pPr>
      <w:r>
        <w:rPr>
          <w:rFonts w:ascii="Arial" w:hAnsi="Arial" w:cs="Arial"/>
          <w:shd w:val="clear" w:color="auto" w:fill="FFFFFF"/>
        </w:rPr>
        <w:t xml:space="preserve">This principle </w:t>
      </w:r>
      <w:r w:rsidR="0050488B">
        <w:rPr>
          <w:rFonts w:ascii="Arial" w:hAnsi="Arial" w:cs="Arial"/>
          <w:shd w:val="clear" w:color="auto" w:fill="FFFFFF"/>
        </w:rPr>
        <w:t>can be defined as the prioritization and acknowledgment of expenses and liabilities over revenues</w:t>
      </w:r>
      <w:r w:rsidR="00093F09">
        <w:rPr>
          <w:rFonts w:ascii="Arial" w:hAnsi="Arial" w:cs="Arial"/>
          <w:shd w:val="clear" w:color="auto" w:fill="FFFFFF"/>
        </w:rPr>
        <w:t xml:space="preserve"> and assets,</w:t>
      </w:r>
      <w:r w:rsidR="0050488B">
        <w:rPr>
          <w:rFonts w:ascii="Arial" w:hAnsi="Arial" w:cs="Arial"/>
          <w:shd w:val="clear" w:color="auto" w:fill="FFFFFF"/>
        </w:rPr>
        <w:t xml:space="preserve"> in preparation of financial statements</w:t>
      </w:r>
      <w:r w:rsidR="003641D0">
        <w:rPr>
          <w:rFonts w:ascii="Arial" w:hAnsi="Arial" w:cs="Arial"/>
          <w:shd w:val="clear" w:color="auto" w:fill="FFFFFF"/>
        </w:rPr>
        <w:t>.</w:t>
      </w:r>
    </w:p>
    <w:p w14:paraId="6E7A7741" w14:textId="787E28F9" w:rsidR="00043B5C" w:rsidRDefault="00043B5C" w:rsidP="001723A2">
      <w:pPr>
        <w:pStyle w:val="ListParagraph"/>
        <w:rPr>
          <w:rFonts w:ascii="Arial" w:hAnsi="Arial" w:cs="Arial"/>
          <w:shd w:val="clear" w:color="auto" w:fill="FFFFFF"/>
        </w:rPr>
      </w:pPr>
      <w:r>
        <w:rPr>
          <w:rFonts w:ascii="Arial" w:hAnsi="Arial" w:cs="Arial"/>
          <w:shd w:val="clear" w:color="auto" w:fill="FFFFFF"/>
        </w:rPr>
        <w:t>Bliss (1924, cited in Shroff, Venkataraman and Zhang, 2011</w:t>
      </w:r>
      <w:r w:rsidR="00CB421E">
        <w:rPr>
          <w:rFonts w:ascii="Arial" w:hAnsi="Arial" w:cs="Arial"/>
          <w:shd w:val="clear" w:color="auto" w:fill="FFFFFF"/>
        </w:rPr>
        <w:t>, p.215</w:t>
      </w:r>
      <w:r>
        <w:rPr>
          <w:rFonts w:ascii="Arial" w:hAnsi="Arial" w:cs="Arial"/>
          <w:shd w:val="clear" w:color="auto" w:fill="FFFFFF"/>
        </w:rPr>
        <w:t>)</w:t>
      </w:r>
      <w:r w:rsidR="00CB421E">
        <w:rPr>
          <w:rFonts w:ascii="Arial" w:hAnsi="Arial" w:cs="Arial"/>
          <w:shd w:val="clear" w:color="auto" w:fill="FFFFFF"/>
        </w:rPr>
        <w:t xml:space="preserve"> uses the following aphorism to capture the essence </w:t>
      </w:r>
      <w:r w:rsidR="00CB421E" w:rsidRPr="00CB421E">
        <w:rPr>
          <w:rFonts w:ascii="Arial" w:hAnsi="Arial" w:cs="Arial"/>
          <w:color w:val="1C1D1E"/>
          <w:shd w:val="clear" w:color="auto" w:fill="FFFFFF"/>
        </w:rPr>
        <w:t>“anticipate no profits, but anticipate all losses”.</w:t>
      </w:r>
    </w:p>
    <w:p w14:paraId="77ACAD45" w14:textId="4D0219EC" w:rsidR="001723A2" w:rsidRDefault="003641D0" w:rsidP="001723A2">
      <w:pPr>
        <w:pStyle w:val="ListParagraph"/>
        <w:rPr>
          <w:rFonts w:ascii="Arial" w:hAnsi="Arial" w:cs="Arial"/>
          <w:shd w:val="clear" w:color="auto" w:fill="FFFFFF"/>
        </w:rPr>
      </w:pPr>
      <w:r>
        <w:rPr>
          <w:rFonts w:ascii="Arial" w:hAnsi="Arial" w:cs="Arial"/>
          <w:shd w:val="clear" w:color="auto" w:fill="FFFFFF"/>
        </w:rPr>
        <w:t>In such, the auditor takes a cautious approach in disclosing profits or gains a company may accrue until those said profits are certain</w:t>
      </w:r>
      <w:r w:rsidR="00093F09">
        <w:rPr>
          <w:rFonts w:ascii="Arial" w:hAnsi="Arial" w:cs="Arial"/>
          <w:shd w:val="clear" w:color="auto" w:fill="FFFFFF"/>
        </w:rPr>
        <w:t xml:space="preserve"> and reliable.</w:t>
      </w:r>
      <w:r>
        <w:rPr>
          <w:rFonts w:ascii="Arial" w:hAnsi="Arial" w:cs="Arial"/>
          <w:shd w:val="clear" w:color="auto" w:fill="FFFFFF"/>
        </w:rPr>
        <w:t xml:space="preserve"> </w:t>
      </w:r>
    </w:p>
    <w:p w14:paraId="7AAFFCA2" w14:textId="64A95B1C" w:rsidR="00E75CD3" w:rsidRDefault="00E75CD3" w:rsidP="001723A2">
      <w:pPr>
        <w:pStyle w:val="ListParagraph"/>
        <w:rPr>
          <w:rFonts w:ascii="Arial" w:hAnsi="Arial" w:cs="Arial"/>
          <w:shd w:val="clear" w:color="auto" w:fill="FFFFFF"/>
        </w:rPr>
      </w:pPr>
      <w:r>
        <w:rPr>
          <w:rFonts w:ascii="Arial" w:hAnsi="Arial" w:cs="Arial"/>
          <w:shd w:val="clear" w:color="auto" w:fill="FFFFFF"/>
        </w:rPr>
        <w:t>Conservatism has been used utilized in accounting practices for a long time</w:t>
      </w:r>
      <w:r w:rsidR="00A94B28">
        <w:rPr>
          <w:rFonts w:ascii="Arial" w:hAnsi="Arial" w:cs="Arial"/>
          <w:shd w:val="clear" w:color="auto" w:fill="FFFFFF"/>
        </w:rPr>
        <w:t xml:space="preserve"> and has greatly influenced the process, and in doing that attracted criticism from regulators and academics. Because of the aforementioned disproportional approach conservatism has on loss and gain, the notion has risen that </w:t>
      </w:r>
      <w:r w:rsidR="00EB59C4" w:rsidRPr="00D1642D">
        <w:rPr>
          <w:rFonts w:ascii="Arial" w:hAnsi="Arial" w:cs="Arial"/>
          <w:shd w:val="clear" w:color="auto" w:fill="FFFFFF"/>
        </w:rPr>
        <w:t>‘’ understatement in the current period can lead to overstatement of earnings in future periods by causing an understatement of future expenses’’ (Watts, 2003, p.208).</w:t>
      </w:r>
      <w:r w:rsidR="00A94B28" w:rsidRPr="00D1642D">
        <w:rPr>
          <w:rFonts w:ascii="Arial" w:hAnsi="Arial" w:cs="Arial"/>
          <w:shd w:val="clear" w:color="auto" w:fill="FFFFFF"/>
        </w:rPr>
        <w:t xml:space="preserve"> </w:t>
      </w:r>
    </w:p>
    <w:p w14:paraId="50191BFC" w14:textId="22A9650F" w:rsidR="00093F09" w:rsidRDefault="00093F09" w:rsidP="001723A2">
      <w:pPr>
        <w:pStyle w:val="ListParagraph"/>
        <w:rPr>
          <w:rFonts w:ascii="Arial" w:hAnsi="Arial" w:cs="Arial"/>
          <w:shd w:val="clear" w:color="auto" w:fill="FFFFFF"/>
        </w:rPr>
      </w:pPr>
      <w:r>
        <w:rPr>
          <w:rFonts w:ascii="Arial" w:hAnsi="Arial" w:cs="Arial"/>
          <w:shd w:val="clear" w:color="auto" w:fill="FFFFFF"/>
        </w:rPr>
        <w:t>Regardless</w:t>
      </w:r>
      <w:r w:rsidR="00A37F4D">
        <w:rPr>
          <w:rFonts w:ascii="Arial" w:hAnsi="Arial" w:cs="Arial"/>
          <w:shd w:val="clear" w:color="auto" w:fill="FFFFFF"/>
        </w:rPr>
        <w:t xml:space="preserve"> of criticism</w:t>
      </w:r>
      <w:r>
        <w:rPr>
          <w:rFonts w:ascii="Arial" w:hAnsi="Arial" w:cs="Arial"/>
          <w:shd w:val="clear" w:color="auto" w:fill="FFFFFF"/>
        </w:rPr>
        <w:t xml:space="preserve">, conservatism as a principle of accounting, has benefits </w:t>
      </w:r>
      <w:r w:rsidR="00DC6833">
        <w:rPr>
          <w:rFonts w:ascii="Arial" w:hAnsi="Arial" w:cs="Arial"/>
          <w:shd w:val="clear" w:color="auto" w:fill="FFFFFF"/>
        </w:rPr>
        <w:t xml:space="preserve">in the form of subduing or containing the managements forecast of revenue, managing and measuring risk and in itself is a more flexible method of approach since it encourages the personal use of judgement. </w:t>
      </w:r>
    </w:p>
    <w:p w14:paraId="473DD8DD" w14:textId="7A4DF1AA" w:rsidR="00EA050E" w:rsidRDefault="00D56D11" w:rsidP="00EA050E">
      <w:pPr>
        <w:pStyle w:val="ListParagraph"/>
        <w:rPr>
          <w:rFonts w:ascii="Arial" w:hAnsi="Arial" w:cs="Arial"/>
          <w:shd w:val="clear" w:color="auto" w:fill="FFFFFF"/>
        </w:rPr>
      </w:pPr>
      <w:r>
        <w:rPr>
          <w:rFonts w:ascii="Arial" w:hAnsi="Arial" w:cs="Arial"/>
          <w:shd w:val="clear" w:color="auto" w:fill="FFFFFF"/>
        </w:rPr>
        <w:t xml:space="preserve">Simultaneously, this principle implies some </w:t>
      </w:r>
      <w:r w:rsidR="00C44AFD">
        <w:rPr>
          <w:rFonts w:ascii="Arial" w:hAnsi="Arial" w:cs="Arial"/>
          <w:shd w:val="clear" w:color="auto" w:fill="FFFFFF"/>
        </w:rPr>
        <w:t xml:space="preserve">negative aspects as well. The use of conservatism diminishes the future value of a company by observing the accrual of debt before the accrual of revenue.  </w:t>
      </w:r>
      <w:r w:rsidR="00EA408C">
        <w:rPr>
          <w:rFonts w:ascii="Arial" w:hAnsi="Arial" w:cs="Arial"/>
          <w:shd w:val="clear" w:color="auto" w:fill="FFFFFF"/>
        </w:rPr>
        <w:t xml:space="preserve">In such, that particular organization will always appear to be at a loss despite </w:t>
      </w:r>
      <w:r w:rsidR="002343E2">
        <w:rPr>
          <w:rFonts w:ascii="Arial" w:hAnsi="Arial" w:cs="Arial"/>
          <w:shd w:val="clear" w:color="auto" w:fill="FFFFFF"/>
        </w:rPr>
        <w:t xml:space="preserve">future incoming revenue it may have. To exemplify, the future income from selling an asset will not be recorded until the transaction is made </w:t>
      </w:r>
      <w:r w:rsidR="002343E2">
        <w:rPr>
          <w:rFonts w:ascii="Arial" w:hAnsi="Arial" w:cs="Arial"/>
          <w:shd w:val="clear" w:color="auto" w:fill="FFFFFF"/>
        </w:rPr>
        <w:lastRenderedPageBreak/>
        <w:t xml:space="preserve">and </w:t>
      </w:r>
      <w:r w:rsidR="00EA050E">
        <w:rPr>
          <w:rFonts w:ascii="Arial" w:hAnsi="Arial" w:cs="Arial"/>
          <w:shd w:val="clear" w:color="auto" w:fill="FFFFFF"/>
        </w:rPr>
        <w:t xml:space="preserve">currency has been wired. We can then observe the contrasting duality of conservatism </w:t>
      </w:r>
      <w:r w:rsidR="00833186">
        <w:rPr>
          <w:rFonts w:ascii="Arial" w:hAnsi="Arial" w:cs="Arial"/>
          <w:shd w:val="clear" w:color="auto" w:fill="FFFFFF"/>
        </w:rPr>
        <w:t>and its effects on the preparations of financial statements.</w:t>
      </w:r>
    </w:p>
    <w:p w14:paraId="34094FDF" w14:textId="77777777" w:rsidR="00CB2142" w:rsidRDefault="00CB2142" w:rsidP="00833186">
      <w:pPr>
        <w:pStyle w:val="Subtitle"/>
        <w:jc w:val="center"/>
        <w:rPr>
          <w:rStyle w:val="SubtleReference"/>
          <w:rFonts w:ascii="Arial" w:hAnsi="Arial" w:cs="Arial"/>
          <w:sz w:val="28"/>
          <w:szCs w:val="28"/>
        </w:rPr>
      </w:pPr>
    </w:p>
    <w:p w14:paraId="05BBCC1A" w14:textId="77777777" w:rsidR="00CB2142" w:rsidRDefault="00CB2142" w:rsidP="00833186">
      <w:pPr>
        <w:pStyle w:val="Subtitle"/>
        <w:jc w:val="center"/>
        <w:rPr>
          <w:rStyle w:val="SubtleReference"/>
          <w:rFonts w:ascii="Arial" w:hAnsi="Arial" w:cs="Arial"/>
          <w:sz w:val="28"/>
          <w:szCs w:val="28"/>
        </w:rPr>
      </w:pPr>
    </w:p>
    <w:p w14:paraId="1B3D01A5" w14:textId="6449FEAB" w:rsidR="00833186" w:rsidRDefault="00833186" w:rsidP="00833186">
      <w:pPr>
        <w:pStyle w:val="Subtitle"/>
        <w:jc w:val="center"/>
        <w:rPr>
          <w:rStyle w:val="SubtleReference"/>
          <w:rFonts w:ascii="Arial" w:hAnsi="Arial" w:cs="Arial"/>
          <w:sz w:val="28"/>
          <w:szCs w:val="28"/>
        </w:rPr>
      </w:pPr>
      <w:r w:rsidRPr="00833186">
        <w:rPr>
          <w:rStyle w:val="SubtleReference"/>
          <w:rFonts w:ascii="Arial" w:hAnsi="Arial" w:cs="Arial"/>
          <w:sz w:val="28"/>
          <w:szCs w:val="28"/>
        </w:rPr>
        <w:t>Conclusion</w:t>
      </w:r>
    </w:p>
    <w:p w14:paraId="57131A6C" w14:textId="12E98A5D" w:rsidR="00A028E1" w:rsidRDefault="00A028E1" w:rsidP="00A028E1"/>
    <w:p w14:paraId="420FE54F" w14:textId="77777777" w:rsidR="00CB2142" w:rsidRDefault="00CB2142" w:rsidP="00A028E1">
      <w:pPr>
        <w:rPr>
          <w:rFonts w:ascii="Arial" w:hAnsi="Arial" w:cs="Arial"/>
        </w:rPr>
      </w:pPr>
    </w:p>
    <w:p w14:paraId="246DBF32" w14:textId="76DCEC40" w:rsidR="00A028E1" w:rsidRPr="00A028E1" w:rsidRDefault="0000339E" w:rsidP="00A028E1">
      <w:pPr>
        <w:rPr>
          <w:rFonts w:ascii="Arial" w:hAnsi="Arial" w:cs="Arial"/>
        </w:rPr>
      </w:pPr>
      <w:r>
        <w:rPr>
          <w:rFonts w:ascii="Arial" w:hAnsi="Arial" w:cs="Arial"/>
        </w:rPr>
        <w:t>For many years, a</w:t>
      </w:r>
      <w:r w:rsidR="00377866">
        <w:rPr>
          <w:rFonts w:ascii="Arial" w:hAnsi="Arial" w:cs="Arial"/>
        </w:rPr>
        <w:t>ccounting principles</w:t>
      </w:r>
      <w:r>
        <w:rPr>
          <w:rFonts w:ascii="Arial" w:hAnsi="Arial" w:cs="Arial"/>
        </w:rPr>
        <w:t xml:space="preserve"> have been present and instrumental in the shaping and moulding of the accounting </w:t>
      </w:r>
      <w:r w:rsidR="00213DEF">
        <w:rPr>
          <w:rFonts w:ascii="Arial" w:hAnsi="Arial" w:cs="Arial"/>
        </w:rPr>
        <w:t>mechanism. These principles have seen changes throughout time, been debated among economists and still are to this day. Even though i</w:t>
      </w:r>
      <w:r w:rsidR="00E27528">
        <w:rPr>
          <w:rFonts w:ascii="Arial" w:hAnsi="Arial" w:cs="Arial"/>
        </w:rPr>
        <w:t xml:space="preserve">n present time, through the likes of GAAP, we have a consensus of which principles are to be implemented and used, there is still </w:t>
      </w:r>
      <w:r w:rsidR="006D2F8C">
        <w:rPr>
          <w:rFonts w:ascii="Arial" w:hAnsi="Arial" w:cs="Arial"/>
        </w:rPr>
        <w:t xml:space="preserve">controversy on how to deploy them and most importantly when it’s appropriate to do so. </w:t>
      </w:r>
      <w:r w:rsidR="00426050">
        <w:rPr>
          <w:rFonts w:ascii="Arial" w:hAnsi="Arial" w:cs="Arial"/>
        </w:rPr>
        <w:t xml:space="preserve">In this paper we have observed how </w:t>
      </w:r>
      <w:r w:rsidR="003E5CE3">
        <w:rPr>
          <w:rFonts w:ascii="Arial" w:hAnsi="Arial" w:cs="Arial"/>
        </w:rPr>
        <w:t xml:space="preserve">certain principles pertain to the numerical side of the process, whilst some have a more </w:t>
      </w:r>
      <w:r w:rsidR="00E406EA">
        <w:rPr>
          <w:rFonts w:ascii="Arial" w:hAnsi="Arial" w:cs="Arial"/>
        </w:rPr>
        <w:t>judgement-based</w:t>
      </w:r>
      <w:r w:rsidR="003E5CE3">
        <w:rPr>
          <w:rFonts w:ascii="Arial" w:hAnsi="Arial" w:cs="Arial"/>
        </w:rPr>
        <w:t xml:space="preserve"> characteristics</w:t>
      </w:r>
      <w:r w:rsidR="00E406EA">
        <w:rPr>
          <w:rFonts w:ascii="Arial" w:hAnsi="Arial" w:cs="Arial"/>
        </w:rPr>
        <w:t xml:space="preserve">. We can then emphasize that in order to maintain a level of transparency and accuracy within the financial </w:t>
      </w:r>
      <w:r w:rsidR="00B03D94">
        <w:rPr>
          <w:rFonts w:ascii="Arial" w:hAnsi="Arial" w:cs="Arial"/>
        </w:rPr>
        <w:t>account’s</w:t>
      </w:r>
      <w:r w:rsidR="00E406EA">
        <w:rPr>
          <w:rFonts w:ascii="Arial" w:hAnsi="Arial" w:cs="Arial"/>
        </w:rPr>
        <w:t xml:space="preserve"> recordings, we must use both quantitative and qualitative standards</w:t>
      </w:r>
      <w:r w:rsidR="00CB5C8A">
        <w:rPr>
          <w:rFonts w:ascii="Arial" w:hAnsi="Arial" w:cs="Arial"/>
        </w:rPr>
        <w:t xml:space="preserve"> and equally important, do it in a </w:t>
      </w:r>
      <w:r w:rsidR="00A96B2B">
        <w:rPr>
          <w:rFonts w:ascii="Arial" w:hAnsi="Arial" w:cs="Arial"/>
        </w:rPr>
        <w:t xml:space="preserve">correct and consistent manner. </w:t>
      </w:r>
      <w:r w:rsidR="00CB5C8A">
        <w:rPr>
          <w:rFonts w:ascii="Arial" w:hAnsi="Arial" w:cs="Arial"/>
        </w:rPr>
        <w:t xml:space="preserve"> </w:t>
      </w:r>
      <w:r w:rsidR="00E406EA">
        <w:rPr>
          <w:rFonts w:ascii="Arial" w:hAnsi="Arial" w:cs="Arial"/>
        </w:rPr>
        <w:t xml:space="preserve">  </w:t>
      </w:r>
      <w:r w:rsidR="00213DEF">
        <w:rPr>
          <w:rFonts w:ascii="Arial" w:hAnsi="Arial" w:cs="Arial"/>
        </w:rPr>
        <w:t xml:space="preserve"> </w:t>
      </w:r>
    </w:p>
    <w:p w14:paraId="5EAAFA7D" w14:textId="605872F0" w:rsidR="00833186" w:rsidRDefault="00833186" w:rsidP="00833186"/>
    <w:p w14:paraId="3C3E3FBF" w14:textId="77777777" w:rsidR="00833186" w:rsidRPr="00833186" w:rsidRDefault="00833186" w:rsidP="00833186"/>
    <w:p w14:paraId="4F6E0F6D" w14:textId="471EE031" w:rsidR="001723A2" w:rsidRDefault="001723A2" w:rsidP="001723A2">
      <w:pPr>
        <w:pStyle w:val="ListParagraph"/>
        <w:rPr>
          <w:rFonts w:ascii="Arial" w:hAnsi="Arial" w:cs="Arial"/>
          <w:shd w:val="clear" w:color="auto" w:fill="FFFFFF"/>
        </w:rPr>
      </w:pPr>
    </w:p>
    <w:p w14:paraId="53A3D174" w14:textId="4EA72515" w:rsidR="00FF369D" w:rsidRDefault="00FF369D" w:rsidP="00700FB8">
      <w:pPr>
        <w:pStyle w:val="ListParagraph"/>
        <w:rPr>
          <w:rFonts w:ascii="Arial" w:hAnsi="Arial" w:cs="Arial"/>
          <w:shd w:val="clear" w:color="auto" w:fill="FFFFFF"/>
        </w:rPr>
      </w:pPr>
    </w:p>
    <w:p w14:paraId="7DAAF59D" w14:textId="77777777" w:rsidR="00FF369D" w:rsidRPr="001723A2" w:rsidRDefault="00FF369D" w:rsidP="001723A2">
      <w:pPr>
        <w:rPr>
          <w:rFonts w:ascii="Arial" w:hAnsi="Arial" w:cs="Arial"/>
          <w:shd w:val="clear" w:color="auto" w:fill="FFFFFF"/>
        </w:rPr>
      </w:pPr>
    </w:p>
    <w:p w14:paraId="02F30A7F" w14:textId="77777777" w:rsidR="007C28A3" w:rsidRPr="00F86466" w:rsidRDefault="007C28A3" w:rsidP="00700FB8">
      <w:pPr>
        <w:pStyle w:val="ListParagraph"/>
        <w:rPr>
          <w:rFonts w:ascii="Arial" w:hAnsi="Arial" w:cs="Arial"/>
        </w:rPr>
      </w:pPr>
    </w:p>
    <w:p w14:paraId="1B0F68EF" w14:textId="0BD33FBC" w:rsidR="001D266B" w:rsidRDefault="001D266B" w:rsidP="00245897">
      <w:pPr>
        <w:pStyle w:val="ListParagraph"/>
        <w:rPr>
          <w:rFonts w:ascii="Arial" w:hAnsi="Arial" w:cs="Arial"/>
        </w:rPr>
      </w:pPr>
    </w:p>
    <w:p w14:paraId="4240B8CF" w14:textId="47FEA8CD" w:rsidR="00A4520F" w:rsidRDefault="00A4520F" w:rsidP="00245897">
      <w:pPr>
        <w:pStyle w:val="ListParagraph"/>
        <w:rPr>
          <w:rFonts w:ascii="Arial" w:hAnsi="Arial" w:cs="Arial"/>
        </w:rPr>
      </w:pPr>
    </w:p>
    <w:p w14:paraId="0F9EA4E1" w14:textId="77777777" w:rsidR="00A4520F" w:rsidRPr="00A4520F" w:rsidRDefault="00A4520F" w:rsidP="00A4520F">
      <w:pPr>
        <w:rPr>
          <w:rFonts w:ascii="Arial" w:hAnsi="Arial" w:cs="Arial"/>
        </w:rPr>
      </w:pPr>
    </w:p>
    <w:p w14:paraId="675174B9" w14:textId="77777777" w:rsidR="00E909DC" w:rsidRDefault="00E909DC" w:rsidP="00245897">
      <w:pPr>
        <w:pStyle w:val="ListParagraph"/>
        <w:rPr>
          <w:rFonts w:ascii="Arial" w:hAnsi="Arial" w:cs="Arial"/>
        </w:rPr>
      </w:pPr>
    </w:p>
    <w:p w14:paraId="63638E39" w14:textId="77777777" w:rsidR="005C49E2" w:rsidRPr="005C49E2" w:rsidRDefault="005C49E2" w:rsidP="005C49E2">
      <w:pPr>
        <w:rPr>
          <w:rFonts w:ascii="Arial" w:hAnsi="Arial" w:cs="Arial"/>
        </w:rPr>
      </w:pPr>
    </w:p>
    <w:p w14:paraId="1628FF44" w14:textId="709E245C" w:rsidR="00245897" w:rsidRPr="00245897" w:rsidRDefault="0058024A" w:rsidP="00245897">
      <w:pPr>
        <w:pStyle w:val="ListParagraph"/>
        <w:rPr>
          <w:rFonts w:ascii="Arial" w:hAnsi="Arial" w:cs="Arial"/>
        </w:rPr>
      </w:pPr>
      <w:r>
        <w:rPr>
          <w:rFonts w:ascii="Arial" w:hAnsi="Arial" w:cs="Arial"/>
        </w:rPr>
        <w:t xml:space="preserve">  </w:t>
      </w:r>
    </w:p>
    <w:p w14:paraId="30FE0BFE" w14:textId="68954B40" w:rsidR="00873567" w:rsidRPr="00533E95" w:rsidRDefault="00873567" w:rsidP="00873567">
      <w:pPr>
        <w:pStyle w:val="ListParagraph"/>
        <w:rPr>
          <w:rFonts w:ascii="Arial" w:hAnsi="Arial" w:cs="Arial"/>
        </w:rPr>
      </w:pPr>
    </w:p>
    <w:p w14:paraId="04BF559B" w14:textId="77777777" w:rsidR="003E040A" w:rsidRPr="003E040A" w:rsidRDefault="003E040A" w:rsidP="003E040A">
      <w:pPr>
        <w:pStyle w:val="ListParagraph"/>
        <w:rPr>
          <w:rFonts w:ascii="Arial" w:hAnsi="Arial" w:cs="Arial"/>
          <w:b/>
          <w:bCs/>
        </w:rPr>
      </w:pPr>
    </w:p>
    <w:p w14:paraId="219754EE" w14:textId="45A1E250" w:rsidR="00BC78C8" w:rsidRDefault="00BC78C8" w:rsidP="00ED4CF5">
      <w:pPr>
        <w:rPr>
          <w:rFonts w:ascii="Arial" w:hAnsi="Arial" w:cs="Arial"/>
        </w:rPr>
      </w:pPr>
    </w:p>
    <w:p w14:paraId="6E73E536" w14:textId="24903D80" w:rsidR="00BC78C8" w:rsidRDefault="00BC78C8" w:rsidP="00ED4CF5">
      <w:pPr>
        <w:rPr>
          <w:rFonts w:ascii="Arial" w:hAnsi="Arial" w:cs="Arial"/>
        </w:rPr>
      </w:pPr>
    </w:p>
    <w:p w14:paraId="4C940F19" w14:textId="67140361" w:rsidR="00581D4C" w:rsidRDefault="00581D4C" w:rsidP="00ED4CF5">
      <w:pPr>
        <w:rPr>
          <w:rFonts w:ascii="Arial" w:hAnsi="Arial" w:cs="Arial"/>
        </w:rPr>
      </w:pPr>
    </w:p>
    <w:p w14:paraId="05D27D27" w14:textId="7717FDA2" w:rsidR="00581D4C" w:rsidRDefault="00581D4C" w:rsidP="00ED4CF5">
      <w:pPr>
        <w:rPr>
          <w:rFonts w:ascii="Arial" w:hAnsi="Arial" w:cs="Arial"/>
        </w:rPr>
      </w:pPr>
    </w:p>
    <w:p w14:paraId="6E6A2017" w14:textId="785E1673" w:rsidR="00581D4C" w:rsidRDefault="00581D4C" w:rsidP="00ED4CF5">
      <w:pPr>
        <w:rPr>
          <w:rFonts w:ascii="Arial" w:hAnsi="Arial" w:cs="Arial"/>
        </w:rPr>
      </w:pPr>
    </w:p>
    <w:p w14:paraId="4C9042F8" w14:textId="55661469" w:rsidR="00581D4C" w:rsidRDefault="00581D4C" w:rsidP="00ED4CF5">
      <w:pPr>
        <w:rPr>
          <w:rFonts w:ascii="Arial" w:hAnsi="Arial" w:cs="Arial"/>
        </w:rPr>
      </w:pPr>
    </w:p>
    <w:p w14:paraId="4829E4B3" w14:textId="0A3777BB" w:rsidR="00581D4C" w:rsidRDefault="00581D4C" w:rsidP="00ED4CF5">
      <w:pPr>
        <w:rPr>
          <w:rFonts w:ascii="Arial" w:hAnsi="Arial" w:cs="Arial"/>
        </w:rPr>
      </w:pPr>
    </w:p>
    <w:p w14:paraId="0CF8E61A" w14:textId="43A02A85" w:rsidR="00581D4C" w:rsidRDefault="00581D4C" w:rsidP="00ED4CF5">
      <w:pPr>
        <w:rPr>
          <w:rFonts w:ascii="Arial" w:hAnsi="Arial" w:cs="Arial"/>
        </w:rPr>
      </w:pPr>
    </w:p>
    <w:p w14:paraId="728BF732" w14:textId="7E9732EB" w:rsidR="00581D4C" w:rsidRDefault="00581D4C" w:rsidP="00ED4CF5">
      <w:pPr>
        <w:rPr>
          <w:rFonts w:ascii="Arial" w:hAnsi="Arial" w:cs="Arial"/>
        </w:rPr>
      </w:pPr>
    </w:p>
    <w:p w14:paraId="30F3C6B9" w14:textId="131B6F4B" w:rsidR="00581D4C" w:rsidRDefault="00581D4C" w:rsidP="00ED4CF5">
      <w:pPr>
        <w:rPr>
          <w:rFonts w:ascii="Arial" w:hAnsi="Arial" w:cs="Arial"/>
        </w:rPr>
      </w:pPr>
    </w:p>
    <w:p w14:paraId="1E8939AF" w14:textId="6B4015DA" w:rsidR="00581D4C" w:rsidRDefault="00581D4C" w:rsidP="00581D4C">
      <w:pPr>
        <w:pStyle w:val="Subtitle"/>
        <w:jc w:val="center"/>
        <w:rPr>
          <w:rFonts w:ascii="Arial" w:hAnsi="Arial" w:cs="Arial"/>
          <w:sz w:val="28"/>
          <w:szCs w:val="28"/>
        </w:rPr>
      </w:pPr>
      <w:r w:rsidRPr="00581D4C">
        <w:rPr>
          <w:rFonts w:ascii="Arial" w:hAnsi="Arial" w:cs="Arial"/>
          <w:sz w:val="28"/>
          <w:szCs w:val="28"/>
        </w:rPr>
        <w:t>References</w:t>
      </w:r>
    </w:p>
    <w:p w14:paraId="149336BF" w14:textId="6EA7FC40" w:rsidR="00581D4C" w:rsidRDefault="00581D4C" w:rsidP="00581D4C"/>
    <w:p w14:paraId="5EE9F1E3" w14:textId="0FE84F35" w:rsidR="00581D4C" w:rsidRPr="00A32775" w:rsidRDefault="00581D4C" w:rsidP="00581D4C">
      <w:pPr>
        <w:pStyle w:val="NormalWeb"/>
        <w:numPr>
          <w:ilvl w:val="0"/>
          <w:numId w:val="3"/>
        </w:numPr>
        <w:spacing w:before="0" w:beforeAutospacing="0" w:after="0" w:afterAutospacing="0" w:line="360" w:lineRule="atLeast"/>
        <w:rPr>
          <w:rFonts w:ascii="Arial" w:hAnsi="Arial" w:cs="Arial"/>
          <w:color w:val="000000"/>
          <w:sz w:val="22"/>
          <w:szCs w:val="22"/>
        </w:rPr>
      </w:pPr>
      <w:r w:rsidRPr="00A32775">
        <w:rPr>
          <w:rFonts w:ascii="Arial" w:hAnsi="Arial" w:cs="Arial"/>
          <w:color w:val="000000"/>
          <w:sz w:val="22"/>
          <w:szCs w:val="22"/>
          <w:shd w:val="clear" w:color="auto" w:fill="FFFFFF"/>
        </w:rPr>
        <w:t xml:space="preserve">Berkowitz, A. and </w:t>
      </w:r>
      <w:proofErr w:type="spellStart"/>
      <w:r w:rsidRPr="00A32775">
        <w:rPr>
          <w:rFonts w:ascii="Arial" w:hAnsi="Arial" w:cs="Arial"/>
          <w:color w:val="000000"/>
          <w:sz w:val="22"/>
          <w:szCs w:val="22"/>
          <w:shd w:val="clear" w:color="auto" w:fill="FFFFFF"/>
        </w:rPr>
        <w:t>Rampell</w:t>
      </w:r>
      <w:proofErr w:type="spellEnd"/>
      <w:r w:rsidRPr="00A32775">
        <w:rPr>
          <w:rFonts w:ascii="Arial" w:hAnsi="Arial" w:cs="Arial"/>
          <w:color w:val="000000"/>
          <w:sz w:val="22"/>
          <w:szCs w:val="22"/>
          <w:shd w:val="clear" w:color="auto" w:fill="FFFFFF"/>
        </w:rPr>
        <w:t>, R., 2002. ‘</w:t>
      </w:r>
      <w:r w:rsidRPr="00A32775">
        <w:rPr>
          <w:rFonts w:ascii="Arial" w:hAnsi="Arial" w:cs="Arial"/>
          <w:i/>
          <w:iCs/>
          <w:color w:val="000000"/>
          <w:sz w:val="22"/>
          <w:szCs w:val="22"/>
          <w:shd w:val="clear" w:color="auto" w:fill="FFFFFF"/>
        </w:rPr>
        <w:t xml:space="preserve">The Accounting Debate rules vs </w:t>
      </w:r>
      <w:proofErr w:type="gramStart"/>
      <w:r w:rsidRPr="00A32775">
        <w:rPr>
          <w:rFonts w:ascii="Arial" w:hAnsi="Arial" w:cs="Arial"/>
          <w:i/>
          <w:iCs/>
          <w:color w:val="000000"/>
          <w:sz w:val="22"/>
          <w:szCs w:val="22"/>
          <w:shd w:val="clear" w:color="auto" w:fill="FFFFFF"/>
        </w:rPr>
        <w:t>principles’</w:t>
      </w:r>
      <w:proofErr w:type="gramEnd"/>
      <w:r w:rsidRPr="00A32775">
        <w:rPr>
          <w:rFonts w:ascii="Arial" w:hAnsi="Arial" w:cs="Arial"/>
          <w:color w:val="000000"/>
          <w:sz w:val="22"/>
          <w:szCs w:val="22"/>
          <w:shd w:val="clear" w:color="auto" w:fill="FFFFFF"/>
        </w:rPr>
        <w:t xml:space="preserve">. [online] </w:t>
      </w:r>
      <w:proofErr w:type="spellStart"/>
      <w:r w:rsidRPr="00A32775">
        <w:rPr>
          <w:rFonts w:ascii="Arial" w:hAnsi="Arial" w:cs="Arial"/>
          <w:color w:val="000000"/>
          <w:sz w:val="22"/>
          <w:szCs w:val="22"/>
          <w:shd w:val="clear" w:color="auto" w:fill="FFFFFF"/>
        </w:rPr>
        <w:t>StuDocu</w:t>
      </w:r>
      <w:proofErr w:type="spellEnd"/>
      <w:r w:rsidRPr="00A32775">
        <w:rPr>
          <w:rFonts w:ascii="Arial" w:hAnsi="Arial" w:cs="Arial"/>
          <w:color w:val="000000"/>
          <w:sz w:val="22"/>
          <w:szCs w:val="22"/>
          <w:shd w:val="clear" w:color="auto" w:fill="FFFFFF"/>
        </w:rPr>
        <w:t xml:space="preserve">. Available at: </w:t>
      </w:r>
      <w:hyperlink r:id="rId5" w:history="1">
        <w:r w:rsidRPr="00A32775">
          <w:rPr>
            <w:rStyle w:val="Hyperlink"/>
            <w:rFonts w:ascii="Arial" w:hAnsi="Arial" w:cs="Arial"/>
            <w:sz w:val="22"/>
            <w:szCs w:val="22"/>
            <w:shd w:val="clear" w:color="auto" w:fill="FFFFFF"/>
          </w:rPr>
          <w:t>https://www.studocu.com/en-gb/document/university-of-leeds/financial-reporting-and-regulation/the-accounting-debate-rules-vs-principles/3003092</w:t>
        </w:r>
      </w:hyperlink>
    </w:p>
    <w:p w14:paraId="178591FF" w14:textId="1CF43034" w:rsidR="00581D4C" w:rsidRPr="00A32775" w:rsidRDefault="00581D4C" w:rsidP="00581D4C">
      <w:pPr>
        <w:pStyle w:val="NormalWeb"/>
        <w:spacing w:before="0" w:beforeAutospacing="0" w:after="0" w:afterAutospacing="0" w:line="360" w:lineRule="atLeast"/>
        <w:ind w:left="720"/>
        <w:rPr>
          <w:rFonts w:ascii="Arial" w:hAnsi="Arial" w:cs="Arial"/>
          <w:color w:val="000000"/>
          <w:sz w:val="22"/>
          <w:szCs w:val="22"/>
        </w:rPr>
      </w:pPr>
      <w:r w:rsidRPr="00A32775">
        <w:rPr>
          <w:rFonts w:ascii="Arial" w:hAnsi="Arial" w:cs="Arial"/>
          <w:color w:val="000000"/>
          <w:sz w:val="22"/>
          <w:szCs w:val="22"/>
          <w:shd w:val="clear" w:color="auto" w:fill="FFFFFF"/>
        </w:rPr>
        <w:t xml:space="preserve"> </w:t>
      </w:r>
    </w:p>
    <w:p w14:paraId="74598920" w14:textId="6DB7E71A" w:rsidR="00581D4C" w:rsidRPr="00A32775" w:rsidRDefault="00581D4C" w:rsidP="00581D4C">
      <w:pPr>
        <w:pStyle w:val="NormalWeb"/>
        <w:numPr>
          <w:ilvl w:val="0"/>
          <w:numId w:val="3"/>
        </w:numPr>
        <w:spacing w:before="0" w:beforeAutospacing="0" w:after="0" w:afterAutospacing="0" w:line="360" w:lineRule="atLeast"/>
        <w:rPr>
          <w:rFonts w:ascii="Arial" w:hAnsi="Arial" w:cs="Arial"/>
          <w:color w:val="000000"/>
          <w:sz w:val="22"/>
          <w:szCs w:val="22"/>
        </w:rPr>
      </w:pPr>
      <w:r w:rsidRPr="00A32775">
        <w:rPr>
          <w:rFonts w:ascii="Arial" w:hAnsi="Arial" w:cs="Arial"/>
          <w:color w:val="000000"/>
          <w:sz w:val="22"/>
          <w:szCs w:val="22"/>
        </w:rPr>
        <w:t>Bragg, S.M. (2010). ‘</w:t>
      </w:r>
      <w:r w:rsidRPr="00A32775">
        <w:rPr>
          <w:rFonts w:ascii="Arial" w:hAnsi="Arial" w:cs="Arial"/>
          <w:i/>
          <w:iCs/>
          <w:color w:val="000000"/>
          <w:sz w:val="22"/>
          <w:szCs w:val="22"/>
        </w:rPr>
        <w:t xml:space="preserve">Wiley </w:t>
      </w:r>
      <w:proofErr w:type="spellStart"/>
      <w:r w:rsidRPr="00A32775">
        <w:rPr>
          <w:rFonts w:ascii="Arial" w:hAnsi="Arial" w:cs="Arial"/>
          <w:i/>
          <w:iCs/>
          <w:color w:val="000000"/>
          <w:sz w:val="22"/>
          <w:szCs w:val="22"/>
        </w:rPr>
        <w:t>Gaap</w:t>
      </w:r>
      <w:proofErr w:type="spellEnd"/>
      <w:r w:rsidRPr="00A32775">
        <w:rPr>
          <w:rFonts w:ascii="Arial" w:hAnsi="Arial" w:cs="Arial"/>
          <w:i/>
          <w:iCs/>
          <w:color w:val="000000"/>
          <w:sz w:val="22"/>
          <w:szCs w:val="22"/>
        </w:rPr>
        <w:t xml:space="preserve"> 2011: interpretation and application of generally accepted accounting’</w:t>
      </w:r>
      <w:r w:rsidRPr="00A32775">
        <w:rPr>
          <w:rFonts w:ascii="Arial" w:hAnsi="Arial" w:cs="Arial"/>
          <w:color w:val="000000"/>
          <w:sz w:val="22"/>
          <w:szCs w:val="22"/>
        </w:rPr>
        <w:t>. Hoboken, Nj: Wiley.</w:t>
      </w:r>
    </w:p>
    <w:p w14:paraId="3D33666C" w14:textId="77777777" w:rsidR="00581D4C" w:rsidRPr="00A32775" w:rsidRDefault="00581D4C" w:rsidP="00581D4C">
      <w:pPr>
        <w:pStyle w:val="ListParagraph"/>
        <w:rPr>
          <w:rFonts w:ascii="Arial" w:hAnsi="Arial" w:cs="Arial"/>
          <w:color w:val="000000"/>
        </w:rPr>
      </w:pPr>
    </w:p>
    <w:p w14:paraId="6EC9579F" w14:textId="5B03AF7C" w:rsidR="00581D4C" w:rsidRPr="00A32775" w:rsidRDefault="00581D4C" w:rsidP="00581D4C">
      <w:pPr>
        <w:pStyle w:val="NormalWeb"/>
        <w:numPr>
          <w:ilvl w:val="0"/>
          <w:numId w:val="3"/>
        </w:numPr>
        <w:spacing w:before="0" w:beforeAutospacing="0" w:after="0" w:afterAutospacing="0" w:line="360" w:lineRule="atLeast"/>
        <w:rPr>
          <w:rFonts w:ascii="Arial" w:hAnsi="Arial" w:cs="Arial"/>
          <w:color w:val="000000"/>
          <w:sz w:val="22"/>
          <w:szCs w:val="22"/>
        </w:rPr>
      </w:pPr>
      <w:r w:rsidRPr="00A32775">
        <w:rPr>
          <w:rFonts w:ascii="Arial" w:hAnsi="Arial" w:cs="Arial"/>
          <w:color w:val="000000"/>
          <w:sz w:val="22"/>
          <w:szCs w:val="22"/>
        </w:rPr>
        <w:t xml:space="preserve">Higgins, H.N. and </w:t>
      </w:r>
      <w:proofErr w:type="spellStart"/>
      <w:r w:rsidRPr="00A32775">
        <w:rPr>
          <w:rFonts w:ascii="Arial" w:hAnsi="Arial" w:cs="Arial"/>
          <w:color w:val="000000"/>
          <w:sz w:val="22"/>
          <w:szCs w:val="22"/>
        </w:rPr>
        <w:t>Nandram</w:t>
      </w:r>
      <w:proofErr w:type="spellEnd"/>
      <w:r w:rsidRPr="00A32775">
        <w:rPr>
          <w:rFonts w:ascii="Arial" w:hAnsi="Arial" w:cs="Arial"/>
          <w:color w:val="000000"/>
          <w:sz w:val="22"/>
          <w:szCs w:val="22"/>
        </w:rPr>
        <w:t xml:space="preserve">, B. (2009) ‘Monetary unit sampling: Improving estimation of the total audit error’, </w:t>
      </w:r>
      <w:r w:rsidRPr="00A32775">
        <w:rPr>
          <w:rFonts w:ascii="Arial" w:hAnsi="Arial" w:cs="Arial"/>
          <w:i/>
          <w:iCs/>
          <w:color w:val="000000"/>
          <w:sz w:val="22"/>
          <w:szCs w:val="22"/>
        </w:rPr>
        <w:t>Advances in accounting</w:t>
      </w:r>
      <w:r w:rsidRPr="00A32775">
        <w:rPr>
          <w:rFonts w:ascii="Arial" w:hAnsi="Arial" w:cs="Arial"/>
          <w:color w:val="000000"/>
          <w:sz w:val="22"/>
          <w:szCs w:val="22"/>
        </w:rPr>
        <w:t>, Vol.25 No.2, pp. 174–182.</w:t>
      </w:r>
    </w:p>
    <w:p w14:paraId="637D3FAA" w14:textId="77777777" w:rsidR="00581D4C" w:rsidRPr="00A32775" w:rsidRDefault="00581D4C" w:rsidP="00581D4C">
      <w:pPr>
        <w:pStyle w:val="ListParagraph"/>
        <w:rPr>
          <w:rFonts w:ascii="Arial" w:hAnsi="Arial" w:cs="Arial"/>
          <w:color w:val="000000"/>
        </w:rPr>
      </w:pPr>
    </w:p>
    <w:p w14:paraId="37701FB5" w14:textId="5F53DEBE" w:rsidR="00581D4C" w:rsidRPr="00A32775" w:rsidRDefault="00581D4C" w:rsidP="00581D4C">
      <w:pPr>
        <w:pStyle w:val="ListParagraph"/>
        <w:numPr>
          <w:ilvl w:val="0"/>
          <w:numId w:val="3"/>
        </w:numPr>
        <w:spacing w:line="360" w:lineRule="atLeast"/>
        <w:rPr>
          <w:rFonts w:ascii="Arial" w:eastAsia="Times New Roman" w:hAnsi="Arial" w:cs="Arial"/>
          <w:color w:val="000000"/>
          <w:lang w:eastAsia="en-GB"/>
        </w:rPr>
      </w:pPr>
      <w:proofErr w:type="spellStart"/>
      <w:r w:rsidRPr="00A32775">
        <w:rPr>
          <w:rFonts w:ascii="Arial" w:hAnsi="Arial" w:cs="Arial"/>
          <w:shd w:val="clear" w:color="auto" w:fill="FFFFFF"/>
        </w:rPr>
        <w:t>Holzmann</w:t>
      </w:r>
      <w:proofErr w:type="spellEnd"/>
      <w:r w:rsidRPr="00A32775">
        <w:rPr>
          <w:rFonts w:ascii="Arial" w:hAnsi="Arial" w:cs="Arial"/>
          <w:shd w:val="clear" w:color="auto" w:fill="FFFFFF"/>
        </w:rPr>
        <w:t xml:space="preserve">, O.J. and </w:t>
      </w:r>
      <w:proofErr w:type="spellStart"/>
      <w:r w:rsidRPr="00A32775">
        <w:rPr>
          <w:rFonts w:ascii="Arial" w:hAnsi="Arial" w:cs="Arial"/>
          <w:shd w:val="clear" w:color="auto" w:fill="FFFFFF"/>
        </w:rPr>
        <w:t>Munter</w:t>
      </w:r>
      <w:proofErr w:type="spellEnd"/>
      <w:r w:rsidRPr="00A32775">
        <w:rPr>
          <w:rFonts w:ascii="Arial" w:hAnsi="Arial" w:cs="Arial"/>
          <w:shd w:val="clear" w:color="auto" w:fill="FFFFFF"/>
        </w:rPr>
        <w:t>, P. (2015) ‘Going-Concern Reporting Now an Accounting Requirement’, </w:t>
      </w:r>
      <w:r w:rsidRPr="00A32775">
        <w:rPr>
          <w:rFonts w:ascii="Arial" w:hAnsi="Arial" w:cs="Arial"/>
          <w:i/>
          <w:iCs/>
          <w:shd w:val="clear" w:color="auto" w:fill="FFFFFF"/>
        </w:rPr>
        <w:t>The Journal of corporate accounting &amp; finance</w:t>
      </w:r>
      <w:r w:rsidRPr="00A32775">
        <w:rPr>
          <w:rFonts w:ascii="Arial" w:hAnsi="Arial" w:cs="Arial"/>
          <w:shd w:val="clear" w:color="auto" w:fill="FFFFFF"/>
        </w:rPr>
        <w:t>, Vol.26 No.2, pp. 73–77.</w:t>
      </w:r>
    </w:p>
    <w:p w14:paraId="019D7925" w14:textId="77777777" w:rsidR="00581D4C" w:rsidRPr="00A32775" w:rsidRDefault="00581D4C" w:rsidP="00581D4C">
      <w:pPr>
        <w:pStyle w:val="ListParagraph"/>
        <w:rPr>
          <w:rFonts w:ascii="Arial" w:eastAsia="Times New Roman" w:hAnsi="Arial" w:cs="Arial"/>
          <w:color w:val="000000"/>
          <w:lang w:eastAsia="en-GB"/>
        </w:rPr>
      </w:pPr>
    </w:p>
    <w:p w14:paraId="5F0F1F27" w14:textId="34A00E88" w:rsidR="00581D4C" w:rsidRPr="00A32775" w:rsidRDefault="00581D4C" w:rsidP="00581D4C">
      <w:pPr>
        <w:pStyle w:val="ListParagraph"/>
        <w:numPr>
          <w:ilvl w:val="0"/>
          <w:numId w:val="3"/>
        </w:numPr>
        <w:spacing w:line="360" w:lineRule="atLeast"/>
        <w:rPr>
          <w:rFonts w:ascii="Arial" w:eastAsia="Times New Roman" w:hAnsi="Arial" w:cs="Arial"/>
          <w:color w:val="000000"/>
          <w:lang w:eastAsia="en-GB"/>
        </w:rPr>
      </w:pPr>
      <w:r w:rsidRPr="00A32775">
        <w:rPr>
          <w:rFonts w:ascii="Arial" w:eastAsia="Times New Roman" w:hAnsi="Arial" w:cs="Arial"/>
          <w:color w:val="000000"/>
          <w:lang w:eastAsia="en-GB"/>
        </w:rPr>
        <w:t xml:space="preserve">Johnson, S.D. (2005) ‘The 5% rule and materiality’, </w:t>
      </w:r>
      <w:r w:rsidRPr="00A32775">
        <w:rPr>
          <w:rFonts w:ascii="Arial" w:eastAsia="Times New Roman" w:hAnsi="Arial" w:cs="Arial"/>
          <w:i/>
          <w:iCs/>
          <w:color w:val="000000"/>
          <w:lang w:eastAsia="en-GB"/>
        </w:rPr>
        <w:t>Journal of accountancy</w:t>
      </w:r>
      <w:r w:rsidRPr="00A32775">
        <w:rPr>
          <w:rFonts w:ascii="Arial" w:eastAsia="Times New Roman" w:hAnsi="Arial" w:cs="Arial"/>
          <w:color w:val="000000"/>
          <w:lang w:eastAsia="en-GB"/>
        </w:rPr>
        <w:t>, Vol.200 No.2, p.12.</w:t>
      </w:r>
    </w:p>
    <w:p w14:paraId="50F1C652" w14:textId="77777777" w:rsidR="00581D4C" w:rsidRPr="00A32775" w:rsidRDefault="00581D4C" w:rsidP="00581D4C">
      <w:pPr>
        <w:pStyle w:val="ListParagraph"/>
        <w:rPr>
          <w:rFonts w:ascii="Arial" w:eastAsia="Times New Roman" w:hAnsi="Arial" w:cs="Arial"/>
          <w:color w:val="000000"/>
          <w:lang w:eastAsia="en-GB"/>
        </w:rPr>
      </w:pPr>
    </w:p>
    <w:p w14:paraId="4FE3D937" w14:textId="39E83368" w:rsidR="00581D4C" w:rsidRPr="00A32775" w:rsidRDefault="00581D4C" w:rsidP="00581D4C">
      <w:pPr>
        <w:pStyle w:val="ListParagraph"/>
        <w:numPr>
          <w:ilvl w:val="0"/>
          <w:numId w:val="3"/>
        </w:numPr>
        <w:spacing w:line="360" w:lineRule="atLeast"/>
        <w:rPr>
          <w:rFonts w:ascii="Arial" w:eastAsia="Times New Roman" w:hAnsi="Arial" w:cs="Arial"/>
          <w:color w:val="000000"/>
          <w:lang w:eastAsia="en-GB"/>
        </w:rPr>
      </w:pPr>
      <w:r w:rsidRPr="00A32775">
        <w:rPr>
          <w:rFonts w:ascii="Arial" w:hAnsi="Arial" w:cs="Arial"/>
          <w:shd w:val="clear" w:color="auto" w:fill="FFFFFF"/>
        </w:rPr>
        <w:t>Shroff, P.K., Venkataraman, R. and Zhang, S. (2013) ‘The Conservatism Principle and the Asymmetric Timeliness of Earnings: An Event-Based Approach’, </w:t>
      </w:r>
      <w:r w:rsidRPr="00A32775">
        <w:rPr>
          <w:rFonts w:ascii="Arial" w:hAnsi="Arial" w:cs="Arial"/>
          <w:i/>
          <w:iCs/>
          <w:shd w:val="clear" w:color="auto" w:fill="FFFFFF"/>
        </w:rPr>
        <w:t>Contemporary accounting research</w:t>
      </w:r>
      <w:r w:rsidRPr="00A32775">
        <w:rPr>
          <w:rFonts w:ascii="Arial" w:hAnsi="Arial" w:cs="Arial"/>
          <w:shd w:val="clear" w:color="auto" w:fill="FFFFFF"/>
        </w:rPr>
        <w:t>, Vol.30 No.1, pp. 215–241</w:t>
      </w:r>
      <w:r w:rsidRPr="00A32775">
        <w:rPr>
          <w:rFonts w:ascii="Arial" w:hAnsi="Arial" w:cs="Arial"/>
          <w:color w:val="3A3A3A"/>
          <w:shd w:val="clear" w:color="auto" w:fill="FFFFFF"/>
        </w:rPr>
        <w:t>.</w:t>
      </w:r>
    </w:p>
    <w:p w14:paraId="1F7F7CB6" w14:textId="77777777" w:rsidR="00581D4C" w:rsidRPr="00A32775" w:rsidRDefault="00581D4C" w:rsidP="00581D4C">
      <w:pPr>
        <w:pStyle w:val="ListParagraph"/>
        <w:rPr>
          <w:rFonts w:ascii="Arial" w:eastAsia="Times New Roman" w:hAnsi="Arial" w:cs="Arial"/>
          <w:color w:val="000000"/>
          <w:lang w:eastAsia="en-GB"/>
        </w:rPr>
      </w:pPr>
    </w:p>
    <w:p w14:paraId="145C2C35" w14:textId="32889171" w:rsidR="00581D4C" w:rsidRPr="00A32775" w:rsidRDefault="00581D4C" w:rsidP="00581D4C">
      <w:pPr>
        <w:pStyle w:val="ListParagraph"/>
        <w:numPr>
          <w:ilvl w:val="0"/>
          <w:numId w:val="3"/>
        </w:numPr>
        <w:spacing w:line="360" w:lineRule="atLeast"/>
        <w:rPr>
          <w:rFonts w:ascii="Arial" w:eastAsia="Times New Roman" w:hAnsi="Arial" w:cs="Arial"/>
          <w:color w:val="000000"/>
          <w:lang w:eastAsia="en-GB"/>
        </w:rPr>
      </w:pPr>
      <w:r w:rsidRPr="00A32775">
        <w:rPr>
          <w:rFonts w:ascii="Arial" w:eastAsia="Times New Roman" w:hAnsi="Arial" w:cs="Arial"/>
          <w:color w:val="000000"/>
          <w:lang w:eastAsia="en-GB"/>
        </w:rPr>
        <w:t xml:space="preserve">  Watts, R.L. (2003) ‘Conservatism in Accounting Part I: Explanations and Implications’, </w:t>
      </w:r>
      <w:r w:rsidRPr="00A32775">
        <w:rPr>
          <w:rFonts w:ascii="Arial" w:eastAsia="Times New Roman" w:hAnsi="Arial" w:cs="Arial"/>
          <w:i/>
          <w:iCs/>
          <w:color w:val="000000"/>
          <w:lang w:eastAsia="en-GB"/>
        </w:rPr>
        <w:t>Accounting horizons</w:t>
      </w:r>
      <w:r w:rsidRPr="00A32775">
        <w:rPr>
          <w:rFonts w:ascii="Arial" w:eastAsia="Times New Roman" w:hAnsi="Arial" w:cs="Arial"/>
          <w:color w:val="000000"/>
          <w:lang w:eastAsia="en-GB"/>
        </w:rPr>
        <w:t>, Vol.17 No.3, pp. 207–221.</w:t>
      </w:r>
    </w:p>
    <w:p w14:paraId="0C2069BC" w14:textId="77777777" w:rsidR="00581D4C" w:rsidRPr="00A32775" w:rsidRDefault="00581D4C" w:rsidP="00581D4C">
      <w:pPr>
        <w:pStyle w:val="ListParagraph"/>
        <w:rPr>
          <w:rFonts w:ascii="Arial" w:eastAsia="Times New Roman" w:hAnsi="Arial" w:cs="Arial"/>
          <w:color w:val="000000"/>
          <w:lang w:eastAsia="en-GB"/>
        </w:rPr>
      </w:pPr>
    </w:p>
    <w:p w14:paraId="3C405C44" w14:textId="42364A1C" w:rsidR="00581D4C" w:rsidRPr="00A32775" w:rsidRDefault="00581D4C" w:rsidP="00581D4C">
      <w:pPr>
        <w:pStyle w:val="ListParagraph"/>
        <w:numPr>
          <w:ilvl w:val="0"/>
          <w:numId w:val="3"/>
        </w:numPr>
        <w:spacing w:line="360" w:lineRule="atLeast"/>
        <w:rPr>
          <w:rFonts w:ascii="Arial" w:eastAsia="Times New Roman" w:hAnsi="Arial" w:cs="Arial"/>
          <w:color w:val="000000"/>
          <w:lang w:eastAsia="en-GB"/>
        </w:rPr>
      </w:pPr>
      <w:r w:rsidRPr="00A32775">
        <w:rPr>
          <w:rFonts w:ascii="Arial" w:eastAsia="Times New Roman" w:hAnsi="Arial" w:cs="Arial"/>
          <w:color w:val="000000"/>
          <w:lang w:eastAsia="en-GB"/>
        </w:rPr>
        <w:t>WÜSTEMANN, J. and WÜSTEMANN, S. (2010). ‘Why Consistency of Accounting Standards Matters: A Contribution to the Rules-Versus-Principles Debate in Financial Reporting’. </w:t>
      </w:r>
      <w:r w:rsidRPr="00A32775">
        <w:rPr>
          <w:rFonts w:ascii="Arial" w:eastAsia="Times New Roman" w:hAnsi="Arial" w:cs="Arial"/>
          <w:i/>
          <w:iCs/>
          <w:color w:val="000000"/>
          <w:lang w:eastAsia="en-GB"/>
        </w:rPr>
        <w:t>Abacus</w:t>
      </w:r>
      <w:r w:rsidRPr="00A32775">
        <w:rPr>
          <w:rFonts w:ascii="Arial" w:eastAsia="Times New Roman" w:hAnsi="Arial" w:cs="Arial"/>
          <w:color w:val="000000"/>
          <w:lang w:eastAsia="en-GB"/>
        </w:rPr>
        <w:t>, Vol.46 No.1, pp.1–27.</w:t>
      </w:r>
    </w:p>
    <w:p w14:paraId="1C08FA85" w14:textId="77777777" w:rsidR="00581D4C" w:rsidRPr="00F31E7D" w:rsidRDefault="00581D4C" w:rsidP="00581D4C">
      <w:pPr>
        <w:pStyle w:val="ListParagraph"/>
        <w:spacing w:line="360" w:lineRule="atLeast"/>
        <w:rPr>
          <w:rFonts w:ascii="Arial" w:eastAsia="Times New Roman" w:hAnsi="Arial" w:cs="Arial"/>
          <w:color w:val="000000"/>
          <w:sz w:val="24"/>
          <w:szCs w:val="24"/>
          <w:lang w:eastAsia="en-GB"/>
        </w:rPr>
      </w:pPr>
    </w:p>
    <w:p w14:paraId="7B5A440E" w14:textId="77777777" w:rsidR="00581D4C" w:rsidRDefault="00581D4C" w:rsidP="00581D4C">
      <w:pPr>
        <w:pStyle w:val="ListParagraph"/>
        <w:spacing w:line="360" w:lineRule="atLeast"/>
        <w:rPr>
          <w:rFonts w:ascii="Arial" w:eastAsia="Times New Roman" w:hAnsi="Arial" w:cs="Arial"/>
          <w:color w:val="000000"/>
          <w:sz w:val="24"/>
          <w:szCs w:val="24"/>
          <w:lang w:eastAsia="en-GB"/>
        </w:rPr>
      </w:pPr>
    </w:p>
    <w:p w14:paraId="138FA962" w14:textId="77777777" w:rsidR="00581D4C" w:rsidRPr="00581D4C" w:rsidRDefault="00581D4C" w:rsidP="00581D4C">
      <w:pPr>
        <w:pStyle w:val="ListParagraph"/>
        <w:rPr>
          <w:rFonts w:ascii="Arial" w:eastAsia="Times New Roman" w:hAnsi="Arial" w:cs="Arial"/>
          <w:color w:val="000000"/>
          <w:sz w:val="24"/>
          <w:szCs w:val="24"/>
          <w:lang w:eastAsia="en-GB"/>
        </w:rPr>
      </w:pPr>
    </w:p>
    <w:p w14:paraId="19BA1A4D" w14:textId="0CF52BDA" w:rsidR="00581D4C" w:rsidRDefault="00581D4C" w:rsidP="00581D4C">
      <w:pPr>
        <w:pStyle w:val="ListParagraph"/>
        <w:spacing w:line="360" w:lineRule="atLeast"/>
        <w:rPr>
          <w:rFonts w:ascii="Arial" w:eastAsia="Times New Roman" w:hAnsi="Arial" w:cs="Arial"/>
          <w:color w:val="000000"/>
          <w:sz w:val="24"/>
          <w:szCs w:val="24"/>
          <w:lang w:eastAsia="en-GB"/>
        </w:rPr>
      </w:pPr>
    </w:p>
    <w:p w14:paraId="2F94FC3D" w14:textId="77777777" w:rsidR="00581D4C" w:rsidRPr="00581D4C" w:rsidRDefault="00581D4C" w:rsidP="00581D4C">
      <w:pPr>
        <w:pStyle w:val="ListParagraph"/>
        <w:spacing w:line="360" w:lineRule="atLeast"/>
        <w:rPr>
          <w:rFonts w:ascii="Arial" w:eastAsia="Times New Roman" w:hAnsi="Arial" w:cs="Arial"/>
          <w:color w:val="000000"/>
          <w:sz w:val="24"/>
          <w:szCs w:val="24"/>
          <w:lang w:eastAsia="en-GB"/>
        </w:rPr>
      </w:pPr>
    </w:p>
    <w:p w14:paraId="3D850C4D" w14:textId="77777777" w:rsidR="00581D4C" w:rsidRPr="00581D4C" w:rsidRDefault="00581D4C" w:rsidP="00581D4C"/>
    <w:sectPr w:rsidR="00581D4C" w:rsidRPr="00581D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F39F8"/>
    <w:multiLevelType w:val="hybridMultilevel"/>
    <w:tmpl w:val="5A8C2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449E2"/>
    <w:multiLevelType w:val="hybridMultilevel"/>
    <w:tmpl w:val="575E3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974E8D"/>
    <w:multiLevelType w:val="hybridMultilevel"/>
    <w:tmpl w:val="17DE20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8651DB"/>
    <w:multiLevelType w:val="hybridMultilevel"/>
    <w:tmpl w:val="91304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00B"/>
    <w:rsid w:val="0000339E"/>
    <w:rsid w:val="000036BA"/>
    <w:rsid w:val="00031A9C"/>
    <w:rsid w:val="00043B5C"/>
    <w:rsid w:val="00093F09"/>
    <w:rsid w:val="000A5D66"/>
    <w:rsid w:val="000D1878"/>
    <w:rsid w:val="000D7D65"/>
    <w:rsid w:val="000F110A"/>
    <w:rsid w:val="00122F51"/>
    <w:rsid w:val="001723A2"/>
    <w:rsid w:val="00176CF9"/>
    <w:rsid w:val="00197B37"/>
    <w:rsid w:val="001B3E2D"/>
    <w:rsid w:val="001C342D"/>
    <w:rsid w:val="001D266B"/>
    <w:rsid w:val="001E0FB6"/>
    <w:rsid w:val="00213C59"/>
    <w:rsid w:val="00213DEF"/>
    <w:rsid w:val="0022600D"/>
    <w:rsid w:val="002343E2"/>
    <w:rsid w:val="00245897"/>
    <w:rsid w:val="0025786B"/>
    <w:rsid w:val="00260BF1"/>
    <w:rsid w:val="00277D99"/>
    <w:rsid w:val="00287737"/>
    <w:rsid w:val="002A3B9B"/>
    <w:rsid w:val="002B61CB"/>
    <w:rsid w:val="002E419A"/>
    <w:rsid w:val="002F4A52"/>
    <w:rsid w:val="0030593B"/>
    <w:rsid w:val="00307B94"/>
    <w:rsid w:val="00310FB6"/>
    <w:rsid w:val="00363359"/>
    <w:rsid w:val="003641D0"/>
    <w:rsid w:val="00375CC9"/>
    <w:rsid w:val="00377866"/>
    <w:rsid w:val="0039417D"/>
    <w:rsid w:val="003A3028"/>
    <w:rsid w:val="003C4BCD"/>
    <w:rsid w:val="003E040A"/>
    <w:rsid w:val="003E32FD"/>
    <w:rsid w:val="003E5CE3"/>
    <w:rsid w:val="003F5B4C"/>
    <w:rsid w:val="00414C65"/>
    <w:rsid w:val="00426050"/>
    <w:rsid w:val="0043008E"/>
    <w:rsid w:val="004408F0"/>
    <w:rsid w:val="004659B2"/>
    <w:rsid w:val="00472538"/>
    <w:rsid w:val="00477938"/>
    <w:rsid w:val="00496E72"/>
    <w:rsid w:val="004A5CAE"/>
    <w:rsid w:val="004C419A"/>
    <w:rsid w:val="004D7576"/>
    <w:rsid w:val="004E0C07"/>
    <w:rsid w:val="004F5108"/>
    <w:rsid w:val="0050488B"/>
    <w:rsid w:val="00533E95"/>
    <w:rsid w:val="005419FF"/>
    <w:rsid w:val="00553DC4"/>
    <w:rsid w:val="00562428"/>
    <w:rsid w:val="0058024A"/>
    <w:rsid w:val="00581D4C"/>
    <w:rsid w:val="00591E3C"/>
    <w:rsid w:val="005938F0"/>
    <w:rsid w:val="005C49E2"/>
    <w:rsid w:val="006216EC"/>
    <w:rsid w:val="00642F13"/>
    <w:rsid w:val="006457CB"/>
    <w:rsid w:val="00697122"/>
    <w:rsid w:val="0069745D"/>
    <w:rsid w:val="006D2F8C"/>
    <w:rsid w:val="006F19A1"/>
    <w:rsid w:val="00700FB8"/>
    <w:rsid w:val="007260DE"/>
    <w:rsid w:val="0075491E"/>
    <w:rsid w:val="007758FD"/>
    <w:rsid w:val="007809F3"/>
    <w:rsid w:val="007C28A3"/>
    <w:rsid w:val="007E14E3"/>
    <w:rsid w:val="007F7E96"/>
    <w:rsid w:val="00802B14"/>
    <w:rsid w:val="00833186"/>
    <w:rsid w:val="0084100B"/>
    <w:rsid w:val="00872A42"/>
    <w:rsid w:val="00873567"/>
    <w:rsid w:val="00894827"/>
    <w:rsid w:val="00896A8C"/>
    <w:rsid w:val="008D148F"/>
    <w:rsid w:val="008E073F"/>
    <w:rsid w:val="008E7DD4"/>
    <w:rsid w:val="008F521C"/>
    <w:rsid w:val="00925AD2"/>
    <w:rsid w:val="00926F2B"/>
    <w:rsid w:val="00933312"/>
    <w:rsid w:val="00952F79"/>
    <w:rsid w:val="009535CB"/>
    <w:rsid w:val="009657BF"/>
    <w:rsid w:val="00970267"/>
    <w:rsid w:val="00984429"/>
    <w:rsid w:val="009D1DE3"/>
    <w:rsid w:val="009D341D"/>
    <w:rsid w:val="009D71A5"/>
    <w:rsid w:val="009E5319"/>
    <w:rsid w:val="00A028E1"/>
    <w:rsid w:val="00A15E71"/>
    <w:rsid w:val="00A17ABC"/>
    <w:rsid w:val="00A248F4"/>
    <w:rsid w:val="00A30496"/>
    <w:rsid w:val="00A32775"/>
    <w:rsid w:val="00A34A39"/>
    <w:rsid w:val="00A37F4D"/>
    <w:rsid w:val="00A4520F"/>
    <w:rsid w:val="00A62A58"/>
    <w:rsid w:val="00A94B28"/>
    <w:rsid w:val="00A96B2B"/>
    <w:rsid w:val="00AF5025"/>
    <w:rsid w:val="00B03D94"/>
    <w:rsid w:val="00B0675E"/>
    <w:rsid w:val="00B30E98"/>
    <w:rsid w:val="00B33834"/>
    <w:rsid w:val="00B50500"/>
    <w:rsid w:val="00B55B74"/>
    <w:rsid w:val="00B94C5C"/>
    <w:rsid w:val="00BC6644"/>
    <w:rsid w:val="00BC78C8"/>
    <w:rsid w:val="00BD399A"/>
    <w:rsid w:val="00BE1F43"/>
    <w:rsid w:val="00C1322B"/>
    <w:rsid w:val="00C3029C"/>
    <w:rsid w:val="00C43D74"/>
    <w:rsid w:val="00C44AFD"/>
    <w:rsid w:val="00CB2142"/>
    <w:rsid w:val="00CB421E"/>
    <w:rsid w:val="00CB5C8A"/>
    <w:rsid w:val="00CD2BBB"/>
    <w:rsid w:val="00D1642D"/>
    <w:rsid w:val="00D23479"/>
    <w:rsid w:val="00D408BA"/>
    <w:rsid w:val="00D410C9"/>
    <w:rsid w:val="00D51511"/>
    <w:rsid w:val="00D56D11"/>
    <w:rsid w:val="00D67F3A"/>
    <w:rsid w:val="00D70D4E"/>
    <w:rsid w:val="00DA1875"/>
    <w:rsid w:val="00DC6833"/>
    <w:rsid w:val="00DC71AC"/>
    <w:rsid w:val="00E27528"/>
    <w:rsid w:val="00E3796A"/>
    <w:rsid w:val="00E37EAC"/>
    <w:rsid w:val="00E406EA"/>
    <w:rsid w:val="00E75CD3"/>
    <w:rsid w:val="00E777B6"/>
    <w:rsid w:val="00E83FA4"/>
    <w:rsid w:val="00E909DC"/>
    <w:rsid w:val="00E97851"/>
    <w:rsid w:val="00E97A25"/>
    <w:rsid w:val="00EA050E"/>
    <w:rsid w:val="00EA408C"/>
    <w:rsid w:val="00EA748F"/>
    <w:rsid w:val="00EB59C4"/>
    <w:rsid w:val="00ED4CF5"/>
    <w:rsid w:val="00EF2E7B"/>
    <w:rsid w:val="00F04D30"/>
    <w:rsid w:val="00F06050"/>
    <w:rsid w:val="00F07E20"/>
    <w:rsid w:val="00F1339E"/>
    <w:rsid w:val="00F26EDE"/>
    <w:rsid w:val="00F35B5C"/>
    <w:rsid w:val="00F86466"/>
    <w:rsid w:val="00FD7308"/>
    <w:rsid w:val="00FF3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488B4"/>
  <w15:chartTrackingRefBased/>
  <w15:docId w15:val="{D21AA4B7-C95C-4FFC-A555-6E130F36B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723A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419F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9FF"/>
    <w:rPr>
      <w:rFonts w:asciiTheme="majorHAnsi" w:eastAsiaTheme="majorEastAsia" w:hAnsiTheme="majorHAnsi" w:cstheme="majorBidi"/>
      <w:spacing w:val="-10"/>
      <w:kern w:val="28"/>
      <w:sz w:val="56"/>
      <w:szCs w:val="56"/>
    </w:rPr>
  </w:style>
  <w:style w:type="character" w:styleId="SubtleReference">
    <w:name w:val="Subtle Reference"/>
    <w:basedOn w:val="DefaultParagraphFont"/>
    <w:uiPriority w:val="31"/>
    <w:qFormat/>
    <w:rsid w:val="0069745D"/>
    <w:rPr>
      <w:smallCaps/>
      <w:color w:val="5A5A5A" w:themeColor="text1" w:themeTint="A5"/>
    </w:rPr>
  </w:style>
  <w:style w:type="paragraph" w:styleId="Subtitle">
    <w:name w:val="Subtitle"/>
    <w:basedOn w:val="Normal"/>
    <w:next w:val="Normal"/>
    <w:link w:val="SubtitleChar"/>
    <w:uiPriority w:val="11"/>
    <w:qFormat/>
    <w:rsid w:val="002E419A"/>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E419A"/>
    <w:rPr>
      <w:rFonts w:eastAsiaTheme="minorEastAsia"/>
      <w:color w:val="5A5A5A" w:themeColor="text1" w:themeTint="A5"/>
      <w:spacing w:val="15"/>
    </w:rPr>
  </w:style>
  <w:style w:type="character" w:styleId="IntenseEmphasis">
    <w:name w:val="Intense Emphasis"/>
    <w:basedOn w:val="DefaultParagraphFont"/>
    <w:uiPriority w:val="21"/>
    <w:qFormat/>
    <w:rsid w:val="002E419A"/>
    <w:rPr>
      <w:i/>
      <w:iCs/>
      <w:color w:val="4472C4" w:themeColor="accent1"/>
    </w:rPr>
  </w:style>
  <w:style w:type="paragraph" w:styleId="ListParagraph">
    <w:name w:val="List Paragraph"/>
    <w:basedOn w:val="Normal"/>
    <w:uiPriority w:val="34"/>
    <w:qFormat/>
    <w:rsid w:val="00A15E71"/>
    <w:pPr>
      <w:ind w:left="720"/>
      <w:contextualSpacing/>
    </w:pPr>
  </w:style>
  <w:style w:type="character" w:customStyle="1" w:styleId="Heading3Char">
    <w:name w:val="Heading 3 Char"/>
    <w:basedOn w:val="DefaultParagraphFont"/>
    <w:link w:val="Heading3"/>
    <w:uiPriority w:val="9"/>
    <w:rsid w:val="001723A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81D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1D4C"/>
    <w:rPr>
      <w:color w:val="0563C1" w:themeColor="hyperlink"/>
      <w:u w:val="single"/>
    </w:rPr>
  </w:style>
  <w:style w:type="character" w:styleId="UnresolvedMention">
    <w:name w:val="Unresolved Mention"/>
    <w:basedOn w:val="DefaultParagraphFont"/>
    <w:uiPriority w:val="99"/>
    <w:semiHidden/>
    <w:unhideWhenUsed/>
    <w:rsid w:val="00581D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51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tudocu.com/en-gb/document/university-of-leeds/financial-reporting-and-regulation/the-accounting-debate-rules-vs-principles/300309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890</TotalTime>
  <Pages>13</Pages>
  <Words>2623</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61</cp:revision>
  <dcterms:created xsi:type="dcterms:W3CDTF">2022-03-01T16:28:00Z</dcterms:created>
  <dcterms:modified xsi:type="dcterms:W3CDTF">2022-03-04T21:00:00Z</dcterms:modified>
</cp:coreProperties>
</file>