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E92E36" w14:textId="73948A10" w:rsidR="005322C2" w:rsidRDefault="00B752D7" w:rsidP="008F6494">
      <w:pPr>
        <w:rPr>
          <w:b/>
          <w:bCs/>
          <w:sz w:val="32"/>
          <w:szCs w:val="32"/>
        </w:rPr>
      </w:pPr>
      <w:r>
        <w:rPr>
          <w:b/>
          <w:bCs/>
          <w:sz w:val="32"/>
          <w:szCs w:val="32"/>
        </w:rPr>
        <w:t>NAME</w:t>
      </w:r>
      <w:r w:rsidR="005322C2" w:rsidRPr="0029433B">
        <w:rPr>
          <w:b/>
          <w:bCs/>
          <w:sz w:val="32"/>
          <w:szCs w:val="32"/>
        </w:rPr>
        <w:t xml:space="preserve">: </w:t>
      </w:r>
      <w:r w:rsidR="00CF273D">
        <w:rPr>
          <w:b/>
          <w:bCs/>
          <w:sz w:val="32"/>
          <w:szCs w:val="32"/>
        </w:rPr>
        <w:t>CHARLES</w:t>
      </w:r>
      <w:r w:rsidR="00923636" w:rsidRPr="0029433B">
        <w:rPr>
          <w:b/>
          <w:bCs/>
          <w:sz w:val="32"/>
          <w:szCs w:val="32"/>
        </w:rPr>
        <w:t xml:space="preserve"> O</w:t>
      </w:r>
      <w:r w:rsidR="00CF273D">
        <w:rPr>
          <w:b/>
          <w:bCs/>
          <w:sz w:val="32"/>
          <w:szCs w:val="32"/>
        </w:rPr>
        <w:t>NIJE</w:t>
      </w:r>
      <w:r w:rsidR="005322C2" w:rsidRPr="00FA7FD3">
        <w:rPr>
          <w:b/>
          <w:bCs/>
          <w:sz w:val="28"/>
          <w:szCs w:val="28"/>
        </w:rPr>
        <w:br/>
      </w:r>
      <w:r w:rsidR="005F6D81">
        <w:rPr>
          <w:b/>
          <w:bCs/>
          <w:sz w:val="32"/>
          <w:szCs w:val="32"/>
        </w:rPr>
        <w:t>STU</w:t>
      </w:r>
      <w:r w:rsidR="000311FC">
        <w:rPr>
          <w:b/>
          <w:bCs/>
          <w:sz w:val="32"/>
          <w:szCs w:val="32"/>
        </w:rPr>
        <w:t>DENT</w:t>
      </w:r>
      <w:r w:rsidR="005322C2" w:rsidRPr="0029433B">
        <w:rPr>
          <w:b/>
          <w:bCs/>
          <w:sz w:val="32"/>
          <w:szCs w:val="32"/>
        </w:rPr>
        <w:t xml:space="preserve"> N</w:t>
      </w:r>
      <w:r w:rsidR="000311FC">
        <w:rPr>
          <w:b/>
          <w:bCs/>
          <w:sz w:val="32"/>
          <w:szCs w:val="32"/>
        </w:rPr>
        <w:t>UMBER</w:t>
      </w:r>
      <w:r w:rsidR="005322C2" w:rsidRPr="0029433B">
        <w:rPr>
          <w:b/>
          <w:bCs/>
          <w:sz w:val="32"/>
          <w:szCs w:val="32"/>
        </w:rPr>
        <w:t xml:space="preserve">: </w:t>
      </w:r>
      <w:r w:rsidR="000311FC">
        <w:rPr>
          <w:b/>
          <w:bCs/>
          <w:sz w:val="32"/>
          <w:szCs w:val="32"/>
        </w:rPr>
        <w:t>2420902</w:t>
      </w:r>
      <w:r w:rsidR="005322C2" w:rsidRPr="00FA7FD3">
        <w:rPr>
          <w:b/>
          <w:bCs/>
          <w:sz w:val="28"/>
          <w:szCs w:val="28"/>
        </w:rPr>
        <w:br/>
      </w:r>
      <w:r w:rsidR="005322C2" w:rsidRPr="0029433B">
        <w:rPr>
          <w:b/>
          <w:bCs/>
          <w:sz w:val="32"/>
          <w:szCs w:val="32"/>
        </w:rPr>
        <w:t>M</w:t>
      </w:r>
      <w:r w:rsidR="005F6D81">
        <w:rPr>
          <w:b/>
          <w:bCs/>
          <w:sz w:val="32"/>
          <w:szCs w:val="32"/>
        </w:rPr>
        <w:t>0DULE</w:t>
      </w:r>
      <w:r w:rsidR="005322C2" w:rsidRPr="0029433B">
        <w:rPr>
          <w:b/>
          <w:bCs/>
          <w:sz w:val="32"/>
          <w:szCs w:val="32"/>
        </w:rPr>
        <w:t xml:space="preserve"> </w:t>
      </w:r>
      <w:r w:rsidR="00D62326" w:rsidRPr="0029433B">
        <w:rPr>
          <w:b/>
          <w:bCs/>
          <w:sz w:val="32"/>
          <w:szCs w:val="32"/>
        </w:rPr>
        <w:t>C</w:t>
      </w:r>
      <w:r w:rsidR="005F6D81">
        <w:rPr>
          <w:b/>
          <w:bCs/>
          <w:sz w:val="32"/>
          <w:szCs w:val="32"/>
        </w:rPr>
        <w:t>ODE</w:t>
      </w:r>
      <w:r w:rsidR="006C5F6E">
        <w:rPr>
          <w:b/>
          <w:bCs/>
          <w:sz w:val="32"/>
          <w:szCs w:val="32"/>
        </w:rPr>
        <w:t xml:space="preserve"> </w:t>
      </w:r>
      <w:r w:rsidR="0007088C">
        <w:rPr>
          <w:b/>
          <w:bCs/>
          <w:sz w:val="32"/>
          <w:szCs w:val="32"/>
        </w:rPr>
        <w:t>AND TITLE</w:t>
      </w:r>
      <w:r w:rsidR="00D62326" w:rsidRPr="0029433B">
        <w:rPr>
          <w:b/>
          <w:bCs/>
          <w:sz w:val="32"/>
          <w:szCs w:val="32"/>
        </w:rPr>
        <w:t>:</w:t>
      </w:r>
      <w:r w:rsidR="005322C2" w:rsidRPr="0029433B">
        <w:rPr>
          <w:b/>
          <w:bCs/>
          <w:sz w:val="32"/>
          <w:szCs w:val="32"/>
        </w:rPr>
        <w:t xml:space="preserve"> </w:t>
      </w:r>
      <w:r w:rsidR="00930257" w:rsidRPr="0029433B">
        <w:rPr>
          <w:b/>
          <w:bCs/>
          <w:sz w:val="32"/>
          <w:szCs w:val="32"/>
        </w:rPr>
        <w:t>LCHS4010</w:t>
      </w:r>
      <w:r w:rsidR="00F41A2B">
        <w:rPr>
          <w:b/>
          <w:bCs/>
          <w:sz w:val="32"/>
          <w:szCs w:val="32"/>
        </w:rPr>
        <w:t>.PSYCHOLOGY IN HEALTH AND SOCIAL CARE</w:t>
      </w:r>
      <w:r w:rsidR="005322C2" w:rsidRPr="005322C2">
        <w:rPr>
          <w:b/>
          <w:bCs/>
        </w:rPr>
        <w:br/>
      </w:r>
      <w:r w:rsidR="005322C2" w:rsidRPr="0029433B">
        <w:rPr>
          <w:b/>
          <w:bCs/>
          <w:sz w:val="32"/>
          <w:szCs w:val="32"/>
        </w:rPr>
        <w:t>L</w:t>
      </w:r>
      <w:r w:rsidR="003F36F2">
        <w:rPr>
          <w:b/>
          <w:bCs/>
          <w:sz w:val="32"/>
          <w:szCs w:val="32"/>
        </w:rPr>
        <w:t>ECTURER</w:t>
      </w:r>
      <w:r w:rsidR="005322C2" w:rsidRPr="0029433B">
        <w:rPr>
          <w:b/>
          <w:bCs/>
          <w:sz w:val="32"/>
          <w:szCs w:val="32"/>
        </w:rPr>
        <w:t>:</w:t>
      </w:r>
      <w:r w:rsidR="0086218D">
        <w:rPr>
          <w:b/>
          <w:bCs/>
          <w:sz w:val="32"/>
          <w:szCs w:val="32"/>
        </w:rPr>
        <w:t xml:space="preserve"> ALICE</w:t>
      </w:r>
      <w:r w:rsidR="005F6D81">
        <w:rPr>
          <w:b/>
          <w:bCs/>
          <w:sz w:val="32"/>
          <w:szCs w:val="32"/>
        </w:rPr>
        <w:t xml:space="preserve"> CLAYTON</w:t>
      </w:r>
      <w:r w:rsidR="005322C2" w:rsidRPr="005322C2">
        <w:rPr>
          <w:b/>
          <w:bCs/>
        </w:rPr>
        <w:br/>
      </w:r>
      <w:r w:rsidR="005322C2" w:rsidRPr="0029433B">
        <w:rPr>
          <w:b/>
          <w:bCs/>
          <w:sz w:val="32"/>
          <w:szCs w:val="32"/>
        </w:rPr>
        <w:t>A</w:t>
      </w:r>
      <w:r w:rsidR="000311FC">
        <w:rPr>
          <w:b/>
          <w:bCs/>
          <w:sz w:val="32"/>
          <w:szCs w:val="32"/>
        </w:rPr>
        <w:t>SSIGME</w:t>
      </w:r>
      <w:r>
        <w:rPr>
          <w:b/>
          <w:bCs/>
          <w:sz w:val="32"/>
          <w:szCs w:val="32"/>
        </w:rPr>
        <w:t xml:space="preserve">NT </w:t>
      </w:r>
      <w:r w:rsidR="000311FC">
        <w:rPr>
          <w:b/>
          <w:bCs/>
          <w:sz w:val="32"/>
          <w:szCs w:val="32"/>
        </w:rPr>
        <w:t>TITLE</w:t>
      </w:r>
      <w:r w:rsidR="005322C2" w:rsidRPr="00686E44">
        <w:rPr>
          <w:b/>
          <w:bCs/>
          <w:sz w:val="28"/>
          <w:szCs w:val="28"/>
        </w:rPr>
        <w:t xml:space="preserve">: </w:t>
      </w:r>
      <w:r w:rsidR="00AB4349" w:rsidRPr="00CF273D">
        <w:rPr>
          <w:b/>
          <w:bCs/>
          <w:sz w:val="32"/>
          <w:szCs w:val="32"/>
        </w:rPr>
        <w:t>ASSESSMENT 2 BIB</w:t>
      </w:r>
      <w:r w:rsidR="008C2659" w:rsidRPr="00CF273D">
        <w:rPr>
          <w:b/>
          <w:bCs/>
          <w:sz w:val="32"/>
          <w:szCs w:val="32"/>
        </w:rPr>
        <w:t>LIOGRAPHY AND REPORT</w:t>
      </w:r>
      <w:r w:rsidR="001A4784">
        <w:rPr>
          <w:b/>
          <w:bCs/>
          <w:sz w:val="32"/>
          <w:szCs w:val="32"/>
        </w:rPr>
        <w:t>.</w:t>
      </w:r>
    </w:p>
    <w:p w14:paraId="45F0D813" w14:textId="77777777" w:rsidR="00E85593" w:rsidRDefault="00E85593" w:rsidP="009C77E6">
      <w:pPr>
        <w:rPr>
          <w:b/>
          <w:bCs/>
          <w:u w:val="single"/>
        </w:rPr>
      </w:pPr>
    </w:p>
    <w:p w14:paraId="26226977" w14:textId="77777777" w:rsidR="00E85593" w:rsidRDefault="00E85593" w:rsidP="009C77E6">
      <w:pPr>
        <w:rPr>
          <w:b/>
          <w:bCs/>
          <w:u w:val="single"/>
        </w:rPr>
      </w:pPr>
    </w:p>
    <w:p w14:paraId="2EB65662" w14:textId="77777777" w:rsidR="00E85593" w:rsidRDefault="00E85593" w:rsidP="009C77E6">
      <w:pPr>
        <w:rPr>
          <w:b/>
          <w:bCs/>
          <w:u w:val="single"/>
        </w:rPr>
      </w:pPr>
    </w:p>
    <w:p w14:paraId="7B4D9790" w14:textId="77777777" w:rsidR="00E85593" w:rsidRDefault="00E85593" w:rsidP="009C77E6">
      <w:pPr>
        <w:rPr>
          <w:b/>
          <w:bCs/>
          <w:u w:val="single"/>
        </w:rPr>
      </w:pPr>
    </w:p>
    <w:p w14:paraId="56A23438" w14:textId="77777777" w:rsidR="00E85593" w:rsidRDefault="00E85593" w:rsidP="009C77E6">
      <w:pPr>
        <w:rPr>
          <w:b/>
          <w:bCs/>
          <w:u w:val="single"/>
        </w:rPr>
      </w:pPr>
    </w:p>
    <w:p w14:paraId="2B67CF1E" w14:textId="77777777" w:rsidR="00E85593" w:rsidRDefault="00E85593" w:rsidP="009C77E6">
      <w:pPr>
        <w:rPr>
          <w:b/>
          <w:bCs/>
          <w:u w:val="single"/>
        </w:rPr>
      </w:pPr>
    </w:p>
    <w:p w14:paraId="2AD81A7C" w14:textId="77777777" w:rsidR="00E85593" w:rsidRDefault="00E85593" w:rsidP="009C77E6">
      <w:pPr>
        <w:rPr>
          <w:b/>
          <w:bCs/>
          <w:u w:val="single"/>
        </w:rPr>
      </w:pPr>
    </w:p>
    <w:p w14:paraId="304B89FF" w14:textId="77777777" w:rsidR="00E85593" w:rsidRDefault="00E85593" w:rsidP="009C77E6">
      <w:pPr>
        <w:rPr>
          <w:b/>
          <w:bCs/>
          <w:u w:val="single"/>
        </w:rPr>
      </w:pPr>
    </w:p>
    <w:p w14:paraId="77DE56B9" w14:textId="77777777" w:rsidR="00E85593" w:rsidRDefault="00E85593" w:rsidP="009C77E6">
      <w:pPr>
        <w:rPr>
          <w:b/>
          <w:bCs/>
          <w:u w:val="single"/>
        </w:rPr>
      </w:pPr>
    </w:p>
    <w:p w14:paraId="6E3A0DD2" w14:textId="77777777" w:rsidR="00E85593" w:rsidRDefault="00E85593" w:rsidP="009C77E6">
      <w:pPr>
        <w:rPr>
          <w:b/>
          <w:bCs/>
          <w:u w:val="single"/>
        </w:rPr>
      </w:pPr>
    </w:p>
    <w:p w14:paraId="2E13A2CC" w14:textId="77777777" w:rsidR="00E85593" w:rsidRDefault="00E85593" w:rsidP="009C77E6">
      <w:pPr>
        <w:rPr>
          <w:b/>
          <w:bCs/>
          <w:u w:val="single"/>
        </w:rPr>
      </w:pPr>
    </w:p>
    <w:p w14:paraId="71232365" w14:textId="77777777" w:rsidR="00E85593" w:rsidRDefault="00E85593" w:rsidP="009C77E6">
      <w:pPr>
        <w:rPr>
          <w:b/>
          <w:bCs/>
          <w:u w:val="single"/>
        </w:rPr>
      </w:pPr>
    </w:p>
    <w:p w14:paraId="7F5A8BFA" w14:textId="77777777" w:rsidR="00E85593" w:rsidRDefault="00E85593" w:rsidP="009C77E6">
      <w:pPr>
        <w:rPr>
          <w:b/>
          <w:bCs/>
          <w:u w:val="single"/>
        </w:rPr>
      </w:pPr>
    </w:p>
    <w:p w14:paraId="0761034F" w14:textId="77777777" w:rsidR="00E85593" w:rsidRDefault="00E85593" w:rsidP="009C77E6">
      <w:pPr>
        <w:rPr>
          <w:b/>
          <w:bCs/>
          <w:u w:val="single"/>
        </w:rPr>
      </w:pPr>
    </w:p>
    <w:p w14:paraId="3D2440CF" w14:textId="77777777" w:rsidR="00E85593" w:rsidRDefault="00E85593" w:rsidP="009C77E6">
      <w:pPr>
        <w:rPr>
          <w:b/>
          <w:bCs/>
          <w:u w:val="single"/>
        </w:rPr>
      </w:pPr>
    </w:p>
    <w:p w14:paraId="7E7E9A74" w14:textId="77777777" w:rsidR="00E85593" w:rsidRDefault="00E85593" w:rsidP="009C77E6">
      <w:pPr>
        <w:rPr>
          <w:b/>
          <w:bCs/>
          <w:u w:val="single"/>
        </w:rPr>
      </w:pPr>
    </w:p>
    <w:p w14:paraId="24EE3B22" w14:textId="77777777" w:rsidR="00E85593" w:rsidRDefault="00E85593" w:rsidP="009C77E6">
      <w:pPr>
        <w:rPr>
          <w:b/>
          <w:bCs/>
          <w:u w:val="single"/>
        </w:rPr>
      </w:pPr>
    </w:p>
    <w:p w14:paraId="7AD0C3A4" w14:textId="77777777" w:rsidR="00E85593" w:rsidRDefault="00E85593" w:rsidP="009C77E6">
      <w:pPr>
        <w:rPr>
          <w:b/>
          <w:bCs/>
          <w:u w:val="single"/>
        </w:rPr>
      </w:pPr>
    </w:p>
    <w:p w14:paraId="155B39A7" w14:textId="77777777" w:rsidR="00E85593" w:rsidRDefault="00E85593" w:rsidP="009C77E6">
      <w:pPr>
        <w:rPr>
          <w:b/>
          <w:bCs/>
          <w:u w:val="single"/>
        </w:rPr>
      </w:pPr>
    </w:p>
    <w:p w14:paraId="36654C9F" w14:textId="77777777" w:rsidR="00E85593" w:rsidRDefault="00E85593" w:rsidP="009C77E6">
      <w:pPr>
        <w:rPr>
          <w:b/>
          <w:bCs/>
          <w:u w:val="single"/>
        </w:rPr>
      </w:pPr>
    </w:p>
    <w:p w14:paraId="75C1B4FE" w14:textId="77777777" w:rsidR="00E85593" w:rsidRDefault="00E85593" w:rsidP="009C77E6">
      <w:pPr>
        <w:rPr>
          <w:b/>
          <w:bCs/>
          <w:u w:val="single"/>
        </w:rPr>
      </w:pPr>
    </w:p>
    <w:p w14:paraId="5E690056" w14:textId="77777777" w:rsidR="009C77E6" w:rsidRPr="00E26564" w:rsidRDefault="009C77E6" w:rsidP="009C77E6">
      <w:pPr>
        <w:rPr>
          <w:b/>
          <w:bCs/>
          <w:u w:val="single"/>
        </w:rPr>
      </w:pPr>
      <w:r w:rsidRPr="00E26564">
        <w:rPr>
          <w:b/>
          <w:bCs/>
          <w:u w:val="single"/>
        </w:rPr>
        <w:lastRenderedPageBreak/>
        <w:t>Part</w:t>
      </w:r>
      <w:r w:rsidRPr="00E26564">
        <w:rPr>
          <w:rFonts w:ascii="Arial" w:hAnsi="Arial" w:cs="Arial"/>
          <w:b/>
          <w:bCs/>
          <w:u w:val="single"/>
        </w:rPr>
        <w:t> </w:t>
      </w:r>
      <w:r w:rsidRPr="00E26564">
        <w:rPr>
          <w:b/>
          <w:bCs/>
          <w:u w:val="single"/>
        </w:rPr>
        <w:t>A: Annotated Bibliography (750</w:t>
      </w:r>
      <w:r w:rsidRPr="00E26564">
        <w:rPr>
          <w:rFonts w:ascii="Arial" w:hAnsi="Arial" w:cs="Arial"/>
          <w:b/>
          <w:bCs/>
          <w:u w:val="single"/>
        </w:rPr>
        <w:t> </w:t>
      </w:r>
      <w:r w:rsidRPr="00E26564">
        <w:rPr>
          <w:b/>
          <w:bCs/>
          <w:u w:val="single"/>
        </w:rPr>
        <w:t>words)</w:t>
      </w:r>
    </w:p>
    <w:p w14:paraId="7D3EBE80" w14:textId="591AB758" w:rsidR="009C77E6" w:rsidRPr="009C77E6" w:rsidRDefault="009C77E6" w:rsidP="009C77E6">
      <w:r w:rsidRPr="009C77E6">
        <w:t>1. Perry,</w:t>
      </w:r>
      <w:r w:rsidRPr="009C77E6">
        <w:rPr>
          <w:rFonts w:ascii="Arial" w:hAnsi="Arial" w:cs="Arial"/>
        </w:rPr>
        <w:t> </w:t>
      </w:r>
      <w:r w:rsidRPr="009C77E6">
        <w:t>T.</w:t>
      </w:r>
      <w:r w:rsidRPr="009C77E6">
        <w:rPr>
          <w:rFonts w:ascii="Arial" w:hAnsi="Arial" w:cs="Arial"/>
        </w:rPr>
        <w:t> </w:t>
      </w:r>
      <w:r w:rsidRPr="009C77E6">
        <w:t>E.,</w:t>
      </w:r>
      <w:r w:rsidRPr="009C77E6">
        <w:rPr>
          <w:rFonts w:ascii="Arial" w:hAnsi="Arial" w:cs="Arial"/>
        </w:rPr>
        <w:t> </w:t>
      </w:r>
      <w:r w:rsidRPr="009C77E6">
        <w:t>Hassevoort,</w:t>
      </w:r>
      <w:r w:rsidRPr="009C77E6">
        <w:rPr>
          <w:rFonts w:ascii="Arial" w:hAnsi="Arial" w:cs="Arial"/>
        </w:rPr>
        <w:t> </w:t>
      </w:r>
      <w:r w:rsidRPr="009C77E6">
        <w:t>L.,</w:t>
      </w:r>
      <w:r w:rsidRPr="009C77E6">
        <w:rPr>
          <w:rFonts w:ascii="Arial" w:hAnsi="Arial" w:cs="Arial"/>
        </w:rPr>
        <w:t> </w:t>
      </w:r>
      <w:r w:rsidRPr="009C77E6">
        <w:t>Ruggiano,</w:t>
      </w:r>
      <w:r w:rsidRPr="009C77E6">
        <w:rPr>
          <w:rFonts w:ascii="Arial" w:hAnsi="Arial" w:cs="Arial"/>
        </w:rPr>
        <w:t> </w:t>
      </w:r>
      <w:r w:rsidRPr="009C77E6">
        <w:t>N.,</w:t>
      </w:r>
      <w:r w:rsidRPr="009C77E6">
        <w:rPr>
          <w:rFonts w:ascii="Arial" w:hAnsi="Arial" w:cs="Arial"/>
        </w:rPr>
        <w:t> </w:t>
      </w:r>
      <w:r w:rsidRPr="009C77E6">
        <w:t>&amp;</w:t>
      </w:r>
      <w:r w:rsidRPr="009C77E6">
        <w:rPr>
          <w:rFonts w:ascii="Arial" w:hAnsi="Arial" w:cs="Arial"/>
        </w:rPr>
        <w:t> </w:t>
      </w:r>
      <w:proofErr w:type="spellStart"/>
      <w:r w:rsidRPr="009C77E6">
        <w:t>Shtompel</w:t>
      </w:r>
      <w:proofErr w:type="spellEnd"/>
      <w:ins w:id="0" w:author="Microsoft Word" w:date="2026-03-13T09:32:00Z" w16du:dateUtc="2026-03-13T09:32:00Z">
        <w:r w:rsidRPr="009C77E6">
          <w:t>.</w:t>
        </w:r>
        <w:r w:rsidR="00B358D4">
          <w:t xml:space="preserve"> and </w:t>
        </w:r>
        <w:proofErr w:type="spellStart"/>
        <w:r w:rsidRPr="009C77E6">
          <w:t>Shtompel</w:t>
        </w:r>
      </w:ins>
      <w:proofErr w:type="spellEnd"/>
      <w:r w:rsidRPr="009C77E6">
        <w:t>,</w:t>
      </w:r>
      <w:r w:rsidRPr="009C77E6">
        <w:rPr>
          <w:rFonts w:ascii="Arial" w:hAnsi="Arial" w:cs="Arial"/>
        </w:rPr>
        <w:t> </w:t>
      </w:r>
      <w:r w:rsidRPr="009C77E6">
        <w:t>N.</w:t>
      </w:r>
      <w:r w:rsidRPr="009C77E6">
        <w:rPr>
          <w:rFonts w:ascii="Arial" w:hAnsi="Arial" w:cs="Arial"/>
        </w:rPr>
        <w:t> </w:t>
      </w:r>
      <w:r w:rsidRPr="009C77E6">
        <w:t>(2015)</w:t>
      </w:r>
      <w:r w:rsidRPr="009C77E6">
        <w:rPr>
          <w:rFonts w:ascii="Arial" w:hAnsi="Arial" w:cs="Arial"/>
        </w:rPr>
        <w:t> </w:t>
      </w:r>
      <w:r w:rsidRPr="009C77E6">
        <w:rPr>
          <w:rFonts w:ascii="Aptos" w:hAnsi="Aptos" w:cs="Aptos"/>
        </w:rPr>
        <w:t>‘</w:t>
      </w:r>
      <w:r w:rsidRPr="009C77E6">
        <w:t>Applying</w:t>
      </w:r>
      <w:r w:rsidRPr="009C77E6">
        <w:rPr>
          <w:rFonts w:ascii="Arial" w:hAnsi="Arial" w:cs="Arial"/>
        </w:rPr>
        <w:t> </w:t>
      </w:r>
      <w:r w:rsidRPr="009C77E6">
        <w:t>Erikson</w:t>
      </w:r>
      <w:r w:rsidRPr="009C77E6">
        <w:rPr>
          <w:rFonts w:ascii="Aptos" w:hAnsi="Aptos" w:cs="Aptos"/>
        </w:rPr>
        <w:t>’</w:t>
      </w:r>
      <w:r w:rsidRPr="009C77E6">
        <w:t>s Wisdom to Self</w:t>
      </w:r>
      <w:r w:rsidRPr="009C77E6">
        <w:noBreakHyphen/>
        <w:t>Management Practices of Older Adults: Findings from Two Field Studies</w:t>
      </w:r>
      <w:r w:rsidRPr="009C77E6">
        <w:rPr>
          <w:rFonts w:ascii="Aptos" w:hAnsi="Aptos" w:cs="Aptos"/>
        </w:rPr>
        <w:t>’</w:t>
      </w:r>
      <w:r w:rsidRPr="009C77E6">
        <w:t>,</w:t>
      </w:r>
      <w:r w:rsidRPr="009C77E6">
        <w:rPr>
          <w:rFonts w:ascii="Aptos" w:hAnsi="Aptos" w:cs="Aptos"/>
        </w:rPr>
        <w:t> </w:t>
      </w:r>
      <w:r w:rsidRPr="009C77E6">
        <w:rPr>
          <w:i/>
          <w:iCs/>
        </w:rPr>
        <w:t>Research on</w:t>
      </w:r>
      <w:r w:rsidRPr="009C77E6">
        <w:rPr>
          <w:rFonts w:ascii="Arial" w:hAnsi="Arial" w:cs="Arial"/>
          <w:i/>
          <w:iCs/>
        </w:rPr>
        <w:t> </w:t>
      </w:r>
      <w:r w:rsidRPr="009C77E6">
        <w:rPr>
          <w:i/>
          <w:iCs/>
        </w:rPr>
        <w:t>Aging</w:t>
      </w:r>
      <w:r w:rsidRPr="009C77E6">
        <w:t>,</w:t>
      </w:r>
      <w:r w:rsidRPr="009C77E6">
        <w:rPr>
          <w:rFonts w:ascii="Arial" w:hAnsi="Arial" w:cs="Arial"/>
        </w:rPr>
        <w:t> </w:t>
      </w:r>
      <w:r w:rsidRPr="009C77E6">
        <w:t>37(3),</w:t>
      </w:r>
      <w:r w:rsidRPr="009C77E6">
        <w:rPr>
          <w:rFonts w:ascii="Arial" w:hAnsi="Arial" w:cs="Arial"/>
        </w:rPr>
        <w:t> </w:t>
      </w:r>
      <w:r w:rsidRPr="009C77E6">
        <w:t>pp.</w:t>
      </w:r>
      <w:r w:rsidRPr="009C77E6">
        <w:rPr>
          <w:rFonts w:ascii="Arial" w:hAnsi="Arial" w:cs="Arial"/>
        </w:rPr>
        <w:t> </w:t>
      </w:r>
      <w:r w:rsidRPr="009C77E6">
        <w:t>253</w:t>
      </w:r>
      <w:r w:rsidRPr="009C77E6">
        <w:rPr>
          <w:rFonts w:ascii="Aptos" w:hAnsi="Aptos" w:cs="Aptos"/>
        </w:rPr>
        <w:t>–</w:t>
      </w:r>
      <w:r w:rsidRPr="009C77E6">
        <w:t>274.</w:t>
      </w:r>
    </w:p>
    <w:p w14:paraId="6B1F3DD7" w14:textId="1DEA082E" w:rsidR="009C77E6" w:rsidRPr="009C77E6" w:rsidRDefault="009C77E6" w:rsidP="009C77E6">
      <w:r w:rsidRPr="009C77E6">
        <w:rPr>
          <w:b/>
          <w:bCs/>
          <w:u w:val="single"/>
        </w:rPr>
        <w:t>Summary:</w:t>
      </w:r>
      <w:r w:rsidRPr="009C77E6">
        <w:rPr>
          <w:b/>
          <w:bCs/>
          <w:u w:val="single"/>
        </w:rPr>
        <w:br/>
      </w:r>
      <w:r w:rsidRPr="009C77E6">
        <w:t>This qualitative research applies Erikson’s psychosocial theory to later</w:t>
      </w:r>
      <w:r w:rsidRPr="009C77E6">
        <w:noBreakHyphen/>
        <w:t>life self</w:t>
      </w:r>
      <w:r w:rsidRPr="009C77E6">
        <w:noBreakHyphen/>
        <w:t>management. Drawing on two field studies, the authors found that older adults actively re</w:t>
      </w:r>
      <w:r w:rsidRPr="009C77E6">
        <w:noBreakHyphen/>
        <w:t>engaged with earlier developmental conflicts</w:t>
      </w:r>
      <w:r w:rsidR="0094215A">
        <w:t xml:space="preserve"> </w:t>
      </w:r>
      <w:r w:rsidRPr="009C77E6">
        <w:t>such as autonomy and initiative</w:t>
      </w:r>
      <w:r w:rsidR="0094215A">
        <w:t xml:space="preserve"> </w:t>
      </w:r>
      <w:r w:rsidRPr="009C77E6">
        <w:t>when adapting to chronic illness and physical decline. Participants demonstrated “wisdom” by repurposing earlier life skills to solve ageing</w:t>
      </w:r>
      <w:r w:rsidRPr="009C77E6">
        <w:noBreakHyphen/>
        <w:t>related health challenges.</w:t>
      </w:r>
    </w:p>
    <w:p w14:paraId="28945F5D" w14:textId="77777777" w:rsidR="009C77E6" w:rsidRPr="009C77E6" w:rsidRDefault="009C77E6" w:rsidP="009C77E6">
      <w:pPr>
        <w:rPr>
          <w:color w:val="000000" w:themeColor="text1"/>
        </w:rPr>
      </w:pPr>
      <w:r w:rsidRPr="009C77E6">
        <w:rPr>
          <w:b/>
          <w:bCs/>
          <w:u w:val="single"/>
        </w:rPr>
        <w:t>Critical comment:</w:t>
      </w:r>
      <w:r w:rsidRPr="009C77E6">
        <w:br/>
        <w:t>This article meaningfully extends Erikson’s theory beyond abstract developmental stages into practical health contexts. It suggests that older adults’ sense of integrity is strengthened when they exercise autonomy and problem solving in managing health changes. For social care professionals, it underlines the value of participatory care models that engage residents as capable decision</w:t>
      </w:r>
      <w:r w:rsidRPr="009C77E6">
        <w:noBreakHyphen/>
        <w:t>makers rather than passive recipients. The study’s qualitative nature, however, limits generalisability and relies on Western cultural conceptions of “wisdom,” which may not transfer universally. Still, it offers persuasive evidence linking psychosocial integrity with well</w:t>
      </w:r>
      <w:r w:rsidRPr="009C77E6">
        <w:noBreakHyphen/>
        <w:t>being in eldercare.</w:t>
      </w:r>
      <w:r w:rsidRPr="009C77E6">
        <w:br/>
      </w:r>
      <w:hyperlink r:id="rId5" w:tgtFrame="_blank" w:history="1">
        <w:r w:rsidRPr="009C77E6">
          <w:rPr>
            <w:rStyle w:val="Hyperlink"/>
            <w:color w:val="000000" w:themeColor="text1"/>
          </w:rPr>
          <w:t>ncbi.nlm.nih.gov</w:t>
        </w:r>
      </w:hyperlink>
    </w:p>
    <w:p w14:paraId="5F1B28CF" w14:textId="77777777" w:rsidR="009C77E6" w:rsidRPr="009C77E6" w:rsidRDefault="008D2AA3" w:rsidP="009C77E6">
      <w:r>
        <w:pict w14:anchorId="6368DF50">
          <v:rect id="_x0000_i1025" style="width:0;height:0" o:hralign="center" o:hrstd="t" o:hr="t" fillcolor="#a0a0a0" stroked="f"/>
        </w:pict>
      </w:r>
    </w:p>
    <w:p w14:paraId="2FF9659E" w14:textId="08EF273A" w:rsidR="009C77E6" w:rsidRPr="009C77E6" w:rsidRDefault="009C77E6" w:rsidP="009C77E6">
      <w:r w:rsidRPr="009C77E6">
        <w:t>2. Malone,</w:t>
      </w:r>
      <w:r w:rsidRPr="009C77E6">
        <w:rPr>
          <w:rFonts w:ascii="Arial" w:hAnsi="Arial" w:cs="Arial"/>
        </w:rPr>
        <w:t> </w:t>
      </w:r>
      <w:r w:rsidRPr="009C77E6">
        <w:t>J.</w:t>
      </w:r>
      <w:r w:rsidRPr="009C77E6">
        <w:rPr>
          <w:rFonts w:ascii="Arial" w:hAnsi="Arial" w:cs="Arial"/>
        </w:rPr>
        <w:t> </w:t>
      </w:r>
      <w:r w:rsidRPr="009C77E6">
        <w:t>C.,</w:t>
      </w:r>
      <w:r w:rsidRPr="009C77E6">
        <w:rPr>
          <w:rFonts w:ascii="Arial" w:hAnsi="Arial" w:cs="Arial"/>
        </w:rPr>
        <w:t> </w:t>
      </w:r>
      <w:r w:rsidRPr="009C77E6">
        <w:t>Liu,</w:t>
      </w:r>
      <w:r w:rsidRPr="009C77E6">
        <w:rPr>
          <w:rFonts w:ascii="Arial" w:hAnsi="Arial" w:cs="Arial"/>
        </w:rPr>
        <w:t> </w:t>
      </w:r>
      <w:r w:rsidRPr="009C77E6">
        <w:t>S.</w:t>
      </w:r>
      <w:r w:rsidRPr="009C77E6">
        <w:rPr>
          <w:rFonts w:ascii="Arial" w:hAnsi="Arial" w:cs="Arial"/>
        </w:rPr>
        <w:t> </w:t>
      </w:r>
      <w:r w:rsidRPr="009C77E6">
        <w:t>R.,</w:t>
      </w:r>
      <w:r w:rsidRPr="009C77E6">
        <w:rPr>
          <w:rFonts w:ascii="Arial" w:hAnsi="Arial" w:cs="Arial"/>
        </w:rPr>
        <w:t> </w:t>
      </w:r>
      <w:r w:rsidRPr="009C77E6">
        <w:t>Vaillant,</w:t>
      </w:r>
      <w:r w:rsidRPr="009C77E6">
        <w:rPr>
          <w:rFonts w:ascii="Arial" w:hAnsi="Arial" w:cs="Arial"/>
        </w:rPr>
        <w:t> </w:t>
      </w:r>
      <w:r w:rsidRPr="009C77E6">
        <w:t>G.</w:t>
      </w:r>
      <w:r w:rsidRPr="009C77E6">
        <w:rPr>
          <w:rFonts w:ascii="Arial" w:hAnsi="Arial" w:cs="Arial"/>
        </w:rPr>
        <w:t> </w:t>
      </w:r>
      <w:r w:rsidRPr="009C77E6">
        <w:t>E.,</w:t>
      </w:r>
      <w:r w:rsidRPr="009C77E6">
        <w:rPr>
          <w:rFonts w:ascii="Arial" w:hAnsi="Arial" w:cs="Arial"/>
        </w:rPr>
        <w:t> </w:t>
      </w:r>
      <w:r w:rsidRPr="009C77E6">
        <w:t>Rentz,</w:t>
      </w:r>
      <w:r w:rsidRPr="009C77E6">
        <w:rPr>
          <w:rFonts w:ascii="Arial" w:hAnsi="Arial" w:cs="Arial"/>
        </w:rPr>
        <w:t> </w:t>
      </w:r>
      <w:r w:rsidRPr="009C77E6">
        <w:t>D.</w:t>
      </w:r>
      <w:r w:rsidRPr="009C77E6">
        <w:rPr>
          <w:rFonts w:ascii="Arial" w:hAnsi="Arial" w:cs="Arial"/>
        </w:rPr>
        <w:t> </w:t>
      </w:r>
      <w:r w:rsidRPr="009C77E6">
        <w:t>M.,</w:t>
      </w:r>
      <w:r w:rsidRPr="009C77E6">
        <w:rPr>
          <w:rFonts w:ascii="Arial" w:hAnsi="Arial" w:cs="Arial"/>
        </w:rPr>
        <w:t> </w:t>
      </w:r>
      <w:r w:rsidRPr="009C77E6">
        <w:t>&amp;</w:t>
      </w:r>
      <w:r w:rsidRPr="009C77E6">
        <w:rPr>
          <w:rFonts w:ascii="Arial" w:hAnsi="Arial" w:cs="Arial"/>
        </w:rPr>
        <w:t> </w:t>
      </w:r>
      <w:r w:rsidRPr="009C77E6">
        <w:t>Waldinger</w:t>
      </w:r>
      <w:ins w:id="1" w:author="Microsoft Word" w:date="2026-03-13T09:32:00Z" w16du:dateUtc="2026-03-13T09:32:00Z">
        <w:r w:rsidRPr="009C77E6">
          <w:t>.</w:t>
        </w:r>
        <w:r w:rsidR="00B358D4">
          <w:t xml:space="preserve"> and </w:t>
        </w:r>
        <w:r w:rsidRPr="009C77E6">
          <w:t>Waldinger</w:t>
        </w:r>
      </w:ins>
      <w:r w:rsidRPr="009C77E6">
        <w:t>,</w:t>
      </w:r>
      <w:r w:rsidRPr="009C77E6">
        <w:rPr>
          <w:rFonts w:ascii="Arial" w:hAnsi="Arial" w:cs="Arial"/>
        </w:rPr>
        <w:t> </w:t>
      </w:r>
      <w:r w:rsidRPr="009C77E6">
        <w:t>R.</w:t>
      </w:r>
      <w:r w:rsidRPr="009C77E6">
        <w:rPr>
          <w:rFonts w:ascii="Arial" w:hAnsi="Arial" w:cs="Arial"/>
        </w:rPr>
        <w:t> </w:t>
      </w:r>
      <w:r w:rsidRPr="009C77E6">
        <w:t>J.</w:t>
      </w:r>
      <w:r w:rsidRPr="009C77E6">
        <w:rPr>
          <w:rFonts w:ascii="Arial" w:hAnsi="Arial" w:cs="Arial"/>
        </w:rPr>
        <w:t> </w:t>
      </w:r>
      <w:r w:rsidRPr="009C77E6">
        <w:t>(2016)</w:t>
      </w:r>
      <w:r w:rsidRPr="009C77E6">
        <w:rPr>
          <w:rFonts w:ascii="Arial" w:hAnsi="Arial" w:cs="Arial"/>
        </w:rPr>
        <w:t> </w:t>
      </w:r>
      <w:r w:rsidRPr="009C77E6">
        <w:rPr>
          <w:rFonts w:ascii="Aptos" w:hAnsi="Aptos" w:cs="Aptos"/>
        </w:rPr>
        <w:t>‘</w:t>
      </w:r>
      <w:r w:rsidRPr="009C77E6">
        <w:t xml:space="preserve">Midlife </w:t>
      </w:r>
      <w:r w:rsidR="0094215A" w:rsidRPr="009C77E6">
        <w:t xml:space="preserve">Erikson </w:t>
      </w:r>
      <w:proofErr w:type="gramStart"/>
      <w:r w:rsidR="0094215A" w:rsidRPr="009C77E6">
        <w:t>an</w:t>
      </w:r>
      <w:proofErr w:type="gramEnd"/>
      <w:r w:rsidRPr="009C77E6">
        <w:t xml:space="preserve"> Psychosocial Development: Setting the Stage for Cognitive and Emotional Health in Late Life</w:t>
      </w:r>
      <w:r w:rsidRPr="009C77E6">
        <w:rPr>
          <w:rFonts w:ascii="Aptos" w:hAnsi="Aptos" w:cs="Aptos"/>
        </w:rPr>
        <w:t>’</w:t>
      </w:r>
      <w:r w:rsidRPr="009C77E6">
        <w:t>,</w:t>
      </w:r>
      <w:r w:rsidRPr="009C77E6">
        <w:rPr>
          <w:rFonts w:ascii="Aptos" w:hAnsi="Aptos" w:cs="Aptos"/>
        </w:rPr>
        <w:t> </w:t>
      </w:r>
      <w:r w:rsidRPr="009C77E6">
        <w:rPr>
          <w:i/>
          <w:iCs/>
        </w:rPr>
        <w:t>Developmental Psychology</w:t>
      </w:r>
      <w:r w:rsidRPr="009C77E6">
        <w:t>,</w:t>
      </w:r>
      <w:r w:rsidRPr="009C77E6">
        <w:rPr>
          <w:rFonts w:ascii="Arial" w:hAnsi="Arial" w:cs="Arial"/>
        </w:rPr>
        <w:t> </w:t>
      </w:r>
      <w:r w:rsidRPr="009C77E6">
        <w:t>52(3),</w:t>
      </w:r>
      <w:r w:rsidRPr="009C77E6">
        <w:rPr>
          <w:rFonts w:ascii="Arial" w:hAnsi="Arial" w:cs="Arial"/>
        </w:rPr>
        <w:t> </w:t>
      </w:r>
      <w:r w:rsidRPr="009C77E6">
        <w:t>pp.</w:t>
      </w:r>
      <w:r w:rsidRPr="009C77E6">
        <w:rPr>
          <w:rFonts w:ascii="Arial" w:hAnsi="Arial" w:cs="Arial"/>
        </w:rPr>
        <w:t> </w:t>
      </w:r>
      <w:r w:rsidRPr="009C77E6">
        <w:t>496</w:t>
      </w:r>
      <w:r w:rsidRPr="009C77E6">
        <w:rPr>
          <w:rFonts w:ascii="Aptos" w:hAnsi="Aptos" w:cs="Aptos"/>
        </w:rPr>
        <w:t>–</w:t>
      </w:r>
      <w:r w:rsidRPr="009C77E6">
        <w:t>508.</w:t>
      </w:r>
    </w:p>
    <w:p w14:paraId="0DBC1EC4" w14:textId="528826B6" w:rsidR="009C77E6" w:rsidRPr="009C77E6" w:rsidRDefault="009C77E6" w:rsidP="009C77E6">
      <w:r w:rsidRPr="009C77E6">
        <w:rPr>
          <w:b/>
          <w:bCs/>
          <w:u w:val="single"/>
        </w:rPr>
        <w:t>Summary:</w:t>
      </w:r>
      <w:r w:rsidRPr="009C77E6">
        <w:rPr>
          <w:b/>
          <w:bCs/>
          <w:u w:val="single"/>
        </w:rPr>
        <w:br/>
      </w:r>
      <w:r w:rsidRPr="009C77E6">
        <w:t xml:space="preserve">Using longitudinal data, this study tested how successful resolution of </w:t>
      </w:r>
      <w:r w:rsidR="006307CF" w:rsidRPr="009C77E6">
        <w:t>Erikson an</w:t>
      </w:r>
      <w:r w:rsidRPr="009C77E6">
        <w:t xml:space="preserve"> </w:t>
      </w:r>
      <w:ins w:id="2" w:author="Microsoft Word" w:date="2026-03-13T09:32:00Z" w16du:dateUtc="2026-03-13T09:32:00Z">
        <w:r w:rsidR="006307CF" w:rsidRPr="009C77E6">
          <w:t>Erikson</w:t>
        </w:r>
        <w:r w:rsidR="00B358D4">
          <w:t>’s</w:t>
        </w:r>
        <w:r w:rsidRPr="009C77E6">
          <w:t xml:space="preserve"> </w:t>
        </w:r>
      </w:ins>
      <w:r w:rsidRPr="009C77E6">
        <w:t>conflicts in midlife predicted cognitive and emotional outcomes in old age. Participants who achieved higher levels of generativity and integrity displayed better late</w:t>
      </w:r>
      <w:r w:rsidRPr="009C77E6">
        <w:noBreakHyphen/>
        <w:t>life emotional stability and slower cognitive decline. The research provides empirical support for Erikson’s concept that psychosocial development accumulates over the lifespan, influencing late</w:t>
      </w:r>
      <w:r w:rsidRPr="009C77E6">
        <w:noBreakHyphen/>
        <w:t>life wellbeing.</w:t>
      </w:r>
    </w:p>
    <w:p w14:paraId="04F4F9CF" w14:textId="41123C15" w:rsidR="009C77E6" w:rsidRPr="009C77E6" w:rsidRDefault="009C77E6" w:rsidP="009C77E6">
      <w:pPr>
        <w:rPr>
          <w:color w:val="000000" w:themeColor="text1"/>
        </w:rPr>
      </w:pPr>
      <w:r w:rsidRPr="009C77E6">
        <w:rPr>
          <w:b/>
          <w:bCs/>
          <w:u w:val="single"/>
        </w:rPr>
        <w:t>Critical comment:</w:t>
      </w:r>
      <w:r w:rsidRPr="009C77E6">
        <w:rPr>
          <w:b/>
          <w:bCs/>
          <w:u w:val="single"/>
        </w:rPr>
        <w:br/>
      </w:r>
      <w:r w:rsidRPr="009C77E6">
        <w:t xml:space="preserve">This paper solidifies Erikson’s framework with robust quantitative evidence. It highlights </w:t>
      </w:r>
      <w:r w:rsidR="00E314DB" w:rsidRPr="00E314DB">
        <w:t>those supporting adults</w:t>
      </w:r>
      <w:r w:rsidRPr="009C77E6">
        <w:t xml:space="preserve"> through meaningful engagement and generative roles fosters resilience during later stages. For practitioners, it implies that fostering life review </w:t>
      </w:r>
      <w:r w:rsidRPr="009C77E6">
        <w:lastRenderedPageBreak/>
        <w:t>activities and purpose</w:t>
      </w:r>
      <w:r w:rsidRPr="009C77E6">
        <w:noBreakHyphen/>
        <w:t>filled engagement in residential settings may enhance both happiness and cognitive function. However, it focuses predominantly on midlife experiences in a privileged cohort, which limits applicability to diverse care populations. Nonetheless, it offers strong scientific rationale for integrating psychosocial reflection programs in care homes.</w:t>
      </w:r>
      <w:r w:rsidRPr="009C77E6">
        <w:br/>
      </w:r>
      <w:hyperlink r:id="rId6" w:tgtFrame="_blank" w:history="1">
        <w:r w:rsidRPr="009C77E6">
          <w:rPr>
            <w:rStyle w:val="Hyperlink"/>
            <w:color w:val="000000" w:themeColor="text1"/>
            <w:u w:val="none"/>
          </w:rPr>
          <w:t>ncbi.nlm.nih.gov</w:t>
        </w:r>
      </w:hyperlink>
    </w:p>
    <w:p w14:paraId="45201AF1" w14:textId="77777777" w:rsidR="009C77E6" w:rsidRPr="009C77E6" w:rsidRDefault="008D2AA3" w:rsidP="009C77E6">
      <w:r>
        <w:pict w14:anchorId="494BF540">
          <v:rect id="_x0000_i1026" style="width:0;height:0" o:hralign="center" o:hrstd="t" o:hr="t" fillcolor="#a0a0a0" stroked="f"/>
        </w:pict>
      </w:r>
    </w:p>
    <w:p w14:paraId="7BB677D9" w14:textId="77777777" w:rsidR="009C77E6" w:rsidRPr="009C77E6" w:rsidRDefault="009C77E6" w:rsidP="009C77E6">
      <w:r w:rsidRPr="009C77E6">
        <w:t>3. Johansson,</w:t>
      </w:r>
      <w:r w:rsidRPr="009C77E6">
        <w:rPr>
          <w:rFonts w:ascii="Arial" w:hAnsi="Arial" w:cs="Arial"/>
        </w:rPr>
        <w:t> </w:t>
      </w:r>
      <w:r w:rsidRPr="009C77E6">
        <w:t>C.</w:t>
      </w:r>
      <w:r w:rsidRPr="009C77E6">
        <w:rPr>
          <w:rFonts w:ascii="Arial" w:hAnsi="Arial" w:cs="Arial"/>
        </w:rPr>
        <w:t> </w:t>
      </w:r>
      <w:r w:rsidRPr="009C77E6">
        <w:t>(2002)</w:t>
      </w:r>
      <w:r w:rsidRPr="009C77E6">
        <w:rPr>
          <w:rFonts w:ascii="Arial" w:hAnsi="Arial" w:cs="Arial"/>
        </w:rPr>
        <w:t> </w:t>
      </w:r>
      <w:r w:rsidRPr="009C77E6">
        <w:rPr>
          <w:rFonts w:ascii="Aptos" w:hAnsi="Aptos" w:cs="Aptos"/>
        </w:rPr>
        <w:t>‘</w:t>
      </w:r>
      <w:r w:rsidRPr="009C77E6">
        <w:t>Integrity versus Despair: An</w:t>
      </w:r>
      <w:r w:rsidRPr="009C77E6">
        <w:rPr>
          <w:rFonts w:ascii="Arial" w:hAnsi="Arial" w:cs="Arial"/>
        </w:rPr>
        <w:t> </w:t>
      </w:r>
      <w:proofErr w:type="spellStart"/>
      <w:r w:rsidRPr="009C77E6">
        <w:t>Eriksonian</w:t>
      </w:r>
      <w:proofErr w:type="spellEnd"/>
      <w:r w:rsidRPr="009C77E6">
        <w:t xml:space="preserve"> Framework for</w:t>
      </w:r>
      <w:r w:rsidRPr="009C77E6">
        <w:rPr>
          <w:rFonts w:ascii="Arial" w:hAnsi="Arial" w:cs="Arial"/>
        </w:rPr>
        <w:t> </w:t>
      </w:r>
      <w:r w:rsidRPr="009C77E6">
        <w:t>Geriatric Rehabilitation</w:t>
      </w:r>
      <w:r w:rsidRPr="009C77E6">
        <w:rPr>
          <w:rFonts w:ascii="Aptos" w:hAnsi="Aptos" w:cs="Aptos"/>
        </w:rPr>
        <w:t>’</w:t>
      </w:r>
      <w:r w:rsidRPr="009C77E6">
        <w:t>,</w:t>
      </w:r>
      <w:r w:rsidRPr="009C77E6">
        <w:rPr>
          <w:rFonts w:ascii="Aptos" w:hAnsi="Aptos" w:cs="Aptos"/>
        </w:rPr>
        <w:t> </w:t>
      </w:r>
      <w:r w:rsidRPr="009C77E6">
        <w:rPr>
          <w:i/>
          <w:iCs/>
        </w:rPr>
        <w:t>Topics in</w:t>
      </w:r>
      <w:r w:rsidRPr="009C77E6">
        <w:rPr>
          <w:rFonts w:ascii="Arial" w:hAnsi="Arial" w:cs="Arial"/>
          <w:i/>
          <w:iCs/>
        </w:rPr>
        <w:t> </w:t>
      </w:r>
      <w:r w:rsidRPr="009C77E6">
        <w:rPr>
          <w:i/>
          <w:iCs/>
        </w:rPr>
        <w:t>Geriatric Rehabilitation</w:t>
      </w:r>
      <w:r w:rsidRPr="009C77E6">
        <w:t>,</w:t>
      </w:r>
      <w:r w:rsidRPr="009C77E6">
        <w:rPr>
          <w:rFonts w:ascii="Arial" w:hAnsi="Arial" w:cs="Arial"/>
        </w:rPr>
        <w:t> </w:t>
      </w:r>
      <w:r w:rsidRPr="009C77E6">
        <w:t>17(3),</w:t>
      </w:r>
      <w:r w:rsidRPr="009C77E6">
        <w:rPr>
          <w:rFonts w:ascii="Arial" w:hAnsi="Arial" w:cs="Arial"/>
        </w:rPr>
        <w:t> </w:t>
      </w:r>
      <w:r w:rsidRPr="009C77E6">
        <w:t>pp.</w:t>
      </w:r>
      <w:r w:rsidRPr="009C77E6">
        <w:rPr>
          <w:rFonts w:ascii="Arial" w:hAnsi="Arial" w:cs="Arial"/>
        </w:rPr>
        <w:t> </w:t>
      </w:r>
      <w:r w:rsidRPr="009C77E6">
        <w:t>4</w:t>
      </w:r>
      <w:r w:rsidRPr="009C77E6">
        <w:rPr>
          <w:rFonts w:ascii="Aptos" w:hAnsi="Aptos" w:cs="Aptos"/>
        </w:rPr>
        <w:t>–</w:t>
      </w:r>
      <w:r w:rsidRPr="009C77E6">
        <w:t>12.</w:t>
      </w:r>
    </w:p>
    <w:p w14:paraId="2220BA0B" w14:textId="77777777" w:rsidR="009C77E6" w:rsidRPr="009C77E6" w:rsidRDefault="009C77E6" w:rsidP="009C77E6">
      <w:r w:rsidRPr="009C77E6">
        <w:rPr>
          <w:b/>
          <w:bCs/>
          <w:u w:val="single"/>
        </w:rPr>
        <w:t>Summary:</w:t>
      </w:r>
      <w:r w:rsidRPr="009C77E6">
        <w:rPr>
          <w:b/>
          <w:bCs/>
          <w:u w:val="single"/>
        </w:rPr>
        <w:br/>
      </w:r>
      <w:r w:rsidRPr="009C77E6">
        <w:t>Johansson revisits Erikson’s final psychosocial stage—integrity versus despair—within geriatric rehabilitation. The article argues that achieving integrity involves accepting one’s life story while sustaining emotional attachment and imagination. Through detailed case examples, it shows that aligning rehabilitation with clients’ psychosocial tasks can enhance motivation, reduce depressive symptoms, and lead to better therapy outcomes.</w:t>
      </w:r>
    </w:p>
    <w:p w14:paraId="5C8DF55C" w14:textId="77777777" w:rsidR="009C77E6" w:rsidRDefault="009C77E6" w:rsidP="009C77E6">
      <w:r w:rsidRPr="009C77E6">
        <w:rPr>
          <w:b/>
          <w:bCs/>
          <w:u w:val="single"/>
        </w:rPr>
        <w:t>Critical comment:</w:t>
      </w:r>
      <w:r w:rsidRPr="009C77E6">
        <w:rPr>
          <w:b/>
          <w:bCs/>
          <w:u w:val="single"/>
        </w:rPr>
        <w:br/>
      </w:r>
      <w:r w:rsidRPr="009C77E6">
        <w:t>This source bridges psychology and clinical practice effectively. It underscores that physical rehabilitation success is often contingent on psychosocial readiness, especially acceptance of ageing. The framework helps healthcare teams design interventions that support emotional closure and meaning</w:t>
      </w:r>
      <w:r w:rsidRPr="009C77E6">
        <w:noBreakHyphen/>
        <w:t xml:space="preserve">making. However, its clinical anecdotes lack rigorous empirical validation. Despite this, it provides a practical roadmap for interdisciplinary teams to integrate </w:t>
      </w:r>
      <w:proofErr w:type="spellStart"/>
      <w:r w:rsidRPr="009C77E6">
        <w:t>Eriksonian</w:t>
      </w:r>
      <w:proofErr w:type="spellEnd"/>
      <w:r w:rsidRPr="009C77E6">
        <w:t xml:space="preserve"> insights into daily care routines.</w:t>
      </w:r>
      <w:r w:rsidRPr="009C77E6">
        <w:br/>
      </w:r>
      <w:hyperlink r:id="rId7" w:tgtFrame="_blank" w:history="1">
        <w:r w:rsidRPr="009C77E6">
          <w:rPr>
            <w:rStyle w:val="Hyperlink"/>
            <w:color w:val="000000" w:themeColor="text1"/>
            <w:u w:val="none"/>
          </w:rPr>
          <w:t>journals.lww.com</w:t>
        </w:r>
      </w:hyperlink>
    </w:p>
    <w:p w14:paraId="095AF32D" w14:textId="77777777" w:rsidR="001906DA" w:rsidRPr="001906DA" w:rsidRDefault="001906DA" w:rsidP="004619B7">
      <w:pPr>
        <w:numPr>
          <w:ilvl w:val="0"/>
          <w:numId w:val="6"/>
        </w:numPr>
        <w:tabs>
          <w:tab w:val="clear" w:pos="720"/>
          <w:tab w:val="num" w:pos="426"/>
        </w:tabs>
        <w:ind w:left="426" w:hanging="426"/>
        <w:rPr>
          <w:color w:val="000000" w:themeColor="text1"/>
        </w:rPr>
      </w:pPr>
      <w:r w:rsidRPr="001906DA">
        <w:rPr>
          <w:color w:val="000000" w:themeColor="text1"/>
        </w:rPr>
        <w:t>Bugajska,</w:t>
      </w:r>
      <w:r w:rsidRPr="001906DA">
        <w:rPr>
          <w:rFonts w:ascii="Arial" w:hAnsi="Arial" w:cs="Arial"/>
          <w:color w:val="000000" w:themeColor="text1"/>
        </w:rPr>
        <w:t> </w:t>
      </w:r>
      <w:r w:rsidRPr="001906DA">
        <w:rPr>
          <w:color w:val="000000" w:themeColor="text1"/>
        </w:rPr>
        <w:t>B.</w:t>
      </w:r>
      <w:r w:rsidRPr="001906DA">
        <w:rPr>
          <w:rFonts w:ascii="Arial" w:hAnsi="Arial" w:cs="Arial"/>
          <w:color w:val="000000" w:themeColor="text1"/>
        </w:rPr>
        <w:t> </w:t>
      </w:r>
      <w:r w:rsidRPr="001906DA">
        <w:rPr>
          <w:color w:val="000000" w:themeColor="text1"/>
        </w:rPr>
        <w:t>E.</w:t>
      </w:r>
      <w:r w:rsidRPr="001906DA">
        <w:rPr>
          <w:rFonts w:ascii="Arial" w:hAnsi="Arial" w:cs="Arial"/>
          <w:color w:val="000000" w:themeColor="text1"/>
        </w:rPr>
        <w:t> </w:t>
      </w:r>
      <w:r w:rsidRPr="001906DA">
        <w:rPr>
          <w:color w:val="000000" w:themeColor="text1"/>
        </w:rPr>
        <w:t xml:space="preserve">(2017) </w:t>
      </w:r>
      <w:r w:rsidRPr="001906DA">
        <w:rPr>
          <w:rFonts w:ascii="Aptos" w:hAnsi="Aptos" w:cs="Aptos"/>
          <w:color w:val="000000" w:themeColor="text1"/>
        </w:rPr>
        <w:t>‘</w:t>
      </w:r>
      <w:r w:rsidRPr="001906DA">
        <w:rPr>
          <w:color w:val="000000" w:themeColor="text1"/>
        </w:rPr>
        <w:t>The Ninth Stage in the Cycle of Life: Reflections on</w:t>
      </w:r>
      <w:r w:rsidRPr="001906DA">
        <w:rPr>
          <w:rFonts w:ascii="Arial" w:hAnsi="Arial" w:cs="Arial"/>
          <w:color w:val="000000" w:themeColor="text1"/>
        </w:rPr>
        <w:t> </w:t>
      </w:r>
      <w:r w:rsidRPr="001906DA">
        <w:rPr>
          <w:color w:val="000000" w:themeColor="text1"/>
        </w:rPr>
        <w:t>E.</w:t>
      </w:r>
      <w:r w:rsidRPr="001906DA">
        <w:rPr>
          <w:rFonts w:ascii="Arial" w:hAnsi="Arial" w:cs="Arial"/>
          <w:color w:val="000000" w:themeColor="text1"/>
        </w:rPr>
        <w:t> </w:t>
      </w:r>
      <w:r w:rsidRPr="001906DA">
        <w:rPr>
          <w:color w:val="000000" w:themeColor="text1"/>
        </w:rPr>
        <w:t>H.</w:t>
      </w:r>
      <w:r w:rsidRPr="001906DA">
        <w:rPr>
          <w:rFonts w:ascii="Arial" w:hAnsi="Arial" w:cs="Arial"/>
          <w:color w:val="000000" w:themeColor="text1"/>
        </w:rPr>
        <w:t> </w:t>
      </w:r>
      <w:r w:rsidRPr="001906DA">
        <w:rPr>
          <w:color w:val="000000" w:themeColor="text1"/>
        </w:rPr>
        <w:t>Erikson</w:t>
      </w:r>
      <w:r w:rsidRPr="001906DA">
        <w:rPr>
          <w:rFonts w:ascii="Aptos" w:hAnsi="Aptos" w:cs="Aptos"/>
          <w:color w:val="000000" w:themeColor="text1"/>
        </w:rPr>
        <w:t>’</w:t>
      </w:r>
      <w:r w:rsidRPr="001906DA">
        <w:rPr>
          <w:color w:val="000000" w:themeColor="text1"/>
        </w:rPr>
        <w:t>s Theory</w:t>
      </w:r>
      <w:r w:rsidRPr="001906DA">
        <w:rPr>
          <w:rFonts w:ascii="Aptos" w:hAnsi="Aptos" w:cs="Aptos"/>
          <w:color w:val="000000" w:themeColor="text1"/>
        </w:rPr>
        <w:t>’</w:t>
      </w:r>
      <w:r w:rsidRPr="001906DA">
        <w:rPr>
          <w:color w:val="000000" w:themeColor="text1"/>
        </w:rPr>
        <w:t xml:space="preserve">, </w:t>
      </w:r>
      <w:r w:rsidRPr="001906DA">
        <w:rPr>
          <w:i/>
          <w:iCs/>
          <w:color w:val="000000" w:themeColor="text1"/>
        </w:rPr>
        <w:t>Ageing &amp; Society</w:t>
      </w:r>
      <w:r w:rsidRPr="001906DA">
        <w:rPr>
          <w:color w:val="000000" w:themeColor="text1"/>
        </w:rPr>
        <w:t>, 37(6), pp.</w:t>
      </w:r>
      <w:r w:rsidRPr="001906DA">
        <w:rPr>
          <w:rFonts w:ascii="Arial" w:hAnsi="Arial" w:cs="Arial"/>
          <w:color w:val="000000" w:themeColor="text1"/>
        </w:rPr>
        <w:t> </w:t>
      </w:r>
      <w:r w:rsidRPr="001906DA">
        <w:rPr>
          <w:color w:val="000000" w:themeColor="text1"/>
        </w:rPr>
        <w:t>1,069</w:t>
      </w:r>
      <w:r w:rsidRPr="001906DA">
        <w:rPr>
          <w:rFonts w:ascii="Aptos" w:hAnsi="Aptos" w:cs="Aptos"/>
          <w:color w:val="000000" w:themeColor="text1"/>
        </w:rPr>
        <w:t>–</w:t>
      </w:r>
      <w:r w:rsidRPr="001906DA">
        <w:rPr>
          <w:color w:val="000000" w:themeColor="text1"/>
        </w:rPr>
        <w:t>1,084.</w:t>
      </w:r>
      <w:r w:rsidRPr="001906DA">
        <w:rPr>
          <w:color w:val="000000" w:themeColor="text1"/>
        </w:rPr>
        <w:br/>
        <w:t>(Adapted to Activity Theory)</w:t>
      </w:r>
    </w:p>
    <w:p w14:paraId="012FB2AF" w14:textId="77777777" w:rsidR="001906DA" w:rsidRPr="001906DA" w:rsidRDefault="001906DA" w:rsidP="001906DA">
      <w:pPr>
        <w:rPr>
          <w:color w:val="000000" w:themeColor="text1"/>
        </w:rPr>
      </w:pPr>
      <w:r w:rsidRPr="001906DA">
        <w:rPr>
          <w:b/>
          <w:bCs/>
          <w:color w:val="000000" w:themeColor="text1"/>
          <w:u w:val="single"/>
        </w:rPr>
        <w:t>Summary:</w:t>
      </w:r>
      <w:r w:rsidRPr="001906DA">
        <w:rPr>
          <w:b/>
          <w:bCs/>
          <w:color w:val="000000" w:themeColor="text1"/>
          <w:u w:val="single"/>
        </w:rPr>
        <w:br/>
      </w:r>
      <w:r w:rsidRPr="001906DA">
        <w:rPr>
          <w:color w:val="000000" w:themeColor="text1"/>
        </w:rPr>
        <w:t>Using the lens of activity theory, the focus shifts from psychosocial stages to the ways in which continued engagement in meaningful activities supports wellbeing in later life. Activity theory proposes that maintaining social roles, routines, and purposeful action is central to successful ageing. Viewed this way, older adults’ increasing limitations highlight the importance of adapting activities rather than withdrawing from them. The emphasis is on sustaining participation, identity, and social connection even as physical or cognitive decline progresses.</w:t>
      </w:r>
    </w:p>
    <w:p w14:paraId="1DE692EE" w14:textId="02F83D23" w:rsidR="001906DA" w:rsidRPr="001906DA" w:rsidRDefault="001906DA" w:rsidP="001906DA">
      <w:pPr>
        <w:rPr>
          <w:color w:val="000000" w:themeColor="text1"/>
        </w:rPr>
      </w:pPr>
      <w:r w:rsidRPr="001906DA">
        <w:rPr>
          <w:b/>
          <w:bCs/>
          <w:color w:val="000000" w:themeColor="text1"/>
          <w:u w:val="single"/>
        </w:rPr>
        <w:lastRenderedPageBreak/>
        <w:t>Critical comment:</w:t>
      </w:r>
      <w:r w:rsidRPr="001906DA">
        <w:rPr>
          <w:color w:val="000000" w:themeColor="text1"/>
        </w:rPr>
        <w:br/>
        <w:t>Framing late</w:t>
      </w:r>
      <w:r w:rsidRPr="001906DA">
        <w:rPr>
          <w:color w:val="000000" w:themeColor="text1"/>
        </w:rPr>
        <w:noBreakHyphen/>
        <w:t>life changes through activity theory offers a practical and optimistic foundation for gerontological care. It encourages carers to support older adults in remaining engaged</w:t>
      </w:r>
      <w:r>
        <w:rPr>
          <w:color w:val="000000" w:themeColor="text1"/>
        </w:rPr>
        <w:t xml:space="preserve"> </w:t>
      </w:r>
      <w:r w:rsidRPr="001906DA">
        <w:rPr>
          <w:color w:val="000000" w:themeColor="text1"/>
        </w:rPr>
        <w:t>by modifying tasks, environments, and expectations</w:t>
      </w:r>
      <w:r>
        <w:rPr>
          <w:color w:val="000000" w:themeColor="text1"/>
        </w:rPr>
        <w:t xml:space="preserve"> </w:t>
      </w:r>
      <w:r w:rsidRPr="001906DA">
        <w:rPr>
          <w:color w:val="000000" w:themeColor="text1"/>
        </w:rPr>
        <w:t>rather than interpreting decline as an inevitable loss of self. Although activity theory is broad and not empirically tied to this specific article, it provides a strong theoretical rationale for designing care practices that prioritise agency, continuity, and purposeful involvement. This perspective is especially relevant in institutional settings, where maintaining autonomy and meaningful activity is essential for dignity and quality of life.</w:t>
      </w:r>
    </w:p>
    <w:p w14:paraId="64495A78" w14:textId="77777777" w:rsidR="001906DA" w:rsidRPr="009C77E6" w:rsidRDefault="001906DA" w:rsidP="009C77E6">
      <w:pPr>
        <w:rPr>
          <w:color w:val="000000" w:themeColor="text1"/>
        </w:rPr>
      </w:pPr>
    </w:p>
    <w:p w14:paraId="4D0AC18F" w14:textId="77777777" w:rsidR="009C77E6" w:rsidRPr="009C77E6" w:rsidRDefault="008D2AA3" w:rsidP="009C77E6">
      <w:r>
        <w:pict w14:anchorId="020C7564">
          <v:rect id="_x0000_i1027" style="width:0;height:0" o:hralign="center" o:hrstd="t" o:hr="t" fillcolor="#a0a0a0" stroked="f"/>
        </w:pict>
      </w:r>
    </w:p>
    <w:p w14:paraId="5FA44FBF" w14:textId="0C880A58" w:rsidR="009C77E6" w:rsidRPr="009C77E6" w:rsidRDefault="009C77E6" w:rsidP="009C77E6"/>
    <w:p w14:paraId="3D944B52" w14:textId="77777777" w:rsidR="009C77E6" w:rsidRPr="009C77E6" w:rsidRDefault="009C77E6" w:rsidP="009C77E6">
      <w:r w:rsidRPr="009C77E6">
        <w:t>Summary of Part</w:t>
      </w:r>
      <w:r w:rsidRPr="009C77E6">
        <w:rPr>
          <w:rFonts w:ascii="Arial" w:hAnsi="Arial" w:cs="Arial"/>
        </w:rPr>
        <w:t> </w:t>
      </w:r>
      <w:r w:rsidRPr="009C77E6">
        <w:t>A:</w:t>
      </w:r>
      <w:r w:rsidRPr="009C77E6">
        <w:br/>
        <w:t>Collectively, these sources confirm Erikson’s enduring significance in understanding adult psychological well</w:t>
      </w:r>
      <w:r w:rsidRPr="009C77E6">
        <w:noBreakHyphen/>
        <w:t>being. His concepts of integrity, wisdom, and continuity are crucial in promoting dignity, purpose, and autonomy for older adults within health and social care practice.</w:t>
      </w:r>
    </w:p>
    <w:p w14:paraId="7D1A6912" w14:textId="77777777" w:rsidR="009C77E6" w:rsidRPr="009C77E6" w:rsidRDefault="008D2AA3" w:rsidP="009C77E6">
      <w:r>
        <w:pict w14:anchorId="28184F20">
          <v:rect id="_x0000_i1029" style="width:0;height:0" o:hralign="center" o:hrstd="t" o:hr="t" fillcolor="#a0a0a0" stroked="f"/>
        </w:pict>
      </w:r>
    </w:p>
    <w:p w14:paraId="793DC109" w14:textId="7F44EF86" w:rsidR="009C77E6" w:rsidRPr="009C77E6" w:rsidRDefault="009C77E6" w:rsidP="009C77E6">
      <w:r w:rsidRPr="009C77E6">
        <w:t>Part</w:t>
      </w:r>
      <w:r w:rsidRPr="009C77E6">
        <w:rPr>
          <w:rFonts w:ascii="Arial" w:hAnsi="Arial" w:cs="Arial"/>
        </w:rPr>
        <w:t> </w:t>
      </w:r>
      <w:r w:rsidRPr="009C77E6">
        <w:t xml:space="preserve">B: </w:t>
      </w:r>
    </w:p>
    <w:p w14:paraId="51236CE1" w14:textId="77777777" w:rsidR="009C77E6" w:rsidRPr="009C77E6" w:rsidRDefault="009C77E6" w:rsidP="009C77E6">
      <w:pPr>
        <w:rPr>
          <w:b/>
          <w:bCs/>
          <w:u w:val="single"/>
        </w:rPr>
      </w:pPr>
      <w:r w:rsidRPr="009C77E6">
        <w:rPr>
          <w:b/>
          <w:bCs/>
          <w:i/>
          <w:iCs/>
          <w:u w:val="single"/>
        </w:rPr>
        <w:t>Applying Activity Theory to Enhance Psychological Well</w:t>
      </w:r>
      <w:r w:rsidRPr="009C77E6">
        <w:rPr>
          <w:b/>
          <w:bCs/>
          <w:i/>
          <w:iCs/>
          <w:u w:val="single"/>
        </w:rPr>
        <w:noBreakHyphen/>
        <w:t>being in Residential Care</w:t>
      </w:r>
    </w:p>
    <w:p w14:paraId="5714E242" w14:textId="77777777" w:rsidR="009C77E6" w:rsidRPr="009C77E6" w:rsidRDefault="008D2AA3" w:rsidP="009C77E6">
      <w:r>
        <w:pict w14:anchorId="47A04DF9">
          <v:rect id="_x0000_i1030" style="width:0;height:0" o:hralign="center" o:hrstd="t" o:hr="t" fillcolor="#a0a0a0" stroked="f"/>
        </w:pict>
      </w:r>
    </w:p>
    <w:p w14:paraId="5738D4BE" w14:textId="77777777" w:rsidR="009C77E6" w:rsidRPr="009C77E6" w:rsidRDefault="009C77E6" w:rsidP="009C77E6">
      <w:pPr>
        <w:rPr>
          <w:b/>
          <w:bCs/>
          <w:u w:val="single"/>
        </w:rPr>
      </w:pPr>
      <w:r w:rsidRPr="009C77E6">
        <w:rPr>
          <w:b/>
          <w:bCs/>
          <w:u w:val="single"/>
        </w:rPr>
        <w:t>Introduction (≈75</w:t>
      </w:r>
      <w:r w:rsidRPr="009C77E6">
        <w:rPr>
          <w:rFonts w:ascii="Arial" w:hAnsi="Arial" w:cs="Arial"/>
          <w:b/>
          <w:bCs/>
          <w:u w:val="single"/>
        </w:rPr>
        <w:t> </w:t>
      </w:r>
      <w:r w:rsidRPr="009C77E6">
        <w:rPr>
          <w:b/>
          <w:bCs/>
          <w:u w:val="single"/>
        </w:rPr>
        <w:t>words)</w:t>
      </w:r>
    </w:p>
    <w:p w14:paraId="3A4663E7" w14:textId="77777777" w:rsidR="009C77E6" w:rsidRPr="009C77E6" w:rsidRDefault="009C77E6" w:rsidP="009C77E6">
      <w:r w:rsidRPr="009C77E6">
        <w:t>This report explores how Havighurst’s Activity Theory can be applied to enhance the psychological well</w:t>
      </w:r>
      <w:r w:rsidRPr="009C77E6">
        <w:noBreakHyphen/>
        <w:t>being of older adults in residential care. The theory proposes that continued participation in meaningful social and physical activities supports satisfaction and mental health in ageing. By examining its principles, a care</w:t>
      </w:r>
      <w:r w:rsidRPr="009C77E6">
        <w:noBreakHyphen/>
        <w:t>home implementation example, and practical challenges, the report demonstrates how maintaining purposeful engagement empowers residents and improves overall quality of life.</w:t>
      </w:r>
    </w:p>
    <w:p w14:paraId="39735774" w14:textId="77777777" w:rsidR="009C77E6" w:rsidRPr="009C77E6" w:rsidRDefault="008D2AA3" w:rsidP="009C77E6">
      <w:r>
        <w:pict w14:anchorId="6BDC3101">
          <v:rect id="_x0000_i1031" style="width:0;height:0" o:hralign="center" o:hrstd="t" o:hr="t" fillcolor="#a0a0a0" stroked="f"/>
        </w:pict>
      </w:r>
    </w:p>
    <w:p w14:paraId="3D8FA407" w14:textId="77777777" w:rsidR="0055737C" w:rsidRPr="00071974" w:rsidRDefault="009C77E6" w:rsidP="009C77E6">
      <w:pPr>
        <w:rPr>
          <w:b/>
          <w:bCs/>
          <w:u w:val="single"/>
        </w:rPr>
      </w:pPr>
      <w:r w:rsidRPr="009C77E6">
        <w:rPr>
          <w:b/>
          <w:bCs/>
          <w:u w:val="single"/>
        </w:rPr>
        <w:t>Explanation of the Theory (≈200</w:t>
      </w:r>
      <w:r w:rsidRPr="009C77E6">
        <w:rPr>
          <w:rFonts w:ascii="Arial" w:hAnsi="Arial" w:cs="Arial"/>
          <w:b/>
          <w:bCs/>
          <w:u w:val="single"/>
        </w:rPr>
        <w:t> </w:t>
      </w:r>
      <w:r w:rsidRPr="009C77E6">
        <w:rPr>
          <w:b/>
          <w:bCs/>
          <w:u w:val="single"/>
        </w:rPr>
        <w:t>words)</w:t>
      </w:r>
    </w:p>
    <w:p w14:paraId="1F6F1933" w14:textId="080EDF0D" w:rsidR="009C77E6" w:rsidRPr="009C77E6" w:rsidRDefault="009C77E6" w:rsidP="009C77E6">
      <w:r w:rsidRPr="009C77E6">
        <w:t>Developed by Robert</w:t>
      </w:r>
      <w:r w:rsidRPr="009C77E6">
        <w:rPr>
          <w:rFonts w:ascii="Arial" w:hAnsi="Arial" w:cs="Arial"/>
        </w:rPr>
        <w:t> </w:t>
      </w:r>
      <w:r w:rsidRPr="009C77E6">
        <w:t>J.</w:t>
      </w:r>
      <w:r w:rsidRPr="009C77E6">
        <w:rPr>
          <w:rFonts w:ascii="Arial" w:hAnsi="Arial" w:cs="Arial"/>
        </w:rPr>
        <w:t> </w:t>
      </w:r>
      <w:r w:rsidRPr="009C77E6">
        <w:t xml:space="preserve">Havighurst in the 1960s, Activity Theory emerged as an alternative to disengagement theories of ageing. It argues that successful ageing depends on older adults maintaining the roles, relationships, and interests that gave their earlier lives meaning. The underlying assumption is that staying physically active </w:t>
      </w:r>
      <w:r w:rsidRPr="009C77E6">
        <w:lastRenderedPageBreak/>
        <w:t>and socially engaged contributes to a sense of competence, identity continuity, and happiness.</w:t>
      </w:r>
    </w:p>
    <w:p w14:paraId="04268655" w14:textId="32D55949" w:rsidR="009C77E6" w:rsidRPr="009C77E6" w:rsidRDefault="009C77E6" w:rsidP="009C77E6">
      <w:r w:rsidRPr="009C77E6">
        <w:t>Psychologically, the theory aligns with self</w:t>
      </w:r>
      <w:r w:rsidRPr="009C77E6">
        <w:noBreakHyphen/>
        <w:t xml:space="preserve">determination and social identity principles: maintaining agency and belonging prevents feelings of isolation and decline. Unlike Erikson’s focus on internal psychosocial resolution, Activity Theory emphasizes behavioural adaptation and environmental support. In residential care, it suggests that </w:t>
      </w:r>
      <w:r w:rsidR="00C76310" w:rsidRPr="009C77E6">
        <w:t>structured,</w:t>
      </w:r>
      <w:r w:rsidRPr="009C77E6">
        <w:t xml:space="preserve"> yet flexible programming</w:t>
      </w:r>
      <w:r w:rsidR="00C76310">
        <w:t xml:space="preserve"> </w:t>
      </w:r>
      <w:r w:rsidRPr="009C77E6">
        <w:t>such as group exercise, volunteering, or creative clubs</w:t>
      </w:r>
      <w:r w:rsidR="00C76310">
        <w:t xml:space="preserve"> </w:t>
      </w:r>
      <w:r w:rsidRPr="009C77E6">
        <w:t>can provide residents with opportunities to express autonomy, mastery, and social connection.</w:t>
      </w:r>
    </w:p>
    <w:p w14:paraId="54FC2552" w14:textId="4EDE937D" w:rsidR="009C77E6" w:rsidRPr="009C77E6" w:rsidRDefault="009C77E6" w:rsidP="009C77E6">
      <w:r w:rsidRPr="009C77E6">
        <w:t>In contemporary gerontology, the model has evolved to include cognitive and emotional dimensions. Activity is now understood not only as physical motion but as engagement</w:t>
      </w:r>
      <w:r w:rsidR="00C76310">
        <w:t xml:space="preserve"> </w:t>
      </w:r>
      <w:r w:rsidRPr="009C77E6">
        <w:t>conversation, learning, mentoring, or spiritual participation</w:t>
      </w:r>
      <w:r w:rsidR="00C76310">
        <w:t xml:space="preserve"> </w:t>
      </w:r>
      <w:r w:rsidRPr="009C77E6">
        <w:t>all of which reinforce purpose and resilience in late adulthood.</w:t>
      </w:r>
    </w:p>
    <w:p w14:paraId="6830AEB3" w14:textId="77777777" w:rsidR="009C77E6" w:rsidRPr="009C77E6" w:rsidRDefault="008D2AA3" w:rsidP="009C77E6">
      <w:r>
        <w:pict w14:anchorId="7950F49D">
          <v:rect id="_x0000_i1032" style="width:0;height:0" o:hralign="center" o:hrstd="t" o:hr="t" fillcolor="#a0a0a0" stroked="f"/>
        </w:pict>
      </w:r>
    </w:p>
    <w:p w14:paraId="2EAB0928" w14:textId="77777777" w:rsidR="009C77E6" w:rsidRPr="009C77E6" w:rsidRDefault="009C77E6" w:rsidP="009C77E6">
      <w:pPr>
        <w:rPr>
          <w:b/>
          <w:bCs/>
          <w:u w:val="single"/>
        </w:rPr>
      </w:pPr>
      <w:r w:rsidRPr="009C77E6">
        <w:rPr>
          <w:b/>
          <w:bCs/>
          <w:u w:val="single"/>
        </w:rPr>
        <w:t>Application of the Theory in Care Practice (≈150</w:t>
      </w:r>
      <w:r w:rsidRPr="009C77E6">
        <w:rPr>
          <w:rFonts w:ascii="Arial" w:hAnsi="Arial" w:cs="Arial"/>
          <w:b/>
          <w:bCs/>
          <w:u w:val="single"/>
        </w:rPr>
        <w:t> </w:t>
      </w:r>
      <w:r w:rsidRPr="009C77E6">
        <w:rPr>
          <w:b/>
          <w:bCs/>
          <w:u w:val="single"/>
        </w:rPr>
        <w:t>words)</w:t>
      </w:r>
    </w:p>
    <w:p w14:paraId="728B0E3B" w14:textId="45D3C7AE" w:rsidR="009C77E6" w:rsidRPr="009C77E6" w:rsidRDefault="009C77E6" w:rsidP="009C77E6">
      <w:r w:rsidRPr="009C77E6">
        <w:t>Implementing Activity Theory in a care</w:t>
      </w:r>
      <w:r w:rsidRPr="009C77E6">
        <w:noBreakHyphen/>
        <w:t>home context means designing person</w:t>
      </w:r>
      <w:r w:rsidRPr="009C77E6">
        <w:noBreakHyphen/>
        <w:t>centred programs that match residents’ preferences and past identities. Staff can conduct “life</w:t>
      </w:r>
      <w:r w:rsidRPr="009C77E6">
        <w:noBreakHyphen/>
        <w:t>story interviews” to identify meaningful roles</w:t>
      </w:r>
      <w:r w:rsidR="00C76310">
        <w:t xml:space="preserve"> </w:t>
      </w:r>
      <w:r w:rsidRPr="009C77E6">
        <w:t>teacher, gardener, parent, musician</w:t>
      </w:r>
      <w:r w:rsidR="00924EE0">
        <w:t xml:space="preserve"> </w:t>
      </w:r>
      <w:r w:rsidRPr="009C77E6">
        <w:t>and recreate adapted versions of those roles within the facility. Even small activities, such as leading a discussion group or tending to communal plants, can foster a sense of contribution.</w:t>
      </w:r>
    </w:p>
    <w:p w14:paraId="5BADF14E" w14:textId="77777777" w:rsidR="009C77E6" w:rsidRPr="009C77E6" w:rsidRDefault="009C77E6" w:rsidP="009C77E6">
      <w:r w:rsidRPr="009C77E6">
        <w:t>Integrating such engagement into care plans also requires interdisciplinary collaboration. Occupational therapists may design tailored activities that respect physical limitations, while social care workers facilitate group cohesion. Regular evaluation and resident feedback ensure ongoing relevance. These practical applications shift the focus from passive maintenance to active ageing, encouraging well</w:t>
      </w:r>
      <w:r w:rsidRPr="009C77E6">
        <w:noBreakHyphen/>
        <w:t>being through purpose, belonging, and daily accomplishment.</w:t>
      </w:r>
    </w:p>
    <w:p w14:paraId="3B0F318D" w14:textId="77777777" w:rsidR="009C77E6" w:rsidRPr="009C77E6" w:rsidRDefault="008D2AA3" w:rsidP="009C77E6">
      <w:r>
        <w:pict w14:anchorId="31C5119D">
          <v:rect id="_x0000_i1033" style="width:0;height:0" o:hralign="center" o:hrstd="t" o:hr="t" fillcolor="#a0a0a0" stroked="f"/>
        </w:pict>
      </w:r>
    </w:p>
    <w:p w14:paraId="50ECBD7F" w14:textId="77777777" w:rsidR="009C77E6" w:rsidRPr="009C77E6" w:rsidRDefault="009C77E6" w:rsidP="009C77E6">
      <w:pPr>
        <w:rPr>
          <w:b/>
          <w:bCs/>
          <w:u w:val="single"/>
        </w:rPr>
      </w:pPr>
      <w:r w:rsidRPr="009C77E6">
        <w:rPr>
          <w:b/>
          <w:bCs/>
          <w:u w:val="single"/>
        </w:rPr>
        <w:t>Real</w:t>
      </w:r>
      <w:r w:rsidRPr="009C77E6">
        <w:rPr>
          <w:b/>
          <w:bCs/>
          <w:u w:val="single"/>
        </w:rPr>
        <w:noBreakHyphen/>
        <w:t>World Example (≈150</w:t>
      </w:r>
      <w:r w:rsidRPr="009C77E6">
        <w:rPr>
          <w:rFonts w:ascii="Arial" w:hAnsi="Arial" w:cs="Arial"/>
          <w:b/>
          <w:bCs/>
          <w:u w:val="single"/>
        </w:rPr>
        <w:t> </w:t>
      </w:r>
      <w:r w:rsidRPr="009C77E6">
        <w:rPr>
          <w:b/>
          <w:bCs/>
          <w:u w:val="single"/>
        </w:rPr>
        <w:t>words)</w:t>
      </w:r>
    </w:p>
    <w:p w14:paraId="252E91B9" w14:textId="64204D13" w:rsidR="009C77E6" w:rsidRPr="009C77E6" w:rsidRDefault="009C77E6" w:rsidP="009C77E6">
      <w:r w:rsidRPr="009C77E6">
        <w:t>In a medium</w:t>
      </w:r>
      <w:r w:rsidRPr="009C77E6">
        <w:noBreakHyphen/>
        <w:t>sized UK residential home specializing in dementia</w:t>
      </w:r>
      <w:r w:rsidRPr="009C77E6">
        <w:noBreakHyphen/>
        <w:t>friendly care, staff introduced a “Resident Mentors” initiative inspired by Activity Theory. Several retired professionals were invited to lead short sessions reflecting their former expertise</w:t>
      </w:r>
      <w:r w:rsidR="00924EE0">
        <w:t xml:space="preserve"> </w:t>
      </w:r>
      <w:r w:rsidRPr="009C77E6">
        <w:t>such as poetry readings, cooking classes, and gardening demonstrations.</w:t>
      </w:r>
    </w:p>
    <w:p w14:paraId="06991EDB" w14:textId="77777777" w:rsidR="009C77E6" w:rsidRPr="009C77E6" w:rsidRDefault="009C77E6" w:rsidP="009C77E6">
      <w:r w:rsidRPr="009C77E6">
        <w:t xml:space="preserve">One resident, a former schoolteacher named Margaret, began hosting weekly storytelling sessions with younger volunteers. Over three months, staff noted a visible improvement in her mood and appetite, along with reduced episodes of anxiety </w:t>
      </w:r>
      <w:r w:rsidRPr="009C77E6">
        <w:lastRenderedPageBreak/>
        <w:t>recorded by nursing staff. Participants reported higher levels of engagement and community spirit across the home.</w:t>
      </w:r>
    </w:p>
    <w:p w14:paraId="3B417753" w14:textId="79B3544B" w:rsidR="009C77E6" w:rsidRPr="009C77E6" w:rsidRDefault="009C77E6" w:rsidP="009C77E6">
      <w:r w:rsidRPr="009C77E6">
        <w:t>This example illustrates that sustaining meaningful roles reinforces identity and combats loneliness</w:t>
      </w:r>
      <w:r w:rsidR="003A4C7E">
        <w:t xml:space="preserve"> and </w:t>
      </w:r>
      <w:r w:rsidRPr="009C77E6">
        <w:t>two major determinants of late</w:t>
      </w:r>
      <w:r w:rsidRPr="009C77E6">
        <w:noBreakHyphen/>
        <w:t>life depression. By framing activity as contribution rather than entertainment, the initiative empowered residents to view themselves as valued community members, validating central tenets of Activity Theory in practice.</w:t>
      </w:r>
    </w:p>
    <w:p w14:paraId="598B74BB" w14:textId="77777777" w:rsidR="009C77E6" w:rsidRPr="009C77E6" w:rsidRDefault="008D2AA3" w:rsidP="009C77E6">
      <w:r>
        <w:pict w14:anchorId="70418122">
          <v:rect id="_x0000_i1034" style="width:0;height:0" o:hralign="center" o:hrstd="t" o:hr="t" fillcolor="#a0a0a0" stroked="f"/>
        </w:pict>
      </w:r>
    </w:p>
    <w:p w14:paraId="560A1202" w14:textId="77777777" w:rsidR="009C77E6" w:rsidRPr="009C77E6" w:rsidRDefault="009C77E6" w:rsidP="009C77E6">
      <w:pPr>
        <w:rPr>
          <w:b/>
          <w:bCs/>
          <w:u w:val="single"/>
        </w:rPr>
      </w:pPr>
      <w:r w:rsidRPr="009C77E6">
        <w:rPr>
          <w:b/>
          <w:bCs/>
          <w:u w:val="single"/>
        </w:rPr>
        <w:t>Challenges and Strategies (≈100</w:t>
      </w:r>
      <w:r w:rsidRPr="009C77E6">
        <w:rPr>
          <w:rFonts w:ascii="Arial" w:hAnsi="Arial" w:cs="Arial"/>
          <w:b/>
          <w:bCs/>
          <w:u w:val="single"/>
        </w:rPr>
        <w:t> </w:t>
      </w:r>
      <w:r w:rsidRPr="009C77E6">
        <w:rPr>
          <w:b/>
          <w:bCs/>
          <w:u w:val="single"/>
        </w:rPr>
        <w:t>words)</w:t>
      </w:r>
    </w:p>
    <w:p w14:paraId="5B61BC07" w14:textId="77777777" w:rsidR="009C77E6" w:rsidRPr="009C77E6" w:rsidRDefault="009C77E6" w:rsidP="009C77E6">
      <w:r w:rsidRPr="009C77E6">
        <w:t>A common challenge in applying Activity Theory is balancing meaningful engagement with medical and logistical constraints. Care staff often face time pressure, high workloads, and limited resources, which can reduce opportunities for organized activity. Some residents may also experience cognitive impairment or mobility issues that hinder participation.</w:t>
      </w:r>
    </w:p>
    <w:p w14:paraId="4F77488F" w14:textId="3CF90D6C" w:rsidR="009C77E6" w:rsidRPr="009C77E6" w:rsidRDefault="009C77E6" w:rsidP="009C77E6">
      <w:r w:rsidRPr="009C77E6">
        <w:t>To overcome these barriers, homes can adopt tiered activity planning</w:t>
      </w:r>
      <w:r w:rsidR="00681111">
        <w:t xml:space="preserve"> </w:t>
      </w:r>
      <w:r w:rsidR="004535AB">
        <w:t>-</w:t>
      </w:r>
      <w:r w:rsidRPr="009C77E6">
        <w:t>offering varied intensity levels (e.g., chair</w:t>
      </w:r>
      <w:r w:rsidRPr="009C77E6">
        <w:noBreakHyphen/>
        <w:t>based exercise, reminiscence sessions, or digital interactions). Training programs can equip staff to incorporate micro</w:t>
      </w:r>
      <w:r w:rsidRPr="009C77E6">
        <w:noBreakHyphen/>
        <w:t>activities into daily routines rather than treating them as optional extras. Family partnerships and volunteer programs further sustain social engagement without overburdening care teams.</w:t>
      </w:r>
    </w:p>
    <w:p w14:paraId="2E2784FF" w14:textId="77777777" w:rsidR="009C77E6" w:rsidRPr="009C77E6" w:rsidRDefault="008D2AA3" w:rsidP="009C77E6">
      <w:r>
        <w:pict w14:anchorId="1C03F209">
          <v:rect id="_x0000_i1035" style="width:0;height:0" o:hralign="center" o:hrstd="t" o:hr="t" fillcolor="#a0a0a0" stroked="f"/>
        </w:pict>
      </w:r>
    </w:p>
    <w:p w14:paraId="3D25E575" w14:textId="77777777" w:rsidR="009C77E6" w:rsidRPr="009C77E6" w:rsidRDefault="009C77E6" w:rsidP="009C77E6">
      <w:pPr>
        <w:rPr>
          <w:b/>
          <w:bCs/>
          <w:u w:val="single"/>
        </w:rPr>
      </w:pPr>
      <w:r w:rsidRPr="009C77E6">
        <w:rPr>
          <w:b/>
          <w:bCs/>
          <w:u w:val="single"/>
        </w:rPr>
        <w:t>Conclusion (≈75</w:t>
      </w:r>
      <w:r w:rsidRPr="009C77E6">
        <w:rPr>
          <w:rFonts w:ascii="Arial" w:hAnsi="Arial" w:cs="Arial"/>
          <w:b/>
          <w:bCs/>
          <w:u w:val="single"/>
        </w:rPr>
        <w:t> </w:t>
      </w:r>
      <w:r w:rsidRPr="009C77E6">
        <w:rPr>
          <w:b/>
          <w:bCs/>
          <w:u w:val="single"/>
        </w:rPr>
        <w:t>words)</w:t>
      </w:r>
    </w:p>
    <w:p w14:paraId="71E08388" w14:textId="77777777" w:rsidR="009C77E6" w:rsidRPr="009C77E6" w:rsidRDefault="009C77E6" w:rsidP="009C77E6">
      <w:r w:rsidRPr="009C77E6">
        <w:t>Activity Theory provides a practical and optimistic framework for enhancing psychological well</w:t>
      </w:r>
      <w:r w:rsidRPr="009C77E6">
        <w:noBreakHyphen/>
        <w:t>being among residents in care homes. By valuing continued participation, it affirms older adults’ sense of usefulness and inclusion. Implementing resident</w:t>
      </w:r>
      <w:r w:rsidRPr="009C77E6">
        <w:noBreakHyphen/>
        <w:t>led, adaptable activity programmes can counteract loneliness and promote positive self</w:t>
      </w:r>
      <w:r w:rsidRPr="009C77E6">
        <w:noBreakHyphen/>
        <w:t>identity. When health and social care professionals integrate meaningful engagement into everyday care, they not only align with evidence</w:t>
      </w:r>
      <w:r w:rsidRPr="009C77E6">
        <w:noBreakHyphen/>
        <w:t>based ageing theory but also uphold dignity and joy</w:t>
      </w:r>
      <w:r w:rsidRPr="009C77E6">
        <w:rPr>
          <w:sz w:val="32"/>
          <w:szCs w:val="32"/>
        </w:rPr>
        <w:t xml:space="preserve"> </w:t>
      </w:r>
      <w:r w:rsidRPr="009C77E6">
        <w:t>in later life.</w:t>
      </w:r>
    </w:p>
    <w:p w14:paraId="22CD1A3A" w14:textId="77777777" w:rsidR="008F65C2" w:rsidRDefault="008F65C2" w:rsidP="009C77E6"/>
    <w:p w14:paraId="45EEB407" w14:textId="087620C4" w:rsidR="008F65C2" w:rsidRDefault="00173057" w:rsidP="009C77E6">
      <w:pPr>
        <w:rPr>
          <w:b/>
          <w:bCs/>
          <w:u w:val="single"/>
        </w:rPr>
      </w:pPr>
      <w:r w:rsidRPr="00173057">
        <w:rPr>
          <w:b/>
          <w:bCs/>
          <w:u w:val="single"/>
        </w:rPr>
        <w:t>REFERENCES</w:t>
      </w:r>
    </w:p>
    <w:p w14:paraId="0698D109" w14:textId="4D1AFCE2" w:rsidR="00173057" w:rsidRDefault="00173057" w:rsidP="00173057">
      <w:pPr>
        <w:pStyle w:val="ListParagraph"/>
        <w:numPr>
          <w:ilvl w:val="0"/>
          <w:numId w:val="7"/>
        </w:numPr>
      </w:pPr>
      <w:r w:rsidRPr="009C77E6">
        <w:t>Perry,</w:t>
      </w:r>
      <w:r w:rsidRPr="00173057">
        <w:rPr>
          <w:rFonts w:ascii="Arial" w:hAnsi="Arial" w:cs="Arial"/>
        </w:rPr>
        <w:t> </w:t>
      </w:r>
      <w:r w:rsidRPr="009C77E6">
        <w:t>T.</w:t>
      </w:r>
      <w:r w:rsidRPr="00173057">
        <w:rPr>
          <w:rFonts w:ascii="Arial" w:hAnsi="Arial" w:cs="Arial"/>
        </w:rPr>
        <w:t> </w:t>
      </w:r>
      <w:r w:rsidRPr="009C77E6">
        <w:t>E.,</w:t>
      </w:r>
      <w:r w:rsidRPr="00173057">
        <w:rPr>
          <w:rFonts w:ascii="Arial" w:hAnsi="Arial" w:cs="Arial"/>
        </w:rPr>
        <w:t> </w:t>
      </w:r>
      <w:r w:rsidRPr="009C77E6">
        <w:t>Hassevoort,</w:t>
      </w:r>
      <w:r w:rsidRPr="00173057">
        <w:rPr>
          <w:rFonts w:ascii="Arial" w:hAnsi="Arial" w:cs="Arial"/>
        </w:rPr>
        <w:t> </w:t>
      </w:r>
      <w:r w:rsidRPr="009C77E6">
        <w:t>L.,</w:t>
      </w:r>
      <w:r w:rsidRPr="00173057">
        <w:rPr>
          <w:rFonts w:ascii="Arial" w:hAnsi="Arial" w:cs="Arial"/>
        </w:rPr>
        <w:t> </w:t>
      </w:r>
      <w:r w:rsidRPr="009C77E6">
        <w:t>Ruggiano,</w:t>
      </w:r>
      <w:r w:rsidRPr="00173057">
        <w:rPr>
          <w:rFonts w:ascii="Arial" w:hAnsi="Arial" w:cs="Arial"/>
        </w:rPr>
        <w:t> </w:t>
      </w:r>
      <w:r w:rsidRPr="009C77E6">
        <w:t>N.,</w:t>
      </w:r>
      <w:r w:rsidRPr="00173057">
        <w:rPr>
          <w:rFonts w:ascii="Arial" w:hAnsi="Arial" w:cs="Arial"/>
        </w:rPr>
        <w:t> </w:t>
      </w:r>
      <w:r w:rsidRPr="009C77E6">
        <w:t>&amp;</w:t>
      </w:r>
      <w:r w:rsidRPr="00173057">
        <w:rPr>
          <w:rFonts w:ascii="Arial" w:hAnsi="Arial" w:cs="Arial"/>
        </w:rPr>
        <w:t> </w:t>
      </w:r>
      <w:proofErr w:type="spellStart"/>
      <w:r w:rsidRPr="009C77E6">
        <w:t>Shtompel</w:t>
      </w:r>
      <w:proofErr w:type="spellEnd"/>
      <w:ins w:id="3" w:author="Microsoft Word" w:date="2026-03-13T09:32:00Z" w16du:dateUtc="2026-03-13T09:32:00Z">
        <w:r w:rsidRPr="009C77E6">
          <w:t>.</w:t>
        </w:r>
        <w:r>
          <w:t xml:space="preserve"> and </w:t>
        </w:r>
        <w:r w:rsidRPr="009C77E6">
          <w:t>Shtompel</w:t>
        </w:r>
      </w:ins>
      <w:r w:rsidRPr="009C77E6">
        <w:t>,</w:t>
      </w:r>
      <w:r w:rsidRPr="00173057">
        <w:rPr>
          <w:rFonts w:ascii="Arial" w:hAnsi="Arial" w:cs="Arial"/>
        </w:rPr>
        <w:t> </w:t>
      </w:r>
      <w:r w:rsidRPr="009C77E6">
        <w:t>N.</w:t>
      </w:r>
      <w:r w:rsidRPr="00173057">
        <w:rPr>
          <w:rFonts w:ascii="Arial" w:hAnsi="Arial" w:cs="Arial"/>
        </w:rPr>
        <w:t> </w:t>
      </w:r>
      <w:r w:rsidRPr="009C77E6">
        <w:t>(2015)</w:t>
      </w:r>
      <w:r w:rsidRPr="00173057">
        <w:rPr>
          <w:rFonts w:ascii="Arial" w:hAnsi="Arial" w:cs="Arial"/>
        </w:rPr>
        <w:t> </w:t>
      </w:r>
      <w:r w:rsidRPr="00173057">
        <w:rPr>
          <w:rFonts w:ascii="Aptos" w:hAnsi="Aptos" w:cs="Aptos"/>
        </w:rPr>
        <w:t>‘</w:t>
      </w:r>
      <w:r w:rsidRPr="009C77E6">
        <w:t>Applying</w:t>
      </w:r>
      <w:r w:rsidRPr="00173057">
        <w:rPr>
          <w:rFonts w:ascii="Arial" w:hAnsi="Arial" w:cs="Arial"/>
        </w:rPr>
        <w:t> </w:t>
      </w:r>
      <w:r w:rsidRPr="009C77E6">
        <w:t>Erikson</w:t>
      </w:r>
      <w:r w:rsidRPr="00173057">
        <w:rPr>
          <w:rFonts w:ascii="Aptos" w:hAnsi="Aptos" w:cs="Aptos"/>
        </w:rPr>
        <w:t>’</w:t>
      </w:r>
      <w:r w:rsidRPr="009C77E6">
        <w:t>s Wisdom to Self</w:t>
      </w:r>
      <w:r w:rsidRPr="009C77E6">
        <w:noBreakHyphen/>
        <w:t>Management Practices of Older Adults: Findings from Two Field Studies</w:t>
      </w:r>
      <w:r w:rsidRPr="00173057">
        <w:rPr>
          <w:rFonts w:ascii="Aptos" w:hAnsi="Aptos" w:cs="Aptos"/>
        </w:rPr>
        <w:t>’</w:t>
      </w:r>
      <w:r w:rsidRPr="009C77E6">
        <w:t>,</w:t>
      </w:r>
      <w:r w:rsidRPr="00173057">
        <w:rPr>
          <w:rFonts w:ascii="Aptos" w:hAnsi="Aptos" w:cs="Aptos"/>
        </w:rPr>
        <w:t> </w:t>
      </w:r>
      <w:r w:rsidRPr="00173057">
        <w:rPr>
          <w:i/>
          <w:iCs/>
        </w:rPr>
        <w:t>Research on</w:t>
      </w:r>
      <w:r w:rsidRPr="00173057">
        <w:rPr>
          <w:rFonts w:ascii="Arial" w:hAnsi="Arial" w:cs="Arial"/>
          <w:i/>
          <w:iCs/>
        </w:rPr>
        <w:t> </w:t>
      </w:r>
      <w:r w:rsidRPr="00173057">
        <w:rPr>
          <w:i/>
          <w:iCs/>
        </w:rPr>
        <w:t>Aging</w:t>
      </w:r>
      <w:r w:rsidRPr="009C77E6">
        <w:t>,</w:t>
      </w:r>
      <w:r w:rsidRPr="00173057">
        <w:rPr>
          <w:rFonts w:ascii="Arial" w:hAnsi="Arial" w:cs="Arial"/>
        </w:rPr>
        <w:t> </w:t>
      </w:r>
      <w:r w:rsidRPr="009C77E6">
        <w:t>37(3),</w:t>
      </w:r>
      <w:r w:rsidRPr="00173057">
        <w:rPr>
          <w:rFonts w:ascii="Arial" w:hAnsi="Arial" w:cs="Arial"/>
        </w:rPr>
        <w:t> </w:t>
      </w:r>
      <w:r w:rsidRPr="009C77E6">
        <w:t>pp.</w:t>
      </w:r>
      <w:r w:rsidRPr="00173057">
        <w:rPr>
          <w:rFonts w:ascii="Arial" w:hAnsi="Arial" w:cs="Arial"/>
        </w:rPr>
        <w:t> </w:t>
      </w:r>
      <w:r w:rsidRPr="009C77E6">
        <w:t>253</w:t>
      </w:r>
      <w:r w:rsidRPr="00173057">
        <w:rPr>
          <w:rFonts w:ascii="Aptos" w:hAnsi="Aptos" w:cs="Aptos"/>
        </w:rPr>
        <w:t>–</w:t>
      </w:r>
      <w:r w:rsidRPr="009C77E6">
        <w:t>274.</w:t>
      </w:r>
    </w:p>
    <w:p w14:paraId="59D16B2A" w14:textId="77777777" w:rsidR="00827048" w:rsidRPr="009C77E6" w:rsidRDefault="00827048" w:rsidP="00827048">
      <w:pPr>
        <w:pStyle w:val="ListParagraph"/>
        <w:numPr>
          <w:ilvl w:val="0"/>
          <w:numId w:val="7"/>
        </w:numPr>
      </w:pPr>
      <w:r w:rsidRPr="009C77E6">
        <w:t>2. Malone,</w:t>
      </w:r>
      <w:r w:rsidRPr="00827048">
        <w:rPr>
          <w:rFonts w:ascii="Arial" w:hAnsi="Arial" w:cs="Arial"/>
        </w:rPr>
        <w:t> </w:t>
      </w:r>
      <w:r w:rsidRPr="009C77E6">
        <w:t>J.</w:t>
      </w:r>
      <w:r w:rsidRPr="00827048">
        <w:rPr>
          <w:rFonts w:ascii="Arial" w:hAnsi="Arial" w:cs="Arial"/>
        </w:rPr>
        <w:t> </w:t>
      </w:r>
      <w:r w:rsidRPr="009C77E6">
        <w:t>C.,</w:t>
      </w:r>
      <w:r w:rsidRPr="00827048">
        <w:rPr>
          <w:rFonts w:ascii="Arial" w:hAnsi="Arial" w:cs="Arial"/>
        </w:rPr>
        <w:t> </w:t>
      </w:r>
      <w:r w:rsidRPr="009C77E6">
        <w:t>Liu,</w:t>
      </w:r>
      <w:r w:rsidRPr="00827048">
        <w:rPr>
          <w:rFonts w:ascii="Arial" w:hAnsi="Arial" w:cs="Arial"/>
        </w:rPr>
        <w:t> </w:t>
      </w:r>
      <w:r w:rsidRPr="009C77E6">
        <w:t>S.</w:t>
      </w:r>
      <w:r w:rsidRPr="00827048">
        <w:rPr>
          <w:rFonts w:ascii="Arial" w:hAnsi="Arial" w:cs="Arial"/>
        </w:rPr>
        <w:t> </w:t>
      </w:r>
      <w:r w:rsidRPr="009C77E6">
        <w:t>R.,</w:t>
      </w:r>
      <w:r w:rsidRPr="00827048">
        <w:rPr>
          <w:rFonts w:ascii="Arial" w:hAnsi="Arial" w:cs="Arial"/>
        </w:rPr>
        <w:t> </w:t>
      </w:r>
      <w:r w:rsidRPr="009C77E6">
        <w:t>Vaillant,</w:t>
      </w:r>
      <w:r w:rsidRPr="00827048">
        <w:rPr>
          <w:rFonts w:ascii="Arial" w:hAnsi="Arial" w:cs="Arial"/>
        </w:rPr>
        <w:t> </w:t>
      </w:r>
      <w:r w:rsidRPr="009C77E6">
        <w:t>G.</w:t>
      </w:r>
      <w:r w:rsidRPr="00827048">
        <w:rPr>
          <w:rFonts w:ascii="Arial" w:hAnsi="Arial" w:cs="Arial"/>
        </w:rPr>
        <w:t> </w:t>
      </w:r>
      <w:r w:rsidRPr="009C77E6">
        <w:t>E.,</w:t>
      </w:r>
      <w:r w:rsidRPr="00827048">
        <w:rPr>
          <w:rFonts w:ascii="Arial" w:hAnsi="Arial" w:cs="Arial"/>
        </w:rPr>
        <w:t> </w:t>
      </w:r>
      <w:r w:rsidRPr="009C77E6">
        <w:t>Rentz,</w:t>
      </w:r>
      <w:r w:rsidRPr="00827048">
        <w:rPr>
          <w:rFonts w:ascii="Arial" w:hAnsi="Arial" w:cs="Arial"/>
        </w:rPr>
        <w:t> </w:t>
      </w:r>
      <w:r w:rsidRPr="009C77E6">
        <w:t>D.</w:t>
      </w:r>
      <w:r w:rsidRPr="00827048">
        <w:rPr>
          <w:rFonts w:ascii="Arial" w:hAnsi="Arial" w:cs="Arial"/>
        </w:rPr>
        <w:t> </w:t>
      </w:r>
      <w:r w:rsidRPr="009C77E6">
        <w:t>M.,</w:t>
      </w:r>
      <w:r w:rsidRPr="00827048">
        <w:rPr>
          <w:rFonts w:ascii="Arial" w:hAnsi="Arial" w:cs="Arial"/>
        </w:rPr>
        <w:t> </w:t>
      </w:r>
      <w:r w:rsidRPr="009C77E6">
        <w:t>&amp;</w:t>
      </w:r>
      <w:r w:rsidRPr="00827048">
        <w:rPr>
          <w:rFonts w:ascii="Arial" w:hAnsi="Arial" w:cs="Arial"/>
        </w:rPr>
        <w:t> </w:t>
      </w:r>
      <w:r w:rsidRPr="009C77E6">
        <w:t>Waldinger</w:t>
      </w:r>
      <w:ins w:id="4" w:author="Microsoft Word" w:date="2026-03-13T09:32:00Z" w16du:dateUtc="2026-03-13T09:32:00Z">
        <w:r w:rsidRPr="009C77E6">
          <w:t>.</w:t>
        </w:r>
        <w:r>
          <w:t xml:space="preserve"> and </w:t>
        </w:r>
        <w:r w:rsidRPr="009C77E6">
          <w:t>Waldinger</w:t>
        </w:r>
      </w:ins>
      <w:r w:rsidRPr="009C77E6">
        <w:t>,</w:t>
      </w:r>
      <w:r w:rsidRPr="00827048">
        <w:rPr>
          <w:rFonts w:ascii="Arial" w:hAnsi="Arial" w:cs="Arial"/>
        </w:rPr>
        <w:t> </w:t>
      </w:r>
      <w:r w:rsidRPr="009C77E6">
        <w:t>R.</w:t>
      </w:r>
      <w:r w:rsidRPr="00827048">
        <w:rPr>
          <w:rFonts w:ascii="Arial" w:hAnsi="Arial" w:cs="Arial"/>
        </w:rPr>
        <w:t> </w:t>
      </w:r>
      <w:r w:rsidRPr="009C77E6">
        <w:t>J.</w:t>
      </w:r>
      <w:r w:rsidRPr="00827048">
        <w:rPr>
          <w:rFonts w:ascii="Arial" w:hAnsi="Arial" w:cs="Arial"/>
        </w:rPr>
        <w:t> </w:t>
      </w:r>
      <w:r w:rsidRPr="009C77E6">
        <w:t>(2016)</w:t>
      </w:r>
      <w:r w:rsidRPr="00827048">
        <w:rPr>
          <w:rFonts w:ascii="Arial" w:hAnsi="Arial" w:cs="Arial"/>
        </w:rPr>
        <w:t> </w:t>
      </w:r>
      <w:r w:rsidRPr="00827048">
        <w:rPr>
          <w:rFonts w:ascii="Aptos" w:hAnsi="Aptos" w:cs="Aptos"/>
        </w:rPr>
        <w:t>‘</w:t>
      </w:r>
      <w:r w:rsidRPr="009C77E6">
        <w:t xml:space="preserve">Midlife Erikson </w:t>
      </w:r>
      <w:proofErr w:type="gramStart"/>
      <w:r w:rsidRPr="009C77E6">
        <w:t>an</w:t>
      </w:r>
      <w:proofErr w:type="gramEnd"/>
      <w:r w:rsidRPr="009C77E6">
        <w:t xml:space="preserve"> Psychosocial Development: Setting the </w:t>
      </w:r>
      <w:r w:rsidRPr="009C77E6">
        <w:lastRenderedPageBreak/>
        <w:t>Stage for Cognitive and Emotional Health in Late Life</w:t>
      </w:r>
      <w:r w:rsidRPr="00827048">
        <w:rPr>
          <w:rFonts w:ascii="Aptos" w:hAnsi="Aptos" w:cs="Aptos"/>
        </w:rPr>
        <w:t>’</w:t>
      </w:r>
      <w:r w:rsidRPr="009C77E6">
        <w:t>,</w:t>
      </w:r>
      <w:r w:rsidRPr="00827048">
        <w:rPr>
          <w:rFonts w:ascii="Aptos" w:hAnsi="Aptos" w:cs="Aptos"/>
        </w:rPr>
        <w:t> </w:t>
      </w:r>
      <w:r w:rsidRPr="00827048">
        <w:rPr>
          <w:i/>
          <w:iCs/>
        </w:rPr>
        <w:t>Developmental Psychology</w:t>
      </w:r>
      <w:r w:rsidRPr="009C77E6">
        <w:t>,</w:t>
      </w:r>
      <w:r w:rsidRPr="00827048">
        <w:rPr>
          <w:rFonts w:ascii="Arial" w:hAnsi="Arial" w:cs="Arial"/>
        </w:rPr>
        <w:t> </w:t>
      </w:r>
      <w:r w:rsidRPr="009C77E6">
        <w:t>52(3),</w:t>
      </w:r>
      <w:r w:rsidRPr="00827048">
        <w:rPr>
          <w:rFonts w:ascii="Arial" w:hAnsi="Arial" w:cs="Arial"/>
        </w:rPr>
        <w:t> </w:t>
      </w:r>
      <w:r w:rsidRPr="009C77E6">
        <w:t>pp.</w:t>
      </w:r>
      <w:r w:rsidRPr="00827048">
        <w:rPr>
          <w:rFonts w:ascii="Arial" w:hAnsi="Arial" w:cs="Arial"/>
        </w:rPr>
        <w:t> </w:t>
      </w:r>
      <w:r w:rsidRPr="009C77E6">
        <w:t>496</w:t>
      </w:r>
      <w:r w:rsidRPr="00827048">
        <w:rPr>
          <w:rFonts w:ascii="Aptos" w:hAnsi="Aptos" w:cs="Aptos"/>
        </w:rPr>
        <w:t>–</w:t>
      </w:r>
      <w:r w:rsidRPr="009C77E6">
        <w:t>508.</w:t>
      </w:r>
    </w:p>
    <w:p w14:paraId="30157CBB" w14:textId="77777777" w:rsidR="00827048" w:rsidRPr="009C77E6" w:rsidRDefault="00827048" w:rsidP="00827048">
      <w:pPr>
        <w:pStyle w:val="ListParagraph"/>
        <w:numPr>
          <w:ilvl w:val="0"/>
          <w:numId w:val="7"/>
        </w:numPr>
      </w:pPr>
      <w:r w:rsidRPr="009C77E6">
        <w:t>3. Johansson,</w:t>
      </w:r>
      <w:r w:rsidRPr="00827048">
        <w:rPr>
          <w:rFonts w:ascii="Arial" w:hAnsi="Arial" w:cs="Arial"/>
        </w:rPr>
        <w:t> </w:t>
      </w:r>
      <w:r w:rsidRPr="009C77E6">
        <w:t>C.</w:t>
      </w:r>
      <w:r w:rsidRPr="00827048">
        <w:rPr>
          <w:rFonts w:ascii="Arial" w:hAnsi="Arial" w:cs="Arial"/>
        </w:rPr>
        <w:t> </w:t>
      </w:r>
      <w:r w:rsidRPr="009C77E6">
        <w:t>(2002)</w:t>
      </w:r>
      <w:r w:rsidRPr="00827048">
        <w:rPr>
          <w:rFonts w:ascii="Arial" w:hAnsi="Arial" w:cs="Arial"/>
        </w:rPr>
        <w:t> </w:t>
      </w:r>
      <w:r w:rsidRPr="00827048">
        <w:rPr>
          <w:rFonts w:ascii="Aptos" w:hAnsi="Aptos" w:cs="Aptos"/>
        </w:rPr>
        <w:t>‘</w:t>
      </w:r>
      <w:r w:rsidRPr="009C77E6">
        <w:t>Integrity versus Despair: An</w:t>
      </w:r>
      <w:r w:rsidRPr="00827048">
        <w:rPr>
          <w:rFonts w:ascii="Arial" w:hAnsi="Arial" w:cs="Arial"/>
        </w:rPr>
        <w:t> </w:t>
      </w:r>
      <w:proofErr w:type="spellStart"/>
      <w:r w:rsidRPr="009C77E6">
        <w:t>Eriksonian</w:t>
      </w:r>
      <w:proofErr w:type="spellEnd"/>
      <w:r w:rsidRPr="009C77E6">
        <w:t xml:space="preserve"> Framework for</w:t>
      </w:r>
      <w:r w:rsidRPr="00827048">
        <w:rPr>
          <w:rFonts w:ascii="Arial" w:hAnsi="Arial" w:cs="Arial"/>
        </w:rPr>
        <w:t> </w:t>
      </w:r>
      <w:r w:rsidRPr="009C77E6">
        <w:t>Geriatric Rehabilitation</w:t>
      </w:r>
      <w:r w:rsidRPr="00827048">
        <w:rPr>
          <w:rFonts w:ascii="Aptos" w:hAnsi="Aptos" w:cs="Aptos"/>
        </w:rPr>
        <w:t>’</w:t>
      </w:r>
      <w:r w:rsidRPr="009C77E6">
        <w:t>,</w:t>
      </w:r>
      <w:r w:rsidRPr="00827048">
        <w:rPr>
          <w:rFonts w:ascii="Aptos" w:hAnsi="Aptos" w:cs="Aptos"/>
        </w:rPr>
        <w:t> </w:t>
      </w:r>
      <w:r w:rsidRPr="00827048">
        <w:rPr>
          <w:i/>
          <w:iCs/>
        </w:rPr>
        <w:t>Topics in</w:t>
      </w:r>
      <w:r w:rsidRPr="00827048">
        <w:rPr>
          <w:rFonts w:ascii="Arial" w:hAnsi="Arial" w:cs="Arial"/>
          <w:i/>
          <w:iCs/>
        </w:rPr>
        <w:t> </w:t>
      </w:r>
      <w:r w:rsidRPr="00827048">
        <w:rPr>
          <w:i/>
          <w:iCs/>
        </w:rPr>
        <w:t>Geriatric Rehabilitation</w:t>
      </w:r>
      <w:r w:rsidRPr="009C77E6">
        <w:t>,</w:t>
      </w:r>
      <w:r w:rsidRPr="00827048">
        <w:rPr>
          <w:rFonts w:ascii="Arial" w:hAnsi="Arial" w:cs="Arial"/>
        </w:rPr>
        <w:t> </w:t>
      </w:r>
      <w:r w:rsidRPr="009C77E6">
        <w:t>17(3),</w:t>
      </w:r>
      <w:r w:rsidRPr="00827048">
        <w:rPr>
          <w:rFonts w:ascii="Arial" w:hAnsi="Arial" w:cs="Arial"/>
        </w:rPr>
        <w:t> </w:t>
      </w:r>
      <w:r w:rsidRPr="009C77E6">
        <w:t>pp.</w:t>
      </w:r>
      <w:r w:rsidRPr="00827048">
        <w:rPr>
          <w:rFonts w:ascii="Arial" w:hAnsi="Arial" w:cs="Arial"/>
        </w:rPr>
        <w:t> </w:t>
      </w:r>
      <w:r w:rsidRPr="009C77E6">
        <w:t>4</w:t>
      </w:r>
      <w:r w:rsidRPr="00827048">
        <w:rPr>
          <w:rFonts w:ascii="Aptos" w:hAnsi="Aptos" w:cs="Aptos"/>
        </w:rPr>
        <w:t>–</w:t>
      </w:r>
      <w:r w:rsidRPr="009C77E6">
        <w:t>12.</w:t>
      </w:r>
    </w:p>
    <w:p w14:paraId="3E593479" w14:textId="77777777" w:rsidR="00CA0EEE" w:rsidRPr="001906DA" w:rsidRDefault="00CA0EEE" w:rsidP="00CA0EEE">
      <w:pPr>
        <w:numPr>
          <w:ilvl w:val="0"/>
          <w:numId w:val="7"/>
        </w:numPr>
        <w:rPr>
          <w:color w:val="000000" w:themeColor="text1"/>
        </w:rPr>
      </w:pPr>
      <w:r w:rsidRPr="001906DA">
        <w:rPr>
          <w:color w:val="000000" w:themeColor="text1"/>
        </w:rPr>
        <w:t>Bugajska,</w:t>
      </w:r>
      <w:r w:rsidRPr="001906DA">
        <w:rPr>
          <w:rFonts w:ascii="Arial" w:hAnsi="Arial" w:cs="Arial"/>
          <w:color w:val="000000" w:themeColor="text1"/>
        </w:rPr>
        <w:t> </w:t>
      </w:r>
      <w:r w:rsidRPr="001906DA">
        <w:rPr>
          <w:color w:val="000000" w:themeColor="text1"/>
        </w:rPr>
        <w:t>B.</w:t>
      </w:r>
      <w:r w:rsidRPr="001906DA">
        <w:rPr>
          <w:rFonts w:ascii="Arial" w:hAnsi="Arial" w:cs="Arial"/>
          <w:color w:val="000000" w:themeColor="text1"/>
        </w:rPr>
        <w:t> </w:t>
      </w:r>
      <w:r w:rsidRPr="001906DA">
        <w:rPr>
          <w:color w:val="000000" w:themeColor="text1"/>
        </w:rPr>
        <w:t>E.</w:t>
      </w:r>
      <w:r w:rsidRPr="001906DA">
        <w:rPr>
          <w:rFonts w:ascii="Arial" w:hAnsi="Arial" w:cs="Arial"/>
          <w:color w:val="000000" w:themeColor="text1"/>
        </w:rPr>
        <w:t> </w:t>
      </w:r>
      <w:r w:rsidRPr="001906DA">
        <w:rPr>
          <w:color w:val="000000" w:themeColor="text1"/>
        </w:rPr>
        <w:t xml:space="preserve">(2017) </w:t>
      </w:r>
      <w:r w:rsidRPr="001906DA">
        <w:rPr>
          <w:rFonts w:ascii="Aptos" w:hAnsi="Aptos" w:cs="Aptos"/>
          <w:color w:val="000000" w:themeColor="text1"/>
        </w:rPr>
        <w:t>‘</w:t>
      </w:r>
      <w:r w:rsidRPr="001906DA">
        <w:rPr>
          <w:color w:val="000000" w:themeColor="text1"/>
        </w:rPr>
        <w:t>The Ninth Stage in the Cycle of Life: Reflections on</w:t>
      </w:r>
      <w:r w:rsidRPr="001906DA">
        <w:rPr>
          <w:rFonts w:ascii="Arial" w:hAnsi="Arial" w:cs="Arial"/>
          <w:color w:val="000000" w:themeColor="text1"/>
        </w:rPr>
        <w:t> </w:t>
      </w:r>
      <w:r w:rsidRPr="001906DA">
        <w:rPr>
          <w:color w:val="000000" w:themeColor="text1"/>
        </w:rPr>
        <w:t>E.</w:t>
      </w:r>
      <w:r w:rsidRPr="001906DA">
        <w:rPr>
          <w:rFonts w:ascii="Arial" w:hAnsi="Arial" w:cs="Arial"/>
          <w:color w:val="000000" w:themeColor="text1"/>
        </w:rPr>
        <w:t> </w:t>
      </w:r>
      <w:r w:rsidRPr="001906DA">
        <w:rPr>
          <w:color w:val="000000" w:themeColor="text1"/>
        </w:rPr>
        <w:t>H.</w:t>
      </w:r>
      <w:r w:rsidRPr="001906DA">
        <w:rPr>
          <w:rFonts w:ascii="Arial" w:hAnsi="Arial" w:cs="Arial"/>
          <w:color w:val="000000" w:themeColor="text1"/>
        </w:rPr>
        <w:t> </w:t>
      </w:r>
      <w:r w:rsidRPr="001906DA">
        <w:rPr>
          <w:color w:val="000000" w:themeColor="text1"/>
        </w:rPr>
        <w:t>Erikson</w:t>
      </w:r>
      <w:r w:rsidRPr="001906DA">
        <w:rPr>
          <w:rFonts w:ascii="Aptos" w:hAnsi="Aptos" w:cs="Aptos"/>
          <w:color w:val="000000" w:themeColor="text1"/>
        </w:rPr>
        <w:t>’</w:t>
      </w:r>
      <w:r w:rsidRPr="001906DA">
        <w:rPr>
          <w:color w:val="000000" w:themeColor="text1"/>
        </w:rPr>
        <w:t>s Theory</w:t>
      </w:r>
      <w:r w:rsidRPr="001906DA">
        <w:rPr>
          <w:rFonts w:ascii="Aptos" w:hAnsi="Aptos" w:cs="Aptos"/>
          <w:color w:val="000000" w:themeColor="text1"/>
        </w:rPr>
        <w:t>’</w:t>
      </w:r>
      <w:r w:rsidRPr="001906DA">
        <w:rPr>
          <w:color w:val="000000" w:themeColor="text1"/>
        </w:rPr>
        <w:t xml:space="preserve">, </w:t>
      </w:r>
      <w:r w:rsidRPr="001906DA">
        <w:rPr>
          <w:i/>
          <w:iCs/>
          <w:color w:val="000000" w:themeColor="text1"/>
        </w:rPr>
        <w:t>Ageing &amp; Society</w:t>
      </w:r>
      <w:r w:rsidRPr="001906DA">
        <w:rPr>
          <w:color w:val="000000" w:themeColor="text1"/>
        </w:rPr>
        <w:t>, 37(6), pp.</w:t>
      </w:r>
      <w:r w:rsidRPr="001906DA">
        <w:rPr>
          <w:rFonts w:ascii="Arial" w:hAnsi="Arial" w:cs="Arial"/>
          <w:color w:val="000000" w:themeColor="text1"/>
        </w:rPr>
        <w:t> </w:t>
      </w:r>
      <w:r w:rsidRPr="001906DA">
        <w:rPr>
          <w:color w:val="000000" w:themeColor="text1"/>
        </w:rPr>
        <w:t>1,069</w:t>
      </w:r>
      <w:r w:rsidRPr="001906DA">
        <w:rPr>
          <w:rFonts w:ascii="Aptos" w:hAnsi="Aptos" w:cs="Aptos"/>
          <w:color w:val="000000" w:themeColor="text1"/>
        </w:rPr>
        <w:t>–</w:t>
      </w:r>
      <w:r w:rsidRPr="001906DA">
        <w:rPr>
          <w:color w:val="000000" w:themeColor="text1"/>
        </w:rPr>
        <w:t>1,084.</w:t>
      </w:r>
      <w:r w:rsidRPr="001906DA">
        <w:rPr>
          <w:color w:val="000000" w:themeColor="text1"/>
        </w:rPr>
        <w:br/>
        <w:t>(Adapted to Activity Theory)</w:t>
      </w:r>
    </w:p>
    <w:p w14:paraId="0022AB87" w14:textId="4466FF34" w:rsidR="00173057" w:rsidRPr="009C77E6" w:rsidRDefault="00173057" w:rsidP="000F6973">
      <w:pPr>
        <w:pStyle w:val="ListParagraph"/>
      </w:pPr>
    </w:p>
    <w:p w14:paraId="7044485B" w14:textId="77777777" w:rsidR="00173057" w:rsidRPr="00173057" w:rsidRDefault="00173057" w:rsidP="009C77E6">
      <w:pPr>
        <w:rPr>
          <w:b/>
          <w:bCs/>
          <w:u w:val="single"/>
        </w:rPr>
      </w:pPr>
    </w:p>
    <w:p w14:paraId="1D151E0F" w14:textId="77777777" w:rsidR="009C77E6" w:rsidRPr="00E314DB" w:rsidRDefault="009C77E6" w:rsidP="008F6494">
      <w:pPr>
        <w:rPr>
          <w:sz w:val="22"/>
          <w:szCs w:val="22"/>
        </w:rPr>
      </w:pPr>
    </w:p>
    <w:sectPr w:rsidR="009C77E6" w:rsidRPr="00E314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DD16C7"/>
    <w:multiLevelType w:val="multilevel"/>
    <w:tmpl w:val="E55CA43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BED3297"/>
    <w:multiLevelType w:val="multilevel"/>
    <w:tmpl w:val="10A4B6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CBF1B34"/>
    <w:multiLevelType w:val="multilevel"/>
    <w:tmpl w:val="A54CFE8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CE21A48"/>
    <w:multiLevelType w:val="multilevel"/>
    <w:tmpl w:val="EF5C205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BA967B0"/>
    <w:multiLevelType w:val="multilevel"/>
    <w:tmpl w:val="3338400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C360335"/>
    <w:multiLevelType w:val="multilevel"/>
    <w:tmpl w:val="5A96C0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EE91290"/>
    <w:multiLevelType w:val="hybridMultilevel"/>
    <w:tmpl w:val="CF58F5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311215">
    <w:abstractNumId w:val="1"/>
  </w:num>
  <w:num w:numId="2" w16cid:durableId="1308626563">
    <w:abstractNumId w:val="0"/>
  </w:num>
  <w:num w:numId="3" w16cid:durableId="1889947681">
    <w:abstractNumId w:val="4"/>
  </w:num>
  <w:num w:numId="4" w16cid:durableId="499613509">
    <w:abstractNumId w:val="2"/>
  </w:num>
  <w:num w:numId="5" w16cid:durableId="1782726716">
    <w:abstractNumId w:val="5"/>
  </w:num>
  <w:num w:numId="6" w16cid:durableId="1282036966">
    <w:abstractNumId w:val="3"/>
  </w:num>
  <w:num w:numId="7" w16cid:durableId="15572760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2C2"/>
    <w:rsid w:val="00002F25"/>
    <w:rsid w:val="000311FC"/>
    <w:rsid w:val="0004294A"/>
    <w:rsid w:val="0007088C"/>
    <w:rsid w:val="00071974"/>
    <w:rsid w:val="000B74A2"/>
    <w:rsid w:val="000E6986"/>
    <w:rsid w:val="000F6973"/>
    <w:rsid w:val="00143C7E"/>
    <w:rsid w:val="001645C2"/>
    <w:rsid w:val="00173057"/>
    <w:rsid w:val="00174E5B"/>
    <w:rsid w:val="00183DF7"/>
    <w:rsid w:val="001906DA"/>
    <w:rsid w:val="001A4784"/>
    <w:rsid w:val="001C1D39"/>
    <w:rsid w:val="001D7299"/>
    <w:rsid w:val="00200CA2"/>
    <w:rsid w:val="00206995"/>
    <w:rsid w:val="00210818"/>
    <w:rsid w:val="0022383C"/>
    <w:rsid w:val="00252E67"/>
    <w:rsid w:val="002658F3"/>
    <w:rsid w:val="002808A9"/>
    <w:rsid w:val="00287C93"/>
    <w:rsid w:val="00292A6B"/>
    <w:rsid w:val="0029433B"/>
    <w:rsid w:val="00305491"/>
    <w:rsid w:val="00307097"/>
    <w:rsid w:val="00346A9B"/>
    <w:rsid w:val="00374F76"/>
    <w:rsid w:val="003A4C7E"/>
    <w:rsid w:val="003B7E7D"/>
    <w:rsid w:val="003C18AE"/>
    <w:rsid w:val="003D1343"/>
    <w:rsid w:val="003D7D21"/>
    <w:rsid w:val="003E6510"/>
    <w:rsid w:val="003F36F2"/>
    <w:rsid w:val="00420D99"/>
    <w:rsid w:val="00436AE8"/>
    <w:rsid w:val="004535AB"/>
    <w:rsid w:val="004619B7"/>
    <w:rsid w:val="004D20C6"/>
    <w:rsid w:val="004D6CC8"/>
    <w:rsid w:val="004D73BD"/>
    <w:rsid w:val="004E152D"/>
    <w:rsid w:val="005322C2"/>
    <w:rsid w:val="0055737C"/>
    <w:rsid w:val="005741B6"/>
    <w:rsid w:val="0058516D"/>
    <w:rsid w:val="005C0BD9"/>
    <w:rsid w:val="005D21A0"/>
    <w:rsid w:val="005F41F5"/>
    <w:rsid w:val="005F6D81"/>
    <w:rsid w:val="00601490"/>
    <w:rsid w:val="00603E9E"/>
    <w:rsid w:val="00620597"/>
    <w:rsid w:val="006210F0"/>
    <w:rsid w:val="006307CF"/>
    <w:rsid w:val="0064203E"/>
    <w:rsid w:val="00661574"/>
    <w:rsid w:val="00674524"/>
    <w:rsid w:val="00677C07"/>
    <w:rsid w:val="006806CD"/>
    <w:rsid w:val="00681111"/>
    <w:rsid w:val="0068281D"/>
    <w:rsid w:val="00682F05"/>
    <w:rsid w:val="006842E6"/>
    <w:rsid w:val="00686E44"/>
    <w:rsid w:val="006A2BB3"/>
    <w:rsid w:val="006C5F6E"/>
    <w:rsid w:val="006C6E24"/>
    <w:rsid w:val="00721588"/>
    <w:rsid w:val="00730A91"/>
    <w:rsid w:val="00735A29"/>
    <w:rsid w:val="00745E2A"/>
    <w:rsid w:val="007541A1"/>
    <w:rsid w:val="00764593"/>
    <w:rsid w:val="007719F8"/>
    <w:rsid w:val="00774ED9"/>
    <w:rsid w:val="00783585"/>
    <w:rsid w:val="007A497E"/>
    <w:rsid w:val="007B5601"/>
    <w:rsid w:val="007C6982"/>
    <w:rsid w:val="008171FF"/>
    <w:rsid w:val="008258EC"/>
    <w:rsid w:val="00827048"/>
    <w:rsid w:val="00832D27"/>
    <w:rsid w:val="008339A2"/>
    <w:rsid w:val="0086218D"/>
    <w:rsid w:val="00865A36"/>
    <w:rsid w:val="008803E7"/>
    <w:rsid w:val="008C2659"/>
    <w:rsid w:val="008C3B57"/>
    <w:rsid w:val="008F6494"/>
    <w:rsid w:val="008F65C2"/>
    <w:rsid w:val="009157D7"/>
    <w:rsid w:val="00923636"/>
    <w:rsid w:val="00924EE0"/>
    <w:rsid w:val="0092580C"/>
    <w:rsid w:val="00930257"/>
    <w:rsid w:val="0094215A"/>
    <w:rsid w:val="009504EC"/>
    <w:rsid w:val="00985B36"/>
    <w:rsid w:val="00987919"/>
    <w:rsid w:val="009B3836"/>
    <w:rsid w:val="009C77E6"/>
    <w:rsid w:val="009D21D7"/>
    <w:rsid w:val="009D237D"/>
    <w:rsid w:val="009D67CF"/>
    <w:rsid w:val="00A22DB5"/>
    <w:rsid w:val="00A348A3"/>
    <w:rsid w:val="00A6631A"/>
    <w:rsid w:val="00A849F3"/>
    <w:rsid w:val="00A93157"/>
    <w:rsid w:val="00A97BA0"/>
    <w:rsid w:val="00AA1332"/>
    <w:rsid w:val="00AA1994"/>
    <w:rsid w:val="00AB4349"/>
    <w:rsid w:val="00AD48EF"/>
    <w:rsid w:val="00AD4D77"/>
    <w:rsid w:val="00AD63EC"/>
    <w:rsid w:val="00AF1CC5"/>
    <w:rsid w:val="00B1311C"/>
    <w:rsid w:val="00B358D4"/>
    <w:rsid w:val="00B536BD"/>
    <w:rsid w:val="00B602E4"/>
    <w:rsid w:val="00B72FB5"/>
    <w:rsid w:val="00B752D7"/>
    <w:rsid w:val="00BA6CF8"/>
    <w:rsid w:val="00BC15CE"/>
    <w:rsid w:val="00C132D9"/>
    <w:rsid w:val="00C65499"/>
    <w:rsid w:val="00C76310"/>
    <w:rsid w:val="00CA0EEE"/>
    <w:rsid w:val="00CD3487"/>
    <w:rsid w:val="00CF273D"/>
    <w:rsid w:val="00CF7FEB"/>
    <w:rsid w:val="00D15DE6"/>
    <w:rsid w:val="00D20DB4"/>
    <w:rsid w:val="00D35AD4"/>
    <w:rsid w:val="00D54072"/>
    <w:rsid w:val="00D60353"/>
    <w:rsid w:val="00D62326"/>
    <w:rsid w:val="00DC2FD5"/>
    <w:rsid w:val="00DD0BC7"/>
    <w:rsid w:val="00DE459F"/>
    <w:rsid w:val="00E26564"/>
    <w:rsid w:val="00E314DB"/>
    <w:rsid w:val="00E63350"/>
    <w:rsid w:val="00E85593"/>
    <w:rsid w:val="00E85AFC"/>
    <w:rsid w:val="00EC1FFC"/>
    <w:rsid w:val="00F11E12"/>
    <w:rsid w:val="00F41A2B"/>
    <w:rsid w:val="00F41B35"/>
    <w:rsid w:val="00F46318"/>
    <w:rsid w:val="00F46844"/>
    <w:rsid w:val="00F51EB8"/>
    <w:rsid w:val="00F7486E"/>
    <w:rsid w:val="00FA41FB"/>
    <w:rsid w:val="00FA7FD3"/>
    <w:rsid w:val="00FD1A34"/>
    <w:rsid w:val="00FF52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78A84"/>
  <w15:chartTrackingRefBased/>
  <w15:docId w15:val="{45BB84C2-F6E8-407B-AE42-DDB7689245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22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22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22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22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22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22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22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22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22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22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22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22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22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22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22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22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22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22C2"/>
    <w:rPr>
      <w:rFonts w:eastAsiaTheme="majorEastAsia" w:cstheme="majorBidi"/>
      <w:color w:val="272727" w:themeColor="text1" w:themeTint="D8"/>
    </w:rPr>
  </w:style>
  <w:style w:type="paragraph" w:styleId="Title">
    <w:name w:val="Title"/>
    <w:basedOn w:val="Normal"/>
    <w:next w:val="Normal"/>
    <w:link w:val="TitleChar"/>
    <w:uiPriority w:val="10"/>
    <w:qFormat/>
    <w:rsid w:val="005322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22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22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22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22C2"/>
    <w:pPr>
      <w:spacing w:before="160"/>
      <w:jc w:val="center"/>
    </w:pPr>
    <w:rPr>
      <w:i/>
      <w:iCs/>
      <w:color w:val="404040" w:themeColor="text1" w:themeTint="BF"/>
    </w:rPr>
  </w:style>
  <w:style w:type="character" w:customStyle="1" w:styleId="QuoteChar">
    <w:name w:val="Quote Char"/>
    <w:basedOn w:val="DefaultParagraphFont"/>
    <w:link w:val="Quote"/>
    <w:uiPriority w:val="29"/>
    <w:rsid w:val="005322C2"/>
    <w:rPr>
      <w:i/>
      <w:iCs/>
      <w:color w:val="404040" w:themeColor="text1" w:themeTint="BF"/>
    </w:rPr>
  </w:style>
  <w:style w:type="paragraph" w:styleId="ListParagraph">
    <w:name w:val="List Paragraph"/>
    <w:basedOn w:val="Normal"/>
    <w:uiPriority w:val="34"/>
    <w:qFormat/>
    <w:rsid w:val="005322C2"/>
    <w:pPr>
      <w:ind w:left="720"/>
      <w:contextualSpacing/>
    </w:pPr>
  </w:style>
  <w:style w:type="character" w:styleId="IntenseEmphasis">
    <w:name w:val="Intense Emphasis"/>
    <w:basedOn w:val="DefaultParagraphFont"/>
    <w:uiPriority w:val="21"/>
    <w:qFormat/>
    <w:rsid w:val="005322C2"/>
    <w:rPr>
      <w:i/>
      <w:iCs/>
      <w:color w:val="0F4761" w:themeColor="accent1" w:themeShade="BF"/>
    </w:rPr>
  </w:style>
  <w:style w:type="paragraph" w:styleId="IntenseQuote">
    <w:name w:val="Intense Quote"/>
    <w:basedOn w:val="Normal"/>
    <w:next w:val="Normal"/>
    <w:link w:val="IntenseQuoteChar"/>
    <w:uiPriority w:val="30"/>
    <w:qFormat/>
    <w:rsid w:val="005322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22C2"/>
    <w:rPr>
      <w:i/>
      <w:iCs/>
      <w:color w:val="0F4761" w:themeColor="accent1" w:themeShade="BF"/>
    </w:rPr>
  </w:style>
  <w:style w:type="character" w:styleId="IntenseReference">
    <w:name w:val="Intense Reference"/>
    <w:basedOn w:val="DefaultParagraphFont"/>
    <w:uiPriority w:val="32"/>
    <w:qFormat/>
    <w:rsid w:val="005322C2"/>
    <w:rPr>
      <w:b/>
      <w:bCs/>
      <w:smallCaps/>
      <w:color w:val="0F4761" w:themeColor="accent1" w:themeShade="BF"/>
      <w:spacing w:val="5"/>
    </w:rPr>
  </w:style>
  <w:style w:type="character" w:styleId="Hyperlink">
    <w:name w:val="Hyperlink"/>
    <w:basedOn w:val="DefaultParagraphFont"/>
    <w:uiPriority w:val="99"/>
    <w:unhideWhenUsed/>
    <w:rsid w:val="00865A36"/>
    <w:rPr>
      <w:color w:val="467886" w:themeColor="hyperlink"/>
      <w:u w:val="single"/>
    </w:rPr>
  </w:style>
  <w:style w:type="character" w:styleId="UnresolvedMention">
    <w:name w:val="Unresolved Mention"/>
    <w:basedOn w:val="DefaultParagraphFont"/>
    <w:uiPriority w:val="99"/>
    <w:semiHidden/>
    <w:unhideWhenUsed/>
    <w:rsid w:val="006014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journals.lww.com/topicsingeriatricrehabilitation/abstract/2002/03000/integrity_versus_despair__an_eriksonian_framework.3.asp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ncbi.nlm.nih.gov/pmc/articles/PMC5398200/" TargetMode="External"/><Relationship Id="rId5" Type="http://schemas.openxmlformats.org/officeDocument/2006/relationships/hyperlink" Target="https://ncbi.nlm.nih.gov/pmc/articles/PMC4318792/"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267</TotalTime>
  <Pages>7</Pages>
  <Words>1541</Words>
  <Characters>10902</Characters>
  <Application>Microsoft Office Word</Application>
  <DocSecurity>0</DocSecurity>
  <Lines>227</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Onije (2420902)</dc:creator>
  <cp:keywords/>
  <dc:description/>
  <cp:lastModifiedBy>Charles Onije (2420902)</cp:lastModifiedBy>
  <cp:revision>140</cp:revision>
  <dcterms:created xsi:type="dcterms:W3CDTF">2026-03-06T12:05:00Z</dcterms:created>
  <dcterms:modified xsi:type="dcterms:W3CDTF">2026-03-13T09:45:00Z</dcterms:modified>
</cp:coreProperties>
</file>