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1E1102"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0DB811AE"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3D3161">
        <w:rPr>
          <w:rFonts w:ascii="Arial" w:hAnsi="Arial" w:cs="Arial"/>
          <w:sz w:val="28"/>
          <w:szCs w:val="28"/>
          <w:lang w:val="nl-NL"/>
        </w:rPr>
        <w:t xml:space="preserve">Digital skills </w:t>
      </w:r>
      <w:proofErr w:type="spellStart"/>
      <w:r w:rsidR="003D3161">
        <w:rPr>
          <w:rFonts w:ascii="Arial" w:hAnsi="Arial" w:cs="Arial"/>
          <w:sz w:val="28"/>
          <w:szCs w:val="28"/>
          <w:lang w:val="nl-NL"/>
        </w:rPr>
        <w:t>and</w:t>
      </w:r>
      <w:proofErr w:type="spellEnd"/>
      <w:r w:rsidR="003D3161">
        <w:rPr>
          <w:rFonts w:ascii="Arial" w:hAnsi="Arial" w:cs="Arial"/>
          <w:sz w:val="28"/>
          <w:szCs w:val="28"/>
          <w:lang w:val="nl-NL"/>
        </w:rPr>
        <w:t xml:space="preserve"> </w:t>
      </w:r>
      <w:r w:rsidR="009D7A0F">
        <w:rPr>
          <w:rFonts w:ascii="Arial" w:hAnsi="Arial" w:cs="Arial"/>
          <w:sz w:val="28"/>
          <w:szCs w:val="28"/>
          <w:lang w:val="nl-NL"/>
        </w:rPr>
        <w:t xml:space="preserve">research </w:t>
      </w:r>
      <w:proofErr w:type="spellStart"/>
      <w:r w:rsidR="009D7A0F">
        <w:rPr>
          <w:rFonts w:ascii="Arial" w:hAnsi="Arial" w:cs="Arial"/>
          <w:sz w:val="28"/>
          <w:szCs w:val="28"/>
          <w:lang w:val="nl-NL"/>
        </w:rPr>
        <w:t>methods</w:t>
      </w:r>
      <w:proofErr w:type="spellEnd"/>
      <w:r w:rsidR="009D7A0F">
        <w:rPr>
          <w:rFonts w:ascii="Arial" w:hAnsi="Arial" w:cs="Arial"/>
          <w:sz w:val="28"/>
          <w:szCs w:val="28"/>
          <w:lang w:val="nl-NL"/>
        </w:rPr>
        <w:t xml:space="preserve"> </w:t>
      </w:r>
    </w:p>
    <w:p w14:paraId="529D7354" w14:textId="4358058E" w:rsidR="00CD33A8" w:rsidRPr="003B1B10"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9D7A0F">
        <w:rPr>
          <w:rFonts w:ascii="Arial" w:hAnsi="Arial" w:cs="Arial"/>
          <w:sz w:val="28"/>
          <w:szCs w:val="28"/>
        </w:rPr>
        <w:t>(</w:t>
      </w:r>
      <w:r w:rsidR="00097BC0">
        <w:rPr>
          <w:rFonts w:ascii="Arial" w:hAnsi="Arial" w:cs="Arial"/>
          <w:sz w:val="28"/>
          <w:szCs w:val="28"/>
        </w:rPr>
        <w:t>LCHS4007_LON)</w:t>
      </w:r>
    </w:p>
    <w:p w14:paraId="0A48766D" w14:textId="4E98D045"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 xml:space="preserve">Student </w:t>
      </w:r>
      <w:proofErr w:type="spellStart"/>
      <w:r w:rsidRPr="00CD33A8">
        <w:rPr>
          <w:rFonts w:ascii="Arial" w:hAnsi="Arial" w:cs="Arial"/>
          <w:b/>
          <w:bCs/>
          <w:sz w:val="28"/>
          <w:szCs w:val="28"/>
          <w:lang w:val="nl-NL"/>
        </w:rPr>
        <w:t>name</w:t>
      </w:r>
      <w:r w:rsidRPr="00CD33A8">
        <w:rPr>
          <w:rFonts w:ascii="Arial" w:hAnsi="Arial" w:cs="Arial"/>
          <w:sz w:val="28"/>
          <w:szCs w:val="28"/>
          <w:lang w:val="nl-NL"/>
        </w:rPr>
        <w:t>:</w:t>
      </w:r>
      <w:r w:rsidR="00097BC0">
        <w:rPr>
          <w:rFonts w:ascii="Arial" w:hAnsi="Arial" w:cs="Arial"/>
          <w:sz w:val="28"/>
          <w:szCs w:val="28"/>
          <w:lang w:val="nl-NL"/>
        </w:rPr>
        <w:t>Johanna</w:t>
      </w:r>
      <w:proofErr w:type="spellEnd"/>
      <w:r w:rsidR="00097BC0">
        <w:rPr>
          <w:rFonts w:ascii="Arial" w:hAnsi="Arial" w:cs="Arial"/>
          <w:sz w:val="28"/>
          <w:szCs w:val="28"/>
          <w:lang w:val="nl-NL"/>
        </w:rPr>
        <w:t xml:space="preserve"> </w:t>
      </w:r>
      <w:proofErr w:type="spellStart"/>
      <w:r w:rsidR="00097BC0">
        <w:rPr>
          <w:rFonts w:ascii="Arial" w:hAnsi="Arial" w:cs="Arial"/>
          <w:sz w:val="28"/>
          <w:szCs w:val="28"/>
          <w:lang w:val="nl-NL"/>
        </w:rPr>
        <w:t>Itohan</w:t>
      </w:r>
      <w:proofErr w:type="spellEnd"/>
      <w:r w:rsidR="00097BC0">
        <w:rPr>
          <w:rFonts w:ascii="Arial" w:hAnsi="Arial" w:cs="Arial"/>
          <w:sz w:val="28"/>
          <w:szCs w:val="28"/>
          <w:lang w:val="nl-NL"/>
        </w:rPr>
        <w:t xml:space="preserve"> </w:t>
      </w:r>
      <w:proofErr w:type="spellStart"/>
      <w:r w:rsidR="00097BC0">
        <w:rPr>
          <w:rFonts w:ascii="Arial" w:hAnsi="Arial" w:cs="Arial"/>
          <w:sz w:val="28"/>
          <w:szCs w:val="28"/>
          <w:lang w:val="nl-NL"/>
        </w:rPr>
        <w:t>Erhunmwunse</w:t>
      </w:r>
      <w:proofErr w:type="spellEnd"/>
      <w:r w:rsidR="00097BC0">
        <w:rPr>
          <w:rFonts w:ascii="Arial" w:hAnsi="Arial" w:cs="Arial"/>
          <w:sz w:val="28"/>
          <w:szCs w:val="28"/>
          <w:lang w:val="nl-NL"/>
        </w:rPr>
        <w:t xml:space="preserve"> </w:t>
      </w:r>
    </w:p>
    <w:p w14:paraId="5E81F6AD" w14:textId="33783319"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097BC0">
        <w:rPr>
          <w:rFonts w:ascii="Arial" w:hAnsi="Arial" w:cs="Arial"/>
          <w:sz w:val="28"/>
          <w:szCs w:val="28"/>
          <w:lang w:val="nl-NL"/>
        </w:rPr>
        <w:t>2517217</w:t>
      </w:r>
    </w:p>
    <w:p w14:paraId="12D76753" w14:textId="68E8DDA6" w:rsidR="00B87E75" w:rsidRPr="000C09E4" w:rsidRDefault="008E3943" w:rsidP="000C09E4">
      <w:pPr>
        <w:tabs>
          <w:tab w:val="left" w:pos="6540"/>
        </w:tabs>
        <w:spacing w:line="360" w:lineRule="auto"/>
        <w:rPr>
          <w:rFonts w:ascii="Arial" w:hAnsi="Arial" w:cs="Arial"/>
          <w:sz w:val="28"/>
          <w:szCs w:val="28"/>
        </w:rPr>
      </w:pPr>
      <w:r>
        <w:rPr>
          <w:rFonts w:ascii="Arial" w:hAnsi="Arial" w:cs="Arial"/>
          <w:b/>
          <w:bCs/>
          <w:sz w:val="28"/>
          <w:szCs w:val="28"/>
        </w:rPr>
        <w:t xml:space="preserve">Lecturer’s </w:t>
      </w:r>
      <w:proofErr w:type="spellStart"/>
      <w:r>
        <w:rPr>
          <w:rFonts w:ascii="Arial" w:hAnsi="Arial" w:cs="Arial"/>
          <w:b/>
          <w:bCs/>
          <w:sz w:val="28"/>
          <w:szCs w:val="28"/>
        </w:rPr>
        <w:t>name</w:t>
      </w:r>
      <w:r w:rsidR="00074402" w:rsidRPr="00CD33A8">
        <w:rPr>
          <w:rFonts w:ascii="Arial" w:hAnsi="Arial" w:cs="Arial"/>
          <w:sz w:val="28"/>
          <w:szCs w:val="28"/>
        </w:rPr>
        <w:t>:</w:t>
      </w:r>
      <w:r w:rsidR="002B08EE">
        <w:rPr>
          <w:rFonts w:ascii="Arial" w:hAnsi="Arial" w:cs="Arial"/>
          <w:sz w:val="28"/>
          <w:szCs w:val="28"/>
        </w:rPr>
        <w:t>Dr</w:t>
      </w:r>
      <w:proofErr w:type="spellEnd"/>
      <w:r w:rsidR="002B08EE">
        <w:rPr>
          <w:rFonts w:ascii="Arial" w:hAnsi="Arial" w:cs="Arial"/>
          <w:sz w:val="28"/>
          <w:szCs w:val="28"/>
        </w:rPr>
        <w:t xml:space="preserve"> Kwame </w:t>
      </w:r>
      <w:proofErr w:type="spellStart"/>
      <w:r w:rsidR="00D37B09">
        <w:rPr>
          <w:rFonts w:ascii="Arial" w:hAnsi="Arial" w:cs="Arial"/>
          <w:sz w:val="28"/>
          <w:szCs w:val="28"/>
        </w:rPr>
        <w:t>Assa-Agyei</w:t>
      </w:r>
      <w:proofErr w:type="spellEnd"/>
    </w:p>
    <w:p w14:paraId="0A1D2EBD" w14:textId="77777777" w:rsidR="000C09E4" w:rsidRDefault="000C09E4">
      <w:pPr>
        <w:pStyle w:val="Heading2"/>
        <w:rPr>
          <w:rFonts w:eastAsia="Times New Roman"/>
          <w:sz w:val="36"/>
          <w:szCs w:val="36"/>
        </w:rPr>
      </w:pPr>
      <w:r>
        <w:rPr>
          <w:rFonts w:eastAsia="Times New Roman"/>
        </w:rPr>
        <w:t>1. Introduction to the Research Paper and Development of the Topic</w:t>
      </w:r>
    </w:p>
    <w:p w14:paraId="1C96C534" w14:textId="77777777" w:rsidR="000C09E4" w:rsidRDefault="000C09E4">
      <w:pPr>
        <w:pStyle w:val="NormalWeb"/>
      </w:pPr>
      <w:r>
        <w:t xml:space="preserve">The research article selected for this report is </w:t>
      </w:r>
      <w:r>
        <w:rPr>
          <w:rStyle w:val="Emphasis"/>
        </w:rPr>
        <w:t>“Mental health of staff working in intensive care during COVID-19”</w:t>
      </w:r>
      <w:r>
        <w:t xml:space="preserve"> by Greenberg et al. (2021). The study was carried out during the COVID-19 pandemic, a time when healthcare professionals experienced unprecedented challenges. Many NHS workers faced increased workloads, pressure from caring for critically ill patients, fear of exposure to infection, and emotional distress caused by working in a high-risk environment.</w:t>
      </w:r>
    </w:p>
    <w:p w14:paraId="5F182CBD" w14:textId="77777777" w:rsidR="000C09E4" w:rsidRDefault="000C09E4">
      <w:pPr>
        <w:pStyle w:val="NormalWeb"/>
      </w:pPr>
      <w:r>
        <w:t>The focus of the research was the psychological wellbeing of healthcare workers, particularly those working in intensive care settings. The researchers explored the experiences of NHS staff, including doctors, nurses, and other healthcare professionals, to understand how the pandemic affected their mental health. The study also considered what support could be introduced to protect staff wellbeing during periods of significant pressure.</w:t>
      </w:r>
    </w:p>
    <w:p w14:paraId="3D792820" w14:textId="77777777" w:rsidR="000C09E4" w:rsidRDefault="000C09E4">
      <w:pPr>
        <w:pStyle w:val="NormalWeb"/>
      </w:pPr>
      <w:r>
        <w:t>This area of research is highly relevant to health and social care because healthcare workers are essential in delivering safe and effective services to patients. When staff experience poor mental health, this may affect their confidence, job satisfaction, and ability to provide high-quality care. Understanding the challenges faced by healthcare professionals allows organisations to develop better workplace support and improve staff welfare (World Health Organization, 2022).</w:t>
      </w:r>
    </w:p>
    <w:p w14:paraId="6C0528D1" w14:textId="77777777" w:rsidR="000C09E4" w:rsidRDefault="000C09E4">
      <w:pPr>
        <w:pStyle w:val="NormalWeb"/>
      </w:pPr>
      <w:r>
        <w:t>The research topic developed from concerns raised during previous infectious disease outbreaks, where healthcare workers were found to experience increased stress, anxiety, and emotional exhaustion. The COVID-19 pandemic created additional pressures because staff had to manage rapidly changing guidance, shortages of resources, concerns about their own safety, and worries about passing the virus to family members (Greenberg et al., 2021).</w:t>
      </w:r>
    </w:p>
    <w:p w14:paraId="1CFBC7EC" w14:textId="77777777" w:rsidR="000C09E4" w:rsidRDefault="000C09E4">
      <w:pPr>
        <w:pStyle w:val="NormalWeb"/>
      </w:pPr>
      <w:r>
        <w:t>Greenberg et al. (2021) identified that more research was needed to understand the emotional impact of the pandemic on NHS workers. While healthcare professionals were recognised as essential workers, there was a need to explore their personal experiences and identify the type of support they required. By examining these experiences, the study aimed to provide evidence that could help healthcare organisations improve policies, staff support systems, and approaches to managing future health emergencies.</w:t>
      </w:r>
    </w:p>
    <w:p w14:paraId="02317517" w14:textId="77777777" w:rsidR="000C09E4" w:rsidRDefault="000C09E4">
      <w:pPr>
        <w:pStyle w:val="NormalWeb"/>
      </w:pPr>
      <w:r>
        <w:t>Research literacy is important within health and social care because it enables students and professionals to understand, evaluate, and use research evidence appropriately. By developing these skills, healthcare workers can make informed decisions and contribute to improvements in practice.</w:t>
      </w:r>
    </w:p>
    <w:p w14:paraId="2BF21FB3" w14:textId="7390E92B" w:rsidR="00181A33" w:rsidRDefault="00181A33">
      <w:pPr>
        <w:pStyle w:val="Heading2"/>
        <w:rPr>
          <w:rFonts w:eastAsia="Times New Roman"/>
          <w:sz w:val="36"/>
          <w:szCs w:val="36"/>
        </w:rPr>
      </w:pPr>
      <w:r>
        <w:rPr>
          <w:rFonts w:eastAsia="Times New Roman"/>
        </w:rPr>
        <w:t>2</w:t>
      </w:r>
      <w:r w:rsidR="00D459A2">
        <w:rPr>
          <w:rFonts w:eastAsia="Times New Roman"/>
        </w:rPr>
        <w:t>.</w:t>
      </w:r>
      <w:r>
        <w:rPr>
          <w:rFonts w:eastAsia="Times New Roman"/>
        </w:rPr>
        <w:t xml:space="preserve"> Understanding the Purpose and Research Question</w:t>
      </w:r>
    </w:p>
    <w:p w14:paraId="02B6E48E" w14:textId="77777777" w:rsidR="00181A33" w:rsidRDefault="00181A33">
      <w:pPr>
        <w:pStyle w:val="NormalWeb"/>
      </w:pPr>
      <w:r>
        <w:t>The main purpose of Greenberg et al.’s (2021) research was to investigate the psychological difficulties experienced by healthcare workers during the COVID-19 pandemic. The researchers aimed to explore how working in intensive care affected staff mental health and to understand the factors that contributed to emotional distress.</w:t>
      </w:r>
    </w:p>
    <w:p w14:paraId="3D6ADCD9" w14:textId="77777777" w:rsidR="00181A33" w:rsidRDefault="00181A33">
      <w:pPr>
        <w:pStyle w:val="NormalWeb"/>
      </w:pPr>
      <w:r>
        <w:t>The study focused on healthcare professionals’ experiences of stress, anxiety, and other mental health challenges while caring for patients during the pandemic. It also considered how healthcare organisations could provide appropriate support to reduce the negative effects of prolonged workplace pressure.</w:t>
      </w:r>
    </w:p>
    <w:p w14:paraId="47A752B1" w14:textId="77777777" w:rsidR="00181A33" w:rsidRDefault="00181A33">
      <w:pPr>
        <w:pStyle w:val="NormalWeb"/>
      </w:pPr>
      <w:r>
        <w:t>The research was important because healthcare workers are often expected to provide support to others, but their own wellbeing can sometimes be overlooked. By exploring staff experiences, the researchers aimed to highlight the importance of protecting healthcare workers and ensuring that mental health support is available within health services.</w:t>
      </w:r>
    </w:p>
    <w:p w14:paraId="3AC6B6B9" w14:textId="4AC9BEBB" w:rsidR="00B320FF" w:rsidRDefault="00B320FF">
      <w:pPr>
        <w:pStyle w:val="Heading2"/>
        <w:rPr>
          <w:rFonts w:eastAsia="Times New Roman"/>
          <w:sz w:val="36"/>
          <w:szCs w:val="36"/>
        </w:rPr>
      </w:pPr>
      <w:r>
        <w:rPr>
          <w:rFonts w:eastAsia="Times New Roman"/>
        </w:rPr>
        <w:t>3. Understanding Research Methods and Analysis</w:t>
      </w:r>
    </w:p>
    <w:p w14:paraId="745CB683" w14:textId="77777777" w:rsidR="00B320FF" w:rsidRDefault="00B320FF">
      <w:pPr>
        <w:pStyle w:val="NormalWeb"/>
      </w:pPr>
      <w:r>
        <w:t>Research methods are the approaches used by researchers to collect, examine, and interpret information. Choosing an appropriate method is important because it affects the type and quality of evidence produced. The main approaches used in health and social care research include quantitative, qualitative, and mixed-methods research.</w:t>
      </w:r>
    </w:p>
    <w:p w14:paraId="23D2C198" w14:textId="77777777" w:rsidR="00B320FF" w:rsidRDefault="00B320FF">
      <w:pPr>
        <w:pStyle w:val="NormalWeb"/>
      </w:pPr>
      <w:r>
        <w:t>Quantitative research involves collecting numerical information that can be measured and analysed statistically. This type of research is often used when researchers want to identify patterns, compare groups, or measure the relationship between different factors. Examples of quantitative methods include surveys with numerical responses, questionnaires, and clinical measurements (</w:t>
      </w:r>
      <w:proofErr w:type="spellStart"/>
      <w:r>
        <w:t>Bryman</w:t>
      </w:r>
      <w:proofErr w:type="spellEnd"/>
      <w:r>
        <w:t>, 2016).</w:t>
      </w:r>
    </w:p>
    <w:p w14:paraId="67599D63" w14:textId="77777777" w:rsidR="00B320FF" w:rsidRDefault="00B320FF">
      <w:pPr>
        <w:pStyle w:val="NormalWeb"/>
      </w:pPr>
      <w:r>
        <w:t>Qualitative research focuses on understanding people’s experiences, thoughts, and opinions. Instead of using numbers, it explores how individuals understand and describe a particular situation. Common qualitative methods include interviews, focus groups, and observations. This approach is valuable when researchers want to gain a deeper understanding of personal experiences and emotions (Creswell and Creswell, 2023).</w:t>
      </w:r>
    </w:p>
    <w:p w14:paraId="73F7CF81" w14:textId="77777777" w:rsidR="00B320FF" w:rsidRDefault="00B320FF">
      <w:pPr>
        <w:pStyle w:val="NormalWeb"/>
      </w:pPr>
      <w:r>
        <w:t>Mixed-methods research combines both quantitative and qualitative approaches. This allows researchers to collect measurable data while also exploring individual experiences in more detail. Using both approaches can provide a broader understanding of a research topic and may provide stronger evidence when investigating complex issues within health and social care (Tariq and Woodman, 2013).</w:t>
      </w:r>
    </w:p>
    <w:p w14:paraId="04E08153" w14:textId="77777777" w:rsidR="00B320FF" w:rsidRDefault="00B320FF">
      <w:pPr>
        <w:pStyle w:val="NormalWeb"/>
      </w:pPr>
      <w:r>
        <w:t>The study by Greenberg et al. (2021) used a qualitative research approach because the researchers wanted to explore the personal experiences of healthcare workers during COVID-19. A qualitative method was appropriate because emotions such as fear, stress, anxiety, and feelings of pressure cannot be fully understood through numerical data alone. Allowing healthcare staff to describe their own experiences provided a clearer understanding of the challenges they faced.</w:t>
      </w:r>
    </w:p>
    <w:p w14:paraId="33CE1190" w14:textId="77777777" w:rsidR="00B320FF" w:rsidRDefault="00B320FF">
      <w:pPr>
        <w:pStyle w:val="NormalWeb"/>
      </w:pPr>
      <w:r>
        <w:t>The research collected primary data because the information came directly from healthcare workers involved in the study. Primary research involves gathering new information for a specific research purpose, often through methods such as interviews, questionnaires, or observations. In contrast, secondary research uses information that has already been collected by other sources, such as government publications, previous studies, or official reports.</w:t>
      </w:r>
    </w:p>
    <w:p w14:paraId="038494F0" w14:textId="77777777" w:rsidR="00B320FF" w:rsidRDefault="00B320FF">
      <w:pPr>
        <w:pStyle w:val="NormalWeb"/>
      </w:pPr>
      <w:r>
        <w:t>By collecting information directly from NHS staff, Greenberg et al. (2021) were able to explore the real-life experiences of healthcare professionals working during the pandemic. Participants shared their experiences of increased workload, emotional pressure, concerns about patient outcomes, and worries about their own health and safety.</w:t>
      </w:r>
    </w:p>
    <w:p w14:paraId="10526394" w14:textId="77777777" w:rsidR="00B320FF" w:rsidRDefault="00B320FF">
      <w:pPr>
        <w:pStyle w:val="NormalWeb"/>
      </w:pPr>
      <w:r>
        <w:t>The information collected through qualitative research must then be analysed carefully. Researchers often use a process called thematic analysis, where responses are reviewed and grouped into common themes. For example, themes identified in research about healthcare workers during COVID-19 may include workplace stress, fear of infection, emotional exhaustion, and the need for stronger psychological support.</w:t>
      </w:r>
    </w:p>
    <w:p w14:paraId="43C2D492" w14:textId="77777777" w:rsidR="00B320FF" w:rsidRDefault="00B320FF">
      <w:pPr>
        <w:pStyle w:val="NormalWeb"/>
      </w:pPr>
      <w:r>
        <w:t>A major strength of qualitative research is that it provides detailed insight into people’s experiences. In this study, healthcare workers were able to explain their feelings and challenges in their own words, giving researchers a deeper understanding of the impact of the pandemic. However, a limitation of qualitative research is that studies often involve fewer participants compared with quantitative research. This means the findings may not represent the experiences of every healthcare worker across the UK.</w:t>
      </w:r>
    </w:p>
    <w:p w14:paraId="2461BA89" w14:textId="77777777" w:rsidR="00B320FF" w:rsidRDefault="00B320FF">
      <w:pPr>
        <w:pStyle w:val="NormalWeb"/>
      </w:pPr>
      <w:r>
        <w:t>The research by Greenberg et al. (2021) demonstrates why research evidence is important within health and social care. Evidence from research can help organisations understand problems, improve services, and develop effective support strategies. Developing research literacy allows healthcare students and professionals to judge whether information is reliable and relevant before applying it to practice.</w:t>
      </w:r>
    </w:p>
    <w:p w14:paraId="74A8032D" w14:textId="4054798C" w:rsidR="0091672E" w:rsidRDefault="0091672E">
      <w:pPr>
        <w:pStyle w:val="Heading2"/>
        <w:rPr>
          <w:rFonts w:eastAsia="Times New Roman"/>
          <w:sz w:val="36"/>
          <w:szCs w:val="36"/>
        </w:rPr>
      </w:pPr>
      <w:r>
        <w:rPr>
          <w:rFonts w:eastAsia="Times New Roman"/>
        </w:rPr>
        <w:t>4.Conclusion</w:t>
      </w:r>
    </w:p>
    <w:p w14:paraId="6C8ECD61" w14:textId="77777777" w:rsidR="0091672E" w:rsidRDefault="0091672E">
      <w:pPr>
        <w:pStyle w:val="NormalWeb"/>
      </w:pPr>
      <w:r>
        <w:t>This report has examined Greenberg et al.’s (2021) research into the mental health experiences of healthcare workers during the COVID-19 pandemic. The study highlighted the significant emotional pressures faced by NHS staff working in intensive care environments and demonstrated the importance of providing appropriate support for healthcare professionals.</w:t>
      </w:r>
    </w:p>
    <w:p w14:paraId="3D6A01FE" w14:textId="77777777" w:rsidR="0091672E" w:rsidRDefault="0091672E">
      <w:pPr>
        <w:pStyle w:val="NormalWeb"/>
      </w:pPr>
      <w:r>
        <w:t>The research used a qualitative approach, which allowed healthcare workers to share their experiences and explain the challenges they encountered during the pandemic. Understanding different research methods, types of data, and approaches to analysis is an important part of developing research literacy skills within health and social care.</w:t>
      </w:r>
    </w:p>
    <w:p w14:paraId="26DB3B93" w14:textId="77777777" w:rsidR="0091672E" w:rsidRDefault="0091672E">
      <w:pPr>
        <w:pStyle w:val="NormalWeb"/>
      </w:pPr>
      <w:r>
        <w:t>Research literacy supports evidence-based practice by helping professionals evaluate information and apply reliable findings to improve care. The knowledge gained from analysing this research paper will support my future studies and professional development by improving my ability to understand research evidence and recognise its importance in healthcare decision-making.</w:t>
      </w:r>
    </w:p>
    <w:p w14:paraId="56C289DF" w14:textId="77777777" w:rsidR="00581AB7" w:rsidRDefault="00581AB7">
      <w:pPr>
        <w:pStyle w:val="Heading2"/>
        <w:rPr>
          <w:rFonts w:eastAsia="Times New Roman"/>
          <w:sz w:val="36"/>
          <w:szCs w:val="36"/>
        </w:rPr>
      </w:pPr>
      <w:r>
        <w:rPr>
          <w:rFonts w:eastAsia="Times New Roman"/>
        </w:rPr>
        <w:t>References</w:t>
      </w:r>
    </w:p>
    <w:p w14:paraId="00300DAD" w14:textId="77777777" w:rsidR="00581AB7" w:rsidRDefault="00581AB7">
      <w:pPr>
        <w:pStyle w:val="NormalWeb"/>
      </w:pPr>
      <w:proofErr w:type="spellStart"/>
      <w:r>
        <w:t>Bryman</w:t>
      </w:r>
      <w:proofErr w:type="spellEnd"/>
      <w:r>
        <w:t xml:space="preserve">, A. (2016) </w:t>
      </w:r>
      <w:r>
        <w:rPr>
          <w:rStyle w:val="Emphasis"/>
        </w:rPr>
        <w:t>Social Research Methods</w:t>
      </w:r>
      <w:r>
        <w:t xml:space="preserve">. 5th </w:t>
      </w:r>
      <w:proofErr w:type="spellStart"/>
      <w:r>
        <w:t>edn</w:t>
      </w:r>
      <w:proofErr w:type="spellEnd"/>
      <w:r>
        <w:t>. Oxford: Oxford University Press.</w:t>
      </w:r>
    </w:p>
    <w:p w14:paraId="4E895B45" w14:textId="77777777" w:rsidR="00581AB7" w:rsidRDefault="00581AB7">
      <w:pPr>
        <w:pStyle w:val="NormalWeb"/>
      </w:pPr>
      <w:r>
        <w:t xml:space="preserve">Creswell, J.W. and Creswell, J.D. (2023) </w:t>
      </w:r>
      <w:r>
        <w:rPr>
          <w:rStyle w:val="Emphasis"/>
        </w:rPr>
        <w:t>Research Design: Qualitative, Quantitative, and Mixed Methods Approaches</w:t>
      </w:r>
      <w:r>
        <w:t xml:space="preserve">. 6th </w:t>
      </w:r>
      <w:proofErr w:type="spellStart"/>
      <w:r>
        <w:t>edn</w:t>
      </w:r>
      <w:proofErr w:type="spellEnd"/>
      <w:r>
        <w:t>. London: SAGE Publications.</w:t>
      </w:r>
    </w:p>
    <w:p w14:paraId="067F5378" w14:textId="77777777" w:rsidR="00581AB7" w:rsidRDefault="00581AB7">
      <w:pPr>
        <w:pStyle w:val="NormalWeb"/>
      </w:pPr>
      <w:r>
        <w:t xml:space="preserve">Greenberg, N., Weston, D., Hall, C., Caulfield, T., Williamson, V. and Fong, K. (2021) ‘Mental health of staff working in intensive care during COVID-19’, </w:t>
      </w:r>
      <w:r>
        <w:rPr>
          <w:rStyle w:val="Emphasis"/>
        </w:rPr>
        <w:t>Occupational Medicine</w:t>
      </w:r>
      <w:r>
        <w:t>, 71(2), pp.62–67.</w:t>
      </w:r>
    </w:p>
    <w:p w14:paraId="5DB1C595" w14:textId="77777777" w:rsidR="00581AB7" w:rsidRDefault="00581AB7">
      <w:pPr>
        <w:pStyle w:val="NormalWeb"/>
      </w:pPr>
      <w:r>
        <w:t xml:space="preserve">Tariq, S. and Woodman, J. (2013) ‘Using mixed methods in health research’, </w:t>
      </w:r>
      <w:r>
        <w:rPr>
          <w:rStyle w:val="Emphasis"/>
        </w:rPr>
        <w:t>Journal of the Royal Society of Medicine Short Reports</w:t>
      </w:r>
      <w:r>
        <w:t>, 4(6), pp.1–8.</w:t>
      </w:r>
    </w:p>
    <w:p w14:paraId="07F5DEAB" w14:textId="77777777" w:rsidR="00581AB7" w:rsidRDefault="00581AB7">
      <w:pPr>
        <w:pStyle w:val="NormalWeb"/>
      </w:pPr>
      <w:r>
        <w:t xml:space="preserve">World Health Organization (2022) </w:t>
      </w:r>
      <w:r>
        <w:rPr>
          <w:rStyle w:val="Emphasis"/>
        </w:rPr>
        <w:t>Health and Care Worker Burnout: Global Crisis and Recommendations</w:t>
      </w:r>
      <w:r>
        <w:t>. Geneva: WHO.</w:t>
      </w:r>
    </w:p>
    <w:p w14:paraId="7E6BEB0F" w14:textId="77777777" w:rsidR="00581AB7" w:rsidRDefault="00581AB7">
      <w:pPr>
        <w:pStyle w:val="NormalWeb"/>
      </w:pPr>
      <w:r>
        <w:t xml:space="preserve">NHS England (2023) </w:t>
      </w:r>
      <w:r>
        <w:rPr>
          <w:rStyle w:val="Emphasis"/>
        </w:rPr>
        <w:t>Supporting NHS Staff Wellbeing and Mental Health</w:t>
      </w:r>
      <w:r>
        <w:t>. London: NHS England.</w:t>
      </w:r>
    </w:p>
    <w:p w14:paraId="2A243B6E" w14:textId="77777777" w:rsidR="0091672E" w:rsidRDefault="0091672E">
      <w:pPr>
        <w:pStyle w:val="NormalWeb"/>
      </w:pPr>
    </w:p>
    <w:p w14:paraId="2499F24B" w14:textId="77777777" w:rsidR="0091672E" w:rsidRDefault="0091672E">
      <w:pPr>
        <w:pStyle w:val="NormalWeb"/>
      </w:pPr>
    </w:p>
    <w:p w14:paraId="68C53673" w14:textId="77777777" w:rsidR="008E3943" w:rsidRPr="00CD33A8" w:rsidRDefault="008E3943" w:rsidP="008E3943">
      <w:pPr>
        <w:tabs>
          <w:tab w:val="left" w:pos="6540"/>
        </w:tabs>
        <w:spacing w:line="360" w:lineRule="auto"/>
        <w:rPr>
          <w:rFonts w:ascii="Arial" w:hAnsi="Arial" w:cs="Arial"/>
          <w:sz w:val="22"/>
        </w:rPr>
      </w:pPr>
    </w:p>
    <w:p w14:paraId="52010A5E" w14:textId="77777777" w:rsidR="0026393A" w:rsidRPr="00CD33A8" w:rsidRDefault="0026393A" w:rsidP="00CD33A8">
      <w:pPr>
        <w:tabs>
          <w:tab w:val="left" w:pos="6540"/>
        </w:tabs>
        <w:spacing w:line="360" w:lineRule="auto"/>
        <w:rPr>
          <w:rFonts w:ascii="Arial" w:hAnsi="Arial" w:cs="Arial"/>
          <w:sz w:val="22"/>
        </w:rPr>
      </w:pPr>
    </w:p>
    <w:p w14:paraId="73B07562" w14:textId="7BF88540" w:rsidR="008E3943" w:rsidRDefault="008E3943" w:rsidP="008E3943">
      <w:pPr>
        <w:pStyle w:val="Heading1"/>
      </w:pPr>
    </w:p>
    <w:p w14:paraId="0537CEF5" w14:textId="77777777" w:rsidR="003E4ECF" w:rsidRDefault="003E4ECF" w:rsidP="00CD33A8">
      <w:pPr>
        <w:tabs>
          <w:tab w:val="left" w:pos="6540"/>
        </w:tabs>
        <w:spacing w:line="360" w:lineRule="auto"/>
        <w:rPr>
          <w:rFonts w:asciiTheme="minorBidi" w:hAnsiTheme="minorBidi"/>
          <w:sz w:val="22"/>
        </w:rPr>
      </w:pPr>
    </w:p>
    <w:p w14:paraId="336F5447" w14:textId="77777777" w:rsidR="008E3943" w:rsidRDefault="008E3943" w:rsidP="00CD33A8">
      <w:pPr>
        <w:tabs>
          <w:tab w:val="left" w:pos="6540"/>
        </w:tabs>
        <w:spacing w:line="360" w:lineRule="auto"/>
        <w:rPr>
          <w:rFonts w:asciiTheme="minorBidi" w:hAnsiTheme="minorBidi"/>
          <w:sz w:val="22"/>
        </w:rPr>
      </w:pPr>
    </w:p>
    <w:p w14:paraId="3398AF2B" w14:textId="77777777" w:rsidR="008E3943" w:rsidRPr="00CD33A8" w:rsidRDefault="008E3943" w:rsidP="00CD33A8">
      <w:pPr>
        <w:tabs>
          <w:tab w:val="left" w:pos="6540"/>
        </w:tabs>
        <w:spacing w:line="360" w:lineRule="auto"/>
        <w:rPr>
          <w:rFonts w:asciiTheme="minorBidi" w:hAnsiTheme="minorBidi"/>
          <w:sz w:val="22"/>
        </w:rPr>
      </w:pPr>
    </w:p>
    <w:p w14:paraId="60B2CDC3" w14:textId="73CFE313" w:rsidR="00B87E75" w:rsidRPr="00CD33A8" w:rsidRDefault="008E3943" w:rsidP="00E620E7">
      <w:pPr>
        <w:pStyle w:val="Heading1"/>
      </w:pPr>
      <w:r w:rsidRPr="008E3943">
        <w:t xml:space="preserve"> </w:t>
      </w:r>
    </w:p>
    <w:p w14:paraId="4FC14C6B" w14:textId="77777777" w:rsidR="00B87E75" w:rsidRDefault="00B87E75" w:rsidP="00CD33A8">
      <w:pPr>
        <w:tabs>
          <w:tab w:val="left" w:pos="6540"/>
        </w:tabs>
        <w:spacing w:line="360" w:lineRule="auto"/>
        <w:rPr>
          <w:rFonts w:asciiTheme="minorBidi" w:hAnsiTheme="minorBidi"/>
          <w:sz w:val="22"/>
        </w:rPr>
      </w:pPr>
    </w:p>
    <w:p w14:paraId="68FFD705" w14:textId="77777777" w:rsidR="008E3943" w:rsidRDefault="008E3943" w:rsidP="00CD33A8">
      <w:pPr>
        <w:tabs>
          <w:tab w:val="left" w:pos="6540"/>
        </w:tabs>
        <w:spacing w:line="360" w:lineRule="auto"/>
        <w:rPr>
          <w:rFonts w:asciiTheme="minorBidi" w:hAnsiTheme="minorBidi"/>
          <w:sz w:val="22"/>
        </w:rPr>
      </w:pPr>
    </w:p>
    <w:p w14:paraId="2B008FF6" w14:textId="4232C825" w:rsidR="008E3943" w:rsidRPr="00CD33A8" w:rsidRDefault="008E3943" w:rsidP="00CD33A8">
      <w:pPr>
        <w:tabs>
          <w:tab w:val="left" w:pos="6540"/>
        </w:tabs>
        <w:spacing w:line="360" w:lineRule="auto"/>
        <w:rPr>
          <w:rFonts w:asciiTheme="minorBidi" w:hAnsiTheme="minorBidi"/>
          <w:sz w:val="22"/>
        </w:rPr>
      </w:pPr>
    </w:p>
    <w:p w14:paraId="6DBC958B" w14:textId="081D5DAE" w:rsidR="00CD33A8" w:rsidRPr="0091672E" w:rsidRDefault="00CD33A8" w:rsidP="0091672E">
      <w:pPr>
        <w:pStyle w:val="Heading1"/>
      </w:pPr>
    </w:p>
    <w:p w14:paraId="6812580D" w14:textId="47452A39" w:rsidR="0090040D" w:rsidRPr="00CD33A8" w:rsidRDefault="0090040D" w:rsidP="00CD33A8">
      <w:pPr>
        <w:tabs>
          <w:tab w:val="left" w:pos="6540"/>
        </w:tabs>
        <w:spacing w:line="360" w:lineRule="auto"/>
        <w:rPr>
          <w:rFonts w:asciiTheme="minorBidi" w:hAnsiTheme="minorBidi"/>
          <w:sz w:val="22"/>
        </w:rPr>
      </w:pP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63BFB691" w:rsidR="00B87E75" w:rsidRPr="00CD33A8" w:rsidRDefault="00B87E75" w:rsidP="00E620E7">
      <w:pPr>
        <w:pStyle w:val="Heading1"/>
      </w:pPr>
    </w:p>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01A8D0" w14:textId="77777777" w:rsidR="007A1B8D" w:rsidRDefault="007A1B8D" w:rsidP="003E4ECF">
      <w:pPr>
        <w:spacing w:after="0" w:line="240" w:lineRule="auto"/>
      </w:pPr>
      <w:r>
        <w:separator/>
      </w:r>
    </w:p>
  </w:endnote>
  <w:endnote w:type="continuationSeparator" w:id="0">
    <w:p w14:paraId="21833636" w14:textId="77777777" w:rsidR="007A1B8D" w:rsidRDefault="007A1B8D"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2E3639" w14:textId="77777777" w:rsidR="007A1B8D" w:rsidRDefault="007A1B8D" w:rsidP="003E4ECF">
      <w:pPr>
        <w:spacing w:after="0" w:line="240" w:lineRule="auto"/>
      </w:pPr>
      <w:r>
        <w:separator/>
      </w:r>
    </w:p>
  </w:footnote>
  <w:footnote w:type="continuationSeparator" w:id="0">
    <w:p w14:paraId="5764AEE1" w14:textId="77777777" w:rsidR="007A1B8D" w:rsidRDefault="007A1B8D"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097BC0"/>
    <w:rsid w:val="000C09E4"/>
    <w:rsid w:val="001033D8"/>
    <w:rsid w:val="00181A33"/>
    <w:rsid w:val="001D7C03"/>
    <w:rsid w:val="001E1102"/>
    <w:rsid w:val="00216C85"/>
    <w:rsid w:val="0026393A"/>
    <w:rsid w:val="00273EDD"/>
    <w:rsid w:val="002B08EE"/>
    <w:rsid w:val="002C3965"/>
    <w:rsid w:val="00321C4C"/>
    <w:rsid w:val="00325882"/>
    <w:rsid w:val="00392BBC"/>
    <w:rsid w:val="003B1B10"/>
    <w:rsid w:val="003D3161"/>
    <w:rsid w:val="003E4ECF"/>
    <w:rsid w:val="004A736E"/>
    <w:rsid w:val="00581AB7"/>
    <w:rsid w:val="006925AA"/>
    <w:rsid w:val="00725177"/>
    <w:rsid w:val="007A1B8D"/>
    <w:rsid w:val="00814A9E"/>
    <w:rsid w:val="008E3943"/>
    <w:rsid w:val="0090040D"/>
    <w:rsid w:val="0091672E"/>
    <w:rsid w:val="009D052C"/>
    <w:rsid w:val="009D1D1E"/>
    <w:rsid w:val="009D7A0F"/>
    <w:rsid w:val="00A035FD"/>
    <w:rsid w:val="00AD23A0"/>
    <w:rsid w:val="00B320FF"/>
    <w:rsid w:val="00B87E75"/>
    <w:rsid w:val="00CD33A8"/>
    <w:rsid w:val="00D37B09"/>
    <w:rsid w:val="00D459A2"/>
    <w:rsid w:val="00E569FD"/>
    <w:rsid w:val="00E620E7"/>
    <w:rsid w:val="00F66E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NormalWeb">
    <w:name w:val="Normal (Web)"/>
    <w:basedOn w:val="Normal"/>
    <w:uiPriority w:val="99"/>
    <w:semiHidden/>
    <w:unhideWhenUsed/>
    <w:rsid w:val="000C09E4"/>
    <w:pPr>
      <w:spacing w:before="100" w:beforeAutospacing="1" w:after="100" w:afterAutospacing="1" w:line="240" w:lineRule="auto"/>
    </w:pPr>
    <w:rPr>
      <w:rFonts w:eastAsiaTheme="minorEastAsia" w:cs="Times New Roman"/>
      <w:szCs w:val="24"/>
    </w:rPr>
  </w:style>
  <w:style w:type="character" w:styleId="Emphasis">
    <w:name w:val="Emphasis"/>
    <w:basedOn w:val="DefaultParagraphFont"/>
    <w:uiPriority w:val="20"/>
    <w:qFormat/>
    <w:rsid w:val="000C09E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webSettings" Target="webSettings.xml" /><Relationship Id="rId7" Type="http://schemas.openxmlformats.org/officeDocument/2006/relationships/image" Target="cid:image001.png@01D0EA4A.2BD679A0"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5" Type="http://schemas.openxmlformats.org/officeDocument/2006/relationships/endnotes" Target="endnotes.xml" /><Relationship Id="rId10" Type="http://schemas.openxmlformats.org/officeDocument/2006/relationships/theme" Target="theme/theme1.xml" /><Relationship Id="rId4" Type="http://schemas.openxmlformats.org/officeDocument/2006/relationships/footnotes" Target="footnote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1492</Words>
  <Characters>8506</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Johanna Erhunmwunse</cp:lastModifiedBy>
  <cp:revision>2</cp:revision>
  <dcterms:created xsi:type="dcterms:W3CDTF">2026-07-30T17:05:00Z</dcterms:created>
  <dcterms:modified xsi:type="dcterms:W3CDTF">2026-07-30T17:05:00Z</dcterms:modified>
</cp:coreProperties>
</file>