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F7B5C" w:rsidRPr="0085136F" w:rsidRDefault="007F7B5C" w:rsidP="007F7B5C">
      <w:pPr>
        <w:jc w:val="center"/>
        <w:rPr>
          <w:b/>
          <w:bCs/>
          <w:sz w:val="36"/>
          <w:szCs w:val="36"/>
        </w:rPr>
      </w:pPr>
    </w:p>
    <w:p w:rsidR="007F7B5C" w:rsidRPr="0085136F" w:rsidRDefault="007F7B5C" w:rsidP="007F7B5C">
      <w:pPr>
        <w:jc w:val="center"/>
        <w:rPr>
          <w:b/>
          <w:bCs/>
          <w:sz w:val="36"/>
          <w:szCs w:val="36"/>
        </w:rPr>
      </w:pPr>
    </w:p>
    <w:p w:rsidR="007F7B5C" w:rsidRPr="0085136F" w:rsidRDefault="007F7B5C" w:rsidP="007F7B5C">
      <w:pPr>
        <w:jc w:val="center"/>
        <w:rPr>
          <w:b/>
          <w:bCs/>
          <w:sz w:val="36"/>
          <w:szCs w:val="36"/>
        </w:rPr>
      </w:pPr>
    </w:p>
    <w:p w:rsidR="007F7B5C" w:rsidRPr="0085136F" w:rsidRDefault="007F7B5C" w:rsidP="007F7B5C">
      <w:pPr>
        <w:jc w:val="center"/>
        <w:rPr>
          <w:b/>
          <w:bCs/>
          <w:sz w:val="36"/>
          <w:szCs w:val="36"/>
        </w:rPr>
      </w:pPr>
    </w:p>
    <w:p w:rsidR="007F7B5C" w:rsidRPr="0085136F" w:rsidRDefault="007F7B5C" w:rsidP="007F7B5C">
      <w:pPr>
        <w:jc w:val="center"/>
        <w:rPr>
          <w:b/>
          <w:bCs/>
          <w:sz w:val="36"/>
          <w:szCs w:val="36"/>
        </w:rPr>
      </w:pPr>
    </w:p>
    <w:p w:rsidR="007F7B5C" w:rsidRPr="0085136F" w:rsidRDefault="007F7B5C" w:rsidP="007F7B5C">
      <w:pPr>
        <w:jc w:val="center"/>
        <w:rPr>
          <w:b/>
          <w:bCs/>
          <w:sz w:val="36"/>
          <w:szCs w:val="36"/>
        </w:rPr>
      </w:pPr>
    </w:p>
    <w:p w:rsidR="00AB06F2" w:rsidRPr="0085136F" w:rsidRDefault="00150FA6" w:rsidP="007F7B5C">
      <w:pPr>
        <w:jc w:val="center"/>
        <w:rPr>
          <w:b/>
          <w:bCs/>
          <w:sz w:val="36"/>
          <w:szCs w:val="36"/>
        </w:rPr>
      </w:pPr>
      <w:r w:rsidRPr="0085136F">
        <w:rPr>
          <w:b/>
          <w:bCs/>
          <w:sz w:val="36"/>
          <w:szCs w:val="36"/>
        </w:rPr>
        <w:t>Module: Project Management</w:t>
      </w:r>
    </w:p>
    <w:p w:rsidR="00AB06F2" w:rsidRDefault="00150FA6" w:rsidP="007F7B5C">
      <w:pPr>
        <w:jc w:val="center"/>
        <w:rPr>
          <w:b/>
          <w:bCs/>
          <w:sz w:val="36"/>
          <w:szCs w:val="36"/>
        </w:rPr>
      </w:pPr>
      <w:r w:rsidRPr="0085136F">
        <w:rPr>
          <w:b/>
          <w:bCs/>
          <w:sz w:val="36"/>
          <w:szCs w:val="36"/>
        </w:rPr>
        <w:t>Module code: LCBB5005</w:t>
      </w:r>
    </w:p>
    <w:p w:rsidR="00B55629" w:rsidRPr="0085136F" w:rsidRDefault="00B55629" w:rsidP="007F7B5C">
      <w:pPr>
        <w:jc w:val="center"/>
        <w:rPr>
          <w:b/>
          <w:bCs/>
          <w:sz w:val="36"/>
          <w:szCs w:val="36"/>
        </w:rPr>
      </w:pPr>
      <w:r>
        <w:rPr>
          <w:b/>
          <w:bCs/>
          <w:sz w:val="36"/>
          <w:szCs w:val="36"/>
        </w:rPr>
        <w:t>Lecturer Anupam Mazumdar</w:t>
      </w:r>
    </w:p>
    <w:p w:rsidR="00AB06F2" w:rsidRDefault="00150FA6" w:rsidP="007F7B5C">
      <w:pPr>
        <w:jc w:val="center"/>
        <w:rPr>
          <w:b/>
          <w:bCs/>
          <w:sz w:val="36"/>
          <w:szCs w:val="36"/>
        </w:rPr>
      </w:pPr>
      <w:r w:rsidRPr="0085136F">
        <w:rPr>
          <w:b/>
          <w:bCs/>
          <w:sz w:val="36"/>
          <w:szCs w:val="36"/>
        </w:rPr>
        <w:t>Assessment 2</w:t>
      </w:r>
    </w:p>
    <w:p w:rsidR="00840E91" w:rsidRPr="0085136F" w:rsidRDefault="00110474" w:rsidP="007F7B5C">
      <w:pPr>
        <w:jc w:val="center"/>
        <w:rPr>
          <w:b/>
          <w:bCs/>
          <w:sz w:val="36"/>
          <w:szCs w:val="36"/>
        </w:rPr>
      </w:pPr>
      <w:r>
        <w:rPr>
          <w:b/>
          <w:bCs/>
          <w:sz w:val="36"/>
          <w:szCs w:val="36"/>
        </w:rPr>
        <w:t xml:space="preserve">Assignment Title: </w:t>
      </w:r>
      <w:r w:rsidR="00840E91">
        <w:rPr>
          <w:b/>
          <w:bCs/>
          <w:sz w:val="36"/>
          <w:szCs w:val="36"/>
        </w:rPr>
        <w:t xml:space="preserve">Essay </w:t>
      </w:r>
    </w:p>
    <w:p w:rsidR="00AB06F2" w:rsidRPr="0085136F" w:rsidRDefault="00F25C57" w:rsidP="007F7B5C">
      <w:pPr>
        <w:jc w:val="center"/>
        <w:rPr>
          <w:b/>
          <w:bCs/>
          <w:sz w:val="36"/>
          <w:szCs w:val="36"/>
        </w:rPr>
      </w:pPr>
      <w:r>
        <w:rPr>
          <w:b/>
          <w:bCs/>
          <w:sz w:val="36"/>
          <w:szCs w:val="36"/>
        </w:rPr>
        <w:t>Student N</w:t>
      </w:r>
      <w:r w:rsidR="00150FA6" w:rsidRPr="0085136F">
        <w:rPr>
          <w:b/>
          <w:bCs/>
          <w:sz w:val="36"/>
          <w:szCs w:val="36"/>
        </w:rPr>
        <w:t>ame:</w:t>
      </w:r>
      <w:r w:rsidR="00B55629">
        <w:rPr>
          <w:b/>
          <w:bCs/>
          <w:sz w:val="36"/>
          <w:szCs w:val="36"/>
        </w:rPr>
        <w:t>Mariya Ilieva</w:t>
      </w:r>
    </w:p>
    <w:p w:rsidR="00AB06F2" w:rsidRPr="0085136F" w:rsidRDefault="00150FA6" w:rsidP="007F7B5C">
      <w:pPr>
        <w:jc w:val="center"/>
      </w:pPr>
      <w:r w:rsidRPr="0085136F">
        <w:rPr>
          <w:b/>
          <w:bCs/>
          <w:sz w:val="36"/>
          <w:szCs w:val="36"/>
        </w:rPr>
        <w:t xml:space="preserve">Student ID: </w:t>
      </w:r>
      <w:r w:rsidR="00B55629">
        <w:rPr>
          <w:b/>
          <w:bCs/>
          <w:sz w:val="36"/>
          <w:szCs w:val="36"/>
        </w:rPr>
        <w:t>2123768</w:t>
      </w:r>
      <w:r w:rsidRPr="0085136F">
        <w:br w:type="page"/>
      </w:r>
    </w:p>
    <w:sdt>
      <w:sdtPr>
        <w:rPr>
          <w:rFonts w:ascii="Times New Roman" w:eastAsia="Times New Roman" w:hAnsi="Times New Roman" w:cs="Times New Roman"/>
          <w:color w:val="auto"/>
          <w:sz w:val="24"/>
          <w:szCs w:val="24"/>
          <w:lang w:val="en-GB" w:eastAsia="en-IN"/>
        </w:rPr>
        <w:id w:val="714167209"/>
        <w:docPartObj>
          <w:docPartGallery w:val="Table of Contents"/>
          <w:docPartUnique/>
        </w:docPartObj>
      </w:sdtPr>
      <w:sdtEndPr>
        <w:rPr>
          <w:b/>
          <w:bCs/>
          <w:noProof/>
        </w:rPr>
      </w:sdtEndPr>
      <w:sdtContent>
        <w:p w:rsidR="007F7B5C" w:rsidRPr="0085136F" w:rsidRDefault="007F7B5C" w:rsidP="007F7B5C">
          <w:pPr>
            <w:pStyle w:val="TOCHeading"/>
            <w:spacing w:line="360" w:lineRule="auto"/>
            <w:jc w:val="center"/>
            <w:rPr>
              <w:lang w:val="en-GB"/>
            </w:rPr>
          </w:pPr>
          <w:r w:rsidRPr="0085136F">
            <w:rPr>
              <w:rFonts w:ascii="Times New Roman" w:hAnsi="Times New Roman" w:cs="Times New Roman"/>
              <w:b/>
              <w:bCs/>
              <w:color w:val="000000" w:themeColor="text1"/>
              <w:sz w:val="28"/>
              <w:szCs w:val="28"/>
              <w:lang w:val="en-GB"/>
            </w:rPr>
            <w:t>Table of Contents</w:t>
          </w:r>
        </w:p>
        <w:p w:rsidR="007F7B5C" w:rsidRPr="0085136F" w:rsidRDefault="00640BEC">
          <w:pPr>
            <w:pStyle w:val="TOC1"/>
            <w:tabs>
              <w:tab w:val="right" w:leader="dot" w:pos="9019"/>
            </w:tabs>
            <w:rPr>
              <w:noProof/>
            </w:rPr>
          </w:pPr>
          <w:r w:rsidRPr="00640BEC">
            <w:fldChar w:fldCharType="begin"/>
          </w:r>
          <w:r w:rsidR="007F7B5C" w:rsidRPr="0085136F">
            <w:instrText xml:space="preserve"> TOC \o "1-3" \h \z \u </w:instrText>
          </w:r>
          <w:r w:rsidRPr="00640BEC">
            <w:fldChar w:fldCharType="separate"/>
          </w:r>
          <w:hyperlink w:anchor="_Toc140079182" w:history="1">
            <w:r w:rsidR="007F7B5C" w:rsidRPr="0085136F">
              <w:rPr>
                <w:rStyle w:val="Hyperlink"/>
                <w:noProof/>
              </w:rPr>
              <w:t>Introduction</w:t>
            </w:r>
            <w:r w:rsidR="007F7B5C" w:rsidRPr="0085136F">
              <w:rPr>
                <w:noProof/>
                <w:webHidden/>
              </w:rPr>
              <w:tab/>
            </w:r>
            <w:r w:rsidRPr="0085136F">
              <w:rPr>
                <w:noProof/>
                <w:webHidden/>
              </w:rPr>
              <w:fldChar w:fldCharType="begin"/>
            </w:r>
            <w:r w:rsidR="007F7B5C" w:rsidRPr="0085136F">
              <w:rPr>
                <w:noProof/>
                <w:webHidden/>
              </w:rPr>
              <w:instrText xml:space="preserve"> PAGEREF _Toc140079182 \h </w:instrText>
            </w:r>
            <w:r w:rsidRPr="0085136F">
              <w:rPr>
                <w:noProof/>
                <w:webHidden/>
              </w:rPr>
            </w:r>
            <w:r w:rsidRPr="0085136F">
              <w:rPr>
                <w:noProof/>
                <w:webHidden/>
              </w:rPr>
              <w:fldChar w:fldCharType="separate"/>
            </w:r>
            <w:r w:rsidR="007F7B5C" w:rsidRPr="0085136F">
              <w:rPr>
                <w:noProof/>
                <w:webHidden/>
              </w:rPr>
              <w:t>3</w:t>
            </w:r>
            <w:r w:rsidRPr="0085136F">
              <w:rPr>
                <w:noProof/>
                <w:webHidden/>
              </w:rPr>
              <w:fldChar w:fldCharType="end"/>
            </w:r>
          </w:hyperlink>
        </w:p>
        <w:p w:rsidR="007F7B5C" w:rsidRPr="0085136F" w:rsidRDefault="00640BEC">
          <w:pPr>
            <w:pStyle w:val="TOC1"/>
            <w:tabs>
              <w:tab w:val="right" w:leader="dot" w:pos="9019"/>
            </w:tabs>
            <w:rPr>
              <w:noProof/>
            </w:rPr>
          </w:pPr>
          <w:hyperlink w:anchor="_Toc140079183" w:history="1">
            <w:r w:rsidR="007F7B5C" w:rsidRPr="0085136F">
              <w:rPr>
                <w:rStyle w:val="Hyperlink"/>
                <w:noProof/>
              </w:rPr>
              <w:t>Discussion</w:t>
            </w:r>
            <w:r w:rsidR="007F7B5C" w:rsidRPr="0085136F">
              <w:rPr>
                <w:noProof/>
                <w:webHidden/>
              </w:rPr>
              <w:tab/>
            </w:r>
            <w:r w:rsidRPr="0085136F">
              <w:rPr>
                <w:noProof/>
                <w:webHidden/>
              </w:rPr>
              <w:fldChar w:fldCharType="begin"/>
            </w:r>
            <w:r w:rsidR="007F7B5C" w:rsidRPr="0085136F">
              <w:rPr>
                <w:noProof/>
                <w:webHidden/>
              </w:rPr>
              <w:instrText xml:space="preserve"> PAGEREF _Toc140079183 \h </w:instrText>
            </w:r>
            <w:r w:rsidRPr="0085136F">
              <w:rPr>
                <w:noProof/>
                <w:webHidden/>
              </w:rPr>
            </w:r>
            <w:r w:rsidRPr="0085136F">
              <w:rPr>
                <w:noProof/>
                <w:webHidden/>
              </w:rPr>
              <w:fldChar w:fldCharType="separate"/>
            </w:r>
            <w:r w:rsidR="007F7B5C" w:rsidRPr="0085136F">
              <w:rPr>
                <w:noProof/>
                <w:webHidden/>
              </w:rPr>
              <w:t>3</w:t>
            </w:r>
            <w:r w:rsidRPr="0085136F">
              <w:rPr>
                <w:noProof/>
                <w:webHidden/>
              </w:rPr>
              <w:fldChar w:fldCharType="end"/>
            </w:r>
          </w:hyperlink>
        </w:p>
        <w:p w:rsidR="007F7B5C" w:rsidRPr="0085136F" w:rsidRDefault="00640BEC">
          <w:pPr>
            <w:pStyle w:val="TOC1"/>
            <w:tabs>
              <w:tab w:val="right" w:leader="dot" w:pos="9019"/>
            </w:tabs>
            <w:rPr>
              <w:noProof/>
            </w:rPr>
          </w:pPr>
          <w:hyperlink w:anchor="_Toc140079184" w:history="1">
            <w:r w:rsidR="007F7B5C" w:rsidRPr="0085136F">
              <w:rPr>
                <w:rStyle w:val="Hyperlink"/>
                <w:noProof/>
              </w:rPr>
              <w:t>Conclusion</w:t>
            </w:r>
            <w:r w:rsidR="007F7B5C" w:rsidRPr="0085136F">
              <w:rPr>
                <w:noProof/>
                <w:webHidden/>
              </w:rPr>
              <w:tab/>
            </w:r>
            <w:r w:rsidRPr="0085136F">
              <w:rPr>
                <w:noProof/>
                <w:webHidden/>
              </w:rPr>
              <w:fldChar w:fldCharType="begin"/>
            </w:r>
            <w:r w:rsidR="007F7B5C" w:rsidRPr="0085136F">
              <w:rPr>
                <w:noProof/>
                <w:webHidden/>
              </w:rPr>
              <w:instrText xml:space="preserve"> PAGEREF _Toc140079184 \h </w:instrText>
            </w:r>
            <w:r w:rsidRPr="0085136F">
              <w:rPr>
                <w:noProof/>
                <w:webHidden/>
              </w:rPr>
            </w:r>
            <w:r w:rsidRPr="0085136F">
              <w:rPr>
                <w:noProof/>
                <w:webHidden/>
              </w:rPr>
              <w:fldChar w:fldCharType="separate"/>
            </w:r>
            <w:r w:rsidR="007F7B5C" w:rsidRPr="0085136F">
              <w:rPr>
                <w:noProof/>
                <w:webHidden/>
              </w:rPr>
              <w:t>7</w:t>
            </w:r>
            <w:r w:rsidRPr="0085136F">
              <w:rPr>
                <w:noProof/>
                <w:webHidden/>
              </w:rPr>
              <w:fldChar w:fldCharType="end"/>
            </w:r>
          </w:hyperlink>
        </w:p>
        <w:p w:rsidR="007F7B5C" w:rsidRPr="0085136F" w:rsidRDefault="00640BEC">
          <w:pPr>
            <w:pStyle w:val="TOC1"/>
            <w:tabs>
              <w:tab w:val="right" w:leader="dot" w:pos="9019"/>
            </w:tabs>
            <w:rPr>
              <w:noProof/>
            </w:rPr>
          </w:pPr>
          <w:hyperlink w:anchor="_Toc140079185" w:history="1">
            <w:r w:rsidR="007F7B5C" w:rsidRPr="0085136F">
              <w:rPr>
                <w:rStyle w:val="Hyperlink"/>
                <w:noProof/>
              </w:rPr>
              <w:t>References</w:t>
            </w:r>
            <w:r w:rsidR="007F7B5C" w:rsidRPr="0085136F">
              <w:rPr>
                <w:noProof/>
                <w:webHidden/>
              </w:rPr>
              <w:tab/>
            </w:r>
            <w:r w:rsidRPr="0085136F">
              <w:rPr>
                <w:noProof/>
                <w:webHidden/>
              </w:rPr>
              <w:fldChar w:fldCharType="begin"/>
            </w:r>
            <w:r w:rsidR="007F7B5C" w:rsidRPr="0085136F">
              <w:rPr>
                <w:noProof/>
                <w:webHidden/>
              </w:rPr>
              <w:instrText xml:space="preserve"> PAGEREF _Toc140079185 \h </w:instrText>
            </w:r>
            <w:r w:rsidRPr="0085136F">
              <w:rPr>
                <w:noProof/>
                <w:webHidden/>
              </w:rPr>
            </w:r>
            <w:r w:rsidRPr="0085136F">
              <w:rPr>
                <w:noProof/>
                <w:webHidden/>
              </w:rPr>
              <w:fldChar w:fldCharType="separate"/>
            </w:r>
            <w:r w:rsidR="007F7B5C" w:rsidRPr="0085136F">
              <w:rPr>
                <w:noProof/>
                <w:webHidden/>
              </w:rPr>
              <w:t>9</w:t>
            </w:r>
            <w:r w:rsidRPr="0085136F">
              <w:rPr>
                <w:noProof/>
                <w:webHidden/>
              </w:rPr>
              <w:fldChar w:fldCharType="end"/>
            </w:r>
          </w:hyperlink>
        </w:p>
        <w:p w:rsidR="007F7B5C" w:rsidRPr="0085136F" w:rsidRDefault="00640BEC">
          <w:r w:rsidRPr="0085136F">
            <w:rPr>
              <w:b/>
              <w:bCs/>
              <w:noProof/>
            </w:rPr>
            <w:fldChar w:fldCharType="end"/>
          </w:r>
        </w:p>
      </w:sdtContent>
    </w:sdt>
    <w:p w:rsidR="00AB06F2" w:rsidRPr="0085136F" w:rsidRDefault="00150FA6">
      <w:r w:rsidRPr="0085136F">
        <w:br w:type="page"/>
      </w:r>
    </w:p>
    <w:p w:rsidR="00AB06F2" w:rsidRPr="0085136F" w:rsidRDefault="00150FA6">
      <w:pPr>
        <w:pStyle w:val="Heading1"/>
      </w:pPr>
      <w:bookmarkStart w:id="0" w:name="_ssnmyfu8od2d" w:colFirst="0" w:colLast="0"/>
      <w:bookmarkStart w:id="1" w:name="_Toc140079182"/>
      <w:bookmarkEnd w:id="0"/>
      <w:r w:rsidRPr="0085136F">
        <w:lastRenderedPageBreak/>
        <w:t>Introduction</w:t>
      </w:r>
      <w:bookmarkEnd w:id="1"/>
    </w:p>
    <w:p w:rsidR="00AB06F2" w:rsidRPr="0085136F" w:rsidRDefault="00150FA6">
      <w:r w:rsidRPr="0085136F">
        <w:t xml:space="preserve">Project management refers to the process of applying various procedures techniques methods, knowledge skills and experiences of various people to achieve specific objectives regarding the deliverables of a project. The time cost and quality of the deliverables are the most important factors in the context of project management (Badi </w:t>
      </w:r>
      <w:r w:rsidRPr="0085136F">
        <w:rPr>
          <w:i/>
        </w:rPr>
        <w:t xml:space="preserve">et al., </w:t>
      </w:r>
      <w:r w:rsidRPr="0085136F">
        <w:t xml:space="preserve">2020). According to the given case study of Hinkley Point C, one of the ongoing nuclear power establishment projects based in the UK which focuses on providing low-carbon electricity to more than 6 million homes across the country and creating a huge opportunity for employment and inducing the concept of reducing carbon emissions as per the plan of UK Government.  The construction of the program was launched in 2016 and the first base was completed in 2019 and the second way was completed in 2020. Originally it was estimated to complete the project within 2026, however, repeated lockdowns during the coronavirus pandemic initiated the length of the project by 2 years and the project is estimated to complete around 2028 (World Nuclear Association, 2023). The aim of this particular essay is to present a detailed discussion of the context of the overall narrative of the current progress of the project and the future probability of success and failure. The essay structure would focus on critical analysis of the future success or failure of the project by using PMBOK 10 critical factors, the potential lesson that has been learnt from the project and suitable recommendations for inducing similar projects in future. </w:t>
      </w:r>
    </w:p>
    <w:p w:rsidR="00AB06F2" w:rsidRPr="0085136F" w:rsidRDefault="00150FA6">
      <w:pPr>
        <w:pStyle w:val="Heading1"/>
      </w:pPr>
      <w:bookmarkStart w:id="2" w:name="_s286z2l71vnn" w:colFirst="0" w:colLast="0"/>
      <w:bookmarkStart w:id="3" w:name="_Toc140079183"/>
      <w:bookmarkEnd w:id="2"/>
      <w:r w:rsidRPr="0085136F">
        <w:t>Discussion</w:t>
      </w:r>
      <w:bookmarkEnd w:id="3"/>
    </w:p>
    <w:p w:rsidR="00AB06F2" w:rsidRPr="0085136F" w:rsidRDefault="00150FA6">
      <w:r w:rsidRPr="0085136F">
        <w:t xml:space="preserve">The analysis of the future success or the failure organisation for the project of </w:t>
      </w:r>
      <w:r w:rsidRPr="0085136F">
        <w:rPr>
          <w:b/>
        </w:rPr>
        <w:t>Hinkley Point C (HPC)</w:t>
      </w:r>
      <w:r w:rsidRPr="0085136F">
        <w:t xml:space="preserve"> case study and its current progress regarding the establishment of two EPR reactors supporting the reduction of 9 million tons of carbon dioxide emissions per year, the concept of </w:t>
      </w:r>
      <w:r w:rsidRPr="0085136F">
        <w:rPr>
          <w:b/>
        </w:rPr>
        <w:t>PMBOK</w:t>
      </w:r>
      <w:r w:rsidRPr="0085136F">
        <w:t xml:space="preserve"> could be incorporated. There are </w:t>
      </w:r>
      <w:r w:rsidRPr="0085136F">
        <w:rPr>
          <w:b/>
        </w:rPr>
        <w:t>10 critical factors</w:t>
      </w:r>
      <w:r w:rsidRPr="0085136F">
        <w:t xml:space="preserve"> that are associated with the specific context and stand for the acronym of the project management body of knowledge. </w:t>
      </w:r>
      <w:r w:rsidRPr="0085136F">
        <w:rPr>
          <w:b/>
        </w:rPr>
        <w:t>Project integration management</w:t>
      </w:r>
      <w:r w:rsidRPr="0085136F">
        <w:t xml:space="preserve"> refers to the process of overseeing and monitoring the overall procedures for the amalgamation of all the necessary factors into a specific area (Buehring, 2019). The success of the particular project of Hinkley Point C is associated with the ability to integrate the components like construction operation time and stakeholder management. The organisation has already incorporated and shown that detail distinction related to the project and it is expected to complete this particular aspect within the given time period. </w:t>
      </w:r>
      <w:r w:rsidRPr="0085136F">
        <w:rPr>
          <w:b/>
        </w:rPr>
        <w:t>Scope management</w:t>
      </w:r>
      <w:r w:rsidRPr="0085136F">
        <w:t xml:space="preserve"> is the second aspect of these critical factors that refers to the process of completing the project within the allocated time and resources. This particular </w:t>
      </w:r>
      <w:r w:rsidRPr="0085136F">
        <w:lastRenderedPageBreak/>
        <w:t xml:space="preserve">concept is associated with the strategic UK need for investment and security of £19BN that focuses on integrating local national and international supply chain associations. Real-time contract management could be a potential solution to the scope management of the project (Glasson </w:t>
      </w:r>
      <w:r w:rsidRPr="0085136F">
        <w:rPr>
          <w:i/>
        </w:rPr>
        <w:t xml:space="preserve">et al., </w:t>
      </w:r>
      <w:r w:rsidRPr="0085136F">
        <w:t xml:space="preserve">2021). </w:t>
      </w:r>
    </w:p>
    <w:p w:rsidR="00AB06F2" w:rsidRPr="0085136F" w:rsidRDefault="00150FA6">
      <w:r w:rsidRPr="0085136F">
        <w:rPr>
          <w:b/>
        </w:rPr>
        <w:t>Time management</w:t>
      </w:r>
      <w:r w:rsidRPr="0085136F">
        <w:t xml:space="preserve"> is the third component in the project management criteria which refers to the completion of the project within the scheduled time period. The project HPC was primarily associated with a 10-year time span from 2016 to 2026. The first and second phase of the project was effectively completed within June 2020 according to the scheduled plan however, due to the unexpected Covid-19 pandemic, the overall time management capacity had to be stopped and the milestone was not effectively met adhering to the original time schedule. The overall span of the project has been expanded by 2 years which created a critical determination on the context of the success and failure of the project (Daniel and Daniel, 2019). </w:t>
      </w:r>
      <w:r w:rsidRPr="0085136F">
        <w:rPr>
          <w:b/>
        </w:rPr>
        <w:t>Cost management</w:t>
      </w:r>
      <w:r w:rsidRPr="0085136F">
        <w:t xml:space="preserve"> is the fourth aspect that is highly related to the concept of this current project. After a series of delays and the overall time management discrepancy, the overall cost of the HPC project was estimated at around £33 billion (World Nuclear Association, 2023). As the cost overrun and efficiency in monitoring and tracking the spending is a determining factor for the success of the project, considering the overall inflation rate prevalent in the UK, HPC is not a viable one. </w:t>
      </w:r>
    </w:p>
    <w:p w:rsidR="00AB06F2" w:rsidRPr="0085136F" w:rsidRDefault="00150FA6">
      <w:r w:rsidRPr="0085136F">
        <w:rPr>
          <w:b/>
        </w:rPr>
        <w:t>Quality management</w:t>
      </w:r>
      <w:r w:rsidRPr="0085136F">
        <w:t xml:space="preserve"> of the project is associated with the process of meeting the required standard of performance. To initiate effective measures for success HPC projects should showcase effective quality management criteria regarding construction safety standard operations and overall project life cycle (Parkinson </w:t>
      </w:r>
      <w:r w:rsidRPr="0085136F">
        <w:rPr>
          <w:i/>
        </w:rPr>
        <w:t xml:space="preserve">et al., </w:t>
      </w:r>
      <w:r w:rsidRPr="0085136F">
        <w:t xml:space="preserve">2021). According to the Office for Nuclear Regulation, NNB GenCo was considered to conduct the construction activities of the HPC project which is associated with effective project management scenarios and develop several areas for quality improvement. The overall quality of the project is also associated with the establishment of the two ERPs that would be dealing with the issues of creating environmental hazards in affiliation with the previous nuclear power plants (Dyrda and Morrison, 2021). </w:t>
      </w:r>
      <w:r w:rsidRPr="0085136F">
        <w:rPr>
          <w:b/>
        </w:rPr>
        <w:t>Human resource management</w:t>
      </w:r>
      <w:r w:rsidRPr="0085136F">
        <w:t xml:space="preserve"> is the next aspect related to the overall concept of critical factors. According to the given case study, this particular project will create around 25000 employment opportunities and 1000 apprenticeships and this will mainly be associated with the UK employment scenario. Around 3 billion pounds has been spent to support the regional business job opportunities and apprenticeship which has helped the local population to establish their career in the context of nuclear development. This particular </w:t>
      </w:r>
      <w:r w:rsidRPr="0085136F">
        <w:lastRenderedPageBreak/>
        <w:t xml:space="preserve">project has initiated three types of HRM scenarios which are young HPC, Apprenticeship schemes and Hinkley Job Services (EDF Energy, 2023). </w:t>
      </w:r>
    </w:p>
    <w:p w:rsidR="00AB06F2" w:rsidRPr="0085136F" w:rsidRDefault="00150FA6">
      <w:r w:rsidRPr="0085136F">
        <w:rPr>
          <w:b/>
        </w:rPr>
        <w:t>Communication management</w:t>
      </w:r>
      <w:r w:rsidRPr="0085136F">
        <w:t xml:space="preserve"> is the sixth aspect related to the context of project management which focuses on maintaining effective communication with the stakeholders and managing their expectations and concerns by incorporating transparency. The communication and Information technology partner of the HPC project is </w:t>
      </w:r>
      <w:r w:rsidR="00DC6BA0" w:rsidRPr="0085136F">
        <w:t>Talent</w:t>
      </w:r>
      <w:r w:rsidRPr="0085136F">
        <w:t xml:space="preserve"> between the </w:t>
      </w:r>
      <w:r w:rsidR="00DC6BA0" w:rsidRPr="0085136F">
        <w:t>time span</w:t>
      </w:r>
      <w:r w:rsidRPr="0085136F">
        <w:t xml:space="preserve"> of 2019 and 2025 (Carpenter and Energy, 2019). It is associated with the process of establishing a unified communication system and messaging platform which not only integrated 150 buildings but also initiated integration with the emergency service network, public address, voice alarm comment and communication system and site-wide TV distribution. However, this particular HPC project has not incorporated a specific communication style among all the stakeholders which is also a major reason related to the consecutive delay in the establishment of the project (Carpenter and Energy, 2019). </w:t>
      </w:r>
      <w:r w:rsidRPr="0085136F">
        <w:rPr>
          <w:b/>
        </w:rPr>
        <w:t>Risk management</w:t>
      </w:r>
      <w:r w:rsidRPr="0085136F">
        <w:t xml:space="preserve"> is the next aspect within 10 critical factors and it focuses on the process of identifying, optimising and managing probable race associated with a specific project. There are four kinds of risks that are associated with HPC which are delay in construction, negative public perception, technical faults and changes in the regulatory system. The Office for Nuclear Regulation has already published the assessment for the pre-construction safety report permission report and progress report as per the generic design assessment and advanced nuclear technology. Regarding the perception of the common people, no report has been published which questions the ability of the overall project (Butcher </w:t>
      </w:r>
      <w:r w:rsidRPr="0085136F">
        <w:rPr>
          <w:i/>
        </w:rPr>
        <w:t xml:space="preserve">et al., </w:t>
      </w:r>
      <w:r w:rsidRPr="0085136F">
        <w:t>2021).</w:t>
      </w:r>
    </w:p>
    <w:p w:rsidR="00AB06F2" w:rsidRPr="0085136F" w:rsidRDefault="00150FA6">
      <w:r w:rsidRPr="0085136F">
        <w:rPr>
          <w:b/>
        </w:rPr>
        <w:t>Procurement management</w:t>
      </w:r>
      <w:r w:rsidRPr="0085136F">
        <w:t xml:space="preserve"> is the next factor affecting the overall success and failure perspective of a project which focuses on the process of acquiring necessary communities from external vendors. According to the report around 64% of the UK companies are associated with the implementation of the HPC project and around 4000 business organisations in the context of the UK have restarted they are interested in this particular project which initiated a combined value of approximately 3.3 billion British pounds (EDF Energy, 2023). </w:t>
      </w:r>
      <w:r w:rsidRPr="0085136F">
        <w:rPr>
          <w:b/>
        </w:rPr>
        <w:t>Stakeholder management</w:t>
      </w:r>
      <w:r w:rsidRPr="0085136F">
        <w:t xml:space="preserve"> is the last aspect related to the implementation of a specific project which focuses on identifying and engaging potential stay holders of the organisation. This particular project related to the case study has already initiated a stakeholder reference group which is an expert panel that is in charge of reviewing the implications of the development of HPC project terms of reference publications and working methods. Besides minimising local disturbance, the project authority has also spent around 20 </w:t>
      </w:r>
      <w:r w:rsidRPr="0085136F">
        <w:lastRenderedPageBreak/>
        <w:t xml:space="preserve">billion pounds which is also an example of the stakeholder management system of the authority (Glasson, 2022). </w:t>
      </w:r>
    </w:p>
    <w:p w:rsidR="00AB06F2" w:rsidRPr="0085136F" w:rsidRDefault="00150FA6">
      <w:r w:rsidRPr="0085136F">
        <w:t xml:space="preserve">Based on the overall interpretation of the HPC project management case study, there are </w:t>
      </w:r>
      <w:r w:rsidRPr="0085136F">
        <w:rPr>
          <w:b/>
        </w:rPr>
        <w:t>several lessons</w:t>
      </w:r>
      <w:r w:rsidRPr="0085136F">
        <w:t xml:space="preserve"> that could be learnt from this specific project. The first aspect of this lesson is a </w:t>
      </w:r>
      <w:r w:rsidRPr="0085136F">
        <w:rPr>
          <w:b/>
        </w:rPr>
        <w:t>comprehensive design for long-term planning and investment</w:t>
      </w:r>
      <w:r w:rsidRPr="0085136F">
        <w:t xml:space="preserve"> strategies. The energy crisis is one of the most critical aspects and the development of nuclear power plants initiated by the UK government which induced the effective energy structures and commitment to nuclear energy (Dyrda and Morrison, 2021). This particular long-term approach is associated with the context of attaining various goals such as producing low-carbon electricity, supporting more than 6 million households and creating effective opportunities. The second aspect that is associated with this particular project is the </w:t>
      </w:r>
      <w:r w:rsidRPr="0085136F">
        <w:rPr>
          <w:b/>
        </w:rPr>
        <w:t>incorporation of public and private partnerships</w:t>
      </w:r>
      <w:r w:rsidRPr="0085136F">
        <w:t xml:space="preserve"> for the establishment of a large-scale infrastructure facilitating overall socio-economic well-being. This particular project was approved by the UK Government and is financed by the French state-owned organisation EDF Energy and China general nuclear power group (CGN) (Pomponi and Hart, 2021). On the other hand, more than 64% of the Activities associated with its particular project will be handled by the UK-based company and local organisation in terms of sharing expertise and financial resources and implementing capital-intensive projects. </w:t>
      </w:r>
    </w:p>
    <w:p w:rsidR="00AB06F2" w:rsidRPr="0085136F" w:rsidRDefault="00150FA6">
      <w:r w:rsidRPr="0085136F">
        <w:rPr>
          <w:b/>
        </w:rPr>
        <w:t>Cost management</w:t>
      </w:r>
      <w:r w:rsidRPr="0085136F">
        <w:t xml:space="preserve"> is an important aspect related to any project management structure which will be associated with the assessment of overall cost, establishing in transparent mechanism and developing robust contractual agreements for associating with the completion of the project. The overall cost of the project on a nominal turn was estimated at around 18 billion, which has increased up to 33 billion British pounds and it is generally managed by EDF, CGN and other private and public companies. The overall cost management scenario has included and on 15% of the </w:t>
      </w:r>
      <w:r w:rsidRPr="0085136F">
        <w:rPr>
          <w:b/>
        </w:rPr>
        <w:t xml:space="preserve">additional capacity </w:t>
      </w:r>
      <w:r w:rsidRPr="0085136F">
        <w:t xml:space="preserve">which is also an effective part of the share mechanism (Newbery </w:t>
      </w:r>
      <w:r w:rsidRPr="0085136F">
        <w:rPr>
          <w:i/>
        </w:rPr>
        <w:t xml:space="preserve">et al., </w:t>
      </w:r>
      <w:r w:rsidRPr="0085136F">
        <w:t xml:space="preserve">2019). The cost management strategy is an important learning aspect of this project. On the other hand, as the HPC project deals with the establishment of the nuclear plant which is subjected to the </w:t>
      </w:r>
      <w:r w:rsidRPr="0085136F">
        <w:rPr>
          <w:b/>
        </w:rPr>
        <w:t>sensitive issues of environmental degradation</w:t>
      </w:r>
      <w:r w:rsidRPr="0085136F">
        <w:t xml:space="preserve">. According to the data published by EDF Energy, the overall carbon dioxide emission of the HPC project would be approximately 5.5 g CO2e/kWh which is significantly lower than the </w:t>
      </w:r>
      <w:r w:rsidRPr="0085136F">
        <w:rPr>
          <w:b/>
        </w:rPr>
        <w:t>Intergovernmental Panel on Climate Change Initiative</w:t>
      </w:r>
      <w:r w:rsidRPr="0085136F">
        <w:t xml:space="preserve"> which is estimated between 12g CO2e/kWh and 48g CO2e/ kWh (Setzer and Higham, 2022). With this limit of carbon dioxide emission, HPC would be able to produce cleaner energy sources compared to wind and solar energy. However, the heated water </w:t>
      </w:r>
      <w:r w:rsidR="007F7B5C" w:rsidRPr="0085136F">
        <w:t>discharge in</w:t>
      </w:r>
      <w:r w:rsidRPr="0085136F">
        <w:t xml:space="preserve"> the areas like Seven Estuary SAC </w:t>
      </w:r>
      <w:r w:rsidR="007F7B5C" w:rsidRPr="0085136F">
        <w:lastRenderedPageBreak/>
        <w:t>s</w:t>
      </w:r>
      <w:r w:rsidRPr="0085136F">
        <w:t xml:space="preserve">hould be effectively addressed by HPC to deal with the current environmental conscience. This particular aspect is also led to the regulation of the </w:t>
      </w:r>
      <w:r w:rsidRPr="0085136F">
        <w:rPr>
          <w:b/>
        </w:rPr>
        <w:t>Aarhus Convention</w:t>
      </w:r>
      <w:r w:rsidRPr="0085136F">
        <w:t xml:space="preserve"> which focuses on considering the opinion and perspectives of citizens regarding any project related to environmental concerns (Parkinson </w:t>
      </w:r>
      <w:r w:rsidRPr="0085136F">
        <w:rPr>
          <w:i/>
        </w:rPr>
        <w:t xml:space="preserve">et al., </w:t>
      </w:r>
      <w:r w:rsidRPr="0085136F">
        <w:t xml:space="preserve">2021). With the ongoing awareness towards environmental sustainability, this approach is a potential lesson to support ecological development and maintenance of </w:t>
      </w:r>
      <w:r w:rsidRPr="0085136F">
        <w:rPr>
          <w:b/>
        </w:rPr>
        <w:t xml:space="preserve">environmental equilibrium </w:t>
      </w:r>
      <w:r w:rsidRPr="0085136F">
        <w:t xml:space="preserve">for further large-scale projects. </w:t>
      </w:r>
    </w:p>
    <w:p w:rsidR="00AB06F2" w:rsidRPr="0085136F" w:rsidRDefault="00150FA6">
      <w:r w:rsidRPr="0085136F">
        <w:rPr>
          <w:b/>
        </w:rPr>
        <w:t>Energy diversification</w:t>
      </w:r>
      <w:r w:rsidRPr="0085136F">
        <w:t xml:space="preserve"> is one of the major learning aspects of this particular project. Energy diversification refers to the process of observing the shock related to one energy input by increasing the utilisation of other sources. The continuous threat to climate change has initiated devastating consequences across the globe and the low-carbon energy that will be produced at HPC will be helpful in dealing with this particular issue. Apart from the biodegradable energy sources such as wind and solar energy which is extremely unpredictable in nature and reduces the overall speed for the net zero government target, nuclear power will act as a backup for the increasing need for electricity. The HPC will provide around 7% of the low-carbon electricity sources in the context of the UK and as a first-generation nuclear power station, HPC will be able to cut the overall cost of financing and construction and development of successive cheaper plants in future (Alberto, 2019). The </w:t>
      </w:r>
      <w:r w:rsidRPr="0085136F">
        <w:rPr>
          <w:b/>
        </w:rPr>
        <w:t>use of Technology</w:t>
      </w:r>
      <w:r w:rsidRPr="0085136F">
        <w:t xml:space="preserve"> could also be a potential aspect related to the learning criteria of this project management case study. The establishment of European pressurized reactors that is developed by the French companies EDF and Areva which are designed to be safe reliable and fuel-efficient is an effective example of the technology in project management. This particular project concentrates on the use of Technology and innovation for the purpose of enhancing the overall safety utilisation and performance of nuclear power plants compared to traditional plants. That use of Technology in this case is not only restricted to the process of improving the performance of the power plant but also enhancing the product life cycle and quality management strategy of the organisation which is certainly identified as one of the most important learning factors in the context of project management criteria in the market of UK (MARKED, 2020). </w:t>
      </w:r>
    </w:p>
    <w:p w:rsidR="00AB06F2" w:rsidRPr="0085136F" w:rsidRDefault="00150FA6">
      <w:pPr>
        <w:pStyle w:val="Heading1"/>
      </w:pPr>
      <w:bookmarkStart w:id="4" w:name="_mxgj1h3z7jk" w:colFirst="0" w:colLast="0"/>
      <w:bookmarkStart w:id="5" w:name="_Toc140079184"/>
      <w:bookmarkEnd w:id="4"/>
      <w:r w:rsidRPr="0085136F">
        <w:t>Conclusion</w:t>
      </w:r>
      <w:bookmarkEnd w:id="5"/>
    </w:p>
    <w:p w:rsidR="00AB06F2" w:rsidRPr="0085136F" w:rsidRDefault="00150FA6">
      <w:r w:rsidRPr="0085136F">
        <w:t xml:space="preserve">In conclusion, this particular essay has initiated a detailed discussion in the context of analysing the future scope for future success and failures of the Hinkley Point C project which is associated with the concept of the most expensive nuclear power plant in the world </w:t>
      </w:r>
      <w:r w:rsidRPr="0085136F">
        <w:lastRenderedPageBreak/>
        <w:t xml:space="preserve">based on the UK supporting a million of </w:t>
      </w:r>
      <w:r w:rsidR="007F7B5C" w:rsidRPr="0085136F">
        <w:t>household electricity</w:t>
      </w:r>
      <w:r w:rsidRPr="0085136F">
        <w:t xml:space="preserve"> sources, job opportunities inducing the overall UK economy. The analysis of the project and the major learning areas has been discussed with the help of the PMBOK 10 critical factors which is a specific strategy for analysing the viability of a project. Based on the overall discussion there are some relevant recommendations that could be provided for inducing the factors of this specific project as well as similar types of projects in future. The recommendation for winning the overall project portfolio of HPC and the integration of similar energy-oriented large-scale projects is as follows. </w:t>
      </w:r>
    </w:p>
    <w:p w:rsidR="00AB06F2" w:rsidRPr="0085136F" w:rsidRDefault="00150FA6">
      <w:r w:rsidRPr="0085136F">
        <w:t xml:space="preserve">For incorporating the similar </w:t>
      </w:r>
      <w:r w:rsidR="007F7B5C" w:rsidRPr="0085136F">
        <w:t>projects,</w:t>
      </w:r>
      <w:r w:rsidRPr="0085136F">
        <w:t xml:space="preserve"> it is important to associate with comprehensive feasibility studies that are related to the cost analysis, identification of potential release and alternative energy options supporting the need of the population. However, it is also important to drive effective public engagement and concentration that the HPC project has lacked somehow in terms of the regulation of environmental conventions. Providing accurate information and maintaining transparency and public trust is a crucial element regarding the initiation of a large-scale energy project (Milojicic </w:t>
      </w:r>
      <w:r w:rsidRPr="0085136F">
        <w:rPr>
          <w:i/>
        </w:rPr>
        <w:t xml:space="preserve">et al., </w:t>
      </w:r>
      <w:r w:rsidRPr="0085136F">
        <w:t xml:space="preserve">2021). The concept of long-term energy planning is highly associated with the process of building a sustainable and balanced energy portfolio that incorporates robust safety measures and response and recovery plans in association with the oversight mechanism to monitor progress and cost control. Effective collaboration and partnership for sharing the necessary expertise, experience, resources and risks Could also be a viable recommendation for the establishment of a similar project in future.  One of the major recommendations for HPC is to maintain the construction timeline which would help in minimising the overall delay and optimising the delivery of the project. To improve the overall quality of HPC it is also important to incorporate long-term decommissioning Which would be suitable for creating a safe and efficient closure to the plant at the end of the operational life (Milojicic </w:t>
      </w:r>
      <w:r w:rsidRPr="0085136F">
        <w:rPr>
          <w:i/>
        </w:rPr>
        <w:t xml:space="preserve">et al., </w:t>
      </w:r>
      <w:r w:rsidRPr="0085136F">
        <w:t xml:space="preserve">2021). </w:t>
      </w:r>
    </w:p>
    <w:p w:rsidR="00AB06F2" w:rsidRPr="0085136F" w:rsidRDefault="00150FA6" w:rsidP="00DC6BA0">
      <w:bookmarkStart w:id="6" w:name="_95mjnyn1prrt" w:colFirst="0" w:colLast="0"/>
      <w:bookmarkEnd w:id="6"/>
      <w:r w:rsidRPr="0085136F">
        <w:br w:type="page"/>
      </w:r>
    </w:p>
    <w:p w:rsidR="00AB06F2" w:rsidRPr="0085136F" w:rsidRDefault="00150FA6">
      <w:pPr>
        <w:pStyle w:val="Heading1"/>
      </w:pPr>
      <w:bookmarkStart w:id="7" w:name="_w1njqxs5kbhi" w:colFirst="0" w:colLast="0"/>
      <w:bookmarkStart w:id="8" w:name="_Toc140079185"/>
      <w:bookmarkEnd w:id="7"/>
      <w:r w:rsidRPr="0085136F">
        <w:lastRenderedPageBreak/>
        <w:t>References</w:t>
      </w:r>
      <w:bookmarkEnd w:id="8"/>
    </w:p>
    <w:p w:rsidR="00DC6BA0" w:rsidRPr="00DC6BA0" w:rsidRDefault="00DC6BA0" w:rsidP="00DC6BA0">
      <w:pPr>
        <w:spacing w:before="240"/>
      </w:pPr>
      <w:r w:rsidRPr="0085136F">
        <w:rPr>
          <w:color w:val="222222"/>
          <w:highlight w:val="white"/>
        </w:rPr>
        <w:t>Alberto, I., 2019. A Critical Analysis of the Wind Generated Effect on the Rate of Overtopping on the Hinkley Point C Sea Wall Through the use of Physical Modelling.</w:t>
      </w:r>
    </w:p>
    <w:p w:rsidR="00DC6BA0" w:rsidRPr="0085136F" w:rsidRDefault="00DC6BA0" w:rsidP="00DC6BA0">
      <w:pPr>
        <w:spacing w:before="240"/>
        <w:rPr>
          <w:color w:val="222222"/>
          <w:highlight w:val="white"/>
        </w:rPr>
      </w:pPr>
      <w:r w:rsidRPr="0085136F">
        <w:rPr>
          <w:color w:val="222222"/>
          <w:highlight w:val="white"/>
        </w:rPr>
        <w:t xml:space="preserve">Badi, S., Rocher, W. and Ochieng, E., 2020. The impact of social power and influence on the implementation of innovation strategies: A case study of a UK mega infrastructure construction project. </w:t>
      </w:r>
      <w:r w:rsidRPr="0085136F">
        <w:rPr>
          <w:i/>
          <w:color w:val="222222"/>
          <w:highlight w:val="white"/>
        </w:rPr>
        <w:t>European Management Journal</w:t>
      </w:r>
      <w:r w:rsidRPr="0085136F">
        <w:rPr>
          <w:color w:val="222222"/>
          <w:highlight w:val="white"/>
        </w:rPr>
        <w:t xml:space="preserve">, </w:t>
      </w:r>
      <w:r w:rsidRPr="0085136F">
        <w:rPr>
          <w:i/>
          <w:color w:val="222222"/>
          <w:highlight w:val="white"/>
        </w:rPr>
        <w:t>38</w:t>
      </w:r>
      <w:r w:rsidRPr="0085136F">
        <w:rPr>
          <w:color w:val="222222"/>
          <w:highlight w:val="white"/>
        </w:rPr>
        <w:t>(5), pp.736-749.</w:t>
      </w:r>
    </w:p>
    <w:p w:rsidR="00DC6BA0" w:rsidRPr="0085136F" w:rsidRDefault="00DC6BA0" w:rsidP="00DC6BA0">
      <w:pPr>
        <w:spacing w:before="240"/>
        <w:rPr>
          <w:color w:val="222222"/>
          <w:highlight w:val="white"/>
        </w:rPr>
      </w:pPr>
      <w:r w:rsidRPr="0085136F">
        <w:rPr>
          <w:color w:val="222222"/>
          <w:highlight w:val="white"/>
        </w:rPr>
        <w:t xml:space="preserve">Buehring, S., 2019. Prince2® vs PMBOK® Guide: A comparison. </w:t>
      </w:r>
      <w:r w:rsidRPr="0085136F">
        <w:rPr>
          <w:i/>
          <w:color w:val="222222"/>
          <w:highlight w:val="white"/>
        </w:rPr>
        <w:t>Knowledge Train</w:t>
      </w:r>
      <w:r w:rsidRPr="0085136F">
        <w:rPr>
          <w:color w:val="222222"/>
          <w:highlight w:val="white"/>
        </w:rPr>
        <w:t>.</w:t>
      </w:r>
    </w:p>
    <w:p w:rsidR="00DC6BA0" w:rsidRPr="0085136F" w:rsidRDefault="00DC6BA0" w:rsidP="00DC6BA0">
      <w:pPr>
        <w:spacing w:before="240"/>
        <w:rPr>
          <w:color w:val="222222"/>
          <w:highlight w:val="white"/>
        </w:rPr>
      </w:pPr>
      <w:r w:rsidRPr="0085136F">
        <w:rPr>
          <w:color w:val="222222"/>
          <w:highlight w:val="white"/>
        </w:rPr>
        <w:t xml:space="preserve">Butcher, A., Stork, A.L., Verdon, J.P., Kendall, J.M., Plenkers, K., Booth, F., Boneham, M. and Koe, A., 2021. Evaluating rock mass disturbance within open-pit excavations using seismic methods: A case study from the Hinkley Point C nuclear power station. </w:t>
      </w:r>
      <w:r w:rsidRPr="0085136F">
        <w:rPr>
          <w:i/>
          <w:color w:val="222222"/>
          <w:highlight w:val="white"/>
        </w:rPr>
        <w:t>Journal of Rock Mechanics and Geotechnical Engineering</w:t>
      </w:r>
      <w:r w:rsidRPr="0085136F">
        <w:rPr>
          <w:color w:val="222222"/>
          <w:highlight w:val="white"/>
        </w:rPr>
        <w:t xml:space="preserve">, </w:t>
      </w:r>
      <w:r w:rsidRPr="0085136F">
        <w:rPr>
          <w:i/>
          <w:color w:val="222222"/>
          <w:highlight w:val="white"/>
        </w:rPr>
        <w:t>13</w:t>
      </w:r>
      <w:r w:rsidRPr="0085136F">
        <w:rPr>
          <w:color w:val="222222"/>
          <w:highlight w:val="white"/>
        </w:rPr>
        <w:t>(3), pp.500-512.</w:t>
      </w:r>
    </w:p>
    <w:p w:rsidR="00DC6BA0" w:rsidRPr="0085136F" w:rsidRDefault="00DC6BA0" w:rsidP="00DC6BA0">
      <w:pPr>
        <w:spacing w:before="240"/>
        <w:rPr>
          <w:color w:val="222222"/>
          <w:highlight w:val="white"/>
        </w:rPr>
      </w:pPr>
      <w:r w:rsidRPr="0085136F">
        <w:rPr>
          <w:color w:val="222222"/>
          <w:highlight w:val="white"/>
        </w:rPr>
        <w:t>Carpenter, A. and Energy, M.N., 2019. Investigating surface deformation surrounding Hinkley Point C using InSAR.</w:t>
      </w:r>
    </w:p>
    <w:p w:rsidR="00DC6BA0" w:rsidRPr="0085136F" w:rsidRDefault="00DC6BA0" w:rsidP="00DC6BA0">
      <w:pPr>
        <w:spacing w:before="240"/>
        <w:rPr>
          <w:color w:val="222222"/>
          <w:highlight w:val="white"/>
        </w:rPr>
      </w:pPr>
      <w:r w:rsidRPr="0085136F">
        <w:rPr>
          <w:color w:val="222222"/>
          <w:highlight w:val="white"/>
        </w:rPr>
        <w:t xml:space="preserve">Daniel, E. and Daniel, P.A., 2019. Megaprojects as complex adaptive systems: The Hinkley point C case. </w:t>
      </w:r>
      <w:r w:rsidRPr="0085136F">
        <w:rPr>
          <w:i/>
          <w:color w:val="222222"/>
          <w:highlight w:val="white"/>
        </w:rPr>
        <w:t>International Journal of Project Management</w:t>
      </w:r>
      <w:r w:rsidRPr="0085136F">
        <w:rPr>
          <w:color w:val="222222"/>
          <w:highlight w:val="white"/>
        </w:rPr>
        <w:t xml:space="preserve">, </w:t>
      </w:r>
      <w:r w:rsidRPr="0085136F">
        <w:rPr>
          <w:i/>
          <w:color w:val="222222"/>
          <w:highlight w:val="white"/>
        </w:rPr>
        <w:t>37</w:t>
      </w:r>
      <w:r w:rsidRPr="0085136F">
        <w:rPr>
          <w:color w:val="222222"/>
          <w:highlight w:val="white"/>
        </w:rPr>
        <w:t>(8), pp.1017-1033.</w:t>
      </w:r>
    </w:p>
    <w:p w:rsidR="00DC6BA0" w:rsidRPr="0085136F" w:rsidRDefault="00DC6BA0" w:rsidP="00DC6BA0">
      <w:pPr>
        <w:spacing w:before="240"/>
        <w:rPr>
          <w:color w:val="222222"/>
          <w:highlight w:val="white"/>
        </w:rPr>
      </w:pPr>
      <w:r w:rsidRPr="0085136F">
        <w:rPr>
          <w:color w:val="222222"/>
          <w:highlight w:val="white"/>
        </w:rPr>
        <w:t xml:space="preserve">Dyrda, J. and Morrison, R., 2021. Overview of the Hinkley Point C EPR Project ‘J0’and Beyond. In </w:t>
      </w:r>
      <w:r w:rsidRPr="0085136F">
        <w:rPr>
          <w:i/>
          <w:color w:val="222222"/>
          <w:highlight w:val="white"/>
        </w:rPr>
        <w:t>EPJ Web of Conferences</w:t>
      </w:r>
      <w:r w:rsidRPr="0085136F">
        <w:rPr>
          <w:color w:val="222222"/>
          <w:highlight w:val="white"/>
        </w:rPr>
        <w:t xml:space="preserve"> (Vol. 247, p. 20001). EDP Sciences.</w:t>
      </w:r>
    </w:p>
    <w:p w:rsidR="00DC6BA0" w:rsidRPr="0085136F" w:rsidRDefault="00DC6BA0" w:rsidP="00DC6BA0">
      <w:pPr>
        <w:spacing w:before="240"/>
        <w:rPr>
          <w:color w:val="222222"/>
        </w:rPr>
      </w:pPr>
      <w:r w:rsidRPr="0085136F">
        <w:rPr>
          <w:color w:val="222222"/>
        </w:rPr>
        <w:t xml:space="preserve">EDF Energy. 2023. </w:t>
      </w:r>
      <w:r w:rsidRPr="0085136F">
        <w:rPr>
          <w:i/>
          <w:color w:val="222222"/>
        </w:rPr>
        <w:t xml:space="preserve">For suppliers and local businesses. </w:t>
      </w:r>
      <w:r w:rsidRPr="0085136F">
        <w:rPr>
          <w:color w:val="222222"/>
        </w:rPr>
        <w:t>[online]. Available at: https://www.edfenergy.com/energy/nuclear-new-build-projects/hinkley-point-c/for-suppliers-and-local-businesses [Accessed 12 July 2023].</w:t>
      </w:r>
    </w:p>
    <w:p w:rsidR="00DC6BA0" w:rsidRPr="0085136F" w:rsidRDefault="00DC6BA0" w:rsidP="00DC6BA0">
      <w:pPr>
        <w:spacing w:before="240"/>
        <w:rPr>
          <w:color w:val="222222"/>
        </w:rPr>
      </w:pPr>
      <w:r w:rsidRPr="0085136F">
        <w:rPr>
          <w:color w:val="222222"/>
        </w:rPr>
        <w:t xml:space="preserve">EDF Energy. 2023. </w:t>
      </w:r>
      <w:r w:rsidRPr="0085136F">
        <w:rPr>
          <w:i/>
          <w:color w:val="222222"/>
        </w:rPr>
        <w:t>Hinkley Point C</w:t>
      </w:r>
      <w:r w:rsidRPr="0085136F">
        <w:rPr>
          <w:color w:val="222222"/>
        </w:rPr>
        <w:t>. [online]. Available at: https://www.edfenergy.com/energy/nuclear-new-build-projects/hinkley-point-c [Accessed 12 July 2023].</w:t>
      </w:r>
    </w:p>
    <w:p w:rsidR="00DC6BA0" w:rsidRPr="0085136F" w:rsidRDefault="00DC6BA0" w:rsidP="00DC6BA0">
      <w:pPr>
        <w:spacing w:before="240"/>
        <w:rPr>
          <w:color w:val="222222"/>
          <w:highlight w:val="white"/>
        </w:rPr>
      </w:pPr>
      <w:r w:rsidRPr="0085136F">
        <w:rPr>
          <w:color w:val="222222"/>
          <w:highlight w:val="white"/>
        </w:rPr>
        <w:t xml:space="preserve">Glasson, J., 2022. 11. Follow-up: post-decision learning in EIA. </w:t>
      </w:r>
      <w:r w:rsidRPr="0085136F">
        <w:rPr>
          <w:i/>
          <w:color w:val="222222"/>
          <w:highlight w:val="white"/>
        </w:rPr>
        <w:t>Handbook of Environmental Impact Assessment</w:t>
      </w:r>
      <w:r w:rsidRPr="0085136F">
        <w:rPr>
          <w:color w:val="222222"/>
          <w:highlight w:val="white"/>
        </w:rPr>
        <w:t>, p.198.</w:t>
      </w:r>
    </w:p>
    <w:p w:rsidR="00DC6BA0" w:rsidRPr="0085136F" w:rsidRDefault="00DC6BA0" w:rsidP="00DC6BA0">
      <w:pPr>
        <w:spacing w:before="240"/>
        <w:rPr>
          <w:color w:val="222222"/>
          <w:highlight w:val="white"/>
        </w:rPr>
      </w:pPr>
      <w:r w:rsidRPr="0085136F">
        <w:rPr>
          <w:color w:val="222222"/>
          <w:highlight w:val="white"/>
        </w:rPr>
        <w:t xml:space="preserve">Glasson, J., Durning, B., Broderick, M. and Welch, K., 2021. Monitoring and auditing the local socio-economic and environmental impacts of the early stage construction of Hinkley </w:t>
      </w:r>
      <w:r w:rsidRPr="0085136F">
        <w:rPr>
          <w:color w:val="222222"/>
          <w:highlight w:val="white"/>
        </w:rPr>
        <w:lastRenderedPageBreak/>
        <w:t xml:space="preserve">Point C Nuclear Power Station, UK. </w:t>
      </w:r>
      <w:r w:rsidRPr="0085136F">
        <w:rPr>
          <w:i/>
          <w:color w:val="222222"/>
          <w:highlight w:val="white"/>
        </w:rPr>
        <w:t>Impact Assessment and Project Appraisal</w:t>
      </w:r>
      <w:r w:rsidRPr="0085136F">
        <w:rPr>
          <w:color w:val="222222"/>
          <w:highlight w:val="white"/>
        </w:rPr>
        <w:t xml:space="preserve">, </w:t>
      </w:r>
      <w:r w:rsidRPr="0085136F">
        <w:rPr>
          <w:i/>
          <w:color w:val="222222"/>
          <w:highlight w:val="white"/>
        </w:rPr>
        <w:t>39</w:t>
      </w:r>
      <w:r w:rsidRPr="0085136F">
        <w:rPr>
          <w:color w:val="222222"/>
          <w:highlight w:val="white"/>
        </w:rPr>
        <w:t>(2), pp.84-95.</w:t>
      </w:r>
    </w:p>
    <w:p w:rsidR="00DC6BA0" w:rsidRPr="0085136F" w:rsidRDefault="00DC6BA0" w:rsidP="00DC6BA0">
      <w:pPr>
        <w:spacing w:before="240"/>
        <w:rPr>
          <w:color w:val="222222"/>
          <w:highlight w:val="white"/>
        </w:rPr>
      </w:pPr>
      <w:r w:rsidRPr="0085136F">
        <w:rPr>
          <w:color w:val="222222"/>
          <w:highlight w:val="white"/>
        </w:rPr>
        <w:t xml:space="preserve">MARKED, N.P., 2020. Cefas Report TR445: Hinkley Point C hydrazine discharge modelling NOT PROTECTIVELY MARKED. </w:t>
      </w:r>
      <w:r w:rsidRPr="0085136F">
        <w:rPr>
          <w:i/>
          <w:color w:val="222222"/>
          <w:highlight w:val="white"/>
        </w:rPr>
        <w:t>Director</w:t>
      </w:r>
      <w:r w:rsidRPr="0085136F">
        <w:rPr>
          <w:color w:val="222222"/>
          <w:highlight w:val="white"/>
        </w:rPr>
        <w:t xml:space="preserve">, </w:t>
      </w:r>
      <w:r w:rsidRPr="0085136F">
        <w:rPr>
          <w:i/>
          <w:color w:val="222222"/>
          <w:highlight w:val="white"/>
        </w:rPr>
        <w:t>2</w:t>
      </w:r>
      <w:r w:rsidRPr="0085136F">
        <w:rPr>
          <w:color w:val="222222"/>
          <w:highlight w:val="white"/>
        </w:rPr>
        <w:t>, p.14.</w:t>
      </w:r>
    </w:p>
    <w:p w:rsidR="00DC6BA0" w:rsidRPr="0085136F" w:rsidRDefault="00DC6BA0" w:rsidP="00DC6BA0">
      <w:pPr>
        <w:spacing w:before="240"/>
        <w:rPr>
          <w:color w:val="222222"/>
          <w:highlight w:val="white"/>
        </w:rPr>
      </w:pPr>
      <w:r w:rsidRPr="0085136F">
        <w:rPr>
          <w:color w:val="222222"/>
          <w:highlight w:val="white"/>
        </w:rPr>
        <w:t xml:space="preserve">Milojicic, D., Faraboschi, P., Dube, N. and Roweth, D., 2021, February. Future of HPC: Diversifying heterogeneity. In </w:t>
      </w:r>
      <w:r w:rsidRPr="0085136F">
        <w:rPr>
          <w:i/>
          <w:color w:val="222222"/>
          <w:highlight w:val="white"/>
        </w:rPr>
        <w:t>2021 Design, Automation &amp; Test in Europe Conference &amp; Exhibition (DATE)</w:t>
      </w:r>
      <w:r w:rsidRPr="0085136F">
        <w:rPr>
          <w:color w:val="222222"/>
          <w:highlight w:val="white"/>
        </w:rPr>
        <w:t xml:space="preserve"> (pp. 276-281). IEEE.</w:t>
      </w:r>
    </w:p>
    <w:p w:rsidR="00DC6BA0" w:rsidRPr="0085136F" w:rsidRDefault="00DC6BA0" w:rsidP="00DC6BA0">
      <w:pPr>
        <w:spacing w:before="240"/>
        <w:rPr>
          <w:color w:val="222222"/>
          <w:highlight w:val="white"/>
        </w:rPr>
      </w:pPr>
      <w:r w:rsidRPr="0085136F">
        <w:rPr>
          <w:color w:val="222222"/>
          <w:highlight w:val="white"/>
        </w:rPr>
        <w:t>Newbery, D., Pollitt, M., Reiner, D. and Taylor, S., 2019. Financing low-carbon generation in the UK: The hybrid RAB model.</w:t>
      </w:r>
    </w:p>
    <w:p w:rsidR="00DC6BA0" w:rsidRPr="0085136F" w:rsidRDefault="00DC6BA0" w:rsidP="00DC6BA0">
      <w:pPr>
        <w:spacing w:before="240"/>
        <w:rPr>
          <w:color w:val="222222"/>
          <w:highlight w:val="white"/>
        </w:rPr>
      </w:pPr>
      <w:r w:rsidRPr="0085136F">
        <w:rPr>
          <w:color w:val="222222"/>
          <w:highlight w:val="white"/>
        </w:rPr>
        <w:t xml:space="preserve">Parkinson, D., Kukla, K. and Clear, S., 2021. Designing Resilience: Seismic Analysis and Civil Design of Hinkley Point C Offshore Heat Sink. </w:t>
      </w:r>
      <w:r w:rsidRPr="0085136F">
        <w:rPr>
          <w:i/>
          <w:color w:val="222222"/>
          <w:highlight w:val="white"/>
        </w:rPr>
        <w:t>Journal of Nuclear Engineering and Radiation Science</w:t>
      </w:r>
      <w:r w:rsidRPr="0085136F">
        <w:rPr>
          <w:color w:val="222222"/>
          <w:highlight w:val="white"/>
        </w:rPr>
        <w:t xml:space="preserve">, </w:t>
      </w:r>
      <w:r w:rsidRPr="0085136F">
        <w:rPr>
          <w:i/>
          <w:color w:val="222222"/>
          <w:highlight w:val="white"/>
        </w:rPr>
        <w:t>7</w:t>
      </w:r>
      <w:r w:rsidRPr="0085136F">
        <w:rPr>
          <w:color w:val="222222"/>
          <w:highlight w:val="white"/>
        </w:rPr>
        <w:t>(4), p.045001.</w:t>
      </w:r>
    </w:p>
    <w:p w:rsidR="00DC6BA0" w:rsidRPr="0085136F" w:rsidRDefault="00DC6BA0" w:rsidP="00DC6BA0">
      <w:pPr>
        <w:spacing w:before="240"/>
        <w:rPr>
          <w:color w:val="222222"/>
          <w:highlight w:val="white"/>
        </w:rPr>
      </w:pPr>
      <w:r w:rsidRPr="0085136F">
        <w:rPr>
          <w:color w:val="222222"/>
          <w:highlight w:val="white"/>
        </w:rPr>
        <w:t xml:space="preserve">Pomponi, F. and Hart, J., 2021. The greenhouse gas emissions of nuclear energy–Life cycle assessment of a European pressurised reactor. </w:t>
      </w:r>
      <w:r w:rsidRPr="0085136F">
        <w:rPr>
          <w:i/>
          <w:color w:val="222222"/>
          <w:highlight w:val="white"/>
        </w:rPr>
        <w:t>Applied Energy</w:t>
      </w:r>
      <w:r w:rsidRPr="0085136F">
        <w:rPr>
          <w:color w:val="222222"/>
          <w:highlight w:val="white"/>
        </w:rPr>
        <w:t xml:space="preserve">, </w:t>
      </w:r>
      <w:r w:rsidRPr="0085136F">
        <w:rPr>
          <w:i/>
          <w:color w:val="222222"/>
          <w:highlight w:val="white"/>
        </w:rPr>
        <w:t>290</w:t>
      </w:r>
      <w:r w:rsidRPr="0085136F">
        <w:rPr>
          <w:color w:val="222222"/>
          <w:highlight w:val="white"/>
        </w:rPr>
        <w:t>, p.116743.</w:t>
      </w:r>
    </w:p>
    <w:p w:rsidR="00DC6BA0" w:rsidRPr="0085136F" w:rsidRDefault="00DC6BA0" w:rsidP="00DC6BA0">
      <w:pPr>
        <w:spacing w:before="240"/>
        <w:rPr>
          <w:color w:val="222222"/>
          <w:highlight w:val="white"/>
        </w:rPr>
      </w:pPr>
      <w:r w:rsidRPr="0085136F">
        <w:rPr>
          <w:color w:val="222222"/>
          <w:highlight w:val="white"/>
        </w:rPr>
        <w:t>Setzer, J. and Higham, C., 2022. Global trends in climate change litigation: 2022 snapshot.</w:t>
      </w:r>
    </w:p>
    <w:p w:rsidR="00DC6BA0" w:rsidRPr="0085136F" w:rsidRDefault="00DC6BA0" w:rsidP="00DC6BA0">
      <w:pPr>
        <w:spacing w:before="240"/>
        <w:rPr>
          <w:color w:val="222222"/>
        </w:rPr>
      </w:pPr>
      <w:r w:rsidRPr="0085136F">
        <w:rPr>
          <w:color w:val="222222"/>
        </w:rPr>
        <w:t xml:space="preserve">World Nuclear Association. 2023. </w:t>
      </w:r>
      <w:r w:rsidRPr="0085136F">
        <w:rPr>
          <w:i/>
          <w:color w:val="222222"/>
        </w:rPr>
        <w:t xml:space="preserve">Hinkley Point C: Build and Repeat. </w:t>
      </w:r>
      <w:r w:rsidRPr="0085136F">
        <w:rPr>
          <w:color w:val="222222"/>
        </w:rPr>
        <w:t>[online]. Available at: https://www.world-nuclear.org/world-nuclear-performance-report/case-studies/hinkley-point-c-build-and-repeat.aspx#:~:text=Construction%20was%20fully%20launched%20in,involved%20in%20supplying%20the%20project. [Accessed 12 July 2023].</w:t>
      </w:r>
    </w:p>
    <w:sectPr w:rsidR="00DC6BA0" w:rsidRPr="0085136F" w:rsidSect="006522A4">
      <w:footerReference w:type="default" r:id="rId7"/>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85529" w:rsidRDefault="00985529">
      <w:pPr>
        <w:spacing w:line="240" w:lineRule="auto"/>
      </w:pPr>
      <w:r>
        <w:separator/>
      </w:r>
    </w:p>
  </w:endnote>
  <w:endnote w:type="continuationSeparator" w:id="1">
    <w:p w:rsidR="00985529" w:rsidRDefault="0098552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45597033"/>
      <w:docPartObj>
        <w:docPartGallery w:val="Page Numbers (Bottom of Page)"/>
        <w:docPartUnique/>
      </w:docPartObj>
    </w:sdtPr>
    <w:sdtEndPr>
      <w:rPr>
        <w:noProof/>
      </w:rPr>
    </w:sdtEndPr>
    <w:sdtContent>
      <w:p w:rsidR="007F7B5C" w:rsidRDefault="00640BEC">
        <w:pPr>
          <w:pStyle w:val="Footer"/>
          <w:jc w:val="right"/>
        </w:pPr>
        <w:r>
          <w:fldChar w:fldCharType="begin"/>
        </w:r>
        <w:r w:rsidR="007F7B5C">
          <w:instrText xml:space="preserve"> PAGE   \* MERGEFORMAT </w:instrText>
        </w:r>
        <w:r>
          <w:fldChar w:fldCharType="separate"/>
        </w:r>
        <w:r w:rsidR="00110474">
          <w:rPr>
            <w:noProof/>
          </w:rPr>
          <w:t>1</w:t>
        </w:r>
        <w:r>
          <w:rPr>
            <w:noProof/>
          </w:rPr>
          <w:fldChar w:fldCharType="end"/>
        </w:r>
      </w:p>
    </w:sdtContent>
  </w:sdt>
  <w:p w:rsidR="00AB06F2" w:rsidRDefault="00AB06F2"/>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85529" w:rsidRDefault="00985529">
      <w:pPr>
        <w:spacing w:line="240" w:lineRule="auto"/>
      </w:pPr>
      <w:r>
        <w:separator/>
      </w:r>
    </w:p>
  </w:footnote>
  <w:footnote w:type="continuationSeparator" w:id="1">
    <w:p w:rsidR="00985529" w:rsidRDefault="00985529">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B06F2"/>
    <w:rsid w:val="000467A4"/>
    <w:rsid w:val="00110474"/>
    <w:rsid w:val="00120C78"/>
    <w:rsid w:val="00150FA6"/>
    <w:rsid w:val="001941F9"/>
    <w:rsid w:val="00446C58"/>
    <w:rsid w:val="00640BEC"/>
    <w:rsid w:val="006522A4"/>
    <w:rsid w:val="007F7B5C"/>
    <w:rsid w:val="00840E91"/>
    <w:rsid w:val="0085136F"/>
    <w:rsid w:val="008C2185"/>
    <w:rsid w:val="0098539D"/>
    <w:rsid w:val="00985529"/>
    <w:rsid w:val="00AB06F2"/>
    <w:rsid w:val="00B55629"/>
    <w:rsid w:val="00D861E2"/>
    <w:rsid w:val="00DC6BA0"/>
    <w:rsid w:val="00F25C5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522A4"/>
  </w:style>
  <w:style w:type="paragraph" w:styleId="Heading1">
    <w:name w:val="heading 1"/>
    <w:basedOn w:val="Normal"/>
    <w:next w:val="Normal"/>
    <w:uiPriority w:val="9"/>
    <w:qFormat/>
    <w:rsid w:val="006522A4"/>
    <w:pPr>
      <w:keepNext/>
      <w:keepLines/>
      <w:outlineLvl w:val="0"/>
    </w:pPr>
    <w:rPr>
      <w:b/>
      <w:sz w:val="32"/>
      <w:szCs w:val="32"/>
    </w:rPr>
  </w:style>
  <w:style w:type="paragraph" w:styleId="Heading2">
    <w:name w:val="heading 2"/>
    <w:basedOn w:val="Normal"/>
    <w:next w:val="Normal"/>
    <w:uiPriority w:val="9"/>
    <w:semiHidden/>
    <w:unhideWhenUsed/>
    <w:qFormat/>
    <w:rsid w:val="006522A4"/>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6522A4"/>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6522A4"/>
    <w:pPr>
      <w:keepNext/>
      <w:keepLines/>
      <w:spacing w:before="280" w:after="80"/>
      <w:outlineLvl w:val="3"/>
    </w:pPr>
    <w:rPr>
      <w:color w:val="666666"/>
    </w:rPr>
  </w:style>
  <w:style w:type="paragraph" w:styleId="Heading5">
    <w:name w:val="heading 5"/>
    <w:basedOn w:val="Normal"/>
    <w:next w:val="Normal"/>
    <w:uiPriority w:val="9"/>
    <w:semiHidden/>
    <w:unhideWhenUsed/>
    <w:qFormat/>
    <w:rsid w:val="006522A4"/>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6522A4"/>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6522A4"/>
    <w:pPr>
      <w:keepNext/>
      <w:keepLines/>
      <w:spacing w:after="60"/>
    </w:pPr>
    <w:rPr>
      <w:sz w:val="52"/>
      <w:szCs w:val="52"/>
    </w:rPr>
  </w:style>
  <w:style w:type="paragraph" w:styleId="Subtitle">
    <w:name w:val="Subtitle"/>
    <w:basedOn w:val="Normal"/>
    <w:next w:val="Normal"/>
    <w:uiPriority w:val="11"/>
    <w:qFormat/>
    <w:rsid w:val="006522A4"/>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7F7B5C"/>
    <w:pPr>
      <w:tabs>
        <w:tab w:val="center" w:pos="4513"/>
        <w:tab w:val="right" w:pos="9026"/>
      </w:tabs>
      <w:spacing w:line="240" w:lineRule="auto"/>
    </w:pPr>
  </w:style>
  <w:style w:type="character" w:customStyle="1" w:styleId="HeaderChar">
    <w:name w:val="Header Char"/>
    <w:basedOn w:val="DefaultParagraphFont"/>
    <w:link w:val="Header"/>
    <w:uiPriority w:val="99"/>
    <w:rsid w:val="007F7B5C"/>
  </w:style>
  <w:style w:type="paragraph" w:styleId="Footer">
    <w:name w:val="footer"/>
    <w:basedOn w:val="Normal"/>
    <w:link w:val="FooterChar"/>
    <w:uiPriority w:val="99"/>
    <w:unhideWhenUsed/>
    <w:rsid w:val="007F7B5C"/>
    <w:pPr>
      <w:tabs>
        <w:tab w:val="center" w:pos="4513"/>
        <w:tab w:val="right" w:pos="9026"/>
      </w:tabs>
      <w:spacing w:line="240" w:lineRule="auto"/>
    </w:pPr>
  </w:style>
  <w:style w:type="character" w:customStyle="1" w:styleId="FooterChar">
    <w:name w:val="Footer Char"/>
    <w:basedOn w:val="DefaultParagraphFont"/>
    <w:link w:val="Footer"/>
    <w:uiPriority w:val="99"/>
    <w:rsid w:val="007F7B5C"/>
  </w:style>
  <w:style w:type="paragraph" w:styleId="TOCHeading">
    <w:name w:val="TOC Heading"/>
    <w:basedOn w:val="Heading1"/>
    <w:next w:val="Normal"/>
    <w:uiPriority w:val="39"/>
    <w:unhideWhenUsed/>
    <w:qFormat/>
    <w:rsid w:val="007F7B5C"/>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7F7B5C"/>
    <w:pPr>
      <w:spacing w:after="100"/>
    </w:pPr>
  </w:style>
  <w:style w:type="character" w:styleId="Hyperlink">
    <w:name w:val="Hyperlink"/>
    <w:basedOn w:val="DefaultParagraphFont"/>
    <w:uiPriority w:val="99"/>
    <w:unhideWhenUsed/>
    <w:rsid w:val="007F7B5C"/>
    <w:rPr>
      <w:color w:val="0000FF" w:themeColor="hyperlink"/>
      <w:u w:val="single"/>
    </w:rPr>
  </w:style>
  <w:style w:type="paragraph" w:styleId="BalloonText">
    <w:name w:val="Balloon Text"/>
    <w:basedOn w:val="Normal"/>
    <w:link w:val="BalloonTextChar"/>
    <w:uiPriority w:val="99"/>
    <w:semiHidden/>
    <w:unhideWhenUsed/>
    <w:rsid w:val="00B5562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562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308D7E-7C11-4628-BF44-526D3FDEDF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3010</Words>
  <Characters>17160</Characters>
  <Application>Microsoft Office Word</Application>
  <DocSecurity>0</DocSecurity>
  <Lines>143</Lines>
  <Paragraphs>40</Paragraphs>
  <ScaleCrop>false</ScaleCrop>
  <Company/>
  <LinksUpToDate>false</LinksUpToDate>
  <CharactersWithSpaces>20130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SPOON BASILDON</cp:lastModifiedBy>
  <cp:revision>6</cp:revision>
  <dcterms:created xsi:type="dcterms:W3CDTF">2023-07-12T13:02:00Z</dcterms:created>
  <dcterms:modified xsi:type="dcterms:W3CDTF">2023-08-21T17:51:00Z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c1de3ab25651b93e94744a1ec61af558c8c5908cd684d97bc417d44a3a76f80c</vt:lpwstr>
  </property>
</Properties>
</file>