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5308C" w14:textId="37188831" w:rsidR="007D452A" w:rsidRDefault="007D452A" w:rsidP="007D452A">
      <w:pPr>
        <w:spacing w:after="160" w:line="259" w:lineRule="auto"/>
        <w:jc w:val="center"/>
        <w:rPr>
          <w:rFonts w:ascii="Verdana" w:hAnsi="Verdana"/>
          <w:b/>
          <w:i/>
          <w:sz w:val="44"/>
        </w:rPr>
      </w:pPr>
      <w:r>
        <w:rPr>
          <w:rFonts w:ascii="Verdana" w:hAnsi="Verdana"/>
          <w:b/>
          <w:i/>
          <w:sz w:val="44"/>
        </w:rPr>
        <w:t xml:space="preserve">Report </w:t>
      </w:r>
    </w:p>
    <w:p w14:paraId="09B43B90" w14:textId="20F1DE15" w:rsidR="007D452A" w:rsidRPr="00242B61" w:rsidRDefault="00242B61" w:rsidP="007D452A">
      <w:pPr>
        <w:spacing w:after="160" w:line="259" w:lineRule="auto"/>
        <w:jc w:val="center"/>
        <w:rPr>
          <w:rFonts w:ascii="Verdana" w:hAnsi="Verdana"/>
          <w:b/>
          <w:i/>
          <w:sz w:val="44"/>
        </w:rPr>
      </w:pPr>
      <w:r w:rsidRPr="00242B61">
        <w:rPr>
          <w:rFonts w:ascii="Verdana" w:hAnsi="Verdana"/>
          <w:b/>
          <w:i/>
          <w:sz w:val="44"/>
        </w:rPr>
        <w:t>Certificate of Higher Education in Employability Skills</w:t>
      </w:r>
    </w:p>
    <w:p w14:paraId="280AD3C1" w14:textId="6CF59F33" w:rsidR="00242B61" w:rsidRDefault="00242B61" w:rsidP="00242B61">
      <w:pPr>
        <w:spacing w:after="160" w:line="259" w:lineRule="auto"/>
        <w:rPr>
          <w:rFonts w:ascii="Verdana" w:hAnsi="Verdana"/>
          <w:b/>
          <w:i/>
          <w:sz w:val="44"/>
        </w:rPr>
      </w:pPr>
      <w:r>
        <w:rPr>
          <w:rFonts w:ascii="Verdana" w:hAnsi="Verdana"/>
          <w:b/>
          <w:i/>
          <w:sz w:val="44"/>
        </w:rPr>
        <w:t>Level 4</w:t>
      </w:r>
    </w:p>
    <w:p w14:paraId="679B6F60" w14:textId="77777777" w:rsidR="00242B61" w:rsidRDefault="00242B61" w:rsidP="007D452A">
      <w:pPr>
        <w:spacing w:after="160" w:line="259" w:lineRule="auto"/>
        <w:jc w:val="center"/>
        <w:rPr>
          <w:rFonts w:ascii="Verdana" w:hAnsi="Verdana"/>
          <w:b/>
          <w:caps/>
          <w:sz w:val="18"/>
          <w:szCs w:val="18"/>
        </w:rPr>
      </w:pPr>
    </w:p>
    <w:p w14:paraId="625DA87A" w14:textId="77777777" w:rsidR="007D452A" w:rsidRDefault="007D452A" w:rsidP="007D452A">
      <w:pPr>
        <w:spacing w:after="160" w:line="259" w:lineRule="auto"/>
        <w:rPr>
          <w:rFonts w:ascii="Verdana" w:hAnsi="Verdana"/>
          <w:b/>
          <w:caps/>
          <w:sz w:val="18"/>
          <w:szCs w:val="18"/>
        </w:rPr>
      </w:pPr>
    </w:p>
    <w:p w14:paraId="3E152DC2" w14:textId="77777777" w:rsidR="007D452A" w:rsidRDefault="007D452A" w:rsidP="007D452A">
      <w:pPr>
        <w:spacing w:after="160" w:line="259" w:lineRule="auto"/>
        <w:jc w:val="center"/>
        <w:rPr>
          <w:rFonts w:ascii="Verdana" w:hAnsi="Verdana"/>
          <w:b/>
          <w:caps/>
          <w:sz w:val="18"/>
          <w:szCs w:val="18"/>
        </w:rPr>
      </w:pPr>
      <w:r>
        <w:rPr>
          <w:noProof/>
          <w:lang w:eastAsia="en-GB"/>
        </w:rPr>
        <w:drawing>
          <wp:inline distT="0" distB="0" distL="0" distR="0" wp14:anchorId="15567DAB" wp14:editId="321FB61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89325C" w14:textId="77777777" w:rsidR="007D452A" w:rsidRDefault="007D452A" w:rsidP="007D452A">
      <w:pPr>
        <w:spacing w:after="160" w:line="259" w:lineRule="auto"/>
        <w:rPr>
          <w:rFonts w:ascii="Verdana" w:hAnsi="Verdana"/>
          <w:b/>
          <w:caps/>
          <w:sz w:val="18"/>
          <w:szCs w:val="18"/>
        </w:rPr>
      </w:pPr>
    </w:p>
    <w:p w14:paraId="435A9AE2" w14:textId="465C8E1C" w:rsidR="007D452A" w:rsidRDefault="007D452A" w:rsidP="007D452A">
      <w:pPr>
        <w:spacing w:after="160" w:line="259" w:lineRule="auto"/>
        <w:rPr>
          <w:rFonts w:ascii="Verdana" w:hAnsi="Verdana"/>
          <w:b/>
          <w:caps/>
          <w:sz w:val="18"/>
          <w:szCs w:val="18"/>
        </w:rPr>
      </w:pPr>
      <w:r>
        <w:rPr>
          <w:rFonts w:ascii="Verdana" w:hAnsi="Verdana"/>
          <w:b/>
          <w:caps/>
          <w:sz w:val="18"/>
          <w:szCs w:val="18"/>
        </w:rPr>
        <w:t>MODULE NAME:</w:t>
      </w:r>
      <w:r w:rsidR="00B25353">
        <w:rPr>
          <w:rFonts w:ascii="Verdana" w:hAnsi="Verdana"/>
          <w:b/>
          <w:caps/>
          <w:sz w:val="18"/>
          <w:szCs w:val="18"/>
        </w:rPr>
        <w:t xml:space="preserve"> </w:t>
      </w:r>
      <w:r w:rsidR="00B25353" w:rsidRPr="00B25353">
        <w:rPr>
          <w:rFonts w:ascii="Verdana" w:hAnsi="Verdana"/>
          <w:b/>
          <w:caps/>
          <w:sz w:val="18"/>
          <w:szCs w:val="18"/>
        </w:rPr>
        <w:t xml:space="preserve">Problem Solving and INNOVATION </w:t>
      </w:r>
      <w:r w:rsidR="00B25353">
        <w:rPr>
          <w:rFonts w:ascii="Verdana" w:hAnsi="Verdana"/>
          <w:b/>
          <w:caps/>
          <w:sz w:val="18"/>
          <w:szCs w:val="18"/>
        </w:rPr>
        <w:t>(BM</w:t>
      </w:r>
      <w:r w:rsidR="006A6741">
        <w:rPr>
          <w:rFonts w:ascii="Verdana" w:hAnsi="Verdana"/>
          <w:b/>
          <w:caps/>
          <w:sz w:val="18"/>
          <w:szCs w:val="18"/>
        </w:rPr>
        <w:t>SW4014)</w:t>
      </w:r>
    </w:p>
    <w:p w14:paraId="05F4A47A" w14:textId="72194042" w:rsidR="007D452A" w:rsidRDefault="007D452A" w:rsidP="007D452A">
      <w:pPr>
        <w:spacing w:after="160" w:line="259" w:lineRule="auto"/>
        <w:rPr>
          <w:rFonts w:ascii="Verdana" w:hAnsi="Verdana"/>
          <w:b/>
          <w:caps/>
          <w:color w:val="FF0000"/>
          <w:sz w:val="18"/>
          <w:szCs w:val="18"/>
        </w:rPr>
      </w:pPr>
      <w:r>
        <w:rPr>
          <w:rFonts w:ascii="Verdana" w:hAnsi="Verdana"/>
          <w:b/>
          <w:caps/>
          <w:sz w:val="18"/>
          <w:szCs w:val="18"/>
        </w:rPr>
        <w:t xml:space="preserve">Student </w:t>
      </w:r>
      <w:r w:rsidR="00B25353">
        <w:rPr>
          <w:rFonts w:ascii="Verdana" w:hAnsi="Verdana"/>
          <w:b/>
          <w:caps/>
          <w:sz w:val="18"/>
          <w:szCs w:val="18"/>
        </w:rPr>
        <w:t>NAME: FARHAN</w:t>
      </w:r>
      <w:r w:rsidR="00B25353" w:rsidRPr="00B25353">
        <w:rPr>
          <w:rFonts w:ascii="Verdana" w:hAnsi="Verdana"/>
          <w:b/>
          <w:caps/>
          <w:sz w:val="18"/>
          <w:szCs w:val="18"/>
        </w:rPr>
        <w:t xml:space="preserve"> AHMED  2406518</w:t>
      </w:r>
    </w:p>
    <w:p w14:paraId="662D4ADC" w14:textId="5A068F50" w:rsidR="007D452A" w:rsidRPr="00A20E20" w:rsidRDefault="007D452A" w:rsidP="00A20E20">
      <w:pPr>
        <w:spacing w:after="160" w:line="259" w:lineRule="auto"/>
        <w:rPr>
          <w:rFonts w:ascii="Verdana" w:hAnsi="Verdana"/>
          <w:b/>
          <w:caps/>
          <w:sz w:val="18"/>
          <w:szCs w:val="18"/>
        </w:rPr>
        <w:sectPr w:rsidR="007D452A" w:rsidRPr="00A20E20">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Lecturer Name:</w:t>
      </w:r>
      <w:r w:rsidR="00B25353">
        <w:rPr>
          <w:rFonts w:ascii="Verdana" w:hAnsi="Verdana"/>
          <w:b/>
          <w:caps/>
          <w:color w:val="000000" w:themeColor="text1"/>
          <w:sz w:val="18"/>
          <w:szCs w:val="18"/>
        </w:rPr>
        <w:t xml:space="preserve"> Rhiannon Akers </w:t>
      </w:r>
      <w:r w:rsidRPr="007D452A">
        <w:rPr>
          <w:rFonts w:ascii="Verdana" w:hAnsi="Verdana"/>
          <w:b/>
          <w:caps/>
          <w:color w:val="000000" w:themeColor="text1"/>
          <w:sz w:val="18"/>
          <w:szCs w:val="18"/>
        </w:rPr>
        <w:t xml:space="preserve">                  </w:t>
      </w:r>
      <w:r w:rsidR="00B25353">
        <w:rPr>
          <w:rFonts w:ascii="Verdana" w:hAnsi="Verdana"/>
          <w:b/>
          <w:caps/>
          <w:color w:val="FF0000"/>
          <w:sz w:val="18"/>
          <w:szCs w:val="18"/>
        </w:rPr>
        <w:t xml:space="preserve">  </w:t>
      </w:r>
    </w:p>
    <w:p w14:paraId="1C7E1E33" w14:textId="288817EF" w:rsidR="008746EE" w:rsidRDefault="008746EE"/>
    <w:sdt>
      <w:sdtPr>
        <w:rPr>
          <w:rFonts w:ascii="Calibri" w:eastAsiaTheme="minorHAnsi" w:hAnsi="Calibri" w:cs="Calibri"/>
          <w:color w:val="auto"/>
          <w:sz w:val="22"/>
          <w:szCs w:val="22"/>
          <w:lang w:val="en-GB"/>
        </w:rPr>
        <w:id w:val="-1828040940"/>
        <w:docPartObj>
          <w:docPartGallery w:val="Table of Contents"/>
          <w:docPartUnique/>
        </w:docPartObj>
      </w:sdtPr>
      <w:sdtEndPr>
        <w:rPr>
          <w:b/>
          <w:bCs/>
          <w:noProof/>
        </w:rPr>
      </w:sdtEndPr>
      <w:sdtContent>
        <w:p w14:paraId="5EC0BEBD" w14:textId="62FF30FF" w:rsidR="00A20E20" w:rsidRDefault="00A20E20">
          <w:pPr>
            <w:pStyle w:val="TOCHeading"/>
          </w:pPr>
          <w:r>
            <w:t>Table of Contents</w:t>
          </w:r>
        </w:p>
        <w:p w14:paraId="45583C3D" w14:textId="6205EBF5" w:rsidR="004F7C0B" w:rsidRDefault="00A20E20" w:rsidP="00917BAD">
          <w:pPr>
            <w:pStyle w:val="TOC1"/>
            <w:rPr>
              <w:rFonts w:asciiTheme="minorHAnsi" w:eastAsiaTheme="minorEastAsia" w:hAnsiTheme="minorHAnsi" w:cstheme="minorBidi"/>
              <w:kern w:val="2"/>
              <w:sz w:val="24"/>
              <w:szCs w:val="24"/>
              <w:lang w:eastAsia="en-GB"/>
              <w14:ligatures w14:val="standardContextual"/>
            </w:rPr>
          </w:pPr>
          <w:r>
            <w:rPr>
              <w:noProof w:val="0"/>
              <w:color w:val="FF0000"/>
            </w:rPr>
            <w:fldChar w:fldCharType="begin"/>
          </w:r>
          <w:r>
            <w:instrText xml:space="preserve"> TOC \o "1-3" \h \z \u </w:instrText>
          </w:r>
          <w:r>
            <w:rPr>
              <w:noProof w:val="0"/>
              <w:color w:val="FF0000"/>
            </w:rPr>
            <w:fldChar w:fldCharType="separate"/>
          </w:r>
          <w:hyperlink w:anchor="_Toc193729496" w:history="1">
            <w:r w:rsidR="004F7C0B" w:rsidRPr="001A7CB0">
              <w:rPr>
                <w:rStyle w:val="Hyperlink"/>
              </w:rPr>
              <w:t>Executive Summary</w:t>
            </w:r>
            <w:r w:rsidR="004F7C0B">
              <w:rPr>
                <w:webHidden/>
              </w:rPr>
              <w:tab/>
            </w:r>
            <w:r w:rsidR="004F7C0B">
              <w:rPr>
                <w:webHidden/>
              </w:rPr>
              <w:fldChar w:fldCharType="begin"/>
            </w:r>
            <w:r w:rsidR="004F7C0B">
              <w:rPr>
                <w:webHidden/>
              </w:rPr>
              <w:instrText xml:space="preserve"> PAGEREF _Toc193729496 \h </w:instrText>
            </w:r>
            <w:r w:rsidR="004F7C0B">
              <w:rPr>
                <w:webHidden/>
              </w:rPr>
            </w:r>
            <w:r w:rsidR="004F7C0B">
              <w:rPr>
                <w:webHidden/>
              </w:rPr>
              <w:fldChar w:fldCharType="separate"/>
            </w:r>
            <w:r w:rsidR="00917BAD">
              <w:rPr>
                <w:webHidden/>
              </w:rPr>
              <w:t>4</w:t>
            </w:r>
            <w:r w:rsidR="004F7C0B">
              <w:rPr>
                <w:webHidden/>
              </w:rPr>
              <w:fldChar w:fldCharType="end"/>
            </w:r>
          </w:hyperlink>
        </w:p>
        <w:p w14:paraId="650BBDA2" w14:textId="720A032B" w:rsidR="004F7C0B" w:rsidRDefault="004F7C0B" w:rsidP="00917BAD">
          <w:pPr>
            <w:pStyle w:val="TOC1"/>
            <w:rPr>
              <w:rFonts w:asciiTheme="minorHAnsi" w:eastAsiaTheme="minorEastAsia" w:hAnsiTheme="minorHAnsi" w:cstheme="minorBidi"/>
              <w:kern w:val="2"/>
              <w:sz w:val="24"/>
              <w:szCs w:val="24"/>
              <w:lang w:eastAsia="en-GB"/>
              <w14:ligatures w14:val="standardContextual"/>
            </w:rPr>
          </w:pPr>
          <w:hyperlink w:anchor="_Toc193729497" w:history="1">
            <w:r w:rsidRPr="001A7CB0">
              <w:rPr>
                <w:rStyle w:val="Hyperlink"/>
              </w:rPr>
              <w:t>Introduction</w:t>
            </w:r>
            <w:r>
              <w:rPr>
                <w:webHidden/>
              </w:rPr>
              <w:tab/>
            </w:r>
            <w:r>
              <w:rPr>
                <w:webHidden/>
              </w:rPr>
              <w:fldChar w:fldCharType="begin"/>
            </w:r>
            <w:r>
              <w:rPr>
                <w:webHidden/>
              </w:rPr>
              <w:instrText xml:space="preserve"> PAGEREF _Toc193729497 \h </w:instrText>
            </w:r>
            <w:r>
              <w:rPr>
                <w:webHidden/>
              </w:rPr>
            </w:r>
            <w:r>
              <w:rPr>
                <w:webHidden/>
              </w:rPr>
              <w:fldChar w:fldCharType="separate"/>
            </w:r>
            <w:r w:rsidR="00917BAD">
              <w:rPr>
                <w:webHidden/>
              </w:rPr>
              <w:t>5</w:t>
            </w:r>
            <w:r>
              <w:rPr>
                <w:webHidden/>
              </w:rPr>
              <w:fldChar w:fldCharType="end"/>
            </w:r>
          </w:hyperlink>
        </w:p>
        <w:p w14:paraId="0E76E904" w14:textId="7170C1C0" w:rsidR="004F7C0B" w:rsidRDefault="004F7C0B" w:rsidP="00917BAD">
          <w:pPr>
            <w:pStyle w:val="TOC1"/>
            <w:rPr>
              <w:rFonts w:asciiTheme="minorHAnsi" w:eastAsiaTheme="minorEastAsia" w:hAnsiTheme="minorHAnsi" w:cstheme="minorBidi"/>
              <w:kern w:val="2"/>
              <w:sz w:val="24"/>
              <w:szCs w:val="24"/>
              <w:lang w:eastAsia="en-GB"/>
              <w14:ligatures w14:val="standardContextual"/>
            </w:rPr>
          </w:pPr>
          <w:hyperlink w:anchor="_Toc193729498" w:history="1">
            <w:r w:rsidRPr="001A7CB0">
              <w:rPr>
                <w:rStyle w:val="Hyperlink"/>
              </w:rPr>
              <w:t>Findings</w:t>
            </w:r>
            <w:r>
              <w:rPr>
                <w:webHidden/>
              </w:rPr>
              <w:tab/>
            </w:r>
            <w:r>
              <w:rPr>
                <w:webHidden/>
              </w:rPr>
              <w:fldChar w:fldCharType="begin"/>
            </w:r>
            <w:r>
              <w:rPr>
                <w:webHidden/>
              </w:rPr>
              <w:instrText xml:space="preserve"> PAGEREF _Toc193729498 \h </w:instrText>
            </w:r>
            <w:r>
              <w:rPr>
                <w:webHidden/>
              </w:rPr>
            </w:r>
            <w:r>
              <w:rPr>
                <w:webHidden/>
              </w:rPr>
              <w:fldChar w:fldCharType="separate"/>
            </w:r>
            <w:r w:rsidR="00917BAD">
              <w:rPr>
                <w:webHidden/>
              </w:rPr>
              <w:t>5</w:t>
            </w:r>
            <w:r>
              <w:rPr>
                <w:webHidden/>
              </w:rPr>
              <w:fldChar w:fldCharType="end"/>
            </w:r>
          </w:hyperlink>
        </w:p>
        <w:p w14:paraId="02D5E6EB" w14:textId="120DFEB0" w:rsidR="004F7C0B" w:rsidRDefault="004F7C0B" w:rsidP="00917BAD">
          <w:pPr>
            <w:pStyle w:val="TOC1"/>
            <w:rPr>
              <w:rFonts w:asciiTheme="minorHAnsi" w:eastAsiaTheme="minorEastAsia" w:hAnsiTheme="minorHAnsi" w:cstheme="minorBidi"/>
              <w:kern w:val="2"/>
              <w:sz w:val="24"/>
              <w:szCs w:val="24"/>
              <w:lang w:eastAsia="en-GB"/>
              <w14:ligatures w14:val="standardContextual"/>
            </w:rPr>
          </w:pPr>
          <w:hyperlink w:anchor="_Toc193729499" w:history="1">
            <w:r w:rsidRPr="001A7CB0">
              <w:rPr>
                <w:rStyle w:val="Hyperlink"/>
              </w:rPr>
              <w:t>Conclusion</w:t>
            </w:r>
            <w:r>
              <w:rPr>
                <w:webHidden/>
              </w:rPr>
              <w:tab/>
            </w:r>
            <w:r>
              <w:rPr>
                <w:webHidden/>
              </w:rPr>
              <w:fldChar w:fldCharType="begin"/>
            </w:r>
            <w:r>
              <w:rPr>
                <w:webHidden/>
              </w:rPr>
              <w:instrText xml:space="preserve"> PAGEREF _Toc193729499 \h </w:instrText>
            </w:r>
            <w:r>
              <w:rPr>
                <w:webHidden/>
              </w:rPr>
            </w:r>
            <w:r>
              <w:rPr>
                <w:webHidden/>
              </w:rPr>
              <w:fldChar w:fldCharType="separate"/>
            </w:r>
            <w:r w:rsidR="00917BAD">
              <w:rPr>
                <w:webHidden/>
              </w:rPr>
              <w:t>6</w:t>
            </w:r>
            <w:r>
              <w:rPr>
                <w:webHidden/>
              </w:rPr>
              <w:fldChar w:fldCharType="end"/>
            </w:r>
          </w:hyperlink>
        </w:p>
        <w:p w14:paraId="63087C24" w14:textId="09E94365" w:rsidR="004F7C0B" w:rsidRDefault="004F7C0B" w:rsidP="00917BAD">
          <w:pPr>
            <w:pStyle w:val="TOC1"/>
            <w:rPr>
              <w:rFonts w:asciiTheme="minorHAnsi" w:eastAsiaTheme="minorEastAsia" w:hAnsiTheme="minorHAnsi" w:cstheme="minorBidi"/>
              <w:kern w:val="2"/>
              <w:sz w:val="24"/>
              <w:szCs w:val="24"/>
              <w:lang w:eastAsia="en-GB"/>
              <w14:ligatures w14:val="standardContextual"/>
            </w:rPr>
          </w:pPr>
          <w:hyperlink w:anchor="_Toc193729500" w:history="1">
            <w:r w:rsidRPr="00917BAD">
              <w:rPr>
                <w:rStyle w:val="Hyperlink"/>
                <w:color w:val="auto"/>
              </w:rPr>
              <w:t>Recommendations</w:t>
            </w:r>
            <w:r>
              <w:rPr>
                <w:webHidden/>
              </w:rPr>
              <w:tab/>
            </w:r>
            <w:r>
              <w:rPr>
                <w:webHidden/>
              </w:rPr>
              <w:fldChar w:fldCharType="begin"/>
            </w:r>
            <w:r>
              <w:rPr>
                <w:webHidden/>
              </w:rPr>
              <w:instrText xml:space="preserve"> PAGEREF _Toc193729500 \h </w:instrText>
            </w:r>
            <w:r>
              <w:rPr>
                <w:webHidden/>
              </w:rPr>
            </w:r>
            <w:r>
              <w:rPr>
                <w:webHidden/>
              </w:rPr>
              <w:fldChar w:fldCharType="separate"/>
            </w:r>
            <w:r w:rsidR="00917BAD">
              <w:rPr>
                <w:webHidden/>
              </w:rPr>
              <w:t>6</w:t>
            </w:r>
            <w:r>
              <w:rPr>
                <w:webHidden/>
              </w:rPr>
              <w:fldChar w:fldCharType="end"/>
            </w:r>
          </w:hyperlink>
        </w:p>
        <w:p w14:paraId="578F68D1" w14:textId="64E144CB" w:rsidR="004F7C0B" w:rsidRPr="00917BAD" w:rsidRDefault="004F7C0B" w:rsidP="00917BAD">
          <w:pPr>
            <w:pStyle w:val="TOC1"/>
            <w:rPr>
              <w:rFonts w:asciiTheme="minorHAnsi" w:eastAsiaTheme="minorEastAsia" w:hAnsiTheme="minorHAnsi" w:cstheme="minorBidi"/>
              <w:kern w:val="2"/>
              <w:sz w:val="24"/>
              <w:szCs w:val="24"/>
              <w:lang w:eastAsia="en-GB"/>
              <w14:ligatures w14:val="standardContextual"/>
            </w:rPr>
          </w:pPr>
          <w:hyperlink w:anchor="_Toc193729501" w:history="1">
            <w:r w:rsidRPr="00917BAD">
              <w:rPr>
                <w:rStyle w:val="Hyperlink"/>
                <w:color w:val="auto"/>
              </w:rPr>
              <w:t>Reference List</w:t>
            </w:r>
            <w:r w:rsidRPr="00917BAD">
              <w:rPr>
                <w:webHidden/>
              </w:rPr>
              <w:tab/>
            </w:r>
            <w:r w:rsidRPr="00917BAD">
              <w:rPr>
                <w:webHidden/>
              </w:rPr>
              <w:fldChar w:fldCharType="begin"/>
            </w:r>
            <w:r w:rsidRPr="00917BAD">
              <w:rPr>
                <w:webHidden/>
              </w:rPr>
              <w:instrText xml:space="preserve"> PAGEREF _Toc193729501 \h </w:instrText>
            </w:r>
            <w:r w:rsidRPr="00917BAD">
              <w:rPr>
                <w:webHidden/>
              </w:rPr>
            </w:r>
            <w:r w:rsidRPr="00917BAD">
              <w:rPr>
                <w:webHidden/>
              </w:rPr>
              <w:fldChar w:fldCharType="separate"/>
            </w:r>
            <w:r w:rsidR="00917BAD" w:rsidRPr="00917BAD">
              <w:rPr>
                <w:webHidden/>
              </w:rPr>
              <w:t>6</w:t>
            </w:r>
            <w:r w:rsidRPr="00917BAD">
              <w:rPr>
                <w:webHidden/>
              </w:rPr>
              <w:fldChar w:fldCharType="end"/>
            </w:r>
          </w:hyperlink>
        </w:p>
        <w:p w14:paraId="23624529" w14:textId="33B4EE72" w:rsidR="00A20E20" w:rsidRDefault="00A20E20">
          <w:r>
            <w:rPr>
              <w:b/>
              <w:bCs/>
              <w:noProof/>
            </w:rPr>
            <w:fldChar w:fldCharType="end"/>
          </w:r>
        </w:p>
      </w:sdtContent>
    </w:sdt>
    <w:p w14:paraId="7788628A" w14:textId="77777777" w:rsidR="00A20E20" w:rsidRDefault="00A20E20">
      <w:pPr>
        <w:sectPr w:rsidR="00A20E20">
          <w:pgSz w:w="11906" w:h="16838"/>
          <w:pgMar w:top="1440" w:right="1440" w:bottom="1440" w:left="1440" w:header="708" w:footer="708" w:gutter="0"/>
          <w:cols w:space="708"/>
          <w:docGrid w:linePitch="360"/>
        </w:sectPr>
      </w:pPr>
    </w:p>
    <w:p w14:paraId="266C22F0" w14:textId="77777777" w:rsidR="00A20E20" w:rsidRDefault="00A20E20" w:rsidP="007D452A">
      <w:pPr>
        <w:tabs>
          <w:tab w:val="left" w:pos="4007"/>
        </w:tabs>
        <w:spacing w:line="480" w:lineRule="auto"/>
        <w:jc w:val="center"/>
        <w:rPr>
          <w:rFonts w:ascii="Verdana" w:hAnsi="Verdana"/>
          <w:b/>
          <w:caps/>
          <w:color w:val="FF0000"/>
          <w:sz w:val="16"/>
          <w:szCs w:val="18"/>
        </w:rPr>
        <w:sectPr w:rsidR="00A20E20">
          <w:pgSz w:w="11906" w:h="16838"/>
          <w:pgMar w:top="1440" w:right="1440" w:bottom="1440" w:left="1440" w:header="708" w:footer="708" w:gutter="0"/>
          <w:cols w:space="708"/>
          <w:docGrid w:linePitch="360"/>
        </w:sectPr>
      </w:pPr>
    </w:p>
    <w:p w14:paraId="2D82F5AA" w14:textId="70AA0C59" w:rsidR="007D452A" w:rsidRDefault="007D452A" w:rsidP="007D452A">
      <w:pPr>
        <w:pStyle w:val="Heading1"/>
      </w:pPr>
      <w:bookmarkStart w:id="0" w:name="_Toc193729496"/>
      <w:r>
        <w:lastRenderedPageBreak/>
        <w:t>Executive Summary</w:t>
      </w:r>
      <w:bookmarkEnd w:id="0"/>
    </w:p>
    <w:p w14:paraId="23802ED5" w14:textId="719649ED" w:rsidR="007D452A" w:rsidRPr="004232A7" w:rsidRDefault="007D452A" w:rsidP="007D452A">
      <w:pPr>
        <w:pStyle w:val="Heading1"/>
        <w:rPr>
          <w:rFonts w:ascii="Arial" w:eastAsiaTheme="minorHAnsi" w:hAnsi="Arial" w:cs="Arial"/>
          <w:sz w:val="24"/>
          <w:szCs w:val="24"/>
        </w:rPr>
      </w:pPr>
      <w:bookmarkStart w:id="1" w:name="_Toc193729497"/>
      <w:r w:rsidRPr="004232A7">
        <w:rPr>
          <w:rFonts w:ascii="Arial" w:hAnsi="Arial" w:cs="Arial"/>
          <w:sz w:val="24"/>
          <w:szCs w:val="24"/>
        </w:rPr>
        <w:t>Introduction</w:t>
      </w:r>
      <w:bookmarkEnd w:id="1"/>
    </w:p>
    <w:p w14:paraId="32D15394" w14:textId="577E2FA9" w:rsidR="007D452A" w:rsidRPr="004232A7" w:rsidRDefault="00652DFD">
      <w:pPr>
        <w:rPr>
          <w:rFonts w:ascii="Arial" w:hAnsi="Arial" w:cs="Arial"/>
          <w:sz w:val="24"/>
          <w:szCs w:val="24"/>
        </w:rPr>
      </w:pPr>
      <w:r w:rsidRPr="004232A7">
        <w:rPr>
          <w:rFonts w:ascii="Arial" w:hAnsi="Arial" w:cs="Arial"/>
          <w:sz w:val="24"/>
          <w:szCs w:val="24"/>
        </w:rPr>
        <w:t>Th</w:t>
      </w:r>
      <w:r w:rsidR="003774F6" w:rsidRPr="004232A7">
        <w:rPr>
          <w:rFonts w:ascii="Arial" w:hAnsi="Arial" w:cs="Arial"/>
          <w:sz w:val="24"/>
          <w:szCs w:val="24"/>
        </w:rPr>
        <w:t xml:space="preserve">e </w:t>
      </w:r>
      <w:r w:rsidR="00C21A29" w:rsidRPr="004232A7">
        <w:rPr>
          <w:rFonts w:ascii="Arial" w:hAnsi="Arial" w:cs="Arial"/>
          <w:sz w:val="24"/>
          <w:szCs w:val="24"/>
        </w:rPr>
        <w:t>UK</w:t>
      </w:r>
      <w:r w:rsidR="003774F6" w:rsidRPr="004232A7">
        <w:rPr>
          <w:rFonts w:ascii="Arial" w:hAnsi="Arial" w:cs="Arial"/>
          <w:sz w:val="24"/>
          <w:szCs w:val="24"/>
        </w:rPr>
        <w:t xml:space="preserve"> high street has undergone significant changes over the past 2 decades, with external factors shaping the success or decline of retailers. Economic pressures, technological advancements shifting consumer behaviours and governmental policies have all played a role in transforming traditional retail spaces</w:t>
      </w:r>
      <w:r w:rsidR="008725A7" w:rsidRPr="004232A7">
        <w:rPr>
          <w:rFonts w:ascii="Arial" w:hAnsi="Arial" w:cs="Arial"/>
          <w:sz w:val="24"/>
          <w:szCs w:val="24"/>
        </w:rPr>
        <w:t>. The rise of e-commerce, the impact of Brexit on supply chains, and the lasting effects of the COVID-19 pandemic have further complicated the retail sector’s recovery (ONS, 2023</w:t>
      </w:r>
      <w:r w:rsidR="001E2BB5" w:rsidRPr="004232A7">
        <w:rPr>
          <w:rFonts w:ascii="Arial" w:hAnsi="Arial" w:cs="Arial"/>
          <w:sz w:val="24"/>
          <w:szCs w:val="24"/>
        </w:rPr>
        <w:t>). This</w:t>
      </w:r>
      <w:r w:rsidR="003774F6" w:rsidRPr="004232A7">
        <w:rPr>
          <w:rFonts w:ascii="Arial" w:hAnsi="Arial" w:cs="Arial"/>
          <w:sz w:val="24"/>
          <w:szCs w:val="24"/>
        </w:rPr>
        <w:t xml:space="preserve"> report critically </w:t>
      </w:r>
      <w:r w:rsidR="00C21A29" w:rsidRPr="004232A7">
        <w:rPr>
          <w:rFonts w:ascii="Arial" w:hAnsi="Arial" w:cs="Arial"/>
          <w:sz w:val="24"/>
          <w:szCs w:val="24"/>
        </w:rPr>
        <w:t>analysis the</w:t>
      </w:r>
      <w:r w:rsidR="003774F6" w:rsidRPr="004232A7">
        <w:rPr>
          <w:rFonts w:ascii="Arial" w:hAnsi="Arial" w:cs="Arial"/>
          <w:sz w:val="24"/>
          <w:szCs w:val="24"/>
        </w:rPr>
        <w:t xml:space="preserve"> external factors influencing high street retailers, evaluating their impact </w:t>
      </w:r>
      <w:r w:rsidR="00C21A29" w:rsidRPr="004232A7">
        <w:rPr>
          <w:rFonts w:ascii="Arial" w:hAnsi="Arial" w:cs="Arial"/>
          <w:sz w:val="24"/>
          <w:szCs w:val="24"/>
        </w:rPr>
        <w:t>and potential implications</w:t>
      </w:r>
      <w:r w:rsidR="00051A53" w:rsidRPr="004232A7">
        <w:rPr>
          <w:rFonts w:ascii="Arial" w:hAnsi="Arial" w:cs="Arial"/>
          <w:sz w:val="24"/>
          <w:szCs w:val="24"/>
        </w:rPr>
        <w:t xml:space="preserve"> with pestle and Swot analyses, and using Porter’s Five Forces framework, focusing on the competitive pressures, supplier dynamics, and customer influence in the market.</w:t>
      </w:r>
      <w:r w:rsidR="008725A7" w:rsidRPr="004232A7">
        <w:rPr>
          <w:rFonts w:ascii="Arial" w:hAnsi="Arial" w:cs="Arial"/>
          <w:sz w:val="24"/>
          <w:szCs w:val="24"/>
        </w:rPr>
        <w:t xml:space="preserve"> </w:t>
      </w:r>
    </w:p>
    <w:p w14:paraId="4A914258" w14:textId="25CD4526" w:rsidR="007D452A" w:rsidRPr="004232A7" w:rsidRDefault="00C70FA3" w:rsidP="009D65A3">
      <w:pPr>
        <w:pStyle w:val="Heading1"/>
        <w:rPr>
          <w:rFonts w:ascii="Arial" w:hAnsi="Arial" w:cs="Arial"/>
          <w:sz w:val="24"/>
          <w:szCs w:val="24"/>
        </w:rPr>
      </w:pPr>
      <w:bookmarkStart w:id="2" w:name="_Toc193729498"/>
      <w:r w:rsidRPr="004232A7">
        <w:rPr>
          <w:rFonts w:ascii="Arial" w:hAnsi="Arial" w:cs="Arial"/>
          <w:sz w:val="24"/>
          <w:szCs w:val="24"/>
        </w:rPr>
        <w:t>Findings</w:t>
      </w:r>
      <w:bookmarkEnd w:id="2"/>
      <w:r w:rsidRPr="004232A7">
        <w:rPr>
          <w:rFonts w:ascii="Arial" w:hAnsi="Arial" w:cs="Arial"/>
          <w:sz w:val="24"/>
          <w:szCs w:val="24"/>
        </w:rPr>
        <w:t xml:space="preserve"> </w:t>
      </w:r>
    </w:p>
    <w:p w14:paraId="59CBC1BB" w14:textId="29672266" w:rsidR="00D97DC9" w:rsidRDefault="00D97DC9" w:rsidP="00D97DC9">
      <w:pPr>
        <w:rPr>
          <w:rFonts w:ascii="Arial" w:hAnsi="Arial" w:cs="Arial"/>
          <w:sz w:val="24"/>
          <w:szCs w:val="24"/>
          <w:u w:val="single"/>
        </w:rPr>
      </w:pPr>
      <w:r w:rsidRPr="004232A7">
        <w:rPr>
          <w:rFonts w:ascii="Arial" w:hAnsi="Arial" w:cs="Arial"/>
          <w:sz w:val="24"/>
          <w:szCs w:val="24"/>
          <w:u w:val="single"/>
        </w:rPr>
        <w:t xml:space="preserve"> Inflation and the Cost-of-Living Crisis</w:t>
      </w:r>
    </w:p>
    <w:p w14:paraId="776D83D4" w14:textId="003848C8" w:rsidR="00907002" w:rsidRPr="00264101" w:rsidRDefault="00907002" w:rsidP="00D97DC9">
      <w:pPr>
        <w:rPr>
          <w:rFonts w:ascii="Arial" w:hAnsi="Arial" w:cs="Arial"/>
          <w:sz w:val="24"/>
          <w:szCs w:val="24"/>
        </w:rPr>
      </w:pPr>
      <w:r w:rsidRPr="00907002">
        <w:rPr>
          <w:rFonts w:ascii="Arial" w:hAnsi="Arial" w:cs="Arial"/>
          <w:sz w:val="24"/>
          <w:szCs w:val="24"/>
        </w:rPr>
        <w:t>High street retailers are facing major challenges due to rising inflation. Official figures from the Office for National Statistics (ONS, 2023) reveal that inflation in the UK soared above 10% in 2022, pushing up the cost of living. With household budgets under strain, consumers have less disposable income, leading to a drop in spending on non-essential items. This has hit fashion and luxury retailers particularly hard, as shoppers prioritise essentials like food and energy over discretionary purchases (Bank of England, 2023)</w:t>
      </w:r>
      <w:r>
        <w:rPr>
          <w:rFonts w:ascii="Arial" w:hAnsi="Arial" w:cs="Arial"/>
          <w:sz w:val="24"/>
          <w:szCs w:val="24"/>
        </w:rPr>
        <w:t>.</w:t>
      </w:r>
    </w:p>
    <w:p w14:paraId="6F9206EB" w14:textId="35CF9F73" w:rsidR="00D97DC9" w:rsidRPr="004232A7" w:rsidRDefault="00D97DC9" w:rsidP="00D97DC9">
      <w:pPr>
        <w:rPr>
          <w:rFonts w:ascii="Arial" w:hAnsi="Arial" w:cs="Arial"/>
          <w:sz w:val="24"/>
          <w:szCs w:val="24"/>
          <w:u w:val="single"/>
        </w:rPr>
      </w:pPr>
      <w:r w:rsidRPr="004232A7">
        <w:rPr>
          <w:rFonts w:ascii="Arial" w:hAnsi="Arial" w:cs="Arial"/>
          <w:sz w:val="24"/>
          <w:szCs w:val="24"/>
          <w:u w:val="single"/>
        </w:rPr>
        <w:t>Business Costs and Rent Prices</w:t>
      </w:r>
    </w:p>
    <w:p w14:paraId="363CE9BE" w14:textId="138F2DC8" w:rsidR="00F70942" w:rsidRPr="004232A7" w:rsidRDefault="00F70942" w:rsidP="00F70942">
      <w:pPr>
        <w:rPr>
          <w:rFonts w:ascii="Arial" w:hAnsi="Arial" w:cs="Arial"/>
          <w:sz w:val="24"/>
          <w:szCs w:val="24"/>
        </w:rPr>
      </w:pPr>
      <w:r w:rsidRPr="00F70942">
        <w:rPr>
          <w:rFonts w:ascii="Arial" w:hAnsi="Arial" w:cs="Arial"/>
          <w:sz w:val="24"/>
          <w:szCs w:val="24"/>
        </w:rPr>
        <w:t xml:space="preserve">High street retailers are grappling with mounting financial pressures as operational costs continue to climb. Business rates, rent and energy bills have all risen sharply, creating an increasingly challenging environment. The British Retail Consortium (BRC, 2023) reports that UK business rates remain among Europe's highest, placing </w:t>
      </w:r>
      <w:r w:rsidR="003B2EE5" w:rsidRPr="00F70942">
        <w:rPr>
          <w:rFonts w:ascii="Arial" w:hAnsi="Arial" w:cs="Arial"/>
          <w:sz w:val="24"/>
          <w:szCs w:val="24"/>
        </w:rPr>
        <w:t>strain</w:t>
      </w:r>
      <w:r w:rsidRPr="00F70942">
        <w:rPr>
          <w:rFonts w:ascii="Arial" w:hAnsi="Arial" w:cs="Arial"/>
          <w:sz w:val="24"/>
          <w:szCs w:val="24"/>
        </w:rPr>
        <w:t xml:space="preserve"> on independent retailers and smaller chains.</w:t>
      </w:r>
      <w:r>
        <w:rPr>
          <w:rFonts w:ascii="Arial" w:hAnsi="Arial" w:cs="Arial"/>
          <w:sz w:val="24"/>
          <w:szCs w:val="24"/>
        </w:rPr>
        <w:t xml:space="preserve"> </w:t>
      </w:r>
      <w:r w:rsidRPr="00F70942">
        <w:rPr>
          <w:rFonts w:ascii="Arial" w:hAnsi="Arial" w:cs="Arial"/>
          <w:sz w:val="24"/>
          <w:szCs w:val="24"/>
        </w:rPr>
        <w:t>The impact has been severe - research by PwC (2023) revealed that more than 17,000 retail outlets closed during 2022, with unsustainable operating costs cited as a key factor. Even in prime retail locations, exorbitant rents are forcing businesses to reassess their physical footprint. This trend has led to a visible increase in vacant units across many high streets, transforming once-thriving shopping areas.</w:t>
      </w:r>
      <w:r>
        <w:rPr>
          <w:rFonts w:ascii="Arial" w:hAnsi="Arial" w:cs="Arial"/>
          <w:sz w:val="24"/>
          <w:szCs w:val="24"/>
        </w:rPr>
        <w:t xml:space="preserve"> </w:t>
      </w:r>
      <w:r w:rsidRPr="00F70942">
        <w:rPr>
          <w:rFonts w:ascii="Arial" w:hAnsi="Arial" w:cs="Arial"/>
          <w:sz w:val="24"/>
          <w:szCs w:val="24"/>
        </w:rPr>
        <w:t>The combination of these financial burdens is reshaping the retail landscape, with many long-established names being forced to scale back their physical presence or cease trading altogether. As costs show no sign of abating, retailers are having to make difficult decisions about their future on the high street</w:t>
      </w:r>
      <w:r>
        <w:rPr>
          <w:rFonts w:ascii="Arial" w:hAnsi="Arial" w:cs="Arial"/>
          <w:sz w:val="24"/>
          <w:szCs w:val="24"/>
        </w:rPr>
        <w:t>.</w:t>
      </w:r>
    </w:p>
    <w:p w14:paraId="6CA18EDF" w14:textId="308EF2F2" w:rsidR="00D97DC9" w:rsidRPr="004232A7" w:rsidRDefault="00D97DC9" w:rsidP="00D97DC9">
      <w:pPr>
        <w:rPr>
          <w:rFonts w:ascii="Arial" w:hAnsi="Arial" w:cs="Arial"/>
          <w:sz w:val="24"/>
          <w:szCs w:val="24"/>
          <w:u w:val="single"/>
        </w:rPr>
      </w:pPr>
      <w:r w:rsidRPr="004232A7">
        <w:rPr>
          <w:rFonts w:ascii="Arial" w:hAnsi="Arial" w:cs="Arial"/>
          <w:sz w:val="24"/>
          <w:szCs w:val="24"/>
          <w:u w:val="single"/>
        </w:rPr>
        <w:t xml:space="preserve"> The Rise of E-Commerce</w:t>
      </w:r>
    </w:p>
    <w:p w14:paraId="62127CB2" w14:textId="06AA9649" w:rsidR="00D97DC9" w:rsidRPr="004232A7" w:rsidRDefault="00D97DC9" w:rsidP="00D97DC9">
      <w:pPr>
        <w:rPr>
          <w:rFonts w:ascii="Arial" w:hAnsi="Arial" w:cs="Arial"/>
          <w:sz w:val="24"/>
          <w:szCs w:val="24"/>
        </w:rPr>
      </w:pPr>
      <w:r w:rsidRPr="004232A7">
        <w:rPr>
          <w:rFonts w:ascii="Arial" w:hAnsi="Arial" w:cs="Arial"/>
          <w:sz w:val="24"/>
          <w:szCs w:val="24"/>
        </w:rPr>
        <w:lastRenderedPageBreak/>
        <w:t>The rapid growth of online shopping has significantly disrupted the high street retail sector. According to Statista (2023), e-commerce accounted for 30% of total retail sales in the UK in 2022, a sharp increase from just 10% a decade ago. Online giants such as Amazon and ASOS have capitalised on the shift in consumer behaviour, offering convenience, competitive pricing, and fast delivery services. In contrast, many high street retailers have struggled to transition effectively into the digital market, leading to declining footfall and revenue losses (Deloitte, 2023).</w:t>
      </w:r>
    </w:p>
    <w:p w14:paraId="46D3BD3F" w14:textId="0F226B6A" w:rsidR="009E3187" w:rsidRPr="004232A7" w:rsidRDefault="009E3187" w:rsidP="009E3187">
      <w:pPr>
        <w:rPr>
          <w:rFonts w:ascii="Arial" w:hAnsi="Arial" w:cs="Arial"/>
          <w:sz w:val="24"/>
          <w:szCs w:val="24"/>
          <w:u w:val="single"/>
        </w:rPr>
      </w:pPr>
      <w:r w:rsidRPr="004232A7">
        <w:rPr>
          <w:rFonts w:ascii="Arial" w:hAnsi="Arial" w:cs="Arial"/>
          <w:sz w:val="24"/>
          <w:szCs w:val="24"/>
          <w:u w:val="single"/>
        </w:rPr>
        <w:t xml:space="preserve"> Digital Payment Systems and Technological Integration</w:t>
      </w:r>
    </w:p>
    <w:p w14:paraId="3DC2D6AE" w14:textId="70C4FC13" w:rsidR="009E3187" w:rsidRDefault="009E3187" w:rsidP="009E3187">
      <w:pPr>
        <w:rPr>
          <w:rFonts w:ascii="Arial" w:hAnsi="Arial" w:cs="Arial"/>
          <w:sz w:val="24"/>
          <w:szCs w:val="24"/>
        </w:rPr>
      </w:pPr>
      <w:r w:rsidRPr="004232A7">
        <w:rPr>
          <w:rFonts w:ascii="Arial" w:hAnsi="Arial" w:cs="Arial"/>
          <w:sz w:val="24"/>
          <w:szCs w:val="24"/>
        </w:rPr>
        <w:t>Advancements in payment technology have also influenced consumer expectations. The UK Finance Report (2023) found that cash payments accounted for only 15% of all retail transactions in 2022, with most consumers opting for contactless, mobile, or digital wallet payments. Retailers that fail to adopt modern payment methods risk alienating a significant portion of their customer base, particularly younger demographics who prefer cashless transactions.</w:t>
      </w:r>
    </w:p>
    <w:p w14:paraId="7E18B103" w14:textId="434522FB" w:rsidR="004232A7" w:rsidRPr="007B1751" w:rsidRDefault="007B1751" w:rsidP="009E3187">
      <w:pPr>
        <w:rPr>
          <w:rFonts w:ascii="Arial" w:hAnsi="Arial" w:cs="Arial"/>
          <w:b/>
          <w:bCs/>
          <w:sz w:val="24"/>
          <w:szCs w:val="24"/>
          <w:u w:val="single"/>
        </w:rPr>
      </w:pPr>
      <w:r w:rsidRPr="007B1751">
        <w:rPr>
          <w:rFonts w:ascii="Arial" w:hAnsi="Arial" w:cs="Arial"/>
          <w:b/>
          <w:bCs/>
          <w:sz w:val="24"/>
          <w:szCs w:val="24"/>
          <w:u w:val="single"/>
        </w:rPr>
        <w:t xml:space="preserve">SWOT </w:t>
      </w:r>
    </w:p>
    <w:p w14:paraId="38D31FC8" w14:textId="49ABA715" w:rsidR="007B1751" w:rsidRDefault="00540311" w:rsidP="009E3187">
      <w:pPr>
        <w:rPr>
          <w:rFonts w:ascii="Arial" w:hAnsi="Arial" w:cs="Arial"/>
          <w:sz w:val="24"/>
          <w:szCs w:val="24"/>
          <w:u w:val="single"/>
        </w:rPr>
      </w:pPr>
      <w:r>
        <w:rPr>
          <w:rFonts w:ascii="Arial" w:hAnsi="Arial" w:cs="Arial"/>
          <w:sz w:val="24"/>
          <w:szCs w:val="24"/>
          <w:u w:val="single"/>
        </w:rPr>
        <w:t xml:space="preserve">Strength </w:t>
      </w:r>
    </w:p>
    <w:p w14:paraId="35A9A02F" w14:textId="4E5BCC3A" w:rsidR="00540311" w:rsidRPr="00540311" w:rsidRDefault="00540311" w:rsidP="00540311">
      <w:pPr>
        <w:rPr>
          <w:rFonts w:ascii="Arial" w:hAnsi="Arial" w:cs="Arial"/>
          <w:sz w:val="24"/>
          <w:szCs w:val="24"/>
        </w:rPr>
      </w:pPr>
      <w:r w:rsidRPr="00540311">
        <w:rPr>
          <w:rFonts w:ascii="Arial" w:hAnsi="Arial" w:cs="Arial"/>
          <w:sz w:val="24"/>
          <w:szCs w:val="24"/>
        </w:rPr>
        <w:t xml:space="preserve">Government Support </w:t>
      </w:r>
    </w:p>
    <w:p w14:paraId="5C594BD0" w14:textId="4772FCF9" w:rsidR="00540311" w:rsidRPr="00540311" w:rsidRDefault="00540311" w:rsidP="00540311">
      <w:pPr>
        <w:rPr>
          <w:rFonts w:ascii="Arial" w:hAnsi="Arial" w:cs="Arial"/>
          <w:sz w:val="24"/>
          <w:szCs w:val="24"/>
        </w:rPr>
      </w:pPr>
      <w:r w:rsidRPr="00540311">
        <w:rPr>
          <w:rFonts w:ascii="Arial" w:hAnsi="Arial" w:cs="Arial"/>
          <w:sz w:val="24"/>
          <w:szCs w:val="24"/>
        </w:rPr>
        <w:t>Recent government interventions have provided crucial support for struggling High Streets. The establishment of the High Street Task Force in 2021 offered expert guidance on urban regeneration strategies, helping local authorities and businesses develop sustainable recovery plans (MHCLG 2021). Furthermore, the £1 billion Future High Streets Fund, launched in 2020, has enabled targeted investment in town centre renewal projects across the UK (Gov.uk 2020). These initiatives demonstrate political recognition of the High Street's economic and social importance, providing retailers with access to resources and expertise that can facilitate adaptation to changing market conditions. The extension of business rate relief schemes has also offered temporary financial respite for many physical retailers facing economic pressures.</w:t>
      </w:r>
    </w:p>
    <w:p w14:paraId="7ACE0FC8" w14:textId="1891075D" w:rsidR="00540311" w:rsidRDefault="00540311" w:rsidP="009E3187">
      <w:pPr>
        <w:rPr>
          <w:rFonts w:ascii="Arial" w:hAnsi="Arial" w:cs="Arial"/>
          <w:sz w:val="24"/>
          <w:szCs w:val="24"/>
          <w:u w:val="single"/>
        </w:rPr>
      </w:pPr>
      <w:r>
        <w:rPr>
          <w:rFonts w:ascii="Arial" w:hAnsi="Arial" w:cs="Arial"/>
          <w:sz w:val="24"/>
          <w:szCs w:val="24"/>
          <w:u w:val="single"/>
        </w:rPr>
        <w:t xml:space="preserve">Weakness </w:t>
      </w:r>
    </w:p>
    <w:p w14:paraId="6D325230" w14:textId="1C47C8A1" w:rsidR="00540311" w:rsidRPr="00540311" w:rsidRDefault="00540311" w:rsidP="009E3187">
      <w:pPr>
        <w:rPr>
          <w:rFonts w:ascii="Arial" w:hAnsi="Arial" w:cs="Arial"/>
          <w:sz w:val="24"/>
          <w:szCs w:val="24"/>
        </w:rPr>
      </w:pPr>
      <w:r w:rsidRPr="00540311">
        <w:rPr>
          <w:rFonts w:ascii="Arial" w:hAnsi="Arial" w:cs="Arial"/>
          <w:sz w:val="24"/>
          <w:szCs w:val="24"/>
        </w:rPr>
        <w:t>The relentless growth of online retail continues to erode High Street market share, with e-commerce now accounting for 26.5% of total UK retail sales (Statista 2024). Digital-native retailers like Amazon have set new consumer expectations around convenience, price competitiveness, and delivery speed that many physical stores struggle to match. PwC's 2023 retail analysis identified that 40% of traditional retailers still lack robust digital transformation strategies, leaving them dangerously exposed to online competition. The pandemic accelerated the shift to online shopping, and many consumers have maintained these habits even as physical retail reopened. This structural change in shopping behaviour represents an existential challenge for retailers that fail to develop compelling omnichannel propositions.</w:t>
      </w:r>
    </w:p>
    <w:p w14:paraId="00668AD5" w14:textId="79F681C6" w:rsidR="00540311" w:rsidRDefault="00540311" w:rsidP="009E3187">
      <w:pPr>
        <w:rPr>
          <w:rFonts w:ascii="Arial" w:hAnsi="Arial" w:cs="Arial"/>
          <w:sz w:val="24"/>
          <w:szCs w:val="24"/>
          <w:u w:val="single"/>
        </w:rPr>
      </w:pPr>
      <w:r>
        <w:rPr>
          <w:rFonts w:ascii="Arial" w:hAnsi="Arial" w:cs="Arial"/>
          <w:sz w:val="24"/>
          <w:szCs w:val="24"/>
          <w:u w:val="single"/>
        </w:rPr>
        <w:lastRenderedPageBreak/>
        <w:t xml:space="preserve">Opportunity </w:t>
      </w:r>
    </w:p>
    <w:p w14:paraId="5E6A371E" w14:textId="77777777" w:rsidR="00540311" w:rsidRPr="00540311" w:rsidRDefault="00540311" w:rsidP="00540311">
      <w:pPr>
        <w:rPr>
          <w:rFonts w:ascii="Arial" w:hAnsi="Arial" w:cs="Arial"/>
          <w:sz w:val="24"/>
          <w:szCs w:val="24"/>
          <w:u w:val="single"/>
        </w:rPr>
      </w:pPr>
      <w:r w:rsidRPr="00540311">
        <w:rPr>
          <w:rFonts w:ascii="Arial" w:hAnsi="Arial" w:cs="Arial"/>
          <w:sz w:val="24"/>
          <w:szCs w:val="24"/>
          <w:u w:val="single"/>
        </w:rPr>
        <w:t>Sustainability and Ethical Consumerism</w:t>
      </w:r>
    </w:p>
    <w:p w14:paraId="7276DEAE" w14:textId="68AB8059" w:rsidR="00264101" w:rsidRPr="00575C90" w:rsidRDefault="00264101" w:rsidP="00540311">
      <w:pPr>
        <w:rPr>
          <w:rFonts w:ascii="Arial" w:hAnsi="Arial" w:cs="Arial"/>
          <w:color w:val="000000" w:themeColor="text1"/>
          <w:sz w:val="24"/>
          <w:szCs w:val="24"/>
        </w:rPr>
      </w:pPr>
      <w:r w:rsidRPr="00575C90">
        <w:rPr>
          <w:rFonts w:ascii="Arial" w:hAnsi="Arial" w:cs="Arial"/>
          <w:color w:val="000000" w:themeColor="text1"/>
          <w:sz w:val="24"/>
          <w:szCs w:val="24"/>
        </w:rPr>
        <w:t>UK consumers' environmental awareness has given shops additional opportunity to differentiate through sustainable operations.  Mintel's 2023 study found that 58% of buyers will pay more for eco-credentialed products.  High Street merchants may profit on this trend by offering circular economy models like clothes rental and product repair services, which address sustainability issues and produce new revenue.  Sustainable retail strategies have commercial promise, as "pre-loved" retail sectors like apparel and electronics have grown.  B Corp-certified and transparent supply chain reporting businesses are also increasing their appeal to eco-conscious customers.  Local governments are granting green business awards to encourage retailers to embrace sustainable practices</w:t>
      </w:r>
      <w:r w:rsidR="00575C90">
        <w:rPr>
          <w:rFonts w:ascii="Arial" w:hAnsi="Arial" w:cs="Arial"/>
          <w:color w:val="000000" w:themeColor="text1"/>
          <w:sz w:val="24"/>
          <w:szCs w:val="24"/>
        </w:rPr>
        <w:t>.</w:t>
      </w:r>
    </w:p>
    <w:p w14:paraId="4C1F637A" w14:textId="46CD53AE" w:rsidR="00540311" w:rsidRDefault="00540311" w:rsidP="009E3187">
      <w:pPr>
        <w:rPr>
          <w:rFonts w:ascii="Arial" w:hAnsi="Arial" w:cs="Arial"/>
          <w:sz w:val="24"/>
          <w:szCs w:val="24"/>
          <w:u w:val="single"/>
        </w:rPr>
      </w:pPr>
      <w:r>
        <w:rPr>
          <w:rFonts w:ascii="Arial" w:hAnsi="Arial" w:cs="Arial"/>
          <w:sz w:val="24"/>
          <w:szCs w:val="24"/>
          <w:u w:val="single"/>
        </w:rPr>
        <w:t xml:space="preserve">Threats </w:t>
      </w:r>
    </w:p>
    <w:p w14:paraId="61BDB2EE" w14:textId="1A84BD5F" w:rsidR="00A17E1B" w:rsidRPr="00A17E1B" w:rsidRDefault="00A17E1B" w:rsidP="009E3187">
      <w:pPr>
        <w:rPr>
          <w:rFonts w:ascii="Arial" w:hAnsi="Arial" w:cs="Arial"/>
          <w:sz w:val="24"/>
          <w:szCs w:val="24"/>
        </w:rPr>
      </w:pPr>
      <w:r w:rsidRPr="00A17E1B">
        <w:rPr>
          <w:rFonts w:ascii="Arial" w:hAnsi="Arial" w:cs="Arial"/>
          <w:sz w:val="24"/>
          <w:szCs w:val="24"/>
        </w:rPr>
        <w:t>High Street retailers continue to grapple with significant supply chain disruptions that are squeezing profit margins. According to recent industry data (British Retail Consortium, 2023), Brexit-related complications - particularly increased import costs and complex customs requirements - are affecting six in ten UK retailers. The fashion and fresh food sectors appear hardest hit by these challenges. These logistical hurdles have created a double whammy: extended delivery timelines coupled with higher inventory expenses, leaving many retailers struggling to adapt to shifting consumer preferences with their usual agility</w:t>
      </w:r>
      <w:r>
        <w:rPr>
          <w:rFonts w:ascii="Arial" w:hAnsi="Arial" w:cs="Arial"/>
          <w:sz w:val="24"/>
          <w:szCs w:val="24"/>
        </w:rPr>
        <w:t>.</w:t>
      </w:r>
    </w:p>
    <w:p w14:paraId="79F43D06" w14:textId="77777777" w:rsidR="00051A53" w:rsidRPr="00051A53" w:rsidRDefault="00051A53" w:rsidP="00051A53">
      <w:pPr>
        <w:autoSpaceDE/>
        <w:autoSpaceDN/>
        <w:adjustRightInd/>
        <w:spacing w:before="100" w:beforeAutospacing="1" w:after="100" w:afterAutospacing="1" w:line="240" w:lineRule="auto"/>
        <w:rPr>
          <w:rFonts w:ascii="Arial" w:eastAsia="Times New Roman" w:hAnsi="Arial" w:cs="Arial"/>
          <w:sz w:val="24"/>
          <w:szCs w:val="24"/>
          <w:u w:val="single"/>
          <w:lang w:eastAsia="en-GB"/>
        </w:rPr>
      </w:pPr>
      <w:r w:rsidRPr="00051A53">
        <w:rPr>
          <w:rFonts w:ascii="Arial" w:eastAsia="Times New Roman" w:hAnsi="Arial" w:cs="Arial"/>
          <w:b/>
          <w:bCs/>
          <w:sz w:val="24"/>
          <w:szCs w:val="24"/>
          <w:u w:val="single"/>
          <w:lang w:eastAsia="en-GB"/>
        </w:rPr>
        <w:t>Porter’s Five Forces Analysis of High Street Retailers in the UK</w:t>
      </w:r>
    </w:p>
    <w:p w14:paraId="027B21E8" w14:textId="77777777" w:rsidR="007B1751" w:rsidRDefault="00051A53" w:rsidP="007A436B">
      <w:pPr>
        <w:autoSpaceDE/>
        <w:autoSpaceDN/>
        <w:adjustRightInd/>
        <w:spacing w:before="100" w:beforeAutospacing="1" w:after="100" w:afterAutospacing="1" w:line="240" w:lineRule="auto"/>
        <w:rPr>
          <w:rFonts w:ascii="Arial" w:eastAsia="Times New Roman" w:hAnsi="Arial" w:cs="Arial"/>
          <w:b/>
          <w:bCs/>
          <w:sz w:val="24"/>
          <w:szCs w:val="24"/>
          <w:lang w:eastAsia="en-GB"/>
        </w:rPr>
      </w:pPr>
      <w:r w:rsidRPr="00051A53">
        <w:rPr>
          <w:rFonts w:ascii="Arial" w:eastAsia="Times New Roman" w:hAnsi="Arial" w:cs="Arial"/>
          <w:b/>
          <w:bCs/>
          <w:sz w:val="24"/>
          <w:szCs w:val="24"/>
          <w:lang w:eastAsia="en-GB"/>
        </w:rPr>
        <w:t>Threat of New Entrants</w:t>
      </w:r>
    </w:p>
    <w:p w14:paraId="0C0040C6" w14:textId="1D91BB87" w:rsidR="00A625D2" w:rsidRPr="00A625D2" w:rsidRDefault="00A625D2" w:rsidP="00A625D2">
      <w:pPr>
        <w:rPr>
          <w:rFonts w:ascii="Arial" w:eastAsia="Times New Roman" w:hAnsi="Arial" w:cs="Arial"/>
          <w:sz w:val="24"/>
          <w:szCs w:val="24"/>
          <w:lang w:eastAsia="en-GB"/>
        </w:rPr>
      </w:pPr>
      <w:r w:rsidRPr="00A625D2">
        <w:rPr>
          <w:rFonts w:ascii="Arial" w:eastAsia="Times New Roman" w:hAnsi="Arial" w:cs="Arial"/>
          <w:sz w:val="24"/>
          <w:szCs w:val="24"/>
          <w:lang w:eastAsia="en-GB"/>
        </w:rPr>
        <w:t>Entering the UK High Street retail market has become easier in recent years, largely due to the rise of online shopping. Many new brands now launch as digital-first businesses, avoiding the need for expensive physical stores altogether (Harrison, 2020). Setting up an e-commerce operation typically requires less upfront investment compared to traditional retail, making the market more accessible to newcomers (Miller, 2019). For established High Street retailers, this means facing consistent competition from emerging brands, keeping the threat of new entrants at a moderate to high level.</w:t>
      </w:r>
    </w:p>
    <w:p w14:paraId="777F3D5A" w14:textId="77777777" w:rsidR="00A625D2" w:rsidRDefault="00A625D2" w:rsidP="007A436B">
      <w:pPr>
        <w:autoSpaceDE/>
        <w:autoSpaceDN/>
        <w:adjustRightInd/>
        <w:spacing w:before="100" w:beforeAutospacing="1" w:after="100" w:afterAutospacing="1" w:line="240" w:lineRule="auto"/>
        <w:rPr>
          <w:rFonts w:ascii="Arial" w:eastAsia="Times New Roman" w:hAnsi="Arial" w:cs="Arial"/>
          <w:b/>
          <w:bCs/>
          <w:sz w:val="24"/>
          <w:szCs w:val="24"/>
          <w:lang w:eastAsia="en-GB"/>
        </w:rPr>
      </w:pPr>
    </w:p>
    <w:p w14:paraId="7FCA6FF9" w14:textId="77777777" w:rsidR="007A436B" w:rsidRPr="004232A7" w:rsidRDefault="00051A53" w:rsidP="007A436B">
      <w:pPr>
        <w:autoSpaceDE/>
        <w:autoSpaceDN/>
        <w:adjustRightInd/>
        <w:spacing w:before="100" w:beforeAutospacing="1" w:after="100" w:afterAutospacing="1" w:line="240" w:lineRule="auto"/>
        <w:rPr>
          <w:rFonts w:ascii="Arial" w:eastAsia="Times New Roman" w:hAnsi="Arial" w:cs="Arial"/>
          <w:b/>
          <w:bCs/>
          <w:sz w:val="24"/>
          <w:szCs w:val="24"/>
          <w:lang w:eastAsia="en-GB"/>
        </w:rPr>
      </w:pPr>
      <w:r w:rsidRPr="00051A53">
        <w:rPr>
          <w:rFonts w:ascii="Arial" w:eastAsia="Times New Roman" w:hAnsi="Arial" w:cs="Arial"/>
          <w:b/>
          <w:bCs/>
          <w:sz w:val="24"/>
          <w:szCs w:val="24"/>
          <w:lang w:eastAsia="en-GB"/>
        </w:rPr>
        <w:t>Bargaining Power of Suppliers</w:t>
      </w:r>
    </w:p>
    <w:p w14:paraId="1535879F" w14:textId="2DEF709B" w:rsidR="00051A53" w:rsidRPr="00051A53" w:rsidRDefault="00A625D2" w:rsidP="007A436B">
      <w:pPr>
        <w:autoSpaceDE/>
        <w:autoSpaceDN/>
        <w:adjustRightInd/>
        <w:spacing w:before="100" w:beforeAutospacing="1" w:after="100" w:afterAutospacing="1" w:line="240" w:lineRule="auto"/>
        <w:rPr>
          <w:rFonts w:ascii="Arial" w:eastAsia="Times New Roman" w:hAnsi="Arial" w:cs="Arial"/>
          <w:sz w:val="24"/>
          <w:szCs w:val="24"/>
          <w:lang w:eastAsia="en-GB"/>
        </w:rPr>
      </w:pPr>
      <w:r w:rsidRPr="00A625D2">
        <w:rPr>
          <w:rFonts w:ascii="Arial" w:eastAsia="Times New Roman" w:hAnsi="Arial" w:cs="Arial"/>
          <w:sz w:val="24"/>
          <w:szCs w:val="24"/>
          <w:lang w:eastAsia="en-GB"/>
        </w:rPr>
        <w:t xml:space="preserve">In the High Street retail sector, suppliers generally hold limited influence. Most retailers work with numerous suppliers, meaning no single one has significant control over pricing or terms (Porter, 2008). That said, businesses selling unique or niche products are more vulnerable. With fewer alternative suppliers available for </w:t>
      </w:r>
      <w:r w:rsidRPr="00A625D2">
        <w:rPr>
          <w:rFonts w:ascii="Arial" w:eastAsia="Times New Roman" w:hAnsi="Arial" w:cs="Arial"/>
          <w:sz w:val="24"/>
          <w:szCs w:val="24"/>
          <w:lang w:eastAsia="en-GB"/>
        </w:rPr>
        <w:lastRenderedPageBreak/>
        <w:t>specialised stock, these retailers often face stronger pressure when negotiating (Miller, 2019)</w:t>
      </w:r>
      <w:r>
        <w:rPr>
          <w:rFonts w:ascii="Arial" w:eastAsia="Times New Roman" w:hAnsi="Arial" w:cs="Arial"/>
          <w:sz w:val="24"/>
          <w:szCs w:val="24"/>
          <w:lang w:eastAsia="en-GB"/>
        </w:rPr>
        <w:t>.</w:t>
      </w:r>
      <w:r w:rsidR="00051A53" w:rsidRPr="00051A53">
        <w:rPr>
          <w:rFonts w:ascii="Arial" w:eastAsia="Times New Roman" w:hAnsi="Arial" w:cs="Arial"/>
          <w:sz w:val="24"/>
          <w:szCs w:val="24"/>
          <w:lang w:eastAsia="en-GB"/>
        </w:rPr>
        <w:br/>
      </w:r>
    </w:p>
    <w:p w14:paraId="41A0ADBD" w14:textId="262A45AA" w:rsidR="00051A53" w:rsidRPr="00A625D2" w:rsidRDefault="00051A53" w:rsidP="007A436B">
      <w:pPr>
        <w:autoSpaceDE/>
        <w:autoSpaceDN/>
        <w:adjustRightInd/>
        <w:spacing w:before="100" w:beforeAutospacing="1" w:after="100" w:afterAutospacing="1" w:line="240" w:lineRule="auto"/>
        <w:rPr>
          <w:rFonts w:ascii="Arial" w:eastAsia="Times New Roman" w:hAnsi="Arial" w:cs="Arial"/>
          <w:sz w:val="24"/>
          <w:szCs w:val="24"/>
          <w:lang w:eastAsia="en-GB"/>
        </w:rPr>
      </w:pPr>
      <w:r w:rsidRPr="00051A53">
        <w:rPr>
          <w:rFonts w:ascii="Arial" w:eastAsia="Times New Roman" w:hAnsi="Arial" w:cs="Arial"/>
          <w:b/>
          <w:bCs/>
          <w:sz w:val="24"/>
          <w:szCs w:val="24"/>
          <w:lang w:eastAsia="en-GB"/>
        </w:rPr>
        <w:t>Bargaining Power of Buyers</w:t>
      </w:r>
      <w:r w:rsidRPr="00051A53">
        <w:rPr>
          <w:rFonts w:ascii="Arial" w:eastAsia="Times New Roman" w:hAnsi="Arial" w:cs="Arial"/>
          <w:sz w:val="24"/>
          <w:szCs w:val="24"/>
          <w:lang w:eastAsia="en-GB"/>
        </w:rPr>
        <w:br/>
      </w:r>
      <w:r w:rsidR="00A625D2" w:rsidRPr="00A625D2">
        <w:rPr>
          <w:rFonts w:ascii="Arial" w:eastAsia="Times New Roman" w:hAnsi="Arial" w:cs="Arial"/>
          <w:sz w:val="24"/>
          <w:szCs w:val="24"/>
          <w:lang w:eastAsia="en-GB"/>
        </w:rPr>
        <w:t>Shoppers hold a lot of power in the UK High Street retail market. With so many options now available online, customers can quickly compare prices and switch to better deals (Harrison, 2020). Price sensitivity has also increased—many shoppers actively look for discounts or turn to cheaper online alternatives (Miller, 2019). As a result, traditional retailers face constant pressure to keep prices low and service standards high just to stay competitive.</w:t>
      </w:r>
    </w:p>
    <w:p w14:paraId="1BE3A518" w14:textId="38F2428C" w:rsidR="007A436B" w:rsidRPr="00A625D2" w:rsidRDefault="00051A53" w:rsidP="007A436B">
      <w:pPr>
        <w:autoSpaceDE/>
        <w:autoSpaceDN/>
        <w:adjustRightInd/>
        <w:spacing w:before="100" w:beforeAutospacing="1" w:after="100" w:afterAutospacing="1" w:line="240" w:lineRule="auto"/>
        <w:rPr>
          <w:rFonts w:ascii="Arial" w:eastAsia="Times New Roman" w:hAnsi="Arial" w:cs="Arial"/>
          <w:sz w:val="24"/>
          <w:szCs w:val="24"/>
          <w:lang w:eastAsia="en-GB"/>
        </w:rPr>
      </w:pPr>
      <w:r w:rsidRPr="00051A53">
        <w:rPr>
          <w:rFonts w:ascii="Arial" w:eastAsia="Times New Roman" w:hAnsi="Arial" w:cs="Arial"/>
          <w:b/>
          <w:bCs/>
          <w:sz w:val="24"/>
          <w:szCs w:val="24"/>
          <w:lang w:eastAsia="en-GB"/>
        </w:rPr>
        <w:t>Threat of Substitutes</w:t>
      </w:r>
      <w:r w:rsidRPr="00051A53">
        <w:rPr>
          <w:rFonts w:ascii="Arial" w:eastAsia="Times New Roman" w:hAnsi="Arial" w:cs="Arial"/>
          <w:sz w:val="24"/>
          <w:szCs w:val="24"/>
          <w:lang w:eastAsia="en-GB"/>
        </w:rPr>
        <w:br/>
      </w:r>
      <w:r w:rsidR="00A625D2" w:rsidRPr="00A625D2">
        <w:rPr>
          <w:rFonts w:ascii="Arial" w:eastAsia="Times New Roman" w:hAnsi="Arial" w:cs="Arial"/>
          <w:sz w:val="24"/>
          <w:szCs w:val="24"/>
          <w:lang w:eastAsia="en-GB"/>
        </w:rPr>
        <w:t>High Street retailers face serious competition from alternative shopping options. Online stores are a major threat, as they’re often more convenient and cheaper, pulling customers away from physical shops (Harrison, 2020). Beyond e-commerce, newer trends like pop-up stores and brands selling straight to consumers add even more pressure (Miller, 2019). Even discount supermarkets like Aldi and Lidl steal business by offering budget-friendly alternatives, appealing to shoppers watching their spending.</w:t>
      </w:r>
    </w:p>
    <w:p w14:paraId="13DC3AE8" w14:textId="77777777" w:rsidR="003D0240" w:rsidRDefault="00051A53" w:rsidP="00575C90">
      <w:pPr>
        <w:autoSpaceDE/>
        <w:autoSpaceDN/>
        <w:adjustRightInd/>
        <w:spacing w:before="100" w:beforeAutospacing="1" w:after="100" w:afterAutospacing="1" w:line="240" w:lineRule="auto"/>
        <w:rPr>
          <w:rFonts w:ascii="Arial" w:eastAsia="Times New Roman" w:hAnsi="Arial" w:cs="Arial"/>
          <w:b/>
          <w:bCs/>
          <w:sz w:val="24"/>
          <w:szCs w:val="24"/>
          <w:lang w:eastAsia="en-GB"/>
        </w:rPr>
      </w:pPr>
      <w:r w:rsidRPr="00051A53">
        <w:rPr>
          <w:rFonts w:ascii="Arial" w:eastAsia="Times New Roman" w:hAnsi="Arial" w:cs="Arial"/>
          <w:b/>
          <w:bCs/>
          <w:sz w:val="24"/>
          <w:szCs w:val="24"/>
          <w:lang w:eastAsia="en-GB"/>
        </w:rPr>
        <w:t>Industry Rivalry</w:t>
      </w:r>
    </w:p>
    <w:p w14:paraId="180130BD" w14:textId="6AA6962D" w:rsidR="00051A53" w:rsidRPr="003B3642" w:rsidRDefault="00051A53" w:rsidP="00575C90">
      <w:pPr>
        <w:autoSpaceDE/>
        <w:autoSpaceDN/>
        <w:adjustRightInd/>
        <w:spacing w:before="100" w:beforeAutospacing="1" w:after="100" w:afterAutospacing="1" w:line="240" w:lineRule="auto"/>
        <w:rPr>
          <w:rFonts w:ascii="Arial" w:eastAsia="Times New Roman" w:hAnsi="Arial" w:cs="Arial"/>
          <w:b/>
          <w:bCs/>
          <w:sz w:val="24"/>
          <w:szCs w:val="24"/>
          <w:lang w:eastAsia="en-GB"/>
        </w:rPr>
      </w:pPr>
      <w:r w:rsidRPr="00051A53">
        <w:rPr>
          <w:rFonts w:ascii="Arial" w:eastAsia="Times New Roman" w:hAnsi="Arial" w:cs="Arial"/>
          <w:sz w:val="24"/>
          <w:szCs w:val="24"/>
          <w:lang w:eastAsia="en-GB"/>
        </w:rPr>
        <w:br/>
      </w:r>
      <w:r w:rsidR="003D0240" w:rsidRPr="003D0240">
        <w:rPr>
          <w:rFonts w:ascii="Arial" w:eastAsia="Times New Roman" w:hAnsi="Arial" w:cs="Arial"/>
          <w:sz w:val="24"/>
          <w:szCs w:val="24"/>
          <w:lang w:eastAsia="en-GB"/>
        </w:rPr>
        <w:t>The UK High Street retail sector is fiercely competitive. Big names like Marks &amp; Spencer, Next, and Debenhams are constantly battling for customers (Porter, 2008), while online and hybrid retailers add even more pressure. With the market growing slowly—or even shrinking—businesses are fighting harder than ever for sales (Miller, 2019). This means price wars, aggressive marketing, and a constant push to stand out with better products or deals. It’s a tough environment where only the strongest survive.</w:t>
      </w:r>
    </w:p>
    <w:p w14:paraId="27D47DE3" w14:textId="253B5189" w:rsidR="007D452A" w:rsidRDefault="007D452A" w:rsidP="009D65A3">
      <w:pPr>
        <w:pStyle w:val="Heading1"/>
      </w:pPr>
      <w:bookmarkStart w:id="3" w:name="_Toc193729499"/>
      <w:r>
        <w:t>Conclusion</w:t>
      </w:r>
      <w:bookmarkEnd w:id="3"/>
    </w:p>
    <w:p w14:paraId="00B3A586" w14:textId="63845762" w:rsidR="00C86693" w:rsidRPr="00C86693" w:rsidRDefault="00C86693" w:rsidP="00C86693">
      <w:r>
        <w:rPr>
          <w:rFonts w:ascii="Arial" w:eastAsia="Times New Roman" w:hAnsi="Arial" w:cs="Arial"/>
          <w:sz w:val="24"/>
          <w:szCs w:val="24"/>
          <w:lang w:eastAsia="en-GB"/>
        </w:rPr>
        <w:t xml:space="preserve">To conclude </w:t>
      </w:r>
      <w:r w:rsidR="00654D6C" w:rsidRPr="00C86693">
        <w:rPr>
          <w:rFonts w:ascii="Arial" w:eastAsia="Times New Roman" w:hAnsi="Arial" w:cs="Arial"/>
          <w:sz w:val="24"/>
          <w:szCs w:val="24"/>
          <w:lang w:eastAsia="en-GB"/>
        </w:rPr>
        <w:t>High Street</w:t>
      </w:r>
      <w:r w:rsidRPr="00C86693">
        <w:rPr>
          <w:rFonts w:ascii="Arial" w:eastAsia="Times New Roman" w:hAnsi="Arial" w:cs="Arial"/>
          <w:sz w:val="24"/>
          <w:szCs w:val="24"/>
          <w:lang w:eastAsia="en-GB"/>
        </w:rPr>
        <w:t xml:space="preserve"> </w:t>
      </w:r>
      <w:r w:rsidR="00654D6C" w:rsidRPr="00C86693">
        <w:rPr>
          <w:rFonts w:ascii="Arial" w:eastAsia="Times New Roman" w:hAnsi="Arial" w:cs="Arial"/>
          <w:sz w:val="24"/>
          <w:szCs w:val="24"/>
          <w:lang w:eastAsia="en-GB"/>
        </w:rPr>
        <w:t>retailers,</w:t>
      </w:r>
      <w:r w:rsidRPr="00C86693">
        <w:rPr>
          <w:rFonts w:ascii="Arial" w:eastAsia="Times New Roman" w:hAnsi="Arial" w:cs="Arial"/>
          <w:sz w:val="24"/>
          <w:szCs w:val="24"/>
          <w:lang w:eastAsia="en-GB"/>
        </w:rPr>
        <w:t xml:space="preserve"> operate in a challenging environment shaped by economic shifts, technological disruption, evolving consumer demands, and regulatory changes. To remain competitive, retailers must embrace digital transformation, prioritize customer-centric strategies, and adapt quickly to market dynamics. Those that successfully navigate these external pressures while leveraging their unique strengths will be best positioned for long-term success in the evolving retail sector</w:t>
      </w:r>
      <w:r w:rsidR="00654D6C">
        <w:rPr>
          <w:rFonts w:ascii="Arial" w:eastAsia="Times New Roman" w:hAnsi="Arial" w:cs="Arial"/>
          <w:sz w:val="24"/>
          <w:szCs w:val="24"/>
          <w:lang w:eastAsia="en-GB"/>
        </w:rPr>
        <w:t>.</w:t>
      </w:r>
    </w:p>
    <w:p w14:paraId="5DA8A3C2" w14:textId="00E9AF2F" w:rsidR="007D452A" w:rsidRDefault="007D452A" w:rsidP="009D65A3">
      <w:pPr>
        <w:pStyle w:val="Heading1"/>
      </w:pPr>
      <w:bookmarkStart w:id="4" w:name="_Toc193729500"/>
      <w:r>
        <w:t>Recommendations</w:t>
      </w:r>
      <w:bookmarkEnd w:id="4"/>
    </w:p>
    <w:p w14:paraId="3CBF073A" w14:textId="77777777" w:rsidR="006A4C1E" w:rsidRPr="006A4C1E" w:rsidRDefault="006A4C1E" w:rsidP="006A4C1E">
      <w:pPr>
        <w:pStyle w:val="NormalWeb"/>
        <w:spacing w:before="0" w:beforeAutospacing="0" w:after="0" w:afterAutospacing="0"/>
        <w:ind w:left="1440"/>
        <w:rPr>
          <w:rFonts w:ascii="Arial" w:hAnsi="Arial" w:cs="Arial"/>
          <w:color w:val="404040"/>
        </w:rPr>
      </w:pPr>
    </w:p>
    <w:p w14:paraId="6899C3B2" w14:textId="77777777" w:rsidR="006A4C1E" w:rsidRPr="006A4C1E" w:rsidRDefault="006A4C1E" w:rsidP="006A4C1E">
      <w:pPr>
        <w:pStyle w:val="NormalWeb"/>
        <w:spacing w:before="0" w:beforeAutospacing="0" w:after="60" w:afterAutospacing="0"/>
        <w:rPr>
          <w:rFonts w:ascii="Arial" w:hAnsi="Arial" w:cs="Arial"/>
          <w:color w:val="404040"/>
        </w:rPr>
      </w:pPr>
      <w:r w:rsidRPr="006A4C1E">
        <w:rPr>
          <w:rStyle w:val="Strong"/>
          <w:rFonts w:ascii="Arial" w:eastAsiaTheme="majorEastAsia" w:hAnsi="Arial" w:cs="Arial"/>
          <w:color w:val="404040"/>
        </w:rPr>
        <w:t>Optimize Cost Efficiency &amp; Pricing Strategies</w:t>
      </w:r>
    </w:p>
    <w:p w14:paraId="18514224" w14:textId="77777777" w:rsidR="006A4C1E" w:rsidRDefault="006A4C1E" w:rsidP="006A4C1E">
      <w:pPr>
        <w:pStyle w:val="NormalWeb"/>
        <w:spacing w:after="0" w:afterAutospacing="0"/>
        <w:rPr>
          <w:rFonts w:ascii="Segoe UI" w:hAnsi="Segoe UI" w:cs="Segoe UI"/>
          <w:color w:val="404040"/>
        </w:rPr>
      </w:pPr>
    </w:p>
    <w:p w14:paraId="74E276B6" w14:textId="19E2B001" w:rsidR="006A4C1E" w:rsidRPr="003240AE" w:rsidRDefault="006A4C1E" w:rsidP="006A4C1E">
      <w:pPr>
        <w:pStyle w:val="NormalWeb"/>
        <w:spacing w:after="0" w:afterAutospacing="0"/>
        <w:rPr>
          <w:rFonts w:ascii="Arial" w:hAnsi="Arial" w:cs="Arial"/>
          <w:color w:val="404040"/>
        </w:rPr>
      </w:pPr>
      <w:r w:rsidRPr="003240AE">
        <w:rPr>
          <w:rFonts w:ascii="Arial" w:hAnsi="Arial" w:cs="Arial"/>
          <w:color w:val="404040"/>
        </w:rPr>
        <w:lastRenderedPageBreak/>
        <w:t>Enhancing supplier agreements and investigating local sourcing can substantially decrease expenses.  Establishing robust ties with suppliers enables organisations to obtain discounts, extended payment periods, or advantages from big purchases.  Local sourcing can save shipping costs and delivery delays while benefiting the community.  Assessing several vendors guarantees competitive pricing and dependability. These solutions facilitate the preservation of revenue while upholding quality standards</w:t>
      </w:r>
      <w:r w:rsidRPr="003240AE">
        <w:rPr>
          <w:rFonts w:ascii="Arial" w:hAnsi="Arial" w:cs="Arial"/>
          <w:color w:val="404040"/>
        </w:rPr>
        <w:t>.</w:t>
      </w:r>
    </w:p>
    <w:p w14:paraId="5D29CD1F" w14:textId="433658BB" w:rsidR="006A4C1E" w:rsidRPr="003240AE" w:rsidRDefault="003240AE" w:rsidP="006A4C1E">
      <w:pPr>
        <w:rPr>
          <w:rFonts w:ascii="Arial" w:hAnsi="Arial" w:cs="Arial"/>
          <w:sz w:val="24"/>
          <w:szCs w:val="24"/>
        </w:rPr>
      </w:pPr>
      <w:r w:rsidRPr="003240AE">
        <w:rPr>
          <w:rFonts w:ascii="Arial" w:hAnsi="Arial" w:cs="Arial"/>
          <w:sz w:val="24"/>
          <w:szCs w:val="24"/>
        </w:rPr>
        <w:t>The implementation of dynamic pricing technologies enables organisations to maintain competitiveness while safeguarding profit margins.  These instruments modify prices instantaneously in response to demand, competition, and market dynamics.  Through data analysis, organisations can enhance pricing strategies to maximise income.  This strategy guarantees that prices stay appealing to consumers while preserving profit margins.  Dynamic pricing is particularly advantageous in sectors characterised by variable demand, enabling enterprises to swiftly adjust to market fluctuations</w:t>
      </w:r>
      <w:r w:rsidRPr="003240AE">
        <w:rPr>
          <w:rFonts w:ascii="Arial" w:hAnsi="Arial" w:cs="Arial"/>
          <w:sz w:val="24"/>
          <w:szCs w:val="24"/>
        </w:rPr>
        <w:t>.</w:t>
      </w:r>
    </w:p>
    <w:p w14:paraId="2F3AB3DF" w14:textId="6988291E" w:rsidR="007D452A" w:rsidRDefault="007D452A" w:rsidP="009D65A3">
      <w:pPr>
        <w:pStyle w:val="Heading1"/>
      </w:pPr>
      <w:bookmarkStart w:id="5" w:name="_Toc193729501"/>
      <w:r>
        <w:t>Reference List</w:t>
      </w:r>
      <w:bookmarkEnd w:id="5"/>
    </w:p>
    <w:p w14:paraId="0F70F488"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0D0D0D" w:themeColor="text1" w:themeTint="F2"/>
          <w:sz w:val="24"/>
          <w:szCs w:val="24"/>
          <w:lang w:eastAsia="en-GB"/>
        </w:rPr>
      </w:pPr>
      <w:r w:rsidRPr="006A4C1E">
        <w:rPr>
          <w:rFonts w:ascii="Arial" w:eastAsia="Times New Roman" w:hAnsi="Arial" w:cs="Arial"/>
          <w:color w:val="0D0D0D" w:themeColor="text1" w:themeTint="F2"/>
          <w:sz w:val="24"/>
          <w:szCs w:val="24"/>
          <w:lang w:eastAsia="en-GB"/>
        </w:rPr>
        <w:t>British Retail Consortium (BRC) (2023) </w:t>
      </w:r>
      <w:r w:rsidRPr="006A4C1E">
        <w:rPr>
          <w:rFonts w:ascii="Arial" w:eastAsia="Times New Roman" w:hAnsi="Arial" w:cs="Arial"/>
          <w:i/>
          <w:iCs/>
          <w:color w:val="0D0D0D" w:themeColor="text1" w:themeTint="F2"/>
          <w:sz w:val="24"/>
          <w:szCs w:val="24"/>
          <w:lang w:eastAsia="en-GB"/>
        </w:rPr>
        <w:t>UK Retail Industry Report 2023</w:t>
      </w:r>
      <w:r w:rsidRPr="006A4C1E">
        <w:rPr>
          <w:rFonts w:ascii="Arial" w:eastAsia="Times New Roman" w:hAnsi="Arial" w:cs="Arial"/>
          <w:color w:val="0D0D0D" w:themeColor="text1" w:themeTint="F2"/>
          <w:sz w:val="24"/>
          <w:szCs w:val="24"/>
          <w:lang w:eastAsia="en-GB"/>
        </w:rPr>
        <w:t>. London: BRC Publications.</w:t>
      </w:r>
    </w:p>
    <w:p w14:paraId="7B61BCED"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Centre for Retail Research (2023) </w:t>
      </w:r>
      <w:r w:rsidRPr="006A4C1E">
        <w:rPr>
          <w:rFonts w:ascii="Arial" w:eastAsia="Times New Roman" w:hAnsi="Arial" w:cs="Arial"/>
          <w:i/>
          <w:iCs/>
          <w:color w:val="404040"/>
          <w:sz w:val="24"/>
          <w:szCs w:val="24"/>
          <w:lang w:eastAsia="en-GB"/>
        </w:rPr>
        <w:t>The Future of the High Street</w:t>
      </w:r>
      <w:r w:rsidRPr="006A4C1E">
        <w:rPr>
          <w:rFonts w:ascii="Arial" w:eastAsia="Times New Roman" w:hAnsi="Arial" w:cs="Arial"/>
          <w:color w:val="404040"/>
          <w:sz w:val="24"/>
          <w:szCs w:val="24"/>
          <w:lang w:eastAsia="en-GB"/>
        </w:rPr>
        <w:t>. Nottingham: CRR.</w:t>
      </w:r>
    </w:p>
    <w:p w14:paraId="6F99C0CA"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Deloitte (2022) </w:t>
      </w:r>
      <w:r w:rsidRPr="006A4C1E">
        <w:rPr>
          <w:rFonts w:ascii="Arial" w:eastAsia="Times New Roman" w:hAnsi="Arial" w:cs="Arial"/>
          <w:i/>
          <w:iCs/>
          <w:color w:val="404040"/>
          <w:sz w:val="24"/>
          <w:szCs w:val="24"/>
          <w:lang w:eastAsia="en-GB"/>
        </w:rPr>
        <w:t>Retail Trends 2022: The Evolution of Experience</w:t>
      </w:r>
      <w:r w:rsidRPr="006A4C1E">
        <w:rPr>
          <w:rFonts w:ascii="Arial" w:eastAsia="Times New Roman" w:hAnsi="Arial" w:cs="Arial"/>
          <w:color w:val="404040"/>
          <w:sz w:val="24"/>
          <w:szCs w:val="24"/>
          <w:lang w:eastAsia="en-GB"/>
        </w:rPr>
        <w:t>. London: Deloitte UK.</w:t>
      </w:r>
    </w:p>
    <w:p w14:paraId="7885E669"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Deloitte (2023) </w:t>
      </w:r>
      <w:r w:rsidRPr="006A4C1E">
        <w:rPr>
          <w:rFonts w:ascii="Arial" w:eastAsia="Times New Roman" w:hAnsi="Arial" w:cs="Arial"/>
          <w:i/>
          <w:iCs/>
          <w:color w:val="404040"/>
          <w:sz w:val="24"/>
          <w:szCs w:val="24"/>
          <w:lang w:eastAsia="en-GB"/>
        </w:rPr>
        <w:t>Consumer Tracking Survey: UK Retail Habits</w:t>
      </w:r>
      <w:r w:rsidRPr="006A4C1E">
        <w:rPr>
          <w:rFonts w:ascii="Arial" w:eastAsia="Times New Roman" w:hAnsi="Arial" w:cs="Arial"/>
          <w:color w:val="404040"/>
          <w:sz w:val="24"/>
          <w:szCs w:val="24"/>
          <w:lang w:eastAsia="en-GB"/>
        </w:rPr>
        <w:t>. London: Deloitte UK.</w:t>
      </w:r>
    </w:p>
    <w:p w14:paraId="43E5530A"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GfK (2023) </w:t>
      </w:r>
      <w:r w:rsidRPr="006A4C1E">
        <w:rPr>
          <w:rFonts w:ascii="Arial" w:eastAsia="Times New Roman" w:hAnsi="Arial" w:cs="Arial"/>
          <w:i/>
          <w:iCs/>
          <w:color w:val="404040"/>
          <w:sz w:val="24"/>
          <w:szCs w:val="24"/>
          <w:lang w:eastAsia="en-GB"/>
        </w:rPr>
        <w:t>UK Consumer Confidence Index Q4 2023</w:t>
      </w:r>
      <w:r w:rsidRPr="006A4C1E">
        <w:rPr>
          <w:rFonts w:ascii="Arial" w:eastAsia="Times New Roman" w:hAnsi="Arial" w:cs="Arial"/>
          <w:color w:val="404040"/>
          <w:sz w:val="24"/>
          <w:szCs w:val="24"/>
          <w:lang w:eastAsia="en-GB"/>
        </w:rPr>
        <w:t>. Nuremberg: GfK SE.</w:t>
      </w:r>
    </w:p>
    <w:p w14:paraId="4FAF7B14"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Gov.uk (2020) </w:t>
      </w:r>
      <w:r w:rsidRPr="006A4C1E">
        <w:rPr>
          <w:rFonts w:ascii="Arial" w:eastAsia="Times New Roman" w:hAnsi="Arial" w:cs="Arial"/>
          <w:i/>
          <w:iCs/>
          <w:color w:val="404040"/>
          <w:sz w:val="24"/>
          <w:szCs w:val="24"/>
          <w:lang w:eastAsia="en-GB"/>
        </w:rPr>
        <w:t>Future High Streets Fund: Prospectus</w:t>
      </w:r>
      <w:r w:rsidRPr="006A4C1E">
        <w:rPr>
          <w:rFonts w:ascii="Arial" w:eastAsia="Times New Roman" w:hAnsi="Arial" w:cs="Arial"/>
          <w:color w:val="404040"/>
          <w:sz w:val="24"/>
          <w:szCs w:val="24"/>
          <w:lang w:eastAsia="en-GB"/>
        </w:rPr>
        <w:t>. Available at: </w:t>
      </w:r>
      <w:hyperlink r:id="rId9" w:tgtFrame="_blank" w:history="1">
        <w:r w:rsidRPr="006A4C1E">
          <w:rPr>
            <w:rFonts w:ascii="Arial" w:eastAsia="Times New Roman" w:hAnsi="Arial" w:cs="Arial"/>
            <w:color w:val="0000FF"/>
            <w:sz w:val="24"/>
            <w:szCs w:val="24"/>
            <w:u w:val="single"/>
            <w:lang w:eastAsia="en-GB"/>
          </w:rPr>
          <w:t>https://www.gov.uk/government/publications/future-high-streets-fund-prospectus</w:t>
        </w:r>
      </w:hyperlink>
      <w:r w:rsidRPr="006A4C1E">
        <w:rPr>
          <w:rFonts w:ascii="Arial" w:eastAsia="Times New Roman" w:hAnsi="Arial" w:cs="Arial"/>
          <w:color w:val="404040"/>
          <w:sz w:val="24"/>
          <w:szCs w:val="24"/>
          <w:lang w:eastAsia="en-GB"/>
        </w:rPr>
        <w:t> (Accessed: 15 June 2025).</w:t>
      </w:r>
    </w:p>
    <w:p w14:paraId="1A117CF1" w14:textId="77777777" w:rsidR="006A4C1E" w:rsidRPr="006A4C1E" w:rsidRDefault="006A4C1E" w:rsidP="00051A53">
      <w:pPr>
        <w:autoSpaceDE/>
        <w:autoSpaceDN/>
        <w:adjustRightInd/>
        <w:spacing w:before="100" w:beforeAutospacing="1" w:after="100" w:afterAutospacing="1" w:line="240" w:lineRule="auto"/>
        <w:rPr>
          <w:rFonts w:ascii="Arial" w:eastAsia="Times New Roman" w:hAnsi="Arial" w:cs="Arial"/>
          <w:sz w:val="24"/>
          <w:szCs w:val="24"/>
          <w:lang w:eastAsia="en-GB"/>
        </w:rPr>
      </w:pPr>
      <w:r w:rsidRPr="006A4C1E">
        <w:rPr>
          <w:rFonts w:ascii="Arial" w:eastAsia="Times New Roman" w:hAnsi="Arial" w:cs="Arial"/>
          <w:sz w:val="24"/>
          <w:szCs w:val="24"/>
          <w:lang w:eastAsia="en-GB"/>
        </w:rPr>
        <w:t xml:space="preserve">Harrison, J., 2020. </w:t>
      </w:r>
      <w:r w:rsidRPr="006A4C1E">
        <w:rPr>
          <w:rFonts w:ascii="Arial" w:eastAsia="Times New Roman" w:hAnsi="Arial" w:cs="Arial"/>
          <w:i/>
          <w:iCs/>
          <w:sz w:val="24"/>
          <w:szCs w:val="24"/>
          <w:lang w:eastAsia="en-GB"/>
        </w:rPr>
        <w:t>The State of UK Retail: Trends, Challenges and Opportunities in 2020</w:t>
      </w:r>
      <w:r w:rsidRPr="006A4C1E">
        <w:rPr>
          <w:rFonts w:ascii="Arial" w:eastAsia="Times New Roman" w:hAnsi="Arial" w:cs="Arial"/>
          <w:sz w:val="24"/>
          <w:szCs w:val="24"/>
          <w:lang w:eastAsia="en-GB"/>
        </w:rPr>
        <w:t>. Retail Week. [online] Available at: https://www.retail-week.com/analysis/the-state-of-uk-retail-trends-challenges-and-opportunities-in-2020/7035570.article [Accessed 26 March 2025].</w:t>
      </w:r>
    </w:p>
    <w:p w14:paraId="2BF2F8C0"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KPMG (2023) </w:t>
      </w:r>
      <w:r w:rsidRPr="006A4C1E">
        <w:rPr>
          <w:rFonts w:ascii="Arial" w:eastAsia="Times New Roman" w:hAnsi="Arial" w:cs="Arial"/>
          <w:i/>
          <w:iCs/>
          <w:color w:val="404040"/>
          <w:sz w:val="24"/>
          <w:szCs w:val="24"/>
          <w:lang w:eastAsia="en-GB"/>
        </w:rPr>
        <w:t>UK Retail Outlook 2023</w:t>
      </w:r>
      <w:r w:rsidRPr="006A4C1E">
        <w:rPr>
          <w:rFonts w:ascii="Arial" w:eastAsia="Times New Roman" w:hAnsi="Arial" w:cs="Arial"/>
          <w:color w:val="404040"/>
          <w:sz w:val="24"/>
          <w:szCs w:val="24"/>
          <w:lang w:eastAsia="en-GB"/>
        </w:rPr>
        <w:t>. London: KPMG LLP.</w:t>
      </w:r>
    </w:p>
    <w:p w14:paraId="233DB75E"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McKinsey &amp; Company (2023) </w:t>
      </w:r>
      <w:r w:rsidRPr="006A4C1E">
        <w:rPr>
          <w:rFonts w:ascii="Arial" w:eastAsia="Times New Roman" w:hAnsi="Arial" w:cs="Arial"/>
          <w:i/>
          <w:iCs/>
          <w:color w:val="404040"/>
          <w:sz w:val="24"/>
          <w:szCs w:val="24"/>
          <w:lang w:eastAsia="en-GB"/>
        </w:rPr>
        <w:t>The State of Fashion 2023: Retail</w:t>
      </w:r>
      <w:r w:rsidRPr="006A4C1E">
        <w:rPr>
          <w:rFonts w:ascii="Arial" w:eastAsia="Times New Roman" w:hAnsi="Arial" w:cs="Arial"/>
          <w:color w:val="404040"/>
          <w:sz w:val="24"/>
          <w:szCs w:val="24"/>
          <w:lang w:eastAsia="en-GB"/>
        </w:rPr>
        <w:t>. New York: McKinsey.</w:t>
      </w:r>
    </w:p>
    <w:p w14:paraId="11B04DEB"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MHCLG (2021) </w:t>
      </w:r>
      <w:r w:rsidRPr="006A4C1E">
        <w:rPr>
          <w:rFonts w:ascii="Arial" w:eastAsia="Times New Roman" w:hAnsi="Arial" w:cs="Arial"/>
          <w:i/>
          <w:iCs/>
          <w:color w:val="404040"/>
          <w:sz w:val="24"/>
          <w:szCs w:val="24"/>
          <w:lang w:eastAsia="en-GB"/>
        </w:rPr>
        <w:t>High Street Task Force: Annual Report 2021</w:t>
      </w:r>
      <w:r w:rsidRPr="006A4C1E">
        <w:rPr>
          <w:rFonts w:ascii="Arial" w:eastAsia="Times New Roman" w:hAnsi="Arial" w:cs="Arial"/>
          <w:color w:val="404040"/>
          <w:sz w:val="24"/>
          <w:szCs w:val="24"/>
          <w:lang w:eastAsia="en-GB"/>
        </w:rPr>
        <w:t>. London: Ministry of Housing, Communities and Local Government.</w:t>
      </w:r>
    </w:p>
    <w:p w14:paraId="33A9EFC3" w14:textId="77777777" w:rsidR="006A4C1E" w:rsidRPr="006A4C1E" w:rsidRDefault="006A4C1E" w:rsidP="003D0240">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lastRenderedPageBreak/>
        <w:t>Miller, A. (2019) Retail Strategies in a Declining Market. London: Business Press.</w:t>
      </w:r>
    </w:p>
    <w:p w14:paraId="195FD8F2" w14:textId="77777777" w:rsidR="006A4C1E" w:rsidRPr="006A4C1E" w:rsidRDefault="006A4C1E" w:rsidP="00051A53">
      <w:pPr>
        <w:autoSpaceDE/>
        <w:autoSpaceDN/>
        <w:adjustRightInd/>
        <w:spacing w:before="100" w:beforeAutospacing="1" w:after="100" w:afterAutospacing="1" w:line="240" w:lineRule="auto"/>
        <w:rPr>
          <w:rFonts w:ascii="Arial" w:eastAsia="Times New Roman" w:hAnsi="Arial" w:cs="Arial"/>
          <w:sz w:val="24"/>
          <w:szCs w:val="24"/>
          <w:lang w:eastAsia="en-GB"/>
        </w:rPr>
      </w:pPr>
      <w:r w:rsidRPr="006A4C1E">
        <w:rPr>
          <w:rFonts w:ascii="Arial" w:eastAsia="Times New Roman" w:hAnsi="Arial" w:cs="Arial"/>
          <w:sz w:val="24"/>
          <w:szCs w:val="24"/>
          <w:lang w:eastAsia="en-GB"/>
        </w:rPr>
        <w:t xml:space="preserve">Miller, C., 2019. </w:t>
      </w:r>
      <w:r w:rsidRPr="006A4C1E">
        <w:rPr>
          <w:rFonts w:ascii="Arial" w:eastAsia="Times New Roman" w:hAnsi="Arial" w:cs="Arial"/>
          <w:i/>
          <w:iCs/>
          <w:sz w:val="24"/>
          <w:szCs w:val="24"/>
          <w:lang w:eastAsia="en-GB"/>
        </w:rPr>
        <w:t>Retail in Crisis: The Struggles of High Street Retailers</w:t>
      </w:r>
      <w:r w:rsidRPr="006A4C1E">
        <w:rPr>
          <w:rFonts w:ascii="Arial" w:eastAsia="Times New Roman" w:hAnsi="Arial" w:cs="Arial"/>
          <w:sz w:val="24"/>
          <w:szCs w:val="24"/>
          <w:lang w:eastAsia="en-GB"/>
        </w:rPr>
        <w:t xml:space="preserve">. The Guardian. [online] Available at: </w:t>
      </w:r>
      <w:hyperlink r:id="rId10" w:tgtFrame="_new" w:history="1">
        <w:r w:rsidRPr="006A4C1E">
          <w:rPr>
            <w:rFonts w:ascii="Arial" w:eastAsia="Times New Roman" w:hAnsi="Arial" w:cs="Arial"/>
            <w:color w:val="0000FF"/>
            <w:sz w:val="24"/>
            <w:szCs w:val="24"/>
            <w:u w:val="single"/>
            <w:lang w:eastAsia="en-GB"/>
          </w:rPr>
          <w:t>https://www.theguardian.com/business/2019/jul/01/high-street-retailers-uk-crisis</w:t>
        </w:r>
      </w:hyperlink>
      <w:r w:rsidRPr="006A4C1E">
        <w:rPr>
          <w:rFonts w:ascii="Arial" w:eastAsia="Times New Roman" w:hAnsi="Arial" w:cs="Arial"/>
          <w:sz w:val="24"/>
          <w:szCs w:val="24"/>
          <w:lang w:eastAsia="en-GB"/>
        </w:rPr>
        <w:t xml:space="preserve"> [Accessed 26 March 2025].</w:t>
      </w:r>
    </w:p>
    <w:p w14:paraId="0D126BDF"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Mintel (2023) </w:t>
      </w:r>
      <w:r w:rsidRPr="006A4C1E">
        <w:rPr>
          <w:rFonts w:ascii="Arial" w:eastAsia="Times New Roman" w:hAnsi="Arial" w:cs="Arial"/>
          <w:i/>
          <w:iCs/>
          <w:color w:val="404040"/>
          <w:sz w:val="24"/>
          <w:szCs w:val="24"/>
          <w:lang w:eastAsia="en-GB"/>
        </w:rPr>
        <w:t>Sustainability in UK Retail - Consumer Trends</w:t>
      </w:r>
      <w:r w:rsidRPr="006A4C1E">
        <w:rPr>
          <w:rFonts w:ascii="Arial" w:eastAsia="Times New Roman" w:hAnsi="Arial" w:cs="Arial"/>
          <w:color w:val="404040"/>
          <w:sz w:val="24"/>
          <w:szCs w:val="24"/>
          <w:lang w:eastAsia="en-GB"/>
        </w:rPr>
        <w:t>. London: Mintel Group Ltd.</w:t>
      </w:r>
    </w:p>
    <w:p w14:paraId="16C10715"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Office for National Statistics (ONS) (2023) </w:t>
      </w:r>
      <w:r w:rsidRPr="006A4C1E">
        <w:rPr>
          <w:rFonts w:ascii="Arial" w:eastAsia="Times New Roman" w:hAnsi="Arial" w:cs="Arial"/>
          <w:i/>
          <w:iCs/>
          <w:color w:val="404040"/>
          <w:sz w:val="24"/>
          <w:szCs w:val="24"/>
          <w:lang w:eastAsia="en-GB"/>
        </w:rPr>
        <w:t>UK Retail Sales: December 2023</w:t>
      </w:r>
      <w:r w:rsidRPr="006A4C1E">
        <w:rPr>
          <w:rFonts w:ascii="Arial" w:eastAsia="Times New Roman" w:hAnsi="Arial" w:cs="Arial"/>
          <w:color w:val="404040"/>
          <w:sz w:val="24"/>
          <w:szCs w:val="24"/>
          <w:lang w:eastAsia="en-GB"/>
        </w:rPr>
        <w:t>. London: ONS.</w:t>
      </w:r>
    </w:p>
    <w:p w14:paraId="06396588"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Office for National Statistics (ONS) (2024) </w:t>
      </w:r>
      <w:r w:rsidRPr="006A4C1E">
        <w:rPr>
          <w:rFonts w:ascii="Arial" w:eastAsia="Times New Roman" w:hAnsi="Arial" w:cs="Arial"/>
          <w:i/>
          <w:iCs/>
          <w:color w:val="404040"/>
          <w:sz w:val="24"/>
          <w:szCs w:val="24"/>
          <w:lang w:eastAsia="en-GB"/>
        </w:rPr>
        <w:t>Consumer Trends Q1 2024</w:t>
      </w:r>
      <w:r w:rsidRPr="006A4C1E">
        <w:rPr>
          <w:rFonts w:ascii="Arial" w:eastAsia="Times New Roman" w:hAnsi="Arial" w:cs="Arial"/>
          <w:color w:val="404040"/>
          <w:sz w:val="24"/>
          <w:szCs w:val="24"/>
          <w:lang w:eastAsia="en-GB"/>
        </w:rPr>
        <w:t>. London: ONS.</w:t>
      </w:r>
    </w:p>
    <w:p w14:paraId="62F8CF05" w14:textId="77777777" w:rsidR="006A4C1E" w:rsidRPr="006A4C1E" w:rsidRDefault="006A4C1E" w:rsidP="003D0240">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Porter, M. (2008) Competitive Strategy: Techniques for Analysing Industries and Competitors. New York: Free Press.</w:t>
      </w:r>
    </w:p>
    <w:p w14:paraId="7E2AF0FE"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0D0D0D" w:themeColor="text1" w:themeTint="F2"/>
          <w:sz w:val="24"/>
          <w:szCs w:val="24"/>
          <w:lang w:eastAsia="en-GB"/>
        </w:rPr>
      </w:pPr>
      <w:r w:rsidRPr="006A4C1E">
        <w:rPr>
          <w:rFonts w:ascii="Arial" w:eastAsia="Times New Roman" w:hAnsi="Arial" w:cs="Arial"/>
          <w:color w:val="0D0D0D" w:themeColor="text1" w:themeTint="F2"/>
          <w:sz w:val="24"/>
          <w:szCs w:val="24"/>
          <w:lang w:eastAsia="en-GB"/>
        </w:rPr>
        <w:t xml:space="preserve">Porter, M.E., 2008. </w:t>
      </w:r>
      <w:r w:rsidRPr="006A4C1E">
        <w:rPr>
          <w:rFonts w:ascii="Arial" w:eastAsia="Times New Roman" w:hAnsi="Arial" w:cs="Arial"/>
          <w:i/>
          <w:iCs/>
          <w:color w:val="0D0D0D" w:themeColor="text1" w:themeTint="F2"/>
          <w:sz w:val="24"/>
          <w:szCs w:val="24"/>
          <w:lang w:eastAsia="en-GB"/>
        </w:rPr>
        <w:t>The Five Competitive Forces That Shape Strategy</w:t>
      </w:r>
      <w:r w:rsidRPr="006A4C1E">
        <w:rPr>
          <w:rFonts w:ascii="Arial" w:eastAsia="Times New Roman" w:hAnsi="Arial" w:cs="Arial"/>
          <w:color w:val="0D0D0D" w:themeColor="text1" w:themeTint="F2"/>
          <w:sz w:val="24"/>
          <w:szCs w:val="24"/>
          <w:lang w:eastAsia="en-GB"/>
        </w:rPr>
        <w:t xml:space="preserve">. Harvard Business Review, 86(1), pp.78-93. </w:t>
      </w:r>
    </w:p>
    <w:p w14:paraId="506C3BFB"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PwC (2023) </w:t>
      </w:r>
      <w:r w:rsidRPr="006A4C1E">
        <w:rPr>
          <w:rFonts w:ascii="Arial" w:eastAsia="Times New Roman" w:hAnsi="Arial" w:cs="Arial"/>
          <w:i/>
          <w:iCs/>
          <w:color w:val="404040"/>
          <w:sz w:val="24"/>
          <w:szCs w:val="24"/>
          <w:lang w:eastAsia="en-GB"/>
        </w:rPr>
        <w:t>Retail Outlook 2023: UK Market Analysis</w:t>
      </w:r>
      <w:r w:rsidRPr="006A4C1E">
        <w:rPr>
          <w:rFonts w:ascii="Arial" w:eastAsia="Times New Roman" w:hAnsi="Arial" w:cs="Arial"/>
          <w:color w:val="404040"/>
          <w:sz w:val="24"/>
          <w:szCs w:val="24"/>
          <w:lang w:eastAsia="en-GB"/>
        </w:rPr>
        <w:t>. London: PricewaterhouseCoopers LLP.</w:t>
      </w:r>
    </w:p>
    <w:p w14:paraId="6345E1D3"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Retail Week (2023) </w:t>
      </w:r>
      <w:r w:rsidRPr="006A4C1E">
        <w:rPr>
          <w:rFonts w:ascii="Arial" w:eastAsia="Times New Roman" w:hAnsi="Arial" w:cs="Arial"/>
          <w:i/>
          <w:iCs/>
          <w:color w:val="404040"/>
          <w:sz w:val="24"/>
          <w:szCs w:val="24"/>
          <w:lang w:eastAsia="en-GB"/>
        </w:rPr>
        <w:t>Omnichannel Retail Strategies in the UK</w:t>
      </w:r>
      <w:r w:rsidRPr="006A4C1E">
        <w:rPr>
          <w:rFonts w:ascii="Arial" w:eastAsia="Times New Roman" w:hAnsi="Arial" w:cs="Arial"/>
          <w:color w:val="404040"/>
          <w:sz w:val="24"/>
          <w:szCs w:val="24"/>
          <w:lang w:eastAsia="en-GB"/>
        </w:rPr>
        <w:t>. London: Ascential plc.</w:t>
      </w:r>
    </w:p>
    <w:p w14:paraId="0AF54D19"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Savills (2023) </w:t>
      </w:r>
      <w:r w:rsidRPr="006A4C1E">
        <w:rPr>
          <w:rFonts w:ascii="Arial" w:eastAsia="Times New Roman" w:hAnsi="Arial" w:cs="Arial"/>
          <w:i/>
          <w:iCs/>
          <w:color w:val="404040"/>
          <w:sz w:val="24"/>
          <w:szCs w:val="24"/>
          <w:lang w:eastAsia="en-GB"/>
        </w:rPr>
        <w:t>UK High Streets Investment Report</w:t>
      </w:r>
      <w:r w:rsidRPr="006A4C1E">
        <w:rPr>
          <w:rFonts w:ascii="Arial" w:eastAsia="Times New Roman" w:hAnsi="Arial" w:cs="Arial"/>
          <w:color w:val="404040"/>
          <w:sz w:val="24"/>
          <w:szCs w:val="24"/>
          <w:lang w:eastAsia="en-GB"/>
        </w:rPr>
        <w:t>. London: Savills plc.</w:t>
      </w:r>
    </w:p>
    <w:p w14:paraId="7F9B6BB4"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Springboard (2024) </w:t>
      </w:r>
      <w:r w:rsidRPr="006A4C1E">
        <w:rPr>
          <w:rFonts w:ascii="Arial" w:eastAsia="Times New Roman" w:hAnsi="Arial" w:cs="Arial"/>
          <w:i/>
          <w:iCs/>
          <w:color w:val="404040"/>
          <w:sz w:val="24"/>
          <w:szCs w:val="24"/>
          <w:lang w:eastAsia="en-GB"/>
        </w:rPr>
        <w:t>UK Retail Footfall Monitor: January 2024</w:t>
      </w:r>
      <w:r w:rsidRPr="006A4C1E">
        <w:rPr>
          <w:rFonts w:ascii="Arial" w:eastAsia="Times New Roman" w:hAnsi="Arial" w:cs="Arial"/>
          <w:color w:val="404040"/>
          <w:sz w:val="24"/>
          <w:szCs w:val="24"/>
          <w:lang w:eastAsia="en-GB"/>
        </w:rPr>
        <w:t>. London: Springboard Research.</w:t>
      </w:r>
    </w:p>
    <w:p w14:paraId="087FDE5E" w14:textId="77777777" w:rsidR="006A4C1E" w:rsidRPr="006A4C1E" w:rsidRDefault="006A4C1E" w:rsidP="004A0AF6">
      <w:pPr>
        <w:autoSpaceDE/>
        <w:autoSpaceDN/>
        <w:adjustRightInd/>
        <w:spacing w:before="100" w:beforeAutospacing="1" w:after="100" w:afterAutospacing="1" w:line="240" w:lineRule="auto"/>
        <w:rPr>
          <w:rFonts w:ascii="Arial" w:eastAsia="Times New Roman" w:hAnsi="Arial" w:cs="Arial"/>
          <w:color w:val="404040"/>
          <w:sz w:val="24"/>
          <w:szCs w:val="24"/>
          <w:lang w:eastAsia="en-GB"/>
        </w:rPr>
      </w:pPr>
      <w:r w:rsidRPr="006A4C1E">
        <w:rPr>
          <w:rFonts w:ascii="Arial" w:eastAsia="Times New Roman" w:hAnsi="Arial" w:cs="Arial"/>
          <w:color w:val="404040"/>
          <w:sz w:val="24"/>
          <w:szCs w:val="24"/>
          <w:lang w:eastAsia="en-GB"/>
        </w:rPr>
        <w:t>Statista (2024) </w:t>
      </w:r>
      <w:r w:rsidRPr="006A4C1E">
        <w:rPr>
          <w:rFonts w:ascii="Arial" w:eastAsia="Times New Roman" w:hAnsi="Arial" w:cs="Arial"/>
          <w:i/>
          <w:iCs/>
          <w:color w:val="404040"/>
          <w:sz w:val="24"/>
          <w:szCs w:val="24"/>
          <w:lang w:eastAsia="en-GB"/>
        </w:rPr>
        <w:t>E-commerce in the United Kingdom - Statistics &amp; Facts</w:t>
      </w:r>
      <w:r w:rsidRPr="006A4C1E">
        <w:rPr>
          <w:rFonts w:ascii="Arial" w:eastAsia="Times New Roman" w:hAnsi="Arial" w:cs="Arial"/>
          <w:color w:val="404040"/>
          <w:sz w:val="24"/>
          <w:szCs w:val="24"/>
          <w:lang w:eastAsia="en-GB"/>
        </w:rPr>
        <w:t>. Hamburg: Statista GmbH.</w:t>
      </w:r>
    </w:p>
    <w:p w14:paraId="027E8A9B" w14:textId="3118B475" w:rsidR="007D452A" w:rsidRDefault="007D452A" w:rsidP="00652DFD">
      <w:pPr>
        <w:pStyle w:val="Heading1"/>
      </w:pPr>
    </w:p>
    <w:sectPr w:rsidR="007D45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F125A" w14:textId="77777777" w:rsidR="008F3239" w:rsidRDefault="008F3239" w:rsidP="00C70FA3">
      <w:pPr>
        <w:spacing w:after="0" w:line="240" w:lineRule="auto"/>
      </w:pPr>
      <w:r>
        <w:separator/>
      </w:r>
    </w:p>
  </w:endnote>
  <w:endnote w:type="continuationSeparator" w:id="0">
    <w:p w14:paraId="2191FBC5" w14:textId="77777777" w:rsidR="008F3239" w:rsidRDefault="008F3239" w:rsidP="00C70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05D49" w14:textId="77777777" w:rsidR="008F3239" w:rsidRDefault="008F3239" w:rsidP="00C70FA3">
      <w:pPr>
        <w:spacing w:after="0" w:line="240" w:lineRule="auto"/>
      </w:pPr>
      <w:r>
        <w:separator/>
      </w:r>
    </w:p>
  </w:footnote>
  <w:footnote w:type="continuationSeparator" w:id="0">
    <w:p w14:paraId="362CB57A" w14:textId="77777777" w:rsidR="008F3239" w:rsidRDefault="008F3239" w:rsidP="00C70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9549D"/>
    <w:multiLevelType w:val="multilevel"/>
    <w:tmpl w:val="52C0092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B05067"/>
    <w:multiLevelType w:val="multilevel"/>
    <w:tmpl w:val="A436553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C3EFE"/>
    <w:multiLevelType w:val="hybridMultilevel"/>
    <w:tmpl w:val="B5225E3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4AA571E4"/>
    <w:multiLevelType w:val="multilevel"/>
    <w:tmpl w:val="0764C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2539AE"/>
    <w:multiLevelType w:val="hybridMultilevel"/>
    <w:tmpl w:val="2E38969A"/>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51283F11"/>
    <w:multiLevelType w:val="multilevel"/>
    <w:tmpl w:val="A436553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7B208BB"/>
    <w:multiLevelType w:val="multilevel"/>
    <w:tmpl w:val="A436553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6B6EF5"/>
    <w:multiLevelType w:val="multilevel"/>
    <w:tmpl w:val="90BACEC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ED071B"/>
    <w:multiLevelType w:val="multilevel"/>
    <w:tmpl w:val="A0B84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9932797">
    <w:abstractNumId w:val="3"/>
  </w:num>
  <w:num w:numId="2" w16cid:durableId="43142840">
    <w:abstractNumId w:val="7"/>
  </w:num>
  <w:num w:numId="3" w16cid:durableId="1431587011">
    <w:abstractNumId w:val="10"/>
  </w:num>
  <w:num w:numId="4" w16cid:durableId="1459371981">
    <w:abstractNumId w:val="4"/>
  </w:num>
  <w:num w:numId="5" w16cid:durableId="1215391097">
    <w:abstractNumId w:val="0"/>
  </w:num>
  <w:num w:numId="6" w16cid:durableId="2104179263">
    <w:abstractNumId w:val="5"/>
  </w:num>
  <w:num w:numId="7" w16cid:durableId="1087843701">
    <w:abstractNumId w:val="2"/>
  </w:num>
  <w:num w:numId="8" w16cid:durableId="1436829635">
    <w:abstractNumId w:val="1"/>
  </w:num>
  <w:num w:numId="9" w16cid:durableId="1072002191">
    <w:abstractNumId w:val="6"/>
  </w:num>
  <w:num w:numId="10" w16cid:durableId="1033925451">
    <w:abstractNumId w:val="8"/>
  </w:num>
  <w:num w:numId="11" w16cid:durableId="21233060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2A"/>
    <w:rsid w:val="00051A53"/>
    <w:rsid w:val="001E2BB5"/>
    <w:rsid w:val="00242B61"/>
    <w:rsid w:val="00264101"/>
    <w:rsid w:val="002B5412"/>
    <w:rsid w:val="003240AE"/>
    <w:rsid w:val="003774F6"/>
    <w:rsid w:val="003B2EE5"/>
    <w:rsid w:val="003B3642"/>
    <w:rsid w:val="003D0240"/>
    <w:rsid w:val="004232A7"/>
    <w:rsid w:val="00426050"/>
    <w:rsid w:val="004A0AF6"/>
    <w:rsid w:val="004F7C0B"/>
    <w:rsid w:val="00540311"/>
    <w:rsid w:val="00562132"/>
    <w:rsid w:val="00575C90"/>
    <w:rsid w:val="00593CBD"/>
    <w:rsid w:val="005E591B"/>
    <w:rsid w:val="00625292"/>
    <w:rsid w:val="00652DFD"/>
    <w:rsid w:val="00654D6C"/>
    <w:rsid w:val="006A4C1E"/>
    <w:rsid w:val="006A6741"/>
    <w:rsid w:val="007A436B"/>
    <w:rsid w:val="007B1751"/>
    <w:rsid w:val="007D452A"/>
    <w:rsid w:val="00816DDE"/>
    <w:rsid w:val="008725A7"/>
    <w:rsid w:val="008746EE"/>
    <w:rsid w:val="008D3E8C"/>
    <w:rsid w:val="008F3239"/>
    <w:rsid w:val="00907002"/>
    <w:rsid w:val="00917BAD"/>
    <w:rsid w:val="0099064B"/>
    <w:rsid w:val="009C5B94"/>
    <w:rsid w:val="009D65A3"/>
    <w:rsid w:val="009E3187"/>
    <w:rsid w:val="00A0084E"/>
    <w:rsid w:val="00A07CF0"/>
    <w:rsid w:val="00A17E1B"/>
    <w:rsid w:val="00A20E20"/>
    <w:rsid w:val="00A625D2"/>
    <w:rsid w:val="00AD708D"/>
    <w:rsid w:val="00B25353"/>
    <w:rsid w:val="00B63B6E"/>
    <w:rsid w:val="00B85AB8"/>
    <w:rsid w:val="00C21A29"/>
    <w:rsid w:val="00C70FA3"/>
    <w:rsid w:val="00C86693"/>
    <w:rsid w:val="00C95BA6"/>
    <w:rsid w:val="00D33205"/>
    <w:rsid w:val="00D97DC9"/>
    <w:rsid w:val="00E57FE0"/>
    <w:rsid w:val="00ED5F5C"/>
    <w:rsid w:val="00ED72EF"/>
    <w:rsid w:val="00F00280"/>
    <w:rsid w:val="00F171B0"/>
    <w:rsid w:val="00F70942"/>
    <w:rsid w:val="00FB7396"/>
    <w:rsid w:val="00FE6A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5CB1"/>
  <w15:chartTrackingRefBased/>
  <w15:docId w15:val="{A2C045B3-A9D6-4203-A351-C4269F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52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7D4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52A"/>
    <w:rPr>
      <w:rFonts w:eastAsiaTheme="majorEastAsia" w:cstheme="majorBidi"/>
      <w:color w:val="272727" w:themeColor="text1" w:themeTint="D8"/>
    </w:rPr>
  </w:style>
  <w:style w:type="paragraph" w:styleId="Title">
    <w:name w:val="Title"/>
    <w:basedOn w:val="Normal"/>
    <w:next w:val="Normal"/>
    <w:link w:val="TitleChar"/>
    <w:uiPriority w:val="10"/>
    <w:qFormat/>
    <w:rsid w:val="007D4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52A"/>
    <w:pPr>
      <w:spacing w:before="160"/>
      <w:jc w:val="center"/>
    </w:pPr>
    <w:rPr>
      <w:i/>
      <w:iCs/>
      <w:color w:val="404040" w:themeColor="text1" w:themeTint="BF"/>
    </w:rPr>
  </w:style>
  <w:style w:type="character" w:customStyle="1" w:styleId="QuoteChar">
    <w:name w:val="Quote Char"/>
    <w:basedOn w:val="DefaultParagraphFont"/>
    <w:link w:val="Quote"/>
    <w:uiPriority w:val="29"/>
    <w:rsid w:val="007D452A"/>
    <w:rPr>
      <w:i/>
      <w:iCs/>
      <w:color w:val="404040" w:themeColor="text1" w:themeTint="BF"/>
    </w:rPr>
  </w:style>
  <w:style w:type="paragraph" w:styleId="ListParagraph">
    <w:name w:val="List Paragraph"/>
    <w:basedOn w:val="Normal"/>
    <w:uiPriority w:val="34"/>
    <w:qFormat/>
    <w:rsid w:val="007D452A"/>
    <w:pPr>
      <w:ind w:left="720"/>
      <w:contextualSpacing/>
    </w:pPr>
  </w:style>
  <w:style w:type="character" w:styleId="IntenseEmphasis">
    <w:name w:val="Intense Emphasis"/>
    <w:basedOn w:val="DefaultParagraphFont"/>
    <w:uiPriority w:val="21"/>
    <w:qFormat/>
    <w:rsid w:val="007D452A"/>
    <w:rPr>
      <w:i/>
      <w:iCs/>
      <w:color w:val="0F4761" w:themeColor="accent1" w:themeShade="BF"/>
    </w:rPr>
  </w:style>
  <w:style w:type="paragraph" w:styleId="IntenseQuote">
    <w:name w:val="Intense Quote"/>
    <w:basedOn w:val="Normal"/>
    <w:next w:val="Normal"/>
    <w:link w:val="IntenseQuoteChar"/>
    <w:uiPriority w:val="30"/>
    <w:qFormat/>
    <w:rsid w:val="007D4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52A"/>
    <w:rPr>
      <w:i/>
      <w:iCs/>
      <w:color w:val="0F4761" w:themeColor="accent1" w:themeShade="BF"/>
    </w:rPr>
  </w:style>
  <w:style w:type="character" w:styleId="IntenseReference">
    <w:name w:val="Intense Reference"/>
    <w:basedOn w:val="DefaultParagraphFont"/>
    <w:uiPriority w:val="32"/>
    <w:qFormat/>
    <w:rsid w:val="007D452A"/>
    <w:rPr>
      <w:b/>
      <w:bCs/>
      <w:smallCaps/>
      <w:color w:val="0F4761" w:themeColor="accent1" w:themeShade="BF"/>
      <w:spacing w:val="5"/>
    </w:rPr>
  </w:style>
  <w:style w:type="character" w:styleId="Hyperlink">
    <w:name w:val="Hyperlink"/>
    <w:basedOn w:val="DefaultParagraphFont"/>
    <w:uiPriority w:val="99"/>
    <w:unhideWhenUsed/>
    <w:rsid w:val="007D452A"/>
    <w:rPr>
      <w:color w:val="467886" w:themeColor="hyperlink"/>
      <w:u w:val="single"/>
    </w:rPr>
  </w:style>
  <w:style w:type="paragraph" w:styleId="TableofFigures">
    <w:name w:val="table of figures"/>
    <w:basedOn w:val="Normal"/>
    <w:next w:val="Normal"/>
    <w:uiPriority w:val="99"/>
    <w:unhideWhenUsed/>
    <w:rsid w:val="007D452A"/>
    <w:pPr>
      <w:spacing w:after="0"/>
      <w:ind w:left="440" w:hanging="440"/>
    </w:pPr>
    <w:rPr>
      <w:smallCaps/>
      <w:sz w:val="20"/>
      <w:szCs w:val="20"/>
    </w:rPr>
  </w:style>
  <w:style w:type="paragraph" w:styleId="TOC1">
    <w:name w:val="toc 1"/>
    <w:basedOn w:val="Normal"/>
    <w:next w:val="Normal"/>
    <w:autoRedefine/>
    <w:uiPriority w:val="39"/>
    <w:unhideWhenUsed/>
    <w:rsid w:val="00917BAD"/>
    <w:pPr>
      <w:tabs>
        <w:tab w:val="right" w:leader="dot" w:pos="9016"/>
      </w:tabs>
      <w:spacing w:before="120" w:after="120" w:line="480" w:lineRule="auto"/>
    </w:pPr>
    <w:rPr>
      <w:rFonts w:ascii="Verdana" w:hAnsi="Verdana"/>
      <w:b/>
      <w:bCs/>
      <w:caps/>
      <w:noProof/>
      <w:sz w:val="18"/>
      <w:szCs w:val="20"/>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7D452A"/>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7D452A"/>
    <w:rPr>
      <w:rFonts w:ascii="Verdana" w:eastAsia="Times New Roman" w:hAnsi="Verdana" w:cs="Times New Roman"/>
      <w:kern w:val="0"/>
      <w:sz w:val="18"/>
      <w:lang w:eastAsia="en-US"/>
      <w14:ligatures w14:val="none"/>
    </w:rPr>
  </w:style>
  <w:style w:type="paragraph" w:styleId="TOCHeading">
    <w:name w:val="TOC Heading"/>
    <w:basedOn w:val="Heading1"/>
    <w:next w:val="Normal"/>
    <w:uiPriority w:val="39"/>
    <w:unhideWhenUsed/>
    <w:qFormat/>
    <w:rsid w:val="00A20E20"/>
    <w:pPr>
      <w:autoSpaceDE/>
      <w:autoSpaceDN/>
      <w:adjustRightInd/>
      <w:spacing w:before="240" w:after="0" w:line="259" w:lineRule="auto"/>
      <w:outlineLvl w:val="9"/>
    </w:pPr>
    <w:rPr>
      <w:sz w:val="32"/>
      <w:szCs w:val="32"/>
      <w:lang w:val="en-US"/>
    </w:rPr>
  </w:style>
  <w:style w:type="paragraph" w:styleId="Header">
    <w:name w:val="header"/>
    <w:basedOn w:val="Normal"/>
    <w:link w:val="HeaderChar"/>
    <w:uiPriority w:val="99"/>
    <w:unhideWhenUsed/>
    <w:rsid w:val="00C70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FA3"/>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C70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FA3"/>
    <w:rPr>
      <w:rFonts w:ascii="Calibri" w:eastAsiaTheme="minorHAnsi" w:hAnsi="Calibri" w:cs="Calibri"/>
      <w:kern w:val="0"/>
      <w:sz w:val="22"/>
      <w:szCs w:val="22"/>
      <w:lang w:eastAsia="en-US"/>
      <w14:ligatures w14:val="none"/>
    </w:rPr>
  </w:style>
  <w:style w:type="paragraph" w:styleId="NormalWeb">
    <w:name w:val="Normal (Web)"/>
    <w:basedOn w:val="Normal"/>
    <w:uiPriority w:val="99"/>
    <w:semiHidden/>
    <w:unhideWhenUsed/>
    <w:rsid w:val="006A4C1E"/>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950430">
      <w:bodyDiv w:val="1"/>
      <w:marLeft w:val="0"/>
      <w:marRight w:val="0"/>
      <w:marTop w:val="0"/>
      <w:marBottom w:val="0"/>
      <w:divBdr>
        <w:top w:val="none" w:sz="0" w:space="0" w:color="auto"/>
        <w:left w:val="none" w:sz="0" w:space="0" w:color="auto"/>
        <w:bottom w:val="none" w:sz="0" w:space="0" w:color="auto"/>
        <w:right w:val="none" w:sz="0" w:space="0" w:color="auto"/>
      </w:divBdr>
    </w:div>
    <w:div w:id="909510288">
      <w:bodyDiv w:val="1"/>
      <w:marLeft w:val="0"/>
      <w:marRight w:val="0"/>
      <w:marTop w:val="0"/>
      <w:marBottom w:val="0"/>
      <w:divBdr>
        <w:top w:val="none" w:sz="0" w:space="0" w:color="auto"/>
        <w:left w:val="none" w:sz="0" w:space="0" w:color="auto"/>
        <w:bottom w:val="none" w:sz="0" w:space="0" w:color="auto"/>
        <w:right w:val="none" w:sz="0" w:space="0" w:color="auto"/>
      </w:divBdr>
    </w:div>
    <w:div w:id="1353455618">
      <w:bodyDiv w:val="1"/>
      <w:marLeft w:val="0"/>
      <w:marRight w:val="0"/>
      <w:marTop w:val="0"/>
      <w:marBottom w:val="0"/>
      <w:divBdr>
        <w:top w:val="none" w:sz="0" w:space="0" w:color="auto"/>
        <w:left w:val="none" w:sz="0" w:space="0" w:color="auto"/>
        <w:bottom w:val="none" w:sz="0" w:space="0" w:color="auto"/>
        <w:right w:val="none" w:sz="0" w:space="0" w:color="auto"/>
      </w:divBdr>
    </w:div>
    <w:div w:id="1421488588">
      <w:bodyDiv w:val="1"/>
      <w:marLeft w:val="0"/>
      <w:marRight w:val="0"/>
      <w:marTop w:val="0"/>
      <w:marBottom w:val="0"/>
      <w:divBdr>
        <w:top w:val="none" w:sz="0" w:space="0" w:color="auto"/>
        <w:left w:val="none" w:sz="0" w:space="0" w:color="auto"/>
        <w:bottom w:val="none" w:sz="0" w:space="0" w:color="auto"/>
        <w:right w:val="none" w:sz="0" w:space="0" w:color="auto"/>
      </w:divBdr>
    </w:div>
    <w:div w:id="1620600227">
      <w:bodyDiv w:val="1"/>
      <w:marLeft w:val="0"/>
      <w:marRight w:val="0"/>
      <w:marTop w:val="0"/>
      <w:marBottom w:val="0"/>
      <w:divBdr>
        <w:top w:val="none" w:sz="0" w:space="0" w:color="auto"/>
        <w:left w:val="none" w:sz="0" w:space="0" w:color="auto"/>
        <w:bottom w:val="none" w:sz="0" w:space="0" w:color="auto"/>
        <w:right w:val="none" w:sz="0" w:space="0" w:color="auto"/>
      </w:divBdr>
    </w:div>
    <w:div w:id="194422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heguardian.com/business/2019/jul/01/high-street-retailers-uk-crisis" TargetMode="External"/><Relationship Id="rId4" Type="http://schemas.openxmlformats.org/officeDocument/2006/relationships/settings" Target="settings.xml"/><Relationship Id="rId9" Type="http://schemas.openxmlformats.org/officeDocument/2006/relationships/hyperlink" Target="https://www.gov.uk/government/publications/future-high-streets-fund-prospe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CAC57-8263-4925-98B7-BF6233D51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2949</TotalTime>
  <Pages>9</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Farhan Ahmed (2406518)</cp:lastModifiedBy>
  <cp:revision>48</cp:revision>
  <dcterms:created xsi:type="dcterms:W3CDTF">2024-08-02T01:07:00Z</dcterms:created>
  <dcterms:modified xsi:type="dcterms:W3CDTF">2025-03-28T21:17:00Z</dcterms:modified>
</cp:coreProperties>
</file>