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152E2EF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CD2C42">
              <w:rPr>
                <w:rFonts w:ascii="Times New Roman" w:hAnsi="Times New Roman" w:cs="Times New Roman"/>
                <w:b/>
                <w:color w:val="auto"/>
                <w:sz w:val="48"/>
              </w:rPr>
              <w:t xml:space="preserve"> </w:t>
            </w:r>
            <w:proofErr w:type="spellStart"/>
            <w:r w:rsidR="00CD2C42">
              <w:rPr>
                <w:rFonts w:ascii="Times New Roman" w:hAnsi="Times New Roman" w:cs="Times New Roman"/>
                <w:b/>
                <w:color w:val="auto"/>
                <w:sz w:val="48"/>
              </w:rPr>
              <w:t>Eleri</w:t>
            </w:r>
            <w:proofErr w:type="spellEnd"/>
            <w:r w:rsidR="00CD2C42">
              <w:rPr>
                <w:rFonts w:ascii="Times New Roman" w:hAnsi="Times New Roman" w:cs="Times New Roman"/>
                <w:b/>
                <w:color w:val="auto"/>
                <w:sz w:val="48"/>
              </w:rPr>
              <w:t xml:space="preserve"> Jones </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278A400D" w:rsidR="004712F2" w:rsidRPr="005D3F07"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835065">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835065">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835065">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835065">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835065">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835065">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835065">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835065">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835065">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835065">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835065">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835065">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835065">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8095995" w14:textId="77777777" w:rsidR="0086436D" w:rsidRPr="0086436D" w:rsidRDefault="0086436D" w:rsidP="0086436D">
      <w:pPr>
        <w:overflowPunct/>
        <w:autoSpaceDE/>
        <w:autoSpaceDN/>
        <w:adjustRightInd/>
        <w:textAlignment w:val="auto"/>
        <w:rPr>
          <w:color w:val="500050"/>
          <w:sz w:val="24"/>
          <w:szCs w:val="24"/>
          <w:shd w:val="clear" w:color="auto" w:fill="FFFFFF"/>
        </w:rPr>
      </w:pPr>
      <w:r w:rsidRPr="0086436D">
        <w:rPr>
          <w:sz w:val="24"/>
          <w:szCs w:val="24"/>
          <w:shd w:val="clear" w:color="auto" w:fill="FFFFFF"/>
        </w:rPr>
        <w:t>To complete this task, I will be using Gibbs Reflective Model (1988) to support my reflection process.  I have regular supervision with my Senior Practitioner which enables me to reflect on my practice, ask advice, discuss strengths and address areas for development. I have an open and positive relationship with my senior which I feel aids my confidence as a practitioner.</w:t>
      </w:r>
    </w:p>
    <w:p w14:paraId="19BEA91C" w14:textId="77777777" w:rsidR="0086436D" w:rsidRPr="0086436D" w:rsidRDefault="0086436D" w:rsidP="0086436D">
      <w:pPr>
        <w:overflowPunct/>
        <w:autoSpaceDE/>
        <w:autoSpaceDN/>
        <w:adjustRightInd/>
        <w:jc w:val="center"/>
        <w:textAlignment w:val="auto"/>
        <w:rPr>
          <w:color w:val="500050"/>
          <w:sz w:val="24"/>
          <w:szCs w:val="24"/>
          <w:shd w:val="clear" w:color="auto" w:fill="FFFFFF"/>
        </w:rPr>
      </w:pPr>
      <w:r w:rsidRPr="0086436D">
        <w:rPr>
          <w:b/>
          <w:bCs/>
          <w:sz w:val="24"/>
          <w:szCs w:val="24"/>
          <w:shd w:val="clear" w:color="auto" w:fill="FFFFFF"/>
        </w:rPr>
        <w:t> </w:t>
      </w:r>
    </w:p>
    <w:p w14:paraId="426A53F0" w14:textId="77777777" w:rsidR="0086436D" w:rsidRPr="0086436D" w:rsidRDefault="0086436D" w:rsidP="0086436D">
      <w:pPr>
        <w:overflowPunct/>
        <w:autoSpaceDE/>
        <w:autoSpaceDN/>
        <w:adjustRightInd/>
        <w:textAlignment w:val="auto"/>
        <w:rPr>
          <w:color w:val="500050"/>
          <w:sz w:val="24"/>
          <w:szCs w:val="24"/>
          <w:shd w:val="clear" w:color="auto" w:fill="FFFFFF"/>
        </w:rPr>
      </w:pPr>
      <w:r w:rsidRPr="0086436D">
        <w:rPr>
          <w:sz w:val="24"/>
          <w:szCs w:val="24"/>
          <w:u w:val="single"/>
          <w:shd w:val="clear" w:color="auto" w:fill="FFFFFF"/>
        </w:rPr>
        <w:t>Working collaboratively with service users, carers and professionals</w:t>
      </w:r>
    </w:p>
    <w:p w14:paraId="042303F2" w14:textId="77777777" w:rsidR="0086436D" w:rsidRPr="0086436D" w:rsidRDefault="0086436D" w:rsidP="0086436D">
      <w:pPr>
        <w:shd w:val="clear" w:color="auto" w:fill="FFFFFF"/>
        <w:overflowPunct/>
        <w:autoSpaceDE/>
        <w:autoSpaceDN/>
        <w:adjustRightInd/>
        <w:textAlignment w:val="auto"/>
        <w:rPr>
          <w:color w:val="222222"/>
          <w:sz w:val="24"/>
          <w:szCs w:val="24"/>
        </w:rPr>
      </w:pPr>
      <w:r w:rsidRPr="0086436D">
        <w:rPr>
          <w:sz w:val="24"/>
          <w:szCs w:val="24"/>
        </w:rPr>
        <w:t>As a social worker, one key skill to ensuring we work collaboratively and build positive relationships with service users, carers and professionals is effective communication (Woodcock Ross, 2011). At times, I have found this difficult and overwhelming, particularly in complex situations where emotions are running high, and I am not feeling listened to by families. Professionals at times, are reluctant to share information with families </w:t>
      </w:r>
      <w:r w:rsidRPr="0086436D">
        <w:rPr>
          <w:color w:val="auto"/>
          <w:sz w:val="24"/>
          <w:szCs w:val="24"/>
        </w:rPr>
        <w:t xml:space="preserve">particularly in these emotive situations as they </w:t>
      </w:r>
      <w:r w:rsidRPr="0086436D">
        <w:rPr>
          <w:sz w:val="24"/>
          <w:szCs w:val="24"/>
        </w:rPr>
        <w:t>are concerned about the repercussion it will have so instead information is shared with me. This can cause frustration for not only myself but also the families involved as professionals are not working in an open and transparent way with them.</w:t>
      </w:r>
    </w:p>
    <w:p w14:paraId="4E5B01A7" w14:textId="77777777" w:rsidR="0086436D" w:rsidRPr="0086436D" w:rsidRDefault="0086436D" w:rsidP="0086436D">
      <w:pPr>
        <w:shd w:val="clear" w:color="auto" w:fill="FFFFFF"/>
        <w:overflowPunct/>
        <w:autoSpaceDE/>
        <w:autoSpaceDN/>
        <w:adjustRightInd/>
        <w:textAlignment w:val="auto"/>
        <w:rPr>
          <w:color w:val="222222"/>
          <w:sz w:val="24"/>
          <w:szCs w:val="24"/>
        </w:rPr>
      </w:pPr>
      <w:r w:rsidRPr="0086436D">
        <w:rPr>
          <w:sz w:val="24"/>
          <w:szCs w:val="24"/>
        </w:rPr>
        <w:t> </w:t>
      </w:r>
    </w:p>
    <w:p w14:paraId="145B39FD" w14:textId="77777777" w:rsidR="0086436D" w:rsidRPr="0086436D" w:rsidRDefault="0086436D" w:rsidP="0086436D">
      <w:pPr>
        <w:shd w:val="clear" w:color="auto" w:fill="FFFFFF"/>
        <w:overflowPunct/>
        <w:autoSpaceDE/>
        <w:autoSpaceDN/>
        <w:adjustRightInd/>
        <w:textAlignment w:val="auto"/>
        <w:rPr>
          <w:color w:val="00B050"/>
          <w:sz w:val="24"/>
          <w:szCs w:val="24"/>
        </w:rPr>
      </w:pPr>
      <w:r w:rsidRPr="0086436D">
        <w:rPr>
          <w:sz w:val="24"/>
          <w:szCs w:val="24"/>
        </w:rPr>
        <w:t>Supervision has aided me to reflect on this in a safe environment, my supervisor would challenge my thoughts to aid me to critically reflect on my practice but also move forward in overcoming nerves when challenging profes</w:t>
      </w:r>
      <w:r w:rsidRPr="0086436D">
        <w:rPr>
          <w:color w:val="auto"/>
          <w:sz w:val="24"/>
          <w:szCs w:val="24"/>
        </w:rPr>
        <w:t>sionals</w:t>
      </w:r>
      <w:r w:rsidRPr="0086436D">
        <w:rPr>
          <w:sz w:val="24"/>
          <w:szCs w:val="24"/>
        </w:rPr>
        <w:t>. As this is an area for development, this year my aim is to build my confidence and to support this I am hoping to attend a course around working with aggressive and evasive families. Additional, It has been discussed within supervision that I am given the opportunity to shadow an experienced social worker within multiagency meetings, to gather an understanding of how they deal with challenging professionals in similar circumstances.</w:t>
      </w:r>
    </w:p>
    <w:p w14:paraId="0ACC5BFB" w14:textId="77777777" w:rsidR="0086436D" w:rsidRPr="0086436D" w:rsidRDefault="0086436D" w:rsidP="0086436D">
      <w:pPr>
        <w:shd w:val="clear" w:color="auto" w:fill="FFFFFF"/>
        <w:overflowPunct/>
        <w:autoSpaceDE/>
        <w:autoSpaceDN/>
        <w:adjustRightInd/>
        <w:textAlignment w:val="auto"/>
        <w:rPr>
          <w:color w:val="00B050"/>
          <w:sz w:val="24"/>
          <w:szCs w:val="24"/>
        </w:rPr>
      </w:pPr>
    </w:p>
    <w:p w14:paraId="5CF16115" w14:textId="77777777" w:rsidR="0086436D" w:rsidRPr="0086436D" w:rsidRDefault="0086436D" w:rsidP="0086436D">
      <w:pPr>
        <w:overflowPunct/>
        <w:autoSpaceDE/>
        <w:autoSpaceDN/>
        <w:adjustRightInd/>
        <w:jc w:val="both"/>
        <w:textAlignment w:val="auto"/>
        <w:rPr>
          <w:color w:val="500050"/>
          <w:sz w:val="24"/>
          <w:szCs w:val="24"/>
          <w:shd w:val="clear" w:color="auto" w:fill="FFFFFF"/>
        </w:rPr>
      </w:pPr>
      <w:r w:rsidRPr="0086436D">
        <w:rPr>
          <w:shd w:val="clear" w:color="auto" w:fill="FFFFFF"/>
        </w:rPr>
        <w:t> </w:t>
      </w:r>
    </w:p>
    <w:p w14:paraId="3326459C" w14:textId="77777777" w:rsidR="0086436D" w:rsidRPr="0086436D" w:rsidRDefault="0086436D" w:rsidP="0086436D">
      <w:pPr>
        <w:overflowPunct/>
        <w:autoSpaceDE/>
        <w:autoSpaceDN/>
        <w:adjustRightInd/>
        <w:jc w:val="both"/>
        <w:textAlignment w:val="auto"/>
        <w:rPr>
          <w:color w:val="500050"/>
          <w:sz w:val="24"/>
          <w:szCs w:val="24"/>
          <w:shd w:val="clear" w:color="auto" w:fill="FFFFFF"/>
        </w:rPr>
      </w:pPr>
      <w:r w:rsidRPr="0086436D">
        <w:rPr>
          <w:sz w:val="24"/>
          <w:szCs w:val="24"/>
          <w:u w:val="single"/>
          <w:shd w:val="clear" w:color="auto" w:fill="FFFFFF"/>
        </w:rPr>
        <w:lastRenderedPageBreak/>
        <w:t>Applying analysis in assessment to inform interventions and Intervention and application of professional judgement in increasingly complex situations</w:t>
      </w:r>
    </w:p>
    <w:p w14:paraId="5E49497C" w14:textId="77777777" w:rsidR="0086436D" w:rsidRPr="0086436D" w:rsidRDefault="0086436D" w:rsidP="0086436D">
      <w:pPr>
        <w:overflowPunct/>
        <w:autoSpaceDE/>
        <w:autoSpaceDN/>
        <w:adjustRightInd/>
        <w:textAlignment w:val="auto"/>
        <w:rPr>
          <w:color w:val="500050"/>
          <w:sz w:val="24"/>
          <w:szCs w:val="24"/>
          <w:shd w:val="clear" w:color="auto" w:fill="FFFFFF"/>
        </w:rPr>
      </w:pPr>
      <w:r w:rsidRPr="0086436D">
        <w:rPr>
          <w:shd w:val="clear" w:color="auto" w:fill="FFFFFF"/>
        </w:rPr>
        <w:t> </w:t>
      </w:r>
    </w:p>
    <w:p w14:paraId="3C9515C1" w14:textId="77777777" w:rsidR="0086436D" w:rsidRPr="0086436D" w:rsidRDefault="0086436D" w:rsidP="0086436D">
      <w:pPr>
        <w:shd w:val="clear" w:color="auto" w:fill="FFFFFF"/>
        <w:overflowPunct/>
        <w:autoSpaceDE/>
        <w:autoSpaceDN/>
        <w:adjustRightInd/>
        <w:textAlignment w:val="auto"/>
        <w:rPr>
          <w:sz w:val="24"/>
          <w:szCs w:val="24"/>
        </w:rPr>
      </w:pPr>
      <w:r w:rsidRPr="0086436D">
        <w:rPr>
          <w:sz w:val="24"/>
          <w:szCs w:val="24"/>
        </w:rPr>
        <w:t>Working within the field of child protection, ‘the process of assessment is core’ (</w:t>
      </w:r>
      <w:proofErr w:type="spellStart"/>
      <w:r w:rsidRPr="0086436D">
        <w:rPr>
          <w:sz w:val="24"/>
          <w:szCs w:val="24"/>
        </w:rPr>
        <w:t>Coulshed</w:t>
      </w:r>
      <w:proofErr w:type="spellEnd"/>
      <w:r w:rsidRPr="0086436D">
        <w:rPr>
          <w:sz w:val="24"/>
          <w:szCs w:val="24"/>
        </w:rPr>
        <w:t xml:space="preserve"> and Orme, 2006). I am required to gather, assess and analyse information within an assessment, either as a one of event or ongoing process. When completing assessments, I utilise the Exchange model approach, here families feel experts of their own needs and empowered to participate in the assessment (Smale et Al., 1993). I have regular case discussions with my colleagues and senior practitioners to discuss and reflect decision making, what went well and not so well and what would I do differently. During a recent supervision, I have asked to observe and conduct some more Section 47 investigations (Children Act, 1989) to aid my assessment skills, observing others during the process but also leading the investigation to again gain more confidence in this area. Additionally, a further development point is to ensure the voice of the child is heard within the assessment process, when a parent has substantial needs I have found it difficult to keep the child at the heart of the assessment.</w:t>
      </w:r>
    </w:p>
    <w:p w14:paraId="123493DF" w14:textId="0DB4D575" w:rsidR="0086436D" w:rsidRPr="0086436D" w:rsidRDefault="0086436D" w:rsidP="0086436D">
      <w:pPr>
        <w:shd w:val="clear" w:color="auto" w:fill="FFFFFF"/>
        <w:overflowPunct/>
        <w:autoSpaceDE/>
        <w:autoSpaceDN/>
        <w:adjustRightInd/>
        <w:textAlignment w:val="auto"/>
        <w:rPr>
          <w:color w:val="222222"/>
          <w:sz w:val="24"/>
          <w:szCs w:val="24"/>
        </w:rPr>
      </w:pPr>
    </w:p>
    <w:p w14:paraId="06198F62" w14:textId="77777777" w:rsidR="0086436D" w:rsidRPr="0086436D" w:rsidRDefault="0086436D" w:rsidP="0086436D">
      <w:pPr>
        <w:shd w:val="clear" w:color="auto" w:fill="FFFFFF"/>
        <w:overflowPunct/>
        <w:autoSpaceDE/>
        <w:autoSpaceDN/>
        <w:adjustRightInd/>
        <w:textAlignment w:val="auto"/>
        <w:rPr>
          <w:sz w:val="24"/>
          <w:szCs w:val="24"/>
        </w:rPr>
      </w:pPr>
      <w:r w:rsidRPr="0086436D">
        <w:rPr>
          <w:color w:val="auto"/>
          <w:sz w:val="24"/>
          <w:szCs w:val="24"/>
        </w:rPr>
        <w:t xml:space="preserve">During this role I have been tasked with undertaking assessments for families within the court arena. Here I will be observing contacts between family members to inform assessments and decisions about whether children should return to their parents or not. I have found this work difficult at times, doubting my decision-making skills. Moving forward, to support reflection with this complex situation and </w:t>
      </w:r>
      <w:r w:rsidRPr="0086436D">
        <w:rPr>
          <w:sz w:val="24"/>
          <w:szCs w:val="24"/>
        </w:rPr>
        <w:t>I am going to use a new model of reflection, the ladder of inference (Argyris and Schon 1974). I am going to learn this new model as I feel it will support me to ensure I can address and analyse my own feelings within the complex situation. I am aware of the power imbalance when working with families and during supervisions discuss the importance of ensuring my professional judgement and work is evidenced based.</w:t>
      </w:r>
    </w:p>
    <w:p w14:paraId="1D9E4D03" w14:textId="6D6D95C9" w:rsidR="0086436D" w:rsidRDefault="0086436D" w:rsidP="0086436D">
      <w:pPr>
        <w:shd w:val="clear" w:color="auto" w:fill="FFFFFF"/>
        <w:overflowPunct/>
        <w:autoSpaceDE/>
        <w:autoSpaceDN/>
        <w:adjustRightInd/>
        <w:textAlignment w:val="auto"/>
        <w:rPr>
          <w:sz w:val="24"/>
          <w:szCs w:val="24"/>
        </w:rPr>
      </w:pPr>
    </w:p>
    <w:p w14:paraId="20182746" w14:textId="59A76798" w:rsidR="0086436D" w:rsidRDefault="0086436D" w:rsidP="0086436D">
      <w:pPr>
        <w:shd w:val="clear" w:color="auto" w:fill="FFFFFF"/>
        <w:overflowPunct/>
        <w:autoSpaceDE/>
        <w:autoSpaceDN/>
        <w:adjustRightInd/>
        <w:textAlignment w:val="auto"/>
        <w:rPr>
          <w:sz w:val="24"/>
          <w:szCs w:val="24"/>
        </w:rPr>
      </w:pPr>
    </w:p>
    <w:p w14:paraId="063E10C8" w14:textId="5CEABB82" w:rsidR="0086436D" w:rsidRPr="0086436D" w:rsidRDefault="0086436D" w:rsidP="0086436D">
      <w:pPr>
        <w:shd w:val="clear" w:color="auto" w:fill="FFFFFF"/>
        <w:overflowPunct/>
        <w:autoSpaceDE/>
        <w:autoSpaceDN/>
        <w:adjustRightInd/>
        <w:textAlignment w:val="auto"/>
        <w:rPr>
          <w:sz w:val="24"/>
          <w:szCs w:val="24"/>
        </w:rPr>
      </w:pPr>
      <w:r>
        <w:rPr>
          <w:sz w:val="24"/>
          <w:szCs w:val="24"/>
        </w:rPr>
        <w:t xml:space="preserve">Wordcount - </w:t>
      </w:r>
    </w:p>
    <w:p w14:paraId="5CFD3E96" w14:textId="77777777" w:rsidR="0086436D" w:rsidRPr="0086436D" w:rsidRDefault="0086436D" w:rsidP="0086436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7FDE856D" w14:textId="563AA3BC" w:rsidR="00F22AC5" w:rsidRPr="008B28E7" w:rsidRDefault="008C7770" w:rsidP="0093018C">
      <w:pPr>
        <w:jc w:val="center"/>
        <w:rPr>
          <w:b/>
          <w:sz w:val="24"/>
          <w:szCs w:val="24"/>
        </w:rPr>
      </w:pPr>
      <w:r w:rsidRPr="001B7217">
        <w:rPr>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232B675F"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86436D">
        <w:rPr>
          <w:sz w:val="24"/>
          <w:szCs w:val="24"/>
        </w:rPr>
        <w:t>13/07/2021</w:t>
      </w:r>
    </w:p>
    <w:p w14:paraId="3A5D8EB1" w14:textId="77777777" w:rsidR="00E91F62" w:rsidRPr="008B28E7" w:rsidRDefault="00E91F62" w:rsidP="00FF7EBB">
      <w:pPr>
        <w:jc w:val="both"/>
        <w:rPr>
          <w:b/>
          <w:sz w:val="24"/>
          <w:szCs w:val="24"/>
        </w:rPr>
      </w:pPr>
    </w:p>
    <w:p w14:paraId="6260BBC8" w14:textId="77777777" w:rsidR="000A50EE" w:rsidRDefault="000A50EE" w:rsidP="00FF7EBB">
      <w:pPr>
        <w:jc w:val="both"/>
        <w:rPr>
          <w:b/>
          <w:sz w:val="24"/>
          <w:szCs w:val="24"/>
        </w:rPr>
      </w:pPr>
    </w:p>
    <w:p w14:paraId="063FE43F" w14:textId="77777777" w:rsidR="000A50EE" w:rsidRDefault="000A50EE" w:rsidP="00FF7EBB">
      <w:pPr>
        <w:jc w:val="both"/>
        <w:rPr>
          <w:b/>
          <w:sz w:val="24"/>
          <w:szCs w:val="24"/>
        </w:rPr>
      </w:pPr>
    </w:p>
    <w:p w14:paraId="6AE7BA5C" w14:textId="77777777" w:rsidR="000A50EE" w:rsidRDefault="000A50EE" w:rsidP="00FF7EBB">
      <w:pPr>
        <w:jc w:val="both"/>
        <w:rPr>
          <w:b/>
          <w:sz w:val="24"/>
          <w:szCs w:val="24"/>
        </w:rPr>
      </w:pPr>
    </w:p>
    <w:p w14:paraId="367A8C26" w14:textId="77777777" w:rsidR="000A50EE" w:rsidRDefault="000A50EE" w:rsidP="00FF7EBB">
      <w:pPr>
        <w:jc w:val="both"/>
        <w:rPr>
          <w:b/>
          <w:sz w:val="24"/>
          <w:szCs w:val="24"/>
        </w:rPr>
      </w:pPr>
    </w:p>
    <w:p w14:paraId="63042E89" w14:textId="77777777" w:rsidR="000A50EE" w:rsidRDefault="000A50EE" w:rsidP="00FF7EBB">
      <w:pPr>
        <w:jc w:val="both"/>
        <w:rPr>
          <w:b/>
          <w:sz w:val="24"/>
          <w:szCs w:val="24"/>
        </w:rPr>
      </w:pPr>
    </w:p>
    <w:p w14:paraId="15DC3450" w14:textId="77777777" w:rsidR="000A50EE" w:rsidRDefault="000A50EE" w:rsidP="00FF7EBB">
      <w:pPr>
        <w:jc w:val="both"/>
        <w:rPr>
          <w:b/>
          <w:sz w:val="24"/>
          <w:szCs w:val="24"/>
        </w:rPr>
      </w:pPr>
    </w:p>
    <w:p w14:paraId="290BBB12" w14:textId="77777777" w:rsidR="000A50EE" w:rsidRDefault="000A50EE" w:rsidP="00FF7EBB">
      <w:pPr>
        <w:jc w:val="both"/>
        <w:rPr>
          <w:b/>
          <w:sz w:val="24"/>
          <w:szCs w:val="24"/>
        </w:rPr>
      </w:pPr>
    </w:p>
    <w:p w14:paraId="21EBA22B" w14:textId="77777777" w:rsidR="000A50EE" w:rsidRDefault="000A50EE" w:rsidP="00FF7EBB">
      <w:pPr>
        <w:jc w:val="both"/>
        <w:rPr>
          <w:b/>
          <w:sz w:val="24"/>
          <w:szCs w:val="24"/>
        </w:rPr>
      </w:pPr>
    </w:p>
    <w:p w14:paraId="433E244B" w14:textId="77777777" w:rsidR="000A50EE" w:rsidRDefault="000A50EE" w:rsidP="00FF7EBB">
      <w:pPr>
        <w:jc w:val="both"/>
        <w:rPr>
          <w:b/>
          <w:sz w:val="24"/>
          <w:szCs w:val="24"/>
        </w:rPr>
      </w:pPr>
    </w:p>
    <w:p w14:paraId="0C17B982" w14:textId="77777777" w:rsidR="000A50EE" w:rsidRDefault="000A50EE" w:rsidP="00FF7EBB">
      <w:pPr>
        <w:jc w:val="both"/>
        <w:rPr>
          <w:b/>
          <w:sz w:val="24"/>
          <w:szCs w:val="24"/>
        </w:rPr>
      </w:pPr>
    </w:p>
    <w:p w14:paraId="458E65D0" w14:textId="77777777" w:rsidR="000A50EE" w:rsidRDefault="000A50EE" w:rsidP="00FF7EBB">
      <w:pPr>
        <w:jc w:val="both"/>
        <w:rPr>
          <w:b/>
          <w:sz w:val="24"/>
          <w:szCs w:val="24"/>
        </w:rPr>
      </w:pPr>
    </w:p>
    <w:p w14:paraId="1BCEB83D" w14:textId="77777777" w:rsidR="000A50EE" w:rsidRDefault="000A50EE" w:rsidP="00FF7EBB">
      <w:pPr>
        <w:jc w:val="both"/>
        <w:rPr>
          <w:b/>
          <w:sz w:val="24"/>
          <w:szCs w:val="24"/>
        </w:rPr>
      </w:pPr>
    </w:p>
    <w:p w14:paraId="6CD6F55C" w14:textId="77777777" w:rsidR="000A50EE" w:rsidRDefault="000A50EE" w:rsidP="00FF7EBB">
      <w:pPr>
        <w:jc w:val="both"/>
        <w:rPr>
          <w:b/>
          <w:sz w:val="24"/>
          <w:szCs w:val="24"/>
        </w:rPr>
      </w:pPr>
    </w:p>
    <w:p w14:paraId="5DAB4CE9" w14:textId="77777777" w:rsidR="000A50EE" w:rsidRDefault="000A50EE" w:rsidP="00FF7EBB">
      <w:pPr>
        <w:jc w:val="both"/>
        <w:rPr>
          <w:b/>
          <w:sz w:val="24"/>
          <w:szCs w:val="24"/>
        </w:rPr>
      </w:pPr>
    </w:p>
    <w:p w14:paraId="48E469F4" w14:textId="77777777" w:rsidR="000A50EE" w:rsidRDefault="000A50EE" w:rsidP="00FF7EBB">
      <w:pPr>
        <w:jc w:val="both"/>
        <w:rPr>
          <w:b/>
          <w:sz w:val="24"/>
          <w:szCs w:val="24"/>
        </w:rPr>
      </w:pPr>
    </w:p>
    <w:p w14:paraId="03CA28F5" w14:textId="77777777" w:rsidR="000A50EE" w:rsidRDefault="000A50EE" w:rsidP="00FF7EBB">
      <w:pPr>
        <w:jc w:val="both"/>
        <w:rPr>
          <w:b/>
          <w:sz w:val="24"/>
          <w:szCs w:val="24"/>
        </w:rPr>
      </w:pPr>
    </w:p>
    <w:p w14:paraId="62A8AF02" w14:textId="77777777" w:rsidR="000A50EE" w:rsidRDefault="000A50EE" w:rsidP="00FF7EBB">
      <w:pPr>
        <w:jc w:val="both"/>
        <w:rPr>
          <w:b/>
          <w:sz w:val="24"/>
          <w:szCs w:val="24"/>
        </w:rPr>
      </w:pPr>
    </w:p>
    <w:p w14:paraId="78228871" w14:textId="77777777" w:rsidR="000A50EE" w:rsidRDefault="000A50EE" w:rsidP="00FF7EBB">
      <w:pPr>
        <w:jc w:val="both"/>
        <w:rPr>
          <w:b/>
          <w:sz w:val="24"/>
          <w:szCs w:val="24"/>
        </w:rPr>
      </w:pPr>
    </w:p>
    <w:p w14:paraId="3237F996" w14:textId="7C4EDA88" w:rsidR="00F22AC5" w:rsidRDefault="00AB5518" w:rsidP="00FF7EB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1889A6A7" w14:textId="77777777" w:rsidR="00551EA2" w:rsidRDefault="00551EA2" w:rsidP="00FF7EBB">
            <w:pPr>
              <w:jc w:val="both"/>
              <w:rPr>
                <w:i/>
                <w:sz w:val="24"/>
                <w:szCs w:val="24"/>
              </w:rPr>
            </w:pPr>
          </w:p>
          <w:p w14:paraId="39B5D8DE" w14:textId="7AC5FD0C" w:rsidR="00551EA2" w:rsidRPr="008B28E7" w:rsidRDefault="00551EA2"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5FD94CC3" w14:textId="35202AB2" w:rsidR="000A50EE" w:rsidRDefault="000A50EE" w:rsidP="000A50EE">
      <w:pPr>
        <w:jc w:val="both"/>
        <w:rPr>
          <w:iCs/>
          <w:sz w:val="24"/>
          <w:szCs w:val="24"/>
        </w:rPr>
      </w:pPr>
      <w:r>
        <w:rPr>
          <w:iCs/>
          <w:sz w:val="24"/>
          <w:szCs w:val="24"/>
        </w:rPr>
        <w:t xml:space="preserve">The objective of the visit was to undertake a statutory visit and obtain the young person’s wishes and feelings </w:t>
      </w:r>
      <w:r w:rsidR="004D22AE">
        <w:rPr>
          <w:iCs/>
          <w:sz w:val="24"/>
          <w:szCs w:val="24"/>
        </w:rPr>
        <w:t>regarding</w:t>
      </w:r>
      <w:r>
        <w:rPr>
          <w:iCs/>
          <w:sz w:val="24"/>
          <w:szCs w:val="24"/>
        </w:rPr>
        <w:t xml:space="preserve"> contact with her parents. Due to the young person being looked after by the Local Authority, she is to </w:t>
      </w:r>
      <w:r w:rsidR="004D22AE">
        <w:rPr>
          <w:iCs/>
          <w:sz w:val="24"/>
          <w:szCs w:val="24"/>
        </w:rPr>
        <w:t xml:space="preserve">be seen at a minimum, every 6 weeks. </w:t>
      </w:r>
      <w:r>
        <w:rPr>
          <w:iCs/>
          <w:sz w:val="24"/>
          <w:szCs w:val="24"/>
        </w:rPr>
        <w:t xml:space="preserve">For the purpose of the exercise, the young person will be referred to as </w:t>
      </w:r>
      <w:r w:rsidR="001411AB">
        <w:rPr>
          <w:iCs/>
          <w:sz w:val="24"/>
          <w:szCs w:val="24"/>
        </w:rPr>
        <w:t>B</w:t>
      </w:r>
      <w:r>
        <w:rPr>
          <w:iCs/>
          <w:sz w:val="24"/>
          <w:szCs w:val="24"/>
        </w:rPr>
        <w:t>.</w:t>
      </w:r>
    </w:p>
    <w:p w14:paraId="18C49C03" w14:textId="49A1EDFD" w:rsidR="000A50EE" w:rsidRDefault="000A50EE" w:rsidP="000A50EE">
      <w:pPr>
        <w:jc w:val="both"/>
        <w:rPr>
          <w:iCs/>
          <w:sz w:val="24"/>
          <w:szCs w:val="24"/>
        </w:rPr>
      </w:pPr>
    </w:p>
    <w:p w14:paraId="00D569E4" w14:textId="50F5196D" w:rsidR="00D55DE0" w:rsidRDefault="001411AB" w:rsidP="00FF7EBB">
      <w:pPr>
        <w:jc w:val="both"/>
        <w:rPr>
          <w:iCs/>
          <w:sz w:val="24"/>
          <w:szCs w:val="24"/>
        </w:rPr>
      </w:pPr>
      <w:r>
        <w:rPr>
          <w:iCs/>
          <w:sz w:val="24"/>
          <w:szCs w:val="24"/>
        </w:rPr>
        <w:t>B</w:t>
      </w:r>
      <w:r w:rsidR="000A50EE">
        <w:rPr>
          <w:iCs/>
          <w:sz w:val="24"/>
          <w:szCs w:val="24"/>
        </w:rPr>
        <w:t xml:space="preserve"> is a young female</w:t>
      </w:r>
      <w:r w:rsidR="004D22AE">
        <w:rPr>
          <w:iCs/>
          <w:sz w:val="24"/>
          <w:szCs w:val="24"/>
        </w:rPr>
        <w:t xml:space="preserve">. </w:t>
      </w:r>
      <w:r>
        <w:rPr>
          <w:iCs/>
          <w:sz w:val="24"/>
          <w:szCs w:val="24"/>
        </w:rPr>
        <w:t xml:space="preserve">B </w:t>
      </w:r>
      <w:r w:rsidR="000A50EE">
        <w:rPr>
          <w:iCs/>
          <w:sz w:val="24"/>
          <w:szCs w:val="24"/>
        </w:rPr>
        <w:t>is in the</w:t>
      </w:r>
      <w:r w:rsidR="004D22AE">
        <w:rPr>
          <w:iCs/>
          <w:sz w:val="24"/>
          <w:szCs w:val="24"/>
        </w:rPr>
        <w:t xml:space="preserve"> care of the</w:t>
      </w:r>
      <w:r w:rsidR="000A50EE">
        <w:rPr>
          <w:iCs/>
          <w:sz w:val="24"/>
          <w:szCs w:val="24"/>
        </w:rPr>
        <w:t xml:space="preserve"> Local Authority</w:t>
      </w:r>
      <w:r w:rsidR="004D22AE">
        <w:rPr>
          <w:iCs/>
          <w:sz w:val="24"/>
          <w:szCs w:val="24"/>
        </w:rPr>
        <w:t xml:space="preserve"> </w:t>
      </w:r>
      <w:r w:rsidR="000A50EE">
        <w:rPr>
          <w:iCs/>
          <w:sz w:val="24"/>
          <w:szCs w:val="24"/>
        </w:rPr>
        <w:t>under a S</w:t>
      </w:r>
      <w:r w:rsidR="004D22AE">
        <w:rPr>
          <w:iCs/>
          <w:sz w:val="24"/>
          <w:szCs w:val="24"/>
        </w:rPr>
        <w:t>ection 76 of</w:t>
      </w:r>
      <w:r w:rsidR="000A50EE">
        <w:rPr>
          <w:iCs/>
          <w:sz w:val="24"/>
          <w:szCs w:val="24"/>
        </w:rPr>
        <w:t xml:space="preserve"> the Social Services and Wellbeing Act, 2014</w:t>
      </w:r>
      <w:r>
        <w:rPr>
          <w:iCs/>
          <w:sz w:val="24"/>
          <w:szCs w:val="24"/>
        </w:rPr>
        <w:t xml:space="preserve"> due to a breakdown in relationship between her and her parents. B’s parents felt that they could no longer have B in their </w:t>
      </w:r>
      <w:r w:rsidR="00780A4B">
        <w:rPr>
          <w:iCs/>
          <w:sz w:val="24"/>
          <w:szCs w:val="24"/>
        </w:rPr>
        <w:t>care,</w:t>
      </w:r>
      <w:r>
        <w:rPr>
          <w:iCs/>
          <w:sz w:val="24"/>
          <w:szCs w:val="24"/>
        </w:rPr>
        <w:t xml:space="preserve"> and she was beyond parental control.</w:t>
      </w:r>
    </w:p>
    <w:p w14:paraId="0F6401D2" w14:textId="0AA6816D" w:rsidR="001411AB" w:rsidRDefault="001411AB" w:rsidP="00FF7EBB">
      <w:pPr>
        <w:jc w:val="both"/>
        <w:rPr>
          <w:iCs/>
          <w:sz w:val="24"/>
          <w:szCs w:val="24"/>
        </w:rPr>
      </w:pPr>
    </w:p>
    <w:p w14:paraId="164BEF27" w14:textId="4965C49F" w:rsidR="00D55DE0" w:rsidRDefault="001411AB" w:rsidP="00FF7EBB">
      <w:pPr>
        <w:jc w:val="both"/>
        <w:rPr>
          <w:iCs/>
          <w:sz w:val="24"/>
          <w:szCs w:val="24"/>
        </w:rPr>
      </w:pPr>
      <w:r>
        <w:rPr>
          <w:iCs/>
          <w:sz w:val="24"/>
          <w:szCs w:val="24"/>
        </w:rPr>
        <w:t>The observer and I met with B at her residential placement. I spoke with B prior to the visit and asked if she agreed to the observer to attending the visit with me. I also consulted B’s parents as they still have PR for B to ensure they agreed to the visit being observed</w:t>
      </w:r>
      <w:r w:rsidR="00462544">
        <w:rPr>
          <w:iCs/>
          <w:sz w:val="24"/>
          <w:szCs w:val="24"/>
        </w:rPr>
        <w:t xml:space="preserve"> and residential care staff, so they were aware</w:t>
      </w:r>
      <w:r>
        <w:rPr>
          <w:iCs/>
          <w:sz w:val="24"/>
          <w:szCs w:val="24"/>
        </w:rPr>
        <w:t>.</w:t>
      </w:r>
      <w:r w:rsidR="00462544">
        <w:rPr>
          <w:iCs/>
          <w:sz w:val="24"/>
          <w:szCs w:val="24"/>
        </w:rPr>
        <w:t xml:space="preserve"> When the observer and I arrived at the residential home, B was already aware of why I had someone with me, and this put her at ease. The majority of the observation took place in the living room area. </w:t>
      </w:r>
    </w:p>
    <w:p w14:paraId="51D7EAF9" w14:textId="77777777" w:rsidR="001411AB" w:rsidRDefault="001411AB" w:rsidP="00FF7EBB">
      <w:pPr>
        <w:jc w:val="both"/>
        <w:rPr>
          <w:sz w:val="24"/>
          <w:szCs w:val="24"/>
        </w:rPr>
      </w:pPr>
    </w:p>
    <w:p w14:paraId="7A225BCB" w14:textId="5B585E36" w:rsidR="00D55DE0" w:rsidRDefault="001411AB" w:rsidP="00FF7EBB">
      <w:pPr>
        <w:jc w:val="both"/>
        <w:rPr>
          <w:sz w:val="24"/>
          <w:szCs w:val="24"/>
        </w:rPr>
      </w:pPr>
      <w:r>
        <w:rPr>
          <w:sz w:val="24"/>
          <w:szCs w:val="24"/>
        </w:rPr>
        <w:t>B is residing within a residential placement in a small North Wales town</w:t>
      </w:r>
      <w:r w:rsidR="003D7C76">
        <w:rPr>
          <w:sz w:val="24"/>
          <w:szCs w:val="24"/>
        </w:rPr>
        <w:t xml:space="preserve"> with English being her first language</w:t>
      </w:r>
      <w:r>
        <w:rPr>
          <w:sz w:val="24"/>
          <w:szCs w:val="24"/>
        </w:rPr>
        <w:t xml:space="preserve">. B is very aware of the area as it is the area she has grown up in with her parents. It was felt that a placement close to her parents may aid a reunification </w:t>
      </w:r>
      <w:r w:rsidR="00780A4B">
        <w:rPr>
          <w:sz w:val="24"/>
          <w:szCs w:val="24"/>
        </w:rPr>
        <w:t xml:space="preserve">plan for B and her parents. Keeping B in the same area ensured that B could </w:t>
      </w:r>
      <w:r w:rsidR="00462544">
        <w:rPr>
          <w:sz w:val="24"/>
          <w:szCs w:val="24"/>
        </w:rPr>
        <w:t xml:space="preserve">also </w:t>
      </w:r>
      <w:r w:rsidR="00780A4B">
        <w:rPr>
          <w:sz w:val="24"/>
          <w:szCs w:val="24"/>
        </w:rPr>
        <w:t xml:space="preserve">continue to access her educational setting and meet her identity needs. </w:t>
      </w:r>
    </w:p>
    <w:p w14:paraId="68231DF9" w14:textId="2641C9ED" w:rsidR="00204A26" w:rsidRDefault="00204A26" w:rsidP="00FF7EBB">
      <w:pPr>
        <w:jc w:val="both"/>
        <w:rPr>
          <w:sz w:val="24"/>
          <w:szCs w:val="24"/>
        </w:rPr>
      </w:pPr>
    </w:p>
    <w:p w14:paraId="44EC553A" w14:textId="6DD25F2C" w:rsidR="00204A26" w:rsidRDefault="00204A26" w:rsidP="00FF7EBB">
      <w:pPr>
        <w:jc w:val="both"/>
        <w:rPr>
          <w:sz w:val="24"/>
          <w:szCs w:val="24"/>
        </w:rPr>
      </w:pPr>
      <w:r>
        <w:rPr>
          <w:sz w:val="24"/>
          <w:szCs w:val="24"/>
        </w:rPr>
        <w:t>Word Count - 300</w:t>
      </w: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2B1D0B1C" w14:textId="77777777" w:rsidR="002A6632" w:rsidRDefault="002A6632" w:rsidP="00FF7EBB">
      <w:pPr>
        <w:jc w:val="both"/>
        <w:rPr>
          <w:b/>
          <w:sz w:val="24"/>
          <w:szCs w:val="24"/>
        </w:rPr>
      </w:pPr>
    </w:p>
    <w:p w14:paraId="3C439972" w14:textId="77777777" w:rsidR="009B7EA7" w:rsidRPr="009B7EA7" w:rsidRDefault="009B7EA7" w:rsidP="009B7EA7">
      <w:pPr>
        <w:jc w:val="both"/>
        <w:rPr>
          <w:bCs/>
          <w:sz w:val="24"/>
          <w:szCs w:val="24"/>
        </w:rPr>
      </w:pPr>
      <w:r w:rsidRPr="009B7EA7">
        <w:rPr>
          <w:bCs/>
          <w:sz w:val="24"/>
          <w:szCs w:val="24"/>
        </w:rPr>
        <w:t xml:space="preserve">Within social work direct work with children is an important part to my role to ensure children’s wishes and feelings are ascertained and heard (Tait and </w:t>
      </w:r>
      <w:proofErr w:type="spellStart"/>
      <w:r w:rsidRPr="009B7EA7">
        <w:rPr>
          <w:bCs/>
          <w:sz w:val="24"/>
          <w:szCs w:val="24"/>
        </w:rPr>
        <w:t>Wosu</w:t>
      </w:r>
      <w:proofErr w:type="spellEnd"/>
      <w:r w:rsidRPr="009B7EA7">
        <w:rPr>
          <w:bCs/>
          <w:sz w:val="24"/>
          <w:szCs w:val="24"/>
        </w:rPr>
        <w:t>, 2013), practicing in a child-centred manner to ensure their perspectives are ‘central to service planning and delivery’ (Woodcock Ross, 2011).</w:t>
      </w:r>
    </w:p>
    <w:p w14:paraId="08628408" w14:textId="77777777" w:rsidR="009B7EA7" w:rsidRPr="009B7EA7" w:rsidRDefault="009B7EA7" w:rsidP="009B7EA7">
      <w:pPr>
        <w:jc w:val="both"/>
        <w:rPr>
          <w:bCs/>
          <w:sz w:val="24"/>
          <w:szCs w:val="24"/>
        </w:rPr>
      </w:pPr>
    </w:p>
    <w:p w14:paraId="466FE3AC" w14:textId="5D90A863" w:rsidR="009B7EA7" w:rsidRPr="009B7EA7" w:rsidRDefault="009B7EA7" w:rsidP="009B7EA7">
      <w:pPr>
        <w:jc w:val="both"/>
        <w:rPr>
          <w:bCs/>
          <w:sz w:val="24"/>
          <w:szCs w:val="24"/>
        </w:rPr>
      </w:pPr>
      <w:r w:rsidRPr="009B7EA7">
        <w:rPr>
          <w:bCs/>
          <w:sz w:val="24"/>
          <w:szCs w:val="24"/>
        </w:rPr>
        <w:t xml:space="preserve">Prior to the visit, it was vital that I planned the visit, so the objectives and the purpose of the visit was clear. I had already spoken to B prior to my visit to gain consent regarding the appointment being observed. B is quite an anxious young person and has difficulties in building new relationships due to the fear of rejection. In B’s perspective she has been rejected by both her birth and adoptive parents, Maclean and Harrison, 2015 write ‘where a child has parents who do not make the child feel secure or where attachments have been ruptured there is a significant risk of the child having difficulty with a range of relationships and their problem solving and coping skills can be poorer.’ B wanted to know what is going to be discussed so she is aware and can have time to prepare her responses. I told B that I wanted to discuss her views around contact with her parents and complete an ‘All About Me’ piece of direct work. Ascertaining B’s views, understanding her situation and desired outcomes supports in building a positive relationship with B, particularly if she feels valued and listened to. </w:t>
      </w:r>
    </w:p>
    <w:p w14:paraId="4D7E233D" w14:textId="77777777" w:rsidR="009B7EA7" w:rsidRPr="009B7EA7" w:rsidRDefault="009B7EA7" w:rsidP="009B7EA7">
      <w:pPr>
        <w:jc w:val="both"/>
        <w:rPr>
          <w:bCs/>
          <w:sz w:val="24"/>
          <w:szCs w:val="24"/>
        </w:rPr>
      </w:pPr>
    </w:p>
    <w:p w14:paraId="7B1AA842" w14:textId="77777777" w:rsidR="009B7EA7" w:rsidRPr="009B7EA7" w:rsidRDefault="009B7EA7" w:rsidP="009B7EA7">
      <w:pPr>
        <w:jc w:val="both"/>
        <w:rPr>
          <w:bCs/>
          <w:sz w:val="24"/>
          <w:szCs w:val="24"/>
        </w:rPr>
      </w:pPr>
      <w:r w:rsidRPr="009B7EA7">
        <w:rPr>
          <w:bCs/>
          <w:sz w:val="24"/>
          <w:szCs w:val="24"/>
        </w:rPr>
        <w:t xml:space="preserve">B’s parents were also informed of the objectives of the visit, although B is not currently residing with them, they do still hold parental responsibility for her. </w:t>
      </w:r>
      <w:proofErr w:type="spellStart"/>
      <w:r w:rsidRPr="009B7EA7">
        <w:rPr>
          <w:bCs/>
          <w:sz w:val="24"/>
          <w:szCs w:val="24"/>
        </w:rPr>
        <w:t>Blakewell</w:t>
      </w:r>
      <w:proofErr w:type="spellEnd"/>
      <w:r w:rsidRPr="009B7EA7">
        <w:rPr>
          <w:bCs/>
          <w:sz w:val="24"/>
          <w:szCs w:val="24"/>
        </w:rPr>
        <w:t>, 2019 discusses how parents of Children Looked After, can often feel confused about processes and can be hesitant in asking for advice or clarity. Therefore, it is important to keep B’s parents informed of plans, this also encouraged an open and honest working relationship with parents. My visit was arranged with B’s keyworker to ensure the visit would not conflict with other appointments and B would be home. I was aware that B enjoyed spending her free time with her peers therefore I was mindful of my timekeeping and ensured I got to the visit at the agreed time set.</w:t>
      </w:r>
    </w:p>
    <w:p w14:paraId="48B5E8A8" w14:textId="77777777" w:rsidR="009B7EA7" w:rsidRPr="009B7EA7" w:rsidRDefault="009B7EA7" w:rsidP="009B7EA7">
      <w:pPr>
        <w:jc w:val="both"/>
        <w:rPr>
          <w:bCs/>
          <w:sz w:val="24"/>
          <w:szCs w:val="24"/>
        </w:rPr>
      </w:pPr>
    </w:p>
    <w:p w14:paraId="05AB5877" w14:textId="77777777" w:rsidR="009B7EA7" w:rsidRPr="009B7EA7" w:rsidRDefault="009B7EA7" w:rsidP="009B7EA7">
      <w:pPr>
        <w:jc w:val="both"/>
        <w:rPr>
          <w:bCs/>
          <w:sz w:val="24"/>
          <w:szCs w:val="24"/>
        </w:rPr>
      </w:pPr>
    </w:p>
    <w:p w14:paraId="196D8222" w14:textId="77777777" w:rsidR="009B7EA7" w:rsidRPr="009B7EA7" w:rsidRDefault="009B7EA7" w:rsidP="009B7EA7">
      <w:pPr>
        <w:jc w:val="both"/>
        <w:rPr>
          <w:bCs/>
          <w:sz w:val="24"/>
          <w:szCs w:val="24"/>
        </w:rPr>
      </w:pPr>
      <w:r w:rsidRPr="009B7EA7">
        <w:rPr>
          <w:bCs/>
          <w:sz w:val="24"/>
          <w:szCs w:val="24"/>
        </w:rPr>
        <w:t xml:space="preserve">B was adopted at a young age, although she had lived in North Wales most of her life and her first language being English, her birth family are from South Wales and as a young child, B first language was Welsh. As B lives in Wales it is expected and good practice to offer services to be provided in Welsh under the ‘Active </w:t>
      </w:r>
      <w:r w:rsidRPr="009B7EA7">
        <w:rPr>
          <w:bCs/>
          <w:color w:val="auto"/>
          <w:sz w:val="24"/>
          <w:szCs w:val="24"/>
        </w:rPr>
        <w:t xml:space="preserve">Offer’ (Welsh Government, 2015). The Active Offer means that individuals and families are offered a service </w:t>
      </w:r>
      <w:r w:rsidRPr="009B7EA7">
        <w:rPr>
          <w:bCs/>
          <w:sz w:val="24"/>
          <w:szCs w:val="24"/>
        </w:rPr>
        <w:t xml:space="preserve">in Welsh without them having to ask professionals for it (Welsh Government, 2015). The Welsh Government Framework – More Than Just Words (2017) outlines what is expected of social care and social work staff regarding this. </w:t>
      </w:r>
      <w:r w:rsidRPr="009B7EA7">
        <w:rPr>
          <w:bCs/>
          <w:sz w:val="24"/>
          <w:szCs w:val="24"/>
        </w:rPr>
        <w:lastRenderedPageBreak/>
        <w:t>Some individuals and families do not feel confident asking professionals therefore them being asked gives them the respectability they deserve by them being asked (Welsh Government, 2015). B declined the active offer at this time.</w:t>
      </w:r>
    </w:p>
    <w:p w14:paraId="19260EF9" w14:textId="77777777" w:rsidR="009B7EA7" w:rsidRPr="009B7EA7" w:rsidRDefault="009B7EA7" w:rsidP="009B7EA7">
      <w:pPr>
        <w:jc w:val="both"/>
        <w:rPr>
          <w:bCs/>
          <w:sz w:val="24"/>
          <w:szCs w:val="24"/>
        </w:rPr>
      </w:pPr>
    </w:p>
    <w:p w14:paraId="641917E8" w14:textId="77777777" w:rsidR="009B7EA7" w:rsidRPr="009B7EA7" w:rsidRDefault="009B7EA7" w:rsidP="009B7EA7">
      <w:pPr>
        <w:jc w:val="both"/>
        <w:rPr>
          <w:bCs/>
          <w:sz w:val="24"/>
          <w:szCs w:val="24"/>
        </w:rPr>
      </w:pPr>
      <w:r w:rsidRPr="009B7EA7">
        <w:rPr>
          <w:bCs/>
          <w:sz w:val="24"/>
          <w:szCs w:val="24"/>
        </w:rPr>
        <w:t>I had only been B’s allocated social worker for a short period of time and due to Covid- 19 pandemic I had met with B on a few occasions prior to the observation and this had mainly taken place virtually due to the Covid-19 Pandemic. Legislation was devised to support Local Authorities during this time, ‘Children Services and the COVID-19 Pandemic: guidance (2020)’ alongside Health Protections (Coronavirus Restrictions) (Wales) Regulations (2020) restricting people’s movements, limited interactions out of households and implying restrictions to ensure physical distancing. For a period, no face-to-face meetings or visits were able to take place and all contact was to be carried out virtually. As restrictions have reduced, several face-face visits have been agreed by Management however prior approval is required. (LA Policy)</w:t>
      </w:r>
    </w:p>
    <w:p w14:paraId="31B71AFD" w14:textId="77777777" w:rsidR="009B7EA7" w:rsidRPr="009B7EA7" w:rsidRDefault="009B7EA7" w:rsidP="009B7EA7">
      <w:pPr>
        <w:jc w:val="both"/>
        <w:rPr>
          <w:bCs/>
          <w:sz w:val="24"/>
          <w:szCs w:val="24"/>
        </w:rPr>
      </w:pPr>
    </w:p>
    <w:p w14:paraId="5893317A" w14:textId="77777777" w:rsidR="009B7EA7" w:rsidRPr="009B7EA7" w:rsidRDefault="009B7EA7" w:rsidP="009B7EA7">
      <w:pPr>
        <w:jc w:val="both"/>
        <w:rPr>
          <w:bCs/>
          <w:color w:val="auto"/>
          <w:sz w:val="24"/>
          <w:szCs w:val="24"/>
        </w:rPr>
      </w:pPr>
      <w:r w:rsidRPr="009B7EA7">
        <w:rPr>
          <w:bCs/>
          <w:sz w:val="24"/>
          <w:szCs w:val="24"/>
        </w:rPr>
        <w:t xml:space="preserve">B and I have similarities in gender and ethnicity as we are both </w:t>
      </w:r>
      <w:r w:rsidRPr="009B7EA7">
        <w:rPr>
          <w:bCs/>
          <w:color w:val="auto"/>
          <w:sz w:val="24"/>
          <w:szCs w:val="24"/>
        </w:rPr>
        <w:t xml:space="preserve">female and White </w:t>
      </w:r>
      <w:r w:rsidRPr="009B7EA7">
        <w:rPr>
          <w:bCs/>
          <w:sz w:val="24"/>
          <w:szCs w:val="24"/>
        </w:rPr>
        <w:t xml:space="preserve">British. Although we have these similarities, it cannot be assumed that our personal values and beliefs are the same (Banks, 2012). With this, it is important to acknowledge the power imbalance between myself and the B and with this I was </w:t>
      </w:r>
      <w:r w:rsidRPr="009B7EA7">
        <w:rPr>
          <w:bCs/>
          <w:color w:val="auto"/>
          <w:sz w:val="24"/>
          <w:szCs w:val="24"/>
        </w:rPr>
        <w:t xml:space="preserve">mindful of how I approached the situation and try to reduce this imbalance by the language I used. Although B is a child, she has been able </w:t>
      </w:r>
      <w:r w:rsidRPr="009B7EA7">
        <w:rPr>
          <w:bCs/>
          <w:sz w:val="24"/>
          <w:szCs w:val="24"/>
        </w:rPr>
        <w:t xml:space="preserve">to clearly share her views about what she wants moving forward in terms of her </w:t>
      </w:r>
      <w:r w:rsidRPr="009B7EA7">
        <w:rPr>
          <w:bCs/>
          <w:color w:val="auto"/>
          <w:sz w:val="24"/>
          <w:szCs w:val="24"/>
        </w:rPr>
        <w:t>care. Using listening skills and advocating on her behalf to voice these views on behalf of B could help readdress this imbalance.</w:t>
      </w:r>
    </w:p>
    <w:p w14:paraId="21DDFFCC" w14:textId="77777777" w:rsidR="009B7EA7" w:rsidRPr="009B7EA7" w:rsidRDefault="009B7EA7" w:rsidP="009B7EA7">
      <w:pPr>
        <w:jc w:val="both"/>
        <w:rPr>
          <w:bCs/>
          <w:sz w:val="24"/>
          <w:szCs w:val="24"/>
        </w:rPr>
      </w:pPr>
    </w:p>
    <w:p w14:paraId="5CAAECDB" w14:textId="77777777" w:rsidR="009B7EA7" w:rsidRPr="009B7EA7" w:rsidRDefault="009B7EA7" w:rsidP="009B7EA7">
      <w:pPr>
        <w:jc w:val="both"/>
        <w:rPr>
          <w:bCs/>
          <w:sz w:val="24"/>
          <w:szCs w:val="24"/>
        </w:rPr>
      </w:pPr>
      <w:r w:rsidRPr="009B7EA7">
        <w:rPr>
          <w:bCs/>
          <w:sz w:val="24"/>
          <w:szCs w:val="24"/>
        </w:rPr>
        <w:t>On arrival at the residential home,</w:t>
      </w:r>
      <w:r w:rsidRPr="009B7EA7">
        <w:rPr>
          <w:bCs/>
          <w:color w:val="00B050"/>
          <w:sz w:val="24"/>
          <w:szCs w:val="24"/>
        </w:rPr>
        <w:t xml:space="preserve"> </w:t>
      </w:r>
      <w:r w:rsidRPr="009B7EA7">
        <w:rPr>
          <w:bCs/>
          <w:sz w:val="24"/>
          <w:szCs w:val="24"/>
        </w:rPr>
        <w:t xml:space="preserve">I met with B and her key worker and discussed why I had someone with me. B </w:t>
      </w:r>
      <w:r w:rsidRPr="009B7EA7">
        <w:rPr>
          <w:bCs/>
          <w:color w:val="auto"/>
          <w:sz w:val="24"/>
          <w:szCs w:val="24"/>
        </w:rPr>
        <w:t xml:space="preserve">agreed again for the observer to stay. I asked B which room she wanted us to sit in, to ensure she </w:t>
      </w:r>
      <w:r w:rsidRPr="009B7EA7">
        <w:rPr>
          <w:bCs/>
          <w:sz w:val="24"/>
          <w:szCs w:val="24"/>
        </w:rPr>
        <w:t xml:space="preserve">felt comfortable in her setting. B asked for us to sit in the living room where she had been watching television. I asked B if she wanted her key worker with her however this was declined. </w:t>
      </w:r>
    </w:p>
    <w:p w14:paraId="244D6CCB" w14:textId="77777777" w:rsidR="009B7EA7" w:rsidRPr="009B7EA7" w:rsidRDefault="009B7EA7" w:rsidP="009B7EA7">
      <w:pPr>
        <w:jc w:val="both"/>
        <w:rPr>
          <w:bCs/>
          <w:sz w:val="24"/>
          <w:szCs w:val="24"/>
        </w:rPr>
      </w:pPr>
    </w:p>
    <w:p w14:paraId="49537C6A" w14:textId="77777777" w:rsidR="009B7EA7" w:rsidRPr="009B7EA7" w:rsidRDefault="009B7EA7" w:rsidP="009B7EA7">
      <w:pPr>
        <w:shd w:val="clear" w:color="auto" w:fill="FFFFFF"/>
        <w:spacing w:after="420"/>
        <w:rPr>
          <w:color w:val="auto"/>
          <w:spacing w:val="6"/>
          <w:sz w:val="24"/>
          <w:szCs w:val="24"/>
        </w:rPr>
      </w:pPr>
      <w:r w:rsidRPr="009B7EA7">
        <w:rPr>
          <w:bCs/>
          <w:sz w:val="24"/>
          <w:szCs w:val="24"/>
        </w:rPr>
        <w:t>In Order to gain B’s views around her plans for permanence moving forward and contact with her adoptive family I had to establish what was important to her. To do this, I used the What Matters Conversation to ensure she was given the opportunity to tell me what was important to her at this time. Social Care Wales, 2019 states that ‘a ‘</w:t>
      </w:r>
      <w:r w:rsidRPr="009B7EA7">
        <w:rPr>
          <w:color w:val="auto"/>
          <w:spacing w:val="6"/>
          <w:sz w:val="24"/>
          <w:szCs w:val="24"/>
        </w:rPr>
        <w:t xml:space="preserve">what matters’ conversation is a discussion between equal partners (also known as 'co-production'), to identify, from the individual’s lived experience and the expertise of the practitioner: how the individual wants to live; what is preventing those aspirations and what support can be put in place to make aspirations a reality’. When I was speaking with B I tried to refrain from closed questions as I did not want her to feel like she was in an interview. Although closed questions can be helpful with obtaining specific information, Healy (2018) suggests that they should be used minimally in social work. I therefore asked </w:t>
      </w:r>
      <w:proofErr w:type="spellStart"/>
      <w:r w:rsidRPr="009B7EA7">
        <w:rPr>
          <w:color w:val="auto"/>
          <w:spacing w:val="6"/>
          <w:sz w:val="24"/>
          <w:szCs w:val="24"/>
        </w:rPr>
        <w:t>B</w:t>
      </w:r>
      <w:proofErr w:type="spellEnd"/>
      <w:r w:rsidRPr="009B7EA7">
        <w:rPr>
          <w:color w:val="auto"/>
          <w:spacing w:val="6"/>
          <w:sz w:val="24"/>
          <w:szCs w:val="24"/>
        </w:rPr>
        <w:t xml:space="preserve"> a range of open questions as this allows her to elaborate on answers.</w:t>
      </w:r>
    </w:p>
    <w:p w14:paraId="22D8D217" w14:textId="77777777" w:rsidR="009B7EA7" w:rsidRPr="009B7EA7" w:rsidRDefault="009B7EA7" w:rsidP="009B7EA7">
      <w:pPr>
        <w:shd w:val="clear" w:color="auto" w:fill="FFFFFF"/>
        <w:spacing w:after="420"/>
        <w:rPr>
          <w:color w:val="00B050"/>
          <w:spacing w:val="6"/>
          <w:sz w:val="24"/>
          <w:szCs w:val="24"/>
        </w:rPr>
      </w:pPr>
      <w:r w:rsidRPr="009B7EA7">
        <w:rPr>
          <w:color w:val="auto"/>
          <w:spacing w:val="6"/>
          <w:sz w:val="24"/>
          <w:szCs w:val="24"/>
        </w:rPr>
        <w:t xml:space="preserve">When talking to B and exploring her wishes, I was aware of my body language and how I was positioned. B was sat on a beanbag on the floor, and I asked if I could sit next to her on a separate beanbag, so I was at eye level rather than looking down on her from the sofa ensuring Covid 19 regulations were being adhered to. I ensured I maintained a </w:t>
      </w:r>
      <w:r w:rsidRPr="009B7EA7">
        <w:rPr>
          <w:color w:val="auto"/>
          <w:spacing w:val="6"/>
          <w:sz w:val="24"/>
          <w:szCs w:val="24"/>
        </w:rPr>
        <w:lastRenderedPageBreak/>
        <w:t xml:space="preserve">positive level of eye contact, so she was aware I was listening. B at times would look at the floor when discussing her parents, evidencing that she did not want to maintain eye contact when discussing a difficult matter for herself. I was conscious that I was not over staring at B during this time as I did not want her to feel uncomfortable. Woodcock Ross (2011), discuss the importance of ensuring the person feels listened to through eye contact however not to be left feeling uncomfortable. </w:t>
      </w:r>
    </w:p>
    <w:p w14:paraId="73007F30" w14:textId="77777777" w:rsidR="009B7EA7" w:rsidRPr="009B7EA7" w:rsidRDefault="009B7EA7" w:rsidP="009B7EA7">
      <w:pPr>
        <w:shd w:val="clear" w:color="auto" w:fill="FFFFFF"/>
        <w:spacing w:after="420"/>
        <w:rPr>
          <w:color w:val="auto"/>
          <w:spacing w:val="6"/>
          <w:sz w:val="24"/>
          <w:szCs w:val="24"/>
        </w:rPr>
      </w:pPr>
      <w:r w:rsidRPr="009B7EA7">
        <w:rPr>
          <w:color w:val="auto"/>
          <w:spacing w:val="6"/>
          <w:sz w:val="24"/>
          <w:szCs w:val="24"/>
        </w:rPr>
        <w:t>Following the visit, I reflected on the session with my Senior which helped me to both evaluate my practice and to identify if I had used the right communication skills with B. To support my reflection, I used the Integrated Reflective Cycle which aids the critical reflection of practice, recognising my own thoughts and feelings about how the visit with B went (</w:t>
      </w:r>
      <w:proofErr w:type="spellStart"/>
      <w:r w:rsidRPr="009B7EA7">
        <w:rPr>
          <w:color w:val="auto"/>
          <w:spacing w:val="6"/>
          <w:sz w:val="24"/>
          <w:szCs w:val="24"/>
        </w:rPr>
        <w:t>Bassot</w:t>
      </w:r>
      <w:proofErr w:type="spellEnd"/>
      <w:r w:rsidRPr="009B7EA7">
        <w:rPr>
          <w:color w:val="auto"/>
          <w:spacing w:val="6"/>
          <w:sz w:val="24"/>
          <w:szCs w:val="24"/>
        </w:rPr>
        <w:t xml:space="preserve">, 2012). During the session there were a few quiet periods between B and me. I am aware that if I was noticing these quiet periods and feeling uncomfortable then B may have been to. However, through supervision and critical reflection, it was noted that the quiet periods between the practitioner and service user does not have to be uncomfortable and instead it is likely that other person is reflecting on discussions had. Social Care Wales, 2019 discusses communication and ‘awkward silences’ and that these are not to be viewed negatively, instead allowing the person to process their thoughts. I found this discussion beneficial, as I am now aware that I do not need to ask questions to ‘fill the gap’. </w:t>
      </w:r>
    </w:p>
    <w:p w14:paraId="751C5589" w14:textId="77777777" w:rsidR="009B7EA7" w:rsidRPr="009B7EA7" w:rsidRDefault="009B7EA7" w:rsidP="009B7EA7">
      <w:pPr>
        <w:spacing w:line="360" w:lineRule="auto"/>
        <w:jc w:val="both"/>
        <w:rPr>
          <w:bCs/>
          <w:color w:val="auto"/>
          <w:sz w:val="24"/>
          <w:szCs w:val="24"/>
        </w:rPr>
      </w:pPr>
    </w:p>
    <w:p w14:paraId="5B0A67C6" w14:textId="77777777" w:rsidR="009B7EA7" w:rsidRPr="009B7EA7" w:rsidRDefault="009B7EA7" w:rsidP="009B7EA7">
      <w:pPr>
        <w:spacing w:line="360" w:lineRule="auto"/>
        <w:jc w:val="both"/>
        <w:rPr>
          <w:bCs/>
          <w:sz w:val="24"/>
          <w:szCs w:val="24"/>
        </w:rPr>
      </w:pPr>
      <w:r w:rsidRPr="009B7EA7">
        <w:rPr>
          <w:bCs/>
          <w:sz w:val="24"/>
          <w:szCs w:val="24"/>
        </w:rPr>
        <w:t>Word Count - 1371</w:t>
      </w:r>
    </w:p>
    <w:p w14:paraId="393BEC46" w14:textId="77777777" w:rsidR="009B7EA7" w:rsidRPr="009B7EA7" w:rsidRDefault="009B7EA7" w:rsidP="009B7EA7"/>
    <w:p w14:paraId="7152CDDB" w14:textId="77777777" w:rsidR="00C82CC1" w:rsidRPr="002A6632" w:rsidRDefault="00C82CC1" w:rsidP="00FF7EBB">
      <w:pPr>
        <w:jc w:val="both"/>
        <w:rPr>
          <w:bCs/>
          <w:sz w:val="24"/>
          <w:szCs w:val="24"/>
        </w:rPr>
      </w:pPr>
    </w:p>
    <w:p w14:paraId="382BA120" w14:textId="143FF955" w:rsidR="00CA3593" w:rsidRPr="008B28E7" w:rsidRDefault="008C7770" w:rsidP="00FF7EBB">
      <w:pPr>
        <w:jc w:val="both"/>
        <w:rPr>
          <w:b/>
          <w:sz w:val="24"/>
          <w:szCs w:val="24"/>
        </w:rPr>
      </w:pPr>
      <w:r w:rsidRPr="002A6632">
        <w:rPr>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7469C01C" w:rsidR="00CA3593" w:rsidRPr="008B28E7" w:rsidRDefault="00176577" w:rsidP="00FF7EBB">
            <w:pPr>
              <w:jc w:val="both"/>
              <w:rPr>
                <w:sz w:val="24"/>
                <w:szCs w:val="24"/>
              </w:rPr>
            </w:pPr>
            <w:r>
              <w:rPr>
                <w:sz w:val="24"/>
                <w:szCs w:val="24"/>
              </w:rPr>
              <w:t>Yes she was on time</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1BFB4A8A" w:rsidR="00CA3593" w:rsidRPr="008B28E7" w:rsidRDefault="00176577" w:rsidP="00FF7EBB">
            <w:pPr>
              <w:jc w:val="both"/>
              <w:rPr>
                <w:sz w:val="24"/>
                <w:szCs w:val="24"/>
              </w:rPr>
            </w:pPr>
            <w:r>
              <w:rPr>
                <w:sz w:val="24"/>
                <w:szCs w:val="24"/>
              </w:rPr>
              <w:t>Yes she did</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19E6A3D2" w:rsidR="00CA3593" w:rsidRPr="008B28E7" w:rsidRDefault="00176577" w:rsidP="00FF7EBB">
            <w:pPr>
              <w:jc w:val="both"/>
              <w:rPr>
                <w:sz w:val="24"/>
                <w:szCs w:val="24"/>
              </w:rPr>
            </w:pPr>
            <w:r>
              <w:rPr>
                <w:sz w:val="24"/>
                <w:szCs w:val="24"/>
              </w:rPr>
              <w:t>Yes</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5D7AFD54" w:rsidR="00CA3593" w:rsidRPr="008B28E7" w:rsidRDefault="00176577" w:rsidP="00FF7EBB">
            <w:pPr>
              <w:jc w:val="both"/>
              <w:rPr>
                <w:sz w:val="24"/>
                <w:szCs w:val="24"/>
              </w:rPr>
            </w:pPr>
            <w:r>
              <w:rPr>
                <w:sz w:val="24"/>
                <w:szCs w:val="24"/>
              </w:rPr>
              <w:t>She was prepared I think</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248B52A3" w:rsidR="00CA3593" w:rsidRPr="008B28E7" w:rsidRDefault="00176577" w:rsidP="00FF7EBB">
            <w:pPr>
              <w:jc w:val="both"/>
              <w:rPr>
                <w:sz w:val="24"/>
                <w:szCs w:val="24"/>
              </w:rPr>
            </w:pPr>
            <w:r>
              <w:rPr>
                <w:sz w:val="24"/>
                <w:szCs w:val="24"/>
              </w:rPr>
              <w:t>I think so</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54E8EF99" w:rsidR="00A12F22" w:rsidRPr="008B28E7" w:rsidRDefault="00176577" w:rsidP="00FF7EBB">
            <w:pPr>
              <w:jc w:val="both"/>
              <w:rPr>
                <w:sz w:val="24"/>
                <w:szCs w:val="24"/>
              </w:rPr>
            </w:pPr>
            <w:r>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313B29B5" w:rsidR="00CA3593" w:rsidRPr="008B28E7" w:rsidRDefault="00176577" w:rsidP="00FF7EBB">
            <w:pPr>
              <w:jc w:val="both"/>
              <w:rPr>
                <w:sz w:val="24"/>
                <w:szCs w:val="24"/>
              </w:rPr>
            </w:pPr>
            <w:r>
              <w:rPr>
                <w:sz w:val="24"/>
                <w:szCs w:val="24"/>
              </w:rPr>
              <w:t>I think so</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50F5DA4F" w:rsidR="00CA3593" w:rsidRPr="008B28E7" w:rsidRDefault="00176577"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7033A99B" w14:textId="77777777" w:rsidR="009B7EA7" w:rsidRPr="009B7EA7" w:rsidRDefault="009B7EA7" w:rsidP="009B7EA7">
      <w:pPr>
        <w:tabs>
          <w:tab w:val="left" w:pos="564"/>
        </w:tabs>
        <w:jc w:val="both"/>
        <w:rPr>
          <w:sz w:val="24"/>
          <w:szCs w:val="24"/>
        </w:rPr>
      </w:pPr>
      <w:r w:rsidRPr="009B7EA7">
        <w:rPr>
          <w:sz w:val="24"/>
          <w:szCs w:val="24"/>
        </w:rPr>
        <w:t xml:space="preserve">The purpose of this case study is to look at safeguarding in a social work field that I currently work in. I will be critically reflecting upon an assessment I have undertaken regarding the well-being of an unborn baby. This will include legislation, policies and guidance which have informed the rationale for the assessment completed. Social work theories and methods will also be discussed and how these have been applied to practice. </w:t>
      </w:r>
    </w:p>
    <w:p w14:paraId="08FEA536" w14:textId="77777777" w:rsidR="009B7EA7" w:rsidRPr="009B7EA7" w:rsidRDefault="009B7EA7" w:rsidP="009B7EA7">
      <w:pPr>
        <w:tabs>
          <w:tab w:val="left" w:pos="564"/>
        </w:tabs>
        <w:jc w:val="both"/>
        <w:rPr>
          <w:sz w:val="24"/>
          <w:szCs w:val="24"/>
        </w:rPr>
      </w:pPr>
    </w:p>
    <w:p w14:paraId="2C14AC82" w14:textId="77777777" w:rsidR="009B7EA7" w:rsidRPr="009B7EA7" w:rsidRDefault="009B7EA7" w:rsidP="009B7EA7">
      <w:pPr>
        <w:tabs>
          <w:tab w:val="left" w:pos="564"/>
        </w:tabs>
        <w:jc w:val="both"/>
        <w:rPr>
          <w:sz w:val="24"/>
          <w:szCs w:val="24"/>
        </w:rPr>
      </w:pPr>
      <w:r w:rsidRPr="009B7EA7">
        <w:rPr>
          <w:sz w:val="24"/>
          <w:szCs w:val="24"/>
        </w:rPr>
        <w:t xml:space="preserve">Safeguarding children is defined as ‘protecting children from maltreatment; preventing impairment of children’s health or development; ensuring that children are growing up in circumstances consistent with the provision of safe and effective care; taking action to enable all children to have the best outcomes’ (HM Government, 2018). As a Social Worker in Wales, there are different laws and guidance which underpin and inform practice when safeguarding children. This case study will explore the term safeguarding and the process followed when working with families where there are safeguarding concerns. </w:t>
      </w:r>
    </w:p>
    <w:p w14:paraId="302AD14B" w14:textId="77777777" w:rsidR="009B7EA7" w:rsidRPr="009B7EA7" w:rsidRDefault="009B7EA7" w:rsidP="009B7EA7">
      <w:pPr>
        <w:tabs>
          <w:tab w:val="left" w:pos="564"/>
        </w:tabs>
        <w:jc w:val="both"/>
        <w:rPr>
          <w:sz w:val="24"/>
          <w:szCs w:val="24"/>
        </w:rPr>
      </w:pPr>
    </w:p>
    <w:p w14:paraId="75ABEA75" w14:textId="77777777" w:rsidR="009B7EA7" w:rsidRPr="009B7EA7" w:rsidRDefault="009B7EA7" w:rsidP="009B7EA7">
      <w:pPr>
        <w:tabs>
          <w:tab w:val="left" w:pos="564"/>
        </w:tabs>
        <w:jc w:val="both"/>
        <w:rPr>
          <w:sz w:val="24"/>
          <w:szCs w:val="24"/>
        </w:rPr>
      </w:pPr>
      <w:r w:rsidRPr="009B7EA7">
        <w:rPr>
          <w:sz w:val="24"/>
          <w:szCs w:val="24"/>
        </w:rPr>
        <w:t>The Social Services and Wellbeing Act, 2014 came into force in 2016. This piece of legislation replaced the laws that were previously in place in Wales. The Social Services and Wellbeing Act contains eleven parts (Welsh Government, 2014) and the safeguarding children’s procedures can be found within part 7 of the Act. Within Part 7, a child at risk is defined as a child who ‘is experiencing or is at risk of abuse, neglect or other kinds of harm and has needs for care and support’ (SSWB, 2014).</w:t>
      </w:r>
    </w:p>
    <w:p w14:paraId="5F4E7DE4" w14:textId="77777777" w:rsidR="009B7EA7" w:rsidRPr="009B7EA7" w:rsidRDefault="009B7EA7" w:rsidP="009B7EA7">
      <w:pPr>
        <w:tabs>
          <w:tab w:val="left" w:pos="564"/>
        </w:tabs>
        <w:jc w:val="both"/>
        <w:rPr>
          <w:sz w:val="24"/>
          <w:szCs w:val="24"/>
        </w:rPr>
      </w:pPr>
    </w:p>
    <w:p w14:paraId="6140898A" w14:textId="77777777" w:rsidR="009B7EA7" w:rsidRPr="009B7EA7" w:rsidRDefault="009B7EA7" w:rsidP="009B7EA7">
      <w:pPr>
        <w:tabs>
          <w:tab w:val="left" w:pos="564"/>
        </w:tabs>
        <w:jc w:val="both"/>
        <w:rPr>
          <w:sz w:val="24"/>
          <w:szCs w:val="24"/>
        </w:rPr>
      </w:pPr>
      <w:r w:rsidRPr="009B7EA7">
        <w:rPr>
          <w:sz w:val="24"/>
          <w:szCs w:val="24"/>
        </w:rPr>
        <w:t xml:space="preserve">Alongside the Social Services and Wellbeing Act, 2014, the All Wales Child Protection Procedures 2008, guide my role as a children’s social worker with Wales. These procedures ‘set out common standards for all of Wales to guide work in child protection, to make clear how agencies should work together, and to make sure that practice is consistent and of high quality’ (Children in Wales, 2014). Legislation varies from country to country.  Within England, the Children Act, 1989, updated in 2004 informs how children within England are to be safeguarded. This was also amended by the Children and Social Work Act 2017 (NSPCC, 2019). Within Scotland, the legislative framework in place to safeguard children and young people is the Children and Young People (Scotland) Act, 2014 (NSPCC, 2019) and Ireland is The Children (Northern Ireland) Order 1995 (NSPCC, 2019). </w:t>
      </w:r>
    </w:p>
    <w:p w14:paraId="03E95AB0" w14:textId="77777777" w:rsidR="009B7EA7" w:rsidRPr="009B7EA7" w:rsidRDefault="009B7EA7" w:rsidP="009B7EA7">
      <w:pPr>
        <w:tabs>
          <w:tab w:val="left" w:pos="564"/>
        </w:tabs>
        <w:jc w:val="both"/>
        <w:rPr>
          <w:sz w:val="24"/>
          <w:szCs w:val="24"/>
        </w:rPr>
      </w:pPr>
    </w:p>
    <w:p w14:paraId="2A48C677" w14:textId="77777777" w:rsidR="009B7EA7" w:rsidRPr="009B7EA7" w:rsidRDefault="009B7EA7" w:rsidP="009B7EA7">
      <w:pPr>
        <w:tabs>
          <w:tab w:val="left" w:pos="564"/>
        </w:tabs>
        <w:jc w:val="both"/>
        <w:rPr>
          <w:sz w:val="24"/>
          <w:szCs w:val="24"/>
        </w:rPr>
      </w:pPr>
      <w:r w:rsidRPr="009B7EA7">
        <w:rPr>
          <w:sz w:val="24"/>
          <w:szCs w:val="24"/>
        </w:rPr>
        <w:t xml:space="preserve">The European Convention of Human Rights, protect the ‘human rights of people in countries that belong to the Council of Europe’. In the United Kingdom, human rights are protected by Law, this is the Human Rights Act, 1998 (Mind, 2020). The rights protected include the right to live, the protection from torture and inhumane treatment, protection from slavery and forced labour, the right to freedom, the right to a fare trail, the right to a private life, freedom of though and speech, freedom from discrimination, protection of property, the right to education and the right to free elections (Mind, 2020).  Additionally, the United Nations Convention on the Rights of a Child (UNCRC) protects children up to the age of 18. The convention has 54 articles </w:t>
      </w:r>
      <w:r w:rsidRPr="009B7EA7">
        <w:rPr>
          <w:color w:val="1E1E1E"/>
          <w:sz w:val="24"/>
          <w:szCs w:val="24"/>
          <w:shd w:val="clear" w:color="auto" w:fill="FFFFFF"/>
        </w:rPr>
        <w:t>that cover ‘all aspects of a child’s life and set out the civil, political, economic, social and cultural rights that all children everywhere are entitled to’ (</w:t>
      </w:r>
      <w:proofErr w:type="spellStart"/>
      <w:r w:rsidRPr="009B7EA7">
        <w:rPr>
          <w:color w:val="1E1E1E"/>
          <w:sz w:val="24"/>
          <w:szCs w:val="24"/>
          <w:shd w:val="clear" w:color="auto" w:fill="FFFFFF"/>
        </w:rPr>
        <w:t>Unicef</w:t>
      </w:r>
      <w:proofErr w:type="spellEnd"/>
      <w:r w:rsidRPr="009B7EA7">
        <w:rPr>
          <w:color w:val="1E1E1E"/>
          <w:sz w:val="24"/>
          <w:szCs w:val="24"/>
          <w:shd w:val="clear" w:color="auto" w:fill="FFFFFF"/>
        </w:rPr>
        <w:t>, 2022).</w:t>
      </w:r>
    </w:p>
    <w:p w14:paraId="605E4982" w14:textId="77777777" w:rsidR="009B7EA7" w:rsidRPr="009B7EA7" w:rsidRDefault="009B7EA7" w:rsidP="009B7EA7">
      <w:pPr>
        <w:tabs>
          <w:tab w:val="left" w:pos="564"/>
        </w:tabs>
        <w:jc w:val="both"/>
        <w:rPr>
          <w:sz w:val="24"/>
          <w:szCs w:val="24"/>
        </w:rPr>
      </w:pPr>
    </w:p>
    <w:p w14:paraId="1C36E768" w14:textId="77777777" w:rsidR="009B7EA7" w:rsidRPr="009B7EA7" w:rsidRDefault="009B7EA7" w:rsidP="009B7EA7">
      <w:pPr>
        <w:tabs>
          <w:tab w:val="left" w:pos="564"/>
        </w:tabs>
        <w:jc w:val="both"/>
        <w:rPr>
          <w:sz w:val="24"/>
          <w:szCs w:val="24"/>
        </w:rPr>
      </w:pPr>
    </w:p>
    <w:p w14:paraId="015838D5" w14:textId="77777777" w:rsidR="009B7EA7" w:rsidRPr="009B7EA7" w:rsidRDefault="009B7EA7" w:rsidP="009B7EA7">
      <w:pPr>
        <w:tabs>
          <w:tab w:val="left" w:pos="564"/>
        </w:tabs>
        <w:jc w:val="both"/>
        <w:rPr>
          <w:sz w:val="24"/>
          <w:szCs w:val="24"/>
        </w:rPr>
      </w:pPr>
      <w:r w:rsidRPr="009B7EA7">
        <w:rPr>
          <w:sz w:val="24"/>
          <w:szCs w:val="24"/>
        </w:rPr>
        <w:t>During this case study, I will be referring to the unborn baby as A, mother as B and father as C. A child protection referral was submitted to the Local Authority by a Community Midwife in the local area. B had presented at a booking in appointment 16 weeks pregnant. B had disclosed to the midwife that she had previous children removed from her care due to her previous partner however she shared that she was with a new partner and her circumstances had changed. All professionals who are working with families have a duty to safeguard and raise concerns in relation to the welfare of a child (AWCPP, 2008). Health Professionals have their own systems and procedures put in place to guide them in safeguarding vulnerable children (NHS Wales, 2019). This will advise how to share information with the Local Authority and when to do so. Additionally, under Part 7 of the Social Services and Well-Being Act (Wales) 2014 it states that all relevant parties and Local Authorities must report to the Local Authority if they suspect that individuals may be at risk of significant harm (SSWA, 2014).</w:t>
      </w:r>
    </w:p>
    <w:p w14:paraId="3088F1C3" w14:textId="77777777" w:rsidR="009B7EA7" w:rsidRPr="009B7EA7" w:rsidRDefault="009B7EA7" w:rsidP="009B7EA7">
      <w:pPr>
        <w:tabs>
          <w:tab w:val="left" w:pos="564"/>
        </w:tabs>
        <w:jc w:val="both"/>
        <w:rPr>
          <w:sz w:val="24"/>
          <w:szCs w:val="24"/>
        </w:rPr>
      </w:pPr>
    </w:p>
    <w:p w14:paraId="10AF8A07" w14:textId="77777777" w:rsidR="009B7EA7" w:rsidRPr="009B7EA7" w:rsidRDefault="009B7EA7" w:rsidP="009B7EA7">
      <w:pPr>
        <w:tabs>
          <w:tab w:val="left" w:pos="564"/>
        </w:tabs>
        <w:jc w:val="both"/>
        <w:rPr>
          <w:sz w:val="24"/>
          <w:szCs w:val="24"/>
        </w:rPr>
      </w:pPr>
      <w:r w:rsidRPr="009B7EA7">
        <w:rPr>
          <w:sz w:val="24"/>
          <w:szCs w:val="24"/>
        </w:rPr>
        <w:t xml:space="preserve">In this case, the midwife made B aware that she would be making a referral to Children Services and B consented to this being made. If B had not consented, the midwife would still be required and have a duty of care to submit the referral. As discussed within the Children Act, 1989, the welfare of a child is ‘paramount’ and therefore professionals have the duty to share any information (Lamming, 2013).  </w:t>
      </w:r>
    </w:p>
    <w:p w14:paraId="394EF8C3" w14:textId="77777777" w:rsidR="009B7EA7" w:rsidRPr="009B7EA7" w:rsidRDefault="009B7EA7" w:rsidP="009B7EA7">
      <w:pPr>
        <w:tabs>
          <w:tab w:val="left" w:pos="564"/>
        </w:tabs>
        <w:jc w:val="both"/>
        <w:rPr>
          <w:sz w:val="24"/>
          <w:szCs w:val="24"/>
        </w:rPr>
      </w:pPr>
    </w:p>
    <w:p w14:paraId="25AA143D" w14:textId="77777777" w:rsidR="009B7EA7" w:rsidRPr="009B7EA7" w:rsidRDefault="009B7EA7" w:rsidP="009B7EA7">
      <w:pPr>
        <w:tabs>
          <w:tab w:val="left" w:pos="564"/>
        </w:tabs>
        <w:jc w:val="both"/>
        <w:rPr>
          <w:sz w:val="24"/>
          <w:szCs w:val="24"/>
        </w:rPr>
      </w:pPr>
      <w:r w:rsidRPr="009B7EA7">
        <w:rPr>
          <w:sz w:val="24"/>
          <w:szCs w:val="24"/>
        </w:rPr>
        <w:t xml:space="preserve">Once the referral had been received by the Local Authority, I was allocated the case to complete a Pre-Birth Risk Assessment. This assessment is to identify whether the unborn baby would be at risk of significant harm following birth. The assessment framework used to undertake the assessment was Bruce Thornton’s Pre-Birth Risk Assessment (Thornton, B, 2019). The assessment framework is based on the unborn child’s needs and the parents’ capacity to meet the needs, alongside the environmental factors which have an impact on the families’ lives. It is important a holistic assessment is completed, understanding the child’s and parents’ circumstances (Howarth, 2010). Howarth 2010 suggests that the assessment framework allows for a strength-based approach while still indicating whether a family is vulnerable or not. It is important to give weight to strengths while not being pre-occupied by areas of concern (Howarth 2010). The National Assembly for Wales states that ‘this analysis of the child’s situation will inform planning an action to secure the best outcome for the child’. </w:t>
      </w:r>
    </w:p>
    <w:p w14:paraId="08D73D95" w14:textId="77777777" w:rsidR="009B7EA7" w:rsidRPr="009B7EA7" w:rsidRDefault="009B7EA7" w:rsidP="009B7EA7">
      <w:pPr>
        <w:tabs>
          <w:tab w:val="left" w:pos="564"/>
        </w:tabs>
        <w:jc w:val="both"/>
        <w:rPr>
          <w:sz w:val="24"/>
          <w:szCs w:val="24"/>
        </w:rPr>
      </w:pPr>
    </w:p>
    <w:p w14:paraId="4462334D" w14:textId="77777777" w:rsidR="009B7EA7" w:rsidRPr="009B7EA7" w:rsidRDefault="009B7EA7" w:rsidP="009B7EA7">
      <w:pPr>
        <w:tabs>
          <w:tab w:val="left" w:pos="564"/>
        </w:tabs>
        <w:jc w:val="both"/>
        <w:rPr>
          <w:sz w:val="24"/>
          <w:szCs w:val="24"/>
        </w:rPr>
      </w:pPr>
      <w:r w:rsidRPr="009B7EA7">
        <w:rPr>
          <w:sz w:val="24"/>
          <w:szCs w:val="24"/>
        </w:rPr>
        <w:lastRenderedPageBreak/>
        <w:t xml:space="preserve">This framework for assessment aided with gathering the required information, taking into consideration parents background, history and the circumstances leading up to the birth of A. Gathering the information during the assessment process enabled me and relate this to my observations and theory, such as attachment theory to arrive at a conclusion based on whether the parents can safeguard their child. </w:t>
      </w:r>
    </w:p>
    <w:p w14:paraId="0656F754" w14:textId="77777777" w:rsidR="009B7EA7" w:rsidRPr="009B7EA7" w:rsidRDefault="009B7EA7" w:rsidP="009B7EA7">
      <w:pPr>
        <w:tabs>
          <w:tab w:val="left" w:pos="564"/>
        </w:tabs>
        <w:jc w:val="both"/>
        <w:rPr>
          <w:sz w:val="24"/>
          <w:szCs w:val="24"/>
        </w:rPr>
      </w:pPr>
    </w:p>
    <w:p w14:paraId="515B09A3" w14:textId="77777777" w:rsidR="009B7EA7" w:rsidRPr="009B7EA7" w:rsidRDefault="009B7EA7" w:rsidP="009B7EA7">
      <w:pPr>
        <w:tabs>
          <w:tab w:val="left" w:pos="564"/>
        </w:tabs>
        <w:jc w:val="both"/>
        <w:rPr>
          <w:sz w:val="24"/>
          <w:szCs w:val="24"/>
        </w:rPr>
      </w:pPr>
      <w:r w:rsidRPr="009B7EA7">
        <w:rPr>
          <w:sz w:val="24"/>
          <w:szCs w:val="24"/>
        </w:rPr>
        <w:t xml:space="preserve">If the Local Authority has received a referral detailing concerns for A once already born, a Child Protection Investigation would have been initiated under S47 of the Children Act, 1989. Section 47 of the Children Act, 1989 states that the Local Authority has a duty to investigate, when there is ‘reasonable cause to suspect that a child who lives, or is found, in their area suffering, or is likely to suffer, significant harm’ (Children Act, 1989). The aim of the Child Protection Investigation is to explore the allegation of abuse but to also assess the child’s individual needs and their carers ability to meet them needs effectively (SCIE, 2012). Cleaver and Freeman (1995), suggested that early child protection investigations were not always effective as people can find it difficult to talk about and admit to problems such as substance misuse or mental health, as fear they are going to have their children removed from their care. This has also been highlighted when investigations domestic abuse incidents in the home whereby families have disengaged with professionals (Farmer and Owen, 1995). </w:t>
      </w:r>
    </w:p>
    <w:p w14:paraId="2C8D8DEE" w14:textId="77777777" w:rsidR="009B7EA7" w:rsidRPr="009B7EA7" w:rsidRDefault="009B7EA7" w:rsidP="009B7EA7">
      <w:pPr>
        <w:tabs>
          <w:tab w:val="left" w:pos="564"/>
        </w:tabs>
        <w:jc w:val="both"/>
        <w:rPr>
          <w:sz w:val="24"/>
          <w:szCs w:val="24"/>
        </w:rPr>
      </w:pPr>
    </w:p>
    <w:p w14:paraId="4D8AA386" w14:textId="77777777" w:rsidR="009B7EA7" w:rsidRPr="009B7EA7" w:rsidRDefault="009B7EA7" w:rsidP="009B7EA7">
      <w:pPr>
        <w:tabs>
          <w:tab w:val="left" w:pos="564"/>
        </w:tabs>
        <w:jc w:val="both"/>
        <w:rPr>
          <w:sz w:val="24"/>
          <w:szCs w:val="24"/>
        </w:rPr>
      </w:pPr>
      <w:r w:rsidRPr="009B7EA7">
        <w:rPr>
          <w:sz w:val="24"/>
          <w:szCs w:val="24"/>
        </w:rPr>
        <w:t xml:space="preserve">When assessing such risk factors, professionals can often be dealing with disguise compliance from families. Owens and Hughes, 2009 state that disguise compliance is when ‘parents offer overt verbal compliance whilst maintaining a covert agenda of delinquent and behaviour towards the child protection agencies’. Research states that there could be detrimental consequences to not identifying disguise compliance when working with families (Morrison, 2010). When working with families, I have noted how difficult it can be to identify disguise compliance however, having regular supervision and reflection of practice has supported with identifying when this is occurring. </w:t>
      </w:r>
    </w:p>
    <w:p w14:paraId="5AB03122" w14:textId="77777777" w:rsidR="009B7EA7" w:rsidRPr="009B7EA7" w:rsidRDefault="009B7EA7" w:rsidP="009B7EA7">
      <w:pPr>
        <w:tabs>
          <w:tab w:val="left" w:pos="564"/>
        </w:tabs>
        <w:jc w:val="both"/>
        <w:rPr>
          <w:sz w:val="24"/>
          <w:szCs w:val="24"/>
        </w:rPr>
      </w:pPr>
    </w:p>
    <w:p w14:paraId="3459BCF2" w14:textId="77777777" w:rsidR="009B7EA7" w:rsidRPr="009B7EA7" w:rsidRDefault="009B7EA7" w:rsidP="009B7EA7">
      <w:pPr>
        <w:tabs>
          <w:tab w:val="left" w:pos="564"/>
        </w:tabs>
        <w:jc w:val="both"/>
        <w:rPr>
          <w:sz w:val="24"/>
          <w:szCs w:val="24"/>
        </w:rPr>
      </w:pPr>
    </w:p>
    <w:p w14:paraId="71B2505A" w14:textId="77777777" w:rsidR="009B7EA7" w:rsidRPr="009B7EA7" w:rsidRDefault="009B7EA7" w:rsidP="009B7EA7">
      <w:pPr>
        <w:tabs>
          <w:tab w:val="left" w:pos="564"/>
        </w:tabs>
        <w:jc w:val="both"/>
        <w:rPr>
          <w:sz w:val="24"/>
          <w:szCs w:val="24"/>
        </w:rPr>
      </w:pPr>
      <w:r w:rsidRPr="009B7EA7">
        <w:rPr>
          <w:sz w:val="24"/>
          <w:szCs w:val="24"/>
        </w:rPr>
        <w:t>Prior to completing the assessment, I contacted both B and C to introduce myself and explain my role ask the Local Authority social worker who will be completing the pre-birth risk assessment following the receival of a child protection referral from their community Midwife. Both B and C were that I would be in contact and agreed for a visit to be carried out at the family home.</w:t>
      </w:r>
    </w:p>
    <w:p w14:paraId="60C16EA0" w14:textId="77777777" w:rsidR="009B7EA7" w:rsidRPr="009B7EA7" w:rsidRDefault="009B7EA7" w:rsidP="009B7EA7">
      <w:pPr>
        <w:tabs>
          <w:tab w:val="left" w:pos="564"/>
        </w:tabs>
        <w:jc w:val="both"/>
        <w:rPr>
          <w:sz w:val="24"/>
          <w:szCs w:val="24"/>
        </w:rPr>
      </w:pPr>
    </w:p>
    <w:p w14:paraId="77BDD98C" w14:textId="77777777" w:rsidR="009B7EA7" w:rsidRPr="009B7EA7" w:rsidRDefault="009B7EA7" w:rsidP="009B7EA7">
      <w:pPr>
        <w:rPr>
          <w:sz w:val="24"/>
          <w:szCs w:val="24"/>
        </w:rPr>
      </w:pPr>
      <w:r w:rsidRPr="009B7EA7">
        <w:rPr>
          <w:sz w:val="24"/>
          <w:szCs w:val="24"/>
        </w:rPr>
        <w:t>A key requirement under the Social Services and Wellbeing Act (2014) is that when initiating assessments within Wales families are offered the opportunity to communicate in that preferred language this is known as the ‘Active Offer’. The active offer promotes respect and dignity and can support with reducing communication barriers when working with families about presuming they would like the service to be delivered. During the initial home visit both parents were offered the active offer however declined this at this time due to having limited understanding oh vocabulary in Welsh oboe although big dead state that she did participate in Welsh lessons when she was in school.</w:t>
      </w:r>
      <w:r w:rsidRPr="009B7EA7">
        <w:rPr>
          <w:sz w:val="24"/>
          <w:szCs w:val="24"/>
        </w:rPr>
        <w:br/>
      </w:r>
    </w:p>
    <w:p w14:paraId="494FBF81" w14:textId="77777777" w:rsidR="009B7EA7" w:rsidRPr="009B7EA7" w:rsidRDefault="009B7EA7" w:rsidP="009B7EA7">
      <w:pPr>
        <w:jc w:val="both"/>
        <w:rPr>
          <w:sz w:val="24"/>
          <w:szCs w:val="24"/>
        </w:rPr>
      </w:pPr>
      <w:r w:rsidRPr="009B7EA7">
        <w:rPr>
          <w:sz w:val="24"/>
          <w:szCs w:val="24"/>
        </w:rPr>
        <w:lastRenderedPageBreak/>
        <w:t xml:space="preserve">Mother B was in her early twenties while father C was mid-30s. They both identified as white British and had both lived in the North Wales area most of their lives. C shared that he would never move out of the North Wales area as this was home to him. </w:t>
      </w:r>
    </w:p>
    <w:p w14:paraId="13728438" w14:textId="77777777" w:rsidR="009B7EA7" w:rsidRPr="009B7EA7" w:rsidRDefault="009B7EA7" w:rsidP="009B7EA7">
      <w:pPr>
        <w:jc w:val="both"/>
        <w:rPr>
          <w:sz w:val="24"/>
          <w:szCs w:val="24"/>
        </w:rPr>
      </w:pPr>
    </w:p>
    <w:p w14:paraId="2B470F58" w14:textId="77777777" w:rsidR="009B7EA7" w:rsidRPr="009B7EA7" w:rsidRDefault="009B7EA7" w:rsidP="009B7EA7">
      <w:pPr>
        <w:jc w:val="both"/>
        <w:rPr>
          <w:sz w:val="24"/>
          <w:szCs w:val="24"/>
        </w:rPr>
      </w:pPr>
      <w:r w:rsidRPr="009B7EA7">
        <w:rPr>
          <w:sz w:val="24"/>
          <w:szCs w:val="24"/>
        </w:rPr>
        <w:t xml:space="preserve">Drawing the initial visit it was evident that the family home required some works before the house would be habitable for a </w:t>
      </w:r>
      <w:proofErr w:type="spellStart"/>
      <w:r w:rsidRPr="009B7EA7">
        <w:rPr>
          <w:sz w:val="24"/>
          <w:szCs w:val="24"/>
        </w:rPr>
        <w:t>newborn</w:t>
      </w:r>
      <w:proofErr w:type="spellEnd"/>
      <w:r w:rsidRPr="009B7EA7">
        <w:rPr>
          <w:sz w:val="24"/>
          <w:szCs w:val="24"/>
        </w:rPr>
        <w:t xml:space="preserve"> baby. B was quite confrontational about why I was there and was adamant that her personal circumstances had changed since she'd previously had children removed from her care. I informed B that I was aware of her history however I needed to gather further information, allowing them tell me their story. Open questions we're being used to allow for both parents to elaborate on the questions being asked. I explained to both parents the reasons why I was asking questions to gather information in and shared that add shared that the information would be stored under the general data protection regulation 2018 ensuring it was stored securely (GDPR, 2018).</w:t>
      </w:r>
    </w:p>
    <w:p w14:paraId="602462E2" w14:textId="77777777" w:rsidR="009B7EA7" w:rsidRPr="009B7EA7" w:rsidRDefault="009B7EA7" w:rsidP="009B7EA7">
      <w:pPr>
        <w:jc w:val="both"/>
        <w:rPr>
          <w:sz w:val="24"/>
          <w:szCs w:val="24"/>
        </w:rPr>
      </w:pPr>
    </w:p>
    <w:p w14:paraId="6EF24F9E" w14:textId="77777777" w:rsidR="009B7EA7" w:rsidRPr="009B7EA7" w:rsidRDefault="009B7EA7" w:rsidP="009B7EA7">
      <w:pPr>
        <w:jc w:val="both"/>
        <w:rPr>
          <w:sz w:val="24"/>
          <w:szCs w:val="24"/>
        </w:rPr>
      </w:pPr>
    </w:p>
    <w:p w14:paraId="60E5403B" w14:textId="77777777" w:rsidR="009B7EA7" w:rsidRPr="009B7EA7" w:rsidRDefault="009B7EA7" w:rsidP="009B7EA7">
      <w:pPr>
        <w:jc w:val="both"/>
        <w:rPr>
          <w:sz w:val="24"/>
          <w:szCs w:val="24"/>
        </w:rPr>
      </w:pPr>
      <w:r w:rsidRPr="009B7EA7">
        <w:rPr>
          <w:sz w:val="24"/>
          <w:szCs w:val="24"/>
        </w:rPr>
        <w:t>To complete a pre-birth risk assessment I am given 42 days from the date of allocation. During this time I planned to meet with both parents together and separately on several occasions this was to get an understanding of that background history and family functioning to enable me to have insight into them as individuals. As well as using the common assessment framework discussed I also worked collaboratively with other professionals and agencies involved with the parents. Social Care Wales 2014 states the following ‘collaboration across organisations will help make sure the principles of voice and control are achieved through design and operation services’.</w:t>
      </w:r>
    </w:p>
    <w:p w14:paraId="55DDFD8F" w14:textId="77777777" w:rsidR="009B7EA7" w:rsidRPr="009B7EA7" w:rsidRDefault="009B7EA7" w:rsidP="009B7EA7">
      <w:pPr>
        <w:jc w:val="both"/>
        <w:rPr>
          <w:sz w:val="24"/>
          <w:szCs w:val="24"/>
        </w:rPr>
      </w:pPr>
    </w:p>
    <w:p w14:paraId="405546E4" w14:textId="77777777" w:rsidR="009B7EA7" w:rsidRPr="009B7EA7" w:rsidRDefault="009B7EA7" w:rsidP="009B7EA7">
      <w:pPr>
        <w:jc w:val="both"/>
        <w:rPr>
          <w:sz w:val="24"/>
          <w:szCs w:val="24"/>
        </w:rPr>
      </w:pPr>
      <w:r w:rsidRPr="009B7EA7">
        <w:rPr>
          <w:sz w:val="24"/>
          <w:szCs w:val="24"/>
        </w:rPr>
        <w:t>Working in a collaborative manner ensures stop all information shared and gathered during the assessment is to support the family. it is often found that poor information sharing between multi- agency professionals is it contributing factor to failings in practice (Ofsted, 2010). It is essential that I record information in a timely manner and ensure the information recorded is factual as within my role I am accountable for information being recorded in an accurate and timely manner. It is well known that social work involves a significant amount of paperwork (Collins, 2008) however it is important that the paperwork evidence work undertaken, ensuring there is a paper .2009).</w:t>
      </w:r>
    </w:p>
    <w:p w14:paraId="228D80E8" w14:textId="77777777" w:rsidR="009B7EA7" w:rsidRPr="009B7EA7" w:rsidRDefault="009B7EA7" w:rsidP="009B7EA7">
      <w:pPr>
        <w:jc w:val="both"/>
        <w:rPr>
          <w:sz w:val="24"/>
          <w:szCs w:val="24"/>
        </w:rPr>
      </w:pPr>
    </w:p>
    <w:p w14:paraId="29970339" w14:textId="77777777" w:rsidR="009B7EA7" w:rsidRPr="009B7EA7" w:rsidRDefault="009B7EA7" w:rsidP="009B7EA7">
      <w:pPr>
        <w:jc w:val="both"/>
        <w:rPr>
          <w:sz w:val="24"/>
          <w:szCs w:val="24"/>
        </w:rPr>
      </w:pPr>
      <w:r w:rsidRPr="009B7EA7">
        <w:rPr>
          <w:sz w:val="24"/>
          <w:szCs w:val="24"/>
        </w:rPr>
        <w:t xml:space="preserve">Unfortunately, following the initial visit, both B and C’s engagement with the assessment declined however during the sessions that they did engage, I applied a systematic approach to my practice. Applying a systematic approach supported me with looking at what I wanted to achieve from the session, how I was going to achieve it and how I would know when it had been achieved (Healy, 2010). This ensured I remained focused on what I wanted to achieve and did not </w:t>
      </w:r>
      <w:proofErr w:type="spellStart"/>
      <w:r w:rsidRPr="009B7EA7">
        <w:rPr>
          <w:sz w:val="24"/>
          <w:szCs w:val="24"/>
        </w:rPr>
        <w:t>loose</w:t>
      </w:r>
      <w:proofErr w:type="spellEnd"/>
      <w:r w:rsidRPr="009B7EA7">
        <w:rPr>
          <w:sz w:val="24"/>
          <w:szCs w:val="24"/>
        </w:rPr>
        <w:t xml:space="preserve"> focus (Thompson &amp; Thompson, 2008). At the end of the session, I would inform B and C what we would be focusing on in the next session. I found this enabled the parents to prepare for sessions when discussing sensitive matters that they may find upsetting. </w:t>
      </w:r>
    </w:p>
    <w:p w14:paraId="21636B5D" w14:textId="77777777" w:rsidR="009B7EA7" w:rsidRPr="009B7EA7" w:rsidRDefault="009B7EA7" w:rsidP="009B7EA7">
      <w:pPr>
        <w:jc w:val="both"/>
        <w:rPr>
          <w:sz w:val="24"/>
          <w:szCs w:val="24"/>
        </w:rPr>
      </w:pPr>
    </w:p>
    <w:p w14:paraId="7E1A9776" w14:textId="77777777" w:rsidR="009B7EA7" w:rsidRPr="009B7EA7" w:rsidRDefault="009B7EA7" w:rsidP="009B7EA7">
      <w:pPr>
        <w:jc w:val="both"/>
        <w:rPr>
          <w:sz w:val="24"/>
          <w:szCs w:val="24"/>
        </w:rPr>
      </w:pPr>
      <w:r w:rsidRPr="009B7EA7">
        <w:rPr>
          <w:sz w:val="24"/>
          <w:szCs w:val="24"/>
        </w:rPr>
        <w:t xml:space="preserve">The North Wales Safeguarding Children’s Board; Multi-Agency Pre-Birth pathway (2016), asserts that Health Professionals are to also complete a Pre-Birth Risk Assessment. This pre-birth is to commence at around the mother being 12 weeks pregnant and is completed by the Community Midwife and Health Visitor. </w:t>
      </w:r>
    </w:p>
    <w:p w14:paraId="5D319169" w14:textId="77777777" w:rsidR="009B7EA7" w:rsidRPr="009B7EA7" w:rsidRDefault="009B7EA7" w:rsidP="009B7EA7">
      <w:pPr>
        <w:jc w:val="both"/>
        <w:rPr>
          <w:sz w:val="24"/>
          <w:szCs w:val="24"/>
        </w:rPr>
      </w:pPr>
    </w:p>
    <w:p w14:paraId="51A4599C" w14:textId="77777777" w:rsidR="009B7EA7" w:rsidRPr="009B7EA7" w:rsidRDefault="009B7EA7" w:rsidP="009B7EA7">
      <w:pPr>
        <w:jc w:val="both"/>
        <w:rPr>
          <w:sz w:val="24"/>
          <w:szCs w:val="24"/>
        </w:rPr>
      </w:pPr>
      <w:r w:rsidRPr="009B7EA7">
        <w:rPr>
          <w:sz w:val="24"/>
          <w:szCs w:val="24"/>
        </w:rPr>
        <w:t>The Bruce Thornton Pre-Birth Risk Assessment sets out to ‘understand the parenting capacity of the parents, understanding the needs of the unborn child pre and post birth, assessing level of harm, classifying risk of harm, prediction of future harm and identifying risks of significant harm’ (Bruce Thornton, 2013).</w:t>
      </w:r>
    </w:p>
    <w:p w14:paraId="290EA82A" w14:textId="77777777" w:rsidR="009B7EA7" w:rsidRPr="009B7EA7" w:rsidRDefault="009B7EA7" w:rsidP="009B7EA7">
      <w:pPr>
        <w:jc w:val="both"/>
        <w:rPr>
          <w:sz w:val="24"/>
          <w:szCs w:val="24"/>
        </w:rPr>
      </w:pPr>
    </w:p>
    <w:p w14:paraId="32561BB7" w14:textId="77777777" w:rsidR="009B7EA7" w:rsidRPr="009B7EA7" w:rsidRDefault="009B7EA7" w:rsidP="009B7EA7">
      <w:pPr>
        <w:jc w:val="both"/>
        <w:rPr>
          <w:sz w:val="24"/>
          <w:szCs w:val="24"/>
        </w:rPr>
      </w:pPr>
      <w:r w:rsidRPr="009B7EA7">
        <w:rPr>
          <w:sz w:val="24"/>
          <w:szCs w:val="24"/>
        </w:rPr>
        <w:t>Throughout the assessment, I was aware of how overwhelming the process was for them. I ensured that from the beginning of the assessment, in line with social work values, I was open and honest with the parents. I adopted an anti-discriminatory and anti-oppressive approach to my practice and was mindful of being non-judgemental towards the parents and their current situation (Banks, 2012).</w:t>
      </w:r>
    </w:p>
    <w:p w14:paraId="2C7207C2" w14:textId="77777777" w:rsidR="009B7EA7" w:rsidRPr="009B7EA7" w:rsidRDefault="009B7EA7" w:rsidP="009B7EA7">
      <w:pPr>
        <w:jc w:val="both"/>
        <w:rPr>
          <w:sz w:val="24"/>
          <w:szCs w:val="24"/>
        </w:rPr>
      </w:pPr>
    </w:p>
    <w:p w14:paraId="2DA073DF" w14:textId="77777777" w:rsidR="009B7EA7" w:rsidRPr="009B7EA7" w:rsidRDefault="009B7EA7" w:rsidP="009B7EA7">
      <w:pPr>
        <w:jc w:val="both"/>
        <w:rPr>
          <w:sz w:val="24"/>
          <w:szCs w:val="24"/>
        </w:rPr>
      </w:pPr>
      <w:r w:rsidRPr="009B7EA7">
        <w:rPr>
          <w:sz w:val="24"/>
          <w:szCs w:val="24"/>
        </w:rPr>
        <w:t xml:space="preserve">Within my assessment a number of risk factors were identified, these included poor mental health, substance misuse and domestic violence. These risk factors together combined are referred to as the ‘toxic trio’. Hardy, 2018 states that the term ‘toxic trio’ can be deemed inappropriate as often a mother is the victim of abuse herself and this term can victimise the mother, meaning the perpetrator of abuse is not being held accountable for their actions. Further research suggests that fathers engagement with social workers can be problematic during visits or not be present during visits (Farmer, 2006 cited in Cleaver et al. 2011). When working with B and C, although C engaged with the initial visit he was difficult to engage with following this. This made if it difficult to ascertain and discuss risk factors identified during my assessment. </w:t>
      </w:r>
    </w:p>
    <w:p w14:paraId="7F89F60B" w14:textId="77777777" w:rsidR="009B7EA7" w:rsidRPr="009B7EA7" w:rsidRDefault="009B7EA7" w:rsidP="009B7EA7">
      <w:pPr>
        <w:jc w:val="both"/>
        <w:rPr>
          <w:sz w:val="24"/>
          <w:szCs w:val="24"/>
        </w:rPr>
      </w:pPr>
    </w:p>
    <w:p w14:paraId="6AB10180" w14:textId="77777777" w:rsidR="009B7EA7" w:rsidRPr="009B7EA7" w:rsidRDefault="009B7EA7" w:rsidP="009B7EA7">
      <w:pPr>
        <w:jc w:val="both"/>
        <w:rPr>
          <w:sz w:val="24"/>
          <w:szCs w:val="24"/>
        </w:rPr>
      </w:pPr>
      <w:r w:rsidRPr="009B7EA7">
        <w:rPr>
          <w:sz w:val="24"/>
          <w:szCs w:val="24"/>
        </w:rPr>
        <w:t>As a result of B’s historical background and the lack of engagement I believed that the Local Authority needed to remain involved following the birth of A and consideration for an Initial Child Protection Conference was required to safeguard A once born.</w:t>
      </w:r>
    </w:p>
    <w:p w14:paraId="23936EEF" w14:textId="77777777" w:rsidR="009B7EA7" w:rsidRPr="009B7EA7" w:rsidRDefault="009B7EA7" w:rsidP="009B7EA7">
      <w:pPr>
        <w:jc w:val="both"/>
        <w:rPr>
          <w:sz w:val="24"/>
          <w:szCs w:val="24"/>
        </w:rPr>
      </w:pPr>
    </w:p>
    <w:p w14:paraId="6A137BB9" w14:textId="77777777" w:rsidR="009B7EA7" w:rsidRPr="009B7EA7" w:rsidRDefault="009B7EA7" w:rsidP="009B7EA7">
      <w:pPr>
        <w:jc w:val="both"/>
        <w:rPr>
          <w:sz w:val="24"/>
          <w:szCs w:val="24"/>
        </w:rPr>
      </w:pPr>
      <w:r w:rsidRPr="009B7EA7">
        <w:rPr>
          <w:sz w:val="24"/>
          <w:szCs w:val="24"/>
        </w:rPr>
        <w:t xml:space="preserve">All Wales Child Protection Procedures, 2008 set out the child protection process and this guided my role throughout. I presented my Pre-Birth Risk assessment to a senior social worker in the team, and it was decided that a strategy discussion would be required. Once a strategy discussion has been requested, it is to take place within twenty-four hours (AWCPP, 2008). The strategy discussion took place between a Senior Practitioner, representing the Local Authority and North Wales Police. During the discussion all information gathered was shared and a decision is to be made on how to move forward (Davies and Duckett, 2016). Due to the risk factors identified in my assessment, it was agreed that the case of unborn A would be presented to Initial Child Protection Conference. This is the opportunity for all professionals involved with the family to come together with parents to share information and present any concerns in relation to their unborn child. Once this decision had been agreed, the Local Authority have 15 days to ensure the initial conference has been held in respect of the child (AWCPP, 2008). Due to the timescales, it was vital that I communicated effectively to with the Local Authorities Children’s Safeguarding Team to ensure the initial child protection conference was arranged within timescales. Alongside this, I had to provide the safeguarding team with an invitation list to ensure both parents and professionals were given notice of the meeting in a timely manner. It is important that details for professionals are kept up to date to ensure there is no breach of data as well working within the General Data Protection Regulation guidelines (Information Commissioners Office, 2018). As standing members, North Wales Police and a Children’s </w:t>
      </w:r>
      <w:r w:rsidRPr="009B7EA7">
        <w:rPr>
          <w:sz w:val="24"/>
          <w:szCs w:val="24"/>
        </w:rPr>
        <w:lastRenderedPageBreak/>
        <w:t xml:space="preserve">Paediatrician are invited to the Initial Child Protection Conference which enables them to share any information they may feel relevant (Local Authority, 2019). </w:t>
      </w:r>
    </w:p>
    <w:p w14:paraId="087E4B31" w14:textId="77777777" w:rsidR="009B7EA7" w:rsidRPr="009B7EA7" w:rsidRDefault="009B7EA7" w:rsidP="009B7EA7">
      <w:pPr>
        <w:jc w:val="both"/>
        <w:rPr>
          <w:sz w:val="24"/>
          <w:szCs w:val="24"/>
        </w:rPr>
      </w:pPr>
    </w:p>
    <w:p w14:paraId="70174840" w14:textId="77777777" w:rsidR="009B7EA7" w:rsidRPr="009B7EA7" w:rsidRDefault="009B7EA7" w:rsidP="009B7EA7">
      <w:pPr>
        <w:jc w:val="both"/>
        <w:rPr>
          <w:sz w:val="24"/>
          <w:szCs w:val="24"/>
        </w:rPr>
      </w:pPr>
      <w:r w:rsidRPr="009B7EA7">
        <w:rPr>
          <w:sz w:val="24"/>
          <w:szCs w:val="24"/>
        </w:rPr>
        <w:t xml:space="preserve">An Independent Safeguarding Chair is responsible for chairing a Child Protection Conference. The purposes of a Child Protection Conference is firstly allow professionals to share information to establish whether or not the child/children concerned are suffering significant harm or are likely to suffer significant harm and how the agencies involved can offer support to the family within a child protection plan to ensure the risk to the child/children concerned is reduced (Wilson et al, 2007). In preparation for the conference, professionals who are invited to conference are to provide a report, discussing their involvement with the family and sharing any concerns or notable points from working with the child and their family. It is vital that all relevant information is shared by agencies involved, this aids decision making in the best interest of the child (Bell, 2001). </w:t>
      </w:r>
    </w:p>
    <w:p w14:paraId="483BBAF5" w14:textId="77777777" w:rsidR="009B7EA7" w:rsidRPr="009B7EA7" w:rsidRDefault="009B7EA7" w:rsidP="009B7EA7">
      <w:pPr>
        <w:jc w:val="both"/>
        <w:rPr>
          <w:sz w:val="24"/>
          <w:szCs w:val="24"/>
        </w:rPr>
      </w:pPr>
    </w:p>
    <w:p w14:paraId="36801EA6" w14:textId="77777777" w:rsidR="009B7EA7" w:rsidRPr="009B7EA7" w:rsidRDefault="009B7EA7" w:rsidP="009B7EA7">
      <w:pPr>
        <w:jc w:val="both"/>
        <w:rPr>
          <w:sz w:val="24"/>
          <w:szCs w:val="24"/>
        </w:rPr>
      </w:pPr>
      <w:r w:rsidRPr="009B7EA7">
        <w:rPr>
          <w:sz w:val="24"/>
          <w:szCs w:val="24"/>
        </w:rPr>
        <w:t xml:space="preserve">I prepared the Initial Child Protection report highlighting the Local Authorities concerns and reasoning as to why it was felt that a Care and Support Protection Plan was needed to ensure the safety and wellbeing of A once born. Within the report, I had shared my reasons for recommending unborn A’s name in placed of the Child Protection Register as well as which category of abuse I felt A was at risk of experiencing once born. </w:t>
      </w:r>
    </w:p>
    <w:p w14:paraId="6C249161" w14:textId="77777777" w:rsidR="009B7EA7" w:rsidRPr="009B7EA7" w:rsidRDefault="009B7EA7" w:rsidP="009B7EA7">
      <w:pPr>
        <w:jc w:val="both"/>
        <w:rPr>
          <w:sz w:val="24"/>
          <w:szCs w:val="24"/>
        </w:rPr>
      </w:pPr>
    </w:p>
    <w:p w14:paraId="51EA3697" w14:textId="77777777" w:rsidR="009B7EA7" w:rsidRPr="009B7EA7" w:rsidRDefault="009B7EA7" w:rsidP="009B7EA7">
      <w:pPr>
        <w:jc w:val="both"/>
        <w:rPr>
          <w:sz w:val="24"/>
          <w:szCs w:val="24"/>
        </w:rPr>
      </w:pPr>
      <w:r w:rsidRPr="009B7EA7">
        <w:rPr>
          <w:sz w:val="24"/>
          <w:szCs w:val="24"/>
        </w:rPr>
        <w:t xml:space="preserve">Within S31 (9) of the Children Act, 1989, harm is defined as ‘ill-treatment or the impairment of health or development, including, for example, impairment suffered from seeing or hearing, the ill-treatment of another’ (HMSO, 1989). When a child’s name has been placed on the Child Protection Register, a decision has to be made regarding the category of abuse the child is experiencing or is at risk of experiencing. The All Wales Child Protection Procedures, 2008 identify four categories of abuse, relating to children, these are Neglect, Sexual Harm, Physical Harm and Neglect. These risk factors are also known as Adverse Childhood Experiences (ACE’s). Research has identified a link between childhood experiences and poor physical health during adulthood (Vincent et al, 1998). </w:t>
      </w:r>
    </w:p>
    <w:p w14:paraId="213D1E8B" w14:textId="77777777" w:rsidR="009B7EA7" w:rsidRPr="009B7EA7" w:rsidRDefault="009B7EA7" w:rsidP="009B7EA7">
      <w:pPr>
        <w:jc w:val="both"/>
        <w:rPr>
          <w:sz w:val="24"/>
          <w:szCs w:val="24"/>
        </w:rPr>
      </w:pPr>
    </w:p>
    <w:p w14:paraId="40C96C40" w14:textId="77777777" w:rsidR="009B7EA7" w:rsidRPr="009B7EA7" w:rsidRDefault="009B7EA7" w:rsidP="009B7EA7">
      <w:pPr>
        <w:jc w:val="both"/>
        <w:rPr>
          <w:sz w:val="24"/>
          <w:szCs w:val="24"/>
        </w:rPr>
      </w:pPr>
      <w:r w:rsidRPr="009B7EA7">
        <w:rPr>
          <w:sz w:val="24"/>
          <w:szCs w:val="24"/>
        </w:rPr>
        <w:t xml:space="preserve">By exploring ACE’s within assessments allows for social workers allows for a new way of looking assessing the needs of a child as well as identifying services to support (Bunting et al, 2017). However, this approach has also been described as having a ‘patchy interest amongst Social Work Researchers’ due to the more urgent need in addressing the immediate risks identified to children rather </w:t>
      </w:r>
      <w:proofErr w:type="spellStart"/>
      <w:r w:rsidRPr="009B7EA7">
        <w:rPr>
          <w:sz w:val="24"/>
          <w:szCs w:val="24"/>
        </w:rPr>
        <w:t>then</w:t>
      </w:r>
      <w:proofErr w:type="spellEnd"/>
      <w:r w:rsidRPr="009B7EA7">
        <w:rPr>
          <w:sz w:val="24"/>
          <w:szCs w:val="24"/>
        </w:rPr>
        <w:t xml:space="preserve"> the potential risks to them later in life (Spratt et al, 2019). Nevertheless, when practicing as a social worker in Wales, ACE’s are to be considered when assessing a child’s needs to encourage positive parenting alongside the assurance of effective intervention (North Wales Safeguarding Board, 2019). Within the Pre-Birth Risk Assessment I completed, I identified four ACE’s that A could be at risk at, these were emotional abuse, parental mental ill health, substance misuse and domestic abuse. It has been noted within supervision that the assessment tool used to complete the Pre-Birth Risk Assessment needs more focus around ACE’s, to coincide with current government practice within Wales. </w:t>
      </w:r>
    </w:p>
    <w:p w14:paraId="0A4A9E1B" w14:textId="77777777" w:rsidR="009B7EA7" w:rsidRPr="009B7EA7" w:rsidRDefault="009B7EA7" w:rsidP="009B7EA7">
      <w:pPr>
        <w:jc w:val="both"/>
        <w:rPr>
          <w:sz w:val="24"/>
          <w:szCs w:val="24"/>
        </w:rPr>
      </w:pPr>
    </w:p>
    <w:p w14:paraId="6BA036E4" w14:textId="77777777" w:rsidR="009B7EA7" w:rsidRPr="009B7EA7" w:rsidRDefault="009B7EA7" w:rsidP="009B7EA7">
      <w:pPr>
        <w:jc w:val="both"/>
        <w:rPr>
          <w:sz w:val="24"/>
          <w:szCs w:val="24"/>
        </w:rPr>
      </w:pPr>
      <w:r w:rsidRPr="009B7EA7">
        <w:rPr>
          <w:sz w:val="24"/>
          <w:szCs w:val="24"/>
        </w:rPr>
        <w:t xml:space="preserve">Prior to the Initial Child Protection Conference, parents are given the opportunity to meet with the Independent Safeguarding Chair. B and C met with the chair and were able to share their understanding and views of the risk identified within the assessment. It is an important part of </w:t>
      </w:r>
      <w:r w:rsidRPr="009B7EA7">
        <w:rPr>
          <w:sz w:val="24"/>
          <w:szCs w:val="24"/>
        </w:rPr>
        <w:lastRenderedPageBreak/>
        <w:t xml:space="preserve">the process as parents should feel that their views have been respected (Cleaver and Freeman, 1995). </w:t>
      </w:r>
    </w:p>
    <w:p w14:paraId="7C66B4CC" w14:textId="77777777" w:rsidR="009B7EA7" w:rsidRPr="009B7EA7" w:rsidRDefault="009B7EA7" w:rsidP="009B7EA7">
      <w:pPr>
        <w:jc w:val="both"/>
        <w:rPr>
          <w:sz w:val="24"/>
          <w:szCs w:val="24"/>
        </w:rPr>
      </w:pPr>
    </w:p>
    <w:p w14:paraId="0B32EC93" w14:textId="77777777" w:rsidR="009B7EA7" w:rsidRPr="009B7EA7" w:rsidRDefault="009B7EA7" w:rsidP="009B7EA7">
      <w:pPr>
        <w:jc w:val="both"/>
        <w:rPr>
          <w:sz w:val="24"/>
          <w:szCs w:val="24"/>
        </w:rPr>
      </w:pPr>
      <w:r w:rsidRPr="009B7EA7">
        <w:rPr>
          <w:sz w:val="24"/>
          <w:szCs w:val="24"/>
        </w:rPr>
        <w:t xml:space="preserve">Using the exchange model approach enabled me to include B and C in the assessment as much as possible, recognising them as the ‘experts of their own problems’. This allowed for B and C to discuss issues openly and feel valued and understood (Smale and </w:t>
      </w:r>
      <w:proofErr w:type="spellStart"/>
      <w:r w:rsidRPr="009B7EA7">
        <w:rPr>
          <w:sz w:val="24"/>
          <w:szCs w:val="24"/>
        </w:rPr>
        <w:t>Tusan</w:t>
      </w:r>
      <w:proofErr w:type="spellEnd"/>
      <w:r w:rsidRPr="009B7EA7">
        <w:rPr>
          <w:sz w:val="24"/>
          <w:szCs w:val="24"/>
        </w:rPr>
        <w:t xml:space="preserve">, 1993). I regularly discuss this collaborative approach within my supervision sessions to ensure I am working with parents in the most effective way possible. Working in partnership is highlighted within the Social Service and Wellbeing Act, 2014, therefore this current legislation underpins my practice to ensure I collaboratively work with parents as effectively as possible. This approach ensured that parents were fully prepared as to what was going to be in my child protection report and supported them with being prepared for conference. </w:t>
      </w:r>
    </w:p>
    <w:p w14:paraId="3BAA7D9F" w14:textId="77777777" w:rsidR="009B7EA7" w:rsidRPr="009B7EA7" w:rsidRDefault="009B7EA7" w:rsidP="009B7EA7">
      <w:pPr>
        <w:jc w:val="both"/>
        <w:rPr>
          <w:sz w:val="24"/>
          <w:szCs w:val="24"/>
        </w:rPr>
      </w:pPr>
    </w:p>
    <w:p w14:paraId="16A21BC6" w14:textId="77777777" w:rsidR="009B7EA7" w:rsidRPr="009B7EA7" w:rsidRDefault="009B7EA7" w:rsidP="009B7EA7">
      <w:pPr>
        <w:jc w:val="both"/>
        <w:rPr>
          <w:sz w:val="24"/>
          <w:szCs w:val="24"/>
        </w:rPr>
      </w:pPr>
      <w:r w:rsidRPr="009B7EA7">
        <w:rPr>
          <w:sz w:val="24"/>
          <w:szCs w:val="24"/>
        </w:rPr>
        <w:t>During the Initial Child Protection Conference, I presented the information I had gathered and the concerns that had come to light from the assessment process and the ACE’s were explored with the professionals present. After all information has been shared relating to A, the Independent Safeguarding Chair, provided a summary a summary of the information shared by professionals, the risks that had been identified and the parents response to the risks identified. Once this has been completed, the Chair asks the professionals present to provide a recommendation and reasoning behind whether they feel that A will be at risk of continuing significant harm. In terms of decision making, The All Wales Child Protection Procedures, 2008 states ‘Professional judgement, substantiated by the findings of enquires in this individual case or by research evidence, is that the child is likely to suffer ill treatment or the impairment of health or development as a result of physical, emotional, sexual abuse or neglect’ (AWCPP, 2008).</w:t>
      </w:r>
    </w:p>
    <w:p w14:paraId="64103AB1" w14:textId="77777777" w:rsidR="009B7EA7" w:rsidRPr="009B7EA7" w:rsidRDefault="009B7EA7" w:rsidP="009B7EA7">
      <w:pPr>
        <w:jc w:val="both"/>
        <w:rPr>
          <w:sz w:val="24"/>
          <w:szCs w:val="24"/>
        </w:rPr>
      </w:pPr>
    </w:p>
    <w:p w14:paraId="5DA8883E" w14:textId="77777777" w:rsidR="009B7EA7" w:rsidRPr="009B7EA7" w:rsidRDefault="009B7EA7" w:rsidP="009B7EA7">
      <w:pPr>
        <w:jc w:val="both"/>
        <w:rPr>
          <w:sz w:val="24"/>
          <w:szCs w:val="24"/>
        </w:rPr>
      </w:pPr>
      <w:r w:rsidRPr="009B7EA7">
        <w:rPr>
          <w:sz w:val="24"/>
          <w:szCs w:val="24"/>
        </w:rPr>
        <w:t>It was a unanimous decision by all professionals present, that A was at risk of significant harm, resulting in their name being placed on the Child Protection Register prior to their birth. Due to the information shared during the conference, it was a recommended that A would be registered under the category of emotional harm. Once the decision has been made, the chair moved on to devising a robust Care and Support Protection Plan, based on recommendations I had already made. The Care and Support Protection plan must in the wishes of the child and their parents and consider the child’s welfare (AWCP, 2008). A robust care and support protection plan must clearly explain to the parents what actions are expected to be achieved to ensure the outcomes for the child and their wellbeing is met (Citizens Advice, 2019). The purpose of the Care and Support Protection Plan is to protect the child from experiencing further significant harm and to organise services to support positive change required (Farmer and Lutman, 2012).  The Care and Support Protection Plan for A contained short and long term tasks for B and C to complete with support from the professionals involved with the family. Following the conference parents and professionals will receive a copy of the minutes taken on the day.</w:t>
      </w:r>
    </w:p>
    <w:p w14:paraId="257F9A9A" w14:textId="77777777" w:rsidR="009B7EA7" w:rsidRPr="009B7EA7" w:rsidRDefault="009B7EA7" w:rsidP="009B7EA7">
      <w:pPr>
        <w:jc w:val="both"/>
        <w:rPr>
          <w:sz w:val="24"/>
          <w:szCs w:val="24"/>
        </w:rPr>
      </w:pPr>
    </w:p>
    <w:p w14:paraId="2B5AC4E3" w14:textId="77777777" w:rsidR="009B7EA7" w:rsidRPr="009B7EA7" w:rsidRDefault="009B7EA7" w:rsidP="009B7EA7">
      <w:pPr>
        <w:jc w:val="both"/>
        <w:rPr>
          <w:sz w:val="24"/>
          <w:szCs w:val="24"/>
        </w:rPr>
      </w:pPr>
      <w:r w:rsidRPr="009B7EA7">
        <w:rPr>
          <w:sz w:val="24"/>
          <w:szCs w:val="24"/>
        </w:rPr>
        <w:t xml:space="preserve">Multi-agency Core Group meetings are held every four to six weeks (within 10 days after initial child protection conference) where the progress of the care and support protection plan is reviewed and outcomes for the child discussed (AWCPP, 2008). Following the initial child protection conference and A’s name being placed on the child protection register, a review was held at three months and then a further six months. These reviews allowed for the care and </w:t>
      </w:r>
      <w:r w:rsidRPr="009B7EA7">
        <w:rPr>
          <w:sz w:val="24"/>
          <w:szCs w:val="24"/>
        </w:rPr>
        <w:lastRenderedPageBreak/>
        <w:t xml:space="preserve">support protection plan to be reviewed and amended to meet the needs of A, especially after the birth. </w:t>
      </w:r>
    </w:p>
    <w:p w14:paraId="5440021E" w14:textId="77777777" w:rsidR="009B7EA7" w:rsidRPr="009B7EA7" w:rsidRDefault="009B7EA7" w:rsidP="009B7EA7">
      <w:pPr>
        <w:jc w:val="both"/>
        <w:rPr>
          <w:sz w:val="24"/>
          <w:szCs w:val="24"/>
        </w:rPr>
      </w:pPr>
    </w:p>
    <w:p w14:paraId="369E27F1" w14:textId="77777777" w:rsidR="009B7EA7" w:rsidRPr="009B7EA7" w:rsidRDefault="009B7EA7" w:rsidP="009B7EA7">
      <w:pPr>
        <w:jc w:val="both"/>
        <w:rPr>
          <w:sz w:val="24"/>
          <w:szCs w:val="24"/>
        </w:rPr>
      </w:pPr>
      <w:r w:rsidRPr="009B7EA7">
        <w:rPr>
          <w:sz w:val="24"/>
          <w:szCs w:val="24"/>
        </w:rPr>
        <w:t>During the child protection process, I utilised supervision to support with different social work theories to aid my understanding of the dynamics of the family and their circumstances. As families and their situations are ever changing, not one theory will fit all therefore it is important to a varied approach when using theories (Gray &amp; Webb, 2013). A theory supports a social worker to understand a person’s current situation, behaviours they are portraying and the type of environment they are in (</w:t>
      </w:r>
      <w:proofErr w:type="spellStart"/>
      <w:r w:rsidRPr="009B7EA7">
        <w:rPr>
          <w:sz w:val="24"/>
          <w:szCs w:val="24"/>
        </w:rPr>
        <w:t>Teater</w:t>
      </w:r>
      <w:proofErr w:type="spellEnd"/>
      <w:r w:rsidRPr="009B7EA7">
        <w:rPr>
          <w:sz w:val="24"/>
          <w:szCs w:val="24"/>
        </w:rPr>
        <w:t xml:space="preserve">, 2010). One theory that supported my understanding when working with B and C was that of Attachment Theory (Bowlby, 1973). Through discussions with B during the assessment process, it was notable that she herself had experienced a difficult childhood, her parents were not consistent with their care and at times exposed her difficult and at times scary situations. Within supervision I was able to discuss this with my supervisor and use attachment theory to support my understanding of why B presented the way she did. Attachment theory suggests that if a person has not experienced a consistent care giver as a child, there is a risk that as an adult the person may fail to provide secure attachments to their own children (Maclean and Harrison, 2015). Applying attachment theory to practice when working with B, supported with my understanding of why she was potentially displaying some of the chaotic behaviours she was. </w:t>
      </w:r>
    </w:p>
    <w:p w14:paraId="6C6F29BB" w14:textId="77777777" w:rsidR="009B7EA7" w:rsidRPr="009B7EA7" w:rsidRDefault="009B7EA7" w:rsidP="009B7EA7">
      <w:pPr>
        <w:jc w:val="both"/>
        <w:rPr>
          <w:sz w:val="24"/>
          <w:szCs w:val="24"/>
        </w:rPr>
      </w:pPr>
    </w:p>
    <w:p w14:paraId="7FA0DB53" w14:textId="77777777" w:rsidR="009B7EA7" w:rsidRPr="009B7EA7" w:rsidRDefault="009B7EA7" w:rsidP="009B7EA7">
      <w:pPr>
        <w:jc w:val="both"/>
        <w:rPr>
          <w:sz w:val="24"/>
          <w:szCs w:val="24"/>
        </w:rPr>
      </w:pPr>
    </w:p>
    <w:p w14:paraId="590AEAAC" w14:textId="2935B0DC" w:rsidR="009B7EA7" w:rsidRDefault="009B7EA7" w:rsidP="009B7EA7">
      <w:pPr>
        <w:jc w:val="both"/>
        <w:rPr>
          <w:sz w:val="24"/>
          <w:szCs w:val="24"/>
        </w:rPr>
      </w:pPr>
      <w:r w:rsidRPr="009B7EA7">
        <w:rPr>
          <w:sz w:val="24"/>
          <w:szCs w:val="24"/>
        </w:rPr>
        <w:t>Within supervision, I also reflected on my practice, working with B and C. I continued to use Gibbs model of reflection to support with this (Gibbs, 19</w:t>
      </w:r>
      <w:r w:rsidR="00737600">
        <w:rPr>
          <w:sz w:val="24"/>
          <w:szCs w:val="24"/>
        </w:rPr>
        <w:t>8</w:t>
      </w:r>
      <w:r w:rsidRPr="009B7EA7">
        <w:rPr>
          <w:sz w:val="24"/>
          <w:szCs w:val="24"/>
        </w:rPr>
        <w:t>8). During the process, at times I found it difficult to work with B, she was confrontational and mistrustful of services due to her previous experience of having children removed from her care. I reflected on my experience during supervision and reflected on how the child protection process was difficult under these circumstances. By analysing my involvement with my supervisor, I was able to recognise that knowledge and legislation underpinned my work with the family and the correct processes were followed. My supervisor was able to offer different perspectives for me to consider when working with the family. These perspectives allowed me to work in an empathetic manner with B, seeing the situation from her side. Reflecting regularly within supervision provided me with new understandings and approached to work collaboratively with B to improve outcomes for A and the family unit.</w:t>
      </w:r>
    </w:p>
    <w:p w14:paraId="3DD0835A" w14:textId="034BE572" w:rsidR="009B7EA7" w:rsidRDefault="009B7EA7" w:rsidP="009B7EA7">
      <w:pPr>
        <w:jc w:val="both"/>
        <w:rPr>
          <w:sz w:val="24"/>
          <w:szCs w:val="24"/>
        </w:rPr>
      </w:pPr>
    </w:p>
    <w:p w14:paraId="11AE0069" w14:textId="0AA6420A" w:rsidR="009B7EA7" w:rsidRPr="009B7EA7" w:rsidRDefault="009B7EA7" w:rsidP="009B7EA7">
      <w:pPr>
        <w:jc w:val="both"/>
        <w:rPr>
          <w:sz w:val="24"/>
          <w:szCs w:val="24"/>
        </w:rPr>
      </w:pPr>
      <w:r>
        <w:rPr>
          <w:sz w:val="24"/>
          <w:szCs w:val="24"/>
        </w:rPr>
        <w:t>Wordcount - 4214</w:t>
      </w:r>
    </w:p>
    <w:p w14:paraId="780FDD83" w14:textId="4B48B952" w:rsidR="00327904" w:rsidRDefault="00327904" w:rsidP="00243267">
      <w:pPr>
        <w:jc w:val="both"/>
        <w:rPr>
          <w:sz w:val="24"/>
          <w:szCs w:val="24"/>
        </w:rPr>
      </w:pPr>
    </w:p>
    <w:p w14:paraId="3FFA59AD" w14:textId="77777777" w:rsidR="002D0A7B" w:rsidRDefault="002D0A7B" w:rsidP="00243267">
      <w:pPr>
        <w:jc w:val="both"/>
        <w:rPr>
          <w:sz w:val="24"/>
          <w:szCs w:val="24"/>
        </w:rPr>
      </w:pPr>
    </w:p>
    <w:p w14:paraId="7C8F84D4" w14:textId="28E7B3C0" w:rsidR="00B81CBA" w:rsidRDefault="00B81CBA" w:rsidP="00243267">
      <w:pPr>
        <w:jc w:val="both"/>
        <w:rPr>
          <w:sz w:val="24"/>
          <w:szCs w:val="24"/>
        </w:rPr>
      </w:pPr>
    </w:p>
    <w:p w14:paraId="5BE7949B" w14:textId="77777777" w:rsidR="00B81CBA" w:rsidRDefault="00B81CBA" w:rsidP="00243267">
      <w:pPr>
        <w:jc w:val="both"/>
        <w:rPr>
          <w:sz w:val="24"/>
          <w:szCs w:val="24"/>
        </w:rPr>
      </w:pPr>
    </w:p>
    <w:p w14:paraId="1D0D91CE" w14:textId="10456B30" w:rsidR="000D0BB6" w:rsidRDefault="00C93F8F" w:rsidP="00243267">
      <w:pPr>
        <w:jc w:val="both"/>
        <w:rPr>
          <w:b/>
          <w:sz w:val="24"/>
          <w:szCs w:val="24"/>
        </w:rPr>
      </w:pPr>
      <w:r w:rsidRPr="00243267">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3E70D2C0" w14:textId="77777777" w:rsidR="00390074" w:rsidRDefault="00390074" w:rsidP="00FF7EBB">
      <w:pPr>
        <w:jc w:val="both"/>
        <w:rPr>
          <w:sz w:val="24"/>
          <w:szCs w:val="24"/>
        </w:rPr>
      </w:pPr>
    </w:p>
    <w:p w14:paraId="3BBE297E" w14:textId="77777777" w:rsidR="009D542F" w:rsidRPr="009D542F" w:rsidRDefault="009D542F" w:rsidP="009D542F">
      <w:pPr>
        <w:overflowPunct/>
        <w:autoSpaceDE/>
        <w:autoSpaceDN/>
        <w:adjustRightInd/>
        <w:jc w:val="both"/>
        <w:textAlignment w:val="auto"/>
        <w:rPr>
          <w:color w:val="500050"/>
          <w:sz w:val="24"/>
          <w:szCs w:val="24"/>
          <w:shd w:val="clear" w:color="auto" w:fill="FFFFFF"/>
        </w:rPr>
      </w:pPr>
      <w:r w:rsidRPr="009D542F">
        <w:rPr>
          <w:sz w:val="24"/>
          <w:szCs w:val="24"/>
          <w:shd w:val="clear" w:color="auto" w:fill="FFFFFF"/>
        </w:rPr>
        <w:t>The Social Services and Wellbeing (Wales) Act 2014 (SSWBA, 2014), underpins safeguarding in Wales for both adults and children. Part 7, section 126 of the SSWBA 2014 defines that an adult at risk is ‘experiencing or is at risk of abuse and neglect; has care and support; is unable to protect themselves from abuse or neglect’ (SSWBA, 2014).  </w:t>
      </w:r>
    </w:p>
    <w:p w14:paraId="094A893D" w14:textId="77777777" w:rsidR="009D542F" w:rsidRPr="009D542F" w:rsidRDefault="009D542F" w:rsidP="009D542F">
      <w:pPr>
        <w:overflowPunct/>
        <w:autoSpaceDE/>
        <w:autoSpaceDN/>
        <w:adjustRightInd/>
        <w:jc w:val="both"/>
        <w:textAlignment w:val="auto"/>
        <w:rPr>
          <w:color w:val="500050"/>
          <w:sz w:val="24"/>
          <w:szCs w:val="24"/>
          <w:shd w:val="clear" w:color="auto" w:fill="FFFFFF"/>
        </w:rPr>
      </w:pPr>
      <w:r w:rsidRPr="009D542F">
        <w:rPr>
          <w:sz w:val="24"/>
          <w:szCs w:val="24"/>
          <w:shd w:val="clear" w:color="auto" w:fill="FFFFFF"/>
        </w:rPr>
        <w:t> </w:t>
      </w:r>
    </w:p>
    <w:p w14:paraId="0B7FA10F" w14:textId="77777777" w:rsidR="009D542F" w:rsidRPr="009D542F" w:rsidRDefault="009D542F" w:rsidP="009D542F">
      <w:pPr>
        <w:shd w:val="clear" w:color="auto" w:fill="FFFFFF"/>
        <w:overflowPunct/>
        <w:autoSpaceDE/>
        <w:autoSpaceDN/>
        <w:adjustRightInd/>
        <w:jc w:val="both"/>
        <w:textAlignment w:val="auto"/>
        <w:rPr>
          <w:color w:val="222222"/>
          <w:sz w:val="24"/>
          <w:szCs w:val="24"/>
        </w:rPr>
      </w:pPr>
      <w:r w:rsidRPr="009D542F">
        <w:rPr>
          <w:sz w:val="24"/>
          <w:szCs w:val="24"/>
        </w:rPr>
        <w:t>Previously in Wales, safeguarding adults was underpinned by POVA, the Protection of Vulnerable Adults, 2004 within section 7 of the Care Standards Act (2000). The Care Standards Act (2000), remains in place in England however this is solely for adults and does not include children. Prior to the implementation of the SSWBA, 2014, the National Assistance Act 1948, Section 47 gave the Local Authority powers to remove a person to a place of safety who were deemed to be at risk of harm. Concerns had been raised regarding this and challenges made to revoke the Act (Hobson, 1998) as it was felt removal of an person can be restricting to their liberty. </w:t>
      </w:r>
    </w:p>
    <w:p w14:paraId="3A528342" w14:textId="77777777" w:rsidR="009D542F" w:rsidRPr="009D542F" w:rsidRDefault="009D542F" w:rsidP="009D542F">
      <w:pPr>
        <w:shd w:val="clear" w:color="auto" w:fill="FFFFFF"/>
        <w:overflowPunct/>
        <w:autoSpaceDE/>
        <w:autoSpaceDN/>
        <w:adjustRightInd/>
        <w:jc w:val="both"/>
        <w:textAlignment w:val="auto"/>
        <w:rPr>
          <w:color w:val="222222"/>
          <w:sz w:val="24"/>
          <w:szCs w:val="24"/>
        </w:rPr>
      </w:pPr>
      <w:r w:rsidRPr="009D542F">
        <w:rPr>
          <w:sz w:val="24"/>
          <w:szCs w:val="24"/>
        </w:rPr>
        <w:t> </w:t>
      </w:r>
    </w:p>
    <w:p w14:paraId="0A824768" w14:textId="77777777" w:rsidR="009D542F" w:rsidRPr="009D542F" w:rsidRDefault="009D542F" w:rsidP="009D542F">
      <w:pPr>
        <w:shd w:val="clear" w:color="auto" w:fill="FFFFFF"/>
        <w:overflowPunct/>
        <w:autoSpaceDE/>
        <w:autoSpaceDN/>
        <w:adjustRightInd/>
        <w:jc w:val="both"/>
        <w:textAlignment w:val="auto"/>
        <w:rPr>
          <w:color w:val="auto"/>
          <w:sz w:val="24"/>
          <w:szCs w:val="24"/>
        </w:rPr>
      </w:pPr>
      <w:r w:rsidRPr="009D542F">
        <w:rPr>
          <w:sz w:val="24"/>
          <w:szCs w:val="24"/>
        </w:rPr>
        <w:t>The SSWBA, 2014 came into force in 2016, however has been law since 2014. This has reformed the laws governing Adult Social Care in Wales, bringing legislation under one Act (Community Care, 2015). Core principles within the Act include voice and control, prevention and early intervention, well-being, co-production and multiagency working. The Act enforces that Safeguarding is everyone’s responsibility and sets out a clear and robust approach to safeguarding both adults and children (The Welsh Government, 2017). </w:t>
      </w:r>
      <w:r w:rsidRPr="009D542F">
        <w:rPr>
          <w:color w:val="auto"/>
          <w:sz w:val="24"/>
          <w:szCs w:val="24"/>
        </w:rPr>
        <w:t>Previously, there was no requirement to report adult abuse if the person did not consent for this to be done however there is a duty to report a concern even without the persons permission, once reported if the person has capacity they can choose for the referral not to be taken any further.</w:t>
      </w:r>
    </w:p>
    <w:p w14:paraId="42FA1EBF" w14:textId="77777777" w:rsidR="009D542F" w:rsidRPr="009D542F" w:rsidRDefault="009D542F" w:rsidP="009D542F">
      <w:pPr>
        <w:overflowPunct/>
        <w:autoSpaceDE/>
        <w:autoSpaceDN/>
        <w:adjustRightInd/>
        <w:jc w:val="both"/>
        <w:textAlignment w:val="auto"/>
        <w:rPr>
          <w:color w:val="auto"/>
          <w:sz w:val="24"/>
          <w:szCs w:val="24"/>
          <w:shd w:val="clear" w:color="auto" w:fill="FFFFFF"/>
        </w:rPr>
      </w:pPr>
      <w:r w:rsidRPr="009D542F">
        <w:rPr>
          <w:color w:val="auto"/>
          <w:sz w:val="24"/>
          <w:szCs w:val="24"/>
          <w:shd w:val="clear" w:color="auto" w:fill="FFFFFF"/>
        </w:rPr>
        <w:t> </w:t>
      </w:r>
    </w:p>
    <w:p w14:paraId="107A678C" w14:textId="77777777" w:rsidR="009D542F" w:rsidRPr="009D542F" w:rsidRDefault="009D542F" w:rsidP="009D542F">
      <w:pPr>
        <w:overflowPunct/>
        <w:autoSpaceDE/>
        <w:autoSpaceDN/>
        <w:adjustRightInd/>
        <w:jc w:val="both"/>
        <w:textAlignment w:val="auto"/>
        <w:rPr>
          <w:color w:val="500050"/>
          <w:sz w:val="24"/>
          <w:szCs w:val="24"/>
          <w:shd w:val="clear" w:color="auto" w:fill="FFFFFF"/>
        </w:rPr>
      </w:pPr>
      <w:r w:rsidRPr="009D542F">
        <w:rPr>
          <w:sz w:val="24"/>
          <w:szCs w:val="24"/>
          <w:shd w:val="clear" w:color="auto" w:fill="FFFFFF"/>
        </w:rPr>
        <w:t>In Wales, National Independent Safeguarding Boards were set up following the implementation of the SSWBA, 2014. The Safeguarding Boards have three primary duties to offer support and advice, to report on the adequacy and effectiveness of safeguarding arrangements in relation to both adults and children and to make recommendations on how those arrangements can be improved (The National Safeguarding Board, 2022).</w:t>
      </w:r>
    </w:p>
    <w:p w14:paraId="42E31763" w14:textId="77777777" w:rsidR="009D542F" w:rsidRPr="009D542F" w:rsidRDefault="009D542F" w:rsidP="009D542F">
      <w:pPr>
        <w:overflowPunct/>
        <w:autoSpaceDE/>
        <w:autoSpaceDN/>
        <w:adjustRightInd/>
        <w:jc w:val="both"/>
        <w:textAlignment w:val="auto"/>
        <w:rPr>
          <w:color w:val="500050"/>
          <w:sz w:val="24"/>
          <w:szCs w:val="24"/>
          <w:shd w:val="clear" w:color="auto" w:fill="FFFFFF"/>
        </w:rPr>
      </w:pPr>
      <w:r w:rsidRPr="009D542F">
        <w:rPr>
          <w:sz w:val="24"/>
          <w:szCs w:val="24"/>
          <w:shd w:val="clear" w:color="auto" w:fill="FFFFFF"/>
        </w:rPr>
        <w:t> </w:t>
      </w:r>
    </w:p>
    <w:p w14:paraId="1D050D47" w14:textId="77777777" w:rsidR="009D542F" w:rsidRPr="009D542F" w:rsidRDefault="009D542F" w:rsidP="009D542F">
      <w:pPr>
        <w:shd w:val="clear" w:color="auto" w:fill="FFFFFF"/>
        <w:overflowPunct/>
        <w:autoSpaceDE/>
        <w:autoSpaceDN/>
        <w:adjustRightInd/>
        <w:jc w:val="both"/>
        <w:textAlignment w:val="auto"/>
        <w:rPr>
          <w:color w:val="222222"/>
          <w:sz w:val="24"/>
          <w:szCs w:val="24"/>
        </w:rPr>
      </w:pPr>
      <w:r w:rsidRPr="009D542F">
        <w:rPr>
          <w:sz w:val="24"/>
          <w:szCs w:val="24"/>
        </w:rPr>
        <w:lastRenderedPageBreak/>
        <w:t>Additional legislation underpinning adult safeguarding includes both The Mental Health Act 1983, updated in 2007 and the Mental Capacity Act 2005. Amendments have been made to the Mental Capacity Act by the Deprivation of Liberty Safeguards (</w:t>
      </w:r>
      <w:proofErr w:type="spellStart"/>
      <w:r w:rsidRPr="009D542F">
        <w:rPr>
          <w:sz w:val="24"/>
          <w:szCs w:val="24"/>
        </w:rPr>
        <w:t>DoLS</w:t>
      </w:r>
      <w:proofErr w:type="spellEnd"/>
      <w:r w:rsidRPr="009D542F">
        <w:rPr>
          <w:sz w:val="24"/>
          <w:szCs w:val="24"/>
        </w:rPr>
        <w:t>). </w:t>
      </w:r>
      <w:r w:rsidRPr="009D542F">
        <w:rPr>
          <w:color w:val="303030"/>
          <w:sz w:val="24"/>
          <w:szCs w:val="24"/>
        </w:rPr>
        <w:t>The Mental Capacity Act allows restraint and restrictions to be used if deemed in a person's best interests. If the restraints and restrictions used are going to deprive a person of their liberty, extra safeguarding measures are required, called the Deprivation of Liberty Safeguards (</w:t>
      </w:r>
      <w:proofErr w:type="spellStart"/>
      <w:r w:rsidRPr="009D542F">
        <w:rPr>
          <w:color w:val="303030"/>
          <w:sz w:val="24"/>
          <w:szCs w:val="24"/>
        </w:rPr>
        <w:t>Scie</w:t>
      </w:r>
      <w:proofErr w:type="spellEnd"/>
      <w:r w:rsidRPr="009D542F">
        <w:rPr>
          <w:color w:val="303030"/>
          <w:sz w:val="24"/>
          <w:szCs w:val="24"/>
        </w:rPr>
        <w:t xml:space="preserve">, 2022).  A </w:t>
      </w:r>
      <w:proofErr w:type="spellStart"/>
      <w:r w:rsidRPr="009D542F">
        <w:rPr>
          <w:color w:val="303030"/>
          <w:sz w:val="24"/>
          <w:szCs w:val="24"/>
        </w:rPr>
        <w:t>DoLS</w:t>
      </w:r>
      <w:proofErr w:type="spellEnd"/>
      <w:r w:rsidRPr="009D542F">
        <w:rPr>
          <w:color w:val="303030"/>
          <w:sz w:val="24"/>
          <w:szCs w:val="24"/>
        </w:rPr>
        <w:t xml:space="preserve"> applies to an individual who is deprived of their liberty for example within a care home or hospital setting. Article 5 of the Human Rights Act, 1998, ‘Right to Liberty’ identifies responsibilities which are to be met to ensure someone is not deprived of their liberty unlawfully (Mind, 2020). </w:t>
      </w:r>
      <w:proofErr w:type="spellStart"/>
      <w:r w:rsidRPr="009D542F">
        <w:rPr>
          <w:color w:val="303030"/>
          <w:sz w:val="24"/>
          <w:szCs w:val="24"/>
        </w:rPr>
        <w:t>DoLs</w:t>
      </w:r>
      <w:proofErr w:type="spellEnd"/>
      <w:r w:rsidRPr="009D542F">
        <w:rPr>
          <w:color w:val="303030"/>
          <w:sz w:val="24"/>
          <w:szCs w:val="24"/>
        </w:rPr>
        <w:t xml:space="preserve"> are due to be replaced by Liberty Protection Safeguards in April 2022 (</w:t>
      </w:r>
      <w:proofErr w:type="spellStart"/>
      <w:r w:rsidRPr="009D542F">
        <w:rPr>
          <w:color w:val="303030"/>
          <w:sz w:val="24"/>
          <w:szCs w:val="24"/>
        </w:rPr>
        <w:t>Scie</w:t>
      </w:r>
      <w:proofErr w:type="spellEnd"/>
      <w:r w:rsidRPr="009D542F">
        <w:rPr>
          <w:color w:val="303030"/>
          <w:sz w:val="24"/>
          <w:szCs w:val="24"/>
        </w:rPr>
        <w:t>, 2022).</w:t>
      </w:r>
    </w:p>
    <w:p w14:paraId="65DB2E3D" w14:textId="77777777" w:rsidR="009D542F" w:rsidRPr="009D542F" w:rsidRDefault="009D542F" w:rsidP="009D542F">
      <w:pPr>
        <w:overflowPunct/>
        <w:autoSpaceDE/>
        <w:autoSpaceDN/>
        <w:adjustRightInd/>
        <w:jc w:val="both"/>
        <w:textAlignment w:val="auto"/>
        <w:rPr>
          <w:color w:val="500050"/>
          <w:sz w:val="24"/>
          <w:szCs w:val="24"/>
          <w:shd w:val="clear" w:color="auto" w:fill="FFFFFF"/>
        </w:rPr>
      </w:pPr>
      <w:r w:rsidRPr="009D542F">
        <w:rPr>
          <w:color w:val="303030"/>
          <w:sz w:val="24"/>
          <w:szCs w:val="24"/>
          <w:shd w:val="clear" w:color="auto" w:fill="FFFFFF"/>
        </w:rPr>
        <w:t> </w:t>
      </w:r>
    </w:p>
    <w:p w14:paraId="2489C503" w14:textId="77777777" w:rsidR="009D542F" w:rsidRPr="009D542F" w:rsidRDefault="009D542F" w:rsidP="009D542F">
      <w:pPr>
        <w:overflowPunct/>
        <w:autoSpaceDE/>
        <w:autoSpaceDN/>
        <w:adjustRightInd/>
        <w:jc w:val="both"/>
        <w:textAlignment w:val="auto"/>
        <w:rPr>
          <w:color w:val="500050"/>
          <w:sz w:val="24"/>
          <w:szCs w:val="24"/>
          <w:shd w:val="clear" w:color="auto" w:fill="FFFFFF"/>
        </w:rPr>
      </w:pPr>
      <w:r w:rsidRPr="009D542F">
        <w:rPr>
          <w:color w:val="303030"/>
          <w:sz w:val="24"/>
          <w:szCs w:val="24"/>
          <w:shd w:val="clear" w:color="auto" w:fill="FFFFFF"/>
        </w:rPr>
        <w:t>General Data Protection Regulations (GDPR) and the Data Protection Act, 2018, allows information to be lawfully shared if deemed appropriate and underlining the importance of storing personal data appropriately.  </w:t>
      </w:r>
    </w:p>
    <w:p w14:paraId="5457B850" w14:textId="77777777" w:rsidR="009D542F" w:rsidRPr="009D542F" w:rsidRDefault="009D542F" w:rsidP="009D542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446C60E" w14:textId="77777777" w:rsidR="009D542F" w:rsidRPr="009D542F" w:rsidRDefault="009D542F" w:rsidP="009D542F">
      <w:pPr>
        <w:tabs>
          <w:tab w:val="left" w:pos="3554"/>
        </w:tabs>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9D542F">
        <w:rPr>
          <w:rFonts w:asciiTheme="minorHAnsi" w:eastAsiaTheme="minorHAnsi" w:hAnsiTheme="minorHAnsi" w:cstheme="minorBidi"/>
          <w:color w:val="auto"/>
          <w:sz w:val="22"/>
          <w:szCs w:val="22"/>
          <w:lang w:eastAsia="en-US"/>
        </w:rPr>
        <w:tab/>
      </w:r>
    </w:p>
    <w:p w14:paraId="6A28DDA0" w14:textId="62D5CCAA" w:rsidR="009D542F" w:rsidRPr="009D542F" w:rsidRDefault="009D542F" w:rsidP="009D542F">
      <w:pPr>
        <w:tabs>
          <w:tab w:val="left" w:pos="3554"/>
        </w:tabs>
        <w:overflowPunct/>
        <w:autoSpaceDE/>
        <w:autoSpaceDN/>
        <w:adjustRightInd/>
        <w:spacing w:after="160" w:line="259" w:lineRule="auto"/>
        <w:textAlignment w:val="auto"/>
        <w:rPr>
          <w:rFonts w:eastAsiaTheme="minorHAnsi"/>
          <w:color w:val="auto"/>
          <w:sz w:val="24"/>
          <w:szCs w:val="24"/>
          <w:lang w:eastAsia="en-US"/>
        </w:rPr>
      </w:pPr>
      <w:r w:rsidRPr="009D542F">
        <w:rPr>
          <w:rFonts w:eastAsiaTheme="minorHAnsi"/>
          <w:color w:val="auto"/>
          <w:sz w:val="24"/>
          <w:szCs w:val="24"/>
          <w:lang w:eastAsia="en-US"/>
        </w:rPr>
        <w:t>Wordcount</w:t>
      </w:r>
      <w:r>
        <w:rPr>
          <w:rFonts w:eastAsiaTheme="minorHAnsi"/>
          <w:color w:val="auto"/>
          <w:sz w:val="24"/>
          <w:szCs w:val="24"/>
          <w:lang w:eastAsia="en-US"/>
        </w:rPr>
        <w:t xml:space="preserve"> - </w:t>
      </w:r>
      <w:r w:rsidRPr="009D542F">
        <w:rPr>
          <w:rFonts w:eastAsiaTheme="minorHAnsi"/>
          <w:color w:val="auto"/>
          <w:sz w:val="24"/>
          <w:szCs w:val="24"/>
          <w:lang w:eastAsia="en-US"/>
        </w:rPr>
        <w:t xml:space="preserve"> 539</w:t>
      </w: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6C7912AD" w:rsidR="0002440E" w:rsidRDefault="0002440E" w:rsidP="00FF7EBB">
      <w:pPr>
        <w:jc w:val="both"/>
        <w:rPr>
          <w:sz w:val="24"/>
          <w:szCs w:val="24"/>
        </w:rPr>
      </w:pPr>
    </w:p>
    <w:p w14:paraId="7BCE6A16" w14:textId="38C8B5EB" w:rsidR="005437F6" w:rsidRDefault="005437F6" w:rsidP="00FF7EBB">
      <w:pPr>
        <w:jc w:val="both"/>
        <w:rPr>
          <w:sz w:val="24"/>
          <w:szCs w:val="24"/>
        </w:rPr>
      </w:pPr>
    </w:p>
    <w:p w14:paraId="06F7CFD1" w14:textId="6BEC376D" w:rsidR="005437F6" w:rsidRDefault="005437F6" w:rsidP="00FF7EBB">
      <w:pPr>
        <w:jc w:val="both"/>
        <w:rPr>
          <w:sz w:val="24"/>
          <w:szCs w:val="24"/>
        </w:rPr>
      </w:pPr>
    </w:p>
    <w:p w14:paraId="60173AC5" w14:textId="7636803D" w:rsidR="005437F6" w:rsidRDefault="005437F6" w:rsidP="00FF7EBB">
      <w:pPr>
        <w:jc w:val="both"/>
        <w:rPr>
          <w:sz w:val="24"/>
          <w:szCs w:val="24"/>
        </w:rPr>
      </w:pPr>
    </w:p>
    <w:p w14:paraId="23E29AD9" w14:textId="475B45E2" w:rsidR="005437F6" w:rsidRDefault="005437F6" w:rsidP="00FF7EBB">
      <w:pPr>
        <w:jc w:val="both"/>
        <w:rPr>
          <w:sz w:val="24"/>
          <w:szCs w:val="24"/>
        </w:rPr>
      </w:pPr>
    </w:p>
    <w:p w14:paraId="1394BAC8" w14:textId="4BCE4FAA" w:rsidR="005437F6" w:rsidRDefault="005437F6" w:rsidP="00FF7EBB">
      <w:pPr>
        <w:jc w:val="both"/>
        <w:rPr>
          <w:sz w:val="24"/>
          <w:szCs w:val="24"/>
        </w:rPr>
      </w:pPr>
    </w:p>
    <w:p w14:paraId="44D311C3" w14:textId="705D39FB" w:rsidR="005437F6" w:rsidRDefault="005437F6" w:rsidP="00FF7EBB">
      <w:pPr>
        <w:jc w:val="both"/>
        <w:rPr>
          <w:sz w:val="24"/>
          <w:szCs w:val="24"/>
        </w:rPr>
      </w:pPr>
    </w:p>
    <w:p w14:paraId="438651B6" w14:textId="12F992F4" w:rsidR="005437F6" w:rsidRDefault="005437F6" w:rsidP="00FF7EBB">
      <w:pPr>
        <w:jc w:val="both"/>
        <w:rPr>
          <w:sz w:val="24"/>
          <w:szCs w:val="24"/>
        </w:rPr>
      </w:pPr>
    </w:p>
    <w:p w14:paraId="0B875A55" w14:textId="62A1317D" w:rsidR="005437F6" w:rsidRDefault="005437F6" w:rsidP="00FF7EBB">
      <w:pPr>
        <w:jc w:val="both"/>
        <w:rPr>
          <w:sz w:val="24"/>
          <w:szCs w:val="24"/>
        </w:rPr>
      </w:pPr>
    </w:p>
    <w:p w14:paraId="5CF4749B" w14:textId="292A433D" w:rsidR="005437F6" w:rsidRDefault="005437F6" w:rsidP="00FF7EBB">
      <w:pPr>
        <w:jc w:val="both"/>
        <w:rPr>
          <w:sz w:val="24"/>
          <w:szCs w:val="24"/>
        </w:rPr>
      </w:pPr>
    </w:p>
    <w:p w14:paraId="55624856" w14:textId="367DE887" w:rsidR="005437F6" w:rsidRDefault="005437F6" w:rsidP="00FF7EBB">
      <w:pPr>
        <w:jc w:val="both"/>
        <w:rPr>
          <w:sz w:val="24"/>
          <w:szCs w:val="24"/>
        </w:rPr>
      </w:pPr>
    </w:p>
    <w:p w14:paraId="174E625B" w14:textId="351FF255" w:rsidR="005437F6" w:rsidRDefault="005437F6" w:rsidP="00FF7EBB">
      <w:pPr>
        <w:jc w:val="both"/>
        <w:rPr>
          <w:sz w:val="24"/>
          <w:szCs w:val="24"/>
        </w:rPr>
      </w:pPr>
    </w:p>
    <w:p w14:paraId="25A08657" w14:textId="77777777" w:rsidR="005437F6" w:rsidRDefault="005437F6"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36855284" w14:textId="77777777" w:rsidR="00AA666E" w:rsidRPr="008B28E7" w:rsidRDefault="00AA666E" w:rsidP="0017625F">
      <w:pPr>
        <w:rPr>
          <w:sz w:val="24"/>
          <w:szCs w:val="24"/>
        </w:rPr>
      </w:pPr>
    </w:p>
    <w:p w14:paraId="6E029091" w14:textId="77777777" w:rsidR="0017625F" w:rsidRPr="0017625F" w:rsidRDefault="0017625F" w:rsidP="0017625F">
      <w:pPr>
        <w:shd w:val="clear" w:color="auto" w:fill="FFFFFF"/>
        <w:overflowPunct/>
        <w:autoSpaceDE/>
        <w:autoSpaceDN/>
        <w:adjustRightInd/>
        <w:ind w:left="360"/>
        <w:textAlignment w:val="auto"/>
        <w:rPr>
          <w:color w:val="222222"/>
          <w:sz w:val="24"/>
          <w:szCs w:val="24"/>
        </w:rPr>
      </w:pPr>
      <w:r w:rsidRPr="0017625F">
        <w:rPr>
          <w:sz w:val="24"/>
          <w:szCs w:val="24"/>
        </w:rPr>
        <w:t xml:space="preserve">The Social Services and Wellbeing Act (Wales) 2014, incorporates safeguarding for both adults and children and under section 145 of the SSWB, 2014 guidance and codes of practice have been published for both. The SSWB, 2014 has made the approach to safeguarding adults </w:t>
      </w:r>
      <w:r w:rsidRPr="0017625F">
        <w:rPr>
          <w:color w:val="auto"/>
          <w:sz w:val="24"/>
          <w:szCs w:val="24"/>
        </w:rPr>
        <w:t xml:space="preserve">like the </w:t>
      </w:r>
      <w:r w:rsidRPr="0017625F">
        <w:rPr>
          <w:sz w:val="24"/>
          <w:szCs w:val="24"/>
        </w:rPr>
        <w:t>process of safeguarding children.</w:t>
      </w:r>
    </w:p>
    <w:p w14:paraId="73710089" w14:textId="77777777" w:rsidR="0017625F" w:rsidRPr="0017625F" w:rsidRDefault="0017625F" w:rsidP="0017625F">
      <w:pPr>
        <w:shd w:val="clear" w:color="auto" w:fill="FFFFFF"/>
        <w:overflowPunct/>
        <w:autoSpaceDE/>
        <w:autoSpaceDN/>
        <w:adjustRightInd/>
        <w:ind w:left="360"/>
        <w:textAlignment w:val="auto"/>
        <w:rPr>
          <w:color w:val="222222"/>
          <w:sz w:val="24"/>
          <w:szCs w:val="24"/>
        </w:rPr>
      </w:pPr>
      <w:r w:rsidRPr="0017625F">
        <w:rPr>
          <w:sz w:val="24"/>
          <w:szCs w:val="24"/>
        </w:rPr>
        <w:t> </w:t>
      </w:r>
    </w:p>
    <w:p w14:paraId="512E7D55" w14:textId="77777777" w:rsidR="0017625F" w:rsidRPr="0017625F" w:rsidRDefault="0017625F" w:rsidP="0017625F">
      <w:pPr>
        <w:shd w:val="clear" w:color="auto" w:fill="FFFFFF"/>
        <w:overflowPunct/>
        <w:autoSpaceDE/>
        <w:autoSpaceDN/>
        <w:adjustRightInd/>
        <w:ind w:left="360"/>
        <w:textAlignment w:val="auto"/>
        <w:rPr>
          <w:color w:val="222222"/>
          <w:sz w:val="24"/>
          <w:szCs w:val="24"/>
        </w:rPr>
      </w:pPr>
      <w:r w:rsidRPr="0017625F">
        <w:rPr>
          <w:color w:val="auto"/>
          <w:sz w:val="24"/>
          <w:szCs w:val="24"/>
        </w:rPr>
        <w:t>The difference between safeguarding children and adults is that of capacity and consent. If an adult has capacity, then they have the right to make their own decisions, even if decisions made could be putting them at risk of harm. For an Adult at risk referral to be made, good practice is that a consent should be obtained however, if they refuse under the Act there is now a responsibility to report a concern. If then the person does not want anything to be done about the concerns and they have capacity, the referral wouldn’t go any further, but you have to report</w:t>
      </w:r>
      <w:r w:rsidRPr="0017625F">
        <w:rPr>
          <w:b/>
          <w:bCs/>
          <w:color w:val="auto"/>
          <w:sz w:val="24"/>
          <w:szCs w:val="24"/>
        </w:rPr>
        <w:t>.</w:t>
      </w:r>
      <w:r w:rsidRPr="0017625F">
        <w:rPr>
          <w:color w:val="auto"/>
          <w:sz w:val="24"/>
          <w:szCs w:val="24"/>
        </w:rPr>
        <w:t> </w:t>
      </w:r>
      <w:r w:rsidRPr="0017625F">
        <w:rPr>
          <w:sz w:val="24"/>
          <w:szCs w:val="24"/>
        </w:rPr>
        <w:t xml:space="preserve"> Then Human Rights Act, 1998, set out the rights of an adult, these cannot be taken away, however can be restricted under certain circumstances (Mental Health, 2021). If there are concerns regarding the individual’s capacity to make decisions, an assessment can be carried out under the Mental Capacity Act to deem whether the adult has the capacity to make those choices. If it is felt the Adult does not have capacity and are presenting as a risk to themselves or others, they could lose their rights to make their own </w:t>
      </w:r>
      <w:r w:rsidRPr="0017625F">
        <w:rPr>
          <w:color w:val="auto"/>
          <w:sz w:val="24"/>
          <w:szCs w:val="24"/>
        </w:rPr>
        <w:t>decisions for instance if detained under the Mental Health Act, 1983 or if under the Mental Capacity Act a deprivation of liberties (</w:t>
      </w:r>
      <w:proofErr w:type="spellStart"/>
      <w:r w:rsidRPr="0017625F">
        <w:rPr>
          <w:color w:val="auto"/>
          <w:sz w:val="24"/>
          <w:szCs w:val="24"/>
        </w:rPr>
        <w:t>DoLS</w:t>
      </w:r>
      <w:proofErr w:type="spellEnd"/>
      <w:r w:rsidRPr="0017625F">
        <w:rPr>
          <w:color w:val="auto"/>
          <w:sz w:val="24"/>
          <w:szCs w:val="24"/>
        </w:rPr>
        <w:t>) is put in place, restricting their freedom to a home or close supervision. These are changing to liberty protection safeguards in April 2022.</w:t>
      </w:r>
    </w:p>
    <w:p w14:paraId="7F8AFF91" w14:textId="77777777" w:rsidR="0017625F" w:rsidRPr="0017625F" w:rsidRDefault="0017625F" w:rsidP="0017625F">
      <w:pPr>
        <w:shd w:val="clear" w:color="auto" w:fill="FFFFFF"/>
        <w:overflowPunct/>
        <w:autoSpaceDE/>
        <w:autoSpaceDN/>
        <w:adjustRightInd/>
        <w:ind w:left="360"/>
        <w:textAlignment w:val="auto"/>
        <w:rPr>
          <w:color w:val="222222"/>
          <w:sz w:val="24"/>
          <w:szCs w:val="24"/>
        </w:rPr>
      </w:pPr>
      <w:r w:rsidRPr="0017625F">
        <w:rPr>
          <w:sz w:val="24"/>
          <w:szCs w:val="24"/>
        </w:rPr>
        <w:t> </w:t>
      </w:r>
    </w:p>
    <w:p w14:paraId="127B47C7" w14:textId="77777777" w:rsidR="0017625F" w:rsidRPr="0017625F" w:rsidRDefault="0017625F" w:rsidP="0017625F">
      <w:pPr>
        <w:shd w:val="clear" w:color="auto" w:fill="FFFFFF"/>
        <w:overflowPunct/>
        <w:autoSpaceDE/>
        <w:autoSpaceDN/>
        <w:adjustRightInd/>
        <w:ind w:left="360"/>
        <w:textAlignment w:val="auto"/>
        <w:rPr>
          <w:color w:val="222222"/>
          <w:sz w:val="24"/>
          <w:szCs w:val="24"/>
        </w:rPr>
      </w:pPr>
      <w:r w:rsidRPr="0017625F">
        <w:rPr>
          <w:sz w:val="24"/>
          <w:szCs w:val="24"/>
        </w:rPr>
        <w:t>In terms of safeguarding children, if there are concerns regarding a child being at risk of significant harm, the Local Authority have a duty to investigate under section 47 of the Children Act, 1989 (All Wales Safeguarding Procedures, 2008)</w:t>
      </w:r>
      <w:r w:rsidRPr="0017625F">
        <w:rPr>
          <w:color w:val="00B050"/>
          <w:sz w:val="24"/>
          <w:szCs w:val="24"/>
        </w:rPr>
        <w:t xml:space="preserve"> </w:t>
      </w:r>
      <w:r w:rsidRPr="0017625F">
        <w:rPr>
          <w:color w:val="auto"/>
          <w:sz w:val="24"/>
          <w:szCs w:val="24"/>
        </w:rPr>
        <w:t xml:space="preserve">and </w:t>
      </w:r>
      <w:r w:rsidRPr="0017625F">
        <w:rPr>
          <w:sz w:val="24"/>
          <w:szCs w:val="24"/>
        </w:rPr>
        <w:t>this child protection assessment will be carried out whether the child agrees or not. It is recognised that a child has limited rights however on some occasions, children and young people may be assessed as being Gillick Competent and this will enable to them to make decisions on their own lives (NSPCC, 2021). This is based on maturity and the child/young person’s understanding when making decisions based on their lives (Gillick Vs West Norfolk, 1984).</w:t>
      </w:r>
    </w:p>
    <w:p w14:paraId="1E7D5890" w14:textId="77777777" w:rsidR="0017625F" w:rsidRPr="0017625F" w:rsidRDefault="0017625F" w:rsidP="0017625F">
      <w:pPr>
        <w:shd w:val="clear" w:color="auto" w:fill="FFFFFF"/>
        <w:overflowPunct/>
        <w:autoSpaceDE/>
        <w:autoSpaceDN/>
        <w:adjustRightInd/>
        <w:ind w:left="360"/>
        <w:textAlignment w:val="auto"/>
        <w:rPr>
          <w:color w:val="222222"/>
          <w:sz w:val="24"/>
          <w:szCs w:val="24"/>
        </w:rPr>
      </w:pPr>
      <w:r w:rsidRPr="0017625F">
        <w:rPr>
          <w:sz w:val="24"/>
          <w:szCs w:val="24"/>
        </w:rPr>
        <w:t> </w:t>
      </w:r>
    </w:p>
    <w:p w14:paraId="49BB59CA" w14:textId="2F8D333D" w:rsidR="0017625F" w:rsidRPr="0017625F" w:rsidRDefault="0017625F" w:rsidP="0017625F">
      <w:pPr>
        <w:overflowPunct/>
        <w:autoSpaceDE/>
        <w:autoSpaceDN/>
        <w:adjustRightInd/>
        <w:ind w:left="360"/>
        <w:textAlignment w:val="auto"/>
        <w:rPr>
          <w:color w:val="500050"/>
          <w:sz w:val="24"/>
          <w:szCs w:val="24"/>
          <w:shd w:val="clear" w:color="auto" w:fill="FFFFFF"/>
        </w:rPr>
      </w:pPr>
      <w:r w:rsidRPr="0017625F">
        <w:rPr>
          <w:sz w:val="24"/>
          <w:szCs w:val="24"/>
          <w:shd w:val="clear" w:color="auto" w:fill="FFFFFF"/>
        </w:rPr>
        <w:t xml:space="preserve">As a children’s social worker, it is important I am aware of the differences and legislation underpinning Adult Social Care as I have a duty to report safeguarding concerns relating to </w:t>
      </w:r>
      <w:r w:rsidRPr="0017625F">
        <w:rPr>
          <w:sz w:val="24"/>
          <w:szCs w:val="24"/>
          <w:shd w:val="clear" w:color="auto" w:fill="FFFFFF"/>
        </w:rPr>
        <w:lastRenderedPageBreak/>
        <w:t>adults and not only children</w:t>
      </w:r>
      <w:r>
        <w:rPr>
          <w:sz w:val="24"/>
          <w:szCs w:val="24"/>
          <w:shd w:val="clear" w:color="auto" w:fill="FFFFFF"/>
        </w:rPr>
        <w:t xml:space="preserve">. </w:t>
      </w:r>
      <w:r w:rsidRPr="0017625F">
        <w:rPr>
          <w:sz w:val="24"/>
          <w:szCs w:val="24"/>
          <w:shd w:val="clear" w:color="auto" w:fill="FFFFFF"/>
        </w:rPr>
        <w:t>As discussed within the SSWB, 2014 safeguarding is everyone’s responsibility.</w:t>
      </w:r>
    </w:p>
    <w:p w14:paraId="33706D2E" w14:textId="77777777" w:rsidR="0017625F" w:rsidRPr="0017625F" w:rsidRDefault="0017625F" w:rsidP="0017625F">
      <w:pPr>
        <w:tabs>
          <w:tab w:val="left" w:pos="3554"/>
        </w:tabs>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3BB6BDE" w14:textId="3DE5B509" w:rsidR="00AA666E" w:rsidRPr="0017625F" w:rsidRDefault="0017625F" w:rsidP="005437F6">
      <w:pPr>
        <w:ind w:left="360" w:hanging="360"/>
        <w:rPr>
          <w:bCs/>
          <w:sz w:val="24"/>
          <w:szCs w:val="24"/>
        </w:rPr>
      </w:pPr>
      <w:r w:rsidRPr="0017625F">
        <w:rPr>
          <w:bCs/>
          <w:sz w:val="24"/>
          <w:szCs w:val="24"/>
        </w:rPr>
        <w:t>Wordcount - 449</w:t>
      </w: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5A03E3EF" w14:textId="77777777" w:rsidR="00B4085B" w:rsidRPr="00B4085B" w:rsidRDefault="00B4085B" w:rsidP="00B4085B">
      <w:pPr>
        <w:rPr>
          <w:iCs/>
          <w:sz w:val="24"/>
          <w:szCs w:val="24"/>
        </w:rPr>
      </w:pPr>
      <w:r w:rsidRPr="00B4085B">
        <w:rPr>
          <w:iCs/>
          <w:sz w:val="24"/>
          <w:szCs w:val="24"/>
        </w:rPr>
        <w:t xml:space="preserve">Since completing my Continuing Professional Education and Learning (CPEL) Portfolio, I have been able to develop my skills regarding critical reflection. This has contributed to my development as a social work practitioner. I have ensured that I have been engaging with ongoing professional development as stated within the Code of Professional Practice for Social Care Workers (Social Care Wales, 2017) to ensure my practice is up to date and I am practicing in a safe manner (BASW, 2019). I regularly ensure that I access the Local Authorities training database and attend training courses as often as possible. Developing my knowledge and skills around different areas supports a better understanding of need when working with vulnerable people and families. </w:t>
      </w:r>
    </w:p>
    <w:p w14:paraId="624C24BC" w14:textId="77777777" w:rsidR="00B4085B" w:rsidRPr="00B4085B" w:rsidRDefault="00B4085B" w:rsidP="00B4085B">
      <w:pPr>
        <w:rPr>
          <w:iCs/>
          <w:sz w:val="24"/>
          <w:szCs w:val="24"/>
        </w:rPr>
      </w:pPr>
    </w:p>
    <w:p w14:paraId="1E2A2321" w14:textId="77777777" w:rsidR="00B4085B" w:rsidRPr="00B4085B" w:rsidRDefault="00B4085B" w:rsidP="00B4085B">
      <w:pPr>
        <w:rPr>
          <w:iCs/>
          <w:sz w:val="24"/>
          <w:szCs w:val="24"/>
        </w:rPr>
      </w:pPr>
      <w:r w:rsidRPr="00B4085B">
        <w:rPr>
          <w:iCs/>
          <w:sz w:val="24"/>
          <w:szCs w:val="24"/>
        </w:rPr>
        <w:t xml:space="preserve">To aid my reflection I use Gibbs Model of Reflection (1988). I have used this model of reflection since university as I find it best supports my critical reflection. </w:t>
      </w:r>
    </w:p>
    <w:p w14:paraId="519272DE" w14:textId="77777777" w:rsidR="00B4085B" w:rsidRPr="00B4085B" w:rsidRDefault="00B4085B" w:rsidP="00B4085B">
      <w:pPr>
        <w:rPr>
          <w:iCs/>
          <w:sz w:val="24"/>
          <w:szCs w:val="24"/>
        </w:rPr>
      </w:pPr>
    </w:p>
    <w:p w14:paraId="7A4D8C3B" w14:textId="77777777" w:rsidR="00B4085B" w:rsidRPr="00B4085B" w:rsidRDefault="00B4085B" w:rsidP="00B4085B">
      <w:pPr>
        <w:rPr>
          <w:iCs/>
          <w:sz w:val="24"/>
          <w:szCs w:val="24"/>
        </w:rPr>
      </w:pPr>
      <w:r w:rsidRPr="00B4085B">
        <w:rPr>
          <w:iCs/>
          <w:sz w:val="24"/>
          <w:szCs w:val="24"/>
        </w:rPr>
        <w:t xml:space="preserve">One learning need identified at the beginning of this course was my confidence when working with challenging and evasive families alongside, challenging professionals when they are reluctant to share information with families with a view it will affect their relationship with them. Within supervision it was agreed that I would be able to shadow an experienced member of the team within multi-agency meetings to observe how they overcome difficulties in multi-agency working. I attended several core group and child protection conferences, within consent from the families involved. Due to the COVID-19 restrictions, these meetings took place virtually, although I found the shadowing beneficial, I feel I would have got more out of the experience if the meetings were face to face. However, I was able to observe how the experienced worker managed at times, difficult situations and how she overcome these. Moving forward, when COVID-19 restrictions reduce and face to face meetings are allowed, it has been agreed that I can complete further shadowing if I feel this is still required at this time. </w:t>
      </w:r>
    </w:p>
    <w:p w14:paraId="0C09AE9F" w14:textId="77777777" w:rsidR="00B4085B" w:rsidRPr="00B4085B" w:rsidRDefault="00B4085B" w:rsidP="00B4085B">
      <w:pPr>
        <w:rPr>
          <w:iCs/>
          <w:sz w:val="24"/>
          <w:szCs w:val="24"/>
        </w:rPr>
      </w:pPr>
    </w:p>
    <w:p w14:paraId="6A7CAE8D" w14:textId="77777777" w:rsidR="00B4085B" w:rsidRPr="00B4085B" w:rsidRDefault="00B4085B" w:rsidP="00B4085B">
      <w:pPr>
        <w:rPr>
          <w:iCs/>
          <w:sz w:val="24"/>
          <w:szCs w:val="24"/>
        </w:rPr>
      </w:pPr>
      <w:r w:rsidRPr="00B4085B">
        <w:rPr>
          <w:iCs/>
          <w:sz w:val="24"/>
          <w:szCs w:val="24"/>
        </w:rPr>
        <w:t xml:space="preserve">Alongside the shadowing I also felt I would benefit from completing a course around working with difficult families. I was able to complete a virtual course regarding this. The course really made me think and reflect about why parent/families were reacting the way they were and aided with techniques to overcome this barrier with families. Following this training, with </w:t>
      </w:r>
      <w:r w:rsidRPr="00B4085B">
        <w:rPr>
          <w:iCs/>
          <w:sz w:val="24"/>
          <w:szCs w:val="24"/>
        </w:rPr>
        <w:lastRenderedPageBreak/>
        <w:t xml:space="preserve">support of supervision I have been able to work with hard to reach families successfully, acknowledging how I approach situations has enabled achieving this. </w:t>
      </w:r>
    </w:p>
    <w:p w14:paraId="4C41382E" w14:textId="77777777" w:rsidR="00B4085B" w:rsidRPr="00B4085B" w:rsidRDefault="00B4085B" w:rsidP="00B4085B">
      <w:pPr>
        <w:rPr>
          <w:iCs/>
          <w:sz w:val="24"/>
          <w:szCs w:val="24"/>
        </w:rPr>
      </w:pPr>
    </w:p>
    <w:p w14:paraId="7D151832" w14:textId="77777777" w:rsidR="00B4085B" w:rsidRPr="00B4085B" w:rsidRDefault="00B4085B" w:rsidP="00B4085B">
      <w:pPr>
        <w:rPr>
          <w:iCs/>
          <w:sz w:val="24"/>
          <w:szCs w:val="24"/>
        </w:rPr>
      </w:pPr>
      <w:r w:rsidRPr="00B4085B">
        <w:rPr>
          <w:iCs/>
          <w:sz w:val="24"/>
          <w:szCs w:val="24"/>
        </w:rPr>
        <w:t xml:space="preserve">A further learning need identified was to support my assessment skills around completing assessments, especially in complex, changeable situations, ensuring that the child’s voice is heard within the assessment. I recognised that I needed to embark in deeper conversations with children and complete specific direct work to ensure that I was getting an accurate picture of their daily lived experiences. I felt that I would benefit from shadowing but also joint working some S47 investigations to allow me to develop my assessment skills within this area. Since starting the course I have completed a number of S47s both joint working and solely. I have learnt that each child’s story is different, and different approaches and communication skills are required to ensure the child’s voice is heard. I have completed my own research and continuously access resources to support my development in terms of ensuring the child’s voice are heard within assessments (Tait and </w:t>
      </w:r>
      <w:proofErr w:type="spellStart"/>
      <w:r w:rsidRPr="00B4085B">
        <w:rPr>
          <w:iCs/>
          <w:sz w:val="24"/>
          <w:szCs w:val="24"/>
        </w:rPr>
        <w:t>Wosu</w:t>
      </w:r>
      <w:proofErr w:type="spellEnd"/>
      <w:r w:rsidRPr="00B4085B">
        <w:rPr>
          <w:iCs/>
          <w:sz w:val="24"/>
          <w:szCs w:val="24"/>
        </w:rPr>
        <w:t>, 2013).</w:t>
      </w:r>
    </w:p>
    <w:p w14:paraId="2D4E2E0D" w14:textId="77777777" w:rsidR="00B4085B" w:rsidRPr="00B4085B" w:rsidRDefault="00B4085B" w:rsidP="00B4085B">
      <w:pPr>
        <w:rPr>
          <w:iCs/>
          <w:sz w:val="24"/>
          <w:szCs w:val="24"/>
        </w:rPr>
      </w:pPr>
    </w:p>
    <w:p w14:paraId="2B49742D" w14:textId="77777777" w:rsidR="00B4085B" w:rsidRPr="00B4085B" w:rsidRDefault="00B4085B" w:rsidP="00B4085B">
      <w:pPr>
        <w:rPr>
          <w:sz w:val="24"/>
          <w:szCs w:val="24"/>
        </w:rPr>
      </w:pPr>
      <w:r w:rsidRPr="00B4085B">
        <w:rPr>
          <w:iCs/>
          <w:sz w:val="24"/>
          <w:szCs w:val="24"/>
        </w:rPr>
        <w:t xml:space="preserve">Additionally, within my role I have completed court ordered assessments in regard to whether children would </w:t>
      </w:r>
      <w:proofErr w:type="spellStart"/>
      <w:r w:rsidRPr="00B4085B">
        <w:rPr>
          <w:iCs/>
          <w:sz w:val="24"/>
          <w:szCs w:val="24"/>
        </w:rPr>
        <w:t>ne</w:t>
      </w:r>
      <w:proofErr w:type="spellEnd"/>
      <w:r w:rsidRPr="00B4085B">
        <w:rPr>
          <w:iCs/>
          <w:sz w:val="24"/>
          <w:szCs w:val="24"/>
        </w:rPr>
        <w:t xml:space="preserve"> returning home to their parents care or not. This is an area of work that has overwhelmed me at times however I have been fortunate to have a high level of supervision to support with this. At the beginning of this course, I stated I was going to use the Ladder of Inference (</w:t>
      </w:r>
      <w:r w:rsidRPr="00B4085B">
        <w:rPr>
          <w:sz w:val="24"/>
          <w:szCs w:val="24"/>
        </w:rPr>
        <w:t xml:space="preserve">Argyris and Schon 1974) to support my reflection within this area to aid with managing my own emotions during these complex situations. I felt this model of reflection has supported my progress within this area, ensuring my thinking was always brought back to information and aid my decision making. I am aware that this area of work, will continue to cause me a level of anxiety due to the level of potential outcomes, for example, removing children from the care of their parents therefore critical reflection within supervision is so important to ensure that all decisions are made in the best interest of the child. Recently, I have been complimented on an assessment I completed during a court case. This feedback allowed me to reflect on the work completed and identify good practice to build upon. </w:t>
      </w:r>
    </w:p>
    <w:p w14:paraId="3BFAB8D1" w14:textId="77777777" w:rsidR="00B4085B" w:rsidRPr="00B4085B" w:rsidRDefault="00B4085B" w:rsidP="00B4085B">
      <w:pPr>
        <w:rPr>
          <w:sz w:val="24"/>
          <w:szCs w:val="24"/>
        </w:rPr>
      </w:pPr>
    </w:p>
    <w:p w14:paraId="1C90F4EE" w14:textId="77777777" w:rsidR="00B4085B" w:rsidRPr="00B4085B" w:rsidRDefault="00B4085B" w:rsidP="00B4085B">
      <w:pPr>
        <w:shd w:val="clear" w:color="auto" w:fill="FFFFFF"/>
        <w:overflowPunct/>
        <w:autoSpaceDE/>
        <w:autoSpaceDN/>
        <w:adjustRightInd/>
        <w:textAlignment w:val="auto"/>
        <w:rPr>
          <w:sz w:val="24"/>
          <w:szCs w:val="24"/>
        </w:rPr>
      </w:pPr>
      <w:r w:rsidRPr="00B4085B">
        <w:rPr>
          <w:sz w:val="24"/>
          <w:szCs w:val="24"/>
        </w:rPr>
        <w:t xml:space="preserve">I continue to be aware of power imbalances and continue to work openly and honestly with parents while ensuring that the child remains paramount within all my planning and decision making. </w:t>
      </w:r>
    </w:p>
    <w:p w14:paraId="0011217C" w14:textId="77777777" w:rsidR="00B4085B" w:rsidRPr="00B4085B" w:rsidRDefault="00B4085B" w:rsidP="00B4085B">
      <w:pPr>
        <w:shd w:val="clear" w:color="auto" w:fill="FFFFFF"/>
        <w:overflowPunct/>
        <w:autoSpaceDE/>
        <w:autoSpaceDN/>
        <w:adjustRightInd/>
        <w:textAlignment w:val="auto"/>
        <w:rPr>
          <w:sz w:val="24"/>
          <w:szCs w:val="24"/>
        </w:rPr>
      </w:pPr>
    </w:p>
    <w:p w14:paraId="2C3E4F6A" w14:textId="77777777" w:rsidR="00B4085B" w:rsidRPr="00B4085B" w:rsidRDefault="00B4085B" w:rsidP="00B4085B">
      <w:pPr>
        <w:shd w:val="clear" w:color="auto" w:fill="FFFFFF"/>
        <w:overflowPunct/>
        <w:autoSpaceDE/>
        <w:autoSpaceDN/>
        <w:adjustRightInd/>
        <w:textAlignment w:val="auto"/>
        <w:rPr>
          <w:color w:val="auto"/>
          <w:sz w:val="24"/>
          <w:szCs w:val="24"/>
        </w:rPr>
      </w:pPr>
      <w:r w:rsidRPr="00B4085B">
        <w:rPr>
          <w:sz w:val="24"/>
          <w:szCs w:val="24"/>
        </w:rPr>
        <w:t xml:space="preserve">I feel that I have grown as a practitioner while completing this course, I have become more independent and feel I do not require as much reassurance as I did previously. I feel that colleagues come to me for advice and I can offer support when required. I have found completing this programme a positive experience and I hope to continue to progress within the service. </w:t>
      </w:r>
    </w:p>
    <w:p w14:paraId="6D796648" w14:textId="77777777" w:rsidR="00B4085B" w:rsidRPr="00B4085B" w:rsidRDefault="00B4085B" w:rsidP="00B4085B">
      <w:pPr>
        <w:rPr>
          <w:sz w:val="24"/>
          <w:szCs w:val="24"/>
        </w:rPr>
      </w:pPr>
    </w:p>
    <w:p w14:paraId="5D062753" w14:textId="32F95792" w:rsidR="000E38C3" w:rsidRDefault="00B4085B" w:rsidP="00E559CE">
      <w:pPr>
        <w:jc w:val="both"/>
        <w:rPr>
          <w:sz w:val="24"/>
          <w:szCs w:val="24"/>
        </w:rPr>
      </w:pPr>
      <w:r>
        <w:rPr>
          <w:sz w:val="24"/>
          <w:szCs w:val="24"/>
        </w:rPr>
        <w:t>Word count - 862</w:t>
      </w: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228727A5" w14:textId="7A804ACA" w:rsidR="000E38C3" w:rsidRDefault="000E38C3" w:rsidP="00E559CE">
      <w:pPr>
        <w:jc w:val="both"/>
        <w:rPr>
          <w:sz w:val="24"/>
          <w:szCs w:val="24"/>
        </w:rPr>
      </w:pPr>
    </w:p>
    <w:p w14:paraId="26C22A22" w14:textId="01D732D9" w:rsidR="009E08DF" w:rsidRDefault="009E08DF" w:rsidP="00E559CE">
      <w:pPr>
        <w:jc w:val="both"/>
        <w:rPr>
          <w:sz w:val="24"/>
          <w:szCs w:val="24"/>
        </w:rPr>
      </w:pPr>
    </w:p>
    <w:p w14:paraId="37C64FCD" w14:textId="77777777" w:rsidR="009E08DF" w:rsidRDefault="009E08DF"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017A2E65" w:rsidR="00E559CE" w:rsidRPr="00B17FA0" w:rsidRDefault="004E7C7F" w:rsidP="00B94443">
            <w:pPr>
              <w:jc w:val="both"/>
              <w:rPr>
                <w:sz w:val="24"/>
                <w:szCs w:val="24"/>
              </w:rPr>
            </w:pPr>
            <w:r>
              <w:rPr>
                <w:sz w:val="24"/>
                <w:szCs w:val="24"/>
              </w:rPr>
              <w:t>11/02/2020</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08792EF7" w:rsidR="00E559CE" w:rsidRPr="00B17FA0" w:rsidRDefault="004E7C7F" w:rsidP="00B94443">
            <w:pPr>
              <w:jc w:val="both"/>
              <w:rPr>
                <w:sz w:val="24"/>
                <w:szCs w:val="24"/>
              </w:rPr>
            </w:pPr>
            <w:r>
              <w:rPr>
                <w:sz w:val="24"/>
                <w:szCs w:val="24"/>
              </w:rPr>
              <w:t>04/11/2020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40F86557" w:rsidR="00E559CE" w:rsidRPr="00B17FA0" w:rsidRDefault="004E7C7F" w:rsidP="00B94443">
            <w:pPr>
              <w:jc w:val="both"/>
              <w:rPr>
                <w:sz w:val="24"/>
                <w:szCs w:val="24"/>
              </w:rPr>
            </w:pPr>
            <w:r>
              <w:rPr>
                <w:sz w:val="24"/>
                <w:szCs w:val="24"/>
              </w:rPr>
              <w:t>14/01/2021</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A1E08CC" w:rsidR="00E559CE" w:rsidRPr="00B17FA0" w:rsidRDefault="004E7C7F" w:rsidP="00B94443">
            <w:pPr>
              <w:jc w:val="both"/>
              <w:rPr>
                <w:sz w:val="24"/>
                <w:szCs w:val="24"/>
              </w:rPr>
            </w:pPr>
            <w:r>
              <w:rPr>
                <w:sz w:val="24"/>
                <w:szCs w:val="24"/>
              </w:rPr>
              <w:t>22/10/2021</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4DF04251" w:rsidR="008C7770" w:rsidRDefault="008C7770" w:rsidP="00E559CE">
      <w:pPr>
        <w:jc w:val="both"/>
        <w:rPr>
          <w:sz w:val="24"/>
          <w:szCs w:val="24"/>
        </w:rPr>
      </w:pPr>
    </w:p>
    <w:p w14:paraId="152CFBEA" w14:textId="79C8F55B" w:rsidR="009E08DF" w:rsidRDefault="009E08DF" w:rsidP="00E559CE">
      <w:pPr>
        <w:jc w:val="both"/>
        <w:rPr>
          <w:sz w:val="24"/>
          <w:szCs w:val="24"/>
        </w:rPr>
      </w:pPr>
    </w:p>
    <w:p w14:paraId="2D798A7D" w14:textId="2AC29C94" w:rsidR="009E08DF" w:rsidRDefault="009E08DF" w:rsidP="00E559CE">
      <w:pPr>
        <w:jc w:val="both"/>
        <w:rPr>
          <w:sz w:val="24"/>
          <w:szCs w:val="24"/>
        </w:rPr>
      </w:pPr>
    </w:p>
    <w:p w14:paraId="06FD91F7" w14:textId="48D56D0C" w:rsidR="009E08DF" w:rsidRDefault="009E08DF" w:rsidP="00E559CE">
      <w:pPr>
        <w:jc w:val="both"/>
        <w:rPr>
          <w:sz w:val="24"/>
          <w:szCs w:val="24"/>
        </w:rPr>
      </w:pPr>
    </w:p>
    <w:p w14:paraId="3EC547AA" w14:textId="315B2A96" w:rsidR="009E08DF" w:rsidRDefault="009E08DF" w:rsidP="00E559CE">
      <w:pPr>
        <w:jc w:val="both"/>
        <w:rPr>
          <w:sz w:val="24"/>
          <w:szCs w:val="24"/>
        </w:rPr>
      </w:pPr>
    </w:p>
    <w:p w14:paraId="117D9091" w14:textId="191FB683" w:rsidR="009E08DF" w:rsidRDefault="009E08DF" w:rsidP="00E559CE">
      <w:pPr>
        <w:jc w:val="both"/>
        <w:rPr>
          <w:sz w:val="24"/>
          <w:szCs w:val="24"/>
        </w:rPr>
      </w:pPr>
    </w:p>
    <w:p w14:paraId="70A97D07" w14:textId="312E73A6" w:rsidR="009E08DF" w:rsidRDefault="009E08DF" w:rsidP="00E559CE">
      <w:pPr>
        <w:jc w:val="both"/>
        <w:rPr>
          <w:sz w:val="24"/>
          <w:szCs w:val="24"/>
        </w:rPr>
      </w:pPr>
    </w:p>
    <w:p w14:paraId="5E1775C1" w14:textId="450D4DC5" w:rsidR="009E08DF" w:rsidRDefault="009E08DF" w:rsidP="00E559CE">
      <w:pPr>
        <w:jc w:val="both"/>
        <w:rPr>
          <w:sz w:val="24"/>
          <w:szCs w:val="24"/>
        </w:rPr>
      </w:pPr>
    </w:p>
    <w:p w14:paraId="2A6D648C" w14:textId="41B70A81" w:rsidR="009E08DF" w:rsidRDefault="009E08DF" w:rsidP="00E559CE">
      <w:pPr>
        <w:jc w:val="both"/>
        <w:rPr>
          <w:sz w:val="24"/>
          <w:szCs w:val="24"/>
        </w:rPr>
      </w:pPr>
    </w:p>
    <w:p w14:paraId="261AC0D2" w14:textId="6B63F67A" w:rsidR="009E08DF" w:rsidRDefault="009E08DF" w:rsidP="00E559CE">
      <w:pPr>
        <w:jc w:val="both"/>
        <w:rPr>
          <w:sz w:val="24"/>
          <w:szCs w:val="24"/>
        </w:rPr>
      </w:pPr>
    </w:p>
    <w:p w14:paraId="74F39D61" w14:textId="40E98434" w:rsidR="009E08DF" w:rsidRDefault="009E08DF" w:rsidP="00E559CE">
      <w:pPr>
        <w:jc w:val="both"/>
        <w:rPr>
          <w:sz w:val="24"/>
          <w:szCs w:val="24"/>
        </w:rPr>
      </w:pPr>
    </w:p>
    <w:p w14:paraId="5981A35E" w14:textId="5D653D3D" w:rsidR="009E08DF" w:rsidRDefault="009E08DF" w:rsidP="00E559CE">
      <w:pPr>
        <w:jc w:val="both"/>
        <w:rPr>
          <w:sz w:val="24"/>
          <w:szCs w:val="24"/>
        </w:rPr>
      </w:pPr>
    </w:p>
    <w:p w14:paraId="0FEB432D" w14:textId="4F7CCC0B" w:rsidR="009E08DF" w:rsidRDefault="009E08DF" w:rsidP="00E559CE">
      <w:pPr>
        <w:jc w:val="both"/>
        <w:rPr>
          <w:sz w:val="24"/>
          <w:szCs w:val="24"/>
        </w:rPr>
      </w:pPr>
    </w:p>
    <w:p w14:paraId="01ACB2C4" w14:textId="5952CAD7" w:rsidR="009E08DF" w:rsidRDefault="009E08DF" w:rsidP="00E559CE">
      <w:pPr>
        <w:jc w:val="both"/>
        <w:rPr>
          <w:sz w:val="24"/>
          <w:szCs w:val="24"/>
        </w:rPr>
      </w:pPr>
    </w:p>
    <w:p w14:paraId="583C7871" w14:textId="22E56BD5" w:rsidR="009E08DF" w:rsidRDefault="009E08DF" w:rsidP="00E559CE">
      <w:pPr>
        <w:jc w:val="both"/>
        <w:rPr>
          <w:sz w:val="24"/>
          <w:szCs w:val="24"/>
        </w:rPr>
      </w:pPr>
    </w:p>
    <w:p w14:paraId="5666899E" w14:textId="36BA57ED" w:rsidR="009E08DF" w:rsidRDefault="009E08DF" w:rsidP="00E559CE">
      <w:pPr>
        <w:jc w:val="both"/>
        <w:rPr>
          <w:sz w:val="24"/>
          <w:szCs w:val="24"/>
        </w:rPr>
      </w:pPr>
    </w:p>
    <w:p w14:paraId="25CBFDA9" w14:textId="1DCEF8B7" w:rsidR="009E08DF" w:rsidRDefault="009E08DF" w:rsidP="00E559CE">
      <w:pPr>
        <w:jc w:val="both"/>
        <w:rPr>
          <w:sz w:val="24"/>
          <w:szCs w:val="24"/>
        </w:rPr>
      </w:pPr>
    </w:p>
    <w:p w14:paraId="2828406D" w14:textId="2B3C5510" w:rsidR="009E08DF" w:rsidRDefault="009E08DF" w:rsidP="00E559CE">
      <w:pPr>
        <w:jc w:val="both"/>
        <w:rPr>
          <w:sz w:val="24"/>
          <w:szCs w:val="24"/>
        </w:rPr>
      </w:pPr>
    </w:p>
    <w:p w14:paraId="44981AE2" w14:textId="1A4C224D" w:rsidR="009E08DF" w:rsidRDefault="009E08DF" w:rsidP="00E559CE">
      <w:pPr>
        <w:jc w:val="both"/>
        <w:rPr>
          <w:sz w:val="24"/>
          <w:szCs w:val="24"/>
        </w:rPr>
      </w:pPr>
    </w:p>
    <w:p w14:paraId="75CCA169" w14:textId="46593740" w:rsidR="009E08DF" w:rsidRDefault="009E08DF" w:rsidP="00E559CE">
      <w:pPr>
        <w:jc w:val="both"/>
        <w:rPr>
          <w:sz w:val="24"/>
          <w:szCs w:val="24"/>
        </w:rPr>
      </w:pPr>
    </w:p>
    <w:p w14:paraId="67A960B3" w14:textId="67EF93AF" w:rsidR="009E08DF" w:rsidRDefault="009E08DF" w:rsidP="00E559CE">
      <w:pPr>
        <w:jc w:val="both"/>
        <w:rPr>
          <w:sz w:val="24"/>
          <w:szCs w:val="24"/>
        </w:rPr>
      </w:pPr>
    </w:p>
    <w:p w14:paraId="6D01868D" w14:textId="6E93B13A" w:rsidR="009E08DF" w:rsidRDefault="009E08DF" w:rsidP="00E559CE">
      <w:pPr>
        <w:jc w:val="both"/>
        <w:rPr>
          <w:sz w:val="24"/>
          <w:szCs w:val="24"/>
        </w:rPr>
      </w:pPr>
    </w:p>
    <w:p w14:paraId="3302EE64" w14:textId="12803099" w:rsidR="009E08DF" w:rsidRDefault="009E08DF" w:rsidP="00E559CE">
      <w:pPr>
        <w:jc w:val="both"/>
        <w:rPr>
          <w:sz w:val="24"/>
          <w:szCs w:val="24"/>
        </w:rPr>
      </w:pPr>
    </w:p>
    <w:p w14:paraId="5AD50EE2" w14:textId="3AA8E1DF" w:rsidR="009E08DF" w:rsidRDefault="009E08DF" w:rsidP="00E559CE">
      <w:pPr>
        <w:jc w:val="both"/>
        <w:rPr>
          <w:sz w:val="24"/>
          <w:szCs w:val="24"/>
        </w:rPr>
      </w:pPr>
    </w:p>
    <w:p w14:paraId="7BEE05D2" w14:textId="75623303" w:rsidR="009E08DF" w:rsidRDefault="009E08DF" w:rsidP="00E559CE">
      <w:pPr>
        <w:jc w:val="both"/>
        <w:rPr>
          <w:sz w:val="24"/>
          <w:szCs w:val="24"/>
        </w:rPr>
      </w:pPr>
    </w:p>
    <w:p w14:paraId="534BDF51" w14:textId="20C30F8D" w:rsidR="009E08DF" w:rsidRDefault="009E08DF" w:rsidP="00E559CE">
      <w:pPr>
        <w:jc w:val="both"/>
        <w:rPr>
          <w:sz w:val="24"/>
          <w:szCs w:val="24"/>
        </w:rPr>
      </w:pPr>
    </w:p>
    <w:p w14:paraId="763867FD" w14:textId="6CFA57F5" w:rsidR="009E08DF" w:rsidRDefault="009E08DF" w:rsidP="00E559CE">
      <w:pPr>
        <w:jc w:val="both"/>
        <w:rPr>
          <w:sz w:val="24"/>
          <w:szCs w:val="24"/>
        </w:rPr>
      </w:pPr>
    </w:p>
    <w:p w14:paraId="7813BEA1" w14:textId="77777777" w:rsidR="009E08DF" w:rsidRDefault="009E08DF"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lastRenderedPageBreak/>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176F22F2" w14:textId="77777777" w:rsidR="009E08DF" w:rsidRDefault="009E08DF" w:rsidP="0093018C">
      <w:pPr>
        <w:keepNext/>
        <w:spacing w:before="240" w:after="60"/>
        <w:jc w:val="center"/>
        <w:rPr>
          <w:b/>
          <w:sz w:val="24"/>
          <w:szCs w:val="24"/>
        </w:rPr>
      </w:pPr>
    </w:p>
    <w:p w14:paraId="145233D1" w14:textId="77777777" w:rsidR="009E08DF" w:rsidRDefault="009E08DF" w:rsidP="0093018C">
      <w:pPr>
        <w:keepNext/>
        <w:spacing w:before="240" w:after="60"/>
        <w:jc w:val="center"/>
        <w:rPr>
          <w:b/>
          <w:sz w:val="24"/>
          <w:szCs w:val="24"/>
        </w:rPr>
      </w:pPr>
    </w:p>
    <w:p w14:paraId="368FDFFE" w14:textId="77777777" w:rsidR="009E08DF" w:rsidRDefault="009E08DF" w:rsidP="0093018C">
      <w:pPr>
        <w:keepNext/>
        <w:spacing w:before="240" w:after="60"/>
        <w:jc w:val="center"/>
        <w:rPr>
          <w:b/>
          <w:sz w:val="24"/>
          <w:szCs w:val="24"/>
        </w:rPr>
      </w:pPr>
    </w:p>
    <w:p w14:paraId="75CDC1EF" w14:textId="77777777" w:rsidR="009E08DF" w:rsidRDefault="009E08DF" w:rsidP="0093018C">
      <w:pPr>
        <w:keepNext/>
        <w:spacing w:before="240" w:after="60"/>
        <w:jc w:val="center"/>
        <w:rPr>
          <w:b/>
          <w:sz w:val="24"/>
          <w:szCs w:val="24"/>
        </w:rPr>
      </w:pPr>
    </w:p>
    <w:p w14:paraId="2640B2C7" w14:textId="7195E076"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40C29E8"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All Wales Child Protection Procedures (2008), Cardiff, Welsh Government. </w:t>
      </w:r>
    </w:p>
    <w:p w14:paraId="01B06049"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Argyris, C and </w:t>
      </w:r>
      <w:proofErr w:type="spellStart"/>
      <w:r w:rsidRPr="00AE254A">
        <w:rPr>
          <w:rFonts w:eastAsia="Calibri"/>
          <w:color w:val="auto"/>
          <w:sz w:val="24"/>
          <w:szCs w:val="24"/>
          <w:lang w:eastAsia="en-US"/>
        </w:rPr>
        <w:t>Schol</w:t>
      </w:r>
      <w:proofErr w:type="spellEnd"/>
      <w:r w:rsidRPr="00AE254A">
        <w:rPr>
          <w:rFonts w:eastAsia="Calibri"/>
          <w:color w:val="auto"/>
          <w:sz w:val="24"/>
          <w:szCs w:val="24"/>
          <w:lang w:eastAsia="en-US"/>
        </w:rPr>
        <w:t xml:space="preserve">, D. (1974) </w:t>
      </w:r>
      <w:r w:rsidRPr="00AE254A">
        <w:rPr>
          <w:rFonts w:eastAsia="Calibri"/>
          <w:i/>
          <w:color w:val="auto"/>
          <w:sz w:val="24"/>
          <w:szCs w:val="24"/>
          <w:lang w:eastAsia="en-US"/>
        </w:rPr>
        <w:t>Theory in Practice: Increasing Professional Effectiveness</w:t>
      </w:r>
      <w:r w:rsidRPr="00AE254A">
        <w:rPr>
          <w:rFonts w:eastAsia="Calibri"/>
          <w:color w:val="auto"/>
          <w:sz w:val="24"/>
          <w:szCs w:val="24"/>
          <w:lang w:eastAsia="en-US"/>
        </w:rPr>
        <w:t>. Francisco, CA. Jossey-</w:t>
      </w:r>
      <w:proofErr w:type="spellStart"/>
      <w:r w:rsidRPr="00AE254A">
        <w:rPr>
          <w:rFonts w:eastAsia="Calibri"/>
          <w:color w:val="auto"/>
          <w:sz w:val="24"/>
          <w:szCs w:val="24"/>
          <w:lang w:eastAsia="en-US"/>
        </w:rPr>
        <w:t>Boss</w:t>
      </w:r>
      <w:proofErr w:type="spellEnd"/>
      <w:r w:rsidRPr="00AE254A">
        <w:rPr>
          <w:rFonts w:eastAsia="Calibri"/>
          <w:color w:val="auto"/>
          <w:sz w:val="24"/>
          <w:szCs w:val="24"/>
          <w:lang w:eastAsia="en-US"/>
        </w:rPr>
        <w:t>.</w:t>
      </w:r>
    </w:p>
    <w:p w14:paraId="666A77B4"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AE254A">
        <w:rPr>
          <w:rFonts w:eastAsia="Calibri"/>
          <w:color w:val="auto"/>
          <w:sz w:val="24"/>
          <w:szCs w:val="24"/>
          <w:lang w:eastAsia="en-US"/>
        </w:rPr>
        <w:t>Bassot</w:t>
      </w:r>
      <w:proofErr w:type="spellEnd"/>
      <w:r w:rsidRPr="00AE254A">
        <w:rPr>
          <w:rFonts w:eastAsia="Calibri"/>
          <w:color w:val="auto"/>
          <w:sz w:val="24"/>
          <w:szCs w:val="24"/>
          <w:lang w:eastAsia="en-US"/>
        </w:rPr>
        <w:t xml:space="preserve">, B. (2012) </w:t>
      </w:r>
      <w:r w:rsidRPr="00AE254A">
        <w:rPr>
          <w:rFonts w:eastAsia="Calibri"/>
          <w:i/>
          <w:color w:val="auto"/>
          <w:sz w:val="24"/>
          <w:szCs w:val="24"/>
          <w:lang w:eastAsia="en-US"/>
        </w:rPr>
        <w:t>The Reflective Diary</w:t>
      </w:r>
      <w:r w:rsidRPr="00AE254A">
        <w:rPr>
          <w:rFonts w:eastAsia="Calibri"/>
          <w:color w:val="auto"/>
          <w:sz w:val="24"/>
          <w:szCs w:val="24"/>
          <w:lang w:eastAsia="en-US"/>
        </w:rPr>
        <w:t xml:space="preserve">, Beauchamp, Matador. </w:t>
      </w:r>
    </w:p>
    <w:p w14:paraId="1D7F348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BASW (2019) Support for Newly Qualified Social Workers, Accessed 04/01/2022, Available at: </w:t>
      </w:r>
      <w:hyperlink r:id="rId9" w:history="1">
        <w:r w:rsidRPr="00AE254A">
          <w:rPr>
            <w:rFonts w:eastAsia="Calibri"/>
            <w:color w:val="0563C1"/>
            <w:sz w:val="24"/>
            <w:szCs w:val="24"/>
            <w:u w:val="single"/>
            <w:lang w:eastAsia="en-US"/>
          </w:rPr>
          <w:t>https://www.basw.co.uk/resources/become-social-worker/support-newly-qualified-social-workers</w:t>
        </w:r>
      </w:hyperlink>
    </w:p>
    <w:p w14:paraId="340EB40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Bell, M. (2001) Child Protection Case Conferences, in James, A. and Wilson, K. (eds) </w:t>
      </w:r>
      <w:r w:rsidRPr="00AE254A">
        <w:rPr>
          <w:rFonts w:eastAsia="Calibri"/>
          <w:i/>
          <w:color w:val="auto"/>
          <w:sz w:val="24"/>
          <w:szCs w:val="24"/>
          <w:lang w:eastAsia="en-US"/>
        </w:rPr>
        <w:t>The Child Protection Handbook</w:t>
      </w:r>
      <w:r w:rsidRPr="00AE254A">
        <w:rPr>
          <w:rFonts w:eastAsia="Calibri"/>
          <w:color w:val="auto"/>
          <w:sz w:val="24"/>
          <w:szCs w:val="24"/>
          <w:lang w:eastAsia="en-US"/>
        </w:rPr>
        <w:t xml:space="preserve">, London, </w:t>
      </w:r>
      <w:proofErr w:type="spellStart"/>
      <w:r w:rsidRPr="00AE254A">
        <w:rPr>
          <w:rFonts w:eastAsia="Calibri"/>
          <w:color w:val="auto"/>
          <w:sz w:val="24"/>
          <w:szCs w:val="24"/>
          <w:lang w:eastAsia="en-US"/>
        </w:rPr>
        <w:t>Ballerie</w:t>
      </w:r>
      <w:proofErr w:type="spellEnd"/>
      <w:r w:rsidRPr="00AE254A">
        <w:rPr>
          <w:rFonts w:eastAsia="Calibri"/>
          <w:color w:val="auto"/>
          <w:sz w:val="24"/>
          <w:szCs w:val="24"/>
          <w:lang w:eastAsia="en-US"/>
        </w:rPr>
        <w:t xml:space="preserve"> Tindall.</w:t>
      </w:r>
    </w:p>
    <w:p w14:paraId="331D1EA0"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Bronfenbrenner, U. (1994) </w:t>
      </w:r>
      <w:r w:rsidRPr="00AE254A">
        <w:rPr>
          <w:rFonts w:eastAsia="Calibri"/>
          <w:i/>
          <w:color w:val="auto"/>
          <w:sz w:val="24"/>
          <w:szCs w:val="24"/>
          <w:lang w:eastAsia="en-US"/>
        </w:rPr>
        <w:t>Ecological Models of Human Development</w:t>
      </w:r>
      <w:r w:rsidRPr="00AE254A">
        <w:rPr>
          <w:rFonts w:eastAsia="Calibri"/>
          <w:color w:val="auto"/>
          <w:sz w:val="24"/>
          <w:szCs w:val="24"/>
          <w:lang w:eastAsia="en-US"/>
        </w:rPr>
        <w:t xml:space="preserve">, Accessed 03/10/2019, Available at: </w:t>
      </w:r>
      <w:hyperlink r:id="rId10" w:history="1">
        <w:r w:rsidRPr="00AE254A">
          <w:rPr>
            <w:rFonts w:eastAsia="Calibri"/>
            <w:color w:val="0563C1"/>
            <w:sz w:val="24"/>
            <w:szCs w:val="24"/>
            <w:u w:val="single"/>
            <w:lang w:eastAsia="en-US"/>
          </w:rPr>
          <w:t>http://www.psy.cmu.edu/-siegler/35bronfenbrenner94.pdf</w:t>
        </w:r>
      </w:hyperlink>
      <w:r w:rsidRPr="00AE254A">
        <w:rPr>
          <w:rFonts w:eastAsia="Calibri"/>
          <w:color w:val="auto"/>
          <w:sz w:val="24"/>
          <w:szCs w:val="24"/>
          <w:lang w:eastAsia="en-US"/>
        </w:rPr>
        <w:t xml:space="preserve"> </w:t>
      </w:r>
    </w:p>
    <w:p w14:paraId="7F2CAECC"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Bowlby, J. (1973) </w:t>
      </w:r>
      <w:r w:rsidRPr="00AE254A">
        <w:rPr>
          <w:rFonts w:eastAsia="Calibri"/>
          <w:i/>
          <w:color w:val="auto"/>
          <w:sz w:val="24"/>
          <w:szCs w:val="24"/>
          <w:lang w:eastAsia="en-US"/>
        </w:rPr>
        <w:t>Attachment and Loss, Volume II: Separation, Anxiety and Anger</w:t>
      </w:r>
      <w:r w:rsidRPr="00AE254A">
        <w:rPr>
          <w:rFonts w:eastAsia="Calibri"/>
          <w:color w:val="auto"/>
          <w:sz w:val="24"/>
          <w:szCs w:val="24"/>
          <w:lang w:eastAsia="en-US"/>
        </w:rPr>
        <w:t xml:space="preserve">, London, Hogarth. </w:t>
      </w:r>
    </w:p>
    <w:p w14:paraId="703ABDAB"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Bunting, L., Webb, M. and Shannon, R. (2017) Looking Again at Troubled Families: Parents’ Perspectives on Multiple Adversities, </w:t>
      </w:r>
      <w:r w:rsidRPr="00AE254A">
        <w:rPr>
          <w:rFonts w:eastAsia="Calibri"/>
          <w:i/>
          <w:color w:val="auto"/>
          <w:sz w:val="24"/>
          <w:szCs w:val="24"/>
          <w:lang w:eastAsia="en-US"/>
        </w:rPr>
        <w:t>Child and Family Social Work</w:t>
      </w:r>
      <w:r w:rsidRPr="00AE254A">
        <w:rPr>
          <w:rFonts w:eastAsia="Calibri"/>
          <w:color w:val="auto"/>
          <w:sz w:val="24"/>
          <w:szCs w:val="24"/>
          <w:lang w:eastAsia="en-US"/>
        </w:rPr>
        <w:t>, Vol. 22. Pgs. 31 – 40.</w:t>
      </w:r>
    </w:p>
    <w:p w14:paraId="188B492D"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Care Council for Wales (2014) </w:t>
      </w:r>
      <w:r w:rsidRPr="00AE254A">
        <w:rPr>
          <w:rFonts w:eastAsia="Calibri"/>
          <w:i/>
          <w:color w:val="auto"/>
          <w:sz w:val="24"/>
          <w:szCs w:val="24"/>
          <w:lang w:eastAsia="en-US"/>
        </w:rPr>
        <w:t>Welsh Language Skills in Your Workplace: Using Them Effectively</w:t>
      </w:r>
      <w:r w:rsidRPr="00AE254A">
        <w:rPr>
          <w:rFonts w:eastAsia="Calibri"/>
          <w:color w:val="auto"/>
          <w:sz w:val="24"/>
          <w:szCs w:val="24"/>
          <w:lang w:eastAsia="en-US"/>
        </w:rPr>
        <w:t>, Cardiff, Care Council for Wales.</w:t>
      </w:r>
    </w:p>
    <w:p w14:paraId="32830729"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Care Standard Act (2000) London: HM Stationery Office.</w:t>
      </w:r>
    </w:p>
    <w:p w14:paraId="67B67221"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Children’s Act (1989), London, HMSO. </w:t>
      </w:r>
    </w:p>
    <w:p w14:paraId="5D454BB4" w14:textId="77777777" w:rsidR="00AE254A" w:rsidRPr="00AE254A" w:rsidRDefault="00AE254A" w:rsidP="00AE254A">
      <w:pPr>
        <w:overflowPunct/>
        <w:autoSpaceDE/>
        <w:autoSpaceDN/>
        <w:adjustRightInd/>
        <w:spacing w:after="160" w:line="360" w:lineRule="auto"/>
        <w:jc w:val="both"/>
        <w:textAlignment w:val="auto"/>
        <w:rPr>
          <w:rFonts w:eastAsia="Calibri"/>
          <w:color w:val="0563C1"/>
          <w:sz w:val="24"/>
          <w:szCs w:val="24"/>
          <w:u w:val="single"/>
          <w:lang w:eastAsia="en-US"/>
        </w:rPr>
      </w:pPr>
      <w:r w:rsidRPr="00AE254A">
        <w:rPr>
          <w:rFonts w:eastAsia="Calibri"/>
          <w:color w:val="auto"/>
          <w:sz w:val="24"/>
          <w:szCs w:val="24"/>
          <w:lang w:eastAsia="en-US"/>
        </w:rPr>
        <w:t xml:space="preserve">Children in Wales (2014) </w:t>
      </w:r>
      <w:r w:rsidRPr="00AE254A">
        <w:rPr>
          <w:rFonts w:eastAsia="Calibri"/>
          <w:i/>
          <w:color w:val="auto"/>
          <w:sz w:val="24"/>
          <w:szCs w:val="24"/>
          <w:lang w:eastAsia="en-US"/>
        </w:rPr>
        <w:t>All Wales Child Protection Procedures 2008</w:t>
      </w:r>
      <w:r w:rsidRPr="00AE254A">
        <w:rPr>
          <w:rFonts w:eastAsia="Calibri"/>
          <w:color w:val="auto"/>
          <w:sz w:val="24"/>
          <w:szCs w:val="24"/>
          <w:lang w:eastAsia="en-US"/>
        </w:rPr>
        <w:t xml:space="preserve">, Accessed 04.09.2021, Available at: </w:t>
      </w:r>
      <w:hyperlink r:id="rId11" w:history="1">
        <w:r w:rsidRPr="00AE254A">
          <w:rPr>
            <w:rFonts w:eastAsia="Calibri"/>
            <w:color w:val="0563C1"/>
            <w:sz w:val="24"/>
            <w:szCs w:val="24"/>
            <w:u w:val="single"/>
            <w:lang w:eastAsia="en-US"/>
          </w:rPr>
          <w:t>http://www.childreninwales.org.uk/policy-document/wales-child-protection-procedures-2008/</w:t>
        </w:r>
      </w:hyperlink>
    </w:p>
    <w:p w14:paraId="467631ED"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Citizens Advice (2019) Child Abuse – Child Protection Plans, Accessed 30/09/2019, Available Online: </w:t>
      </w:r>
      <w:hyperlink r:id="rId12" w:history="1">
        <w:r w:rsidRPr="00AE254A">
          <w:rPr>
            <w:rFonts w:eastAsia="Calibri"/>
            <w:color w:val="0563C1"/>
            <w:sz w:val="24"/>
            <w:szCs w:val="24"/>
            <w:u w:val="single"/>
            <w:lang w:eastAsia="en-US"/>
          </w:rPr>
          <w:t>https://www.citizensadvice.org.uk/family/children-and-young-people/child-abuse/local-authority-involvement/child-abuse-child-protection-plans/</w:t>
        </w:r>
      </w:hyperlink>
    </w:p>
    <w:p w14:paraId="3F661C67" w14:textId="77777777" w:rsidR="00AE254A" w:rsidRPr="00AE254A" w:rsidRDefault="00AE254A" w:rsidP="00AE254A">
      <w:pPr>
        <w:shd w:val="clear" w:color="auto" w:fill="FFFFFF"/>
        <w:overflowPunct/>
        <w:autoSpaceDE/>
        <w:autoSpaceDN/>
        <w:adjustRightInd/>
        <w:spacing w:line="360" w:lineRule="auto"/>
        <w:jc w:val="both"/>
        <w:rPr>
          <w:color w:val="2A2A2A"/>
          <w:sz w:val="24"/>
          <w:szCs w:val="24"/>
        </w:rPr>
      </w:pPr>
      <w:r w:rsidRPr="00AE254A">
        <w:rPr>
          <w:color w:val="2A2A2A"/>
          <w:sz w:val="24"/>
          <w:szCs w:val="24"/>
        </w:rPr>
        <w:lastRenderedPageBreak/>
        <w:t xml:space="preserve">Cleaver, H. and Freeman, P. (1995) </w:t>
      </w:r>
      <w:r w:rsidRPr="00AE254A">
        <w:rPr>
          <w:i/>
          <w:color w:val="2A2A2A"/>
          <w:sz w:val="24"/>
          <w:szCs w:val="24"/>
        </w:rPr>
        <w:t>Parental Perspectives in Cases of Suspected Child Abuse</w:t>
      </w:r>
      <w:r w:rsidRPr="00AE254A">
        <w:rPr>
          <w:color w:val="2A2A2A"/>
          <w:sz w:val="24"/>
          <w:szCs w:val="24"/>
        </w:rPr>
        <w:t xml:space="preserve">, London, HMSO. </w:t>
      </w:r>
    </w:p>
    <w:p w14:paraId="4B5C63F3" w14:textId="77777777" w:rsidR="00AE254A" w:rsidRPr="00AE254A" w:rsidRDefault="00AE254A" w:rsidP="00AE254A">
      <w:pPr>
        <w:shd w:val="clear" w:color="auto" w:fill="FFFFFF"/>
        <w:overflowPunct/>
        <w:autoSpaceDE/>
        <w:autoSpaceDN/>
        <w:adjustRightInd/>
        <w:spacing w:line="360" w:lineRule="auto"/>
        <w:jc w:val="both"/>
        <w:rPr>
          <w:color w:val="2A2A2A"/>
          <w:sz w:val="24"/>
          <w:szCs w:val="24"/>
        </w:rPr>
      </w:pPr>
    </w:p>
    <w:p w14:paraId="32733486" w14:textId="77777777" w:rsidR="00AE254A" w:rsidRPr="00AE254A" w:rsidRDefault="00AE254A" w:rsidP="00AE254A">
      <w:pPr>
        <w:shd w:val="clear" w:color="auto" w:fill="FFFFFF"/>
        <w:overflowPunct/>
        <w:autoSpaceDE/>
        <w:autoSpaceDN/>
        <w:adjustRightInd/>
        <w:spacing w:line="360" w:lineRule="auto"/>
        <w:jc w:val="both"/>
        <w:rPr>
          <w:color w:val="2A2A2A"/>
          <w:sz w:val="24"/>
          <w:szCs w:val="24"/>
        </w:rPr>
      </w:pPr>
      <w:r w:rsidRPr="00AE254A">
        <w:rPr>
          <w:color w:val="2A2A2A"/>
          <w:sz w:val="24"/>
          <w:szCs w:val="24"/>
        </w:rPr>
        <w:t xml:space="preserve">Corby, B., Millar, M. and Young, L. (1996) Parental Participation in Child protection Work: Rethinking the Rhetoric, </w:t>
      </w:r>
      <w:r w:rsidRPr="00AE254A">
        <w:rPr>
          <w:i/>
          <w:color w:val="2A2A2A"/>
          <w:sz w:val="24"/>
          <w:szCs w:val="24"/>
        </w:rPr>
        <w:t>British Journal of Social Work</w:t>
      </w:r>
      <w:r w:rsidRPr="00AE254A">
        <w:rPr>
          <w:color w:val="2A2A2A"/>
          <w:sz w:val="24"/>
          <w:szCs w:val="24"/>
        </w:rPr>
        <w:t>, Vol. 26, pgs. 475 – 492.</w:t>
      </w:r>
    </w:p>
    <w:p w14:paraId="08B2CAF4" w14:textId="77777777" w:rsidR="00AE254A" w:rsidRPr="00AE254A" w:rsidRDefault="00AE254A" w:rsidP="00AE254A">
      <w:pPr>
        <w:shd w:val="clear" w:color="auto" w:fill="FFFFFF"/>
        <w:overflowPunct/>
        <w:autoSpaceDE/>
        <w:autoSpaceDN/>
        <w:adjustRightInd/>
        <w:spacing w:line="360" w:lineRule="auto"/>
        <w:jc w:val="both"/>
        <w:rPr>
          <w:color w:val="2A2A2A"/>
          <w:sz w:val="24"/>
          <w:szCs w:val="24"/>
        </w:rPr>
      </w:pPr>
    </w:p>
    <w:p w14:paraId="4E20B70D" w14:textId="77777777" w:rsidR="00AE254A" w:rsidRPr="00AE254A" w:rsidRDefault="00AE254A" w:rsidP="00AE254A">
      <w:pPr>
        <w:shd w:val="clear" w:color="auto" w:fill="FFFFFF"/>
        <w:overflowPunct/>
        <w:autoSpaceDE/>
        <w:autoSpaceDN/>
        <w:adjustRightInd/>
        <w:spacing w:line="360" w:lineRule="auto"/>
        <w:jc w:val="both"/>
        <w:rPr>
          <w:color w:val="2A2A2A"/>
          <w:sz w:val="24"/>
          <w:szCs w:val="24"/>
        </w:rPr>
      </w:pPr>
      <w:r w:rsidRPr="00AE254A">
        <w:rPr>
          <w:color w:val="2A2A2A"/>
          <w:sz w:val="24"/>
          <w:szCs w:val="24"/>
        </w:rPr>
        <w:t xml:space="preserve">Davidson G., Bunting, L. and Webb, M. (2012) </w:t>
      </w:r>
      <w:r w:rsidRPr="00AE254A">
        <w:rPr>
          <w:i/>
          <w:color w:val="2A2A2A"/>
          <w:sz w:val="24"/>
          <w:szCs w:val="24"/>
        </w:rPr>
        <w:t>Families Experiencing Multiple Adversities: A Review of the International Literature</w:t>
      </w:r>
      <w:r w:rsidRPr="00AE254A">
        <w:rPr>
          <w:color w:val="2A2A2A"/>
          <w:sz w:val="24"/>
          <w:szCs w:val="24"/>
        </w:rPr>
        <w:t xml:space="preserve">, Belfast, Barnardo’s Northern Ireland. </w:t>
      </w:r>
    </w:p>
    <w:p w14:paraId="581B4157" w14:textId="77777777" w:rsidR="00AE254A" w:rsidRPr="00AE254A" w:rsidRDefault="00AE254A" w:rsidP="00AE254A">
      <w:pPr>
        <w:shd w:val="clear" w:color="auto" w:fill="FFFFFF"/>
        <w:overflowPunct/>
        <w:autoSpaceDE/>
        <w:autoSpaceDN/>
        <w:adjustRightInd/>
        <w:rPr>
          <w:rFonts w:ascii="Source Sans Pro" w:hAnsi="Source Sans Pro" w:cs="Times New Roman"/>
          <w:color w:val="2A2A2A"/>
          <w:sz w:val="21"/>
          <w:szCs w:val="21"/>
        </w:rPr>
      </w:pPr>
    </w:p>
    <w:p w14:paraId="28A69BB8"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Davies, L. and Duckett, N. (2016 pg. 23</w:t>
      </w:r>
      <w:r w:rsidRPr="00AE254A">
        <w:rPr>
          <w:rFonts w:eastAsia="Calibri"/>
          <w:i/>
          <w:color w:val="auto"/>
          <w:sz w:val="24"/>
          <w:szCs w:val="24"/>
          <w:lang w:eastAsia="en-US"/>
        </w:rPr>
        <w:t>) Proactive Child Protection and Social Work</w:t>
      </w:r>
      <w:r w:rsidRPr="00AE254A">
        <w:rPr>
          <w:rFonts w:eastAsia="Calibri"/>
          <w:color w:val="auto"/>
          <w:sz w:val="24"/>
          <w:szCs w:val="24"/>
          <w:lang w:eastAsia="en-US"/>
        </w:rPr>
        <w:t>, 2</w:t>
      </w:r>
      <w:r w:rsidRPr="00AE254A">
        <w:rPr>
          <w:rFonts w:eastAsia="Calibri"/>
          <w:color w:val="auto"/>
          <w:sz w:val="24"/>
          <w:szCs w:val="24"/>
          <w:vertAlign w:val="superscript"/>
          <w:lang w:eastAsia="en-US"/>
        </w:rPr>
        <w:t>nd</w:t>
      </w:r>
      <w:r w:rsidRPr="00AE254A">
        <w:rPr>
          <w:rFonts w:eastAsia="Calibri"/>
          <w:color w:val="auto"/>
          <w:sz w:val="24"/>
          <w:szCs w:val="24"/>
          <w:lang w:eastAsia="en-US"/>
        </w:rPr>
        <w:t xml:space="preserve"> Ed., London, Learning Matters. </w:t>
      </w:r>
    </w:p>
    <w:p w14:paraId="1AB0B804"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Department of Health (2000) </w:t>
      </w:r>
      <w:r w:rsidRPr="00AE254A">
        <w:rPr>
          <w:rFonts w:eastAsia="Calibri"/>
          <w:i/>
          <w:color w:val="auto"/>
          <w:sz w:val="24"/>
          <w:szCs w:val="24"/>
          <w:lang w:eastAsia="en-US"/>
        </w:rPr>
        <w:t>The Framework for Assessment of Children in Need and Their Families</w:t>
      </w:r>
      <w:r w:rsidRPr="00AE254A">
        <w:rPr>
          <w:rFonts w:eastAsia="Calibri"/>
          <w:color w:val="auto"/>
          <w:sz w:val="24"/>
          <w:szCs w:val="24"/>
          <w:lang w:eastAsia="en-US"/>
        </w:rPr>
        <w:t xml:space="preserve">, London, HMSO. </w:t>
      </w:r>
    </w:p>
    <w:p w14:paraId="0890209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Equality Act (2000), London, HMSO.</w:t>
      </w:r>
    </w:p>
    <w:p w14:paraId="1C3ED7A3"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Farmer, E. (2006) ‘Using research to develop practice’, in Humphreys, C. and Stanley, N. (eds) </w:t>
      </w:r>
      <w:r w:rsidRPr="00AE254A">
        <w:rPr>
          <w:rFonts w:eastAsia="Calibri"/>
          <w:i/>
          <w:color w:val="auto"/>
          <w:sz w:val="24"/>
          <w:szCs w:val="24"/>
          <w:lang w:eastAsia="en-US"/>
        </w:rPr>
        <w:t>Domestic Violence and Child Protection: Directions for Good Practice</w:t>
      </w:r>
      <w:r w:rsidRPr="00AE254A">
        <w:rPr>
          <w:rFonts w:eastAsia="Calibri"/>
          <w:color w:val="auto"/>
          <w:sz w:val="24"/>
          <w:szCs w:val="24"/>
          <w:lang w:eastAsia="en-US"/>
        </w:rPr>
        <w:t>. London: Jessica Kingsley Publishers.</w:t>
      </w:r>
    </w:p>
    <w:p w14:paraId="31E34415"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Farmer, E. and Owen, M. (1995) </w:t>
      </w:r>
      <w:r w:rsidRPr="00AE254A">
        <w:rPr>
          <w:rFonts w:eastAsia="Calibri"/>
          <w:i/>
          <w:color w:val="auto"/>
          <w:sz w:val="24"/>
          <w:szCs w:val="24"/>
          <w:lang w:eastAsia="en-US"/>
        </w:rPr>
        <w:t>Child Protection Practice: Private Risks and Public Remedies</w:t>
      </w:r>
      <w:r w:rsidRPr="00AE254A">
        <w:rPr>
          <w:rFonts w:eastAsia="Calibri"/>
          <w:color w:val="auto"/>
          <w:sz w:val="24"/>
          <w:szCs w:val="24"/>
          <w:lang w:eastAsia="en-US"/>
        </w:rPr>
        <w:t>, London, HMSO.</w:t>
      </w:r>
    </w:p>
    <w:p w14:paraId="76B7B87C"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AE254A">
        <w:rPr>
          <w:rFonts w:eastAsia="Calibri"/>
          <w:color w:val="auto"/>
          <w:sz w:val="24"/>
          <w:szCs w:val="24"/>
          <w:lang w:eastAsia="en-US"/>
        </w:rPr>
        <w:t>Felitti</w:t>
      </w:r>
      <w:proofErr w:type="spellEnd"/>
      <w:r w:rsidRPr="00AE254A">
        <w:rPr>
          <w:rFonts w:eastAsia="Calibri"/>
          <w:color w:val="auto"/>
          <w:sz w:val="24"/>
          <w:szCs w:val="24"/>
          <w:lang w:eastAsia="en-US"/>
        </w:rPr>
        <w:t xml:space="preserve">, V., Anda, R., Nordenberg, D., Williamson, D., Spitz, A., Edwards, V., Koss, M. and Marks, J. (1998) Relationship of Childhood Abuse and Household Dysfunction to Many of the Leading Causes of Death in Adults: The Adverse Childhood Experiences (ACE) Study, </w:t>
      </w:r>
      <w:r w:rsidRPr="00AE254A">
        <w:rPr>
          <w:rFonts w:eastAsia="Calibri"/>
          <w:i/>
          <w:color w:val="auto"/>
          <w:sz w:val="24"/>
          <w:szCs w:val="24"/>
          <w:lang w:eastAsia="en-US"/>
        </w:rPr>
        <w:t>The American Journal of Preventative Medicine</w:t>
      </w:r>
      <w:r w:rsidRPr="00AE254A">
        <w:rPr>
          <w:rFonts w:eastAsia="Calibri"/>
          <w:color w:val="auto"/>
          <w:sz w:val="24"/>
          <w:szCs w:val="24"/>
          <w:lang w:eastAsia="en-US"/>
        </w:rPr>
        <w:t xml:space="preserve">, Vol. 14, Issue 4, Pgs. 245 – 258. </w:t>
      </w:r>
    </w:p>
    <w:p w14:paraId="012D6B9B"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AE254A">
        <w:rPr>
          <w:rFonts w:eastAsia="Calibri"/>
          <w:color w:val="auto"/>
          <w:sz w:val="24"/>
          <w:szCs w:val="24"/>
          <w:lang w:eastAsia="en-US"/>
        </w:rPr>
        <w:t>Ghaffer</w:t>
      </w:r>
      <w:proofErr w:type="spellEnd"/>
      <w:r w:rsidRPr="00AE254A">
        <w:rPr>
          <w:rFonts w:eastAsia="Calibri"/>
          <w:color w:val="auto"/>
          <w:sz w:val="24"/>
          <w:szCs w:val="24"/>
          <w:lang w:eastAsia="en-US"/>
        </w:rPr>
        <w:t xml:space="preserve">, W., </w:t>
      </w:r>
      <w:proofErr w:type="spellStart"/>
      <w:r w:rsidRPr="00AE254A">
        <w:rPr>
          <w:rFonts w:eastAsia="Calibri"/>
          <w:color w:val="auto"/>
          <w:sz w:val="24"/>
          <w:szCs w:val="24"/>
          <w:lang w:eastAsia="en-US"/>
        </w:rPr>
        <w:t>Manby</w:t>
      </w:r>
      <w:proofErr w:type="spellEnd"/>
      <w:r w:rsidRPr="00AE254A">
        <w:rPr>
          <w:rFonts w:eastAsia="Calibri"/>
          <w:color w:val="auto"/>
          <w:sz w:val="24"/>
          <w:szCs w:val="24"/>
          <w:lang w:eastAsia="en-US"/>
        </w:rPr>
        <w:t xml:space="preserve">, M. and Race, T. (2012) Exploring the Experience of Parents and Carers Whose Children Have Been Subject to Child Protection Plans, </w:t>
      </w:r>
      <w:r w:rsidRPr="00AE254A">
        <w:rPr>
          <w:rFonts w:eastAsia="Calibri"/>
          <w:i/>
          <w:color w:val="auto"/>
          <w:sz w:val="24"/>
          <w:szCs w:val="24"/>
          <w:lang w:eastAsia="en-US"/>
        </w:rPr>
        <w:t>The British Journal of Social Work</w:t>
      </w:r>
      <w:r w:rsidRPr="00AE254A">
        <w:rPr>
          <w:rFonts w:eastAsia="Calibri"/>
          <w:color w:val="auto"/>
          <w:sz w:val="24"/>
          <w:szCs w:val="24"/>
          <w:lang w:eastAsia="en-US"/>
        </w:rPr>
        <w:t xml:space="preserve">, Vol 42, Issue 5, pgs. 887 – 905. </w:t>
      </w:r>
    </w:p>
    <w:p w14:paraId="4685C4D8"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AE254A">
        <w:rPr>
          <w:rFonts w:eastAsia="Calibri"/>
          <w:color w:val="auto"/>
          <w:sz w:val="24"/>
          <w:szCs w:val="24"/>
          <w:lang w:eastAsia="en-US"/>
        </w:rPr>
        <w:t>Ghaye</w:t>
      </w:r>
      <w:proofErr w:type="spellEnd"/>
      <w:r w:rsidRPr="00AE254A">
        <w:rPr>
          <w:rFonts w:eastAsia="Calibri"/>
          <w:color w:val="auto"/>
          <w:sz w:val="24"/>
          <w:szCs w:val="24"/>
          <w:lang w:eastAsia="en-US"/>
        </w:rPr>
        <w:t xml:space="preserve">, T. (2011) </w:t>
      </w:r>
      <w:r w:rsidRPr="00AE254A">
        <w:rPr>
          <w:rFonts w:eastAsia="Calibri"/>
          <w:i/>
          <w:color w:val="auto"/>
          <w:sz w:val="24"/>
          <w:szCs w:val="24"/>
          <w:lang w:eastAsia="en-US"/>
        </w:rPr>
        <w:t>Teaching and Learning Through Reflective Practice: A Practical Guide for Positive Action</w:t>
      </w:r>
      <w:r w:rsidRPr="00AE254A">
        <w:rPr>
          <w:rFonts w:eastAsia="Calibri"/>
          <w:color w:val="auto"/>
          <w:sz w:val="24"/>
          <w:szCs w:val="24"/>
          <w:lang w:eastAsia="en-US"/>
        </w:rPr>
        <w:t xml:space="preserve">, Abingdon, </w:t>
      </w:r>
      <w:proofErr w:type="spellStart"/>
      <w:r w:rsidRPr="00AE254A">
        <w:rPr>
          <w:rFonts w:eastAsia="Calibri"/>
          <w:color w:val="auto"/>
          <w:sz w:val="24"/>
          <w:szCs w:val="24"/>
          <w:lang w:eastAsia="en-US"/>
        </w:rPr>
        <w:t>Routeledge</w:t>
      </w:r>
      <w:proofErr w:type="spellEnd"/>
      <w:r w:rsidRPr="00AE254A">
        <w:rPr>
          <w:rFonts w:eastAsia="Calibri"/>
          <w:color w:val="auto"/>
          <w:sz w:val="24"/>
          <w:szCs w:val="24"/>
          <w:lang w:eastAsia="en-US"/>
        </w:rPr>
        <w:t>.</w:t>
      </w:r>
    </w:p>
    <w:p w14:paraId="14DD5A67"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lastRenderedPageBreak/>
        <w:t xml:space="preserve">Gibbs, G. (1998) </w:t>
      </w:r>
      <w:r w:rsidRPr="00AE254A">
        <w:rPr>
          <w:rFonts w:eastAsia="Calibri"/>
          <w:i/>
          <w:color w:val="auto"/>
          <w:sz w:val="24"/>
          <w:szCs w:val="24"/>
          <w:lang w:eastAsia="en-US"/>
        </w:rPr>
        <w:t>Learning by Doing: A Guide to Teaching and Learning Methods</w:t>
      </w:r>
      <w:r w:rsidRPr="00AE254A">
        <w:rPr>
          <w:rFonts w:eastAsia="Calibri"/>
          <w:color w:val="auto"/>
          <w:sz w:val="24"/>
          <w:szCs w:val="24"/>
          <w:lang w:eastAsia="en-US"/>
        </w:rPr>
        <w:t xml:space="preserve">, Oxford Further Education Unit, Oxford Polytechnic. </w:t>
      </w:r>
    </w:p>
    <w:p w14:paraId="0AE1EEBF"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Gillick v West Norfolk &amp; Wisbech Area Health Authority, UKHL 7 (17 October 1985) Available at: The Law Reports (Appeal Cases) [1986] </w:t>
      </w:r>
      <w:r w:rsidRPr="00AE254A">
        <w:rPr>
          <w:rFonts w:eastAsia="Calibri"/>
          <w:color w:val="2E74B5"/>
          <w:sz w:val="24"/>
          <w:szCs w:val="24"/>
          <w:lang w:eastAsia="en-US"/>
        </w:rPr>
        <w:t>http://www.bailii.org/uk/cases/UKHL/1985/7.html</w:t>
      </w:r>
    </w:p>
    <w:p w14:paraId="1890DA40"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Hackett, S. (2012) The Place That Theory Plays in Child Protection Work In. Davies, M. (ed) </w:t>
      </w:r>
      <w:r w:rsidRPr="00AE254A">
        <w:rPr>
          <w:rFonts w:eastAsia="Calibri"/>
          <w:i/>
          <w:color w:val="auto"/>
          <w:sz w:val="24"/>
          <w:szCs w:val="24"/>
          <w:lang w:eastAsia="en-US"/>
        </w:rPr>
        <w:t>Social Work With Children and Families</w:t>
      </w:r>
      <w:r w:rsidRPr="00AE254A">
        <w:rPr>
          <w:rFonts w:eastAsia="Calibri"/>
          <w:color w:val="auto"/>
          <w:sz w:val="24"/>
          <w:szCs w:val="24"/>
          <w:lang w:eastAsia="en-US"/>
        </w:rPr>
        <w:t>, Basingstoke, Palgrave Macmillan, pg. 121</w:t>
      </w:r>
    </w:p>
    <w:p w14:paraId="081179F5"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Hardy, R. (2018) </w:t>
      </w:r>
      <w:r w:rsidRPr="00AE254A">
        <w:rPr>
          <w:rFonts w:eastAsia="Calibri"/>
          <w:i/>
          <w:color w:val="auto"/>
          <w:sz w:val="24"/>
          <w:szCs w:val="24"/>
          <w:lang w:eastAsia="en-US"/>
        </w:rPr>
        <w:t>The Toxic Trio: What Social Workers Need to Know: Working With Domestic Abuse, substance Misuse and Mental Ill Health</w:t>
      </w:r>
      <w:r w:rsidRPr="00AE254A">
        <w:rPr>
          <w:rFonts w:eastAsia="Calibri"/>
          <w:color w:val="auto"/>
          <w:sz w:val="24"/>
          <w:szCs w:val="24"/>
          <w:lang w:eastAsia="en-US"/>
        </w:rPr>
        <w:t xml:space="preserve">, London, Community Care. </w:t>
      </w:r>
    </w:p>
    <w:p w14:paraId="21806208" w14:textId="77777777" w:rsidR="00AE254A" w:rsidRPr="00AE254A" w:rsidRDefault="00AE254A" w:rsidP="00AE254A">
      <w:pPr>
        <w:overflowPunct/>
        <w:autoSpaceDE/>
        <w:autoSpaceDN/>
        <w:adjustRightInd/>
        <w:spacing w:after="160" w:line="360" w:lineRule="auto"/>
        <w:textAlignment w:val="auto"/>
        <w:rPr>
          <w:rFonts w:eastAsia="Calibri"/>
          <w:color w:val="auto"/>
          <w:sz w:val="24"/>
          <w:szCs w:val="24"/>
          <w:lang w:eastAsia="en-US"/>
        </w:rPr>
      </w:pPr>
      <w:r w:rsidRPr="00AE254A">
        <w:rPr>
          <w:rFonts w:eastAsia="Calibri"/>
          <w:color w:val="auto"/>
          <w:sz w:val="24"/>
          <w:szCs w:val="24"/>
          <w:lang w:eastAsia="en-US"/>
        </w:rPr>
        <w:t xml:space="preserve">Hart, P. (2017) Disguised Compliance or Undisguised Nonsense? Accessed Online 30/10/2021, Available Online:  </w:t>
      </w:r>
      <w:hyperlink r:id="rId13" w:history="1">
        <w:r w:rsidRPr="00AE254A">
          <w:rPr>
            <w:rFonts w:eastAsia="Calibri"/>
            <w:color w:val="0563C1"/>
            <w:sz w:val="24"/>
            <w:szCs w:val="24"/>
            <w:u w:val="single"/>
            <w:lang w:eastAsia="en-US"/>
          </w:rPr>
          <w:t>https://www.familylawweek.co.uk/site.aspx?i=ed177164</w:t>
        </w:r>
      </w:hyperlink>
    </w:p>
    <w:p w14:paraId="553D7EF5"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2"/>
          <w:lang w:eastAsia="en-US"/>
        </w:rPr>
      </w:pPr>
      <w:r w:rsidRPr="00AE254A">
        <w:rPr>
          <w:rFonts w:eastAsia="Calibri"/>
          <w:color w:val="auto"/>
          <w:sz w:val="24"/>
          <w:szCs w:val="22"/>
          <w:lang w:eastAsia="en-US"/>
        </w:rPr>
        <w:t xml:space="preserve">HM Government (2018) </w:t>
      </w:r>
      <w:r w:rsidRPr="00AE254A">
        <w:rPr>
          <w:rFonts w:eastAsia="Calibri"/>
          <w:i/>
          <w:color w:val="auto"/>
          <w:sz w:val="24"/>
          <w:szCs w:val="22"/>
          <w:lang w:eastAsia="en-US"/>
        </w:rPr>
        <w:t>Working Together to Safeguard Children; Statutory Framework: Legislation Relevant to Safeguarding and Promoting the Welfare of Children</w:t>
      </w:r>
      <w:r w:rsidRPr="00AE254A">
        <w:rPr>
          <w:rFonts w:eastAsia="Calibri"/>
          <w:color w:val="auto"/>
          <w:sz w:val="24"/>
          <w:szCs w:val="22"/>
          <w:lang w:eastAsia="en-US"/>
        </w:rPr>
        <w:t>, London, HMSO.</w:t>
      </w:r>
    </w:p>
    <w:p w14:paraId="333C63BB"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2"/>
          <w:lang w:eastAsia="en-US"/>
        </w:rPr>
      </w:pPr>
      <w:r w:rsidRPr="00AE254A">
        <w:rPr>
          <w:rFonts w:eastAsia="Calibri"/>
          <w:color w:val="auto"/>
          <w:sz w:val="24"/>
          <w:szCs w:val="22"/>
          <w:lang w:eastAsia="en-US"/>
        </w:rPr>
        <w:t xml:space="preserve">Howarth, J. (2010, pg. 18) </w:t>
      </w:r>
      <w:r w:rsidRPr="00AE254A">
        <w:rPr>
          <w:rFonts w:eastAsia="Calibri"/>
          <w:i/>
          <w:color w:val="auto"/>
          <w:sz w:val="24"/>
          <w:szCs w:val="22"/>
          <w:lang w:eastAsia="en-US"/>
        </w:rPr>
        <w:t>The Child’s World</w:t>
      </w:r>
      <w:r w:rsidRPr="00AE254A">
        <w:rPr>
          <w:rFonts w:eastAsia="Calibri"/>
          <w:color w:val="auto"/>
          <w:sz w:val="24"/>
          <w:szCs w:val="22"/>
          <w:lang w:eastAsia="en-US"/>
        </w:rPr>
        <w:t>, 2</w:t>
      </w:r>
      <w:r w:rsidRPr="00AE254A">
        <w:rPr>
          <w:rFonts w:eastAsia="Calibri"/>
          <w:color w:val="auto"/>
          <w:sz w:val="24"/>
          <w:szCs w:val="22"/>
          <w:vertAlign w:val="superscript"/>
          <w:lang w:eastAsia="en-US"/>
        </w:rPr>
        <w:t>nd</w:t>
      </w:r>
      <w:r w:rsidRPr="00AE254A">
        <w:rPr>
          <w:rFonts w:eastAsia="Calibri"/>
          <w:color w:val="auto"/>
          <w:sz w:val="24"/>
          <w:szCs w:val="22"/>
          <w:lang w:eastAsia="en-US"/>
        </w:rPr>
        <w:t xml:space="preserve"> Edition, London, Jessica Kingsley Publishers.</w:t>
      </w:r>
    </w:p>
    <w:p w14:paraId="2ECAD7E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2"/>
          <w:lang w:eastAsia="en-US"/>
        </w:rPr>
      </w:pPr>
      <w:r w:rsidRPr="00AE254A">
        <w:rPr>
          <w:rFonts w:eastAsia="Calibri"/>
          <w:color w:val="auto"/>
          <w:sz w:val="24"/>
          <w:szCs w:val="22"/>
          <w:lang w:eastAsia="en-US"/>
        </w:rPr>
        <w:t xml:space="preserve">Howe, D., Brandon, M., </w:t>
      </w:r>
      <w:proofErr w:type="spellStart"/>
      <w:r w:rsidRPr="00AE254A">
        <w:rPr>
          <w:rFonts w:eastAsia="Calibri"/>
          <w:color w:val="auto"/>
          <w:sz w:val="24"/>
          <w:szCs w:val="22"/>
          <w:lang w:eastAsia="en-US"/>
        </w:rPr>
        <w:t>Hinings</w:t>
      </w:r>
      <w:proofErr w:type="spellEnd"/>
      <w:r w:rsidRPr="00AE254A">
        <w:rPr>
          <w:rFonts w:eastAsia="Calibri"/>
          <w:color w:val="auto"/>
          <w:sz w:val="24"/>
          <w:szCs w:val="22"/>
          <w:lang w:eastAsia="en-US"/>
        </w:rPr>
        <w:t xml:space="preserve">, D. and Schofield, G. (1999) </w:t>
      </w:r>
      <w:r w:rsidRPr="00AE254A">
        <w:rPr>
          <w:rFonts w:eastAsia="Calibri"/>
          <w:i/>
          <w:color w:val="auto"/>
          <w:sz w:val="24"/>
          <w:szCs w:val="22"/>
          <w:lang w:eastAsia="en-US"/>
        </w:rPr>
        <w:t>Attachment Theory, Child Maltreatment and Family Support: A Practice and Assessment Model</w:t>
      </w:r>
      <w:r w:rsidRPr="00AE254A">
        <w:rPr>
          <w:rFonts w:eastAsia="Calibri"/>
          <w:color w:val="auto"/>
          <w:sz w:val="24"/>
          <w:szCs w:val="22"/>
          <w:lang w:eastAsia="en-US"/>
        </w:rPr>
        <w:t xml:space="preserve">, Basingstoke, Macmillan. </w:t>
      </w:r>
    </w:p>
    <w:p w14:paraId="36C959AA"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Howe, N. (2010) Here to Listen! Communicating With Children and Methods for Communicating With Children and Young People as Part of the Assessment Process </w:t>
      </w:r>
      <w:bookmarkStart w:id="0" w:name="_Hlk20762745"/>
      <w:r w:rsidRPr="00AE254A">
        <w:rPr>
          <w:rFonts w:eastAsia="Calibri"/>
          <w:color w:val="auto"/>
          <w:sz w:val="24"/>
          <w:szCs w:val="24"/>
          <w:lang w:eastAsia="en-US"/>
        </w:rPr>
        <w:t xml:space="preserve">In. Horwath, J. (ed) </w:t>
      </w:r>
      <w:r w:rsidRPr="00AE254A">
        <w:rPr>
          <w:rFonts w:eastAsia="Calibri"/>
          <w:i/>
          <w:color w:val="auto"/>
          <w:sz w:val="24"/>
          <w:szCs w:val="24"/>
          <w:lang w:eastAsia="en-US"/>
        </w:rPr>
        <w:t>The Child’s World</w:t>
      </w:r>
      <w:r w:rsidRPr="00AE254A">
        <w:rPr>
          <w:rFonts w:eastAsia="Calibri"/>
          <w:color w:val="auto"/>
          <w:sz w:val="24"/>
          <w:szCs w:val="24"/>
          <w:lang w:eastAsia="en-US"/>
        </w:rPr>
        <w:t>, 2</w:t>
      </w:r>
      <w:r w:rsidRPr="00AE254A">
        <w:rPr>
          <w:rFonts w:eastAsia="Calibri"/>
          <w:color w:val="auto"/>
          <w:sz w:val="24"/>
          <w:szCs w:val="24"/>
          <w:vertAlign w:val="superscript"/>
          <w:lang w:eastAsia="en-US"/>
        </w:rPr>
        <w:t>nd</w:t>
      </w:r>
      <w:r w:rsidRPr="00AE254A">
        <w:rPr>
          <w:rFonts w:eastAsia="Calibri"/>
          <w:color w:val="auto"/>
          <w:sz w:val="24"/>
          <w:szCs w:val="24"/>
          <w:lang w:eastAsia="en-US"/>
        </w:rPr>
        <w:t xml:space="preserve"> Ed. London, Jessica Kingsley Publishers, pg. 129. </w:t>
      </w:r>
    </w:p>
    <w:bookmarkEnd w:id="0"/>
    <w:p w14:paraId="658190B1"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Information Commissioners Office (2018) </w:t>
      </w:r>
      <w:r w:rsidRPr="00AE254A">
        <w:rPr>
          <w:rFonts w:eastAsia="Calibri"/>
          <w:i/>
          <w:color w:val="auto"/>
          <w:sz w:val="24"/>
          <w:szCs w:val="24"/>
          <w:lang w:eastAsia="en-US"/>
        </w:rPr>
        <w:t>Guide to the General Data Protection Regulation (GDPR)</w:t>
      </w:r>
      <w:r w:rsidRPr="00AE254A">
        <w:rPr>
          <w:rFonts w:eastAsia="Calibri"/>
          <w:color w:val="auto"/>
          <w:sz w:val="24"/>
          <w:szCs w:val="24"/>
          <w:lang w:eastAsia="en-US"/>
        </w:rPr>
        <w:t xml:space="preserve">, Accessed 09.10.2019, Available at: </w:t>
      </w:r>
      <w:hyperlink r:id="rId14" w:history="1">
        <w:r w:rsidRPr="00AE254A">
          <w:rPr>
            <w:rFonts w:eastAsia="Calibri"/>
            <w:color w:val="0000FF"/>
            <w:sz w:val="24"/>
            <w:szCs w:val="24"/>
            <w:u w:val="single"/>
            <w:lang w:eastAsia="en-US"/>
          </w:rPr>
          <w:t>https://ico.org.uk/media/for-organisations/guide-to-the-general-data-protection-regulation-gdpr-1-0.pdf</w:t>
        </w:r>
      </w:hyperlink>
    </w:p>
    <w:p w14:paraId="3698D082"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Laird, S. (2013) </w:t>
      </w:r>
      <w:r w:rsidRPr="00AE254A">
        <w:rPr>
          <w:rFonts w:eastAsia="Calibri"/>
          <w:i/>
          <w:color w:val="auto"/>
          <w:sz w:val="24"/>
          <w:szCs w:val="24"/>
          <w:lang w:eastAsia="en-US"/>
        </w:rPr>
        <w:t>Child Protection: Managing Conflict, Hostility and Aggression</w:t>
      </w:r>
      <w:r w:rsidRPr="00AE254A">
        <w:rPr>
          <w:rFonts w:eastAsia="Calibri"/>
          <w:color w:val="auto"/>
          <w:sz w:val="24"/>
          <w:szCs w:val="24"/>
          <w:lang w:eastAsia="en-US"/>
        </w:rPr>
        <w:t xml:space="preserve">, Bristol, The Policy Press. </w:t>
      </w:r>
    </w:p>
    <w:p w14:paraId="1F83EEE2"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Laming, H. (2003) </w:t>
      </w:r>
      <w:r w:rsidRPr="00AE254A">
        <w:rPr>
          <w:rFonts w:eastAsia="Calibri"/>
          <w:i/>
          <w:iCs/>
          <w:color w:val="auto"/>
          <w:sz w:val="24"/>
          <w:szCs w:val="24"/>
          <w:lang w:eastAsia="en-US"/>
        </w:rPr>
        <w:t xml:space="preserve">The Victoria </w:t>
      </w:r>
      <w:proofErr w:type="spellStart"/>
      <w:r w:rsidRPr="00AE254A">
        <w:rPr>
          <w:rFonts w:eastAsia="Calibri"/>
          <w:i/>
          <w:iCs/>
          <w:color w:val="auto"/>
          <w:sz w:val="24"/>
          <w:szCs w:val="24"/>
          <w:lang w:eastAsia="en-US"/>
        </w:rPr>
        <w:t>Climbe</w:t>
      </w:r>
      <w:proofErr w:type="spellEnd"/>
      <w:r w:rsidRPr="00AE254A">
        <w:rPr>
          <w:rFonts w:eastAsia="Calibri"/>
          <w:i/>
          <w:iCs/>
          <w:color w:val="auto"/>
          <w:sz w:val="24"/>
          <w:szCs w:val="24"/>
          <w:lang w:eastAsia="en-US"/>
        </w:rPr>
        <w:t xml:space="preserve"> Inquiry. </w:t>
      </w:r>
      <w:r w:rsidRPr="00AE254A">
        <w:rPr>
          <w:rFonts w:eastAsia="Calibri"/>
          <w:color w:val="auto"/>
          <w:sz w:val="24"/>
          <w:szCs w:val="24"/>
          <w:lang w:eastAsia="en-US"/>
        </w:rPr>
        <w:t>Norwich: The Stationery Office, 2003</w:t>
      </w:r>
    </w:p>
    <w:p w14:paraId="23701DE8"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Liberty (2019) </w:t>
      </w:r>
      <w:r w:rsidRPr="00AE254A">
        <w:rPr>
          <w:rFonts w:eastAsia="Calibri"/>
          <w:i/>
          <w:color w:val="auto"/>
          <w:sz w:val="24"/>
          <w:szCs w:val="24"/>
          <w:lang w:eastAsia="en-US"/>
        </w:rPr>
        <w:t>The Human Rights Act</w:t>
      </w:r>
      <w:r w:rsidRPr="00AE254A">
        <w:rPr>
          <w:rFonts w:eastAsia="Calibri"/>
          <w:color w:val="auto"/>
          <w:sz w:val="24"/>
          <w:szCs w:val="24"/>
          <w:lang w:eastAsia="en-US"/>
        </w:rPr>
        <w:t xml:space="preserve">, Accessed 29.08.2019, Available at: </w:t>
      </w:r>
      <w:hyperlink r:id="rId15" w:history="1">
        <w:r w:rsidRPr="00AE254A">
          <w:rPr>
            <w:rFonts w:eastAsia="Calibri"/>
            <w:color w:val="0070C0"/>
            <w:sz w:val="24"/>
            <w:szCs w:val="24"/>
            <w:u w:val="single"/>
            <w:lang w:eastAsia="en-US"/>
          </w:rPr>
          <w:t>https://www.libertyhumanrights.org.uk/human-rights/human-rights-act</w:t>
        </w:r>
      </w:hyperlink>
    </w:p>
    <w:p w14:paraId="1F3823E7"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lastRenderedPageBreak/>
        <w:t>Local Authority X, Policies and Procedures, Accessed 17/08/2021.</w:t>
      </w:r>
    </w:p>
    <w:p w14:paraId="47C6077F"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proofErr w:type="spellStart"/>
      <w:r w:rsidRPr="00AE254A">
        <w:rPr>
          <w:rFonts w:eastAsia="Calibri"/>
          <w:color w:val="auto"/>
          <w:sz w:val="24"/>
          <w:szCs w:val="24"/>
          <w:lang w:eastAsia="en-US"/>
        </w:rPr>
        <w:t>Luckock</w:t>
      </w:r>
      <w:proofErr w:type="spellEnd"/>
      <w:r w:rsidRPr="00AE254A">
        <w:rPr>
          <w:rFonts w:eastAsia="Calibri"/>
          <w:color w:val="auto"/>
          <w:sz w:val="24"/>
          <w:szCs w:val="24"/>
          <w:lang w:eastAsia="en-US"/>
        </w:rPr>
        <w:t xml:space="preserve">, B (2007, pg. 285) Safeguarding Children and Integrated Children’s Services in: Wilson, K. and James, A. (Ed) (2007) </w:t>
      </w:r>
      <w:r w:rsidRPr="00AE254A">
        <w:rPr>
          <w:rFonts w:eastAsia="Calibri"/>
          <w:i/>
          <w:color w:val="auto"/>
          <w:sz w:val="24"/>
          <w:szCs w:val="24"/>
          <w:lang w:eastAsia="en-US"/>
        </w:rPr>
        <w:t>The Child Protection Handbook: The Practitioner’s Guide to Safeguarding Children</w:t>
      </w:r>
      <w:r w:rsidRPr="00AE254A">
        <w:rPr>
          <w:rFonts w:eastAsia="Calibri"/>
          <w:color w:val="auto"/>
          <w:sz w:val="24"/>
          <w:szCs w:val="24"/>
          <w:lang w:eastAsia="en-US"/>
        </w:rPr>
        <w:t xml:space="preserve">, London, Elsevier Limited. </w:t>
      </w:r>
    </w:p>
    <w:p w14:paraId="131A5DEB"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Maclean, S. &amp; Harrison (2015) </w:t>
      </w:r>
      <w:r w:rsidRPr="00AE254A">
        <w:rPr>
          <w:rFonts w:eastAsia="Calibri"/>
          <w:i/>
          <w:iCs/>
          <w:color w:val="auto"/>
          <w:sz w:val="24"/>
          <w:szCs w:val="24"/>
          <w:lang w:eastAsia="en-US"/>
        </w:rPr>
        <w:t xml:space="preserve">Theory &amp; Practice: A straightforward guide for Social Work Students, </w:t>
      </w:r>
      <w:r w:rsidRPr="00AE254A">
        <w:rPr>
          <w:rFonts w:eastAsia="Calibri"/>
          <w:color w:val="auto"/>
          <w:sz w:val="24"/>
          <w:szCs w:val="24"/>
          <w:lang w:eastAsia="en-US"/>
        </w:rPr>
        <w:t xml:space="preserve">Staffs, </w:t>
      </w:r>
      <w:proofErr w:type="spellStart"/>
      <w:r w:rsidRPr="00AE254A">
        <w:rPr>
          <w:rFonts w:eastAsia="Calibri"/>
          <w:color w:val="auto"/>
          <w:sz w:val="24"/>
          <w:szCs w:val="24"/>
          <w:lang w:eastAsia="en-US"/>
        </w:rPr>
        <w:t>Kirwin</w:t>
      </w:r>
      <w:proofErr w:type="spellEnd"/>
      <w:r w:rsidRPr="00AE254A">
        <w:rPr>
          <w:rFonts w:eastAsia="Calibri"/>
          <w:color w:val="auto"/>
          <w:sz w:val="24"/>
          <w:szCs w:val="24"/>
          <w:lang w:eastAsia="en-US"/>
        </w:rPr>
        <w:t xml:space="preserve"> Maclean Ltd.</w:t>
      </w:r>
    </w:p>
    <w:p w14:paraId="7591BE7C"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Mental Health Act (1983) London, HMSO.</w:t>
      </w:r>
    </w:p>
    <w:p w14:paraId="73458B23"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Mental Capacity Act (2005) London, HMSO. </w:t>
      </w:r>
    </w:p>
    <w:p w14:paraId="4DF7B3BA"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Montano, C. (2012) Social Work Theory-Practice Relationship: Challenges to Overcoming Positivist and Postmodern Fragmentation, </w:t>
      </w:r>
      <w:r w:rsidRPr="00AE254A">
        <w:rPr>
          <w:rFonts w:eastAsia="Calibri"/>
          <w:i/>
          <w:color w:val="auto"/>
          <w:sz w:val="24"/>
          <w:szCs w:val="24"/>
          <w:lang w:eastAsia="en-US"/>
        </w:rPr>
        <w:t>International Social Work</w:t>
      </w:r>
      <w:r w:rsidRPr="00AE254A">
        <w:rPr>
          <w:rFonts w:eastAsia="Calibri"/>
          <w:color w:val="auto"/>
          <w:sz w:val="24"/>
          <w:szCs w:val="24"/>
          <w:lang w:eastAsia="en-US"/>
        </w:rPr>
        <w:t>, Vol. 55, pgs. 306-319.</w:t>
      </w:r>
    </w:p>
    <w:p w14:paraId="32B6C3B5"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More Than Just Words: Delivering the ‘Active Offer’ Information Pack, Cardiff, Welsh Government.</w:t>
      </w:r>
    </w:p>
    <w:p w14:paraId="287EC821"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Morrison, T. (2010) Assessing Parental Motivation for Change in: Howarth, J. (Ed) (2010) </w:t>
      </w:r>
      <w:r w:rsidRPr="00AE254A">
        <w:rPr>
          <w:rFonts w:eastAsia="Calibri"/>
          <w:i/>
          <w:color w:val="auto"/>
          <w:sz w:val="24"/>
          <w:szCs w:val="24"/>
          <w:lang w:eastAsia="en-US"/>
        </w:rPr>
        <w:t>The Child’s World: The Comprehensive Guide to Assessing Children in Need</w:t>
      </w:r>
      <w:r w:rsidRPr="00AE254A">
        <w:rPr>
          <w:rFonts w:eastAsia="Calibri"/>
          <w:color w:val="auto"/>
          <w:sz w:val="24"/>
          <w:szCs w:val="24"/>
          <w:lang w:eastAsia="en-US"/>
        </w:rPr>
        <w:t xml:space="preserve">, London, Jessica Kingsley Publishers. </w:t>
      </w:r>
    </w:p>
    <w:p w14:paraId="22D05782"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Mortensen, D. (2008) </w:t>
      </w:r>
      <w:r w:rsidRPr="00AE254A">
        <w:rPr>
          <w:rFonts w:eastAsia="Calibri"/>
          <w:i/>
          <w:color w:val="auto"/>
          <w:sz w:val="24"/>
          <w:szCs w:val="24"/>
          <w:lang w:eastAsia="en-US"/>
        </w:rPr>
        <w:t>Communication Theory</w:t>
      </w:r>
      <w:r w:rsidRPr="00AE254A">
        <w:rPr>
          <w:rFonts w:eastAsia="Calibri"/>
          <w:color w:val="auto"/>
          <w:sz w:val="24"/>
          <w:szCs w:val="24"/>
          <w:lang w:eastAsia="en-US"/>
        </w:rPr>
        <w:t>, 2</w:t>
      </w:r>
      <w:r w:rsidRPr="00AE254A">
        <w:rPr>
          <w:rFonts w:eastAsia="Calibri"/>
          <w:color w:val="auto"/>
          <w:sz w:val="24"/>
          <w:szCs w:val="24"/>
          <w:vertAlign w:val="superscript"/>
          <w:lang w:eastAsia="en-US"/>
        </w:rPr>
        <w:t>nd</w:t>
      </w:r>
      <w:r w:rsidRPr="00AE254A">
        <w:rPr>
          <w:rFonts w:eastAsia="Calibri"/>
          <w:color w:val="auto"/>
          <w:sz w:val="24"/>
          <w:szCs w:val="24"/>
          <w:lang w:eastAsia="en-US"/>
        </w:rPr>
        <w:t xml:space="preserve"> Ed. Oxon, </w:t>
      </w:r>
      <w:proofErr w:type="spellStart"/>
      <w:r w:rsidRPr="00AE254A">
        <w:rPr>
          <w:rFonts w:eastAsia="Calibri"/>
          <w:color w:val="auto"/>
          <w:sz w:val="24"/>
          <w:szCs w:val="24"/>
          <w:lang w:eastAsia="en-US"/>
        </w:rPr>
        <w:t>Routeledge</w:t>
      </w:r>
      <w:proofErr w:type="spellEnd"/>
      <w:r w:rsidRPr="00AE254A">
        <w:rPr>
          <w:rFonts w:eastAsia="Calibri"/>
          <w:color w:val="auto"/>
          <w:sz w:val="24"/>
          <w:szCs w:val="24"/>
          <w:lang w:eastAsia="en-US"/>
        </w:rPr>
        <w:t xml:space="preserve">. </w:t>
      </w:r>
    </w:p>
    <w:p w14:paraId="2DB9CE93" w14:textId="77777777" w:rsidR="00AE254A" w:rsidRPr="00AE254A" w:rsidRDefault="00AE254A" w:rsidP="00AE254A">
      <w:pPr>
        <w:overflowPunct/>
        <w:autoSpaceDE/>
        <w:autoSpaceDN/>
        <w:adjustRightInd/>
        <w:spacing w:after="160" w:line="360" w:lineRule="auto"/>
        <w:jc w:val="both"/>
        <w:textAlignment w:val="auto"/>
        <w:rPr>
          <w:rFonts w:eastAsia="Calibri"/>
          <w:bCs/>
          <w:color w:val="auto"/>
          <w:sz w:val="24"/>
          <w:szCs w:val="22"/>
          <w:lang w:eastAsia="en-US"/>
        </w:rPr>
      </w:pPr>
      <w:r w:rsidRPr="00AE254A">
        <w:rPr>
          <w:rFonts w:eastAsia="Calibri"/>
          <w:color w:val="auto"/>
          <w:sz w:val="24"/>
          <w:szCs w:val="22"/>
          <w:lang w:eastAsia="en-US"/>
        </w:rPr>
        <w:t xml:space="preserve">National Health Service (2019)  </w:t>
      </w:r>
      <w:r w:rsidRPr="00AE254A">
        <w:rPr>
          <w:rFonts w:eastAsia="Calibri"/>
          <w:bCs/>
          <w:i/>
          <w:color w:val="auto"/>
          <w:sz w:val="24"/>
          <w:szCs w:val="22"/>
          <w:lang w:eastAsia="en-US"/>
        </w:rPr>
        <w:t>Standard 11: Safeguarding Children and Safeguarding Vulnerable Adults</w:t>
      </w:r>
      <w:r w:rsidRPr="00AE254A">
        <w:rPr>
          <w:rFonts w:eastAsia="Calibri"/>
          <w:bCs/>
          <w:color w:val="auto"/>
          <w:sz w:val="24"/>
          <w:szCs w:val="22"/>
          <w:lang w:eastAsia="en-US"/>
        </w:rPr>
        <w:t xml:space="preserve">, London, HMSO. </w:t>
      </w:r>
    </w:p>
    <w:p w14:paraId="4C36A7A8" w14:textId="77777777" w:rsidR="00AE254A" w:rsidRPr="00AE254A" w:rsidRDefault="00AE254A" w:rsidP="00AE254A">
      <w:pPr>
        <w:overflowPunct/>
        <w:autoSpaceDE/>
        <w:autoSpaceDN/>
        <w:adjustRightInd/>
        <w:spacing w:after="160" w:line="360" w:lineRule="auto"/>
        <w:jc w:val="both"/>
        <w:textAlignment w:val="auto"/>
        <w:rPr>
          <w:rFonts w:eastAsia="Calibri"/>
          <w:bCs/>
          <w:color w:val="auto"/>
          <w:sz w:val="24"/>
          <w:szCs w:val="22"/>
          <w:lang w:eastAsia="en-US"/>
        </w:rPr>
      </w:pPr>
      <w:r w:rsidRPr="00AE254A">
        <w:rPr>
          <w:rFonts w:eastAsia="Calibri"/>
          <w:bCs/>
          <w:color w:val="auto"/>
          <w:sz w:val="24"/>
          <w:szCs w:val="22"/>
          <w:lang w:eastAsia="en-US"/>
        </w:rPr>
        <w:t xml:space="preserve">National Independent Safeguarding Board Wales (2019) Cardiff, Welsh Government. </w:t>
      </w:r>
    </w:p>
    <w:p w14:paraId="67CAB218" w14:textId="77777777" w:rsidR="00AE254A" w:rsidRPr="00AE254A" w:rsidRDefault="00AE254A" w:rsidP="00AE254A">
      <w:pPr>
        <w:overflowPunct/>
        <w:autoSpaceDE/>
        <w:autoSpaceDN/>
        <w:adjustRightInd/>
        <w:spacing w:after="160" w:line="360" w:lineRule="auto"/>
        <w:textAlignment w:val="auto"/>
        <w:rPr>
          <w:rFonts w:eastAsia="Calibri"/>
          <w:bCs/>
          <w:color w:val="auto"/>
          <w:sz w:val="24"/>
          <w:szCs w:val="22"/>
          <w:lang w:eastAsia="en-US"/>
        </w:rPr>
      </w:pPr>
      <w:r w:rsidRPr="00AE254A">
        <w:rPr>
          <w:rFonts w:eastAsia="Calibri"/>
          <w:bCs/>
          <w:color w:val="auto"/>
          <w:sz w:val="24"/>
          <w:szCs w:val="22"/>
          <w:lang w:eastAsia="en-US"/>
        </w:rPr>
        <w:t xml:space="preserve">North Wales Safeguarding Board (2019) </w:t>
      </w:r>
      <w:r w:rsidRPr="00AE254A">
        <w:rPr>
          <w:rFonts w:eastAsia="Calibri"/>
          <w:bCs/>
          <w:i/>
          <w:color w:val="auto"/>
          <w:sz w:val="24"/>
          <w:szCs w:val="22"/>
          <w:lang w:eastAsia="en-US"/>
        </w:rPr>
        <w:t>ACES – 7 Minute Briefing</w:t>
      </w:r>
      <w:r w:rsidRPr="00AE254A">
        <w:rPr>
          <w:rFonts w:eastAsia="Calibri"/>
          <w:bCs/>
          <w:color w:val="auto"/>
          <w:sz w:val="24"/>
          <w:szCs w:val="22"/>
          <w:lang w:eastAsia="en-US"/>
        </w:rPr>
        <w:t xml:space="preserve">, Accessed 30/05/2021, Available at: </w:t>
      </w:r>
      <w:hyperlink r:id="rId16" w:history="1">
        <w:r w:rsidRPr="00AE254A">
          <w:rPr>
            <w:rFonts w:eastAsia="Calibri"/>
            <w:bCs/>
            <w:color w:val="0563C1"/>
            <w:sz w:val="24"/>
            <w:szCs w:val="22"/>
            <w:u w:val="single"/>
            <w:lang w:eastAsia="en-US"/>
          </w:rPr>
          <w:t>https://www.northwalessafeguardingboard.wales/?s=ACE%27s</w:t>
        </w:r>
      </w:hyperlink>
    </w:p>
    <w:p w14:paraId="661F294B" w14:textId="77777777" w:rsidR="00AE254A" w:rsidRPr="00AE254A" w:rsidRDefault="00AE254A" w:rsidP="00AE254A">
      <w:pPr>
        <w:overflowPunct/>
        <w:autoSpaceDE/>
        <w:autoSpaceDN/>
        <w:adjustRightInd/>
        <w:spacing w:after="160" w:line="360" w:lineRule="auto"/>
        <w:textAlignment w:val="auto"/>
        <w:rPr>
          <w:rFonts w:eastAsia="Calibri"/>
          <w:bCs/>
          <w:color w:val="auto"/>
          <w:sz w:val="24"/>
          <w:szCs w:val="22"/>
          <w:lang w:eastAsia="en-US"/>
        </w:rPr>
      </w:pPr>
      <w:r w:rsidRPr="00AE254A">
        <w:rPr>
          <w:rFonts w:eastAsia="Calibri"/>
          <w:bCs/>
          <w:color w:val="auto"/>
          <w:sz w:val="24"/>
          <w:szCs w:val="22"/>
          <w:lang w:eastAsia="en-US"/>
        </w:rPr>
        <w:t xml:space="preserve">North Wales Safeguarding Board (2019) </w:t>
      </w:r>
      <w:r w:rsidRPr="00AE254A">
        <w:rPr>
          <w:rFonts w:eastAsia="Calibri"/>
          <w:bCs/>
          <w:i/>
          <w:color w:val="auto"/>
          <w:sz w:val="24"/>
          <w:szCs w:val="22"/>
          <w:lang w:eastAsia="en-US"/>
        </w:rPr>
        <w:t>Policies and Procedures Adults</w:t>
      </w:r>
      <w:r w:rsidRPr="00AE254A">
        <w:rPr>
          <w:rFonts w:eastAsia="Calibri"/>
          <w:bCs/>
          <w:color w:val="auto"/>
          <w:sz w:val="24"/>
          <w:szCs w:val="22"/>
          <w:lang w:eastAsia="en-US"/>
        </w:rPr>
        <w:t xml:space="preserve">, Accessed 30/05/2021, Available from: </w:t>
      </w:r>
      <w:hyperlink r:id="rId17" w:history="1">
        <w:r w:rsidRPr="00AE254A">
          <w:rPr>
            <w:rFonts w:eastAsia="Calibri"/>
            <w:bCs/>
            <w:color w:val="0563C1"/>
            <w:sz w:val="24"/>
            <w:szCs w:val="22"/>
            <w:u w:val="single"/>
            <w:lang w:eastAsia="en-US"/>
          </w:rPr>
          <w:t>https://www.northwalessafeguardingboard.wales/policies-and-procedures-adults/</w:t>
        </w:r>
      </w:hyperlink>
      <w:r w:rsidRPr="00AE254A">
        <w:rPr>
          <w:rFonts w:eastAsia="Calibri"/>
          <w:bCs/>
          <w:color w:val="auto"/>
          <w:sz w:val="24"/>
          <w:szCs w:val="22"/>
          <w:lang w:eastAsia="en-US"/>
        </w:rPr>
        <w:t xml:space="preserve"> </w:t>
      </w:r>
    </w:p>
    <w:p w14:paraId="548015A2" w14:textId="77777777" w:rsidR="00AE254A" w:rsidRPr="00AE254A" w:rsidRDefault="00AE254A" w:rsidP="00AE254A">
      <w:pPr>
        <w:overflowPunct/>
        <w:autoSpaceDE/>
        <w:autoSpaceDN/>
        <w:adjustRightInd/>
        <w:spacing w:after="160" w:line="360" w:lineRule="auto"/>
        <w:jc w:val="both"/>
        <w:textAlignment w:val="auto"/>
        <w:rPr>
          <w:rFonts w:eastAsia="Calibri"/>
          <w:bCs/>
          <w:color w:val="auto"/>
          <w:sz w:val="24"/>
          <w:szCs w:val="22"/>
          <w:lang w:eastAsia="en-US"/>
        </w:rPr>
      </w:pPr>
      <w:r w:rsidRPr="00AE254A">
        <w:rPr>
          <w:rFonts w:eastAsia="Calibri"/>
          <w:bCs/>
          <w:color w:val="auto"/>
          <w:sz w:val="24"/>
          <w:szCs w:val="22"/>
          <w:lang w:eastAsia="en-US"/>
        </w:rPr>
        <w:lastRenderedPageBreak/>
        <w:t xml:space="preserve">NHS (2018) </w:t>
      </w:r>
      <w:r w:rsidRPr="00AE254A">
        <w:rPr>
          <w:rFonts w:eastAsia="Calibri"/>
          <w:bCs/>
          <w:i/>
          <w:color w:val="auto"/>
          <w:sz w:val="24"/>
          <w:szCs w:val="22"/>
          <w:lang w:eastAsia="en-US"/>
        </w:rPr>
        <w:t>Mental Capacity Act</w:t>
      </w:r>
      <w:r w:rsidRPr="00AE254A">
        <w:rPr>
          <w:rFonts w:eastAsia="Calibri"/>
          <w:bCs/>
          <w:color w:val="auto"/>
          <w:sz w:val="24"/>
          <w:szCs w:val="22"/>
          <w:lang w:eastAsia="en-US"/>
        </w:rPr>
        <w:t xml:space="preserve">, Accessed 09.10.2019, Available at: </w:t>
      </w:r>
      <w:hyperlink r:id="rId18" w:history="1">
        <w:r w:rsidRPr="00AE254A">
          <w:rPr>
            <w:rFonts w:eastAsia="Calibri"/>
            <w:bCs/>
            <w:color w:val="0000FF"/>
            <w:sz w:val="24"/>
            <w:szCs w:val="22"/>
            <w:u w:val="single"/>
            <w:lang w:eastAsia="en-US"/>
          </w:rPr>
          <w:t>https://www.nhs.uk/conditions/social-care-and-support-guide/making-decisions-for-someone-else/mental-capacity-act/</w:t>
        </w:r>
      </w:hyperlink>
    </w:p>
    <w:p w14:paraId="50CADD90" w14:textId="77777777" w:rsidR="00AE254A" w:rsidRPr="00AE254A" w:rsidRDefault="00AE254A" w:rsidP="00AE254A">
      <w:pPr>
        <w:overflowPunct/>
        <w:autoSpaceDE/>
        <w:autoSpaceDN/>
        <w:adjustRightInd/>
        <w:spacing w:after="160" w:line="360" w:lineRule="auto"/>
        <w:jc w:val="both"/>
        <w:textAlignment w:val="auto"/>
        <w:rPr>
          <w:rFonts w:eastAsia="Calibri"/>
          <w:color w:val="0070C0"/>
          <w:sz w:val="24"/>
          <w:szCs w:val="24"/>
          <w:u w:val="single"/>
          <w:lang w:eastAsia="en-US"/>
        </w:rPr>
      </w:pPr>
      <w:r w:rsidRPr="00AE254A">
        <w:rPr>
          <w:rFonts w:eastAsia="Calibri"/>
          <w:bCs/>
          <w:color w:val="auto"/>
          <w:sz w:val="24"/>
          <w:szCs w:val="22"/>
          <w:lang w:eastAsia="en-US"/>
        </w:rPr>
        <w:t xml:space="preserve">Ni Government Services (2019) </w:t>
      </w:r>
      <w:r w:rsidRPr="00AE254A">
        <w:rPr>
          <w:rFonts w:eastAsia="Calibri"/>
          <w:bCs/>
          <w:i/>
          <w:color w:val="auto"/>
          <w:sz w:val="24"/>
          <w:szCs w:val="22"/>
          <w:lang w:eastAsia="en-US"/>
        </w:rPr>
        <w:t>Children’s Human Rights</w:t>
      </w:r>
      <w:r w:rsidRPr="00AE254A">
        <w:rPr>
          <w:rFonts w:eastAsia="Calibri"/>
          <w:bCs/>
          <w:color w:val="auto"/>
          <w:sz w:val="24"/>
          <w:szCs w:val="22"/>
          <w:lang w:eastAsia="en-US"/>
        </w:rPr>
        <w:t xml:space="preserve">, Accessed 29.08.2019, Available at: </w:t>
      </w:r>
      <w:hyperlink r:id="rId19" w:history="1">
        <w:r w:rsidRPr="00AE254A">
          <w:rPr>
            <w:rFonts w:eastAsia="Calibri"/>
            <w:color w:val="0563C1"/>
            <w:sz w:val="24"/>
            <w:szCs w:val="24"/>
            <w:u w:val="single"/>
            <w:lang w:eastAsia="en-US"/>
          </w:rPr>
          <w:t>https://www.nidirect.gov.uk/articles/childres-human-rights</w:t>
        </w:r>
      </w:hyperlink>
    </w:p>
    <w:p w14:paraId="11A2C4DE" w14:textId="77777777" w:rsidR="00AE254A" w:rsidRPr="00AE254A" w:rsidRDefault="00AE254A" w:rsidP="00AE254A">
      <w:pPr>
        <w:overflowPunct/>
        <w:autoSpaceDE/>
        <w:autoSpaceDN/>
        <w:adjustRightInd/>
        <w:spacing w:before="240"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NSPCC (2018) Child Protection in the UK, Accessed 04/01/2021 at: </w:t>
      </w:r>
      <w:hyperlink r:id="rId20" w:history="1">
        <w:r w:rsidRPr="00AE254A">
          <w:rPr>
            <w:rFonts w:eastAsia="Calibri"/>
            <w:color w:val="0563C1"/>
            <w:sz w:val="24"/>
            <w:szCs w:val="24"/>
            <w:u w:val="single"/>
            <w:lang w:eastAsia="en-US"/>
          </w:rPr>
          <w:t>https://www.nspcc.org.uk/preventing-abuse/child-protection-system/</w:t>
        </w:r>
      </w:hyperlink>
      <w:r w:rsidRPr="00AE254A">
        <w:rPr>
          <w:rFonts w:eastAsia="Calibri"/>
          <w:color w:val="auto"/>
          <w:sz w:val="24"/>
          <w:szCs w:val="24"/>
          <w:lang w:eastAsia="en-US"/>
        </w:rPr>
        <w:t xml:space="preserve"> </w:t>
      </w:r>
    </w:p>
    <w:p w14:paraId="2C672D2D" w14:textId="77777777" w:rsidR="00AE254A" w:rsidRPr="00AE254A" w:rsidRDefault="00AE254A" w:rsidP="00AE254A">
      <w:pPr>
        <w:overflowPunct/>
        <w:autoSpaceDE/>
        <w:autoSpaceDN/>
        <w:adjustRightInd/>
        <w:spacing w:before="240" w:after="160" w:line="360" w:lineRule="auto"/>
        <w:jc w:val="both"/>
        <w:textAlignment w:val="auto"/>
        <w:rPr>
          <w:rFonts w:eastAsia="Calibri"/>
          <w:bCs/>
          <w:color w:val="auto"/>
          <w:sz w:val="24"/>
          <w:szCs w:val="22"/>
          <w:lang w:eastAsia="en-US"/>
        </w:rPr>
      </w:pPr>
      <w:r w:rsidRPr="00AE254A">
        <w:rPr>
          <w:rFonts w:eastAsia="Calibri"/>
          <w:color w:val="auto"/>
          <w:sz w:val="24"/>
          <w:szCs w:val="24"/>
          <w:lang w:eastAsia="en-US"/>
        </w:rPr>
        <w:t xml:space="preserve">NSPCC (2019) </w:t>
      </w:r>
      <w:r w:rsidRPr="00AE254A">
        <w:rPr>
          <w:rFonts w:eastAsia="Calibri"/>
          <w:i/>
          <w:color w:val="auto"/>
          <w:sz w:val="24"/>
          <w:szCs w:val="24"/>
          <w:lang w:eastAsia="en-US"/>
        </w:rPr>
        <w:t>Child Protection System in England</w:t>
      </w:r>
      <w:r w:rsidRPr="00AE254A">
        <w:rPr>
          <w:rFonts w:eastAsia="Calibri"/>
          <w:color w:val="auto"/>
          <w:sz w:val="24"/>
          <w:szCs w:val="24"/>
          <w:lang w:eastAsia="en-US"/>
        </w:rPr>
        <w:t>, Accessed 04/01/2021, Available at:</w:t>
      </w:r>
      <w:hyperlink r:id="rId21" w:history="1">
        <w:r w:rsidRPr="00AE254A">
          <w:rPr>
            <w:rFonts w:eastAsia="Calibri"/>
            <w:color w:val="0563C1"/>
            <w:sz w:val="24"/>
            <w:szCs w:val="24"/>
            <w:u w:val="single"/>
            <w:lang w:eastAsia="en-US"/>
          </w:rPr>
          <w:t>https://learning.nspcc.org.uk/child-protection-system/england/?_ga=2.125963342.294177231.1568218653-725448736.1568218653</w:t>
        </w:r>
      </w:hyperlink>
    </w:p>
    <w:p w14:paraId="0D3CD77D" w14:textId="77777777" w:rsidR="00AE254A" w:rsidRPr="00AE254A" w:rsidRDefault="00AE254A" w:rsidP="00AE254A">
      <w:pPr>
        <w:overflowPunct/>
        <w:autoSpaceDE/>
        <w:autoSpaceDN/>
        <w:adjustRightInd/>
        <w:spacing w:before="240"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NSPCC (2019) </w:t>
      </w:r>
      <w:r w:rsidRPr="00AE254A">
        <w:rPr>
          <w:rFonts w:eastAsia="Calibri"/>
          <w:i/>
          <w:color w:val="auto"/>
          <w:sz w:val="24"/>
          <w:szCs w:val="24"/>
          <w:lang w:eastAsia="en-US"/>
        </w:rPr>
        <w:t>Child Protection System in Northern Ireland</w:t>
      </w:r>
      <w:r w:rsidRPr="00AE254A">
        <w:rPr>
          <w:rFonts w:eastAsia="Calibri"/>
          <w:color w:val="auto"/>
          <w:sz w:val="24"/>
          <w:szCs w:val="24"/>
          <w:lang w:eastAsia="en-US"/>
        </w:rPr>
        <w:t xml:space="preserve">, Accessed 04/01/2021 Available at: </w:t>
      </w:r>
      <w:hyperlink r:id="rId22" w:history="1">
        <w:r w:rsidRPr="00AE254A">
          <w:rPr>
            <w:rFonts w:eastAsia="Calibri"/>
            <w:color w:val="0563C1"/>
            <w:sz w:val="24"/>
            <w:szCs w:val="24"/>
            <w:u w:val="single"/>
            <w:lang w:eastAsia="en-US"/>
          </w:rPr>
          <w:t>https://learning.nspcc.org.uk/child-protection-system/northern-ireland/</w:t>
        </w:r>
      </w:hyperlink>
    </w:p>
    <w:p w14:paraId="72239C77" w14:textId="77777777" w:rsidR="00AE254A" w:rsidRPr="00AE254A" w:rsidRDefault="00AE254A" w:rsidP="00AE254A">
      <w:pPr>
        <w:overflowPunct/>
        <w:autoSpaceDE/>
        <w:autoSpaceDN/>
        <w:adjustRightInd/>
        <w:spacing w:before="240"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NSPCC (2019) </w:t>
      </w:r>
      <w:r w:rsidRPr="00AE254A">
        <w:rPr>
          <w:rFonts w:eastAsia="Calibri"/>
          <w:i/>
          <w:color w:val="auto"/>
          <w:sz w:val="24"/>
          <w:szCs w:val="24"/>
          <w:lang w:eastAsia="en-US"/>
        </w:rPr>
        <w:t>Child Protection System in Scotland</w:t>
      </w:r>
      <w:r w:rsidRPr="00AE254A">
        <w:rPr>
          <w:rFonts w:eastAsia="Calibri"/>
          <w:color w:val="auto"/>
          <w:sz w:val="24"/>
          <w:szCs w:val="24"/>
          <w:lang w:eastAsia="en-US"/>
        </w:rPr>
        <w:t xml:space="preserve">, Accessed 04/01/2021, Available at: </w:t>
      </w:r>
      <w:hyperlink r:id="rId23" w:history="1">
        <w:r w:rsidRPr="00AE254A">
          <w:rPr>
            <w:rFonts w:eastAsia="Calibri"/>
            <w:color w:val="0563C1"/>
            <w:sz w:val="24"/>
            <w:szCs w:val="24"/>
            <w:u w:val="single"/>
            <w:lang w:eastAsia="en-US"/>
          </w:rPr>
          <w:t>https://learning.nspcc.org.uk/child-protection-system/scotland/</w:t>
        </w:r>
      </w:hyperlink>
    </w:p>
    <w:p w14:paraId="5B367B10" w14:textId="77777777" w:rsidR="00AE254A" w:rsidRPr="00AE254A" w:rsidRDefault="00AE254A" w:rsidP="00AE254A">
      <w:pPr>
        <w:overflowPunct/>
        <w:autoSpaceDE/>
        <w:autoSpaceDN/>
        <w:adjustRightInd/>
        <w:spacing w:before="240"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Rose, W. (2010) The Assessment Framework In. Horwath, J. (ed) </w:t>
      </w:r>
      <w:r w:rsidRPr="00AE254A">
        <w:rPr>
          <w:rFonts w:eastAsia="Calibri"/>
          <w:i/>
          <w:color w:val="auto"/>
          <w:sz w:val="24"/>
          <w:szCs w:val="24"/>
          <w:lang w:eastAsia="en-US"/>
        </w:rPr>
        <w:t>The Child’s World</w:t>
      </w:r>
      <w:r w:rsidRPr="00AE254A">
        <w:rPr>
          <w:rFonts w:eastAsia="Calibri"/>
          <w:color w:val="auto"/>
          <w:sz w:val="24"/>
          <w:szCs w:val="24"/>
          <w:lang w:eastAsia="en-US"/>
        </w:rPr>
        <w:t>, 2</w:t>
      </w:r>
      <w:r w:rsidRPr="00AE254A">
        <w:rPr>
          <w:rFonts w:eastAsia="Calibri"/>
          <w:color w:val="auto"/>
          <w:sz w:val="24"/>
          <w:szCs w:val="24"/>
          <w:vertAlign w:val="superscript"/>
          <w:lang w:eastAsia="en-US"/>
        </w:rPr>
        <w:t>nd</w:t>
      </w:r>
      <w:r w:rsidRPr="00AE254A">
        <w:rPr>
          <w:rFonts w:eastAsia="Calibri"/>
          <w:color w:val="auto"/>
          <w:sz w:val="24"/>
          <w:szCs w:val="24"/>
          <w:lang w:eastAsia="en-US"/>
        </w:rPr>
        <w:t xml:space="preserve"> Ed., London, Jessica Kingsley Publishers, pg. 40.</w:t>
      </w:r>
    </w:p>
    <w:p w14:paraId="541BFC23"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Sales, A., Smith, J. and </w:t>
      </w:r>
      <w:proofErr w:type="spellStart"/>
      <w:r w:rsidRPr="00AE254A">
        <w:rPr>
          <w:rFonts w:eastAsia="Calibri"/>
          <w:color w:val="auto"/>
          <w:sz w:val="24"/>
          <w:szCs w:val="24"/>
          <w:lang w:eastAsia="en-US"/>
        </w:rPr>
        <w:t>Kochevar</w:t>
      </w:r>
      <w:proofErr w:type="spellEnd"/>
      <w:r w:rsidRPr="00AE254A">
        <w:rPr>
          <w:rFonts w:eastAsia="Calibri"/>
          <w:color w:val="auto"/>
          <w:sz w:val="24"/>
          <w:szCs w:val="24"/>
          <w:lang w:eastAsia="en-US"/>
        </w:rPr>
        <w:t xml:space="preserve">, L. (2006) Models, Strategies and Tools@ Theory in Implementing Evidence Based Findings into Health Care Practice, </w:t>
      </w:r>
      <w:r w:rsidRPr="00AE254A">
        <w:rPr>
          <w:rFonts w:eastAsia="Calibri"/>
          <w:i/>
          <w:color w:val="auto"/>
          <w:sz w:val="24"/>
          <w:szCs w:val="24"/>
          <w:lang w:eastAsia="en-US"/>
        </w:rPr>
        <w:t>Journal of General Internal Medicine</w:t>
      </w:r>
      <w:r w:rsidRPr="00AE254A">
        <w:rPr>
          <w:rFonts w:eastAsia="Calibri"/>
          <w:color w:val="auto"/>
          <w:sz w:val="24"/>
          <w:szCs w:val="24"/>
          <w:lang w:eastAsia="en-US"/>
        </w:rPr>
        <w:t>, Vol. 21, pgs. 43-49.</w:t>
      </w:r>
    </w:p>
    <w:p w14:paraId="50A4B70F" w14:textId="77777777" w:rsidR="00AE254A" w:rsidRPr="00AE254A" w:rsidRDefault="00AE254A" w:rsidP="00AE254A">
      <w:pPr>
        <w:overflowPunct/>
        <w:autoSpaceDE/>
        <w:autoSpaceDN/>
        <w:adjustRightInd/>
        <w:spacing w:before="240"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Social Care Institute of Excellence (2012) Introduction to Children’s Social Care: Child Protection Procedures, Accessed 30/09/2019, Available at: </w:t>
      </w:r>
      <w:hyperlink r:id="rId24" w:history="1">
        <w:r w:rsidRPr="00AE254A">
          <w:rPr>
            <w:rFonts w:eastAsia="Calibri"/>
            <w:color w:val="0563C1"/>
            <w:sz w:val="24"/>
            <w:szCs w:val="24"/>
            <w:u w:val="single"/>
            <w:lang w:eastAsia="en-US"/>
          </w:rPr>
          <w:t>https://www.scie.org.uk/publications/introductionto/childrenssocialcare/childprotection.asp</w:t>
        </w:r>
      </w:hyperlink>
    </w:p>
    <w:p w14:paraId="5A0FAD50" w14:textId="77777777" w:rsidR="00AE254A" w:rsidRPr="00AE254A" w:rsidRDefault="00AE254A" w:rsidP="00AE254A">
      <w:pPr>
        <w:overflowPunct/>
        <w:autoSpaceDE/>
        <w:autoSpaceDN/>
        <w:adjustRightInd/>
        <w:spacing w:after="160" w:line="360" w:lineRule="auto"/>
        <w:textAlignment w:val="auto"/>
        <w:rPr>
          <w:rFonts w:eastAsia="Calibri"/>
          <w:color w:val="auto"/>
          <w:sz w:val="24"/>
          <w:szCs w:val="24"/>
          <w:lang w:eastAsia="en-US"/>
        </w:rPr>
      </w:pPr>
      <w:r w:rsidRPr="00AE254A">
        <w:rPr>
          <w:rFonts w:eastAsia="Calibri"/>
          <w:color w:val="auto"/>
          <w:sz w:val="24"/>
          <w:szCs w:val="24"/>
          <w:lang w:eastAsia="en-US"/>
        </w:rPr>
        <w:t xml:space="preserve">Social Care Institute of Excellence (2016) </w:t>
      </w:r>
      <w:r w:rsidRPr="00AE254A">
        <w:rPr>
          <w:rFonts w:eastAsia="Calibri"/>
          <w:i/>
          <w:color w:val="auto"/>
          <w:sz w:val="24"/>
          <w:szCs w:val="24"/>
          <w:lang w:eastAsia="en-US"/>
        </w:rPr>
        <w:t>Overview of Communication Skills Used in Social Work</w:t>
      </w:r>
      <w:r w:rsidRPr="00AE254A">
        <w:rPr>
          <w:rFonts w:eastAsia="Calibri"/>
          <w:color w:val="auto"/>
          <w:sz w:val="24"/>
          <w:szCs w:val="24"/>
          <w:lang w:eastAsia="en-US"/>
        </w:rPr>
        <w:t xml:space="preserve">, Accessed on 02/04/2021 Available at: </w:t>
      </w:r>
      <w:hyperlink r:id="rId25" w:anchor="slide06" w:history="1">
        <w:r w:rsidRPr="00AE254A">
          <w:rPr>
            <w:rFonts w:eastAsia="Calibri"/>
            <w:color w:val="0563C1"/>
            <w:sz w:val="24"/>
            <w:szCs w:val="24"/>
            <w:u w:val="single"/>
            <w:lang w:eastAsia="en-US"/>
          </w:rPr>
          <w:t>http://www.scie.org.uk/assets/elearning/communicationskills/cs01/resource/html/object1/object1_1.htm#slide06</w:t>
        </w:r>
      </w:hyperlink>
      <w:r w:rsidRPr="00AE254A">
        <w:rPr>
          <w:rFonts w:eastAsia="Calibri"/>
          <w:color w:val="auto"/>
          <w:sz w:val="24"/>
          <w:szCs w:val="24"/>
          <w:lang w:eastAsia="en-US"/>
        </w:rPr>
        <w:t xml:space="preserve"> </w:t>
      </w:r>
    </w:p>
    <w:p w14:paraId="2678C15D"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Social Care Institute of Excellence (2018) Forming and Maintaining Relationships With Service, Users, Carers, Professionals and Others, Accessed 14/02/2022 at: </w:t>
      </w:r>
      <w:hyperlink r:id="rId26" w:history="1">
        <w:r w:rsidRPr="00AE254A">
          <w:rPr>
            <w:rFonts w:eastAsia="Calibri"/>
            <w:color w:val="0563C1"/>
            <w:sz w:val="24"/>
            <w:szCs w:val="24"/>
            <w:u w:val="single"/>
            <w:lang w:eastAsia="en-US"/>
          </w:rPr>
          <w:t>https://www.scie.org.uk/assets/elearning/communicationskills/cs02/resource/html/object2/index.htm</w:t>
        </w:r>
      </w:hyperlink>
      <w:r w:rsidRPr="00AE254A">
        <w:rPr>
          <w:rFonts w:eastAsia="Calibri"/>
          <w:color w:val="auto"/>
          <w:sz w:val="24"/>
          <w:szCs w:val="24"/>
          <w:lang w:eastAsia="en-US"/>
        </w:rPr>
        <w:t xml:space="preserve"> </w:t>
      </w:r>
    </w:p>
    <w:p w14:paraId="019EC47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Social Care Wales (2017) </w:t>
      </w:r>
      <w:r w:rsidRPr="00AE254A">
        <w:rPr>
          <w:rFonts w:eastAsia="Calibri"/>
          <w:i/>
          <w:color w:val="auto"/>
          <w:sz w:val="24"/>
          <w:szCs w:val="24"/>
          <w:lang w:eastAsia="en-US"/>
        </w:rPr>
        <w:t>Code of Professional Practice for Social Care</w:t>
      </w:r>
      <w:r w:rsidRPr="00AE254A">
        <w:rPr>
          <w:rFonts w:eastAsia="Calibri"/>
          <w:color w:val="auto"/>
          <w:sz w:val="24"/>
          <w:szCs w:val="24"/>
          <w:lang w:eastAsia="en-US"/>
        </w:rPr>
        <w:t xml:space="preserve">, Cardiff, Welsh Government. </w:t>
      </w:r>
    </w:p>
    <w:p w14:paraId="42E394C5"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Social Care Wales (2017) </w:t>
      </w:r>
      <w:r w:rsidRPr="00AE254A">
        <w:rPr>
          <w:rFonts w:eastAsia="Calibri"/>
          <w:i/>
          <w:color w:val="auto"/>
          <w:sz w:val="24"/>
          <w:szCs w:val="24"/>
          <w:lang w:eastAsia="en-US"/>
        </w:rPr>
        <w:t>Information and Learning Hub: Social Services and Well-Being (Wales) Act 2014</w:t>
      </w:r>
      <w:r w:rsidRPr="00AE254A">
        <w:rPr>
          <w:rFonts w:eastAsia="Calibri"/>
          <w:color w:val="auto"/>
          <w:sz w:val="24"/>
          <w:szCs w:val="24"/>
          <w:lang w:eastAsia="en-US"/>
        </w:rPr>
        <w:t xml:space="preserve">, Accessed 02/02/2021, Available at: </w:t>
      </w:r>
      <w:hyperlink r:id="rId27" w:history="1">
        <w:r w:rsidRPr="00AE254A">
          <w:rPr>
            <w:rFonts w:eastAsia="Calibri"/>
            <w:color w:val="0000FF"/>
            <w:sz w:val="24"/>
            <w:szCs w:val="22"/>
            <w:u w:val="single"/>
            <w:lang w:eastAsia="en-US"/>
          </w:rPr>
          <w:t>https://socialcare.wales/hub/sswbact</w:t>
        </w:r>
      </w:hyperlink>
    </w:p>
    <w:p w14:paraId="2FCF225C"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Social Care Wales (2019), Cardiff,/ Welsh Government. </w:t>
      </w:r>
    </w:p>
    <w:p w14:paraId="3865EBBA"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2"/>
          <w:lang w:eastAsia="en-US"/>
        </w:rPr>
      </w:pPr>
      <w:r w:rsidRPr="00AE254A">
        <w:rPr>
          <w:rFonts w:eastAsia="Calibri"/>
          <w:color w:val="auto"/>
          <w:sz w:val="24"/>
          <w:szCs w:val="22"/>
          <w:lang w:eastAsia="en-US"/>
        </w:rPr>
        <w:t xml:space="preserve">Social Services Well-Being (Wales) Act 2014, Cardiff, Welsh Government. </w:t>
      </w:r>
    </w:p>
    <w:p w14:paraId="3911234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Spratt, T., Devaney, J. and Frederick, J. (2019) </w:t>
      </w:r>
      <w:proofErr w:type="spellStart"/>
      <w:r w:rsidRPr="00AE254A">
        <w:rPr>
          <w:rFonts w:eastAsia="Calibri"/>
          <w:color w:val="auto"/>
          <w:sz w:val="24"/>
          <w:szCs w:val="24"/>
          <w:lang w:eastAsia="en-US"/>
        </w:rPr>
        <w:t>Advers</w:t>
      </w:r>
      <w:proofErr w:type="spellEnd"/>
      <w:r w:rsidRPr="00AE254A">
        <w:rPr>
          <w:rFonts w:eastAsia="Calibri"/>
          <w:color w:val="auto"/>
          <w:sz w:val="24"/>
          <w:szCs w:val="24"/>
          <w:lang w:eastAsia="en-US"/>
        </w:rPr>
        <w:t xml:space="preserve"> Childhood Experiences: Beyond Signs of Safety; Reimagining the Organisation and Practice of Social Work With Children and Families, </w:t>
      </w:r>
      <w:r w:rsidRPr="00AE254A">
        <w:rPr>
          <w:rFonts w:eastAsia="Calibri"/>
          <w:i/>
          <w:color w:val="auto"/>
          <w:sz w:val="24"/>
          <w:szCs w:val="24"/>
          <w:lang w:eastAsia="en-US"/>
        </w:rPr>
        <w:t>The British Journal of Social Work</w:t>
      </w:r>
      <w:r w:rsidRPr="00AE254A">
        <w:rPr>
          <w:rFonts w:eastAsia="Calibri"/>
          <w:color w:val="auto"/>
          <w:sz w:val="24"/>
          <w:szCs w:val="24"/>
          <w:lang w:eastAsia="en-US"/>
        </w:rPr>
        <w:t xml:space="preserve">, </w:t>
      </w:r>
      <w:r w:rsidRPr="00AE254A">
        <w:rPr>
          <w:rFonts w:ascii="Source Sans Pro" w:eastAsia="Calibri" w:hAnsi="Source Sans Pro" w:cs="Times New Roman"/>
          <w:color w:val="2A2A2A"/>
          <w:sz w:val="23"/>
          <w:szCs w:val="23"/>
          <w:shd w:val="clear" w:color="auto" w:fill="FFFFFF"/>
          <w:lang w:eastAsia="en-US"/>
        </w:rPr>
        <w:t> </w:t>
      </w:r>
      <w:hyperlink r:id="rId28" w:history="1">
        <w:r w:rsidRPr="00AE254A">
          <w:rPr>
            <w:rFonts w:eastAsia="Calibri"/>
            <w:color w:val="006FB7"/>
            <w:sz w:val="24"/>
            <w:szCs w:val="24"/>
            <w:u w:val="single"/>
            <w:bdr w:val="none" w:sz="0" w:space="0" w:color="auto" w:frame="1"/>
            <w:shd w:val="clear" w:color="auto" w:fill="FFFFFF"/>
            <w:lang w:eastAsia="en-US"/>
          </w:rPr>
          <w:t>https://doi-org.ezproxy.uwtsd.ac.uk/10.1093/bjsw/bcz023</w:t>
        </w:r>
      </w:hyperlink>
    </w:p>
    <w:p w14:paraId="61831310"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Thornton, B. (2019) </w:t>
      </w:r>
      <w:r w:rsidRPr="00AE254A">
        <w:rPr>
          <w:rFonts w:eastAsia="Calibri"/>
          <w:i/>
          <w:color w:val="auto"/>
          <w:sz w:val="24"/>
          <w:szCs w:val="24"/>
          <w:lang w:eastAsia="en-US"/>
        </w:rPr>
        <w:t>Assessment Tools – Bruce Thornton</w:t>
      </w:r>
      <w:r w:rsidRPr="00AE254A">
        <w:rPr>
          <w:rFonts w:eastAsia="Calibri"/>
          <w:color w:val="auto"/>
          <w:sz w:val="24"/>
          <w:szCs w:val="24"/>
          <w:lang w:eastAsia="en-US"/>
        </w:rPr>
        <w:t xml:space="preserve">, Accessed Online 31.10.2021, Available at: </w:t>
      </w:r>
      <w:hyperlink r:id="rId29" w:history="1">
        <w:r w:rsidRPr="00AE254A">
          <w:rPr>
            <w:rFonts w:eastAsia="Calibri"/>
            <w:color w:val="0563C1"/>
            <w:sz w:val="24"/>
            <w:szCs w:val="24"/>
            <w:u w:val="single"/>
            <w:lang w:eastAsia="en-US"/>
          </w:rPr>
          <w:t>www.bruce-thornton.info-services</w:t>
        </w:r>
      </w:hyperlink>
      <w:r w:rsidRPr="00AE254A">
        <w:rPr>
          <w:rFonts w:eastAsia="Calibri"/>
          <w:color w:val="auto"/>
          <w:sz w:val="24"/>
          <w:szCs w:val="24"/>
          <w:lang w:eastAsia="en-US"/>
        </w:rPr>
        <w:t xml:space="preserve"> </w:t>
      </w:r>
    </w:p>
    <w:p w14:paraId="7C7F3675"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Trevithick, P. (2000, pg. 55) </w:t>
      </w:r>
      <w:r w:rsidRPr="00AE254A">
        <w:rPr>
          <w:rFonts w:eastAsia="Calibri"/>
          <w:i/>
          <w:color w:val="auto"/>
          <w:sz w:val="24"/>
          <w:szCs w:val="24"/>
          <w:lang w:eastAsia="en-US"/>
        </w:rPr>
        <w:t>Social Work Skills: A Practice Handbook</w:t>
      </w:r>
      <w:r w:rsidRPr="00AE254A">
        <w:rPr>
          <w:rFonts w:eastAsia="Calibri"/>
          <w:color w:val="auto"/>
          <w:sz w:val="24"/>
          <w:szCs w:val="24"/>
          <w:lang w:eastAsia="en-US"/>
        </w:rPr>
        <w:t xml:space="preserve">, Buckingham, Open University Press. </w:t>
      </w:r>
    </w:p>
    <w:p w14:paraId="37592B0E"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Trotter, C. (2004) </w:t>
      </w:r>
      <w:r w:rsidRPr="00AE254A">
        <w:rPr>
          <w:rFonts w:eastAsia="Calibri"/>
          <w:i/>
          <w:color w:val="auto"/>
          <w:sz w:val="24"/>
          <w:szCs w:val="24"/>
          <w:lang w:eastAsia="en-US"/>
        </w:rPr>
        <w:t>Helping Abused Children and Their Families</w:t>
      </w:r>
      <w:r w:rsidRPr="00AE254A">
        <w:rPr>
          <w:rFonts w:eastAsia="Calibri"/>
          <w:color w:val="auto"/>
          <w:sz w:val="24"/>
          <w:szCs w:val="24"/>
          <w:lang w:eastAsia="en-US"/>
        </w:rPr>
        <w:t>. 2nd ed. St. Leonards, Sydney, Allan and Unwin.</w:t>
      </w:r>
    </w:p>
    <w:p w14:paraId="72D577FF"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Trotter, C. (2006) </w:t>
      </w:r>
      <w:r w:rsidRPr="00AE254A">
        <w:rPr>
          <w:rFonts w:eastAsia="Calibri"/>
          <w:i/>
          <w:color w:val="auto"/>
          <w:sz w:val="24"/>
          <w:szCs w:val="24"/>
          <w:lang w:eastAsia="en-US"/>
        </w:rPr>
        <w:t>Working with Involuntary Clients: A Guide to Practice</w:t>
      </w:r>
      <w:r w:rsidRPr="00AE254A">
        <w:rPr>
          <w:rFonts w:eastAsia="Calibri"/>
          <w:color w:val="auto"/>
          <w:sz w:val="24"/>
          <w:szCs w:val="24"/>
          <w:lang w:eastAsia="en-US"/>
        </w:rPr>
        <w:t xml:space="preserve">, London, SAGE Publications Ltd. </w:t>
      </w:r>
    </w:p>
    <w:p w14:paraId="02696F85" w14:textId="77777777" w:rsidR="00AE254A" w:rsidRPr="00AE254A" w:rsidRDefault="00AE254A" w:rsidP="00AE254A">
      <w:pPr>
        <w:overflowPunct/>
        <w:autoSpaceDE/>
        <w:autoSpaceDN/>
        <w:adjustRightInd/>
        <w:spacing w:after="160" w:line="360" w:lineRule="auto"/>
        <w:jc w:val="both"/>
        <w:textAlignment w:val="auto"/>
        <w:rPr>
          <w:rFonts w:eastAsia="Calibri"/>
          <w:i/>
          <w:iCs/>
          <w:color w:val="auto"/>
          <w:sz w:val="24"/>
          <w:szCs w:val="24"/>
          <w:lang w:eastAsia="en-US"/>
        </w:rPr>
      </w:pPr>
      <w:proofErr w:type="spellStart"/>
      <w:r w:rsidRPr="00AE254A">
        <w:rPr>
          <w:rFonts w:eastAsia="Calibri"/>
          <w:color w:val="auto"/>
          <w:sz w:val="24"/>
          <w:szCs w:val="24"/>
          <w:lang w:eastAsia="en-US"/>
        </w:rPr>
        <w:t>Unicef</w:t>
      </w:r>
      <w:proofErr w:type="spellEnd"/>
      <w:r w:rsidRPr="00AE254A">
        <w:rPr>
          <w:rFonts w:eastAsia="Calibri"/>
          <w:color w:val="auto"/>
          <w:sz w:val="24"/>
          <w:szCs w:val="24"/>
          <w:lang w:eastAsia="en-US"/>
        </w:rPr>
        <w:t xml:space="preserve"> (2017) </w:t>
      </w:r>
      <w:r w:rsidRPr="00AE254A">
        <w:rPr>
          <w:rFonts w:eastAsia="Calibri"/>
          <w:i/>
          <w:iCs/>
          <w:color w:val="auto"/>
          <w:sz w:val="24"/>
          <w:szCs w:val="24"/>
          <w:lang w:eastAsia="en-US"/>
        </w:rPr>
        <w:t xml:space="preserve">How we protect children’s rights with the UN Convention on the rights of the child, </w:t>
      </w:r>
      <w:r w:rsidRPr="00AE254A">
        <w:rPr>
          <w:rFonts w:eastAsia="Calibri"/>
          <w:color w:val="auto"/>
          <w:sz w:val="24"/>
          <w:szCs w:val="24"/>
          <w:lang w:eastAsia="en-US"/>
        </w:rPr>
        <w:t>https://www.unicef.org.uk/what-we-do/un-convention-child-rights/</w:t>
      </w:r>
      <w:r w:rsidRPr="00AE254A">
        <w:rPr>
          <w:rFonts w:eastAsia="Calibri"/>
          <w:i/>
          <w:iCs/>
          <w:color w:val="auto"/>
          <w:sz w:val="24"/>
          <w:szCs w:val="24"/>
          <w:lang w:eastAsia="en-US"/>
        </w:rPr>
        <w:t xml:space="preserve"> </w:t>
      </w:r>
      <w:r w:rsidRPr="00AE254A">
        <w:rPr>
          <w:rFonts w:eastAsia="Calibri"/>
          <w:color w:val="auto"/>
          <w:sz w:val="24"/>
          <w:szCs w:val="24"/>
          <w:lang w:eastAsia="en-US"/>
        </w:rPr>
        <w:t>Accessed on: 01/12/2021</w:t>
      </w:r>
      <w:r w:rsidRPr="00AE254A">
        <w:rPr>
          <w:rFonts w:eastAsia="Calibri"/>
          <w:i/>
          <w:iCs/>
          <w:color w:val="auto"/>
          <w:sz w:val="24"/>
          <w:szCs w:val="24"/>
          <w:lang w:eastAsia="en-US"/>
        </w:rPr>
        <w:t xml:space="preserve"> </w:t>
      </w:r>
    </w:p>
    <w:p w14:paraId="21E7FACA"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lastRenderedPageBreak/>
        <w:t xml:space="preserve">Welsh Government (2018) </w:t>
      </w:r>
      <w:r w:rsidRPr="00AE254A">
        <w:rPr>
          <w:rFonts w:eastAsia="Calibri"/>
          <w:i/>
          <w:color w:val="auto"/>
          <w:sz w:val="24"/>
          <w:szCs w:val="24"/>
          <w:lang w:eastAsia="en-US"/>
        </w:rPr>
        <w:t>Social Services and Well-Being (Wales) Act 2014: Working Together to Safeguard People Volume 5, Handling Individual Cases to Protect Children at Risk</w:t>
      </w:r>
      <w:r w:rsidRPr="00AE254A">
        <w:rPr>
          <w:rFonts w:eastAsia="Calibri"/>
          <w:color w:val="auto"/>
          <w:sz w:val="24"/>
          <w:szCs w:val="24"/>
          <w:lang w:eastAsia="en-US"/>
        </w:rPr>
        <w:t xml:space="preserve">, Cardiff, Welsh Government.  </w:t>
      </w:r>
    </w:p>
    <w:p w14:paraId="5B8CD713"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Wilson, K. and James, A. (2007) </w:t>
      </w:r>
      <w:r w:rsidRPr="00AE254A">
        <w:rPr>
          <w:rFonts w:eastAsia="Calibri"/>
          <w:i/>
          <w:color w:val="auto"/>
          <w:sz w:val="24"/>
          <w:szCs w:val="24"/>
          <w:lang w:eastAsia="en-US"/>
        </w:rPr>
        <w:t>The Child Protection Handbook: A Practitioners Guide to Safeguarding Children</w:t>
      </w:r>
      <w:r w:rsidRPr="00AE254A">
        <w:rPr>
          <w:rFonts w:eastAsia="Calibri"/>
          <w:color w:val="auto"/>
          <w:sz w:val="24"/>
          <w:szCs w:val="24"/>
          <w:lang w:eastAsia="en-US"/>
        </w:rPr>
        <w:t xml:space="preserve">, London, Elsevier Limited. </w:t>
      </w:r>
    </w:p>
    <w:p w14:paraId="4523CD84"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 xml:space="preserve">Wing Sue, D. (2006) </w:t>
      </w:r>
      <w:r w:rsidRPr="00AE254A">
        <w:rPr>
          <w:rFonts w:eastAsia="Calibri"/>
          <w:i/>
          <w:color w:val="auto"/>
          <w:sz w:val="24"/>
          <w:szCs w:val="24"/>
          <w:lang w:eastAsia="en-US"/>
        </w:rPr>
        <w:t>Multicultural Social Work Practice</w:t>
      </w:r>
      <w:r w:rsidRPr="00AE254A">
        <w:rPr>
          <w:rFonts w:eastAsia="Calibri"/>
          <w:color w:val="auto"/>
          <w:sz w:val="24"/>
          <w:szCs w:val="24"/>
          <w:lang w:eastAsia="en-US"/>
        </w:rPr>
        <w:t xml:space="preserve">, New Jersey, John Wiley and Sons. </w:t>
      </w:r>
    </w:p>
    <w:p w14:paraId="09902416" w14:textId="77777777" w:rsidR="00AE254A" w:rsidRPr="00AE254A" w:rsidRDefault="00AE254A" w:rsidP="00AE254A">
      <w:pPr>
        <w:overflowPunct/>
        <w:autoSpaceDE/>
        <w:autoSpaceDN/>
        <w:adjustRightInd/>
        <w:spacing w:after="160" w:line="360" w:lineRule="auto"/>
        <w:jc w:val="both"/>
        <w:textAlignment w:val="auto"/>
        <w:rPr>
          <w:rFonts w:eastAsia="Calibri"/>
          <w:color w:val="auto"/>
          <w:sz w:val="24"/>
          <w:szCs w:val="24"/>
          <w:lang w:eastAsia="en-US"/>
        </w:rPr>
      </w:pPr>
      <w:r w:rsidRPr="00AE254A">
        <w:rPr>
          <w:rFonts w:eastAsia="Calibri"/>
          <w:color w:val="auto"/>
          <w:sz w:val="24"/>
          <w:szCs w:val="24"/>
          <w:lang w:eastAsia="en-US"/>
        </w:rPr>
        <w:t>Working Together to Safeguard People: Volume 5 – Handling Individual Cases to Protect Children at Risk (2018), Cardiff, Welsh Government.</w:t>
      </w: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6ED5AC9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w:t>
      </w:r>
      <w:r w:rsidR="00963912" w:rsidRPr="008B28E7">
        <w:rPr>
          <w:b/>
          <w:sz w:val="24"/>
          <w:szCs w:val="24"/>
        </w:rPr>
        <w:t xml:space="preserve">Learner </w:t>
      </w:r>
      <w:proofErr w:type="spellStart"/>
      <w:r w:rsidR="00963912">
        <w:rPr>
          <w:b/>
          <w:sz w:val="24"/>
          <w:szCs w:val="24"/>
        </w:rPr>
        <w:t>Eleri</w:t>
      </w:r>
      <w:proofErr w:type="spellEnd"/>
      <w:r w:rsidR="00963912">
        <w:rPr>
          <w:b/>
          <w:sz w:val="24"/>
          <w:szCs w:val="24"/>
        </w:rPr>
        <w:t xml:space="preserve"> Jones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0F97306E"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63912">
        <w:rPr>
          <w:b/>
          <w:sz w:val="24"/>
          <w:szCs w:val="24"/>
        </w:rPr>
        <w:t xml:space="preserve"> 1911112</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33B7DC9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63912">
        <w:rPr>
          <w:b/>
          <w:sz w:val="24"/>
          <w:szCs w:val="24"/>
        </w:rPr>
        <w:t xml:space="preserve"> 5 Cambrian Way, </w:t>
      </w:r>
      <w:proofErr w:type="spellStart"/>
      <w:r w:rsidR="00963912">
        <w:rPr>
          <w:b/>
          <w:sz w:val="24"/>
          <w:szCs w:val="24"/>
        </w:rPr>
        <w:t>Ewloe</w:t>
      </w:r>
      <w:proofErr w:type="spellEnd"/>
      <w:r w:rsidR="00963912">
        <w:rPr>
          <w:b/>
          <w:sz w:val="24"/>
          <w:szCs w:val="24"/>
        </w:rPr>
        <w:t>, CH5 3RE</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3D7F4B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963912">
        <w:rPr>
          <w:b/>
          <w:sz w:val="24"/>
          <w:szCs w:val="24"/>
        </w:rPr>
        <w:t xml:space="preserve"> 01352 701018</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A8D1BB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63912">
        <w:rPr>
          <w:b/>
          <w:sz w:val="24"/>
          <w:szCs w:val="24"/>
        </w:rPr>
        <w:t xml:space="preserve"> eleri.jones@flintshire.gov.uk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29095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63912">
        <w:rPr>
          <w:b/>
          <w:sz w:val="24"/>
          <w:szCs w:val="24"/>
        </w:rPr>
        <w:t>July 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55BC18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C3F79">
        <w:rPr>
          <w:b/>
          <w:sz w:val="24"/>
          <w:szCs w:val="24"/>
        </w:rPr>
        <w:t xml:space="preserve"> October 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232048F9"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63912">
        <w:rPr>
          <w:b/>
          <w:sz w:val="24"/>
          <w:szCs w:val="24"/>
        </w:rPr>
        <w:t xml:space="preserve"> Flintshire Children Services</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1BBBCC8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63912">
        <w:rPr>
          <w:b/>
          <w:sz w:val="24"/>
          <w:szCs w:val="24"/>
        </w:rPr>
        <w:t xml:space="preserve"> 01352 701000</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44A3B2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63912">
        <w:rPr>
          <w:b/>
          <w:sz w:val="24"/>
          <w:szCs w:val="24"/>
        </w:rPr>
        <w:t xml:space="preserve"> </w:t>
      </w:r>
      <w:proofErr w:type="spellStart"/>
      <w:r w:rsidR="00963912">
        <w:rPr>
          <w:b/>
          <w:sz w:val="24"/>
          <w:szCs w:val="24"/>
        </w:rPr>
        <w:t>Eleri</w:t>
      </w:r>
      <w:proofErr w:type="spellEnd"/>
      <w:r w:rsidR="00963912">
        <w:rPr>
          <w:b/>
          <w:sz w:val="24"/>
          <w:szCs w:val="24"/>
        </w:rPr>
        <w:t xml:space="preserve"> Jones </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69B10F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63912" w:rsidRPr="00963912">
        <w:rPr>
          <w:b/>
          <w:sz w:val="24"/>
          <w:szCs w:val="24"/>
        </w:rPr>
        <w:t xml:space="preserve"> </w:t>
      </w:r>
      <w:r w:rsidR="00963912">
        <w:rPr>
          <w:b/>
          <w:sz w:val="24"/>
          <w:szCs w:val="24"/>
        </w:rPr>
        <w:t>Flintshire Children Services, Church Street, Flint, CH6 5BD</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7F6968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63912" w:rsidRPr="00963912">
        <w:rPr>
          <w:b/>
          <w:sz w:val="24"/>
          <w:szCs w:val="24"/>
        </w:rPr>
        <w:t xml:space="preserve"> </w:t>
      </w:r>
      <w:r w:rsidR="00963912">
        <w:rPr>
          <w:b/>
          <w:sz w:val="24"/>
          <w:szCs w:val="24"/>
        </w:rPr>
        <w:t>01352 701000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051A163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63912">
        <w:rPr>
          <w:b/>
          <w:sz w:val="24"/>
          <w:szCs w:val="24"/>
        </w:rPr>
        <w:t>natalie.moore@flintshire.gov.uk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sidRPr="00963912">
        <w:rPr>
          <w:b/>
          <w:sz w:val="24"/>
          <w:szCs w:val="24"/>
          <w:highlight w:val="yellow"/>
        </w:rPr>
        <w:t>English</w:t>
      </w:r>
      <w:proofErr w:type="spellEnd"/>
      <w:r w:rsidRPr="00963912">
        <w:rPr>
          <w:b/>
          <w:sz w:val="24"/>
          <w:szCs w:val="24"/>
          <w:highlight w:val="yellow"/>
        </w:rPr>
        <w:t xml:space="preserve"> only </w:t>
      </w:r>
      <w:r w:rsidRPr="00963912">
        <w:rPr>
          <w:b/>
          <w:sz w:val="24"/>
          <w:szCs w:val="24"/>
          <w:highlight w:val="yellow"/>
        </w:rPr>
        <w:sym w:font="Wingdings" w:char="F06F"/>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18663C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63912">
        <w:rPr>
          <w:b/>
          <w:sz w:val="24"/>
          <w:szCs w:val="24"/>
        </w:rPr>
        <w:t xml:space="preserve"> Natalie Moore</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0E1A7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63912">
        <w:rPr>
          <w:b/>
          <w:sz w:val="24"/>
          <w:szCs w:val="24"/>
        </w:rPr>
        <w:t xml:space="preserve"> Flintshire Children Services, Church Street, Flint, CH6 5BD</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02F620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63912">
        <w:rPr>
          <w:b/>
          <w:sz w:val="24"/>
          <w:szCs w:val="24"/>
        </w:rPr>
        <w:t xml:space="preserve"> 01352 701000</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54F41DF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63912">
        <w:rPr>
          <w:b/>
          <w:sz w:val="24"/>
          <w:szCs w:val="24"/>
        </w:rPr>
        <w:t xml:space="preserve"> natalie.moore@flintshire.gov.uk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7EDB2EEA" w:rsidR="004923DA" w:rsidRDefault="004923DA" w:rsidP="00FF7EBB">
            <w:pPr>
              <w:jc w:val="both"/>
              <w:rPr>
                <w:b/>
                <w:sz w:val="24"/>
                <w:szCs w:val="24"/>
              </w:rPr>
            </w:pPr>
            <w:r w:rsidRPr="008B28E7">
              <w:rPr>
                <w:b/>
                <w:sz w:val="24"/>
                <w:szCs w:val="24"/>
              </w:rPr>
              <w:t>Name:</w:t>
            </w:r>
            <w:r w:rsidR="00963912">
              <w:rPr>
                <w:b/>
                <w:sz w:val="24"/>
                <w:szCs w:val="24"/>
              </w:rPr>
              <w:t xml:space="preserve"> Gaynor Garrett</w:t>
            </w:r>
          </w:p>
          <w:p w14:paraId="5CBE4365" w14:textId="77777777" w:rsidR="004923DA" w:rsidRPr="008B28E7" w:rsidRDefault="004923DA" w:rsidP="00FF7EBB">
            <w:pPr>
              <w:jc w:val="both"/>
              <w:rPr>
                <w:b/>
                <w:sz w:val="24"/>
                <w:szCs w:val="24"/>
              </w:rPr>
            </w:pPr>
          </w:p>
          <w:p w14:paraId="0A2C73D5" w14:textId="7763619F" w:rsidR="004923DA" w:rsidRDefault="004923DA" w:rsidP="00FF7EBB">
            <w:pPr>
              <w:jc w:val="both"/>
              <w:rPr>
                <w:b/>
                <w:sz w:val="24"/>
                <w:szCs w:val="24"/>
              </w:rPr>
            </w:pPr>
            <w:r w:rsidRPr="008B28E7">
              <w:rPr>
                <w:b/>
                <w:sz w:val="24"/>
                <w:szCs w:val="24"/>
              </w:rPr>
              <w:t xml:space="preserve">Work Address: </w:t>
            </w:r>
            <w:r w:rsidR="00963912">
              <w:rPr>
                <w:b/>
                <w:sz w:val="24"/>
                <w:szCs w:val="24"/>
              </w:rPr>
              <w:t>Flintshire Children Services, Church Street, Flint, CH6 5BD</w:t>
            </w:r>
          </w:p>
          <w:p w14:paraId="66645957" w14:textId="77777777" w:rsidR="004923DA" w:rsidRPr="008B28E7" w:rsidRDefault="004923DA" w:rsidP="00FF7EBB">
            <w:pPr>
              <w:jc w:val="both"/>
              <w:rPr>
                <w:b/>
                <w:sz w:val="24"/>
                <w:szCs w:val="24"/>
              </w:rPr>
            </w:pPr>
          </w:p>
          <w:p w14:paraId="32C449D4" w14:textId="75B0C104" w:rsidR="004923DA" w:rsidRPr="008B28E7" w:rsidRDefault="004923DA" w:rsidP="00FF7EBB">
            <w:pPr>
              <w:jc w:val="both"/>
              <w:rPr>
                <w:b/>
                <w:sz w:val="24"/>
                <w:szCs w:val="24"/>
              </w:rPr>
            </w:pPr>
            <w:r w:rsidRPr="008B28E7">
              <w:rPr>
                <w:b/>
                <w:sz w:val="24"/>
                <w:szCs w:val="24"/>
              </w:rPr>
              <w:t>Professional Qualification and date of qualification:</w:t>
            </w:r>
            <w:r w:rsidR="00F9343E">
              <w:rPr>
                <w:b/>
                <w:sz w:val="24"/>
                <w:szCs w:val="24"/>
              </w:rPr>
              <w:t xml:space="preserve"> Senior Practitioner, July 2017</w:t>
            </w:r>
          </w:p>
          <w:p w14:paraId="2F512115" w14:textId="77777777" w:rsidR="004923DA" w:rsidRDefault="004923DA" w:rsidP="00FF7EBB">
            <w:pPr>
              <w:jc w:val="both"/>
              <w:rPr>
                <w:b/>
                <w:sz w:val="24"/>
                <w:szCs w:val="24"/>
              </w:rPr>
            </w:pPr>
          </w:p>
          <w:p w14:paraId="566EFF04" w14:textId="5B398A5D"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963912">
              <w:rPr>
                <w:b/>
                <w:sz w:val="24"/>
                <w:szCs w:val="24"/>
              </w:rPr>
              <w:t xml:space="preserve"> 01352 701000, Gaynor.garrett@flintshire.gov.uk</w:t>
            </w:r>
          </w:p>
          <w:p w14:paraId="712C6AD8" w14:textId="77777777" w:rsidR="00963912" w:rsidRPr="008B28E7" w:rsidRDefault="00963912" w:rsidP="00FF7EBB">
            <w:pPr>
              <w:jc w:val="both"/>
              <w:rPr>
                <w:b/>
                <w:sz w:val="24"/>
                <w:szCs w:val="24"/>
              </w:rPr>
            </w:pP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0B11E58D" w:rsidR="00BC5725" w:rsidRPr="008B28E7" w:rsidRDefault="00963912"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4B77740D" wp14:editId="4C8F87F2">
            <wp:simplePos x="0" y="0"/>
            <wp:positionH relativeFrom="column">
              <wp:posOffset>632460</wp:posOffset>
            </wp:positionH>
            <wp:positionV relativeFrom="paragraph">
              <wp:posOffset>99695</wp:posOffset>
            </wp:positionV>
            <wp:extent cx="731520" cy="379720"/>
            <wp:effectExtent l="0" t="0" r="0" b="1905"/>
            <wp:wrapNone/>
            <wp:docPr id="2" name="Picture 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31520" cy="379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100383" w14:textId="1F57EC5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963912">
        <w:rPr>
          <w:sz w:val="24"/>
          <w:szCs w:val="24"/>
        </w:rPr>
        <w:t xml:space="preserve"> </w:t>
      </w:r>
      <w:r>
        <w:rPr>
          <w:sz w:val="24"/>
          <w:szCs w:val="24"/>
        </w:rPr>
        <w:t xml:space="preserve"> </w:t>
      </w:r>
      <w:r w:rsidR="00963912">
        <w:rPr>
          <w:sz w:val="24"/>
          <w:szCs w:val="24"/>
        </w:rPr>
        <w:tab/>
      </w:r>
      <w:r w:rsidR="00963912">
        <w:rPr>
          <w:sz w:val="24"/>
          <w:szCs w:val="24"/>
        </w:rPr>
        <w:tab/>
      </w:r>
      <w:r w:rsidR="00963912">
        <w:rPr>
          <w:sz w:val="24"/>
          <w:szCs w:val="24"/>
        </w:rPr>
        <w:tab/>
      </w:r>
      <w:r w:rsidR="00963912">
        <w:rPr>
          <w:sz w:val="24"/>
          <w:szCs w:val="24"/>
        </w:rPr>
        <w:tab/>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595CD79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63912">
        <w:rPr>
          <w:sz w:val="24"/>
          <w:szCs w:val="24"/>
        </w:rPr>
        <w:t xml:space="preserve"> 21/02/2022</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07A79378"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42D107AF" w:rsidR="004923DA" w:rsidRDefault="005B544E"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1312" behindDoc="0" locked="0" layoutInCell="1" allowOverlap="1" wp14:anchorId="6A1DBF77" wp14:editId="5FE497C8">
            <wp:simplePos x="0" y="0"/>
            <wp:positionH relativeFrom="column">
              <wp:posOffset>693420</wp:posOffset>
            </wp:positionH>
            <wp:positionV relativeFrom="paragraph">
              <wp:posOffset>86360</wp:posOffset>
            </wp:positionV>
            <wp:extent cx="1005840" cy="502920"/>
            <wp:effectExtent l="0" t="0" r="3810" b="0"/>
            <wp:wrapNone/>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05840" cy="502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051B9CA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F9343E">
        <w:rPr>
          <w:sz w:val="24"/>
          <w:szCs w:val="24"/>
        </w:rPr>
        <w:t xml:space="preserve"> </w:t>
      </w:r>
    </w:p>
    <w:p w14:paraId="24E37F06" w14:textId="5A4EA39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F9D0C2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F9343E">
        <w:rPr>
          <w:sz w:val="24"/>
          <w:szCs w:val="24"/>
        </w:rPr>
        <w:t>21/02/2022</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835065">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963912">
        <w:rPr>
          <w:caps/>
          <w:sz w:val="24"/>
          <w:szCs w:val="24"/>
          <w:highlight w:val="yellow"/>
        </w:rPr>
        <w:t>name of Line manager</w:t>
      </w:r>
      <w:r w:rsidR="00B577D3" w:rsidRPr="00963912">
        <w:rPr>
          <w:caps/>
          <w:sz w:val="24"/>
          <w:szCs w:val="24"/>
          <w:highlight w:val="yellow"/>
        </w:rPr>
        <w:t>:</w:t>
      </w:r>
      <w:r w:rsidR="00B577D3">
        <w:rPr>
          <w:caps/>
          <w:sz w:val="24"/>
          <w:szCs w:val="24"/>
        </w:rPr>
        <w:t xml:space="preserve">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4802A388" w:rsidR="00986C0B" w:rsidRDefault="00963912">
            <w:pPr>
              <w:rPr>
                <w:sz w:val="24"/>
                <w:szCs w:val="24"/>
              </w:rPr>
            </w:pPr>
            <w:proofErr w:type="spellStart"/>
            <w:r>
              <w:rPr>
                <w:sz w:val="24"/>
                <w:szCs w:val="24"/>
              </w:rPr>
              <w:t>Eleri</w:t>
            </w:r>
            <w:proofErr w:type="spellEnd"/>
            <w:r>
              <w:rPr>
                <w:sz w:val="24"/>
                <w:szCs w:val="24"/>
              </w:rPr>
              <w:t xml:space="preserve"> Jones </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7EF513D3" w:rsidR="00986C0B" w:rsidRDefault="00963912">
            <w:pPr>
              <w:rPr>
                <w:sz w:val="24"/>
                <w:szCs w:val="24"/>
              </w:rPr>
            </w:pPr>
            <w:r>
              <w:rPr>
                <w:sz w:val="24"/>
                <w:szCs w:val="24"/>
              </w:rPr>
              <w:t>Targeted Support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2F289182" w:rsidR="00986C0B" w:rsidRDefault="00963912">
            <w:pPr>
              <w:rPr>
                <w:sz w:val="24"/>
                <w:szCs w:val="24"/>
              </w:rPr>
            </w:pPr>
            <w:r>
              <w:rPr>
                <w:sz w:val="24"/>
                <w:szCs w:val="24"/>
              </w:rPr>
              <w:t>Natalie Moore</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4C24372" w:rsidR="00986C0B" w:rsidRDefault="00963912">
            <w:pPr>
              <w:rPr>
                <w:sz w:val="24"/>
                <w:szCs w:val="24"/>
              </w:rPr>
            </w:pPr>
            <w:r>
              <w:rPr>
                <w:sz w:val="24"/>
                <w:szCs w:val="24"/>
              </w:rPr>
              <w:t>Natalie Moore</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835065">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835065">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835065">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835065">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835065">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835065">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835065">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835065">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835065">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835065">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835065">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835065">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835065">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835065">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835065">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835065">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835065">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835065">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835065">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835065">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835065">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835065">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835065">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835065">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835065">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835065">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1DA7E569" w:rsidR="00986C0B" w:rsidRDefault="00963912" w:rsidP="00986C0B">
      <w:r>
        <w:rPr>
          <w:noProof/>
        </w:rPr>
        <w:drawing>
          <wp:anchor distT="0" distB="0" distL="114300" distR="114300" simplePos="0" relativeHeight="251660288" behindDoc="0" locked="0" layoutInCell="1" allowOverlap="1" wp14:anchorId="1787A163" wp14:editId="10FBB0A9">
            <wp:simplePos x="0" y="0"/>
            <wp:positionH relativeFrom="column">
              <wp:posOffset>707390</wp:posOffset>
            </wp:positionH>
            <wp:positionV relativeFrom="paragraph">
              <wp:posOffset>5080</wp:posOffset>
            </wp:positionV>
            <wp:extent cx="510120" cy="264795"/>
            <wp:effectExtent l="0" t="0" r="4445" b="1905"/>
            <wp:wrapNone/>
            <wp:docPr id="3" name="Picture 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0120" cy="264795"/>
                    </a:xfrm>
                    <a:prstGeom prst="rect">
                      <a:avLst/>
                    </a:prstGeom>
                    <a:noFill/>
                    <a:ln>
                      <a:noFill/>
                    </a:ln>
                  </pic:spPr>
                </pic:pic>
              </a:graphicData>
            </a:graphic>
            <wp14:sizeRelH relativeFrom="page">
              <wp14:pctWidth>0</wp14:pctWidth>
            </wp14:sizeRelH>
            <wp14:sizeRelV relativeFrom="page">
              <wp14:pctHeight>0</wp14:pctHeight>
            </wp14:sizeRelV>
          </wp:anchor>
        </w:drawing>
      </w:r>
      <w:r w:rsidR="00986C0B">
        <w:t>Signed</w:t>
      </w:r>
      <w:r>
        <w:t xml:space="preserve">:       </w:t>
      </w:r>
      <w:r>
        <w:tab/>
      </w:r>
      <w:r w:rsidR="00986C0B">
        <w:t>Print Name:</w:t>
      </w:r>
      <w:r>
        <w:t xml:space="preserve"> </w:t>
      </w:r>
      <w:proofErr w:type="spellStart"/>
      <w:r>
        <w:t>Eleri</w:t>
      </w:r>
      <w:proofErr w:type="spellEnd"/>
      <w:r>
        <w:t xml:space="preserve"> Jones </w:t>
      </w:r>
      <w:r w:rsidR="00986C0B">
        <w:t xml:space="preserve"> Date:</w:t>
      </w:r>
      <w:r>
        <w:t xml:space="preserve"> 21.02.2022</w:t>
      </w:r>
      <w:r w:rsidR="00986C0B">
        <w:t xml:space="preserve"> </w:t>
      </w:r>
    </w:p>
    <w:p w14:paraId="075388CD" w14:textId="77777777" w:rsidR="00986C0B" w:rsidRDefault="00986C0B" w:rsidP="00986C0B">
      <w:r>
        <w:t>(Learner)</w:t>
      </w:r>
    </w:p>
    <w:p w14:paraId="2AB3DED1" w14:textId="42B938B3" w:rsidR="00986C0B" w:rsidRDefault="00986C0B" w:rsidP="00986C0B"/>
    <w:p w14:paraId="5177B032" w14:textId="77777777" w:rsidR="00986C0B" w:rsidRDefault="00986C0B" w:rsidP="00986C0B">
      <w:r w:rsidRPr="00963912">
        <w:rPr>
          <w:highlight w:val="yellow"/>
        </w:rPr>
        <w:t>Signed</w:t>
      </w:r>
      <w:r>
        <w:t xml:space="preserve">:……………………….. Print Name:………………………….Date:………. </w:t>
      </w:r>
    </w:p>
    <w:p w14:paraId="77AF57CF" w14:textId="66105673" w:rsidR="00986C0B" w:rsidRDefault="00986C0B" w:rsidP="00986C0B">
      <w:r>
        <w:t>(Line Manager/Mentor)</w:t>
      </w:r>
    </w:p>
    <w:p w14:paraId="1CC8A4C0" w14:textId="77777777" w:rsidR="00986C0B" w:rsidRDefault="00986C0B" w:rsidP="00986C0B"/>
    <w:p w14:paraId="586519AA" w14:textId="785B2CB1" w:rsidR="00986C0B" w:rsidRDefault="00986C0B" w:rsidP="00986C0B">
      <w:r>
        <w:t>Signed:……………………….. Print Name:………………………….Date:……….</w:t>
      </w:r>
    </w:p>
    <w:p w14:paraId="39966646" w14:textId="6E4A8C13" w:rsidR="00986C0B" w:rsidRDefault="00986C0B" w:rsidP="00986C0B">
      <w:r>
        <w:t>(Mentor, if different to above)</w:t>
      </w:r>
    </w:p>
    <w:p w14:paraId="59DE6B43" w14:textId="77777777" w:rsidR="00986C0B" w:rsidRDefault="00986C0B" w:rsidP="00986C0B"/>
    <w:p w14:paraId="44C5CF64" w14:textId="1B796F7F" w:rsidR="00986C0B" w:rsidRDefault="00986C0B" w:rsidP="00986C0B"/>
    <w:p w14:paraId="73B2184D" w14:textId="5195DA8F" w:rsidR="00986C0B" w:rsidRDefault="00986C0B" w:rsidP="00986C0B">
      <w:pPr>
        <w:rPr>
          <w:b/>
        </w:rPr>
      </w:pPr>
      <w:r>
        <w:rPr>
          <w:b/>
        </w:rPr>
        <w:t>PLEASE PLACE THE SIGNED COPY OF THIS LEARNING AGREEMENT IN SECTION 9 OF THE PORTFOLIO</w:t>
      </w:r>
    </w:p>
    <w:p w14:paraId="125B2E2C" w14:textId="18830F54" w:rsidR="00BB6638" w:rsidRPr="00BE10C2" w:rsidRDefault="00BB6638" w:rsidP="00BB6638">
      <w:pPr>
        <w:overflowPunct/>
        <w:autoSpaceDE/>
        <w:autoSpaceDN/>
        <w:adjustRightInd/>
        <w:textAlignment w:val="auto"/>
        <w:rPr>
          <w:color w:val="auto"/>
          <w:sz w:val="24"/>
          <w:szCs w:val="24"/>
        </w:rPr>
      </w:pPr>
    </w:p>
    <w:p w14:paraId="4F070C8D" w14:textId="588DABC7" w:rsidR="00CC135E" w:rsidRPr="00090160" w:rsidRDefault="00CC135E" w:rsidP="00090160">
      <w:pPr>
        <w:tabs>
          <w:tab w:val="left" w:pos="1590"/>
        </w:tabs>
        <w:rPr>
          <w:b/>
          <w:color w:val="auto"/>
          <w:sz w:val="24"/>
          <w:szCs w:val="24"/>
        </w:rPr>
      </w:pPr>
    </w:p>
    <w:sectPr w:rsidR="00CC135E" w:rsidRPr="00090160" w:rsidSect="00C7108B">
      <w:footerReference w:type="default" r:id="rId3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73FA5" w14:textId="77777777" w:rsidR="00BE033F" w:rsidRDefault="00BE033F">
      <w:r>
        <w:separator/>
      </w:r>
    </w:p>
  </w:endnote>
  <w:endnote w:type="continuationSeparator" w:id="0">
    <w:p w14:paraId="50AE5FBC" w14:textId="77777777" w:rsidR="00BE033F" w:rsidRDefault="00BE03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D7E83" w14:textId="77777777" w:rsidR="009F54C7" w:rsidRPr="00E60F42" w:rsidRDefault="009F54C7"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8C85E" w14:textId="77777777" w:rsidR="00BE033F" w:rsidRDefault="00BE033F">
      <w:r>
        <w:separator/>
      </w:r>
    </w:p>
  </w:footnote>
  <w:footnote w:type="continuationSeparator" w:id="0">
    <w:p w14:paraId="1089BD1B" w14:textId="77777777" w:rsidR="00BE033F" w:rsidRDefault="00BE03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7407BB3"/>
    <w:multiLevelType w:val="multilevel"/>
    <w:tmpl w:val="9EFA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0384C00"/>
    <w:multiLevelType w:val="hybridMultilevel"/>
    <w:tmpl w:val="CF1C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2"/>
  </w:num>
  <w:num w:numId="6">
    <w:abstractNumId w:val="10"/>
  </w:num>
  <w:num w:numId="7">
    <w:abstractNumId w:val="11"/>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7"/>
  </w:num>
  <w:num w:numId="13">
    <w:abstractNumId w:val="5"/>
  </w:num>
  <w:num w:numId="14">
    <w:abstractNumId w:val="1"/>
  </w:num>
  <w:num w:numId="15">
    <w:abstractNumId w:val="4"/>
  </w:num>
  <w:num w:numId="16">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ocumentProtection w:edit="readOnly" w:formatting="1" w:enforcement="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C7A"/>
    <w:rsid w:val="000045B8"/>
    <w:rsid w:val="00012B16"/>
    <w:rsid w:val="00020EEC"/>
    <w:rsid w:val="0002440E"/>
    <w:rsid w:val="0002759A"/>
    <w:rsid w:val="00027B1F"/>
    <w:rsid w:val="0003088B"/>
    <w:rsid w:val="000325D9"/>
    <w:rsid w:val="000363D0"/>
    <w:rsid w:val="000372B2"/>
    <w:rsid w:val="0004079F"/>
    <w:rsid w:val="0004378F"/>
    <w:rsid w:val="00045B87"/>
    <w:rsid w:val="00045C07"/>
    <w:rsid w:val="00046861"/>
    <w:rsid w:val="00054A07"/>
    <w:rsid w:val="00055D43"/>
    <w:rsid w:val="00056FAC"/>
    <w:rsid w:val="00057751"/>
    <w:rsid w:val="00062E39"/>
    <w:rsid w:val="0006581A"/>
    <w:rsid w:val="00074461"/>
    <w:rsid w:val="000766EC"/>
    <w:rsid w:val="00080E58"/>
    <w:rsid w:val="00081E78"/>
    <w:rsid w:val="00083D99"/>
    <w:rsid w:val="00085699"/>
    <w:rsid w:val="00090160"/>
    <w:rsid w:val="00091F52"/>
    <w:rsid w:val="00092970"/>
    <w:rsid w:val="00093720"/>
    <w:rsid w:val="000938E6"/>
    <w:rsid w:val="00093B3C"/>
    <w:rsid w:val="0009488C"/>
    <w:rsid w:val="00095C1B"/>
    <w:rsid w:val="00096DEA"/>
    <w:rsid w:val="000A2955"/>
    <w:rsid w:val="000A4240"/>
    <w:rsid w:val="000A469A"/>
    <w:rsid w:val="000A50EE"/>
    <w:rsid w:val="000A584A"/>
    <w:rsid w:val="000C378F"/>
    <w:rsid w:val="000C4F4F"/>
    <w:rsid w:val="000C6892"/>
    <w:rsid w:val="000C6FFE"/>
    <w:rsid w:val="000C7B34"/>
    <w:rsid w:val="000D0BB6"/>
    <w:rsid w:val="000E0D51"/>
    <w:rsid w:val="000E26B0"/>
    <w:rsid w:val="000E38C3"/>
    <w:rsid w:val="000F1599"/>
    <w:rsid w:val="000F1769"/>
    <w:rsid w:val="000F6196"/>
    <w:rsid w:val="0010312C"/>
    <w:rsid w:val="00106DC7"/>
    <w:rsid w:val="00107B27"/>
    <w:rsid w:val="00112391"/>
    <w:rsid w:val="00114F52"/>
    <w:rsid w:val="00130119"/>
    <w:rsid w:val="001347F8"/>
    <w:rsid w:val="00137BB5"/>
    <w:rsid w:val="00137E05"/>
    <w:rsid w:val="001403EC"/>
    <w:rsid w:val="00140BBF"/>
    <w:rsid w:val="001411AB"/>
    <w:rsid w:val="001447F6"/>
    <w:rsid w:val="0014786C"/>
    <w:rsid w:val="00147DE3"/>
    <w:rsid w:val="00150794"/>
    <w:rsid w:val="001524F2"/>
    <w:rsid w:val="001608C4"/>
    <w:rsid w:val="00171418"/>
    <w:rsid w:val="001739C8"/>
    <w:rsid w:val="0017625F"/>
    <w:rsid w:val="00176577"/>
    <w:rsid w:val="001772DE"/>
    <w:rsid w:val="0019200E"/>
    <w:rsid w:val="001961CF"/>
    <w:rsid w:val="001A59BB"/>
    <w:rsid w:val="001A6A51"/>
    <w:rsid w:val="001A79C4"/>
    <w:rsid w:val="001B331A"/>
    <w:rsid w:val="001B581D"/>
    <w:rsid w:val="001B7217"/>
    <w:rsid w:val="001C0E74"/>
    <w:rsid w:val="001C18E1"/>
    <w:rsid w:val="001C4DB8"/>
    <w:rsid w:val="001C77D5"/>
    <w:rsid w:val="001D19E7"/>
    <w:rsid w:val="001D229F"/>
    <w:rsid w:val="001F4552"/>
    <w:rsid w:val="002019EB"/>
    <w:rsid w:val="00204A26"/>
    <w:rsid w:val="00205051"/>
    <w:rsid w:val="00206045"/>
    <w:rsid w:val="00211005"/>
    <w:rsid w:val="00211F65"/>
    <w:rsid w:val="0021792F"/>
    <w:rsid w:val="00220D06"/>
    <w:rsid w:val="002246A0"/>
    <w:rsid w:val="00230439"/>
    <w:rsid w:val="00235176"/>
    <w:rsid w:val="00236061"/>
    <w:rsid w:val="0024100E"/>
    <w:rsid w:val="00241C1B"/>
    <w:rsid w:val="0024288B"/>
    <w:rsid w:val="00243267"/>
    <w:rsid w:val="00254BFD"/>
    <w:rsid w:val="002635EB"/>
    <w:rsid w:val="002657E9"/>
    <w:rsid w:val="0026665E"/>
    <w:rsid w:val="0027147E"/>
    <w:rsid w:val="00274725"/>
    <w:rsid w:val="002761F4"/>
    <w:rsid w:val="002775E1"/>
    <w:rsid w:val="00277979"/>
    <w:rsid w:val="00285065"/>
    <w:rsid w:val="00291ADD"/>
    <w:rsid w:val="00292B37"/>
    <w:rsid w:val="00295CA1"/>
    <w:rsid w:val="002A0E51"/>
    <w:rsid w:val="002A291A"/>
    <w:rsid w:val="002A5604"/>
    <w:rsid w:val="002A62BA"/>
    <w:rsid w:val="002A6632"/>
    <w:rsid w:val="002A6E90"/>
    <w:rsid w:val="002A7B50"/>
    <w:rsid w:val="002B1701"/>
    <w:rsid w:val="002B23C3"/>
    <w:rsid w:val="002B443A"/>
    <w:rsid w:val="002B5B35"/>
    <w:rsid w:val="002C123F"/>
    <w:rsid w:val="002C2536"/>
    <w:rsid w:val="002C256A"/>
    <w:rsid w:val="002C3031"/>
    <w:rsid w:val="002C4233"/>
    <w:rsid w:val="002C496D"/>
    <w:rsid w:val="002D05EB"/>
    <w:rsid w:val="002D0A7B"/>
    <w:rsid w:val="002D11A8"/>
    <w:rsid w:val="002D2F29"/>
    <w:rsid w:val="002D6B31"/>
    <w:rsid w:val="002E7017"/>
    <w:rsid w:val="002E7F2C"/>
    <w:rsid w:val="002F4F6E"/>
    <w:rsid w:val="002F6088"/>
    <w:rsid w:val="002F68BD"/>
    <w:rsid w:val="003015C3"/>
    <w:rsid w:val="003106DB"/>
    <w:rsid w:val="0031350A"/>
    <w:rsid w:val="00316815"/>
    <w:rsid w:val="003168CA"/>
    <w:rsid w:val="00317DF1"/>
    <w:rsid w:val="00320429"/>
    <w:rsid w:val="00321255"/>
    <w:rsid w:val="0032230D"/>
    <w:rsid w:val="00322A0B"/>
    <w:rsid w:val="00323B97"/>
    <w:rsid w:val="00327904"/>
    <w:rsid w:val="00332426"/>
    <w:rsid w:val="00335FC5"/>
    <w:rsid w:val="00347D84"/>
    <w:rsid w:val="00355210"/>
    <w:rsid w:val="00355290"/>
    <w:rsid w:val="00365DF9"/>
    <w:rsid w:val="00372DB4"/>
    <w:rsid w:val="0037419E"/>
    <w:rsid w:val="00375AF5"/>
    <w:rsid w:val="003761BD"/>
    <w:rsid w:val="0038500D"/>
    <w:rsid w:val="00385414"/>
    <w:rsid w:val="00390074"/>
    <w:rsid w:val="00393600"/>
    <w:rsid w:val="003972C8"/>
    <w:rsid w:val="0039762B"/>
    <w:rsid w:val="003A0C37"/>
    <w:rsid w:val="003A1B6B"/>
    <w:rsid w:val="003A46C0"/>
    <w:rsid w:val="003A600E"/>
    <w:rsid w:val="003A6513"/>
    <w:rsid w:val="003B107B"/>
    <w:rsid w:val="003B16C7"/>
    <w:rsid w:val="003C19F1"/>
    <w:rsid w:val="003C4186"/>
    <w:rsid w:val="003C6185"/>
    <w:rsid w:val="003D0D2D"/>
    <w:rsid w:val="003D1885"/>
    <w:rsid w:val="003D20F1"/>
    <w:rsid w:val="003D4710"/>
    <w:rsid w:val="003D7C76"/>
    <w:rsid w:val="003E16D7"/>
    <w:rsid w:val="003E197E"/>
    <w:rsid w:val="003E4B70"/>
    <w:rsid w:val="003E5760"/>
    <w:rsid w:val="003E5FBA"/>
    <w:rsid w:val="003F1233"/>
    <w:rsid w:val="003F24B7"/>
    <w:rsid w:val="00400786"/>
    <w:rsid w:val="0040126D"/>
    <w:rsid w:val="00403DEC"/>
    <w:rsid w:val="004046F0"/>
    <w:rsid w:val="0040668F"/>
    <w:rsid w:val="00410B45"/>
    <w:rsid w:val="00412677"/>
    <w:rsid w:val="00422F1B"/>
    <w:rsid w:val="004246F8"/>
    <w:rsid w:val="0043073F"/>
    <w:rsid w:val="0043172B"/>
    <w:rsid w:val="004348AE"/>
    <w:rsid w:val="004376C0"/>
    <w:rsid w:val="0044223A"/>
    <w:rsid w:val="00451851"/>
    <w:rsid w:val="0045302A"/>
    <w:rsid w:val="00453343"/>
    <w:rsid w:val="00456309"/>
    <w:rsid w:val="004608B9"/>
    <w:rsid w:val="00462544"/>
    <w:rsid w:val="00465947"/>
    <w:rsid w:val="004667B1"/>
    <w:rsid w:val="00467F66"/>
    <w:rsid w:val="00470461"/>
    <w:rsid w:val="00470BB1"/>
    <w:rsid w:val="004712F2"/>
    <w:rsid w:val="00473153"/>
    <w:rsid w:val="004743AF"/>
    <w:rsid w:val="00482C17"/>
    <w:rsid w:val="00484CE3"/>
    <w:rsid w:val="004871CF"/>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22AE"/>
    <w:rsid w:val="004D35A4"/>
    <w:rsid w:val="004D445F"/>
    <w:rsid w:val="004E087B"/>
    <w:rsid w:val="004E44A4"/>
    <w:rsid w:val="004E7B8B"/>
    <w:rsid w:val="004E7BDD"/>
    <w:rsid w:val="004E7C7F"/>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26C9F"/>
    <w:rsid w:val="005414F4"/>
    <w:rsid w:val="005437F6"/>
    <w:rsid w:val="00544214"/>
    <w:rsid w:val="00545966"/>
    <w:rsid w:val="00546187"/>
    <w:rsid w:val="00547006"/>
    <w:rsid w:val="00547B11"/>
    <w:rsid w:val="005519C7"/>
    <w:rsid w:val="00551EA2"/>
    <w:rsid w:val="005562CC"/>
    <w:rsid w:val="00557D77"/>
    <w:rsid w:val="00562EAA"/>
    <w:rsid w:val="00563B58"/>
    <w:rsid w:val="005640C4"/>
    <w:rsid w:val="0056684C"/>
    <w:rsid w:val="00574A0C"/>
    <w:rsid w:val="0057780F"/>
    <w:rsid w:val="00581E0A"/>
    <w:rsid w:val="00582B86"/>
    <w:rsid w:val="00583442"/>
    <w:rsid w:val="00583960"/>
    <w:rsid w:val="00586972"/>
    <w:rsid w:val="00586D89"/>
    <w:rsid w:val="00594F9F"/>
    <w:rsid w:val="005A1B4C"/>
    <w:rsid w:val="005A545C"/>
    <w:rsid w:val="005B544E"/>
    <w:rsid w:val="005C1567"/>
    <w:rsid w:val="005C28D3"/>
    <w:rsid w:val="005C41A2"/>
    <w:rsid w:val="005C47F9"/>
    <w:rsid w:val="005C6CE5"/>
    <w:rsid w:val="005D3F07"/>
    <w:rsid w:val="005E13EA"/>
    <w:rsid w:val="005E1B23"/>
    <w:rsid w:val="005F6B0B"/>
    <w:rsid w:val="005F774C"/>
    <w:rsid w:val="00606E27"/>
    <w:rsid w:val="006108C9"/>
    <w:rsid w:val="00614DF7"/>
    <w:rsid w:val="0062158D"/>
    <w:rsid w:val="006326D1"/>
    <w:rsid w:val="00632E0A"/>
    <w:rsid w:val="00633165"/>
    <w:rsid w:val="006447DE"/>
    <w:rsid w:val="0064592C"/>
    <w:rsid w:val="006473DA"/>
    <w:rsid w:val="0065276E"/>
    <w:rsid w:val="00654329"/>
    <w:rsid w:val="00654CEC"/>
    <w:rsid w:val="00655507"/>
    <w:rsid w:val="006635E3"/>
    <w:rsid w:val="00663C53"/>
    <w:rsid w:val="006669F3"/>
    <w:rsid w:val="0066700C"/>
    <w:rsid w:val="006712A7"/>
    <w:rsid w:val="00674FC2"/>
    <w:rsid w:val="00677E42"/>
    <w:rsid w:val="00682334"/>
    <w:rsid w:val="00684732"/>
    <w:rsid w:val="00684B16"/>
    <w:rsid w:val="0069625A"/>
    <w:rsid w:val="00696F65"/>
    <w:rsid w:val="00697572"/>
    <w:rsid w:val="006B4496"/>
    <w:rsid w:val="006B580B"/>
    <w:rsid w:val="006B5E67"/>
    <w:rsid w:val="006B6612"/>
    <w:rsid w:val="006B68D5"/>
    <w:rsid w:val="006C2001"/>
    <w:rsid w:val="006C2EB5"/>
    <w:rsid w:val="006D18A3"/>
    <w:rsid w:val="006D549B"/>
    <w:rsid w:val="006D5970"/>
    <w:rsid w:val="006E481E"/>
    <w:rsid w:val="006E5F83"/>
    <w:rsid w:val="006E5FD3"/>
    <w:rsid w:val="006E795F"/>
    <w:rsid w:val="006F3D1A"/>
    <w:rsid w:val="00700249"/>
    <w:rsid w:val="007069CD"/>
    <w:rsid w:val="00707E4C"/>
    <w:rsid w:val="0071231A"/>
    <w:rsid w:val="00712E90"/>
    <w:rsid w:val="00713B7E"/>
    <w:rsid w:val="0072537B"/>
    <w:rsid w:val="0072678F"/>
    <w:rsid w:val="007276E5"/>
    <w:rsid w:val="00727C4C"/>
    <w:rsid w:val="00733489"/>
    <w:rsid w:val="00734809"/>
    <w:rsid w:val="0073662C"/>
    <w:rsid w:val="007374FC"/>
    <w:rsid w:val="00737600"/>
    <w:rsid w:val="007406E1"/>
    <w:rsid w:val="00743E40"/>
    <w:rsid w:val="007456A0"/>
    <w:rsid w:val="00746979"/>
    <w:rsid w:val="0075031F"/>
    <w:rsid w:val="00750B93"/>
    <w:rsid w:val="00751263"/>
    <w:rsid w:val="007544FC"/>
    <w:rsid w:val="0075660E"/>
    <w:rsid w:val="0075673A"/>
    <w:rsid w:val="0075704F"/>
    <w:rsid w:val="0076037C"/>
    <w:rsid w:val="00763B2D"/>
    <w:rsid w:val="00766A7A"/>
    <w:rsid w:val="00772924"/>
    <w:rsid w:val="00780A4B"/>
    <w:rsid w:val="007872F2"/>
    <w:rsid w:val="00790603"/>
    <w:rsid w:val="007908E0"/>
    <w:rsid w:val="00790D55"/>
    <w:rsid w:val="00793EB3"/>
    <w:rsid w:val="00794205"/>
    <w:rsid w:val="007A1F6A"/>
    <w:rsid w:val="007B0DE3"/>
    <w:rsid w:val="007B1BFD"/>
    <w:rsid w:val="007B7191"/>
    <w:rsid w:val="007C1D94"/>
    <w:rsid w:val="007C556F"/>
    <w:rsid w:val="007C6A87"/>
    <w:rsid w:val="007C79FB"/>
    <w:rsid w:val="007D0A07"/>
    <w:rsid w:val="007D133D"/>
    <w:rsid w:val="007D3ABD"/>
    <w:rsid w:val="007D3EB4"/>
    <w:rsid w:val="007D3F16"/>
    <w:rsid w:val="007E6727"/>
    <w:rsid w:val="007F3F7E"/>
    <w:rsid w:val="007F4BA4"/>
    <w:rsid w:val="00813CEC"/>
    <w:rsid w:val="008142F9"/>
    <w:rsid w:val="0081534C"/>
    <w:rsid w:val="008171E4"/>
    <w:rsid w:val="008208EA"/>
    <w:rsid w:val="00824E67"/>
    <w:rsid w:val="00825A64"/>
    <w:rsid w:val="00826BD3"/>
    <w:rsid w:val="00826F48"/>
    <w:rsid w:val="008308AE"/>
    <w:rsid w:val="0083166E"/>
    <w:rsid w:val="00831DC3"/>
    <w:rsid w:val="008322C7"/>
    <w:rsid w:val="008340BA"/>
    <w:rsid w:val="00834F1D"/>
    <w:rsid w:val="00835065"/>
    <w:rsid w:val="00836FEC"/>
    <w:rsid w:val="008403D5"/>
    <w:rsid w:val="00841F9D"/>
    <w:rsid w:val="008420E1"/>
    <w:rsid w:val="008448DA"/>
    <w:rsid w:val="00844D98"/>
    <w:rsid w:val="00846D84"/>
    <w:rsid w:val="0085230E"/>
    <w:rsid w:val="00854784"/>
    <w:rsid w:val="008550A1"/>
    <w:rsid w:val="00861038"/>
    <w:rsid w:val="00862B61"/>
    <w:rsid w:val="00863538"/>
    <w:rsid w:val="0086436D"/>
    <w:rsid w:val="00865B58"/>
    <w:rsid w:val="00866B50"/>
    <w:rsid w:val="00867A63"/>
    <w:rsid w:val="008708F1"/>
    <w:rsid w:val="00871960"/>
    <w:rsid w:val="0087369F"/>
    <w:rsid w:val="00880539"/>
    <w:rsid w:val="00882F1B"/>
    <w:rsid w:val="008859E8"/>
    <w:rsid w:val="0088737B"/>
    <w:rsid w:val="00892716"/>
    <w:rsid w:val="00893067"/>
    <w:rsid w:val="008933DE"/>
    <w:rsid w:val="00895FCE"/>
    <w:rsid w:val="00897F3E"/>
    <w:rsid w:val="008A21B4"/>
    <w:rsid w:val="008A674E"/>
    <w:rsid w:val="008B07DE"/>
    <w:rsid w:val="008B28E7"/>
    <w:rsid w:val="008C14C7"/>
    <w:rsid w:val="008C2FFB"/>
    <w:rsid w:val="008C6A9A"/>
    <w:rsid w:val="008C6EEA"/>
    <w:rsid w:val="008C7770"/>
    <w:rsid w:val="008C79C7"/>
    <w:rsid w:val="008D5813"/>
    <w:rsid w:val="008D634E"/>
    <w:rsid w:val="008D778A"/>
    <w:rsid w:val="008D78C9"/>
    <w:rsid w:val="008E7B15"/>
    <w:rsid w:val="008F273D"/>
    <w:rsid w:val="008F32D9"/>
    <w:rsid w:val="008F43AF"/>
    <w:rsid w:val="00902A65"/>
    <w:rsid w:val="00905E30"/>
    <w:rsid w:val="009079BD"/>
    <w:rsid w:val="00910766"/>
    <w:rsid w:val="00912BD9"/>
    <w:rsid w:val="009168D8"/>
    <w:rsid w:val="00920E5B"/>
    <w:rsid w:val="00926436"/>
    <w:rsid w:val="0093018C"/>
    <w:rsid w:val="00937ACB"/>
    <w:rsid w:val="00943E66"/>
    <w:rsid w:val="009544C0"/>
    <w:rsid w:val="00954FA4"/>
    <w:rsid w:val="00956AE9"/>
    <w:rsid w:val="00963912"/>
    <w:rsid w:val="0096491A"/>
    <w:rsid w:val="00964CC6"/>
    <w:rsid w:val="00964FF3"/>
    <w:rsid w:val="009830B8"/>
    <w:rsid w:val="0098385C"/>
    <w:rsid w:val="0098427C"/>
    <w:rsid w:val="00986B43"/>
    <w:rsid w:val="00986C0B"/>
    <w:rsid w:val="00991FDA"/>
    <w:rsid w:val="00997825"/>
    <w:rsid w:val="009A015B"/>
    <w:rsid w:val="009A5F3B"/>
    <w:rsid w:val="009A6F87"/>
    <w:rsid w:val="009B0B61"/>
    <w:rsid w:val="009B28C0"/>
    <w:rsid w:val="009B377C"/>
    <w:rsid w:val="009B7136"/>
    <w:rsid w:val="009B7EA7"/>
    <w:rsid w:val="009C6092"/>
    <w:rsid w:val="009D4365"/>
    <w:rsid w:val="009D4E3B"/>
    <w:rsid w:val="009D542F"/>
    <w:rsid w:val="009D7BC9"/>
    <w:rsid w:val="009E08DF"/>
    <w:rsid w:val="009E122F"/>
    <w:rsid w:val="009E1982"/>
    <w:rsid w:val="009E4D2C"/>
    <w:rsid w:val="009F0978"/>
    <w:rsid w:val="009F3AEC"/>
    <w:rsid w:val="009F54C7"/>
    <w:rsid w:val="00A00081"/>
    <w:rsid w:val="00A06422"/>
    <w:rsid w:val="00A10D56"/>
    <w:rsid w:val="00A12AAE"/>
    <w:rsid w:val="00A12F22"/>
    <w:rsid w:val="00A16DD1"/>
    <w:rsid w:val="00A22411"/>
    <w:rsid w:val="00A22441"/>
    <w:rsid w:val="00A23F3B"/>
    <w:rsid w:val="00A24406"/>
    <w:rsid w:val="00A25F64"/>
    <w:rsid w:val="00A303B9"/>
    <w:rsid w:val="00A37416"/>
    <w:rsid w:val="00A37E4B"/>
    <w:rsid w:val="00A40ED6"/>
    <w:rsid w:val="00A460A7"/>
    <w:rsid w:val="00A47621"/>
    <w:rsid w:val="00A479CD"/>
    <w:rsid w:val="00A50CFC"/>
    <w:rsid w:val="00A54D67"/>
    <w:rsid w:val="00A55A3F"/>
    <w:rsid w:val="00A55D47"/>
    <w:rsid w:val="00A652F6"/>
    <w:rsid w:val="00A65861"/>
    <w:rsid w:val="00A732EA"/>
    <w:rsid w:val="00A7489E"/>
    <w:rsid w:val="00A8015F"/>
    <w:rsid w:val="00A85039"/>
    <w:rsid w:val="00A870E5"/>
    <w:rsid w:val="00A871CD"/>
    <w:rsid w:val="00A906AA"/>
    <w:rsid w:val="00A94C5E"/>
    <w:rsid w:val="00AA252C"/>
    <w:rsid w:val="00AA5222"/>
    <w:rsid w:val="00AA666E"/>
    <w:rsid w:val="00AB5518"/>
    <w:rsid w:val="00AC13F6"/>
    <w:rsid w:val="00AC143B"/>
    <w:rsid w:val="00AC4A04"/>
    <w:rsid w:val="00AD336F"/>
    <w:rsid w:val="00AD5F71"/>
    <w:rsid w:val="00AE134C"/>
    <w:rsid w:val="00AE1868"/>
    <w:rsid w:val="00AE254A"/>
    <w:rsid w:val="00AE2564"/>
    <w:rsid w:val="00AE301F"/>
    <w:rsid w:val="00AE3302"/>
    <w:rsid w:val="00AE4524"/>
    <w:rsid w:val="00AE5BA6"/>
    <w:rsid w:val="00AE7077"/>
    <w:rsid w:val="00AF61C2"/>
    <w:rsid w:val="00AF6CC6"/>
    <w:rsid w:val="00AF7E19"/>
    <w:rsid w:val="00B0296A"/>
    <w:rsid w:val="00B06F57"/>
    <w:rsid w:val="00B07BA3"/>
    <w:rsid w:val="00B07E79"/>
    <w:rsid w:val="00B12295"/>
    <w:rsid w:val="00B137BE"/>
    <w:rsid w:val="00B15CB6"/>
    <w:rsid w:val="00B17FA0"/>
    <w:rsid w:val="00B2292C"/>
    <w:rsid w:val="00B22C3C"/>
    <w:rsid w:val="00B24344"/>
    <w:rsid w:val="00B26769"/>
    <w:rsid w:val="00B26BF7"/>
    <w:rsid w:val="00B2754B"/>
    <w:rsid w:val="00B31C91"/>
    <w:rsid w:val="00B3443D"/>
    <w:rsid w:val="00B3747F"/>
    <w:rsid w:val="00B4085B"/>
    <w:rsid w:val="00B42E76"/>
    <w:rsid w:val="00B43194"/>
    <w:rsid w:val="00B435FC"/>
    <w:rsid w:val="00B474CA"/>
    <w:rsid w:val="00B47734"/>
    <w:rsid w:val="00B50FBA"/>
    <w:rsid w:val="00B558EB"/>
    <w:rsid w:val="00B577D3"/>
    <w:rsid w:val="00B60466"/>
    <w:rsid w:val="00B6548F"/>
    <w:rsid w:val="00B71A32"/>
    <w:rsid w:val="00B7502A"/>
    <w:rsid w:val="00B77305"/>
    <w:rsid w:val="00B81CBA"/>
    <w:rsid w:val="00B82CC2"/>
    <w:rsid w:val="00B84A89"/>
    <w:rsid w:val="00B9256C"/>
    <w:rsid w:val="00B92BEF"/>
    <w:rsid w:val="00B94443"/>
    <w:rsid w:val="00B9689A"/>
    <w:rsid w:val="00B97056"/>
    <w:rsid w:val="00BA531E"/>
    <w:rsid w:val="00BA55B7"/>
    <w:rsid w:val="00BB0404"/>
    <w:rsid w:val="00BB06CB"/>
    <w:rsid w:val="00BB1E90"/>
    <w:rsid w:val="00BB261F"/>
    <w:rsid w:val="00BB2887"/>
    <w:rsid w:val="00BB5EAA"/>
    <w:rsid w:val="00BB5F11"/>
    <w:rsid w:val="00BB6638"/>
    <w:rsid w:val="00BB7FD2"/>
    <w:rsid w:val="00BC04FA"/>
    <w:rsid w:val="00BC1C22"/>
    <w:rsid w:val="00BC3F79"/>
    <w:rsid w:val="00BC460B"/>
    <w:rsid w:val="00BC5725"/>
    <w:rsid w:val="00BD30B1"/>
    <w:rsid w:val="00BE033F"/>
    <w:rsid w:val="00BE0B36"/>
    <w:rsid w:val="00BE0F7B"/>
    <w:rsid w:val="00BE10C2"/>
    <w:rsid w:val="00BE3C75"/>
    <w:rsid w:val="00BF0D6C"/>
    <w:rsid w:val="00C01D14"/>
    <w:rsid w:val="00C01D97"/>
    <w:rsid w:val="00C025B4"/>
    <w:rsid w:val="00C0463D"/>
    <w:rsid w:val="00C051C7"/>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65F63"/>
    <w:rsid w:val="00C7108B"/>
    <w:rsid w:val="00C75883"/>
    <w:rsid w:val="00C8089F"/>
    <w:rsid w:val="00C82CC1"/>
    <w:rsid w:val="00C836CC"/>
    <w:rsid w:val="00C87A74"/>
    <w:rsid w:val="00C92A45"/>
    <w:rsid w:val="00C92C71"/>
    <w:rsid w:val="00C93F8F"/>
    <w:rsid w:val="00CA3593"/>
    <w:rsid w:val="00CA5726"/>
    <w:rsid w:val="00CB258E"/>
    <w:rsid w:val="00CB3C8F"/>
    <w:rsid w:val="00CB54B8"/>
    <w:rsid w:val="00CC02F1"/>
    <w:rsid w:val="00CC11A6"/>
    <w:rsid w:val="00CC135E"/>
    <w:rsid w:val="00CC7226"/>
    <w:rsid w:val="00CD0735"/>
    <w:rsid w:val="00CD2C42"/>
    <w:rsid w:val="00CD5D3F"/>
    <w:rsid w:val="00CE34C8"/>
    <w:rsid w:val="00CE7DA2"/>
    <w:rsid w:val="00CF2F8A"/>
    <w:rsid w:val="00CF3571"/>
    <w:rsid w:val="00CF3DB3"/>
    <w:rsid w:val="00D052BC"/>
    <w:rsid w:val="00D07026"/>
    <w:rsid w:val="00D1379B"/>
    <w:rsid w:val="00D22C8F"/>
    <w:rsid w:val="00D24F5C"/>
    <w:rsid w:val="00D26CBD"/>
    <w:rsid w:val="00D33491"/>
    <w:rsid w:val="00D3442D"/>
    <w:rsid w:val="00D37C68"/>
    <w:rsid w:val="00D44F8E"/>
    <w:rsid w:val="00D5033B"/>
    <w:rsid w:val="00D51FD5"/>
    <w:rsid w:val="00D55DE0"/>
    <w:rsid w:val="00D607EF"/>
    <w:rsid w:val="00D60F88"/>
    <w:rsid w:val="00D6220F"/>
    <w:rsid w:val="00D646BD"/>
    <w:rsid w:val="00D70FFF"/>
    <w:rsid w:val="00D71201"/>
    <w:rsid w:val="00D720C7"/>
    <w:rsid w:val="00D777F1"/>
    <w:rsid w:val="00D876E6"/>
    <w:rsid w:val="00D90958"/>
    <w:rsid w:val="00D93487"/>
    <w:rsid w:val="00DA1025"/>
    <w:rsid w:val="00DA22EC"/>
    <w:rsid w:val="00DA3A5B"/>
    <w:rsid w:val="00DA477A"/>
    <w:rsid w:val="00DA5860"/>
    <w:rsid w:val="00DA6825"/>
    <w:rsid w:val="00DA7BB1"/>
    <w:rsid w:val="00DB2767"/>
    <w:rsid w:val="00DC1B10"/>
    <w:rsid w:val="00DC4729"/>
    <w:rsid w:val="00DE0D84"/>
    <w:rsid w:val="00DE7EA2"/>
    <w:rsid w:val="00E0524C"/>
    <w:rsid w:val="00E143C7"/>
    <w:rsid w:val="00E1710F"/>
    <w:rsid w:val="00E17160"/>
    <w:rsid w:val="00E32872"/>
    <w:rsid w:val="00E35112"/>
    <w:rsid w:val="00E35BEC"/>
    <w:rsid w:val="00E35C14"/>
    <w:rsid w:val="00E50821"/>
    <w:rsid w:val="00E51F91"/>
    <w:rsid w:val="00E559CE"/>
    <w:rsid w:val="00E60F42"/>
    <w:rsid w:val="00E6746C"/>
    <w:rsid w:val="00E7086E"/>
    <w:rsid w:val="00E70EAA"/>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984"/>
    <w:rsid w:val="00ED5D03"/>
    <w:rsid w:val="00EE1AC1"/>
    <w:rsid w:val="00EE39D6"/>
    <w:rsid w:val="00EE52AD"/>
    <w:rsid w:val="00EE6FAB"/>
    <w:rsid w:val="00EE7A66"/>
    <w:rsid w:val="00F01F92"/>
    <w:rsid w:val="00F04053"/>
    <w:rsid w:val="00F10A08"/>
    <w:rsid w:val="00F22AC5"/>
    <w:rsid w:val="00F254D1"/>
    <w:rsid w:val="00F32A8B"/>
    <w:rsid w:val="00F32B82"/>
    <w:rsid w:val="00F4043E"/>
    <w:rsid w:val="00F41795"/>
    <w:rsid w:val="00F41BBC"/>
    <w:rsid w:val="00F444F0"/>
    <w:rsid w:val="00F50847"/>
    <w:rsid w:val="00F53F27"/>
    <w:rsid w:val="00F546D1"/>
    <w:rsid w:val="00F66272"/>
    <w:rsid w:val="00F709C0"/>
    <w:rsid w:val="00F803CD"/>
    <w:rsid w:val="00F927A1"/>
    <w:rsid w:val="00F92E4D"/>
    <w:rsid w:val="00F9343E"/>
    <w:rsid w:val="00F95D08"/>
    <w:rsid w:val="00FA3764"/>
    <w:rsid w:val="00FA56ED"/>
    <w:rsid w:val="00FA61D7"/>
    <w:rsid w:val="00FA6B30"/>
    <w:rsid w:val="00FB24EA"/>
    <w:rsid w:val="00FB26F2"/>
    <w:rsid w:val="00FB3D21"/>
    <w:rsid w:val="00FB5FA6"/>
    <w:rsid w:val="00FC1310"/>
    <w:rsid w:val="00FC2FF3"/>
    <w:rsid w:val="00FC3263"/>
    <w:rsid w:val="00FC51F9"/>
    <w:rsid w:val="00FC5B40"/>
    <w:rsid w:val="00FC5FF8"/>
    <w:rsid w:val="00FD271B"/>
    <w:rsid w:val="00FD3D7C"/>
    <w:rsid w:val="00FD4F8F"/>
    <w:rsid w:val="00FE0C16"/>
    <w:rsid w:val="00FE14B1"/>
    <w:rsid w:val="00FE1783"/>
    <w:rsid w:val="00FF0070"/>
    <w:rsid w:val="00FF07C3"/>
    <w:rsid w:val="00FF5F6A"/>
    <w:rsid w:val="00FF659F"/>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A5ADFA"/>
  <w15:docId w15:val="{BB274A76-645C-435F-8FE4-E087FDD4E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D26CB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82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507511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familylawweek.co.uk/site.aspx?i=ed177164" TargetMode="External"/><Relationship Id="rId18" Type="http://schemas.openxmlformats.org/officeDocument/2006/relationships/hyperlink" Target="https://www.nhs.uk/conditions/social-care-and-support-guide/making-decisions-for-someone-else/mental-capacity-act/" TargetMode="External"/><Relationship Id="rId26" Type="http://schemas.openxmlformats.org/officeDocument/2006/relationships/hyperlink" Target="https://www.scie.org.uk/assets/elearning/communicationskills/cs02/resource/html/object2/index.htm" TargetMode="External"/><Relationship Id="rId3" Type="http://schemas.openxmlformats.org/officeDocument/2006/relationships/styles" Target="styles.xml"/><Relationship Id="rId21" Type="http://schemas.openxmlformats.org/officeDocument/2006/relationships/hyperlink" Target="https://learning.nspcc.org.uk/child-protection-system/england/?_ga=2.125963342.294177231.1568218653-725448736.156821865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tizensadvice.org.uk/family/children-and-young-people/child-abuse/local-authority-involvement/child-abuse-child-protection-plans/" TargetMode="External"/><Relationship Id="rId17" Type="http://schemas.openxmlformats.org/officeDocument/2006/relationships/hyperlink" Target="https://www.northwalessafeguardingboard.wales/policies-and-procedures-adults/" TargetMode="External"/><Relationship Id="rId25" Type="http://schemas.openxmlformats.org/officeDocument/2006/relationships/hyperlink" Target="http://www.scie.org.uk/assets/elearning/communicationskills/cs01/resource/html/object1/object1_1.ht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orthwalessafeguardingboard.wales/?s=ACE%27s" TargetMode="External"/><Relationship Id="rId20" Type="http://schemas.openxmlformats.org/officeDocument/2006/relationships/hyperlink" Target="https://www.nspcc.org.uk/preventing-abuse/child-protection-system/" TargetMode="External"/><Relationship Id="rId29" Type="http://schemas.openxmlformats.org/officeDocument/2006/relationships/hyperlink" Target="http://www.bruce-thornton.info-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policy-document/wales-child-protection-procedures-2008/" TargetMode="External"/><Relationship Id="rId24" Type="http://schemas.openxmlformats.org/officeDocument/2006/relationships/hyperlink" Target="https://www.scie.org.uk/publications/introductionto/childrenssocialcare/childprotection.asp"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ibertyhumanrights.org.uk/human-rights/human-rights-act" TargetMode="External"/><Relationship Id="rId23" Type="http://schemas.openxmlformats.org/officeDocument/2006/relationships/hyperlink" Target="https://learning.nspcc.org.uk/child-protection-system/scotland/" TargetMode="External"/><Relationship Id="rId28" Type="http://schemas.openxmlformats.org/officeDocument/2006/relationships/hyperlink" Target="https://doi-org.ezproxy.uwtsd.ac.uk/10.1093/bjsw/bcz023" TargetMode="External"/><Relationship Id="rId10" Type="http://schemas.openxmlformats.org/officeDocument/2006/relationships/hyperlink" Target="http://www.psy.cmu.edu/-siegler/35bronfenbrenner94.pdf" TargetMode="External"/><Relationship Id="rId19" Type="http://schemas.openxmlformats.org/officeDocument/2006/relationships/hyperlink" Target="https://www.nidirect.gov.uk/articles/childres-human-rights"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basw.co.uk/resources/become-social-worker/support-newly-qualified-social-workers" TargetMode="External"/><Relationship Id="rId14" Type="http://schemas.openxmlformats.org/officeDocument/2006/relationships/hyperlink" Target="https://ico.org.uk/media/for-organisations/guide-to-the-general-data-protection-regulation-gdpr-1-0.pdf" TargetMode="External"/><Relationship Id="rId22" Type="http://schemas.openxmlformats.org/officeDocument/2006/relationships/hyperlink" Target="https://learning.nspcc.org.uk/child-protection-system/northern-ireland/" TargetMode="External"/><Relationship Id="rId27" Type="http://schemas.openxmlformats.org/officeDocument/2006/relationships/hyperlink" Target="https://socialcare.wales/hub/sswbact" TargetMode="External"/><Relationship Id="rId30"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43FDA8-55F5-43AE-A480-EDDE3AAB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43</Pages>
  <Words>13221</Words>
  <Characters>75366</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matthewgogden@gmail.com</cp:lastModifiedBy>
  <cp:revision>51</cp:revision>
  <cp:lastPrinted>2014-08-26T08:55:00Z</cp:lastPrinted>
  <dcterms:created xsi:type="dcterms:W3CDTF">2022-02-14T13:10:00Z</dcterms:created>
  <dcterms:modified xsi:type="dcterms:W3CDTF">2022-02-21T11:52:00Z</dcterms:modified>
</cp:coreProperties>
</file>