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elgril"/>
        <w:tblW w:w="0" w:type="auto"/>
        <w:tblLook w:val="04A0" w:firstRow="1" w:lastRow="0" w:firstColumn="1" w:lastColumn="0" w:noHBand="0" w:noVBand="1"/>
      </w:tblPr>
      <w:tblGrid>
        <w:gridCol w:w="4675"/>
        <w:gridCol w:w="4675"/>
      </w:tblGrid>
      <w:tr w:rsidR="00B83F80" w14:paraId="338B3EAC" w14:textId="77777777" w:rsidTr="00467839">
        <w:tc>
          <w:tcPr>
            <w:tcW w:w="4675" w:type="dxa"/>
            <w:shd w:val="clear" w:color="auto" w:fill="BDD6EE" w:themeFill="accent1" w:themeFillTint="66"/>
          </w:tcPr>
          <w:p w14:paraId="3465F922" w14:textId="0EF755C8" w:rsidR="009E76C3" w:rsidRPr="00AA6980" w:rsidRDefault="00371E4F">
            <w:pPr>
              <w:rPr>
                <w:b/>
              </w:rPr>
            </w:pPr>
            <w:r w:rsidRPr="00AA6980">
              <w:rPr>
                <w:b/>
              </w:rPr>
              <w:t>Student name:</w:t>
            </w:r>
            <w:r>
              <w:rPr>
                <w:b/>
              </w:rPr>
              <w:t xml:space="preserve"> </w:t>
            </w:r>
            <w:r w:rsidR="00467839">
              <w:rPr>
                <w:b/>
              </w:rPr>
              <w:t>Andreea Gabriela</w:t>
            </w:r>
          </w:p>
          <w:p w14:paraId="47136FBB" w14:textId="77777777" w:rsidR="009E76C3" w:rsidRPr="00AA6980" w:rsidRDefault="00371E4F">
            <w:pPr>
              <w:rPr>
                <w:b/>
              </w:rPr>
            </w:pPr>
            <w:r w:rsidRPr="00AA6980">
              <w:rPr>
                <w:b/>
              </w:rPr>
              <w:t xml:space="preserve">Student Number: </w:t>
            </w:r>
          </w:p>
        </w:tc>
        <w:tc>
          <w:tcPr>
            <w:tcW w:w="4675" w:type="dxa"/>
            <w:shd w:val="clear" w:color="auto" w:fill="BDD6EE" w:themeFill="accent1" w:themeFillTint="66"/>
          </w:tcPr>
          <w:p w14:paraId="4FB245BB" w14:textId="623480A2" w:rsidR="009E76C3" w:rsidRPr="00AA6980" w:rsidRDefault="00371E4F">
            <w:pPr>
              <w:rPr>
                <w:b/>
              </w:rPr>
            </w:pPr>
            <w:r w:rsidRPr="00AA6980">
              <w:rPr>
                <w:b/>
              </w:rPr>
              <w:t xml:space="preserve">Module: </w:t>
            </w:r>
            <w:r>
              <w:rPr>
                <w:b/>
              </w:rPr>
              <w:t>Food and beverage Operations</w:t>
            </w:r>
          </w:p>
          <w:p w14:paraId="5377BDEA" w14:textId="77777777" w:rsidR="00467839" w:rsidRDefault="00371E4F" w:rsidP="00467839">
            <w:pPr>
              <w:rPr>
                <w:rFonts w:cs="Arial"/>
              </w:rPr>
            </w:pPr>
            <w:r w:rsidRPr="00AA6980">
              <w:rPr>
                <w:b/>
              </w:rPr>
              <w:t xml:space="preserve">Lecturers: </w:t>
            </w:r>
            <w:r w:rsidR="00467839">
              <w:rPr>
                <w:rFonts w:cs="Arial"/>
              </w:rPr>
              <w:t>Lola Villard</w:t>
            </w:r>
          </w:p>
          <w:p w14:paraId="33BD8F6D" w14:textId="77777777" w:rsidR="00467839" w:rsidRDefault="00467839" w:rsidP="00467839">
            <w:pPr>
              <w:rPr>
                <w:rFonts w:cs="Arial"/>
              </w:rPr>
            </w:pPr>
            <w:r>
              <w:rPr>
                <w:rFonts w:cs="Arial"/>
              </w:rPr>
              <w:t xml:space="preserve">Laurence Blake </w:t>
            </w:r>
          </w:p>
          <w:p w14:paraId="0A342523" w14:textId="77777777" w:rsidR="00467839" w:rsidRDefault="00467839" w:rsidP="00467839">
            <w:pPr>
              <w:rPr>
                <w:rFonts w:cs="Arial"/>
              </w:rPr>
            </w:pPr>
            <w:r>
              <w:rPr>
                <w:rFonts w:cs="Arial"/>
              </w:rPr>
              <w:t xml:space="preserve">Ffion Cumberpatch </w:t>
            </w:r>
          </w:p>
          <w:p w14:paraId="0D816FB5" w14:textId="77777777" w:rsidR="00467839" w:rsidRDefault="00467839" w:rsidP="00467839">
            <w:pPr>
              <w:rPr>
                <w:rFonts w:cs="Arial"/>
              </w:rPr>
            </w:pPr>
            <w:r>
              <w:rPr>
                <w:rFonts w:cs="Arial"/>
              </w:rPr>
              <w:t xml:space="preserve">Tom Landers </w:t>
            </w:r>
          </w:p>
          <w:p w14:paraId="0529E6E3" w14:textId="39A72AE0" w:rsidR="009E76C3" w:rsidRPr="00AA6980" w:rsidRDefault="00467839" w:rsidP="00467839">
            <w:pPr>
              <w:rPr>
                <w:b/>
              </w:rPr>
            </w:pPr>
            <w:r>
              <w:rPr>
                <w:rFonts w:cs="Arial"/>
              </w:rPr>
              <w:t>Steve Jones</w:t>
            </w:r>
          </w:p>
        </w:tc>
      </w:tr>
    </w:tbl>
    <w:p w14:paraId="7FF02CC3" w14:textId="77777777" w:rsidR="00B3555C" w:rsidRDefault="00B3555C"/>
    <w:tbl>
      <w:tblPr>
        <w:tblStyle w:val="Tabelgril"/>
        <w:tblW w:w="0" w:type="auto"/>
        <w:tblLook w:val="04A0" w:firstRow="1" w:lastRow="0" w:firstColumn="1" w:lastColumn="0" w:noHBand="0" w:noVBand="1"/>
      </w:tblPr>
      <w:tblGrid>
        <w:gridCol w:w="4675"/>
        <w:gridCol w:w="4675"/>
      </w:tblGrid>
      <w:tr w:rsidR="00B83F80" w14:paraId="09DAC4AA" w14:textId="77777777" w:rsidTr="00467839">
        <w:tc>
          <w:tcPr>
            <w:tcW w:w="4675" w:type="dxa"/>
            <w:shd w:val="clear" w:color="auto" w:fill="FFD966" w:themeFill="accent4" w:themeFillTint="99"/>
          </w:tcPr>
          <w:p w14:paraId="3BF244B4" w14:textId="41A29094" w:rsidR="009E76C3" w:rsidRPr="00AA6980" w:rsidRDefault="00371E4F">
            <w:pPr>
              <w:rPr>
                <w:b/>
              </w:rPr>
            </w:pPr>
            <w:r w:rsidRPr="00AA6980">
              <w:rPr>
                <w:b/>
              </w:rPr>
              <w:t xml:space="preserve">Type of choice: Allergies and intolerances </w:t>
            </w:r>
          </w:p>
        </w:tc>
        <w:tc>
          <w:tcPr>
            <w:tcW w:w="4675" w:type="dxa"/>
            <w:shd w:val="clear" w:color="auto" w:fill="FFD966" w:themeFill="accent4" w:themeFillTint="99"/>
          </w:tcPr>
          <w:p w14:paraId="58427DA3" w14:textId="77777777" w:rsidR="009E76C3" w:rsidRPr="00AA6980" w:rsidRDefault="00371E4F">
            <w:pPr>
              <w:rPr>
                <w:b/>
              </w:rPr>
            </w:pPr>
            <w:r w:rsidRPr="00AA6980">
              <w:rPr>
                <w:b/>
              </w:rPr>
              <w:t xml:space="preserve">Date completed: </w:t>
            </w:r>
          </w:p>
        </w:tc>
      </w:tr>
      <w:tr w:rsidR="00B83F80" w14:paraId="483888F1" w14:textId="77777777" w:rsidTr="008878E2">
        <w:tc>
          <w:tcPr>
            <w:tcW w:w="9350" w:type="dxa"/>
            <w:gridSpan w:val="2"/>
          </w:tcPr>
          <w:p w14:paraId="28B75732" w14:textId="77777777" w:rsidR="00142802" w:rsidRDefault="00371E4F" w:rsidP="00E65637">
            <w:pPr>
              <w:rPr>
                <w:rFonts w:cs="Arial"/>
                <w:b/>
              </w:rPr>
            </w:pPr>
            <w:r>
              <w:t xml:space="preserve">The food and beverage industry in the United Kingdom is known as the largest sector of manufacturing and consists of a complex and diverse supply chain. The industry output in 2021 amounted to </w:t>
            </w:r>
            <w:r>
              <w:rPr>
                <w:rFonts w:cs="Arial"/>
              </w:rPr>
              <w:t>£</w:t>
            </w:r>
            <w:r>
              <w:t xml:space="preserve">30bn increased by 4.2% from the year 2020. The industry is with a total turnover of </w:t>
            </w:r>
            <w:r>
              <w:rPr>
                <w:rFonts w:cs="Arial"/>
              </w:rPr>
              <w:t>£112bn and £100bn of domestic sales</w:t>
            </w:r>
            <w:r w:rsidR="00E65637">
              <w:rPr>
                <w:rFonts w:cs="Arial"/>
              </w:rPr>
              <w:t xml:space="preserve"> (</w:t>
            </w:r>
            <w:r w:rsidR="00E65637">
              <w:rPr>
                <w:shd w:val="clear" w:color="auto" w:fill="FFFFFF"/>
              </w:rPr>
              <w:t>Tourky, et al. 2020.)</w:t>
            </w:r>
            <w:r>
              <w:rPr>
                <w:rFonts w:cs="Arial"/>
              </w:rPr>
              <w:t>. The total turnover of the industry has raised by 4.8% and domestic sales have increased by 4.5% from the previous year. This industry has employed more than 468000 people with 4.2m in the farm-to-fork food chain across every region and from the nation in the UK</w:t>
            </w:r>
            <w:r w:rsidR="00E65637">
              <w:rPr>
                <w:rFonts w:cs="Arial"/>
              </w:rPr>
              <w:t xml:space="preserve">. </w:t>
            </w:r>
            <w:r>
              <w:rPr>
                <w:rFonts w:cs="Arial"/>
              </w:rPr>
              <w:t xml:space="preserve">Employment in the industry has increased by 3.4% as well. 4% increment is also noteworthy in exporting the food and beverages, which have been exported to over 220 including 3 major export partners Ireland, </w:t>
            </w:r>
            <w:r w:rsidR="00E755B8">
              <w:rPr>
                <w:rFonts w:cs="Arial"/>
              </w:rPr>
              <w:t>France, and The USA. This sector has contributed to the UK economy by £20bn through. There are 11675 businesses in food and beverages manufacturing in the UK</w:t>
            </w:r>
            <w:r w:rsidR="00E65637">
              <w:rPr>
                <w:rFonts w:cs="Arial"/>
              </w:rPr>
              <w:t xml:space="preserve"> (</w:t>
            </w:r>
            <w:r w:rsidR="00E65637">
              <w:rPr>
                <w:shd w:val="clear" w:color="auto" w:fill="FFFFFF"/>
              </w:rPr>
              <w:t>Mytton, et al. 2020)</w:t>
            </w:r>
            <w:r w:rsidR="00E755B8">
              <w:rPr>
                <w:rFonts w:cs="Arial"/>
              </w:rPr>
              <w:t xml:space="preserve">. However, the existing companies and businesses in the industry have to follow and maintain many standards and regulations for the long-run sustainability of the companies as well as public health and safety. For my student journal, I have chosen </w:t>
            </w:r>
            <w:r w:rsidR="00E755B8" w:rsidRPr="00E755B8">
              <w:rPr>
                <w:rFonts w:cs="Arial"/>
                <w:b/>
              </w:rPr>
              <w:t xml:space="preserve">“Allergies and intolerances and the importance within the industry” </w:t>
            </w:r>
            <w:r w:rsidR="00E755B8" w:rsidRPr="00E755B8">
              <w:rPr>
                <w:rFonts w:cs="Arial"/>
              </w:rPr>
              <w:t>as a research topic.</w:t>
            </w:r>
            <w:r w:rsidR="00E755B8">
              <w:rPr>
                <w:rFonts w:cs="Arial"/>
                <w:b/>
              </w:rPr>
              <w:t xml:space="preserve"> </w:t>
            </w:r>
          </w:p>
          <w:p w14:paraId="1C98DDCD" w14:textId="77777777" w:rsidR="00E755B8" w:rsidRDefault="00371E4F" w:rsidP="00963861">
            <w:r>
              <w:t xml:space="preserve">When a person notices some reaction </w:t>
            </w:r>
            <w:r w:rsidR="00963861">
              <w:t xml:space="preserve">of the immune system </w:t>
            </w:r>
            <w:r>
              <w:t xml:space="preserve">after eating certain foods such as </w:t>
            </w:r>
            <w:r w:rsidR="00963861">
              <w:t xml:space="preserve">an itchy sensation, </w:t>
            </w:r>
            <w:r>
              <w:t xml:space="preserve">hives, digestive problems, </w:t>
            </w:r>
            <w:r w:rsidR="00963861">
              <w:t xml:space="preserve">vomiting, </w:t>
            </w:r>
            <w:r>
              <w:t>or swollen airways</w:t>
            </w:r>
            <w:r w:rsidR="00963861">
              <w:t>, this is known as a food allergy</w:t>
            </w:r>
            <w:r w:rsidR="00E65637">
              <w:t xml:space="preserve"> (</w:t>
            </w:r>
            <w:r w:rsidR="00E65637">
              <w:rPr>
                <w:shd w:val="clear" w:color="auto" w:fill="FFFFFF"/>
              </w:rPr>
              <w:t>Renz, et al. 2018.)</w:t>
            </w:r>
            <w:r w:rsidR="00963861">
              <w:t xml:space="preserve">. Milk, egg, peanuts, tree nuts, and shellfish are some major foods for allergens in the UK. Celery, lupin, soybeans, mustard, sesame, sulphur dioxide, cereals, crustaceans, molluscs, sulphites, and many other foods are allergens. </w:t>
            </w:r>
          </w:p>
          <w:p w14:paraId="2F81C3A3" w14:textId="77777777" w:rsidR="00963861" w:rsidRDefault="00371E4F" w:rsidP="00BB7C29">
            <w:r>
              <w:t xml:space="preserve">Companies or hotels or restaurants have to mention precisely </w:t>
            </w:r>
            <w:r w:rsidR="00BB7C29">
              <w:t>the items or allergens used in food manufacturing or a cooked item on the menus or the labels. Allergen guidance laws in the UK have strictly directed food business operators to provide information on allergen both in the prepacked and unpackaged food and beverage. Restaurants and hotels are directed to manage and handle food allergens while preparing food</w:t>
            </w:r>
            <w:r w:rsidR="00C34E66">
              <w:t xml:space="preserve"> (</w:t>
            </w:r>
            <w:r w:rsidR="00C34E66">
              <w:rPr>
                <w:shd w:val="clear" w:color="auto" w:fill="FFFFFF"/>
              </w:rPr>
              <w:t>Tomlinson, 2013)</w:t>
            </w:r>
            <w:r w:rsidR="00BB7C29">
              <w:t>. The ingredients list must be included on the packaging in case of prepacked food. Allergenic ingr</w:t>
            </w:r>
            <w:r w:rsidR="002145AC">
              <w:t xml:space="preserve">edients have to be emphasized for prepacked for direct sale products according to the Allergen labeling information for prepacked for direct sale, which has been implemented from October 2021. The restaurants or hotels need to disclose the allergen information in a way so that consumers can notice it easily. </w:t>
            </w:r>
          </w:p>
          <w:p w14:paraId="203B069B" w14:textId="77777777" w:rsidR="005D476A" w:rsidRDefault="00371E4F" w:rsidP="00BB7C29">
            <w:r>
              <w:t>After the allergic food consumption, people may suffer from severe headaches or tummy pain. Digestion difficulties, skin rashes, diarrhea, itching, and pain in the tummy can be caused by food intolerance. In the UK, more than 2 million people are sufferers of food allergy and food intolerance, where 1-2% are adults and 5-6% are children</w:t>
            </w:r>
            <w:r w:rsidR="00C34E66">
              <w:t xml:space="preserve"> (</w:t>
            </w:r>
            <w:r w:rsidR="00C34E66">
              <w:rPr>
                <w:shd w:val="clear" w:color="auto" w:fill="FFFFFF"/>
              </w:rPr>
              <w:t>Turnbull, et al. 2015)</w:t>
            </w:r>
            <w:r>
              <w:t xml:space="preserve">. However, the number of people in the UK suffering from food allergy and intolerance is growing rapidly. </w:t>
            </w:r>
          </w:p>
          <w:p w14:paraId="1379193D" w14:textId="77777777" w:rsidR="005D476A" w:rsidRDefault="00371E4F" w:rsidP="00BB7C29">
            <w:r>
              <w:t xml:space="preserve">One of the reasons for the increasing number is the indifferences between the food manufacturing companies and restaurants or hotels in maintaining the recommended standards and regulations. </w:t>
            </w:r>
            <w:r w:rsidR="00AA6980">
              <w:t xml:space="preserve">If the companies and businesses in the hospitality industry achieve long-run sustainability, higher satisfaction of consumers, and gain loyal customers, they need to be careful and conscious of the food allergies and intolerance as well as uphold regulations accordingly. </w:t>
            </w:r>
            <w:r w:rsidR="0010768A">
              <w:t xml:space="preserve">Businesses in the industry can gain and capture new customers with their genuine concern and prevention activities for the problem, which in turn will raise their market share. </w:t>
            </w:r>
            <w:r w:rsidR="00AA6980">
              <w:t>Otherwise, they may have to be sued, be complained about, and hear bad words from the consumers</w:t>
            </w:r>
            <w:r w:rsidR="00E65637">
              <w:t xml:space="preserve"> (</w:t>
            </w:r>
            <w:r w:rsidR="00E65637">
              <w:rPr>
                <w:shd w:val="clear" w:color="auto" w:fill="FFFFFF"/>
              </w:rPr>
              <w:t>Mensah, and Julien, 2011)</w:t>
            </w:r>
            <w:r w:rsidR="00AA6980">
              <w:t xml:space="preserve">. </w:t>
            </w:r>
            <w:r w:rsidR="0010768A">
              <w:t xml:space="preserve">If businesses and enterprises violate any of the laws, they have to bear violation fees along with loss of business goodwill in the market and market share. </w:t>
            </w:r>
          </w:p>
          <w:p w14:paraId="27CA0417" w14:textId="77777777" w:rsidR="00AA6980" w:rsidRDefault="00371E4F" w:rsidP="00BB7C29">
            <w:r>
              <w:t xml:space="preserve">This module has enriched my knowledge about the food and beverage industry of the UK and made me conscious and concerned about food allergies and food intolerance as well. I can now realize the seriousness of the food allergies and food intolerance problems. </w:t>
            </w:r>
            <w:r w:rsidR="0010768A">
              <w:t>This research has provided me with the learnings about the dangerous results and serious discomfort able situations raised by the problem. I am now well acquainted with the ingredients that cause food allergy and intolerance</w:t>
            </w:r>
            <w:r w:rsidR="00C34E66">
              <w:t xml:space="preserve"> (</w:t>
            </w:r>
            <w:r w:rsidR="00C34E66">
              <w:rPr>
                <w:shd w:val="clear" w:color="auto" w:fill="FFFFFF"/>
              </w:rPr>
              <w:t>Mensah, and Julien,  2011)</w:t>
            </w:r>
            <w:r w:rsidR="0010768A">
              <w:t xml:space="preserve">. The research topic has taught me to be aware of the food laws and made me well known of the symptoms of food allergies and intolerance. </w:t>
            </w:r>
          </w:p>
          <w:p w14:paraId="0C0BB269" w14:textId="77777777" w:rsidR="0010768A" w:rsidRDefault="00371E4F" w:rsidP="00BB7C29">
            <w:r>
              <w:t xml:space="preserve">In conclusion, </w:t>
            </w:r>
            <w:r w:rsidR="00E65637">
              <w:t xml:space="preserve">food allergies and intolerance, the most concerned and growing problem in the UK, hold significant importance in the food and beverage industry. The businesses in the industry have to be concerned about the serious problem to ensure business growth and success. However, the knowledge I have gained from this research has great significant importance in my personal life as well. </w:t>
            </w:r>
          </w:p>
          <w:p w14:paraId="37C827A2" w14:textId="77777777" w:rsidR="00E65637" w:rsidRDefault="00371E4F" w:rsidP="00E65637">
            <w:pPr>
              <w:pStyle w:val="Titlu1"/>
              <w:outlineLvl w:val="0"/>
            </w:pPr>
            <w:r>
              <w:t xml:space="preserve">Reference </w:t>
            </w:r>
          </w:p>
          <w:p w14:paraId="08FCFD31" w14:textId="77777777" w:rsidR="00D15CC8" w:rsidRDefault="00D15CC8" w:rsidP="00E65637">
            <w:pPr>
              <w:rPr>
                <w:shd w:val="clear" w:color="auto" w:fill="FFFFFF"/>
              </w:rPr>
            </w:pPr>
            <w:r>
              <w:rPr>
                <w:shd w:val="clear" w:color="auto" w:fill="FFFFFF"/>
              </w:rPr>
              <w:t>Mensah, L.D. and Julien, D., 2011. Implementation of food safety management systems in the UK. </w:t>
            </w:r>
            <w:r>
              <w:rPr>
                <w:i/>
                <w:iCs/>
                <w:shd w:val="clear" w:color="auto" w:fill="FFFFFF"/>
              </w:rPr>
              <w:t>Food control</w:t>
            </w:r>
            <w:r>
              <w:rPr>
                <w:shd w:val="clear" w:color="auto" w:fill="FFFFFF"/>
              </w:rPr>
              <w:t>, </w:t>
            </w:r>
            <w:r>
              <w:rPr>
                <w:i/>
                <w:iCs/>
                <w:shd w:val="clear" w:color="auto" w:fill="FFFFFF"/>
              </w:rPr>
              <w:t>22</w:t>
            </w:r>
            <w:r>
              <w:rPr>
                <w:shd w:val="clear" w:color="auto" w:fill="FFFFFF"/>
              </w:rPr>
              <w:t>(8), pp.1216-1225.</w:t>
            </w:r>
          </w:p>
          <w:p w14:paraId="6C8A0176" w14:textId="77777777" w:rsidR="00D15CC8" w:rsidRDefault="00D15CC8" w:rsidP="00E65637">
            <w:pPr>
              <w:rPr>
                <w:shd w:val="clear" w:color="auto" w:fill="FFFFFF"/>
              </w:rPr>
            </w:pPr>
            <w:r>
              <w:rPr>
                <w:shd w:val="clear" w:color="auto" w:fill="FFFFFF"/>
              </w:rPr>
              <w:t>Mytton, O.T., Boyland, E., Adams, J., Collins, B., O’Connell, M., Russell, S.J., Smith, K., Stroud, R., Viner, R.M. and Cobiac, L.J., 2020. The potential health impact of restricting less-healthy food and beverage advertising on UK television between 05.30 and 21.00 hours: A modelling study. </w:t>
            </w:r>
            <w:r>
              <w:rPr>
                <w:i/>
                <w:iCs/>
                <w:shd w:val="clear" w:color="auto" w:fill="FFFFFF"/>
              </w:rPr>
              <w:t>PLoS medicine</w:t>
            </w:r>
            <w:r>
              <w:rPr>
                <w:shd w:val="clear" w:color="auto" w:fill="FFFFFF"/>
              </w:rPr>
              <w:t>, </w:t>
            </w:r>
            <w:r>
              <w:rPr>
                <w:i/>
                <w:iCs/>
                <w:shd w:val="clear" w:color="auto" w:fill="FFFFFF"/>
              </w:rPr>
              <w:t>17</w:t>
            </w:r>
            <w:r>
              <w:rPr>
                <w:shd w:val="clear" w:color="auto" w:fill="FFFFFF"/>
              </w:rPr>
              <w:t>(10), p.e1003212.</w:t>
            </w:r>
          </w:p>
          <w:p w14:paraId="056702B5" w14:textId="77777777" w:rsidR="00D15CC8" w:rsidRDefault="00D15CC8" w:rsidP="00E65637">
            <w:pPr>
              <w:rPr>
                <w:shd w:val="clear" w:color="auto" w:fill="FFFFFF"/>
              </w:rPr>
            </w:pPr>
            <w:r>
              <w:rPr>
                <w:shd w:val="clear" w:color="auto" w:fill="FFFFFF"/>
              </w:rPr>
              <w:t>Renz, H., Allen, K.J., Sicherer, S.H., Sampson, H.A., Lack, G., Beyer, K. and Oettgen, H.C., 2018. Food allergy. </w:t>
            </w:r>
            <w:r>
              <w:rPr>
                <w:i/>
                <w:iCs/>
                <w:shd w:val="clear" w:color="auto" w:fill="FFFFFF"/>
              </w:rPr>
              <w:t>Nature reviews Disease primers</w:t>
            </w:r>
            <w:r>
              <w:rPr>
                <w:shd w:val="clear" w:color="auto" w:fill="FFFFFF"/>
              </w:rPr>
              <w:t>, </w:t>
            </w:r>
            <w:r>
              <w:rPr>
                <w:i/>
                <w:iCs/>
                <w:shd w:val="clear" w:color="auto" w:fill="FFFFFF"/>
              </w:rPr>
              <w:t>4</w:t>
            </w:r>
            <w:r>
              <w:rPr>
                <w:shd w:val="clear" w:color="auto" w:fill="FFFFFF"/>
              </w:rPr>
              <w:t>(1), pp.1-20.</w:t>
            </w:r>
          </w:p>
          <w:p w14:paraId="5BDF9086" w14:textId="77777777" w:rsidR="00D15CC8" w:rsidRDefault="00D15CC8" w:rsidP="00C34E66">
            <w:pPr>
              <w:rPr>
                <w:shd w:val="clear" w:color="auto" w:fill="FFFFFF"/>
              </w:rPr>
            </w:pPr>
            <w:r>
              <w:rPr>
                <w:shd w:val="clear" w:color="auto" w:fill="FFFFFF"/>
              </w:rPr>
              <w:t>Tomlinson, I., 2013. Doubling food production to feed the 9 billion: a critical perspective on a key discourse of food security in the UK. </w:t>
            </w:r>
            <w:r>
              <w:rPr>
                <w:i/>
                <w:iCs/>
                <w:shd w:val="clear" w:color="auto" w:fill="FFFFFF"/>
              </w:rPr>
              <w:t>Journal of rural studies</w:t>
            </w:r>
            <w:r>
              <w:rPr>
                <w:shd w:val="clear" w:color="auto" w:fill="FFFFFF"/>
              </w:rPr>
              <w:t>, </w:t>
            </w:r>
            <w:r>
              <w:rPr>
                <w:i/>
                <w:iCs/>
                <w:shd w:val="clear" w:color="auto" w:fill="FFFFFF"/>
              </w:rPr>
              <w:t>29</w:t>
            </w:r>
            <w:r>
              <w:rPr>
                <w:shd w:val="clear" w:color="auto" w:fill="FFFFFF"/>
              </w:rPr>
              <w:t>, pp.81-90.</w:t>
            </w:r>
          </w:p>
          <w:p w14:paraId="2AB85C6B" w14:textId="77777777" w:rsidR="00D15CC8" w:rsidRDefault="00D15CC8" w:rsidP="00E65637">
            <w:pPr>
              <w:rPr>
                <w:shd w:val="clear" w:color="auto" w:fill="FFFFFF"/>
              </w:rPr>
            </w:pPr>
            <w:r>
              <w:rPr>
                <w:shd w:val="clear" w:color="auto" w:fill="FFFFFF"/>
              </w:rPr>
              <w:t>Tourky, M., Alwi, S.F.S., Kitchen, P., Melewar, T.C. and Shaalan, A., 2020. New conceptualization and measurement of corporate identity: Evidence from UK food and beverage industry. </w:t>
            </w:r>
            <w:r>
              <w:rPr>
                <w:i/>
                <w:iCs/>
                <w:shd w:val="clear" w:color="auto" w:fill="FFFFFF"/>
              </w:rPr>
              <w:t>Journal of Business Research</w:t>
            </w:r>
            <w:r>
              <w:rPr>
                <w:shd w:val="clear" w:color="auto" w:fill="FFFFFF"/>
              </w:rPr>
              <w:t>, </w:t>
            </w:r>
            <w:r>
              <w:rPr>
                <w:i/>
                <w:iCs/>
                <w:shd w:val="clear" w:color="auto" w:fill="FFFFFF"/>
              </w:rPr>
              <w:t>109</w:t>
            </w:r>
            <w:r>
              <w:rPr>
                <w:shd w:val="clear" w:color="auto" w:fill="FFFFFF"/>
              </w:rPr>
              <w:t>, pp.595-606.</w:t>
            </w:r>
          </w:p>
          <w:p w14:paraId="1EF215BC" w14:textId="7DBE3262" w:rsidR="00C34E66" w:rsidRPr="00E65637" w:rsidRDefault="00D15CC8" w:rsidP="00C34E66">
            <w:r>
              <w:rPr>
                <w:shd w:val="clear" w:color="auto" w:fill="FFFFFF"/>
              </w:rPr>
              <w:t>Turnbull, J.L., Adams, H.N. and Gorard, D.A., 2015. The diagnosis and management of food allergy and food intolerances. </w:t>
            </w:r>
            <w:r>
              <w:rPr>
                <w:i/>
                <w:iCs/>
                <w:shd w:val="clear" w:color="auto" w:fill="FFFFFF"/>
              </w:rPr>
              <w:t>Alimentary pharmacology &amp; therapeutics</w:t>
            </w:r>
            <w:r>
              <w:rPr>
                <w:shd w:val="clear" w:color="auto" w:fill="FFFFFF"/>
              </w:rPr>
              <w:t>, </w:t>
            </w:r>
            <w:r>
              <w:rPr>
                <w:i/>
                <w:iCs/>
                <w:shd w:val="clear" w:color="auto" w:fill="FFFFFF"/>
              </w:rPr>
              <w:t>41</w:t>
            </w:r>
            <w:r>
              <w:rPr>
                <w:shd w:val="clear" w:color="auto" w:fill="FFFFFF"/>
              </w:rPr>
              <w:t>(1), pp.3-25.</w:t>
            </w:r>
          </w:p>
        </w:tc>
      </w:tr>
    </w:tbl>
    <w:p w14:paraId="3BEA4F81" w14:textId="77777777" w:rsidR="009E76C3" w:rsidRDefault="009E76C3"/>
    <w:sectPr w:rsidR="009E76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6C3"/>
    <w:rsid w:val="0010768A"/>
    <w:rsid w:val="00142802"/>
    <w:rsid w:val="002145AC"/>
    <w:rsid w:val="00342832"/>
    <w:rsid w:val="00371E4F"/>
    <w:rsid w:val="004505D9"/>
    <w:rsid w:val="00467839"/>
    <w:rsid w:val="005D236A"/>
    <w:rsid w:val="005D476A"/>
    <w:rsid w:val="00683764"/>
    <w:rsid w:val="00963861"/>
    <w:rsid w:val="009E76C3"/>
    <w:rsid w:val="00AA6980"/>
    <w:rsid w:val="00B3555C"/>
    <w:rsid w:val="00B83F80"/>
    <w:rsid w:val="00BB7C29"/>
    <w:rsid w:val="00C34E66"/>
    <w:rsid w:val="00D15CC8"/>
    <w:rsid w:val="00E65637"/>
    <w:rsid w:val="00E755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29592"/>
  <w15:chartTrackingRefBased/>
  <w15:docId w15:val="{315F264C-F155-428F-B6B4-00E082A6D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6C3"/>
    <w:pPr>
      <w:spacing w:line="360" w:lineRule="auto"/>
      <w:jc w:val="both"/>
    </w:pPr>
    <w:rPr>
      <w:rFonts w:ascii="Arial" w:hAnsi="Arial"/>
      <w:sz w:val="24"/>
      <w:lang w:val="en-GB"/>
    </w:rPr>
  </w:style>
  <w:style w:type="paragraph" w:styleId="Titlu1">
    <w:name w:val="heading 1"/>
    <w:basedOn w:val="Normal"/>
    <w:next w:val="Normal"/>
    <w:link w:val="Titlu1Caracter"/>
    <w:autoRedefine/>
    <w:uiPriority w:val="9"/>
    <w:qFormat/>
    <w:rsid w:val="004505D9"/>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autoRedefine/>
    <w:uiPriority w:val="9"/>
    <w:semiHidden/>
    <w:unhideWhenUsed/>
    <w:qFormat/>
    <w:rsid w:val="005D236A"/>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autoRedefine/>
    <w:uiPriority w:val="9"/>
    <w:semiHidden/>
    <w:unhideWhenUsed/>
    <w:qFormat/>
    <w:rsid w:val="00342832"/>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505D9"/>
    <w:rPr>
      <w:rFonts w:ascii="Times New Roman" w:eastAsiaTheme="majorEastAsia" w:hAnsi="Times New Roman" w:cstheme="majorBidi"/>
      <w:b/>
      <w:sz w:val="32"/>
      <w:szCs w:val="32"/>
      <w:lang w:val="en-GB"/>
    </w:rPr>
  </w:style>
  <w:style w:type="character" w:customStyle="1" w:styleId="Titlu2Caracter">
    <w:name w:val="Titlu 2 Caracter"/>
    <w:basedOn w:val="Fontdeparagrafimplicit"/>
    <w:link w:val="Titlu2"/>
    <w:uiPriority w:val="9"/>
    <w:semiHidden/>
    <w:rsid w:val="005D236A"/>
    <w:rPr>
      <w:rFonts w:ascii="Times New Roman" w:eastAsiaTheme="majorEastAsia" w:hAnsi="Times New Roman" w:cstheme="majorBidi"/>
      <w:b/>
      <w:sz w:val="28"/>
      <w:szCs w:val="26"/>
      <w:lang w:val="en-GB"/>
    </w:rPr>
  </w:style>
  <w:style w:type="character" w:customStyle="1" w:styleId="Titlu3Caracter">
    <w:name w:val="Titlu 3 Caracter"/>
    <w:basedOn w:val="Fontdeparagrafimplicit"/>
    <w:link w:val="Titlu3"/>
    <w:uiPriority w:val="9"/>
    <w:semiHidden/>
    <w:rsid w:val="00342832"/>
    <w:rPr>
      <w:rFonts w:ascii="Times New Roman" w:eastAsiaTheme="majorEastAsia" w:hAnsi="Times New Roman" w:cstheme="majorBidi"/>
      <w:b/>
      <w:sz w:val="24"/>
      <w:szCs w:val="24"/>
      <w:lang w:val="en-GB"/>
    </w:rPr>
  </w:style>
  <w:style w:type="table" w:styleId="Tabelgril">
    <w:name w:val="Table Grid"/>
    <w:basedOn w:val="TabelNormal"/>
    <w:uiPriority w:val="39"/>
    <w:rsid w:val="009E7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4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957</Words>
  <Characters>5553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Utilizator invitat</cp:lastModifiedBy>
  <cp:revision>2</cp:revision>
  <dcterms:created xsi:type="dcterms:W3CDTF">2022-06-08T20:18:00Z</dcterms:created>
  <dcterms:modified xsi:type="dcterms:W3CDTF">2022-06-08T20:18:00Z</dcterms:modified>
</cp:coreProperties>
</file>