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4943" w:rsidRDefault="001A4943" w:rsidP="001A4943">
      <w:pPr>
        <w:spacing w:line="360" w:lineRule="auto"/>
        <w:jc w:val="center"/>
        <w:rPr>
          <w:rFonts w:ascii="Times New Roman" w:eastAsia="Times New Roman" w:hAnsi="Times New Roman" w:cs="Times New Roman"/>
          <w:sz w:val="24"/>
          <w:szCs w:val="24"/>
        </w:rPr>
      </w:pPr>
      <w:bookmarkStart w:id="0" w:name="_heading=h.a0dadwm9ke92" w:colFirst="0" w:colLast="0"/>
      <w:bookmarkEnd w:id="0"/>
      <w:r>
        <w:rPr>
          <w:rFonts w:ascii="Times New Roman" w:eastAsia="Times New Roman" w:hAnsi="Times New Roman" w:cs="Times New Roman"/>
          <w:noProof/>
          <w:sz w:val="24"/>
          <w:szCs w:val="24"/>
          <w:lang w:val="en-US" w:eastAsia="en-US"/>
        </w:rPr>
        <w:drawing>
          <wp:inline distT="0" distB="0" distL="0" distR="0" wp14:anchorId="02E00881" wp14:editId="67B2F522">
            <wp:extent cx="3515513" cy="130653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
                    <a:srcRect/>
                    <a:stretch>
                      <a:fillRect/>
                    </a:stretch>
                  </pic:blipFill>
                  <pic:spPr>
                    <a:xfrm>
                      <a:off x="0" y="0"/>
                      <a:ext cx="3515513" cy="1306532"/>
                    </a:xfrm>
                    <a:prstGeom prst="rect">
                      <a:avLst/>
                    </a:prstGeom>
                    <a:ln/>
                  </pic:spPr>
                </pic:pic>
              </a:graphicData>
            </a:graphic>
          </wp:inline>
        </w:drawing>
      </w:r>
    </w:p>
    <w:p w:rsidR="001A4943" w:rsidRDefault="001A4943" w:rsidP="001A4943">
      <w:pPr>
        <w:spacing w:line="360" w:lineRule="auto"/>
        <w:jc w:val="center"/>
        <w:rPr>
          <w:rFonts w:ascii="Times New Roman" w:eastAsia="Times New Roman" w:hAnsi="Times New Roman" w:cs="Times New Roman"/>
          <w:sz w:val="24"/>
          <w:szCs w:val="24"/>
        </w:rPr>
      </w:pPr>
    </w:p>
    <w:p w:rsidR="001A4943" w:rsidRDefault="001A4943" w:rsidP="001A4943">
      <w:pPr>
        <w:pStyle w:val="Title"/>
        <w:spacing w:line="360" w:lineRule="auto"/>
        <w:jc w:val="center"/>
        <w:rPr>
          <w:rFonts w:ascii="Times New Roman" w:eastAsia="Times New Roman" w:hAnsi="Times New Roman" w:cs="Times New Roman"/>
          <w:b/>
          <w:bCs/>
          <w:sz w:val="48"/>
          <w:szCs w:val="48"/>
        </w:rPr>
      </w:pPr>
      <w:r>
        <w:rPr>
          <w:rFonts w:ascii="Times New Roman" w:eastAsia="Times New Roman" w:hAnsi="Times New Roman" w:cs="Times New Roman"/>
          <w:b/>
          <w:bCs/>
          <w:sz w:val="48"/>
          <w:szCs w:val="48"/>
        </w:rPr>
        <w:t>Designing a Human Capital Architecture for Strategic Renewal at Helios Urban Mobility</w:t>
      </w:r>
    </w:p>
    <w:p w:rsidR="001A4943" w:rsidRDefault="001A4943" w:rsidP="001A4943">
      <w:pPr>
        <w:pStyle w:val="Title"/>
        <w:spacing w:line="360" w:lineRule="auto"/>
        <w:rPr>
          <w:rFonts w:ascii="Times New Roman" w:eastAsia="Times New Roman" w:hAnsi="Times New Roman" w:cs="Times New Roman"/>
          <w:sz w:val="24"/>
          <w:szCs w:val="24"/>
        </w:rPr>
      </w:pPr>
    </w:p>
    <w:p w:rsidR="001A4943" w:rsidRDefault="001A4943" w:rsidP="001A4943">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Assignment Title: Assessment component 1: Individual report</w:t>
      </w:r>
    </w:p>
    <w:p w:rsidR="001A4943" w:rsidRDefault="001A4943" w:rsidP="001A4943">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Assessment component 1: Individual report</w:t>
      </w:r>
    </w:p>
    <w:p w:rsidR="001A4943" w:rsidRDefault="001A4943" w:rsidP="001A4943">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 Gladius Kulothungan (London) - Eno Maycock (Birmingham)</w:t>
      </w:r>
      <w:r>
        <w:rPr>
          <w:rFonts w:ascii="Times New Roman" w:eastAsia="Times New Roman" w:hAnsi="Times New Roman" w:cs="Times New Roman"/>
          <w:b/>
          <w:bCs/>
          <w:sz w:val="24"/>
          <w:szCs w:val="24"/>
        </w:rPr>
        <w:br/>
        <w:t>Module: Human Capital Management</w:t>
      </w:r>
    </w:p>
    <w:p w:rsidR="001A4943" w:rsidRDefault="001A4943" w:rsidP="001A4943">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 LCMB7023</w:t>
      </w:r>
      <w:r>
        <w:rPr>
          <w:rFonts w:ascii="Times New Roman" w:eastAsia="Times New Roman" w:hAnsi="Times New Roman" w:cs="Times New Roman"/>
          <w:b/>
          <w:bCs/>
          <w:sz w:val="24"/>
          <w:szCs w:val="24"/>
        </w:rPr>
        <w:br/>
      </w:r>
      <w:r>
        <w:rPr>
          <w:rFonts w:ascii="Times New Roman" w:eastAsia="Times New Roman" w:hAnsi="Times New Roman" w:cs="Times New Roman"/>
          <w:b/>
          <w:bCs/>
          <w:sz w:val="24"/>
          <w:szCs w:val="24"/>
        </w:rPr>
        <w:br/>
        <w:t>Submitted by</w:t>
      </w:r>
      <w:r>
        <w:rPr>
          <w:rFonts w:ascii="Times New Roman" w:eastAsia="Times New Roman" w:hAnsi="Times New Roman" w:cs="Times New Roman"/>
          <w:b/>
          <w:bCs/>
          <w:sz w:val="24"/>
          <w:szCs w:val="24"/>
        </w:rPr>
        <w:br/>
      </w:r>
      <w:r>
        <w:rPr>
          <w:rFonts w:ascii="Times New Roman" w:eastAsia="Times New Roman" w:hAnsi="Times New Roman" w:cs="Times New Roman"/>
          <w:b/>
          <w:bCs/>
          <w:sz w:val="24"/>
          <w:szCs w:val="24"/>
        </w:rPr>
        <w:br/>
        <w:t>Student name: prerna p padmani</w:t>
      </w:r>
    </w:p>
    <w:p w:rsidR="001A4943" w:rsidRDefault="001A4943" w:rsidP="001A4943">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number: 2536257</w:t>
      </w:r>
    </w:p>
    <w:p w:rsidR="001A4943" w:rsidRDefault="001A4943" w:rsidP="001A4943">
      <w:pPr>
        <w:jc w:val="center"/>
        <w:rPr>
          <w:b/>
          <w:bCs/>
        </w:rPr>
      </w:pPr>
      <w:r>
        <w:rPr>
          <w:b/>
          <w:bCs/>
        </w:rPr>
        <w:t>Programme: Master of Business Administration</w:t>
      </w:r>
    </w:p>
    <w:p w:rsidR="001A4943" w:rsidRDefault="001A4943" w:rsidP="001A4943">
      <w:pPr>
        <w:pStyle w:val="Title"/>
        <w:spacing w:line="360" w:lineRule="auto"/>
        <w:jc w:val="center"/>
        <w:rPr>
          <w:rFonts w:ascii="Times New Roman" w:eastAsia="Times New Roman" w:hAnsi="Times New Roman" w:cs="Times New Roman"/>
          <w:b/>
          <w:bCs/>
          <w:sz w:val="24"/>
          <w:szCs w:val="24"/>
        </w:rPr>
      </w:pPr>
      <w:r>
        <w:br w:type="page"/>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Executive Summary</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Helios Urban Mobility (HUM) is a smart-transport start-up based in Europe with a focus on artificial intelligence-powered solutions for smart infrastructures and electric mobility. Despite still going strong in three different cities in London, Berlin and Singapore, it has held up under a number of hurdles: low engagement levels among employees, a high turnover rate with their graduate talent, and poor socialisation amongst its employees.</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report summarizes a suggestion of a strategic human capital architecture to address these problems. It is recommended that; a structured development of socialisation should be developed; there should be an increase in organisational identification; ethical professionalism should be developed; there is need for business activist mindset development. They are designed to increase employee engagement, speed up the integration process, boost the level of engagement and allow for ongoing organisational performance and successful continuous strategic renewal.</w:t>
      </w:r>
    </w:p>
    <w:p w:rsidR="001A4943" w:rsidRDefault="001A4943" w:rsidP="001A4943">
      <w:pPr>
        <w:spacing w:line="360" w:lineRule="auto"/>
        <w:rPr>
          <w:rFonts w:ascii="Times New Roman" w:eastAsia="Times New Roman" w:hAnsi="Times New Roman" w:cs="Times New Roman"/>
          <w:b/>
          <w:bCs/>
          <w:sz w:val="24"/>
          <w:szCs w:val="24"/>
        </w:rPr>
      </w:pPr>
      <w:bookmarkStart w:id="1" w:name="_heading=h.7p0h7shd0kjz" w:colFirst="0" w:colLast="0"/>
      <w:bookmarkEnd w:id="1"/>
      <w:r>
        <w:br w:type="page"/>
      </w:r>
    </w:p>
    <w:p w:rsidR="001A4943" w:rsidRDefault="001A4943" w:rsidP="001A4943">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Table of Contents</w:t>
      </w:r>
    </w:p>
    <w:sdt>
      <w:sdtPr>
        <w:id w:val="-561402761"/>
        <w:docPartObj>
          <w:docPartGallery w:val="Table of Contents"/>
          <w:docPartUnique/>
        </w:docPartObj>
      </w:sdtPr>
      <w:sdtContent>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a0dadwm9ke92">
            <w:r>
              <w:rPr>
                <w:rFonts w:ascii="Times New Roman" w:eastAsia="Times New Roman" w:hAnsi="Times New Roman" w:cs="Times New Roman"/>
                <w:b/>
                <w:bCs/>
                <w:color w:val="000000"/>
                <w:sz w:val="24"/>
                <w:szCs w:val="24"/>
              </w:rPr>
              <w:t>Executive Summary</w:t>
            </w:r>
          </w:hyperlink>
          <w:hyperlink w:anchor="_heading=h.a0dadwm9ke92">
            <w:r>
              <w:rPr>
                <w:rFonts w:ascii="Times New Roman" w:eastAsia="Times New Roman" w:hAnsi="Times New Roman" w:cs="Times New Roman"/>
                <w:color w:val="000000"/>
                <w:sz w:val="24"/>
                <w:szCs w:val="24"/>
              </w:rPr>
              <w:tab/>
              <w:t>1</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n7ye9s8nid1z">
            <w:r>
              <w:rPr>
                <w:rFonts w:ascii="Times New Roman" w:eastAsia="Times New Roman" w:hAnsi="Times New Roman" w:cs="Times New Roman"/>
                <w:b/>
                <w:bCs/>
                <w:color w:val="000000"/>
                <w:sz w:val="24"/>
                <w:szCs w:val="24"/>
              </w:rPr>
              <w:t>1. Introduction</w:t>
            </w:r>
          </w:hyperlink>
          <w:hyperlink w:anchor="_heading=h.n7ye9s8nid1z">
            <w:r>
              <w:rPr>
                <w:rFonts w:ascii="Times New Roman" w:eastAsia="Times New Roman" w:hAnsi="Times New Roman" w:cs="Times New Roman"/>
                <w:color w:val="000000"/>
                <w:sz w:val="24"/>
                <w:szCs w:val="24"/>
              </w:rPr>
              <w:tab/>
              <w:t>3</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ni7sfram4u2h">
            <w:r>
              <w:rPr>
                <w:rFonts w:ascii="Times New Roman" w:eastAsia="Times New Roman" w:hAnsi="Times New Roman" w:cs="Times New Roman"/>
                <w:b/>
                <w:bCs/>
                <w:color w:val="000000"/>
                <w:sz w:val="24"/>
                <w:szCs w:val="24"/>
              </w:rPr>
              <w:t>2. Task A: Socialisation, Identity and Business Activism</w:t>
            </w:r>
          </w:hyperlink>
          <w:hyperlink w:anchor="_heading=h.ni7sfram4u2h">
            <w:r>
              <w:rPr>
                <w:rFonts w:ascii="Times New Roman" w:eastAsia="Times New Roman" w:hAnsi="Times New Roman" w:cs="Times New Roman"/>
                <w:color w:val="000000"/>
                <w:sz w:val="24"/>
                <w:szCs w:val="24"/>
              </w:rPr>
              <w:tab/>
              <w:t>3</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3xgl03mw5sg3">
            <w:r>
              <w:rPr>
                <w:rFonts w:ascii="Times New Roman" w:eastAsia="Times New Roman" w:hAnsi="Times New Roman" w:cs="Times New Roman"/>
                <w:b/>
                <w:bCs/>
                <w:color w:val="000000"/>
                <w:sz w:val="24"/>
                <w:szCs w:val="24"/>
              </w:rPr>
              <w:t>2.1 Traditional Onboarding vs Strategic Organisational Socialisation</w:t>
            </w:r>
          </w:hyperlink>
          <w:hyperlink w:anchor="_heading=h.3xgl03mw5sg3">
            <w:r>
              <w:rPr>
                <w:rFonts w:ascii="Times New Roman" w:eastAsia="Times New Roman" w:hAnsi="Times New Roman" w:cs="Times New Roman"/>
                <w:color w:val="000000"/>
                <w:sz w:val="24"/>
                <w:szCs w:val="24"/>
              </w:rPr>
              <w:tab/>
              <w:t>3</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iwn4l3cdns9m">
            <w:r>
              <w:rPr>
                <w:rFonts w:ascii="Times New Roman" w:eastAsia="Times New Roman" w:hAnsi="Times New Roman" w:cs="Times New Roman"/>
                <w:b/>
                <w:bCs/>
                <w:color w:val="000000"/>
                <w:sz w:val="24"/>
                <w:szCs w:val="24"/>
              </w:rPr>
              <w:t>2.2 Proposed Socialisation Framework for HUM</w:t>
            </w:r>
          </w:hyperlink>
          <w:hyperlink w:anchor="_heading=h.iwn4l3cdns9m">
            <w:r>
              <w:rPr>
                <w:rFonts w:ascii="Times New Roman" w:eastAsia="Times New Roman" w:hAnsi="Times New Roman" w:cs="Times New Roman"/>
                <w:color w:val="000000"/>
                <w:sz w:val="24"/>
                <w:szCs w:val="24"/>
              </w:rPr>
              <w:tab/>
              <w:t>4</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1508bpr5fj00">
            <w:r>
              <w:rPr>
                <w:rFonts w:ascii="Times New Roman" w:eastAsia="Times New Roman" w:hAnsi="Times New Roman" w:cs="Times New Roman"/>
                <w:b/>
                <w:bCs/>
                <w:color w:val="000000"/>
                <w:sz w:val="24"/>
                <w:szCs w:val="24"/>
              </w:rPr>
              <w:t>2.3 Building Organisational Identification</w:t>
            </w:r>
          </w:hyperlink>
          <w:hyperlink w:anchor="_heading=h.1508bpr5fj00">
            <w:r>
              <w:rPr>
                <w:rFonts w:ascii="Times New Roman" w:eastAsia="Times New Roman" w:hAnsi="Times New Roman" w:cs="Times New Roman"/>
                <w:color w:val="000000"/>
                <w:sz w:val="24"/>
                <w:szCs w:val="24"/>
              </w:rPr>
              <w:tab/>
              <w:t>5</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l3uyof9mn5ws">
            <w:r>
              <w:rPr>
                <w:rFonts w:ascii="Times New Roman" w:eastAsia="Times New Roman" w:hAnsi="Times New Roman" w:cs="Times New Roman"/>
                <w:b/>
                <w:bCs/>
                <w:color w:val="000000"/>
                <w:sz w:val="24"/>
                <w:szCs w:val="24"/>
              </w:rPr>
              <w:t>2.4 Promoting Ethical Professionalism</w:t>
            </w:r>
          </w:hyperlink>
          <w:hyperlink w:anchor="_heading=h.l3uyof9mn5ws">
            <w:r>
              <w:rPr>
                <w:rFonts w:ascii="Times New Roman" w:eastAsia="Times New Roman" w:hAnsi="Times New Roman" w:cs="Times New Roman"/>
                <w:color w:val="000000"/>
                <w:sz w:val="24"/>
                <w:szCs w:val="24"/>
              </w:rPr>
              <w:tab/>
              <w:t>5</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6t4nx23y68m0">
            <w:r>
              <w:rPr>
                <w:rFonts w:ascii="Times New Roman" w:eastAsia="Times New Roman" w:hAnsi="Times New Roman" w:cs="Times New Roman"/>
                <w:b/>
                <w:bCs/>
                <w:color w:val="000000"/>
                <w:sz w:val="24"/>
                <w:szCs w:val="24"/>
              </w:rPr>
              <w:t>2.5 Developing the Business Activist Mindset</w:t>
            </w:r>
          </w:hyperlink>
          <w:hyperlink w:anchor="_heading=h.6t4nx23y68m0">
            <w:r>
              <w:rPr>
                <w:rFonts w:ascii="Times New Roman" w:eastAsia="Times New Roman" w:hAnsi="Times New Roman" w:cs="Times New Roman"/>
                <w:color w:val="000000"/>
                <w:sz w:val="24"/>
                <w:szCs w:val="24"/>
              </w:rPr>
              <w:tab/>
              <w:t>6</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fgopbf22rraz">
            <w:r>
              <w:rPr>
                <w:rFonts w:ascii="Times New Roman" w:eastAsia="Times New Roman" w:hAnsi="Times New Roman" w:cs="Times New Roman"/>
                <w:b/>
                <w:bCs/>
                <w:color w:val="000000"/>
                <w:sz w:val="24"/>
                <w:szCs w:val="24"/>
              </w:rPr>
              <w:t>3. Task B: Innovative Job Design Strategy</w:t>
            </w:r>
          </w:hyperlink>
          <w:hyperlink w:anchor="_heading=h.fgopbf22rraz">
            <w:r>
              <w:rPr>
                <w:rFonts w:ascii="Times New Roman" w:eastAsia="Times New Roman" w:hAnsi="Times New Roman" w:cs="Times New Roman"/>
                <w:color w:val="000000"/>
                <w:sz w:val="24"/>
                <w:szCs w:val="24"/>
              </w:rPr>
              <w:tab/>
              <w:t>6</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ne946y8xsydv">
            <w:r>
              <w:rPr>
                <w:rFonts w:ascii="Times New Roman" w:eastAsia="Times New Roman" w:hAnsi="Times New Roman" w:cs="Times New Roman"/>
                <w:b/>
                <w:bCs/>
                <w:color w:val="000000"/>
                <w:sz w:val="24"/>
                <w:szCs w:val="24"/>
              </w:rPr>
              <w:t>3.1 Introduction to Job Design</w:t>
            </w:r>
          </w:hyperlink>
          <w:hyperlink w:anchor="_heading=h.ne946y8xsydv">
            <w:r>
              <w:rPr>
                <w:rFonts w:ascii="Times New Roman" w:eastAsia="Times New Roman" w:hAnsi="Times New Roman" w:cs="Times New Roman"/>
                <w:color w:val="000000"/>
                <w:sz w:val="24"/>
                <w:szCs w:val="24"/>
              </w:rPr>
              <w:tab/>
              <w:t>6</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6gnpa28lsqy0">
            <w:r>
              <w:rPr>
                <w:rFonts w:ascii="Times New Roman" w:eastAsia="Times New Roman" w:hAnsi="Times New Roman" w:cs="Times New Roman"/>
                <w:b/>
                <w:bCs/>
                <w:color w:val="000000"/>
                <w:sz w:val="24"/>
                <w:szCs w:val="24"/>
              </w:rPr>
              <w:t>3.2 Application of Job Characteristics Model (JCM)</w:t>
            </w:r>
          </w:hyperlink>
          <w:hyperlink w:anchor="_heading=h.6gnpa28lsqy0">
            <w:r>
              <w:rPr>
                <w:rFonts w:ascii="Times New Roman" w:eastAsia="Times New Roman" w:hAnsi="Times New Roman" w:cs="Times New Roman"/>
                <w:color w:val="000000"/>
                <w:sz w:val="24"/>
                <w:szCs w:val="24"/>
              </w:rPr>
              <w:tab/>
              <w:t>7</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rfzal4hrj5ir">
            <w:r>
              <w:rPr>
                <w:rFonts w:ascii="Times New Roman" w:eastAsia="Times New Roman" w:hAnsi="Times New Roman" w:cs="Times New Roman"/>
                <w:b/>
                <w:bCs/>
                <w:color w:val="000000"/>
                <w:sz w:val="24"/>
                <w:szCs w:val="24"/>
              </w:rPr>
              <w:t>3.3 Job Crafting Theory</w:t>
            </w:r>
          </w:hyperlink>
          <w:hyperlink w:anchor="_heading=h.rfzal4hrj5ir">
            <w:r>
              <w:rPr>
                <w:rFonts w:ascii="Times New Roman" w:eastAsia="Times New Roman" w:hAnsi="Times New Roman" w:cs="Times New Roman"/>
                <w:color w:val="000000"/>
                <w:sz w:val="24"/>
                <w:szCs w:val="24"/>
              </w:rPr>
              <w:tab/>
              <w:t>7</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ojxp4mcpzh6x">
            <w:r>
              <w:rPr>
                <w:rFonts w:ascii="Times New Roman" w:eastAsia="Times New Roman" w:hAnsi="Times New Roman" w:cs="Times New Roman"/>
                <w:b/>
                <w:bCs/>
                <w:color w:val="000000"/>
                <w:sz w:val="24"/>
                <w:szCs w:val="24"/>
              </w:rPr>
              <w:t>3.4 Skills-Based Architecture and Internal Talent Marketplace</w:t>
            </w:r>
          </w:hyperlink>
          <w:hyperlink w:anchor="_heading=h.ojxp4mcpzh6x">
            <w:r>
              <w:rPr>
                <w:rFonts w:ascii="Times New Roman" w:eastAsia="Times New Roman" w:hAnsi="Times New Roman" w:cs="Times New Roman"/>
                <w:color w:val="000000"/>
                <w:sz w:val="24"/>
                <w:szCs w:val="24"/>
              </w:rPr>
              <w:tab/>
              <w:t>8</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gxy8ia8mmr0l">
            <w:r>
              <w:rPr>
                <w:rFonts w:ascii="Times New Roman" w:eastAsia="Times New Roman" w:hAnsi="Times New Roman" w:cs="Times New Roman"/>
                <w:b/>
                <w:bCs/>
                <w:color w:val="000000"/>
                <w:sz w:val="24"/>
                <w:szCs w:val="24"/>
              </w:rPr>
              <w:t>3.5 How the Proposed Design Enhances Motivation</w:t>
            </w:r>
          </w:hyperlink>
          <w:hyperlink w:anchor="_heading=h.gxy8ia8mmr0l">
            <w:r>
              <w:rPr>
                <w:rFonts w:ascii="Times New Roman" w:eastAsia="Times New Roman" w:hAnsi="Times New Roman" w:cs="Times New Roman"/>
                <w:color w:val="000000"/>
                <w:sz w:val="24"/>
                <w:szCs w:val="24"/>
              </w:rPr>
              <w:tab/>
              <w:t>9</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4shveii6mned">
            <w:r>
              <w:rPr>
                <w:rFonts w:ascii="Times New Roman" w:eastAsia="Times New Roman" w:hAnsi="Times New Roman" w:cs="Times New Roman"/>
                <w:b/>
                <w:bCs/>
                <w:color w:val="000000"/>
                <w:sz w:val="24"/>
                <w:szCs w:val="24"/>
              </w:rPr>
              <w:t>3.6 Critical Evaluation and Justification</w:t>
            </w:r>
          </w:hyperlink>
          <w:hyperlink w:anchor="_heading=h.4shveii6mned">
            <w:r>
              <w:rPr>
                <w:rFonts w:ascii="Times New Roman" w:eastAsia="Times New Roman" w:hAnsi="Times New Roman" w:cs="Times New Roman"/>
                <w:color w:val="000000"/>
                <w:sz w:val="24"/>
                <w:szCs w:val="24"/>
              </w:rPr>
              <w:tab/>
              <w:t>9</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3i75cdogeeoj">
            <w:r>
              <w:rPr>
                <w:rFonts w:ascii="Times New Roman" w:eastAsia="Times New Roman" w:hAnsi="Times New Roman" w:cs="Times New Roman"/>
                <w:b/>
                <w:bCs/>
                <w:color w:val="000000"/>
                <w:sz w:val="24"/>
                <w:szCs w:val="24"/>
              </w:rPr>
              <w:t>4. Task C: Reflective Report</w:t>
            </w:r>
          </w:hyperlink>
          <w:hyperlink w:anchor="_heading=h.3i75cdogeeoj">
            <w:r>
              <w:rPr>
                <w:rFonts w:ascii="Times New Roman" w:eastAsia="Times New Roman" w:hAnsi="Times New Roman" w:cs="Times New Roman"/>
                <w:color w:val="000000"/>
                <w:sz w:val="24"/>
                <w:szCs w:val="24"/>
              </w:rPr>
              <w:tab/>
              <w:t>9</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2sahdk1qg1x7">
            <w:r>
              <w:rPr>
                <w:rFonts w:ascii="Times New Roman" w:eastAsia="Times New Roman" w:hAnsi="Times New Roman" w:cs="Times New Roman"/>
                <w:b/>
                <w:bCs/>
                <w:color w:val="000000"/>
                <w:sz w:val="24"/>
                <w:szCs w:val="24"/>
              </w:rPr>
              <w:t>4.1 Using AI as a Decision-Support Tool</w:t>
            </w:r>
          </w:hyperlink>
          <w:hyperlink w:anchor="_heading=h.2sahdk1qg1x7">
            <w:r>
              <w:rPr>
                <w:rFonts w:ascii="Times New Roman" w:eastAsia="Times New Roman" w:hAnsi="Times New Roman" w:cs="Times New Roman"/>
                <w:color w:val="000000"/>
                <w:sz w:val="24"/>
                <w:szCs w:val="24"/>
              </w:rPr>
              <w:tab/>
              <w:t>9</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a2zj1uwthwp">
            <w:r>
              <w:rPr>
                <w:rFonts w:ascii="Times New Roman" w:eastAsia="Times New Roman" w:hAnsi="Times New Roman" w:cs="Times New Roman"/>
                <w:b/>
                <w:bCs/>
                <w:color w:val="000000"/>
                <w:sz w:val="24"/>
                <w:szCs w:val="24"/>
              </w:rPr>
              <w:t>4.2 Personal Capability Development Plan</w:t>
            </w:r>
          </w:hyperlink>
          <w:hyperlink w:anchor="_heading=h.a2zj1uwthwp">
            <w:r>
              <w:rPr>
                <w:rFonts w:ascii="Times New Roman" w:eastAsia="Times New Roman" w:hAnsi="Times New Roman" w:cs="Times New Roman"/>
                <w:color w:val="000000"/>
                <w:sz w:val="24"/>
                <w:szCs w:val="24"/>
              </w:rPr>
              <w:tab/>
              <w:t>9</w:t>
            </w:r>
          </w:hyperlink>
        </w:p>
        <w:p w:rsidR="001A4943" w:rsidRDefault="001A4943" w:rsidP="001A49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cmb6uros9hfb">
            <w:r>
              <w:rPr>
                <w:rFonts w:ascii="Times New Roman" w:eastAsia="Times New Roman" w:hAnsi="Times New Roman" w:cs="Times New Roman"/>
                <w:b/>
                <w:bCs/>
                <w:color w:val="000000"/>
                <w:sz w:val="24"/>
                <w:szCs w:val="24"/>
              </w:rPr>
              <w:t>4.3 Personal Reflection and Future Career Goals</w:t>
            </w:r>
          </w:hyperlink>
          <w:hyperlink w:anchor="_heading=h.cmb6uros9hfb">
            <w:r>
              <w:rPr>
                <w:rFonts w:ascii="Times New Roman" w:eastAsia="Times New Roman" w:hAnsi="Times New Roman" w:cs="Times New Roman"/>
                <w:color w:val="000000"/>
                <w:sz w:val="24"/>
                <w:szCs w:val="24"/>
              </w:rPr>
              <w:tab/>
              <w:t>10</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2rnv4yti652i">
            <w:r>
              <w:rPr>
                <w:rFonts w:ascii="Times New Roman" w:eastAsia="Times New Roman" w:hAnsi="Times New Roman" w:cs="Times New Roman"/>
                <w:b/>
                <w:bCs/>
                <w:color w:val="000000"/>
                <w:sz w:val="24"/>
                <w:szCs w:val="24"/>
              </w:rPr>
              <w:t>5. Conclusion</w:t>
            </w:r>
          </w:hyperlink>
          <w:hyperlink w:anchor="_heading=h.2rnv4yti652i">
            <w:r>
              <w:rPr>
                <w:rFonts w:ascii="Times New Roman" w:eastAsia="Times New Roman" w:hAnsi="Times New Roman" w:cs="Times New Roman"/>
                <w:color w:val="000000"/>
                <w:sz w:val="24"/>
                <w:szCs w:val="24"/>
              </w:rPr>
              <w:tab/>
              <w:t>10</w:t>
            </w:r>
          </w:hyperlink>
        </w:p>
        <w:p w:rsidR="001A4943" w:rsidRDefault="001A4943" w:rsidP="001A494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n2yodoz1ayh0">
            <w:r>
              <w:rPr>
                <w:rFonts w:ascii="Times New Roman" w:eastAsia="Times New Roman" w:hAnsi="Times New Roman" w:cs="Times New Roman"/>
                <w:b/>
                <w:bCs/>
                <w:color w:val="000000"/>
                <w:sz w:val="24"/>
                <w:szCs w:val="24"/>
              </w:rPr>
              <w:t>References</w:t>
            </w:r>
          </w:hyperlink>
          <w:hyperlink w:anchor="_heading=h.n2yodoz1ayh0">
            <w:r>
              <w:rPr>
                <w:rFonts w:ascii="Times New Roman" w:eastAsia="Times New Roman" w:hAnsi="Times New Roman" w:cs="Times New Roman"/>
                <w:color w:val="000000"/>
                <w:sz w:val="24"/>
                <w:szCs w:val="24"/>
              </w:rPr>
              <w:tab/>
              <w:t>10</w:t>
            </w:r>
          </w:hyperlink>
        </w:p>
        <w:p w:rsidR="001A4943" w:rsidRDefault="001A4943" w:rsidP="001A4943">
          <w:pPr>
            <w:spacing w:line="360" w:lineRule="auto"/>
            <w:rPr>
              <w:rFonts w:ascii="Times New Roman" w:eastAsia="Times New Roman" w:hAnsi="Times New Roman" w:cs="Times New Roman"/>
              <w:sz w:val="24"/>
              <w:szCs w:val="24"/>
            </w:rPr>
          </w:pPr>
          <w:r>
            <w:fldChar w:fldCharType="end"/>
          </w:r>
        </w:p>
      </w:sdtContent>
    </w:sdt>
    <w:p w:rsidR="001A4943" w:rsidRDefault="001A4943" w:rsidP="001A4943">
      <w:pPr>
        <w:spacing w:line="360" w:lineRule="auto"/>
        <w:rPr>
          <w:rFonts w:ascii="Times New Roman" w:eastAsia="Times New Roman" w:hAnsi="Times New Roman" w:cs="Times New Roman"/>
          <w:b/>
          <w:bCs/>
          <w:sz w:val="24"/>
          <w:szCs w:val="24"/>
        </w:rPr>
      </w:pPr>
      <w:r>
        <w:br w:type="page"/>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2" w:name="_heading=h.n7ye9s8nid1z" w:colFirst="0" w:colLast="0"/>
      <w:bookmarkEnd w:id="2"/>
      <w:r>
        <w:rPr>
          <w:rFonts w:ascii="Times New Roman" w:eastAsia="Times New Roman" w:hAnsi="Times New Roman" w:cs="Times New Roman"/>
          <w:b/>
          <w:bCs/>
          <w:sz w:val="24"/>
          <w:szCs w:val="24"/>
        </w:rPr>
        <w:lastRenderedPageBreak/>
        <w:t>1. Introduction</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Helios Urban Mobility (HUM) is a young smart mobility start-up with 450 employees in London, Berlin and Singapore with growth rates of several hundred per cent per year. It is responsible for the organization to develop AI system solutions for electric mobility and smart infrastructure analytics, to help city governments build sustainable and efficient urban mobility systems.</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HUM has encountered numerous human capital challenges after being in the throes of accelerated growth for five years, which will affect competitiveness and organizational performance. HUM has faced a number of human capital challenges after five years of rapid growth that will take a toll on competitiveness and organizational performance (AbouBakr and ElSerafi, 2023).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challenge is the lack of socialization in the organisation, and the hiring period needed to get a new hire up and running is an average of 8 months. The second problem is Damaged Employee engagement - recent survey statistics show that a mere 54% of employees are engaged. The final-related item is that many of the students with great potential leave the program, posing a threat to overall talent retention and leadership development. The purpose of this report is to create a strategic Human Capital's architecture for organization's renewal. Assesses socialization practices, identifies strategies to build employee engagement, and suggests solutions that will support engagement, retention and/or viable growth in the organization.</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3" w:name="_heading=h.ni7sfram4u2h" w:colFirst="0" w:colLast="0"/>
      <w:bookmarkEnd w:id="3"/>
      <w:r>
        <w:rPr>
          <w:rFonts w:ascii="Times New Roman" w:eastAsia="Times New Roman" w:hAnsi="Times New Roman" w:cs="Times New Roman"/>
          <w:b/>
          <w:bCs/>
          <w:sz w:val="24"/>
          <w:szCs w:val="24"/>
        </w:rPr>
        <w:t>2. Task A: Socialisation, Identity and Business Activism</w:t>
      </w:r>
    </w:p>
    <w:p w:rsidR="001A4943" w:rsidRDefault="001A4943" w:rsidP="001A4943">
      <w:pPr>
        <w:pStyle w:val="Heading2"/>
        <w:keepNext w:val="0"/>
        <w:keepLines w:val="0"/>
        <w:spacing w:before="480" w:line="360" w:lineRule="auto"/>
        <w:jc w:val="both"/>
        <w:rPr>
          <w:rFonts w:ascii="Times New Roman" w:eastAsia="Times New Roman" w:hAnsi="Times New Roman" w:cs="Times New Roman"/>
          <w:b/>
          <w:bCs/>
          <w:sz w:val="24"/>
          <w:szCs w:val="24"/>
        </w:rPr>
      </w:pPr>
      <w:bookmarkStart w:id="4" w:name="_heading=h.3xgl03mw5sg3" w:colFirst="0" w:colLast="0"/>
      <w:bookmarkEnd w:id="4"/>
      <w:r>
        <w:rPr>
          <w:rFonts w:ascii="Times New Roman" w:eastAsia="Times New Roman" w:hAnsi="Times New Roman" w:cs="Times New Roman"/>
          <w:b/>
          <w:bCs/>
          <w:sz w:val="24"/>
          <w:szCs w:val="24"/>
        </w:rPr>
        <w:t>2.1 Traditional Onboarding vs Strategic Organisational Socialisation</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job-related orientation, introducing and making a new employee familiar with the rules and regulations of the organization, responsibilities of their role and expectations in the workplace, is called onboarding. While this approach ensures adherence, increases administrative efficiency, and to a certain degree, ensures some level of operational integration, it tends to focus on the short-term commitment of employees (Tang and Figliola, 2025). This can result in knowledge of tasks and lack of organisational attachment among employees. But </w:t>
      </w:r>
      <w:r>
        <w:rPr>
          <w:rFonts w:ascii="Times New Roman" w:eastAsia="Times New Roman" w:hAnsi="Times New Roman" w:cs="Times New Roman"/>
          <w:sz w:val="24"/>
          <w:szCs w:val="24"/>
        </w:rPr>
        <w:lastRenderedPageBreak/>
        <w:t xml:space="preserve">strategic organisational socialisation is ongoing, influencing the state of the attitudes, behaviours and identities of employees in an organisation.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Maanen and Schein have an interesting theory about socialisation based on two components: Structured experiences to help adapt to a new situation and cultural integration. The theory of Psychological Contract reflects that by aligning employee's psychological expectations with organisational commitment, trust and retention can be achieved.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identity construction theory also emphasizes how employees interact in meaningful ways leading to an experience of belonging that is based on some values shared with the organization. Strategic organisational socialisation is more appropriate for Helios Urban Mobility as it targets the engagement and retention issues (Selamet, 2025). </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7730300" wp14:editId="72470C2F">
            <wp:extent cx="3376613" cy="1525646"/>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376613" cy="1525646"/>
                    </a:xfrm>
                    <a:prstGeom prst="rect">
                      <a:avLst/>
                    </a:prstGeom>
                    <a:ln/>
                  </pic:spPr>
                </pic:pic>
              </a:graphicData>
            </a:graphic>
          </wp:inline>
        </w:drawing>
      </w:r>
    </w:p>
    <w:p w:rsidR="001A4943" w:rsidRDefault="001A4943" w:rsidP="001A49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Employee onboarding process mentoring socialisation workplace</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Selamet, 2025)</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5" w:name="_heading=h.iwn4l3cdns9m" w:colFirst="0" w:colLast="0"/>
      <w:bookmarkEnd w:id="5"/>
      <w:r>
        <w:rPr>
          <w:rFonts w:ascii="Times New Roman" w:eastAsia="Times New Roman" w:hAnsi="Times New Roman" w:cs="Times New Roman"/>
          <w:b/>
          <w:bCs/>
          <w:sz w:val="24"/>
          <w:szCs w:val="24"/>
        </w:rPr>
        <w:t>2.2 Proposed Socialisation Framework for HUM</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sharing a framework of socialisation opportunities, Helios Urban Mobility can help to lower ramp-up periods, increase engagement and increase employee commitment. This should begin at the pre-boarding level and should be done via a digital introduction for the individual to the organisation including the values, aims of the organisation and how things are expected to run within the workplace. All new employees, however, should be brought on board by a mentor who can help to create early relationships (Sethu, 2025).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initial induction there should be a series of structured induction events and action learning exercises, incorporating technical training and some activities to start to integrate into the team within the first 90 days. In fact, regular feedback sessions with managers and mentors should </w:t>
      </w:r>
      <w:r>
        <w:rPr>
          <w:rFonts w:ascii="Times New Roman" w:eastAsia="Times New Roman" w:hAnsi="Times New Roman" w:cs="Times New Roman"/>
          <w:sz w:val="24"/>
          <w:szCs w:val="24"/>
        </w:rPr>
        <w:lastRenderedPageBreak/>
        <w:t xml:space="preserve">be carried out to identify concerns and problems, monitor achievements and establish the expectations of management.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are exercises that can help to encourage learning and increase confidence. Staff should have career planning meetings along with leadership exposure and other professional development programs in their first year. These can help to clarify to employee’s opportunities for career growth and settle up future stability and match (Zawieska et al., 2025). This will favour socialisation and psychological contract theories since the socialisation that can be stimulated through the framework, which puts emphasis on cultural integration, trust and organisational identification could be adopted.</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2AAB6A93" wp14:editId="0D245ADA">
            <wp:extent cx="3005138" cy="1692262"/>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3005138" cy="1692262"/>
                    </a:xfrm>
                    <a:prstGeom prst="rect">
                      <a:avLst/>
                    </a:prstGeom>
                    <a:ln/>
                  </pic:spPr>
                </pic:pic>
              </a:graphicData>
            </a:graphic>
          </wp:inline>
        </w:drawing>
      </w:r>
    </w:p>
    <w:p w:rsidR="001A4943" w:rsidRDefault="001A4943" w:rsidP="001A49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Employee journey preboarding onboarding mentoring first 90 days </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Zawieska et al., 2025)</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6" w:name="_heading=h.1508bpr5fj00" w:colFirst="0" w:colLast="0"/>
      <w:bookmarkEnd w:id="6"/>
      <w:r>
        <w:rPr>
          <w:rFonts w:ascii="Times New Roman" w:eastAsia="Times New Roman" w:hAnsi="Times New Roman" w:cs="Times New Roman"/>
          <w:b/>
          <w:bCs/>
          <w:sz w:val="24"/>
          <w:szCs w:val="24"/>
        </w:rPr>
        <w:t xml:space="preserve">2.3 Building Organisational Identification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identification is a sense of self, linked to an organisation. High identification leads to commitment, engagement and encouraging behaviours in job. Helios Urban Mobility's sense of belonging is very important to its retention efforts and the sense of belonging among employees will increase their level of loyalty. The first mechanism is reinforcing common values and organisation’s purpose (Cotter et al., 2026). Employee should be informed of their responsibilities in sustainable mobility in urban areas and in technological innovation. Having one knows what he is doing would make him proud and have a sense of purpose.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effectiveness of employee voice mechanisms needs to be reinforced, for example by engaging in surveys regularly and innovation forums and employee feedback systems. If they feel their views are valued, staff will feel part of the team and feel part of the organization's </w:t>
      </w:r>
      <w:r>
        <w:rPr>
          <w:rFonts w:ascii="Times New Roman" w:eastAsia="Times New Roman" w:hAnsi="Times New Roman" w:cs="Times New Roman"/>
          <w:sz w:val="24"/>
          <w:szCs w:val="24"/>
        </w:rPr>
        <w:lastRenderedPageBreak/>
        <w:t xml:space="preserve">objectives, and be part of the decision-making process. Furthermore, HUM needs to promote the integration of cross-cultural communication in their offices London, Berlin and Singapore. </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7" w:name="_heading=h.l3uyof9mn5ws" w:colFirst="0" w:colLast="0"/>
      <w:bookmarkEnd w:id="7"/>
      <w:r>
        <w:rPr>
          <w:rFonts w:ascii="Times New Roman" w:eastAsia="Times New Roman" w:hAnsi="Times New Roman" w:cs="Times New Roman"/>
          <w:b/>
          <w:bCs/>
          <w:sz w:val="24"/>
          <w:szCs w:val="24"/>
        </w:rPr>
        <w:t xml:space="preserve">2.4 Promoting Ethical Professionalism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world of technology-based industries where choices can have grave implications on different stakeholders and society at large, ethical professionalism is an important attribute to have. With AI solutions in the future, the need to promote ethical values of city-to-city mobility is ever greater.</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the era of city-to-city mobility, driven by AI, upholding high ethical standards becomes crucial for the sustainability and credibility of Helios Urban Mobility. The first one should be comprehensive ethics training programmes (Formolli et al., 2022). The responsible use and care of data, artificial intelligence, the environment and responsible innovation are expected values of ethics that employees have to be acquainted with.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 staff members to participate in periodic ethics sessions, where informed decisions can be made regarding an ethical issue. Secondly, this ethical leadership needs to be upheld in all aspects of the organization. Similarly, leaders must be role-models; decision makers who are transparent, honest and accountable. If leadership by example raises people's readiness to be ethical among each other, this boosts the opportunities they have to be ethical towards other people. Thirdly,</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HUM needs to set accountability measures in place, including ethics committees and confidential reporting line, along with codes of conduct (Ashoub, 2026). In the event that any employees encounter their ethical concerns with these systems they are provided assistance and guidance.</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8" w:name="_heading=h.6t4nx23y68m0" w:colFirst="0" w:colLast="0"/>
      <w:bookmarkEnd w:id="8"/>
      <w:r>
        <w:rPr>
          <w:rFonts w:ascii="Times New Roman" w:eastAsia="Times New Roman" w:hAnsi="Times New Roman" w:cs="Times New Roman"/>
          <w:b/>
          <w:bCs/>
          <w:sz w:val="24"/>
          <w:szCs w:val="24"/>
        </w:rPr>
        <w:t xml:space="preserve">2.5 Developing the Business Activist Mindset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activism arises as a principle urging the workforce and leadership groups to take up social problem solving and interaction with other groups (stakeholders) for the attainment of the goals of the company.</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Helios Urban Mobility can benefit a company's purpose and increase employee engagement by having this attitude. Moving HR Business Partner is a prime case example of how HR is </w:t>
      </w:r>
      <w:r>
        <w:rPr>
          <w:rFonts w:ascii="Times New Roman" w:eastAsia="Times New Roman" w:hAnsi="Times New Roman" w:cs="Times New Roman"/>
          <w:sz w:val="24"/>
          <w:szCs w:val="24"/>
        </w:rPr>
        <w:lastRenderedPageBreak/>
        <w:t xml:space="preserve">moving from being a tactical force to a strategic one in the organisation that, in turn, creates a larger Human impact in the social environment.HR Business Partnering is an illustration of the HR evolution towards a more strategic role within the organisation, thereby moving into broader Human roles influencing societal outcomes. This lens promotes employees' reflections on their broader and deeper impacts (Danfulani and Gülseven, 2024).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Similarly, the stakeholder capitalism perspective envisions the importance of enterprises putting more emphasis on the value of their employees, customers, and communities in addition to their shareholders and their government. Yet stakeholder-centred decision-making is of particular interest for HUM, which is hugely engaged in discussing a Sustainable Urban Mobility target. HUM should aim to promote an entrepreneurial attitude by encouraging employees to participate in projects, initiatives and initiatives related to sustainability, urban development and innovation that address urban mobility issues.</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possible to create cross-functional working teams to look for solutions that bring out business and social values (Volynets, 2025). They are intended to help the employees understand activities they perform and care about and make a real difference to a social good.</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9" w:name="_heading=h.fgopbf22rraz" w:colFirst="0" w:colLast="0"/>
      <w:bookmarkEnd w:id="9"/>
      <w:r>
        <w:rPr>
          <w:rFonts w:ascii="Times New Roman" w:eastAsia="Times New Roman" w:hAnsi="Times New Roman" w:cs="Times New Roman"/>
          <w:b/>
          <w:bCs/>
          <w:sz w:val="24"/>
          <w:szCs w:val="24"/>
        </w:rPr>
        <w:t>3. Task B: Innovative Job Design Strategy</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0" w:name="_heading=h.ne946y8xsydv" w:colFirst="0" w:colLast="0"/>
      <w:bookmarkEnd w:id="10"/>
      <w:r>
        <w:rPr>
          <w:rFonts w:ascii="Times New Roman" w:eastAsia="Times New Roman" w:hAnsi="Times New Roman" w:cs="Times New Roman"/>
          <w:b/>
          <w:bCs/>
          <w:sz w:val="24"/>
          <w:szCs w:val="24"/>
        </w:rPr>
        <w:t>3.1 Introduction to Job Design</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Designing a job is of paramount importance in enhancing employee effort, commitment and retention. Good work design that fits "human" needs into need of organisation designed to give meaning, motivation and flexibility of working life. Helios Urban Mobility has a challenge with low engagement and high graduate attrition: they need a strategic tool to help them solve this problem. This section proposes an innovative Job Design theory applying the Job Characteristics Model and Job Crafting Theory, to a skills-based architecture, complemented by an internal employee talent marketplace and further suggest that the application of such Job Design approaches can positively impact employee motivation, innovation and long-term organisational commitment.</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1" w:name="_heading=h.6gnpa28lsqy0" w:colFirst="0" w:colLast="0"/>
      <w:bookmarkEnd w:id="11"/>
      <w:r>
        <w:rPr>
          <w:rFonts w:ascii="Times New Roman" w:eastAsia="Times New Roman" w:hAnsi="Times New Roman" w:cs="Times New Roman"/>
          <w:b/>
          <w:bCs/>
          <w:sz w:val="24"/>
          <w:szCs w:val="24"/>
        </w:rPr>
        <w:t>3.2 Application of Job Characteristics Model (JCM)</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Theory from Hackman and Oldham's Job Characteristics Model indicates that there are five important factors of a job that lead to higher motivation and performance. A way of increasing skill variety is to give an employee the opportunity to be involved in projects with different disciplines like technology, analytics, sustainability projects. There is a need for employees to have the control of projects from the development stage to implementation stage to enhance task identity (Bergmeier et al., 2025).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emphasize mobility solution's role in urban transport solution and the environmental aspect, this contribution can be presented. Also, autonomy needs to be given, creation of flexible working and a greater role for all employees in decision making. Regularly establish feedback mechanisms and carry out periodic performance assessments and direct project assessments to support and promote students' learning. </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2" w:name="_heading=h.rfzal4hrj5ir" w:colFirst="0" w:colLast="0"/>
      <w:bookmarkEnd w:id="12"/>
      <w:r>
        <w:rPr>
          <w:rFonts w:ascii="Times New Roman" w:eastAsia="Times New Roman" w:hAnsi="Times New Roman" w:cs="Times New Roman"/>
          <w:b/>
          <w:bCs/>
          <w:sz w:val="24"/>
          <w:szCs w:val="24"/>
        </w:rPr>
        <w:t>3.3 Job Crafting Theory</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important aspects of Job Crafting theory is the association between the individual employees and their job experiences—how they are shaping their experiences. Design tasks to encourage workers to select tasks that are suitable to their strengths and interests. Relational crafting is through working with colleagues from other practices throughout London, Berlin and Singapore. This can complement degrees of freedom available when sharing knowledge and integrating it in the organisation (Mastorakis, 2025).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cognitive crafting aims at giving a focus to employee's roles, in which they must identify their role in a broader organisational and social dynamics, such as the sustainable urban mobility and transport. HUM can develop a more flexible and employee-friendly environment by giving the employees the flexibility to adapt some aspects of their work. By demonstrating greater ownership of the job, increased satisfaction, and employee’s commitment, Job Crafting also provides opportunities to design experiences for employees to develop and innovate.</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46BE21AE" wp14:editId="071EEACE">
            <wp:extent cx="3395663" cy="226189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395663" cy="2261895"/>
                    </a:xfrm>
                    <a:prstGeom prst="rect">
                      <a:avLst/>
                    </a:prstGeom>
                    <a:ln/>
                  </pic:spPr>
                </pic:pic>
              </a:graphicData>
            </a:graphic>
          </wp:inline>
        </w:drawing>
      </w:r>
    </w:p>
    <w:p w:rsidR="001A4943" w:rsidRDefault="001A4943" w:rsidP="001A49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Job characteristics model</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Mastorakis, 2025)</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3" w:name="_heading=h.ojxp4mcpzh6x" w:colFirst="0" w:colLast="0"/>
      <w:bookmarkEnd w:id="13"/>
      <w:r>
        <w:rPr>
          <w:rFonts w:ascii="Times New Roman" w:eastAsia="Times New Roman" w:hAnsi="Times New Roman" w:cs="Times New Roman"/>
          <w:b/>
          <w:bCs/>
          <w:sz w:val="24"/>
          <w:szCs w:val="24"/>
        </w:rPr>
        <w:t>3.4 Skills-Based Architecture and Internal Talent Marketplace</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skills-based architecture is based around employee skills, not on traditional job titles. This enables organisations to utilise personnel in areas that are most required in the business and be more flexible with their staff's careers. </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 needs to create an atmosphere for the creation of an internal talent marketplace, in which employees have the option of joining to a short-term project or project development based on their abilities and interests, and can cross-utilize their skills in cross-functional assignments. With the help of Artificial Intelligence, it could make the match by comparing the skills of the employees and skills required in the various locations and departments (Lievevrouw and Voet, 2023).</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4822851A" wp14:editId="6F590CFC">
            <wp:extent cx="3052763" cy="159737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052763" cy="1597376"/>
                    </a:xfrm>
                    <a:prstGeom prst="rect">
                      <a:avLst/>
                    </a:prstGeom>
                    <a:ln/>
                  </pic:spPr>
                </pic:pic>
              </a:graphicData>
            </a:graphic>
          </wp:inline>
        </w:drawing>
      </w:r>
    </w:p>
    <w:p w:rsidR="001A4943" w:rsidRDefault="001A4943" w:rsidP="001A4943">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AI talent marketplace skills-based workforce digital HR analytics</w:t>
      </w:r>
    </w:p>
    <w:p w:rsidR="001A4943" w:rsidRDefault="001A4943" w:rsidP="001A4943">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Lievevrouw and Voet, 2023)</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4" w:name="_heading=h.gxy8ia8mmr0l" w:colFirst="0" w:colLast="0"/>
      <w:bookmarkEnd w:id="14"/>
      <w:r>
        <w:rPr>
          <w:rFonts w:ascii="Times New Roman" w:eastAsia="Times New Roman" w:hAnsi="Times New Roman" w:cs="Times New Roman"/>
          <w:b/>
          <w:bCs/>
          <w:sz w:val="24"/>
          <w:szCs w:val="24"/>
        </w:rPr>
        <w:t>3.5 How the Proposed Design Enhances Motivation</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recommended job design plan will increase the intrinsic motivational treatment by providing the employees with lots of relevance, independence, learning opportunities and additional job duties. They learn to value their self-esteem and sense of responsibility in several projects and decisions. It helps to increase the level of engagement within an organisation because employees feel they are on the same page as the organisation and feel an interest in its goal or objectives (Senise, 2023). Pivotal instrumenting of standards through a skills-based architecture also lends upward mobility and even commitment to a career down the road.</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various cross functional collaboration, sharing of ideas and different perspectives will also enhance innovation and creativity.</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5" w:name="_heading=h.4shveii6mned" w:colFirst="0" w:colLast="0"/>
      <w:bookmarkEnd w:id="15"/>
      <w:r>
        <w:rPr>
          <w:rFonts w:ascii="Times New Roman" w:eastAsia="Times New Roman" w:hAnsi="Times New Roman" w:cs="Times New Roman"/>
          <w:b/>
          <w:bCs/>
          <w:sz w:val="24"/>
          <w:szCs w:val="24"/>
        </w:rPr>
        <w:t>3.6 Critical Evaluation and Justification</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a number of benefits including increased participation, flexibility, improved retention of people, and increased innovation. The use of traditional theory together with current talent management methods can be useful for extracting solutions to personnel problems faced by HUM. But there may be a considerable start-up investment needed in technology, training and management support to implement it. Resistance to change may also come from employees and/or leaders. For successful implementation, therefore, the following factors are important – effective communication, leadership commitment and monitoring efforts. Whilst these are all negative, the positive outweighs the negatives and these are important in the ongoing sustainable organisation.</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16" w:name="_heading=h.3i75cdogeeoj" w:colFirst="0" w:colLast="0"/>
      <w:bookmarkEnd w:id="16"/>
      <w:r>
        <w:rPr>
          <w:rFonts w:ascii="Times New Roman" w:eastAsia="Times New Roman" w:hAnsi="Times New Roman" w:cs="Times New Roman"/>
          <w:b/>
          <w:bCs/>
          <w:sz w:val="24"/>
          <w:szCs w:val="24"/>
        </w:rPr>
        <w:t>4. Task C: Reflective Report</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7" w:name="_heading=h.2sahdk1qg1x7" w:colFirst="0" w:colLast="0"/>
      <w:bookmarkEnd w:id="17"/>
      <w:r>
        <w:rPr>
          <w:rFonts w:ascii="Times New Roman" w:eastAsia="Times New Roman" w:hAnsi="Times New Roman" w:cs="Times New Roman"/>
          <w:b/>
          <w:bCs/>
          <w:sz w:val="24"/>
          <w:szCs w:val="24"/>
        </w:rPr>
        <w:t>4.1 Using AI as a Decision-Support Tool</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has many advantages in HR, including better data analysis, aiding in recruitment decisions and workforce planning. On the other hand, AI has the potential to recognize trends, predict staffing needs, and streamline administrative processes. But there are also numerous risks to the use of AI, including algorithms that can be biased, ethical concerns, and the lack of human </w:t>
      </w:r>
      <w:r>
        <w:rPr>
          <w:rFonts w:ascii="Times New Roman" w:eastAsia="Times New Roman" w:hAnsi="Times New Roman" w:cs="Times New Roman"/>
          <w:sz w:val="24"/>
          <w:szCs w:val="24"/>
        </w:rPr>
        <w:lastRenderedPageBreak/>
        <w:t>judgment. Using automated systems could be a form of unintentional discrimination and it does not take into account context when deciding on action. I believe, and in my opinion, that AI is a Decision Support System, not a decision maker.</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8" w:name="_heading=h.a2zj1uwthwp" w:colFirst="0" w:colLast="0"/>
      <w:bookmarkEnd w:id="18"/>
      <w:r>
        <w:rPr>
          <w:rFonts w:ascii="Times New Roman" w:eastAsia="Times New Roman" w:hAnsi="Times New Roman" w:cs="Times New Roman"/>
          <w:b/>
          <w:bCs/>
          <w:sz w:val="24"/>
          <w:szCs w:val="24"/>
        </w:rPr>
        <w:t>4.2 Personal Capability Development Plan</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will develop a few important skills that will help me fit better into the next opportunities for employment. To make sure I have the right capacities in place to understand and see the workforce data and be able to support evidence-informed decision making, the first is that I need to be better at data literacy. Part 2 is focused on developing my understanding of HR practices - and how these can be enhanced through the development and use of emerging technologies. Thirdly, I will develop my strategic influencing competencies through leadership development and stakeholder engagement programmes.</w:t>
      </w:r>
    </w:p>
    <w:p w:rsidR="001A4943" w:rsidRDefault="001A4943" w:rsidP="001A4943">
      <w:pPr>
        <w:pStyle w:val="Heading2"/>
        <w:keepNext w:val="0"/>
        <w:keepLines w:val="0"/>
        <w:spacing w:after="80" w:line="360" w:lineRule="auto"/>
        <w:jc w:val="both"/>
        <w:rPr>
          <w:rFonts w:ascii="Times New Roman" w:eastAsia="Times New Roman" w:hAnsi="Times New Roman" w:cs="Times New Roman"/>
          <w:b/>
          <w:bCs/>
          <w:sz w:val="24"/>
          <w:szCs w:val="24"/>
        </w:rPr>
      </w:pPr>
      <w:bookmarkStart w:id="19" w:name="_heading=h.cmb6uros9hfb" w:colFirst="0" w:colLast="0"/>
      <w:bookmarkEnd w:id="19"/>
      <w:r>
        <w:rPr>
          <w:rFonts w:ascii="Times New Roman" w:eastAsia="Times New Roman" w:hAnsi="Times New Roman" w:cs="Times New Roman"/>
          <w:b/>
          <w:bCs/>
          <w:sz w:val="24"/>
          <w:szCs w:val="24"/>
        </w:rPr>
        <w:t>4.3 Personal Reflection and Future Career Goals</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assessment has identified HCPM as a critical need for organisations to resolve issues and achieve success. I am now much better informed about how socialisation and work design and technology can have an impact on employee engagement and retention. I've always dreamt of having a career in strategic HR where to help bring about the change in the organisation and make workforce changes in an organisation.</w:t>
      </w:r>
    </w:p>
    <w:p w:rsidR="001A4943" w:rsidRDefault="001A4943" w:rsidP="001A4943">
      <w:pPr>
        <w:pStyle w:val="Heading1"/>
        <w:keepNext w:val="0"/>
        <w:keepLines w:val="0"/>
        <w:spacing w:before="480" w:line="360" w:lineRule="auto"/>
        <w:jc w:val="both"/>
        <w:rPr>
          <w:rFonts w:ascii="Times New Roman" w:eastAsia="Times New Roman" w:hAnsi="Times New Roman" w:cs="Times New Roman"/>
          <w:b/>
          <w:bCs/>
          <w:sz w:val="24"/>
          <w:szCs w:val="24"/>
        </w:rPr>
      </w:pPr>
      <w:bookmarkStart w:id="20" w:name="_heading=h.2rnv4yti652i" w:colFirst="0" w:colLast="0"/>
      <w:bookmarkEnd w:id="20"/>
      <w:r>
        <w:rPr>
          <w:rFonts w:ascii="Times New Roman" w:eastAsia="Times New Roman" w:hAnsi="Times New Roman" w:cs="Times New Roman"/>
          <w:b/>
          <w:bCs/>
          <w:sz w:val="24"/>
          <w:szCs w:val="24"/>
        </w:rPr>
        <w:t>5. Conclusion</w:t>
      </w:r>
    </w:p>
    <w:p w:rsidR="001A4943" w:rsidRDefault="001A4943" w:rsidP="001A494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Urban Mobility's existing human capital structure must be comprehensive to encourage socialisation issues and minimize graduate drop-out and engagement rate. The report recommended the need for an organised socialisation process in an organisation, organisational identification process, professional ethics and business activism. In addition, it suggested an innovative model for job design, based on the Job Characteristics Model, job crafting and a skills-based talent marketplace, to improve worker motivation and retention. </w:t>
      </w:r>
    </w:p>
    <w:p w:rsidR="001A4943" w:rsidRDefault="001A4943" w:rsidP="001A4943">
      <w:pPr>
        <w:pStyle w:val="Heading1"/>
        <w:spacing w:before="240" w:after="240" w:line="360" w:lineRule="auto"/>
        <w:jc w:val="both"/>
        <w:rPr>
          <w:rFonts w:ascii="Times New Roman" w:eastAsia="Times New Roman" w:hAnsi="Times New Roman" w:cs="Times New Roman"/>
          <w:b/>
          <w:bCs/>
          <w:sz w:val="24"/>
          <w:szCs w:val="24"/>
        </w:rPr>
      </w:pPr>
      <w:bookmarkStart w:id="21" w:name="_heading=h.n2yodoz1ayh0" w:colFirst="0" w:colLast="0"/>
      <w:bookmarkEnd w:id="21"/>
      <w:r>
        <w:rPr>
          <w:rFonts w:ascii="Times New Roman" w:eastAsia="Times New Roman" w:hAnsi="Times New Roman" w:cs="Times New Roman"/>
          <w:b/>
          <w:bCs/>
          <w:sz w:val="24"/>
          <w:szCs w:val="24"/>
        </w:rPr>
        <w:t>References</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AbouBakr, D. and ElSerafi, T., 2023. City Growth Challenges as a Dilemma between Urban Mobility and Livability: A Case Study of Heliopolis. </w:t>
      </w:r>
      <w:r>
        <w:rPr>
          <w:rFonts w:ascii="Times New Roman" w:eastAsia="Times New Roman" w:hAnsi="Times New Roman" w:cs="Times New Roman"/>
          <w:i/>
          <w:iCs/>
          <w:color w:val="222222"/>
          <w:sz w:val="24"/>
          <w:szCs w:val="24"/>
          <w:highlight w:val="white"/>
        </w:rPr>
        <w:t>Civ. Eng. Archit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(4), pp.1795-1813.</w:t>
      </w:r>
      <w:r>
        <w:rPr>
          <w:rFonts w:ascii="Times New Roman" w:eastAsia="Times New Roman" w:hAnsi="Times New Roman" w:cs="Times New Roman"/>
          <w:sz w:val="24"/>
          <w:szCs w:val="24"/>
        </w:rPr>
        <w:t xml:space="preserve">  </w:t>
      </w:r>
      <w:hyperlink r:id="rId9">
        <w:r>
          <w:rPr>
            <w:rFonts w:ascii="Times New Roman" w:eastAsia="Times New Roman" w:hAnsi="Times New Roman" w:cs="Times New Roman"/>
            <w:color w:val="1155CC"/>
            <w:sz w:val="24"/>
            <w:szCs w:val="24"/>
            <w:u w:val="single"/>
          </w:rPr>
          <w:t>https://www.researchgate.net/profile/Tamer-</w:t>
        </w:r>
        <w:r>
          <w:rPr>
            <w:rFonts w:ascii="Times New Roman" w:eastAsia="Times New Roman" w:hAnsi="Times New Roman" w:cs="Times New Roman"/>
            <w:color w:val="1155CC"/>
            <w:sz w:val="24"/>
            <w:szCs w:val="24"/>
            <w:u w:val="single"/>
          </w:rPr>
          <w:lastRenderedPageBreak/>
          <w:t>Elserafi/publication/371979970_City_Growth_Challenges_as_a_Dilemma_between_Urban_Mobility_and_Livability_A_Case_Study_of_Heliopolis/links/64a3e0bc95bbbe0c6e0f12ce/City-Growth-Challenges-as-a-Dilemma-between-Urban-Mobility-and-Livability-A-Case-Study-of-Heliopolis.pdf?origin=journalDetail&amp;_tp=eyJwYWdlIjoiam91cm5hbERldGFpbCJ9</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Tang, K. and Figliola, A., 2025. Hierarchical Adaptive Renewal: Urban Cultural and Sports Public Facility Renewal Design Concept and Reflection Based on the Connectivity Effects of Rome.</w:t>
      </w:r>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color w:val="1155CC"/>
            <w:sz w:val="24"/>
            <w:szCs w:val="24"/>
            <w:u w:val="single"/>
          </w:rPr>
          <w:t>https://www.preprints.org/manuscript/202511.0261</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Selamet, J., 2025. On the Consideration of the Design Metaphor: Detouring to a More-than-Human-Centered Design Perspective. </w:t>
      </w:r>
      <w:r>
        <w:rPr>
          <w:rFonts w:ascii="Times New Roman" w:eastAsia="Times New Roman" w:hAnsi="Times New Roman" w:cs="Times New Roman"/>
          <w:i/>
          <w:iCs/>
          <w:color w:val="222222"/>
          <w:sz w:val="24"/>
          <w:szCs w:val="24"/>
          <w:highlight w:val="white"/>
        </w:rPr>
        <w:t>Available at SSRN 5180919</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1155CC"/>
            <w:sz w:val="24"/>
            <w:szCs w:val="24"/>
            <w:u w:val="single"/>
          </w:rPr>
          <w:t>https://papers.ssrn.com/sol3/papers.cfm?abstract_id=5180919</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Sethu, S.S., 2025. SCADA-Based EMS Simulation for Minimising Grid Export and Maximising PV Self-Consumption for the HelioS Energy Hub.</w:t>
      </w:r>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color w:val="1155CC"/>
            <w:sz w:val="24"/>
            <w:szCs w:val="24"/>
            <w:u w:val="single"/>
          </w:rPr>
          <w:t>https://www.diva-portal.org/smash/record.jsf?pid=diva2:1998551</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ZAWIESKA, J., LODI, C., CHEIMARIOTIS, I., PIAZZA, F., RATAJ, M., STEPNIAK, M., GROSSO, M. and MAROTTA, A., 2025. Research and innovation in Smart Mobility in Europe.</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1155CC"/>
            <w:sz w:val="24"/>
            <w:szCs w:val="24"/>
            <w:u w:val="single"/>
          </w:rPr>
          <w:t>https://publications.jrc.ec.europa.eu/repository/handle/JRC143360</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Cotter, T., Moreno, J.F., Peliska, J., Tilidetzke, J. and Van Dyk, A., 2026. Building the passage to success: West Pierce Street strategic plan.</w:t>
      </w:r>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1155CC"/>
            <w:sz w:val="24"/>
            <w:szCs w:val="24"/>
            <w:u w:val="single"/>
          </w:rPr>
          <w:t>https://minds.wisconsin.edu/bitstream/handle/1793/97016/132173.pdf?sequence=1</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Formolli, M., Croce, S., Vettorato, D., Paparella, R., Scognamiglio, A., Mainini, A.G. and Lobaccaro, G., 2022. Solar energy in urban planning: Lesson learned and recommendations from six Italian case studies. </w:t>
      </w:r>
      <w:r>
        <w:rPr>
          <w:rFonts w:ascii="Times New Roman" w:eastAsia="Times New Roman" w:hAnsi="Times New Roman" w:cs="Times New Roman"/>
          <w:i/>
          <w:iCs/>
          <w:color w:val="222222"/>
          <w:sz w:val="24"/>
          <w:szCs w:val="24"/>
          <w:highlight w:val="white"/>
        </w:rPr>
        <w:t>Applied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(6), p.2950.</w:t>
      </w:r>
      <w:r>
        <w:rPr>
          <w:rFonts w:ascii="Times New Roman" w:eastAsia="Times New Roman" w:hAnsi="Times New Roman" w:cs="Times New Roman"/>
          <w:sz w:val="24"/>
          <w:szCs w:val="24"/>
        </w:rPr>
        <w:t xml:space="preserve">  </w:t>
      </w:r>
      <w:hyperlink r:id="rId15">
        <w:r>
          <w:rPr>
            <w:rFonts w:ascii="Times New Roman" w:eastAsia="Times New Roman" w:hAnsi="Times New Roman" w:cs="Times New Roman"/>
            <w:color w:val="1155CC"/>
            <w:sz w:val="24"/>
            <w:szCs w:val="24"/>
            <w:u w:val="single"/>
          </w:rPr>
          <w:t>https://www.mdpi.com/2076-3417/12/6/2950</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Ashoub, S.H., 2026. Spatial and Political Agency in Urban Transformation: The Erosion of Cairo’s Middle-Class Neighbourhoods Post-2011 Revolution.</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1155CC"/>
            <w:sz w:val="24"/>
            <w:szCs w:val="24"/>
            <w:u w:val="single"/>
          </w:rPr>
          <w:t>https://depositonce.tu-berlin.de/bitstreams/d7950c6f-48b5-464d-b941-332792ae1d1c/download</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Danfulani, W.A. and Gülseven, E., 2024. Economic Community of West African States (ECOWAS) public–private partnership (PPP) strategy to development. </w:t>
      </w:r>
      <w:r>
        <w:rPr>
          <w:rFonts w:ascii="Times New Roman" w:eastAsia="Times New Roman" w:hAnsi="Times New Roman" w:cs="Times New Roman"/>
          <w:i/>
          <w:iCs/>
          <w:color w:val="222222"/>
          <w:sz w:val="24"/>
          <w:szCs w:val="24"/>
          <w:highlight w:val="white"/>
        </w:rPr>
        <w:t>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(10), p.531.</w:t>
      </w:r>
      <w:r>
        <w:rPr>
          <w:rFonts w:ascii="Times New Roman" w:eastAsia="Times New Roman" w:hAnsi="Times New Roman" w:cs="Times New Roman"/>
          <w:sz w:val="24"/>
          <w:szCs w:val="24"/>
        </w:rPr>
        <w:t xml:space="preserve">  </w:t>
      </w:r>
      <w:hyperlink r:id="rId17">
        <w:r>
          <w:rPr>
            <w:rFonts w:ascii="Times New Roman" w:eastAsia="Times New Roman" w:hAnsi="Times New Roman" w:cs="Times New Roman"/>
            <w:color w:val="1155CC"/>
            <w:sz w:val="24"/>
            <w:szCs w:val="24"/>
            <w:u w:val="single"/>
          </w:rPr>
          <w:t>https://www.mdpi.com/2076-0760/13/10/531</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Volynets, I., 2025. </w:t>
      </w:r>
      <w:r>
        <w:rPr>
          <w:rFonts w:ascii="Times New Roman" w:eastAsia="Times New Roman" w:hAnsi="Times New Roman" w:cs="Times New Roman"/>
          <w:i/>
          <w:iCs/>
          <w:color w:val="222222"/>
          <w:sz w:val="24"/>
          <w:szCs w:val="24"/>
          <w:highlight w:val="white"/>
        </w:rPr>
        <w:t>A Process-Based Landscape Approach to Landform Architecture</w:t>
      </w:r>
      <w:r>
        <w:rPr>
          <w:rFonts w:ascii="Times New Roman" w:eastAsia="Times New Roman" w:hAnsi="Times New Roman" w:cs="Times New Roman"/>
          <w:color w:val="222222"/>
          <w:sz w:val="24"/>
          <w:szCs w:val="24"/>
          <w:highlight w:val="white"/>
        </w:rPr>
        <w:t xml:space="preserve"> (Doctoral dissertation, University of Oregon).</w:t>
      </w:r>
      <w:r>
        <w:rPr>
          <w:rFonts w:ascii="Times New Roman" w:eastAsia="Times New Roman" w:hAnsi="Times New Roman" w:cs="Times New Roman"/>
          <w:sz w:val="24"/>
          <w:szCs w:val="24"/>
        </w:rPr>
        <w:t xml:space="preserve">  </w:t>
      </w:r>
      <w:hyperlink r:id="rId18">
        <w:r>
          <w:rPr>
            <w:rFonts w:ascii="Times New Roman" w:eastAsia="Times New Roman" w:hAnsi="Times New Roman" w:cs="Times New Roman"/>
            <w:color w:val="1155CC"/>
            <w:sz w:val="24"/>
            <w:szCs w:val="24"/>
            <w:u w:val="single"/>
          </w:rPr>
          <w:t>https://search.proquest.com/openview/cc4af94a0173465677091c130620a571/1?pq-origsite=gscholar&amp;cbl=18750&amp;diss=y</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Bergmeier, A., Ercan Kydonakis, A. and Ricci, A., 2025. Mapping Transformations in Central Anatolia: Interim Report of the Second Season of the Museum Survey Project in Akşehir/Philomelion (2024 season). </w:t>
      </w:r>
      <w:r>
        <w:rPr>
          <w:rFonts w:ascii="Times New Roman" w:eastAsia="Times New Roman" w:hAnsi="Times New Roman" w:cs="Times New Roman"/>
          <w:i/>
          <w:iCs/>
          <w:color w:val="222222"/>
          <w:sz w:val="24"/>
          <w:szCs w:val="24"/>
          <w:highlight w:val="white"/>
        </w:rPr>
        <w:t>Anatolia Antiqua. Revue internationale d'archéologie anatolienne</w:t>
      </w:r>
      <w:r>
        <w:rPr>
          <w:rFonts w:ascii="Times New Roman" w:eastAsia="Times New Roman" w:hAnsi="Times New Roman" w:cs="Times New Roman"/>
          <w:color w:val="222222"/>
          <w:sz w:val="24"/>
          <w:szCs w:val="24"/>
          <w:highlight w:val="white"/>
        </w:rPr>
        <w:t>, (XXXIII), pp.175-195.</w:t>
      </w:r>
      <w:r>
        <w:rPr>
          <w:rFonts w:ascii="Times New Roman" w:eastAsia="Times New Roman" w:hAnsi="Times New Roman" w:cs="Times New Roman"/>
          <w:sz w:val="24"/>
          <w:szCs w:val="24"/>
        </w:rPr>
        <w:t xml:space="preserve">  </w:t>
      </w:r>
      <w:hyperlink r:id="rId19">
        <w:r>
          <w:rPr>
            <w:rFonts w:ascii="Times New Roman" w:eastAsia="Times New Roman" w:hAnsi="Times New Roman" w:cs="Times New Roman"/>
            <w:color w:val="1155CC"/>
            <w:sz w:val="24"/>
            <w:szCs w:val="24"/>
            <w:u w:val="single"/>
          </w:rPr>
          <w:t>https://journals.openedition.org/anatoliaantiqua/5278</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Mastorakis, S.V., 2025. EU Member States' Space Programs. Fostering intra-European operational cooperation.</w:t>
      </w:r>
      <w:r>
        <w:rPr>
          <w:rFonts w:ascii="Times New Roman" w:eastAsia="Times New Roman" w:hAnsi="Times New Roman" w:cs="Times New Roman"/>
          <w:sz w:val="24"/>
          <w:szCs w:val="24"/>
        </w:rPr>
        <w:t xml:space="preserve">  </w:t>
      </w:r>
      <w:hyperlink r:id="rId20">
        <w:r>
          <w:rPr>
            <w:rFonts w:ascii="Times New Roman" w:eastAsia="Times New Roman" w:hAnsi="Times New Roman" w:cs="Times New Roman"/>
            <w:color w:val="1155CC"/>
            <w:sz w:val="24"/>
            <w:szCs w:val="24"/>
            <w:u w:val="single"/>
          </w:rPr>
          <w:t>https://pergamos.lib.uoa.gr/uoa/dl/object/5300124/file.pdf</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Lievevrouw, L. and Voet, C., 2023, July. A Drawn Story of Architectural Phenomena. Re-reading Flemish Architecture of the 1960s and 1970s Through an Architectonic Lens: Redrawing the Design Process of Westrand (1967). In </w:t>
      </w:r>
      <w:r>
        <w:rPr>
          <w:rFonts w:ascii="Times New Roman" w:eastAsia="Times New Roman" w:hAnsi="Times New Roman" w:cs="Times New Roman"/>
          <w:i/>
          <w:iCs/>
          <w:color w:val="222222"/>
          <w:sz w:val="24"/>
          <w:szCs w:val="24"/>
          <w:highlight w:val="white"/>
        </w:rPr>
        <w:t>European Architectural History Network, EAHN 2022: 7th International Meeting. Conference Proceedings</w:t>
      </w:r>
      <w:r>
        <w:rPr>
          <w:rFonts w:ascii="Times New Roman" w:eastAsia="Times New Roman" w:hAnsi="Times New Roman" w:cs="Times New Roman"/>
          <w:color w:val="222222"/>
          <w:sz w:val="24"/>
          <w:szCs w:val="24"/>
          <w:highlight w:val="white"/>
        </w:rPr>
        <w:t xml:space="preserve"> (Vol. 7, pp. 203-213). Universidad Politécnica de Madrid. ETSAM.</w:t>
      </w:r>
      <w:r>
        <w:rPr>
          <w:rFonts w:ascii="Times New Roman" w:eastAsia="Times New Roman" w:hAnsi="Times New Roman" w:cs="Times New Roman"/>
          <w:sz w:val="24"/>
          <w:szCs w:val="24"/>
        </w:rPr>
        <w:t xml:space="preserve">  </w:t>
      </w:r>
      <w:hyperlink r:id="rId21">
        <w:r>
          <w:rPr>
            <w:rFonts w:ascii="Times New Roman" w:eastAsia="Times New Roman" w:hAnsi="Times New Roman" w:cs="Times New Roman"/>
            <w:color w:val="1155CC"/>
            <w:sz w:val="24"/>
            <w:szCs w:val="24"/>
            <w:u w:val="single"/>
          </w:rPr>
          <w:t>https://lirias.kuleuven.be/retrieve/729823</w:t>
        </w:r>
      </w:hyperlink>
      <w:r>
        <w:rPr>
          <w:rFonts w:ascii="Times New Roman" w:eastAsia="Times New Roman" w:hAnsi="Times New Roman" w:cs="Times New Roman"/>
          <w:sz w:val="24"/>
          <w:szCs w:val="24"/>
        </w:rPr>
        <w:t xml:space="preserve"> </w:t>
      </w:r>
    </w:p>
    <w:p w:rsidR="001A4943" w:rsidRDefault="001A4943" w:rsidP="001A49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Senise, L.S., 2023. </w:t>
      </w:r>
      <w:r>
        <w:rPr>
          <w:rFonts w:ascii="Times New Roman" w:eastAsia="Times New Roman" w:hAnsi="Times New Roman" w:cs="Times New Roman"/>
          <w:i/>
          <w:iCs/>
          <w:color w:val="222222"/>
          <w:sz w:val="24"/>
          <w:szCs w:val="24"/>
          <w:highlight w:val="white"/>
        </w:rPr>
        <w:t>Rearrangements–Four Urban Experiments Between Soil and Sky</w:t>
      </w:r>
      <w:r>
        <w:rPr>
          <w:rFonts w:ascii="Times New Roman" w:eastAsia="Times New Roman" w:hAnsi="Times New Roman" w:cs="Times New Roman"/>
          <w:color w:val="222222"/>
          <w:sz w:val="24"/>
          <w:szCs w:val="24"/>
          <w:highlight w:val="white"/>
        </w:rPr>
        <w:t xml:space="preserve"> (Doctoral dissertation, Massachusetts Institute of Technology).</w:t>
      </w:r>
      <w:r>
        <w:rPr>
          <w:rFonts w:ascii="Times New Roman" w:eastAsia="Times New Roman" w:hAnsi="Times New Roman" w:cs="Times New Roman"/>
          <w:sz w:val="24"/>
          <w:szCs w:val="24"/>
        </w:rPr>
        <w:t xml:space="preserve">  </w:t>
      </w:r>
      <w:hyperlink r:id="rId22">
        <w:r>
          <w:rPr>
            <w:rFonts w:ascii="Times New Roman" w:eastAsia="Times New Roman" w:hAnsi="Times New Roman" w:cs="Times New Roman"/>
            <w:color w:val="1155CC"/>
            <w:sz w:val="24"/>
            <w:szCs w:val="24"/>
            <w:u w:val="single"/>
          </w:rPr>
          <w:t>https://dspace.mit.edu/handle/1721.1/151581</w:t>
        </w:r>
      </w:hyperlink>
      <w:r>
        <w:rPr>
          <w:rFonts w:ascii="Times New Roman" w:eastAsia="Times New Roman" w:hAnsi="Times New Roman" w:cs="Times New Roman"/>
          <w:sz w:val="24"/>
          <w:szCs w:val="24"/>
        </w:rPr>
        <w:t xml:space="preserve"> </w:t>
      </w:r>
    </w:p>
    <w:p w:rsidR="009520D2" w:rsidRDefault="009520D2">
      <w:bookmarkStart w:id="22" w:name="_GoBack"/>
      <w:bookmarkEnd w:id="22"/>
    </w:p>
    <w:sectPr w:rsidR="009520D2">
      <w:footerReference w:type="default" r:id="rId2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2147" w:rsidRDefault="001A4943">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12</w:t>
    </w:r>
    <w:r>
      <w:rPr>
        <w:color w:val="000000"/>
      </w:rPr>
      <w:fldChar w:fldCharType="end"/>
    </w:r>
  </w:p>
  <w:p w:rsidR="00D32147" w:rsidRDefault="001A4943">
    <w:pPr>
      <w:pBdr>
        <w:top w:val="nil"/>
        <w:left w:val="nil"/>
        <w:bottom w:val="nil"/>
        <w:right w:val="nil"/>
        <w:between w:val="nil"/>
      </w:pBdr>
      <w:tabs>
        <w:tab w:val="center" w:pos="4513"/>
        <w:tab w:val="right" w:pos="9026"/>
      </w:tabs>
      <w:spacing w:line="240" w:lineRule="auto"/>
      <w:rPr>
        <w:color w:val="000000"/>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4943"/>
    <w:rsid w:val="001A4943"/>
    <w:rsid w:val="009520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1E0E8A-79C2-4DD9-85B8-3F23D0501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4943"/>
    <w:pPr>
      <w:spacing w:after="0" w:line="276" w:lineRule="auto"/>
    </w:pPr>
    <w:rPr>
      <w:rFonts w:ascii="Arial" w:eastAsia="Arial" w:hAnsi="Arial" w:cs="Arial"/>
      <w:lang w:val="en-GB" w:eastAsia="en-IN"/>
    </w:rPr>
  </w:style>
  <w:style w:type="paragraph" w:styleId="Heading1">
    <w:name w:val="heading 1"/>
    <w:basedOn w:val="Normal"/>
    <w:next w:val="Normal"/>
    <w:link w:val="Heading1Char"/>
    <w:uiPriority w:val="9"/>
    <w:qFormat/>
    <w:rsid w:val="001A4943"/>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rsid w:val="001A4943"/>
    <w:pPr>
      <w:keepNext/>
      <w:keepLines/>
      <w:spacing w:before="360" w:after="120"/>
      <w:outlineLvl w:val="1"/>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943"/>
    <w:rPr>
      <w:rFonts w:ascii="Arial" w:eastAsia="Arial" w:hAnsi="Arial" w:cs="Arial"/>
      <w:sz w:val="40"/>
      <w:szCs w:val="40"/>
      <w:lang w:val="en-GB" w:eastAsia="en-IN"/>
    </w:rPr>
  </w:style>
  <w:style w:type="character" w:customStyle="1" w:styleId="Heading2Char">
    <w:name w:val="Heading 2 Char"/>
    <w:basedOn w:val="DefaultParagraphFont"/>
    <w:link w:val="Heading2"/>
    <w:uiPriority w:val="9"/>
    <w:rsid w:val="001A4943"/>
    <w:rPr>
      <w:rFonts w:ascii="Arial" w:eastAsia="Arial" w:hAnsi="Arial" w:cs="Arial"/>
      <w:sz w:val="32"/>
      <w:szCs w:val="32"/>
      <w:lang w:val="en-GB" w:eastAsia="en-IN"/>
    </w:rPr>
  </w:style>
  <w:style w:type="paragraph" w:styleId="Title">
    <w:name w:val="Title"/>
    <w:basedOn w:val="Normal"/>
    <w:next w:val="Normal"/>
    <w:link w:val="TitleChar"/>
    <w:uiPriority w:val="10"/>
    <w:qFormat/>
    <w:rsid w:val="001A4943"/>
    <w:pPr>
      <w:keepNext/>
      <w:keepLines/>
      <w:spacing w:after="60"/>
    </w:pPr>
    <w:rPr>
      <w:sz w:val="52"/>
      <w:szCs w:val="52"/>
    </w:rPr>
  </w:style>
  <w:style w:type="character" w:customStyle="1" w:styleId="TitleChar">
    <w:name w:val="Title Char"/>
    <w:basedOn w:val="DefaultParagraphFont"/>
    <w:link w:val="Title"/>
    <w:uiPriority w:val="10"/>
    <w:rsid w:val="001A4943"/>
    <w:rPr>
      <w:rFonts w:ascii="Arial" w:eastAsia="Arial" w:hAnsi="Arial" w:cs="Arial"/>
      <w:sz w:val="52"/>
      <w:szCs w:val="52"/>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publications.jrc.ec.europa.eu/repository/handle/JRC143360" TargetMode="External"/><Relationship Id="rId18" Type="http://schemas.openxmlformats.org/officeDocument/2006/relationships/hyperlink" Target="https://search.proquest.com/openview/cc4af94a0173465677091c130620a571/1?pq-origsite=gscholar&amp;cbl=18750&amp;diss=y" TargetMode="External"/><Relationship Id="rId3" Type="http://schemas.openxmlformats.org/officeDocument/2006/relationships/webSettings" Target="webSettings.xml"/><Relationship Id="rId21" Type="http://schemas.openxmlformats.org/officeDocument/2006/relationships/hyperlink" Target="https://lirias.kuleuven.be/retrieve/729823" TargetMode="External"/><Relationship Id="rId7" Type="http://schemas.openxmlformats.org/officeDocument/2006/relationships/image" Target="media/image4.png"/><Relationship Id="rId12" Type="http://schemas.openxmlformats.org/officeDocument/2006/relationships/hyperlink" Target="https://www.diva-portal.org/smash/record.jsf?pid=diva2:1998551" TargetMode="External"/><Relationship Id="rId17" Type="http://schemas.openxmlformats.org/officeDocument/2006/relationships/hyperlink" Target="https://www.mdpi.com/2076-0760/13/10/531"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epositonce.tu-berlin.de/bitstreams/d7950c6f-48b5-464d-b941-332792ae1d1c/download" TargetMode="External"/><Relationship Id="rId20" Type="http://schemas.openxmlformats.org/officeDocument/2006/relationships/hyperlink" Target="https://pergamos.lib.uoa.gr/uoa/dl/object/5300124/file.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papers.ssrn.com/sol3/papers.cfm?abstract_id=5180919" TargetMode="External"/><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mdpi.com/2076-3417/12/6/2950" TargetMode="External"/><Relationship Id="rId23" Type="http://schemas.openxmlformats.org/officeDocument/2006/relationships/footer" Target="footer1.xml"/><Relationship Id="rId10" Type="http://schemas.openxmlformats.org/officeDocument/2006/relationships/hyperlink" Target="https://www.preprints.org/manuscript/202511.0261" TargetMode="External"/><Relationship Id="rId19" Type="http://schemas.openxmlformats.org/officeDocument/2006/relationships/hyperlink" Target="https://journals.openedition.org/anatoliaantiqua/5278" TargetMode="External"/><Relationship Id="rId4" Type="http://schemas.openxmlformats.org/officeDocument/2006/relationships/image" Target="media/image1.png"/><Relationship Id="rId9" Type="http://schemas.openxmlformats.org/officeDocument/2006/relationships/hyperlink" Target="https://www.researchgate.net/profile/Tamer-Elserafi/publication/371979970_City_Growth_Challenges_as_a_Dilemma_between_Urban_Mobility_and_Livability_A_Case_Study_of_Heliopolis/links/64a3e0bc95bbbe0c6e0f12ce/City-Growth-Challenges-as-a-Dilemma-between-Urban-Mobility-and-Livability-A-Case-Study-of-Heliopolis.pdf?origin=journalDetail&amp;_tp=eyJwYWdlIjoiam91cm5hbERldGFpbCJ9" TargetMode="External"/><Relationship Id="rId14" Type="http://schemas.openxmlformats.org/officeDocument/2006/relationships/hyperlink" Target="https://minds.wisconsin.edu/bitstream/handle/1793/97016/132173.pdf?sequence=1" TargetMode="External"/><Relationship Id="rId22" Type="http://schemas.openxmlformats.org/officeDocument/2006/relationships/hyperlink" Target="https://dspace.mit.edu/handle/1721.1/1515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3984</Words>
  <Characters>22713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cp:revision>
  <dcterms:created xsi:type="dcterms:W3CDTF">2026-06-26T08:41:00Z</dcterms:created>
  <dcterms:modified xsi:type="dcterms:W3CDTF">2026-06-26T08:42:00Z</dcterms:modified>
</cp:coreProperties>
</file>