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139613233"/>
        <w:docPartObj>
          <w:docPartGallery w:val="Cover Pages"/>
          <w:docPartUnique/>
        </w:docPartObj>
      </w:sdtPr>
      <w:sdtContent>
        <w:p w14:paraId="56756D4B" w14:textId="72A5D6FA" w:rsidR="007D5417" w:rsidRDefault="007D5417" w:rsidP="008F71C8">
          <w:r>
            <w:rPr>
              <w:noProof/>
            </w:rPr>
            <mc:AlternateContent>
              <mc:Choice Requires="wpg">
                <w:drawing>
                  <wp:anchor distT="0" distB="0" distL="114300" distR="114300" simplePos="0" relativeHeight="251673600" behindDoc="1" locked="0" layoutInCell="1" allowOverlap="1" wp14:anchorId="71EEA73E" wp14:editId="6B92DCEC">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Content>
                                    <w:p w14:paraId="6F8A8721" w14:textId="461A4F01" w:rsidR="007D5417" w:rsidRDefault="001E3F72">
                                      <w:pPr>
                                        <w:pStyle w:val="NoSpacing"/>
                                        <w:jc w:val="right"/>
                                        <w:rPr>
                                          <w:color w:val="FFFFFF" w:themeColor="background1"/>
                                          <w:sz w:val="28"/>
                                          <w:szCs w:val="28"/>
                                        </w:rPr>
                                      </w:pPr>
                                      <w:r>
                                        <w:rPr>
                                          <w:color w:val="FFFFFF" w:themeColor="background1"/>
                                          <w:sz w:val="28"/>
                                          <w:szCs w:val="28"/>
                                        </w:rPr>
                                        <w:t>12/16/2025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1EEA73E" id="Group 26" o:spid="_x0000_s1026" style="position:absolute;margin-left:0;margin-top:0;width:172.8pt;height:718.55pt;z-index:-25164288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12-16T00:00:00Z">
                                <w:dateFormat w:val="M/d/yyyy"/>
                                <w:lid w:val="en-US"/>
                                <w:storeMappedDataAs w:val="dateTime"/>
                                <w:calendar w:val="gregorian"/>
                              </w:date>
                            </w:sdtPr>
                            <w:sdtContent>
                              <w:p w14:paraId="6F8A8721" w14:textId="461A4F01" w:rsidR="007D5417" w:rsidRDefault="001E3F72">
                                <w:pPr>
                                  <w:pStyle w:val="NoSpacing"/>
                                  <w:jc w:val="right"/>
                                  <w:rPr>
                                    <w:color w:val="FFFFFF" w:themeColor="background1"/>
                                    <w:sz w:val="28"/>
                                    <w:szCs w:val="28"/>
                                  </w:rPr>
                                </w:pPr>
                                <w:r>
                                  <w:rPr>
                                    <w:color w:val="FFFFFF" w:themeColor="background1"/>
                                    <w:sz w:val="28"/>
                                    <w:szCs w:val="28"/>
                                  </w:rPr>
                                  <w:t>12/16/2025</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74624" behindDoc="0" locked="0" layoutInCell="1" allowOverlap="1" wp14:anchorId="3CAA8510" wp14:editId="049ABDB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2E28AA" w14:textId="78282A6C" w:rsidR="007D5417" w:rsidRPr="007D5417" w:rsidRDefault="00000000" w:rsidP="007D5417">
                                <w:pPr>
                                  <w:pStyle w:val="NoSpacing"/>
                                  <w:rPr>
                                    <w:rFonts w:asciiTheme="majorHAnsi" w:eastAsiaTheme="majorEastAsia" w:hAnsiTheme="majorHAnsi" w:cstheme="majorBidi"/>
                                    <w:color w:val="262626" w:themeColor="text1" w:themeTint="D9"/>
                                    <w:sz w:val="48"/>
                                    <w:szCs w:val="48"/>
                                  </w:rPr>
                                </w:pPr>
                                <w:sdt>
                                  <w:sdtPr>
                                    <w:rPr>
                                      <w:rFonts w:ascii="Aptos" w:eastAsia="Aptos" w:hAnsi="Aptos" w:cs="Times New Roman"/>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B775D">
                                      <w:rPr>
                                        <w:rFonts w:ascii="Aptos" w:eastAsia="Aptos" w:hAnsi="Aptos" w:cs="Times New Roman"/>
                                        <w:sz w:val="48"/>
                                        <w:szCs w:val="48"/>
                                      </w:rPr>
                                      <w:t>Modern Information System</w:t>
                                    </w:r>
                                    <w:r w:rsidR="00117279">
                                      <w:rPr>
                                        <w:rFonts w:ascii="Aptos" w:eastAsia="Aptos" w:hAnsi="Aptos" w:cs="Times New Roman"/>
                                        <w:sz w:val="48"/>
                                        <w:szCs w:val="48"/>
                                      </w:rPr>
                                      <w:t xml:space="preserve"> </w:t>
                                    </w:r>
                                    <w:r w:rsidR="00BB775D">
                                      <w:rPr>
                                        <w:rFonts w:ascii="Aptos" w:eastAsia="Aptos" w:hAnsi="Aptos" w:cs="Times New Roman"/>
                                        <w:sz w:val="48"/>
                                        <w:szCs w:val="48"/>
                                      </w:rPr>
                                      <w:t xml:space="preserve">at </w:t>
                                    </w:r>
                                    <w:r w:rsidR="007D5417" w:rsidRPr="007D5417">
                                      <w:rPr>
                                        <w:rFonts w:ascii="Aptos" w:eastAsia="Aptos" w:hAnsi="Aptos" w:cs="Times New Roman"/>
                                        <w:sz w:val="48"/>
                                        <w:szCs w:val="48"/>
                                      </w:rPr>
                                      <w:t>AKPerog L</w:t>
                                    </w:r>
                                    <w:r w:rsidR="000F5591">
                                      <w:rPr>
                                        <w:rFonts w:ascii="Aptos" w:eastAsia="Aptos" w:hAnsi="Aptos" w:cs="Times New Roman"/>
                                        <w:sz w:val="48"/>
                                        <w:szCs w:val="48"/>
                                      </w:rPr>
                                      <w:t>td</w:t>
                                    </w:r>
                                    <w:r w:rsidR="007D5417">
                                      <w:rPr>
                                        <w:rFonts w:ascii="Aptos" w:eastAsia="Aptos" w:hAnsi="Aptos" w:cs="Times New Roman"/>
                                        <w:sz w:val="48"/>
                                        <w:szCs w:val="48"/>
                                      </w:rPr>
                                      <w:t>.</w:t>
                                    </w:r>
                                  </w:sdtContent>
                                </w:sdt>
                              </w:p>
                              <w:p w14:paraId="1ADAC99E" w14:textId="40401127" w:rsidR="007D541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D5417">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3CAA8510" id="_x0000_t202" coordsize="21600,21600" o:spt="202" path="m,l,21600r21600,l21600,xe">
                    <v:stroke joinstyle="miter"/>
                    <v:path gradientshapeok="t" o:connecttype="rect"/>
                  </v:shapetype>
                  <v:shape id="Text Box 30" o:spid="_x0000_s1055" type="#_x0000_t202" style="position:absolute;margin-left:0;margin-top:0;width:4in;height:84.25pt;z-index:25167462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92E28AA" w14:textId="78282A6C" w:rsidR="007D5417" w:rsidRPr="007D5417" w:rsidRDefault="00000000" w:rsidP="007D5417">
                          <w:pPr>
                            <w:pStyle w:val="NoSpacing"/>
                            <w:rPr>
                              <w:rFonts w:asciiTheme="majorHAnsi" w:eastAsiaTheme="majorEastAsia" w:hAnsiTheme="majorHAnsi" w:cstheme="majorBidi"/>
                              <w:color w:val="262626" w:themeColor="text1" w:themeTint="D9"/>
                              <w:sz w:val="48"/>
                              <w:szCs w:val="48"/>
                            </w:rPr>
                          </w:pPr>
                          <w:sdt>
                            <w:sdtPr>
                              <w:rPr>
                                <w:rFonts w:ascii="Aptos" w:eastAsia="Aptos" w:hAnsi="Aptos" w:cs="Times New Roman"/>
                                <w:sz w:val="48"/>
                                <w:szCs w:val="48"/>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BB775D">
                                <w:rPr>
                                  <w:rFonts w:ascii="Aptos" w:eastAsia="Aptos" w:hAnsi="Aptos" w:cs="Times New Roman"/>
                                  <w:sz w:val="48"/>
                                  <w:szCs w:val="48"/>
                                </w:rPr>
                                <w:t>Modern Information System</w:t>
                              </w:r>
                              <w:r w:rsidR="00117279">
                                <w:rPr>
                                  <w:rFonts w:ascii="Aptos" w:eastAsia="Aptos" w:hAnsi="Aptos" w:cs="Times New Roman"/>
                                  <w:sz w:val="48"/>
                                  <w:szCs w:val="48"/>
                                </w:rPr>
                                <w:t xml:space="preserve"> </w:t>
                              </w:r>
                              <w:r w:rsidR="00BB775D">
                                <w:rPr>
                                  <w:rFonts w:ascii="Aptos" w:eastAsia="Aptos" w:hAnsi="Aptos" w:cs="Times New Roman"/>
                                  <w:sz w:val="48"/>
                                  <w:szCs w:val="48"/>
                                </w:rPr>
                                <w:t xml:space="preserve">at </w:t>
                              </w:r>
                              <w:r w:rsidR="007D5417" w:rsidRPr="007D5417">
                                <w:rPr>
                                  <w:rFonts w:ascii="Aptos" w:eastAsia="Aptos" w:hAnsi="Aptos" w:cs="Times New Roman"/>
                                  <w:sz w:val="48"/>
                                  <w:szCs w:val="48"/>
                                </w:rPr>
                                <w:t>AKPerog L</w:t>
                              </w:r>
                              <w:r w:rsidR="000F5591">
                                <w:rPr>
                                  <w:rFonts w:ascii="Aptos" w:eastAsia="Aptos" w:hAnsi="Aptos" w:cs="Times New Roman"/>
                                  <w:sz w:val="48"/>
                                  <w:szCs w:val="48"/>
                                </w:rPr>
                                <w:t>td</w:t>
                              </w:r>
                              <w:r w:rsidR="007D5417">
                                <w:rPr>
                                  <w:rFonts w:ascii="Aptos" w:eastAsia="Aptos" w:hAnsi="Aptos" w:cs="Times New Roman"/>
                                  <w:sz w:val="48"/>
                                  <w:szCs w:val="48"/>
                                </w:rPr>
                                <w:t>.</w:t>
                              </w:r>
                            </w:sdtContent>
                          </w:sdt>
                        </w:p>
                        <w:p w14:paraId="1ADAC99E" w14:textId="40401127" w:rsidR="007D5417" w:rsidRDefault="00000000">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7D5417">
                                <w:rPr>
                                  <w:color w:val="404040" w:themeColor="text1" w:themeTint="BF"/>
                                  <w:sz w:val="36"/>
                                  <w:szCs w:val="36"/>
                                </w:rPr>
                                <w:t xml:space="preserve">     </w:t>
                              </w:r>
                            </w:sdtContent>
                          </w:sdt>
                        </w:p>
                      </w:txbxContent>
                    </v:textbox>
                    <w10:wrap anchorx="page" anchory="page"/>
                  </v:shape>
                </w:pict>
              </mc:Fallback>
            </mc:AlternateContent>
          </w:r>
        </w:p>
        <w:p w14:paraId="00AC5D78" w14:textId="5F352297" w:rsidR="007D5417" w:rsidRDefault="001E3F72">
          <w:r>
            <w:rPr>
              <w:noProof/>
            </w:rPr>
            <mc:AlternateContent>
              <mc:Choice Requires="wps">
                <w:drawing>
                  <wp:anchor distT="0" distB="0" distL="114300" distR="114300" simplePos="0" relativeHeight="251675648" behindDoc="0" locked="0" layoutInCell="1" allowOverlap="1" wp14:anchorId="7C323D0C" wp14:editId="2C2BDAE4">
                    <wp:simplePos x="0" y="0"/>
                    <wp:positionH relativeFrom="margin">
                      <wp:align>right</wp:align>
                    </wp:positionH>
                    <wp:positionV relativeFrom="page">
                      <wp:posOffset>8445500</wp:posOffset>
                    </wp:positionV>
                    <wp:extent cx="4324350" cy="1624800"/>
                    <wp:effectExtent l="0" t="0" r="0" b="13970"/>
                    <wp:wrapNone/>
                    <wp:docPr id="32" name="Text Box 28"/>
                    <wp:cNvGraphicFramePr/>
                    <a:graphic xmlns:a="http://schemas.openxmlformats.org/drawingml/2006/main">
                      <a:graphicData uri="http://schemas.microsoft.com/office/word/2010/wordprocessingShape">
                        <wps:wsp>
                          <wps:cNvSpPr txBox="1"/>
                          <wps:spPr>
                            <a:xfrm>
                              <a:off x="0" y="0"/>
                              <a:ext cx="4324350" cy="1624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6EE238" w14:textId="7A55B29A" w:rsidR="007D5417" w:rsidRPr="001E3F72" w:rsidRDefault="00000000">
                                <w:pPr>
                                  <w:pStyle w:val="NoSpacing"/>
                                  <w:rPr>
                                    <w:rFonts w:ascii="Arial" w:hAnsi="Arial" w:cs="Arial"/>
                                    <w:color w:val="000000" w:themeColor="text1"/>
                                  </w:rPr>
                                </w:pPr>
                                <w:sdt>
                                  <w:sdtPr>
                                    <w:rPr>
                                      <w:rFonts w:ascii="Arial" w:hAnsi="Arial" w:cs="Arial"/>
                                      <w:color w:val="000000" w:themeColor="tex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D5417" w:rsidRPr="001E3F72">
                                      <w:rPr>
                                        <w:rFonts w:ascii="Arial" w:hAnsi="Arial" w:cs="Arial"/>
                                        <w:color w:val="000000" w:themeColor="text1"/>
                                      </w:rPr>
                                      <w:t>Rosemary Jordao</w:t>
                                    </w:r>
                                  </w:sdtContent>
                                </w:sdt>
                              </w:p>
                              <w:p w14:paraId="28E94CA5" w14:textId="6F91242B" w:rsidR="007D5417" w:rsidRPr="001E3F72" w:rsidRDefault="00000000">
                                <w:pPr>
                                  <w:pStyle w:val="NoSpacing"/>
                                  <w:rPr>
                                    <w:rFonts w:ascii="Arial" w:hAnsi="Arial" w:cs="Arial"/>
                                    <w:caps/>
                                    <w:color w:val="595959" w:themeColor="text1" w:themeTint="A6"/>
                                  </w:rPr>
                                </w:pPr>
                                <w:sdt>
                                  <w:sdtPr>
                                    <w:rPr>
                                      <w:rFonts w:ascii="Arial" w:hAnsi="Arial" w:cs="Arial"/>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1E3F72" w:rsidRPr="001E3F72">
                                      <w:rPr>
                                        <w:rFonts w:ascii="Arial" w:hAnsi="Arial" w:cs="Arial"/>
                                        <w:caps/>
                                        <w:color w:val="595959" w:themeColor="text1" w:themeTint="A6"/>
                                      </w:rPr>
                                      <w:t>2335147</w:t>
                                    </w:r>
                                  </w:sdtContent>
                                </w:sdt>
                              </w:p>
                              <w:p w14:paraId="1493BB5B" w14:textId="44B481DA" w:rsidR="001E3F72" w:rsidRPr="001E3F72" w:rsidRDefault="001E3F72">
                                <w:pPr>
                                  <w:pStyle w:val="NoSpacing"/>
                                  <w:rPr>
                                    <w:rFonts w:ascii="Arial" w:hAnsi="Arial" w:cs="Arial"/>
                                    <w:color w:val="595959" w:themeColor="text1" w:themeTint="A6"/>
                                  </w:rPr>
                                </w:pPr>
                                <w:r w:rsidRPr="001E3F72">
                                  <w:rPr>
                                    <w:rFonts w:ascii="Arial" w:hAnsi="Arial" w:cs="Arial"/>
                                    <w:color w:val="595959" w:themeColor="text1" w:themeTint="A6"/>
                                  </w:rPr>
                                  <w:t>LCLM 5004</w:t>
                                </w:r>
                              </w:p>
                              <w:p w14:paraId="2DFB9F95" w14:textId="5CB5B07B" w:rsidR="001E3F72" w:rsidRPr="001E3F72" w:rsidRDefault="001E3F72">
                                <w:pPr>
                                  <w:pStyle w:val="NoSpacing"/>
                                  <w:rPr>
                                    <w:rFonts w:ascii="Arial" w:hAnsi="Arial" w:cs="Arial"/>
                                    <w:color w:val="595959" w:themeColor="text1" w:themeTint="A6"/>
                                  </w:rPr>
                                </w:pPr>
                                <w:r w:rsidRPr="001E3F72">
                                  <w:rPr>
                                    <w:rFonts w:ascii="Arial" w:hAnsi="Arial" w:cs="Arial"/>
                                    <w:color w:val="595959" w:themeColor="text1" w:themeTint="A6"/>
                                  </w:rPr>
                                  <w:t>Dr Amer Kareem</w:t>
                                </w:r>
                              </w:p>
                              <w:p w14:paraId="5C0F4CF3" w14:textId="1FCAFBEB" w:rsidR="001E3F72" w:rsidRPr="001E3F72" w:rsidRDefault="001E3F72">
                                <w:pPr>
                                  <w:pStyle w:val="NoSpacing"/>
                                  <w:rPr>
                                    <w:rFonts w:ascii="Arial" w:hAnsi="Arial" w:cs="Arial"/>
                                    <w:color w:val="595959" w:themeColor="text1" w:themeTint="A6"/>
                                  </w:rPr>
                                </w:pPr>
                                <w:r w:rsidRPr="001E3F72">
                                  <w:rPr>
                                    <w:rFonts w:ascii="Arial" w:hAnsi="Arial" w:cs="Arial"/>
                                  </w:rPr>
                                  <w:t>Component 2 - Individual Report</w:t>
                                </w:r>
                                <w:r w:rsidR="001C73B4">
                                  <w:rPr>
                                    <w:rFonts w:ascii="Arial" w:hAnsi="Arial" w:cs="Arial"/>
                                  </w:rPr>
                                  <w:t xml:space="preserve"> </w:t>
                                </w:r>
                                <w:r w:rsidRPr="001E3F72">
                                  <w:rPr>
                                    <w:rFonts w:ascii="Arial" w:hAnsi="Arial" w:cs="Arial"/>
                                  </w:rPr>
                                  <w:t>- Information Systems Improvements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7C323D0C" id="Text Box 28" o:spid="_x0000_s1056" type="#_x0000_t202" style="position:absolute;margin-left:289.3pt;margin-top:665pt;width:340.5pt;height:127.95pt;z-index:251675648;visibility:visible;mso-wrap-style:square;mso-width-percent:0;mso-height-percent:0;mso-wrap-distance-left:9pt;mso-wrap-distance-top:0;mso-wrap-distance-right:9pt;mso-wrap-distance-bottom:0;mso-position-horizontal:right;mso-position-horizontal-relative:margin;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" filled="f" stroked="f" strokeweight=".5pt">
                    <v:textbox inset="0,0,0,0">
                      <w:txbxContent>
                        <w:p w14:paraId="306EE238" w14:textId="7A55B29A" w:rsidR="007D5417" w:rsidRPr="001E3F72" w:rsidRDefault="00000000">
                          <w:pPr>
                            <w:pStyle w:val="NoSpacing"/>
                            <w:rPr>
                              <w:rFonts w:ascii="Arial" w:hAnsi="Arial" w:cs="Arial"/>
                              <w:color w:val="000000" w:themeColor="text1"/>
                            </w:rPr>
                          </w:pPr>
                          <w:sdt>
                            <w:sdtPr>
                              <w:rPr>
                                <w:rFonts w:ascii="Arial" w:hAnsi="Arial" w:cs="Arial"/>
                                <w:color w:val="000000" w:themeColor="text1"/>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7D5417" w:rsidRPr="001E3F72">
                                <w:rPr>
                                  <w:rFonts w:ascii="Arial" w:hAnsi="Arial" w:cs="Arial"/>
                                  <w:color w:val="000000" w:themeColor="text1"/>
                                </w:rPr>
                                <w:t>Rosemary Jordao</w:t>
                              </w:r>
                            </w:sdtContent>
                          </w:sdt>
                        </w:p>
                        <w:p w14:paraId="28E94CA5" w14:textId="6F91242B" w:rsidR="007D5417" w:rsidRPr="001E3F72" w:rsidRDefault="00000000">
                          <w:pPr>
                            <w:pStyle w:val="NoSpacing"/>
                            <w:rPr>
                              <w:rFonts w:ascii="Arial" w:hAnsi="Arial" w:cs="Arial"/>
                              <w:caps/>
                              <w:color w:val="595959" w:themeColor="text1" w:themeTint="A6"/>
                            </w:rPr>
                          </w:pPr>
                          <w:sdt>
                            <w:sdtPr>
                              <w:rPr>
                                <w:rFonts w:ascii="Arial" w:hAnsi="Arial" w:cs="Arial"/>
                                <w:caps/>
                                <w:color w:val="595959" w:themeColor="text1" w:themeTint="A6"/>
                              </w:rPr>
                              <w:alias w:val="Company"/>
                              <w:tag w:val=""/>
                              <w:id w:val="1558814826"/>
                              <w:dataBinding w:prefixMappings="xmlns:ns0='http://schemas.openxmlformats.org/officeDocument/2006/extended-properties' " w:xpath="/ns0:Properties[1]/ns0:Company[1]" w:storeItemID="{6668398D-A668-4E3E-A5EB-62B293D839F1}"/>
                              <w:text/>
                            </w:sdtPr>
                            <w:sdtContent>
                              <w:r w:rsidR="001E3F72" w:rsidRPr="001E3F72">
                                <w:rPr>
                                  <w:rFonts w:ascii="Arial" w:hAnsi="Arial" w:cs="Arial"/>
                                  <w:caps/>
                                  <w:color w:val="595959" w:themeColor="text1" w:themeTint="A6"/>
                                </w:rPr>
                                <w:t>2335147</w:t>
                              </w:r>
                            </w:sdtContent>
                          </w:sdt>
                        </w:p>
                        <w:p w14:paraId="1493BB5B" w14:textId="44B481DA" w:rsidR="001E3F72" w:rsidRPr="001E3F72" w:rsidRDefault="001E3F72">
                          <w:pPr>
                            <w:pStyle w:val="NoSpacing"/>
                            <w:rPr>
                              <w:rFonts w:ascii="Arial" w:hAnsi="Arial" w:cs="Arial"/>
                              <w:color w:val="595959" w:themeColor="text1" w:themeTint="A6"/>
                            </w:rPr>
                          </w:pPr>
                          <w:r w:rsidRPr="001E3F72">
                            <w:rPr>
                              <w:rFonts w:ascii="Arial" w:hAnsi="Arial" w:cs="Arial"/>
                              <w:color w:val="595959" w:themeColor="text1" w:themeTint="A6"/>
                            </w:rPr>
                            <w:t>LCLM 5004</w:t>
                          </w:r>
                        </w:p>
                        <w:p w14:paraId="2DFB9F95" w14:textId="5CB5B07B" w:rsidR="001E3F72" w:rsidRPr="001E3F72" w:rsidRDefault="001E3F72">
                          <w:pPr>
                            <w:pStyle w:val="NoSpacing"/>
                            <w:rPr>
                              <w:rFonts w:ascii="Arial" w:hAnsi="Arial" w:cs="Arial"/>
                              <w:color w:val="595959" w:themeColor="text1" w:themeTint="A6"/>
                            </w:rPr>
                          </w:pPr>
                          <w:r w:rsidRPr="001E3F72">
                            <w:rPr>
                              <w:rFonts w:ascii="Arial" w:hAnsi="Arial" w:cs="Arial"/>
                              <w:color w:val="595959" w:themeColor="text1" w:themeTint="A6"/>
                            </w:rPr>
                            <w:t>Dr Amer Kareem</w:t>
                          </w:r>
                        </w:p>
                        <w:p w14:paraId="5C0F4CF3" w14:textId="1FCAFBEB" w:rsidR="001E3F72" w:rsidRPr="001E3F72" w:rsidRDefault="001E3F72">
                          <w:pPr>
                            <w:pStyle w:val="NoSpacing"/>
                            <w:rPr>
                              <w:rFonts w:ascii="Arial" w:hAnsi="Arial" w:cs="Arial"/>
                              <w:color w:val="595959" w:themeColor="text1" w:themeTint="A6"/>
                            </w:rPr>
                          </w:pPr>
                          <w:r w:rsidRPr="001E3F72">
                            <w:rPr>
                              <w:rFonts w:ascii="Arial" w:hAnsi="Arial" w:cs="Arial"/>
                            </w:rPr>
                            <w:t>Component 2 - Individual Report</w:t>
                          </w:r>
                          <w:r w:rsidR="001C73B4">
                            <w:rPr>
                              <w:rFonts w:ascii="Arial" w:hAnsi="Arial" w:cs="Arial"/>
                            </w:rPr>
                            <w:t xml:space="preserve"> </w:t>
                          </w:r>
                          <w:r w:rsidRPr="001E3F72">
                            <w:rPr>
                              <w:rFonts w:ascii="Arial" w:hAnsi="Arial" w:cs="Arial"/>
                            </w:rPr>
                            <w:t>- Information Systems Improvements</w:t>
                          </w:r>
                        </w:p>
                      </w:txbxContent>
                    </v:textbox>
                    <w10:wrap anchorx="margin" anchory="page"/>
                  </v:shape>
                </w:pict>
              </mc:Fallback>
            </mc:AlternateContent>
          </w:r>
          <w:r w:rsidR="007D5417">
            <w:br w:type="page"/>
          </w:r>
        </w:p>
      </w:sdtContent>
    </w:sdt>
    <w:sdt>
      <w:sdtPr>
        <w:rPr>
          <w:rFonts w:asciiTheme="minorHAnsi" w:hAnsiTheme="minorHAnsi"/>
          <w:color w:val="auto"/>
          <w:kern w:val="2"/>
          <w:sz w:val="24"/>
          <w:szCs w:val="24"/>
          <w:lang w:val="en-GB"/>
          <w14:ligatures w14:val="standardContextual"/>
        </w:rPr>
        <w:id w:val="1298808520"/>
        <w:docPartObj>
          <w:docPartGallery w:val="Table of Contents"/>
          <w:docPartUnique/>
        </w:docPartObj>
      </w:sdtPr>
      <w:sdtEndPr>
        <w:rPr>
          <w:b/>
          <w:bCs/>
        </w:rPr>
      </w:sdtEndPr>
      <w:sdtContent>
        <w:p w14:paraId="2410955D" w14:textId="4DAA93FE" w:rsidR="00FD7442" w:rsidRPr="00E06CBA" w:rsidRDefault="00FD7442">
          <w:pPr>
            <w:pStyle w:val="TOCHeading"/>
            <w:rPr>
              <w:rFonts w:ascii="Arial" w:hAnsi="Arial" w:cs="Arial"/>
              <w:sz w:val="22"/>
              <w:szCs w:val="22"/>
            </w:rPr>
          </w:pPr>
          <w:r w:rsidRPr="00E06CBA">
            <w:rPr>
              <w:rFonts w:ascii="Arial" w:hAnsi="Arial" w:cs="Arial"/>
              <w:sz w:val="22"/>
              <w:szCs w:val="22"/>
              <w:lang w:val="en-GB"/>
            </w:rPr>
            <w:t>Contents</w:t>
          </w:r>
        </w:p>
        <w:p w14:paraId="755F46DB" w14:textId="3A040776" w:rsidR="00FD7442" w:rsidRPr="00E06CBA" w:rsidRDefault="00FD7442">
          <w:pPr>
            <w:pStyle w:val="TOC1"/>
            <w:tabs>
              <w:tab w:val="right" w:leader="dot" w:pos="9016"/>
            </w:tabs>
            <w:rPr>
              <w:rFonts w:ascii="Arial" w:eastAsiaTheme="minorEastAsia" w:hAnsi="Arial" w:cs="Arial"/>
              <w:noProof/>
              <w:sz w:val="22"/>
              <w:szCs w:val="22"/>
              <w:lang w:eastAsia="en-GB"/>
            </w:rPr>
          </w:pPr>
          <w:r w:rsidRPr="00E06CBA">
            <w:rPr>
              <w:rFonts w:ascii="Arial" w:hAnsi="Arial" w:cs="Arial"/>
              <w:sz w:val="22"/>
              <w:szCs w:val="22"/>
            </w:rPr>
            <w:fldChar w:fldCharType="begin"/>
          </w:r>
          <w:r w:rsidRPr="00E06CBA">
            <w:rPr>
              <w:rFonts w:ascii="Arial" w:hAnsi="Arial" w:cs="Arial"/>
              <w:sz w:val="22"/>
              <w:szCs w:val="22"/>
            </w:rPr>
            <w:instrText xml:space="preserve"> TOC \o "1-3" \h \z \u </w:instrText>
          </w:r>
          <w:r w:rsidRPr="00E06CBA">
            <w:rPr>
              <w:rFonts w:ascii="Arial" w:hAnsi="Arial" w:cs="Arial"/>
              <w:sz w:val="22"/>
              <w:szCs w:val="22"/>
            </w:rPr>
            <w:fldChar w:fldCharType="separate"/>
          </w:r>
          <w:hyperlink w:anchor="_Toc216770886" w:history="1">
            <w:r w:rsidRPr="00E06CBA">
              <w:rPr>
                <w:rStyle w:val="Hyperlink"/>
                <w:rFonts w:ascii="Arial" w:hAnsi="Arial" w:cs="Arial"/>
                <w:noProof/>
                <w:sz w:val="22"/>
                <w:szCs w:val="22"/>
              </w:rPr>
              <w:t>1. Introduction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_Toc216770886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2</w:t>
            </w:r>
            <w:r w:rsidRPr="00E06CBA">
              <w:rPr>
                <w:rFonts w:ascii="Arial" w:hAnsi="Arial" w:cs="Arial"/>
                <w:noProof/>
                <w:webHidden/>
                <w:sz w:val="22"/>
                <w:szCs w:val="22"/>
              </w:rPr>
              <w:fldChar w:fldCharType="end"/>
            </w:r>
          </w:hyperlink>
        </w:p>
        <w:p w14:paraId="632E3AF7" w14:textId="01673D9F" w:rsidR="00FD7442" w:rsidRPr="00E06CBA" w:rsidRDefault="00FD7442">
          <w:pPr>
            <w:pStyle w:val="TOC1"/>
            <w:tabs>
              <w:tab w:val="right" w:leader="dot" w:pos="9016"/>
            </w:tabs>
            <w:rPr>
              <w:rFonts w:ascii="Arial" w:eastAsiaTheme="minorEastAsia" w:hAnsi="Arial" w:cs="Arial"/>
              <w:noProof/>
              <w:sz w:val="22"/>
              <w:szCs w:val="22"/>
              <w:lang w:eastAsia="en-GB"/>
            </w:rPr>
          </w:pPr>
          <w:hyperlink w:anchor="_Toc216770887" w:history="1">
            <w:r w:rsidRPr="00E06CBA">
              <w:rPr>
                <w:rStyle w:val="Hyperlink"/>
                <w:rFonts w:ascii="Arial" w:hAnsi="Arial" w:cs="Arial"/>
                <w:noProof/>
                <w:sz w:val="22"/>
                <w:szCs w:val="22"/>
              </w:rPr>
              <w:t>2. Evaluation of Existing Systems</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_Toc216770887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3</w:t>
            </w:r>
            <w:r w:rsidRPr="00E06CBA">
              <w:rPr>
                <w:rFonts w:ascii="Arial" w:hAnsi="Arial" w:cs="Arial"/>
                <w:noProof/>
                <w:webHidden/>
                <w:sz w:val="22"/>
                <w:szCs w:val="22"/>
              </w:rPr>
              <w:fldChar w:fldCharType="end"/>
            </w:r>
          </w:hyperlink>
        </w:p>
        <w:p w14:paraId="7F98F5DC" w14:textId="7D9460C4"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88" w:history="1">
            <w:r w:rsidRPr="00E06CBA">
              <w:rPr>
                <w:rStyle w:val="Hyperlink"/>
                <w:rFonts w:ascii="Arial" w:hAnsi="Arial" w:cs="Arial"/>
                <w:noProof/>
                <w:sz w:val="22"/>
                <w:szCs w:val="22"/>
              </w:rPr>
              <w:t>2.1 Inventory Management Limitations</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_Toc216770888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3</w:t>
            </w:r>
            <w:r w:rsidRPr="00E06CBA">
              <w:rPr>
                <w:rFonts w:ascii="Arial" w:hAnsi="Arial" w:cs="Arial"/>
                <w:noProof/>
                <w:webHidden/>
                <w:sz w:val="22"/>
                <w:szCs w:val="22"/>
              </w:rPr>
              <w:fldChar w:fldCharType="end"/>
            </w:r>
          </w:hyperlink>
        </w:p>
        <w:p w14:paraId="2A1CFAD9" w14:textId="1466A35C"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89" w:history="1">
            <w:r w:rsidRPr="00E06CBA">
              <w:rPr>
                <w:rStyle w:val="Hyperlink"/>
                <w:rFonts w:ascii="Arial" w:hAnsi="Arial" w:cs="Arial"/>
                <w:noProof/>
                <w:sz w:val="22"/>
                <w:szCs w:val="22"/>
              </w:rPr>
              <w:t>2.2 Fragmented Customer Relationship Management</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_Toc216770889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3</w:t>
            </w:r>
            <w:r w:rsidRPr="00E06CBA">
              <w:rPr>
                <w:rFonts w:ascii="Arial" w:hAnsi="Arial" w:cs="Arial"/>
                <w:noProof/>
                <w:webHidden/>
                <w:sz w:val="22"/>
                <w:szCs w:val="22"/>
              </w:rPr>
              <w:fldChar w:fldCharType="end"/>
            </w:r>
          </w:hyperlink>
        </w:p>
        <w:p w14:paraId="34D02F79" w14:textId="2DD8E290"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0" w:history="1">
            <w:r w:rsidRPr="00E06CBA">
              <w:rPr>
                <w:rStyle w:val="Hyperlink"/>
                <w:rFonts w:ascii="Arial" w:hAnsi="Arial" w:cs="Arial"/>
                <w:noProof/>
                <w:sz w:val="22"/>
                <w:szCs w:val="22"/>
              </w:rPr>
              <w:t>2.3 Inefficient Reporting and Decision-Making</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_Toc216770890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3</w:t>
            </w:r>
            <w:r w:rsidRPr="00E06CBA">
              <w:rPr>
                <w:rFonts w:ascii="Arial" w:hAnsi="Arial" w:cs="Arial"/>
                <w:noProof/>
                <w:webHidden/>
                <w:sz w:val="22"/>
                <w:szCs w:val="22"/>
              </w:rPr>
              <w:fldChar w:fldCharType="end"/>
            </w:r>
          </w:hyperlink>
        </w:p>
        <w:p w14:paraId="31BA0A3A" w14:textId="3D17F9FB"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1" w:history="1">
            <w:r w:rsidRPr="00E06CBA">
              <w:rPr>
                <w:rStyle w:val="Hyperlink"/>
                <w:rFonts w:ascii="Arial" w:hAnsi="Arial" w:cs="Arial"/>
                <w:noProof/>
                <w:sz w:val="22"/>
                <w:szCs w:val="22"/>
              </w:rPr>
              <w:t>2.4 Data Security and Compliance Risks</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_Toc216770891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4</w:t>
            </w:r>
            <w:r w:rsidRPr="00E06CBA">
              <w:rPr>
                <w:rFonts w:ascii="Arial" w:hAnsi="Arial" w:cs="Arial"/>
                <w:noProof/>
                <w:webHidden/>
                <w:sz w:val="22"/>
                <w:szCs w:val="22"/>
              </w:rPr>
              <w:fldChar w:fldCharType="end"/>
            </w:r>
          </w:hyperlink>
        </w:p>
        <w:p w14:paraId="492721AB" w14:textId="1648A77C"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2" w:history="1">
            <w:r w:rsidRPr="00E06CBA">
              <w:rPr>
                <w:rStyle w:val="Hyperlink"/>
                <w:rFonts w:ascii="Arial" w:hAnsi="Arial" w:cs="Arial"/>
                <w:noProof/>
                <w:sz w:val="22"/>
                <w:szCs w:val="22"/>
              </w:rPr>
              <w:t>2.5 Lack of Cross-Departmental Integration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_Toc216770892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4</w:t>
            </w:r>
            <w:r w:rsidRPr="00E06CBA">
              <w:rPr>
                <w:rFonts w:ascii="Arial" w:hAnsi="Arial" w:cs="Arial"/>
                <w:noProof/>
                <w:webHidden/>
                <w:sz w:val="22"/>
                <w:szCs w:val="22"/>
              </w:rPr>
              <w:fldChar w:fldCharType="end"/>
            </w:r>
          </w:hyperlink>
        </w:p>
        <w:p w14:paraId="7D438BB6" w14:textId="2D4C696C" w:rsidR="00FD7442" w:rsidRPr="00E06CBA" w:rsidRDefault="00FD7442">
          <w:pPr>
            <w:pStyle w:val="TOC1"/>
            <w:tabs>
              <w:tab w:val="right" w:leader="dot" w:pos="9016"/>
            </w:tabs>
            <w:rPr>
              <w:rFonts w:ascii="Arial" w:eastAsiaTheme="minorEastAsia" w:hAnsi="Arial" w:cs="Arial"/>
              <w:noProof/>
              <w:sz w:val="22"/>
              <w:szCs w:val="22"/>
              <w:lang w:eastAsia="en-GB"/>
            </w:rPr>
          </w:pPr>
          <w:hyperlink w:anchor="_Toc216770893" w:history="1">
            <w:r w:rsidRPr="00E06CBA">
              <w:rPr>
                <w:rStyle w:val="Hyperlink"/>
                <w:rFonts w:ascii="Arial" w:hAnsi="Arial" w:cs="Arial"/>
                <w:noProof/>
                <w:sz w:val="22"/>
                <w:szCs w:val="22"/>
              </w:rPr>
              <w:t>3. Recommended Solution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_Toc216770893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4</w:t>
            </w:r>
            <w:r w:rsidRPr="00E06CBA">
              <w:rPr>
                <w:rFonts w:ascii="Arial" w:hAnsi="Arial" w:cs="Arial"/>
                <w:noProof/>
                <w:webHidden/>
                <w:sz w:val="22"/>
                <w:szCs w:val="22"/>
              </w:rPr>
              <w:fldChar w:fldCharType="end"/>
            </w:r>
          </w:hyperlink>
        </w:p>
        <w:p w14:paraId="2353C938" w14:textId="1A0C3657"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4" w:history="1">
            <w:r w:rsidRPr="00E06CBA">
              <w:rPr>
                <w:rStyle w:val="Hyperlink"/>
                <w:rFonts w:ascii="Arial" w:hAnsi="Arial" w:cs="Arial"/>
                <w:noProof/>
                <w:sz w:val="22"/>
                <w:szCs w:val="22"/>
              </w:rPr>
              <w:t>3.1 Proposed Information System</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_Toc216770894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4</w:t>
            </w:r>
            <w:r w:rsidRPr="00E06CBA">
              <w:rPr>
                <w:rFonts w:ascii="Arial" w:hAnsi="Arial" w:cs="Arial"/>
                <w:noProof/>
                <w:webHidden/>
                <w:sz w:val="22"/>
                <w:szCs w:val="22"/>
              </w:rPr>
              <w:fldChar w:fldCharType="end"/>
            </w:r>
          </w:hyperlink>
        </w:p>
        <w:p w14:paraId="605B25CF" w14:textId="5307880D"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5" w:history="1">
            <w:r w:rsidRPr="00E06CBA">
              <w:rPr>
                <w:rStyle w:val="Hyperlink"/>
                <w:rFonts w:ascii="Arial" w:hAnsi="Arial" w:cs="Arial"/>
                <w:noProof/>
                <w:sz w:val="22"/>
                <w:szCs w:val="22"/>
              </w:rPr>
              <w:t>3.2 Justification: Efficiency, Cost, and Scalability</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_Toc216770895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5</w:t>
            </w:r>
            <w:r w:rsidRPr="00E06CBA">
              <w:rPr>
                <w:rFonts w:ascii="Arial" w:hAnsi="Arial" w:cs="Arial"/>
                <w:noProof/>
                <w:webHidden/>
                <w:sz w:val="22"/>
                <w:szCs w:val="22"/>
              </w:rPr>
              <w:fldChar w:fldCharType="end"/>
            </w:r>
          </w:hyperlink>
        </w:p>
        <w:p w14:paraId="23C66672" w14:textId="1E2DD653"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6" w:history="1">
            <w:r w:rsidRPr="00E06CBA">
              <w:rPr>
                <w:rStyle w:val="Hyperlink"/>
                <w:rFonts w:ascii="Arial" w:hAnsi="Arial" w:cs="Arial"/>
                <w:noProof/>
                <w:sz w:val="22"/>
                <w:szCs w:val="22"/>
              </w:rPr>
              <w:t>3.3 Impact on Operations, Data Management, and Decision-Making</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_Toc216770896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5</w:t>
            </w:r>
            <w:r w:rsidRPr="00E06CBA">
              <w:rPr>
                <w:rFonts w:ascii="Arial" w:hAnsi="Arial" w:cs="Arial"/>
                <w:noProof/>
                <w:webHidden/>
                <w:sz w:val="22"/>
                <w:szCs w:val="22"/>
              </w:rPr>
              <w:fldChar w:fldCharType="end"/>
            </w:r>
          </w:hyperlink>
        </w:p>
        <w:p w14:paraId="0D54DAA4" w14:textId="66728A34" w:rsidR="00FD7442" w:rsidRPr="00E06CBA" w:rsidRDefault="00FD7442">
          <w:pPr>
            <w:pStyle w:val="TOC1"/>
            <w:tabs>
              <w:tab w:val="right" w:leader="dot" w:pos="9016"/>
            </w:tabs>
            <w:rPr>
              <w:rFonts w:ascii="Arial" w:eastAsiaTheme="minorEastAsia" w:hAnsi="Arial" w:cs="Arial"/>
              <w:noProof/>
              <w:sz w:val="22"/>
              <w:szCs w:val="22"/>
              <w:lang w:eastAsia="en-GB"/>
            </w:rPr>
          </w:pPr>
          <w:hyperlink w:anchor="_Toc216770897" w:history="1">
            <w:r w:rsidRPr="00E06CBA">
              <w:rPr>
                <w:rStyle w:val="Hyperlink"/>
                <w:rFonts w:ascii="Arial" w:hAnsi="Arial" w:cs="Arial"/>
                <w:noProof/>
                <w:sz w:val="22"/>
                <w:szCs w:val="22"/>
              </w:rPr>
              <w:t>4. Implementation Plan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_Toc216770897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5</w:t>
            </w:r>
            <w:r w:rsidRPr="00E06CBA">
              <w:rPr>
                <w:rFonts w:ascii="Arial" w:hAnsi="Arial" w:cs="Arial"/>
                <w:noProof/>
                <w:webHidden/>
                <w:sz w:val="22"/>
                <w:szCs w:val="22"/>
              </w:rPr>
              <w:fldChar w:fldCharType="end"/>
            </w:r>
          </w:hyperlink>
        </w:p>
        <w:p w14:paraId="0B54740A" w14:textId="4DF70C31"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8" w:history="1">
            <w:r w:rsidRPr="00E06CBA">
              <w:rPr>
                <w:rStyle w:val="Hyperlink"/>
                <w:rFonts w:ascii="Arial" w:hAnsi="Arial" w:cs="Arial"/>
                <w:noProof/>
                <w:sz w:val="22"/>
                <w:szCs w:val="22"/>
              </w:rPr>
              <w:t>4.1 Theoretical Framework: Technology Acceptance Model</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_Toc216770898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6</w:t>
            </w:r>
            <w:r w:rsidRPr="00E06CBA">
              <w:rPr>
                <w:rFonts w:ascii="Arial" w:hAnsi="Arial" w:cs="Arial"/>
                <w:noProof/>
                <w:webHidden/>
                <w:sz w:val="22"/>
                <w:szCs w:val="22"/>
              </w:rPr>
              <w:fldChar w:fldCharType="end"/>
            </w:r>
          </w:hyperlink>
        </w:p>
        <w:p w14:paraId="41F4486C" w14:textId="354E2F06"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899" w:history="1">
            <w:r w:rsidRPr="00E06CBA">
              <w:rPr>
                <w:rStyle w:val="Hyperlink"/>
                <w:rFonts w:ascii="Arial" w:hAnsi="Arial" w:cs="Arial"/>
                <w:noProof/>
                <w:sz w:val="22"/>
                <w:szCs w:val="22"/>
              </w:rPr>
              <w:t>4.2 Phased Implementation Approach</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_Toc216770899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6</w:t>
            </w:r>
            <w:r w:rsidRPr="00E06CBA">
              <w:rPr>
                <w:rFonts w:ascii="Arial" w:hAnsi="Arial" w:cs="Arial"/>
                <w:noProof/>
                <w:webHidden/>
                <w:sz w:val="22"/>
                <w:szCs w:val="22"/>
              </w:rPr>
              <w:fldChar w:fldCharType="end"/>
            </w:r>
          </w:hyperlink>
        </w:p>
        <w:p w14:paraId="538B3831" w14:textId="519571EC" w:rsidR="00FD7442" w:rsidRPr="00E06CBA" w:rsidRDefault="00FD7442">
          <w:pPr>
            <w:pStyle w:val="TOC3"/>
            <w:tabs>
              <w:tab w:val="right" w:leader="dot" w:pos="9016"/>
            </w:tabs>
            <w:rPr>
              <w:rFonts w:ascii="Arial" w:eastAsiaTheme="minorEastAsia" w:hAnsi="Arial" w:cs="Arial"/>
              <w:noProof/>
              <w:sz w:val="22"/>
              <w:szCs w:val="22"/>
              <w:lang w:eastAsia="en-GB"/>
            </w:rPr>
          </w:pPr>
          <w:hyperlink w:anchor="_Toc216770900" w:history="1">
            <w:r w:rsidRPr="00E06CBA">
              <w:rPr>
                <w:rStyle w:val="Hyperlink"/>
                <w:rFonts w:ascii="Arial" w:hAnsi="Arial" w:cs="Arial"/>
                <w:noProof/>
                <w:sz w:val="22"/>
                <w:szCs w:val="22"/>
              </w:rPr>
              <w:t>4.2.1 Needs Assessment and System Selection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_Toc216770900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6</w:t>
            </w:r>
            <w:r w:rsidRPr="00E06CBA">
              <w:rPr>
                <w:rFonts w:ascii="Arial" w:hAnsi="Arial" w:cs="Arial"/>
                <w:noProof/>
                <w:webHidden/>
                <w:sz w:val="22"/>
                <w:szCs w:val="22"/>
              </w:rPr>
              <w:fldChar w:fldCharType="end"/>
            </w:r>
          </w:hyperlink>
        </w:p>
        <w:p w14:paraId="1EF78B4A" w14:textId="63A96340" w:rsidR="00FD7442" w:rsidRPr="00E06CBA" w:rsidRDefault="00FD7442">
          <w:pPr>
            <w:pStyle w:val="TOC3"/>
            <w:tabs>
              <w:tab w:val="right" w:leader="dot" w:pos="9016"/>
            </w:tabs>
            <w:rPr>
              <w:rFonts w:ascii="Arial" w:eastAsiaTheme="minorEastAsia" w:hAnsi="Arial" w:cs="Arial"/>
              <w:noProof/>
              <w:sz w:val="22"/>
              <w:szCs w:val="22"/>
              <w:lang w:eastAsia="en-GB"/>
            </w:rPr>
          </w:pPr>
          <w:hyperlink w:anchor="_Toc216770901" w:history="1">
            <w:r w:rsidRPr="00E06CBA">
              <w:rPr>
                <w:rStyle w:val="Hyperlink"/>
                <w:rFonts w:ascii="Arial" w:hAnsi="Arial" w:cs="Arial"/>
                <w:noProof/>
                <w:sz w:val="22"/>
                <w:szCs w:val="22"/>
              </w:rPr>
              <w:t>4.2.2 Data Migration and Configuration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_Toc216770901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6</w:t>
            </w:r>
            <w:r w:rsidRPr="00E06CBA">
              <w:rPr>
                <w:rFonts w:ascii="Arial" w:hAnsi="Arial" w:cs="Arial"/>
                <w:noProof/>
                <w:webHidden/>
                <w:sz w:val="22"/>
                <w:szCs w:val="22"/>
              </w:rPr>
              <w:fldChar w:fldCharType="end"/>
            </w:r>
          </w:hyperlink>
        </w:p>
        <w:p w14:paraId="19A76768" w14:textId="3BB28441" w:rsidR="00FD7442" w:rsidRPr="00E06CBA" w:rsidRDefault="00FD7442">
          <w:pPr>
            <w:pStyle w:val="TOC3"/>
            <w:tabs>
              <w:tab w:val="right" w:leader="dot" w:pos="9016"/>
            </w:tabs>
            <w:rPr>
              <w:rFonts w:ascii="Arial" w:eastAsiaTheme="minorEastAsia" w:hAnsi="Arial" w:cs="Arial"/>
              <w:noProof/>
              <w:sz w:val="22"/>
              <w:szCs w:val="22"/>
              <w:lang w:eastAsia="en-GB"/>
            </w:rPr>
          </w:pPr>
          <w:hyperlink w:anchor="_Toc216770902" w:history="1">
            <w:r w:rsidRPr="00E06CBA">
              <w:rPr>
                <w:rStyle w:val="Hyperlink"/>
                <w:rFonts w:ascii="Arial" w:hAnsi="Arial" w:cs="Arial"/>
                <w:noProof/>
                <w:sz w:val="22"/>
                <w:szCs w:val="22"/>
              </w:rPr>
              <w:t>4.2.3 System Integration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_Toc216770902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6</w:t>
            </w:r>
            <w:r w:rsidRPr="00E06CBA">
              <w:rPr>
                <w:rFonts w:ascii="Arial" w:hAnsi="Arial" w:cs="Arial"/>
                <w:noProof/>
                <w:webHidden/>
                <w:sz w:val="22"/>
                <w:szCs w:val="22"/>
              </w:rPr>
              <w:fldChar w:fldCharType="end"/>
            </w:r>
          </w:hyperlink>
        </w:p>
        <w:p w14:paraId="4636CC3C" w14:textId="57FE66CC" w:rsidR="00FD7442" w:rsidRPr="00E06CBA" w:rsidRDefault="00FD7442">
          <w:pPr>
            <w:pStyle w:val="TOC3"/>
            <w:tabs>
              <w:tab w:val="right" w:leader="dot" w:pos="9016"/>
            </w:tabs>
            <w:rPr>
              <w:rFonts w:ascii="Arial" w:eastAsiaTheme="minorEastAsia" w:hAnsi="Arial" w:cs="Arial"/>
              <w:noProof/>
              <w:sz w:val="22"/>
              <w:szCs w:val="22"/>
              <w:lang w:eastAsia="en-GB"/>
            </w:rPr>
          </w:pPr>
          <w:hyperlink w:anchor="_Toc216770903" w:history="1">
            <w:r w:rsidRPr="00E06CBA">
              <w:rPr>
                <w:rStyle w:val="Hyperlink"/>
                <w:rFonts w:ascii="Arial" w:hAnsi="Arial" w:cs="Arial"/>
                <w:noProof/>
                <w:sz w:val="22"/>
                <w:szCs w:val="22"/>
              </w:rPr>
              <w:t>4.2.4 Training and Change Management</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_Toc216770903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6</w:t>
            </w:r>
            <w:r w:rsidRPr="00E06CBA">
              <w:rPr>
                <w:rFonts w:ascii="Arial" w:hAnsi="Arial" w:cs="Arial"/>
                <w:noProof/>
                <w:webHidden/>
                <w:sz w:val="22"/>
                <w:szCs w:val="22"/>
              </w:rPr>
              <w:fldChar w:fldCharType="end"/>
            </w:r>
          </w:hyperlink>
        </w:p>
        <w:p w14:paraId="3F45F044" w14:textId="0E7A97BC" w:rsidR="00FD7442" w:rsidRPr="00E06CBA" w:rsidRDefault="00FD7442">
          <w:pPr>
            <w:pStyle w:val="TOC3"/>
            <w:tabs>
              <w:tab w:val="right" w:leader="dot" w:pos="9016"/>
            </w:tabs>
            <w:rPr>
              <w:rFonts w:ascii="Arial" w:eastAsiaTheme="minorEastAsia" w:hAnsi="Arial" w:cs="Arial"/>
              <w:noProof/>
              <w:sz w:val="22"/>
              <w:szCs w:val="22"/>
              <w:lang w:eastAsia="en-GB"/>
            </w:rPr>
          </w:pPr>
          <w:hyperlink w:anchor="_Toc216770904" w:history="1">
            <w:r w:rsidRPr="00E06CBA">
              <w:rPr>
                <w:rStyle w:val="Hyperlink"/>
                <w:rFonts w:ascii="Arial" w:hAnsi="Arial" w:cs="Arial"/>
                <w:noProof/>
                <w:sz w:val="22"/>
                <w:szCs w:val="22"/>
              </w:rPr>
              <w:t>4.2.5 Testing and Go-Live</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_Toc216770904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6</w:t>
            </w:r>
            <w:r w:rsidRPr="00E06CBA">
              <w:rPr>
                <w:rFonts w:ascii="Arial" w:hAnsi="Arial" w:cs="Arial"/>
                <w:noProof/>
                <w:webHidden/>
                <w:sz w:val="22"/>
                <w:szCs w:val="22"/>
              </w:rPr>
              <w:fldChar w:fldCharType="end"/>
            </w:r>
          </w:hyperlink>
        </w:p>
        <w:p w14:paraId="791F2BB4" w14:textId="5F5F217E" w:rsidR="00FD7442" w:rsidRPr="00E06CBA" w:rsidRDefault="00FD7442">
          <w:pPr>
            <w:pStyle w:val="TOC2"/>
            <w:tabs>
              <w:tab w:val="right" w:leader="dot" w:pos="9016"/>
            </w:tabs>
            <w:rPr>
              <w:rFonts w:ascii="Arial" w:eastAsiaTheme="minorEastAsia" w:hAnsi="Arial" w:cs="Arial"/>
              <w:noProof/>
              <w:sz w:val="22"/>
              <w:szCs w:val="22"/>
              <w:lang w:eastAsia="en-GB"/>
            </w:rPr>
          </w:pPr>
          <w:hyperlink w:anchor="_Toc216770905" w:history="1">
            <w:r w:rsidRPr="00E06CBA">
              <w:rPr>
                <w:rStyle w:val="Hyperlink"/>
                <w:rFonts w:ascii="Arial" w:hAnsi="Arial" w:cs="Arial"/>
                <w:noProof/>
                <w:sz w:val="22"/>
                <w:szCs w:val="22"/>
              </w:rPr>
              <w:t>4.3 Risk Management and Governance</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_Toc216770905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7</w:t>
            </w:r>
            <w:r w:rsidRPr="00E06CBA">
              <w:rPr>
                <w:rFonts w:ascii="Arial" w:hAnsi="Arial" w:cs="Arial"/>
                <w:noProof/>
                <w:webHidden/>
                <w:sz w:val="22"/>
                <w:szCs w:val="22"/>
              </w:rPr>
              <w:fldChar w:fldCharType="end"/>
            </w:r>
          </w:hyperlink>
        </w:p>
        <w:p w14:paraId="3BDC91C6" w14:textId="372811E1" w:rsidR="00FD7442" w:rsidRPr="00E06CBA" w:rsidRDefault="00FD7442">
          <w:pPr>
            <w:pStyle w:val="TOC1"/>
            <w:tabs>
              <w:tab w:val="right" w:leader="dot" w:pos="9016"/>
            </w:tabs>
            <w:rPr>
              <w:rFonts w:ascii="Arial" w:eastAsiaTheme="minorEastAsia" w:hAnsi="Arial" w:cs="Arial"/>
              <w:noProof/>
              <w:sz w:val="22"/>
              <w:szCs w:val="22"/>
              <w:lang w:eastAsia="en-GB"/>
            </w:rPr>
          </w:pPr>
          <w:hyperlink w:anchor="_Toc216770906" w:history="1">
            <w:r w:rsidRPr="00E06CBA">
              <w:rPr>
                <w:rStyle w:val="Hyperlink"/>
                <w:rFonts w:ascii="Arial" w:hAnsi="Arial" w:cs="Arial"/>
                <w:noProof/>
                <w:sz w:val="22"/>
                <w:szCs w:val="22"/>
              </w:rPr>
              <w:t>5. Conclusion</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_Toc216770906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7</w:t>
            </w:r>
            <w:r w:rsidRPr="00E06CBA">
              <w:rPr>
                <w:rFonts w:ascii="Arial" w:hAnsi="Arial" w:cs="Arial"/>
                <w:noProof/>
                <w:webHidden/>
                <w:sz w:val="22"/>
                <w:szCs w:val="22"/>
              </w:rPr>
              <w:fldChar w:fldCharType="end"/>
            </w:r>
          </w:hyperlink>
        </w:p>
        <w:p w14:paraId="17D13CA9" w14:textId="5757A1B1" w:rsidR="00FD7442" w:rsidRPr="00E06CBA" w:rsidRDefault="00FD7442">
          <w:pPr>
            <w:pStyle w:val="TOC1"/>
            <w:tabs>
              <w:tab w:val="right" w:leader="dot" w:pos="9016"/>
            </w:tabs>
            <w:rPr>
              <w:rFonts w:ascii="Arial" w:eastAsiaTheme="minorEastAsia" w:hAnsi="Arial" w:cs="Arial"/>
              <w:noProof/>
              <w:sz w:val="22"/>
              <w:szCs w:val="22"/>
              <w:lang w:eastAsia="en-GB"/>
            </w:rPr>
          </w:pPr>
          <w:hyperlink w:anchor="_Toc216770907" w:history="1">
            <w:r w:rsidRPr="00E06CBA">
              <w:rPr>
                <w:rStyle w:val="Hyperlink"/>
                <w:rFonts w:ascii="Arial" w:hAnsi="Arial" w:cs="Arial"/>
                <w:noProof/>
                <w:sz w:val="22"/>
                <w:szCs w:val="22"/>
              </w:rPr>
              <w:t>References</w:t>
            </w:r>
            <w:r w:rsidRPr="00E06CBA">
              <w:rPr>
                <w:rFonts w:ascii="Arial" w:hAnsi="Arial" w:cs="Arial"/>
                <w:noProof/>
                <w:webHidden/>
                <w:sz w:val="22"/>
                <w:szCs w:val="22"/>
              </w:rPr>
              <w:tab/>
            </w:r>
            <w:r w:rsidRPr="00E06CBA">
              <w:rPr>
                <w:rFonts w:ascii="Arial" w:hAnsi="Arial" w:cs="Arial"/>
                <w:noProof/>
                <w:webHidden/>
                <w:sz w:val="22"/>
                <w:szCs w:val="22"/>
              </w:rPr>
              <w:fldChar w:fldCharType="begin"/>
            </w:r>
            <w:r w:rsidRPr="00E06CBA">
              <w:rPr>
                <w:rFonts w:ascii="Arial" w:hAnsi="Arial" w:cs="Arial"/>
                <w:noProof/>
                <w:webHidden/>
                <w:sz w:val="22"/>
                <w:szCs w:val="22"/>
              </w:rPr>
              <w:instrText xml:space="preserve"> PAGEREF _Toc216770907 \h </w:instrText>
            </w:r>
            <w:r w:rsidRPr="00E06CBA">
              <w:rPr>
                <w:rFonts w:ascii="Arial" w:hAnsi="Arial" w:cs="Arial"/>
                <w:noProof/>
                <w:webHidden/>
                <w:sz w:val="22"/>
                <w:szCs w:val="22"/>
              </w:rPr>
            </w:r>
            <w:r w:rsidRPr="00E06CBA">
              <w:rPr>
                <w:rFonts w:ascii="Arial" w:hAnsi="Arial" w:cs="Arial"/>
                <w:noProof/>
                <w:webHidden/>
                <w:sz w:val="22"/>
                <w:szCs w:val="22"/>
              </w:rPr>
              <w:fldChar w:fldCharType="separate"/>
            </w:r>
            <w:r w:rsidRPr="00E06CBA">
              <w:rPr>
                <w:rFonts w:ascii="Arial" w:hAnsi="Arial" w:cs="Arial"/>
                <w:noProof/>
                <w:webHidden/>
                <w:sz w:val="22"/>
                <w:szCs w:val="22"/>
              </w:rPr>
              <w:t>8</w:t>
            </w:r>
            <w:r w:rsidRPr="00E06CBA">
              <w:rPr>
                <w:rFonts w:ascii="Arial" w:hAnsi="Arial" w:cs="Arial"/>
                <w:noProof/>
                <w:webHidden/>
                <w:sz w:val="22"/>
                <w:szCs w:val="22"/>
              </w:rPr>
              <w:fldChar w:fldCharType="end"/>
            </w:r>
          </w:hyperlink>
        </w:p>
        <w:p w14:paraId="2B3EDD5D" w14:textId="5110F02B" w:rsidR="00FD7442" w:rsidRDefault="00FD7442">
          <w:r w:rsidRPr="00E06CBA">
            <w:rPr>
              <w:rFonts w:ascii="Arial" w:hAnsi="Arial" w:cs="Arial"/>
              <w:b/>
              <w:bCs/>
              <w:sz w:val="22"/>
              <w:szCs w:val="22"/>
            </w:rPr>
            <w:fldChar w:fldCharType="end"/>
          </w:r>
        </w:p>
      </w:sdtContent>
    </w:sdt>
    <w:p w14:paraId="3DB6BA30" w14:textId="77777777" w:rsidR="00C474D2" w:rsidRDefault="007D5417" w:rsidP="00C474D2">
      <w:pPr>
        <w:spacing w:line="360" w:lineRule="auto"/>
        <w:jc w:val="both"/>
        <w:rPr>
          <w:rFonts w:ascii="Arial" w:hAnsi="Arial" w:cs="Arial"/>
          <w:sz w:val="22"/>
          <w:szCs w:val="22"/>
        </w:rPr>
      </w:pPr>
      <w:r w:rsidRPr="00CF20B7">
        <w:rPr>
          <w:rFonts w:ascii="Arial" w:hAnsi="Arial" w:cs="Arial"/>
          <w:sz w:val="22"/>
          <w:szCs w:val="22"/>
        </w:rPr>
        <w:br w:type="page"/>
      </w:r>
      <w:bookmarkStart w:id="0" w:name="_Toc216770887"/>
    </w:p>
    <w:p w14:paraId="2FABE4A6" w14:textId="4E4810BB" w:rsidR="00330859" w:rsidRPr="00444DBC" w:rsidRDefault="00330859" w:rsidP="00993544">
      <w:pPr>
        <w:pStyle w:val="Heading1"/>
      </w:pPr>
      <w:r w:rsidRPr="00444DBC">
        <w:lastRenderedPageBreak/>
        <w:t>1. Introduction</w:t>
      </w:r>
    </w:p>
    <w:p w14:paraId="706F85F9" w14:textId="77777777" w:rsidR="00330859" w:rsidRPr="00444DBC" w:rsidRDefault="00330859" w:rsidP="00444DBC">
      <w:pPr>
        <w:pStyle w:val="Heading1"/>
        <w:spacing w:line="360" w:lineRule="auto"/>
        <w:jc w:val="both"/>
        <w:rPr>
          <w:rFonts w:ascii="Arial" w:hAnsi="Arial" w:cs="Arial"/>
          <w:sz w:val="22"/>
          <w:szCs w:val="22"/>
        </w:rPr>
      </w:pPr>
      <w:r w:rsidRPr="00444DBC">
        <w:rPr>
          <w:rFonts w:ascii="Arial" w:hAnsi="Arial" w:cs="Arial"/>
          <w:sz w:val="22"/>
          <w:szCs w:val="22"/>
        </w:rPr>
        <w:t>AKPerog Ltd is a fast</w:t>
      </w:r>
      <w:r w:rsidRPr="00444DBC">
        <w:rPr>
          <w:rFonts w:ascii="Cambria Math" w:hAnsi="Cambria Math" w:cs="Cambria Math"/>
          <w:sz w:val="22"/>
          <w:szCs w:val="22"/>
        </w:rPr>
        <w:t>‑</w:t>
      </w:r>
      <w:r w:rsidRPr="00444DBC">
        <w:rPr>
          <w:rFonts w:ascii="Arial" w:hAnsi="Arial" w:cs="Arial"/>
          <w:sz w:val="22"/>
          <w:szCs w:val="22"/>
        </w:rPr>
        <w:t>growing consumer electronics retailer operating thirty physical stores alongside an expanding online platform. Although revenue has increased steadily, the organisation’s internal systems have not evolved at the same pace. As companies scale, operational complexity rises, and this complexity becomes far harder to manage when information systems remain fragmented rather than integrated, as Vial (2021) notes in discussions of digital maturity. At AKPerog Ltd, continued dependence on manual and disconnected processes has led to inefficiencies, higher operating costs, and a noticeable decline in customer satisfaction.</w:t>
      </w:r>
    </w:p>
    <w:p w14:paraId="4BFC62EB" w14:textId="77777777" w:rsidR="00330859" w:rsidRPr="00444DBC" w:rsidRDefault="00330859" w:rsidP="00444DBC">
      <w:pPr>
        <w:pStyle w:val="Heading1"/>
        <w:spacing w:line="360" w:lineRule="auto"/>
        <w:jc w:val="both"/>
        <w:rPr>
          <w:rFonts w:ascii="Arial" w:hAnsi="Arial" w:cs="Arial"/>
          <w:sz w:val="22"/>
          <w:szCs w:val="22"/>
        </w:rPr>
      </w:pPr>
      <w:r w:rsidRPr="00444DBC">
        <w:rPr>
          <w:rFonts w:ascii="Arial" w:hAnsi="Arial" w:cs="Arial"/>
          <w:sz w:val="22"/>
          <w:szCs w:val="22"/>
        </w:rPr>
        <w:t>Inventory management is one of the most pressing issues. Stock levels are still recorded manually through spreadsheets, which rarely reflect real</w:t>
      </w:r>
      <w:r w:rsidRPr="00444DBC">
        <w:rPr>
          <w:rFonts w:ascii="Cambria Math" w:hAnsi="Cambria Math" w:cs="Cambria Math"/>
          <w:sz w:val="22"/>
          <w:szCs w:val="22"/>
        </w:rPr>
        <w:t>‑</w:t>
      </w:r>
      <w:r w:rsidRPr="00444DBC">
        <w:rPr>
          <w:rFonts w:ascii="Arial" w:hAnsi="Arial" w:cs="Arial"/>
          <w:sz w:val="22"/>
          <w:szCs w:val="22"/>
        </w:rPr>
        <w:t>time availability. In an omnichannel retail environment, this creates significant problems, as customers may place online orders for items that are no longer in stock. Research on retail operations shows that manual inventory practices often produce discrepancies between actual and recorded stock levels, with Attaran (2022) observing that such inconsistencies increase the likelihood of stockouts and customer complaints.</w:t>
      </w:r>
    </w:p>
    <w:p w14:paraId="3883000A" w14:textId="77777777" w:rsidR="00330859" w:rsidRPr="00444DBC" w:rsidRDefault="00330859" w:rsidP="00444DBC">
      <w:pPr>
        <w:pStyle w:val="Heading1"/>
        <w:spacing w:line="360" w:lineRule="auto"/>
        <w:jc w:val="both"/>
        <w:rPr>
          <w:rFonts w:ascii="Arial" w:hAnsi="Arial" w:cs="Arial"/>
          <w:sz w:val="22"/>
          <w:szCs w:val="22"/>
        </w:rPr>
      </w:pPr>
      <w:r w:rsidRPr="00444DBC">
        <w:rPr>
          <w:rFonts w:ascii="Arial" w:hAnsi="Arial" w:cs="Arial"/>
          <w:sz w:val="22"/>
          <w:szCs w:val="22"/>
        </w:rPr>
        <w:t>Customer relationship management faces similar limitations. Customer information is spread across store databases, marketing tools, and support systems, preventing the creation of a unified customer profile. When data remains siloed, organisations struggle to personalise interactions and build long</w:t>
      </w:r>
      <w:r w:rsidRPr="00444DBC">
        <w:rPr>
          <w:rFonts w:ascii="Cambria Math" w:hAnsi="Cambria Math" w:cs="Cambria Math"/>
          <w:sz w:val="22"/>
          <w:szCs w:val="22"/>
        </w:rPr>
        <w:t>‑</w:t>
      </w:r>
      <w:r w:rsidRPr="00444DBC">
        <w:rPr>
          <w:rFonts w:ascii="Arial" w:hAnsi="Arial" w:cs="Arial"/>
          <w:sz w:val="22"/>
          <w:szCs w:val="22"/>
        </w:rPr>
        <w:t>term relationships, as Harrigan et al. (2021) explain in their work on digital customer engagement. As a result, AKPerog Ltd is restricted in its ability to deliver targeted marketing and consistent service across channels.</w:t>
      </w:r>
    </w:p>
    <w:p w14:paraId="264F49AA" w14:textId="77777777" w:rsidR="00330859" w:rsidRPr="00444DBC" w:rsidRDefault="00330859" w:rsidP="00444DBC">
      <w:pPr>
        <w:pStyle w:val="Heading1"/>
        <w:spacing w:line="360" w:lineRule="auto"/>
        <w:jc w:val="both"/>
        <w:rPr>
          <w:rFonts w:ascii="Arial" w:hAnsi="Arial" w:cs="Arial"/>
          <w:sz w:val="22"/>
          <w:szCs w:val="22"/>
        </w:rPr>
      </w:pPr>
      <w:r w:rsidRPr="00444DBC">
        <w:rPr>
          <w:rFonts w:ascii="Arial" w:hAnsi="Arial" w:cs="Arial"/>
          <w:sz w:val="22"/>
          <w:szCs w:val="22"/>
        </w:rPr>
        <w:t>Decision</w:t>
      </w:r>
      <w:r w:rsidRPr="00444DBC">
        <w:rPr>
          <w:rFonts w:ascii="Cambria Math" w:hAnsi="Cambria Math" w:cs="Cambria Math"/>
          <w:sz w:val="22"/>
          <w:szCs w:val="22"/>
        </w:rPr>
        <w:t>‑</w:t>
      </w:r>
      <w:r w:rsidRPr="00444DBC">
        <w:rPr>
          <w:rFonts w:ascii="Arial" w:hAnsi="Arial" w:cs="Arial"/>
          <w:sz w:val="22"/>
          <w:szCs w:val="22"/>
        </w:rPr>
        <w:t>making is further constrained by slow reporting processes. Sales and performance data are compiled manually several days after transactions occur, limiting management’s access to timely insights. Organisations relying on delayed and error</w:t>
      </w:r>
      <w:r w:rsidRPr="00444DBC">
        <w:rPr>
          <w:rFonts w:ascii="Cambria Math" w:hAnsi="Cambria Math" w:cs="Cambria Math"/>
          <w:sz w:val="22"/>
          <w:szCs w:val="22"/>
        </w:rPr>
        <w:t>‑</w:t>
      </w:r>
      <w:r w:rsidRPr="00444DBC">
        <w:rPr>
          <w:rFonts w:ascii="Arial" w:hAnsi="Arial" w:cs="Arial"/>
          <w:sz w:val="22"/>
          <w:szCs w:val="22"/>
        </w:rPr>
        <w:t>prone reporting are more vulnerable to forecasting inaccuracies, with Popovič et al. (2022) showing that slow analytics reduce organisational responsiveness. At the same time, weak access controls and limited audit trails expose AKPerog Ltd to data protection risks, raising the possibility of GDPR non</w:t>
      </w:r>
      <w:r w:rsidRPr="00444DBC">
        <w:rPr>
          <w:rFonts w:ascii="Cambria Math" w:hAnsi="Cambria Math" w:cs="Cambria Math"/>
          <w:sz w:val="22"/>
          <w:szCs w:val="22"/>
        </w:rPr>
        <w:t>‑</w:t>
      </w:r>
      <w:r w:rsidRPr="00444DBC">
        <w:rPr>
          <w:rFonts w:ascii="Arial" w:hAnsi="Arial" w:cs="Arial"/>
          <w:sz w:val="22"/>
          <w:szCs w:val="22"/>
        </w:rPr>
        <w:t>compliance, as highlighted by Tikkinen</w:t>
      </w:r>
      <w:r w:rsidRPr="00444DBC">
        <w:rPr>
          <w:rFonts w:ascii="Cambria Math" w:hAnsi="Cambria Math" w:cs="Cambria Math"/>
          <w:sz w:val="22"/>
          <w:szCs w:val="22"/>
        </w:rPr>
        <w:t>‑</w:t>
      </w:r>
      <w:r w:rsidRPr="00444DBC">
        <w:rPr>
          <w:rFonts w:ascii="Arial" w:hAnsi="Arial" w:cs="Arial"/>
          <w:sz w:val="22"/>
          <w:szCs w:val="22"/>
        </w:rPr>
        <w:t>Piri et al. (2020).</w:t>
      </w:r>
    </w:p>
    <w:p w14:paraId="20CE2672" w14:textId="77777777" w:rsidR="00330859" w:rsidRPr="00444DBC" w:rsidRDefault="00330859" w:rsidP="00444DBC">
      <w:pPr>
        <w:pStyle w:val="Heading1"/>
        <w:spacing w:line="360" w:lineRule="auto"/>
        <w:jc w:val="both"/>
        <w:rPr>
          <w:rFonts w:ascii="Arial" w:hAnsi="Arial" w:cs="Arial"/>
          <w:sz w:val="22"/>
          <w:szCs w:val="22"/>
        </w:rPr>
      </w:pPr>
      <w:r w:rsidRPr="00444DBC">
        <w:rPr>
          <w:rFonts w:ascii="Arial" w:hAnsi="Arial" w:cs="Arial"/>
          <w:sz w:val="22"/>
          <w:szCs w:val="22"/>
        </w:rPr>
        <w:t>Collectively, these challenges demonstrate the urgent need for AKPerog Ltd to modernise its information systems. Without a scalable and integrated digital infrastructure, the organisation risks operational bottlenecks that could undermine its competitive position in a rapidly evolving retail market.</w:t>
      </w:r>
    </w:p>
    <w:p w14:paraId="7566E45E" w14:textId="77777777" w:rsidR="007A3601" w:rsidRPr="00993544" w:rsidRDefault="00BC1D19" w:rsidP="00444DBC">
      <w:pPr>
        <w:pStyle w:val="Heading1"/>
        <w:spacing w:line="360" w:lineRule="auto"/>
        <w:jc w:val="both"/>
      </w:pPr>
      <w:r w:rsidRPr="00444DBC">
        <w:rPr>
          <w:rFonts w:ascii="Arial" w:hAnsi="Arial" w:cs="Arial"/>
          <w:sz w:val="22"/>
          <w:szCs w:val="22"/>
        </w:rPr>
        <w:t>2</w:t>
      </w:r>
      <w:r w:rsidRPr="00993544">
        <w:t xml:space="preserve">. </w:t>
      </w:r>
      <w:bookmarkStart w:id="1" w:name="_Toc216770893"/>
      <w:bookmarkEnd w:id="0"/>
      <w:r w:rsidR="007A3601" w:rsidRPr="00993544">
        <w:t>Evaluation of Existing Systems</w:t>
      </w:r>
    </w:p>
    <w:p w14:paraId="0753F12C" w14:textId="77777777" w:rsidR="007A3601" w:rsidRPr="00444DBC" w:rsidRDefault="007A3601" w:rsidP="00993544">
      <w:pPr>
        <w:pStyle w:val="Heading2"/>
      </w:pPr>
      <w:r w:rsidRPr="00444DBC">
        <w:lastRenderedPageBreak/>
        <w:t>2.1 Inventory Management Limitations</w:t>
      </w:r>
    </w:p>
    <w:p w14:paraId="3A57E4C0" w14:textId="77777777" w:rsidR="007A3601" w:rsidRPr="00444DBC" w:rsidRDefault="007A3601" w:rsidP="00444DBC">
      <w:pPr>
        <w:pStyle w:val="Heading1"/>
        <w:spacing w:line="360" w:lineRule="auto"/>
        <w:jc w:val="both"/>
        <w:rPr>
          <w:rFonts w:ascii="Arial" w:hAnsi="Arial" w:cs="Arial"/>
          <w:sz w:val="22"/>
          <w:szCs w:val="22"/>
        </w:rPr>
      </w:pPr>
      <w:r w:rsidRPr="00444DBC">
        <w:rPr>
          <w:rFonts w:ascii="Arial" w:hAnsi="Arial" w:cs="Arial"/>
          <w:sz w:val="22"/>
          <w:szCs w:val="22"/>
        </w:rPr>
        <w:t>Inventory control at AKPerog Ltd relies heavily on manual spreadsheet updates completed separately by each store manager. This process creates delays, inconsistencies, and a high likelihood of human error, especially when stock levels must be synchronised across physical stores and the online platform. Manual tracking in multichannel retail settings often leads to inaccurate forecasting and missed sales opportunities, as Kembro, Näslund and Olhager (2021) note in their analysis of retail supply chain challenges. These issues are evident at AKPerog Ltd through frequent stock discrepancies, customer dissatisfaction, and unnecessary refund processing.</w:t>
      </w:r>
    </w:p>
    <w:p w14:paraId="72C27597" w14:textId="77777777" w:rsidR="007A3601" w:rsidRPr="00444DBC" w:rsidRDefault="007A3601" w:rsidP="00993544">
      <w:pPr>
        <w:pStyle w:val="Heading2"/>
      </w:pPr>
      <w:r w:rsidRPr="00444DBC">
        <w:t>2.2 Fragmented Customer Relationship Management</w:t>
      </w:r>
    </w:p>
    <w:p w14:paraId="29260729" w14:textId="77777777" w:rsidR="007A3601" w:rsidRPr="00444DBC" w:rsidRDefault="007A3601" w:rsidP="00444DBC">
      <w:pPr>
        <w:pStyle w:val="Heading1"/>
        <w:spacing w:line="360" w:lineRule="auto"/>
        <w:jc w:val="both"/>
        <w:rPr>
          <w:rFonts w:ascii="Arial" w:hAnsi="Arial" w:cs="Arial"/>
          <w:sz w:val="22"/>
          <w:szCs w:val="22"/>
        </w:rPr>
      </w:pPr>
      <w:r w:rsidRPr="00444DBC">
        <w:rPr>
          <w:rFonts w:ascii="Arial" w:hAnsi="Arial" w:cs="Arial"/>
          <w:sz w:val="22"/>
          <w:szCs w:val="22"/>
        </w:rPr>
        <w:t>Customer information is dispersed across several unconnected systems, making it difficult for staff to access complete and reliable customer records. This fragmentation limits the organisation’s ability to analyse purchasing behaviour, design targeted marketing campaigns, and respond efficiently to enquiries. Effective CRM depends on integrated data across all customer touchpoints, and Verhoef et al. (2021) argue that without such integration, firms struggle to deliver meaningful customer experiences. As a result, AKPerog Ltd’s marketing and service teams operate with incomplete insights, reducing the effectiveness of customer engagement strategies.</w:t>
      </w:r>
    </w:p>
    <w:p w14:paraId="5B5CDEE7" w14:textId="77777777" w:rsidR="007A3601" w:rsidRPr="00444DBC" w:rsidRDefault="007A3601" w:rsidP="00993544">
      <w:pPr>
        <w:pStyle w:val="Heading2"/>
      </w:pPr>
      <w:r w:rsidRPr="00444DBC">
        <w:t>2.3 Inefficient Reporting and Decision</w:t>
      </w:r>
      <w:r w:rsidRPr="00444DBC">
        <w:rPr>
          <w:rFonts w:ascii="Cambria Math" w:hAnsi="Cambria Math" w:cs="Cambria Math"/>
        </w:rPr>
        <w:t>‑</w:t>
      </w:r>
      <w:r w:rsidRPr="00444DBC">
        <w:t>Making</w:t>
      </w:r>
    </w:p>
    <w:p w14:paraId="14E0251A" w14:textId="77777777" w:rsidR="007A3601" w:rsidRPr="00444DBC" w:rsidRDefault="007A3601" w:rsidP="00444DBC">
      <w:pPr>
        <w:pStyle w:val="Heading1"/>
        <w:spacing w:line="360" w:lineRule="auto"/>
        <w:jc w:val="both"/>
        <w:rPr>
          <w:rFonts w:ascii="Arial" w:hAnsi="Arial" w:cs="Arial"/>
          <w:sz w:val="22"/>
          <w:szCs w:val="22"/>
        </w:rPr>
      </w:pPr>
      <w:r w:rsidRPr="00444DBC">
        <w:rPr>
          <w:rFonts w:ascii="Arial" w:hAnsi="Arial" w:cs="Arial"/>
          <w:sz w:val="22"/>
          <w:szCs w:val="22"/>
        </w:rPr>
        <w:t>Reporting processes remain slow and labour</w:t>
      </w:r>
      <w:r w:rsidRPr="00444DBC">
        <w:rPr>
          <w:rFonts w:ascii="Cambria Math" w:hAnsi="Cambria Math" w:cs="Cambria Math"/>
          <w:sz w:val="22"/>
          <w:szCs w:val="22"/>
        </w:rPr>
        <w:t>‑</w:t>
      </w:r>
      <w:r w:rsidRPr="00444DBC">
        <w:rPr>
          <w:rFonts w:ascii="Arial" w:hAnsi="Arial" w:cs="Arial"/>
          <w:sz w:val="22"/>
          <w:szCs w:val="22"/>
        </w:rPr>
        <w:t>intensive, with sales data manually compiled into spreadsheets. This delay restricts management access to up</w:t>
      </w:r>
      <w:r w:rsidRPr="00444DBC">
        <w:rPr>
          <w:rFonts w:ascii="Cambria Math" w:hAnsi="Cambria Math" w:cs="Cambria Math"/>
          <w:sz w:val="22"/>
          <w:szCs w:val="22"/>
        </w:rPr>
        <w:t>‑</w:t>
      </w:r>
      <w:r w:rsidRPr="00444DBC">
        <w:rPr>
          <w:rFonts w:ascii="Arial" w:hAnsi="Arial" w:cs="Arial"/>
          <w:sz w:val="22"/>
          <w:szCs w:val="22"/>
        </w:rPr>
        <w:t>to</w:t>
      </w:r>
      <w:r w:rsidRPr="00444DBC">
        <w:rPr>
          <w:rFonts w:ascii="Cambria Math" w:hAnsi="Cambria Math" w:cs="Cambria Math"/>
          <w:sz w:val="22"/>
          <w:szCs w:val="22"/>
        </w:rPr>
        <w:t>‑</w:t>
      </w:r>
      <w:r w:rsidRPr="00444DBC">
        <w:rPr>
          <w:rFonts w:ascii="Arial" w:hAnsi="Arial" w:cs="Arial"/>
          <w:sz w:val="22"/>
          <w:szCs w:val="22"/>
        </w:rPr>
        <w:t>date information and undermines agile decision</w:t>
      </w:r>
      <w:r w:rsidRPr="00444DBC">
        <w:rPr>
          <w:rFonts w:ascii="Cambria Math" w:hAnsi="Cambria Math" w:cs="Cambria Math"/>
          <w:sz w:val="22"/>
          <w:szCs w:val="22"/>
        </w:rPr>
        <w:t>‑</w:t>
      </w:r>
      <w:r w:rsidRPr="00444DBC">
        <w:rPr>
          <w:rFonts w:ascii="Arial" w:hAnsi="Arial" w:cs="Arial"/>
          <w:sz w:val="22"/>
          <w:szCs w:val="22"/>
        </w:rPr>
        <w:t>making. Organisations relying on delayed reporting face reduced responsiveness and higher strategic risk, particularly in fast</w:t>
      </w:r>
      <w:r w:rsidRPr="00444DBC">
        <w:rPr>
          <w:rFonts w:ascii="Cambria Math" w:hAnsi="Cambria Math" w:cs="Cambria Math"/>
          <w:sz w:val="22"/>
          <w:szCs w:val="22"/>
        </w:rPr>
        <w:t>‑</w:t>
      </w:r>
      <w:r w:rsidRPr="00444DBC">
        <w:rPr>
          <w:rFonts w:ascii="Arial" w:hAnsi="Arial" w:cs="Arial"/>
          <w:sz w:val="22"/>
          <w:szCs w:val="22"/>
        </w:rPr>
        <w:t>moving markets, as Mikalef et al. (2020) highlight in their work on data</w:t>
      </w:r>
      <w:r w:rsidRPr="00444DBC">
        <w:rPr>
          <w:rFonts w:ascii="Cambria Math" w:hAnsi="Cambria Math" w:cs="Cambria Math"/>
          <w:sz w:val="22"/>
          <w:szCs w:val="22"/>
        </w:rPr>
        <w:t>‑</w:t>
      </w:r>
      <w:r w:rsidRPr="00444DBC">
        <w:rPr>
          <w:rFonts w:ascii="Arial" w:hAnsi="Arial" w:cs="Arial"/>
          <w:sz w:val="22"/>
          <w:szCs w:val="22"/>
        </w:rPr>
        <w:t>driven decision</w:t>
      </w:r>
      <w:r w:rsidRPr="00444DBC">
        <w:rPr>
          <w:rFonts w:ascii="Cambria Math" w:hAnsi="Cambria Math" w:cs="Cambria Math"/>
          <w:sz w:val="22"/>
          <w:szCs w:val="22"/>
        </w:rPr>
        <w:t>‑</w:t>
      </w:r>
      <w:r w:rsidRPr="00444DBC">
        <w:rPr>
          <w:rFonts w:ascii="Arial" w:hAnsi="Arial" w:cs="Arial"/>
          <w:sz w:val="22"/>
          <w:szCs w:val="22"/>
        </w:rPr>
        <w:t>making. Consequently, AKPerog Ltd often reacts to changes in demand only after key opportunities have passed.</w:t>
      </w:r>
    </w:p>
    <w:p w14:paraId="6476AD7A" w14:textId="77777777" w:rsidR="007A3601" w:rsidRPr="00993544" w:rsidRDefault="007A3601" w:rsidP="00993544">
      <w:pPr>
        <w:pStyle w:val="Heading2"/>
      </w:pPr>
      <w:r w:rsidRPr="00993544">
        <w:t>2.4 Data Security and Compliance Risks</w:t>
      </w:r>
    </w:p>
    <w:p w14:paraId="37EA1456" w14:textId="77777777" w:rsidR="007A3601" w:rsidRPr="00444DBC" w:rsidRDefault="007A3601" w:rsidP="00444DBC">
      <w:pPr>
        <w:pStyle w:val="Heading1"/>
        <w:spacing w:line="360" w:lineRule="auto"/>
        <w:jc w:val="both"/>
        <w:rPr>
          <w:rFonts w:ascii="Arial" w:hAnsi="Arial" w:cs="Arial"/>
          <w:sz w:val="22"/>
          <w:szCs w:val="22"/>
        </w:rPr>
      </w:pPr>
      <w:r w:rsidRPr="00444DBC">
        <w:rPr>
          <w:rFonts w:ascii="Arial" w:hAnsi="Arial" w:cs="Arial"/>
          <w:sz w:val="22"/>
          <w:szCs w:val="22"/>
        </w:rPr>
        <w:t>Current systems lack essential security features such as role</w:t>
      </w:r>
      <w:r w:rsidRPr="00444DBC">
        <w:rPr>
          <w:rFonts w:ascii="Cambria Math" w:hAnsi="Cambria Math" w:cs="Cambria Math"/>
          <w:sz w:val="22"/>
          <w:szCs w:val="22"/>
        </w:rPr>
        <w:t>‑</w:t>
      </w:r>
      <w:r w:rsidRPr="00444DBC">
        <w:rPr>
          <w:rFonts w:ascii="Arial" w:hAnsi="Arial" w:cs="Arial"/>
          <w:sz w:val="22"/>
          <w:szCs w:val="22"/>
        </w:rPr>
        <w:t>based access controls, encryption, and detailed audit trails. These gaps increase the risk of unauthorised access to customer data and potential non</w:t>
      </w:r>
      <w:r w:rsidRPr="00444DBC">
        <w:rPr>
          <w:rFonts w:ascii="Cambria Math" w:hAnsi="Cambria Math" w:cs="Cambria Math"/>
          <w:sz w:val="22"/>
          <w:szCs w:val="22"/>
        </w:rPr>
        <w:t>‑</w:t>
      </w:r>
      <w:r w:rsidRPr="00444DBC">
        <w:rPr>
          <w:rFonts w:ascii="Arial" w:hAnsi="Arial" w:cs="Arial"/>
          <w:sz w:val="22"/>
          <w:szCs w:val="22"/>
        </w:rPr>
        <w:t>compliance with GDPR requirements. Weak data governance significantly heightens exposure to regulatory penalties and reputational harm, as Alhassan, Sammon and Daly (2021) explain in their study of governance failures. For a retailer handling large volumes of personal data, these vulnerabilities pose substantial risks.</w:t>
      </w:r>
    </w:p>
    <w:p w14:paraId="67FA0053" w14:textId="77777777" w:rsidR="007A3601" w:rsidRPr="00993544" w:rsidRDefault="007A3601" w:rsidP="00993544">
      <w:pPr>
        <w:pStyle w:val="Heading2"/>
      </w:pPr>
      <w:r w:rsidRPr="00993544">
        <w:t>2.5 Lack of Cross</w:t>
      </w:r>
      <w:r w:rsidRPr="00993544">
        <w:rPr>
          <w:rFonts w:ascii="Cambria Math" w:hAnsi="Cambria Math" w:cs="Cambria Math"/>
        </w:rPr>
        <w:t>‑</w:t>
      </w:r>
      <w:r w:rsidRPr="00993544">
        <w:t>Departmental Integration</w:t>
      </w:r>
    </w:p>
    <w:p w14:paraId="7B0D51CE" w14:textId="77777777" w:rsidR="00993544" w:rsidRDefault="007A3601" w:rsidP="00444DBC">
      <w:pPr>
        <w:pStyle w:val="Heading1"/>
        <w:spacing w:line="360" w:lineRule="auto"/>
        <w:jc w:val="both"/>
        <w:rPr>
          <w:rFonts w:ascii="Arial" w:hAnsi="Arial" w:cs="Arial"/>
          <w:sz w:val="22"/>
          <w:szCs w:val="22"/>
        </w:rPr>
      </w:pPr>
      <w:r w:rsidRPr="00444DBC">
        <w:rPr>
          <w:rFonts w:ascii="Arial" w:hAnsi="Arial" w:cs="Arial"/>
          <w:sz w:val="22"/>
          <w:szCs w:val="22"/>
        </w:rPr>
        <w:t xml:space="preserve">Sales, finance, and inventory functions operate on separate platforms, requiring staff to manually transfer information between systems. This increases workload and raises the </w:t>
      </w:r>
      <w:r w:rsidRPr="00444DBC">
        <w:rPr>
          <w:rFonts w:ascii="Arial" w:hAnsi="Arial" w:cs="Arial"/>
          <w:sz w:val="22"/>
          <w:szCs w:val="22"/>
        </w:rPr>
        <w:lastRenderedPageBreak/>
        <w:t>likelihood of inconsistencies and errors. When systems remain siloed, productivity declines and communication slows, particularly in organisations dependent on shared information, as Bradford and Florin (2020) observe in their discussion of system integration barriers. Overall, AKPerog Ltd’s current systems lack the integration and scalability needed to support sustained growth.</w:t>
      </w:r>
    </w:p>
    <w:p w14:paraId="577A04C4" w14:textId="0EB97013" w:rsidR="003C2489" w:rsidRPr="00993544" w:rsidRDefault="00BC1D19" w:rsidP="00993544">
      <w:pPr>
        <w:pStyle w:val="Heading1"/>
      </w:pPr>
      <w:r w:rsidRPr="00993544">
        <w:t>3. Recommended Solution</w:t>
      </w:r>
      <w:bookmarkStart w:id="2" w:name="_Toc216770895"/>
      <w:bookmarkEnd w:id="1"/>
    </w:p>
    <w:p w14:paraId="5E0EE36B" w14:textId="77777777" w:rsidR="003A54DA" w:rsidRPr="00993544" w:rsidRDefault="000D4644" w:rsidP="00993544">
      <w:pPr>
        <w:pStyle w:val="Heading2"/>
      </w:pPr>
      <w:r w:rsidRPr="00993544">
        <w:t>3.1 Proposed Information System</w:t>
      </w:r>
    </w:p>
    <w:p w14:paraId="33132100" w14:textId="00CD464F" w:rsidR="000D4644" w:rsidRPr="00444DBC" w:rsidRDefault="000D4644" w:rsidP="00444DBC">
      <w:pPr>
        <w:pStyle w:val="Heading1"/>
        <w:spacing w:line="360" w:lineRule="auto"/>
        <w:jc w:val="both"/>
        <w:rPr>
          <w:rFonts w:ascii="Arial" w:hAnsi="Arial" w:cs="Arial"/>
          <w:sz w:val="22"/>
          <w:szCs w:val="22"/>
        </w:rPr>
      </w:pPr>
      <w:r w:rsidRPr="00444DBC">
        <w:rPr>
          <w:rFonts w:ascii="Arial" w:hAnsi="Arial" w:cs="Arial"/>
          <w:sz w:val="22"/>
          <w:szCs w:val="22"/>
        </w:rPr>
        <w:t>To address current operational challenges, AKPerog Ltd should adopt an integrated Enterprise Resource Planning system that includes an embedded Customer Relationship Management module. Platforms such as Microsoft Dynamics 365, Oracle NetSuite, and SAP Business One offer unified environments that link inventory, finance, sales, and customer service. These systems support real</w:t>
      </w:r>
      <w:r w:rsidRPr="00444DBC">
        <w:rPr>
          <w:rFonts w:ascii="Cambria Math" w:hAnsi="Cambria Math" w:cs="Cambria Math"/>
          <w:sz w:val="22"/>
          <w:szCs w:val="22"/>
        </w:rPr>
        <w:t>‑</w:t>
      </w:r>
      <w:r w:rsidRPr="00444DBC">
        <w:rPr>
          <w:rFonts w:ascii="Arial" w:hAnsi="Arial" w:cs="Arial"/>
          <w:sz w:val="22"/>
          <w:szCs w:val="22"/>
        </w:rPr>
        <w:t>time data sharing, automated workflows, and consistent information across departments, with Laudon and Laudon (2024) noting in their work on digital transformation systems that ERP adoption strengthens operational accuracy and coordination. The CRM component would consolidate customer information by combining transactional history, communication records, and behavioural insights into a single database. This level of integration enables more personalised marketing and improved service delivery, aligning with Chaudhuri et al. (2022), who highlight the importance of customer</w:t>
      </w:r>
      <w:r w:rsidRPr="00444DBC">
        <w:rPr>
          <w:rFonts w:ascii="Cambria Math" w:hAnsi="Cambria Math" w:cs="Cambria Math"/>
          <w:sz w:val="22"/>
          <w:szCs w:val="22"/>
        </w:rPr>
        <w:t>‑</w:t>
      </w:r>
      <w:r w:rsidRPr="00444DBC">
        <w:rPr>
          <w:rFonts w:ascii="Arial" w:hAnsi="Arial" w:cs="Arial"/>
          <w:sz w:val="22"/>
          <w:szCs w:val="22"/>
        </w:rPr>
        <w:t>centric ERP design in retail environments.</w:t>
      </w:r>
    </w:p>
    <w:p w14:paraId="36B4B966" w14:textId="77777777" w:rsidR="00F862F3" w:rsidRPr="00993544" w:rsidRDefault="00F862F3" w:rsidP="00993544">
      <w:pPr>
        <w:pStyle w:val="Heading2"/>
      </w:pPr>
      <w:bookmarkStart w:id="3" w:name="_Toc216770896"/>
      <w:bookmarkEnd w:id="2"/>
      <w:r w:rsidRPr="00993544">
        <w:t>3.2 Justification: Efficiency, Cost, and Scalability</w:t>
      </w:r>
    </w:p>
    <w:p w14:paraId="309B379A" w14:textId="77777777" w:rsidR="00F862F3" w:rsidRPr="00444DBC" w:rsidRDefault="00F862F3" w:rsidP="00444DBC">
      <w:pPr>
        <w:pStyle w:val="Heading2"/>
        <w:spacing w:line="360" w:lineRule="auto"/>
        <w:jc w:val="both"/>
        <w:rPr>
          <w:rFonts w:cs="Arial"/>
          <w:szCs w:val="22"/>
        </w:rPr>
      </w:pPr>
      <w:r w:rsidRPr="00444DBC">
        <w:rPr>
          <w:rFonts w:cs="Arial"/>
          <w:szCs w:val="22"/>
        </w:rPr>
        <w:t>An integrated ERP</w:t>
      </w:r>
      <w:r w:rsidRPr="00444DBC">
        <w:rPr>
          <w:rFonts w:ascii="Cambria Math" w:hAnsi="Cambria Math" w:cs="Cambria Math"/>
          <w:szCs w:val="22"/>
        </w:rPr>
        <w:t>‑</w:t>
      </w:r>
      <w:r w:rsidRPr="00444DBC">
        <w:rPr>
          <w:rFonts w:cs="Arial"/>
          <w:szCs w:val="22"/>
        </w:rPr>
        <w:t>CRM system enhances efficiency by providing real</w:t>
      </w:r>
      <w:r w:rsidRPr="00444DBC">
        <w:rPr>
          <w:rFonts w:ascii="Cambria Math" w:hAnsi="Cambria Math" w:cs="Cambria Math"/>
          <w:szCs w:val="22"/>
        </w:rPr>
        <w:t>‑</w:t>
      </w:r>
      <w:r w:rsidRPr="00444DBC">
        <w:rPr>
          <w:rFonts w:cs="Arial"/>
          <w:szCs w:val="22"/>
        </w:rPr>
        <w:t>time visibility of stock levels across physical stores and online channels, reducing discrepancies and preventing stockouts. Automated updates improve forecasting accuracy and lower holding costs, as Richards and Grinsted (2022) explain in their analysis of inventory automation benefits. From a financial standpoint, cloud</w:t>
      </w:r>
      <w:r w:rsidRPr="00444DBC">
        <w:rPr>
          <w:rFonts w:ascii="Cambria Math" w:hAnsi="Cambria Math" w:cs="Cambria Math"/>
          <w:szCs w:val="22"/>
        </w:rPr>
        <w:t>‑</w:t>
      </w:r>
      <w:r w:rsidRPr="00444DBC">
        <w:rPr>
          <w:rFonts w:cs="Arial"/>
          <w:szCs w:val="22"/>
        </w:rPr>
        <w:t>based ERP solutions reduce upfront investment through subscription pricing and lower labour costs by automating manual tasks. As organisations expand, these systems scale effectively, and Harrison and Lock (2021) argue that such scalability makes cloud ERP a sustainable long</w:t>
      </w:r>
      <w:r w:rsidRPr="00444DBC">
        <w:rPr>
          <w:rFonts w:ascii="Cambria Math" w:hAnsi="Cambria Math" w:cs="Cambria Math"/>
          <w:szCs w:val="22"/>
        </w:rPr>
        <w:t>‑</w:t>
      </w:r>
      <w:r w:rsidRPr="00444DBC">
        <w:rPr>
          <w:rFonts w:cs="Arial"/>
          <w:szCs w:val="22"/>
        </w:rPr>
        <w:t>term investment. The integrated CRM further contributes to profitability by enabling targeted promotions and faster customer support.</w:t>
      </w:r>
    </w:p>
    <w:bookmarkEnd w:id="3"/>
    <w:p w14:paraId="4C621DA7" w14:textId="77777777" w:rsidR="00095FDC" w:rsidRPr="00444DBC" w:rsidRDefault="00095FDC" w:rsidP="00993544">
      <w:pPr>
        <w:pStyle w:val="Heading2"/>
      </w:pPr>
      <w:r w:rsidRPr="00444DBC">
        <w:t>3.3 Impact on Operations, Data Management, and Decision</w:t>
      </w:r>
      <w:r w:rsidRPr="00444DBC">
        <w:rPr>
          <w:rFonts w:ascii="Cambria Math" w:hAnsi="Cambria Math" w:cs="Cambria Math"/>
        </w:rPr>
        <w:t>‑</w:t>
      </w:r>
      <w:r w:rsidRPr="00444DBC">
        <w:t>Making</w:t>
      </w:r>
    </w:p>
    <w:p w14:paraId="7033674F" w14:textId="77777777" w:rsidR="00095FDC" w:rsidRPr="00444DBC" w:rsidRDefault="00095FDC" w:rsidP="00444DBC">
      <w:pPr>
        <w:spacing w:line="360" w:lineRule="auto"/>
        <w:jc w:val="both"/>
        <w:rPr>
          <w:rFonts w:ascii="Arial" w:eastAsiaTheme="majorEastAsia" w:hAnsi="Arial" w:cs="Arial"/>
          <w:sz w:val="22"/>
          <w:szCs w:val="22"/>
        </w:rPr>
      </w:pPr>
      <w:r w:rsidRPr="00444DBC">
        <w:rPr>
          <w:rFonts w:ascii="Arial" w:eastAsiaTheme="majorEastAsia" w:hAnsi="Arial" w:cs="Arial"/>
          <w:sz w:val="22"/>
          <w:szCs w:val="22"/>
        </w:rPr>
        <w:t>Automation of order processing, inventory updates, reporting, and forecasting would reduce human error and increase productivity. Bradford and Florin (2020) observe that integrated enterprise systems significantly enhance workflow efficiency by streamlining routine tasks. Data management would also improve through built</w:t>
      </w:r>
      <w:r w:rsidRPr="00444DBC">
        <w:rPr>
          <w:rFonts w:ascii="Cambria Math" w:eastAsiaTheme="majorEastAsia" w:hAnsi="Cambria Math" w:cs="Cambria Math"/>
          <w:sz w:val="22"/>
          <w:szCs w:val="22"/>
        </w:rPr>
        <w:t>‑</w:t>
      </w:r>
      <w:r w:rsidRPr="00444DBC">
        <w:rPr>
          <w:rFonts w:ascii="Arial" w:eastAsiaTheme="majorEastAsia" w:hAnsi="Arial" w:cs="Arial"/>
          <w:sz w:val="22"/>
          <w:szCs w:val="22"/>
        </w:rPr>
        <w:t>in security features such as encryption, audit trails, and role</w:t>
      </w:r>
      <w:r w:rsidRPr="00444DBC">
        <w:rPr>
          <w:rFonts w:ascii="Cambria Math" w:eastAsiaTheme="majorEastAsia" w:hAnsi="Cambria Math" w:cs="Cambria Math"/>
          <w:sz w:val="22"/>
          <w:szCs w:val="22"/>
        </w:rPr>
        <w:t>‑</w:t>
      </w:r>
      <w:r w:rsidRPr="00444DBC">
        <w:rPr>
          <w:rFonts w:ascii="Arial" w:eastAsiaTheme="majorEastAsia" w:hAnsi="Arial" w:cs="Arial"/>
          <w:sz w:val="22"/>
          <w:szCs w:val="22"/>
        </w:rPr>
        <w:t xml:space="preserve">based access, which Voigt and Von dem Bussche (2021) identify as </w:t>
      </w:r>
      <w:r w:rsidRPr="00444DBC">
        <w:rPr>
          <w:rFonts w:ascii="Arial" w:eastAsiaTheme="majorEastAsia" w:hAnsi="Arial" w:cs="Arial"/>
          <w:sz w:val="22"/>
          <w:szCs w:val="22"/>
        </w:rPr>
        <w:lastRenderedPageBreak/>
        <w:t>essential for GDPR compliance in data</w:t>
      </w:r>
      <w:r w:rsidRPr="00444DBC">
        <w:rPr>
          <w:rFonts w:ascii="Cambria Math" w:eastAsiaTheme="majorEastAsia" w:hAnsi="Cambria Math" w:cs="Cambria Math"/>
          <w:sz w:val="22"/>
          <w:szCs w:val="22"/>
        </w:rPr>
        <w:t>‑</w:t>
      </w:r>
      <w:r w:rsidRPr="00444DBC">
        <w:rPr>
          <w:rFonts w:ascii="Arial" w:eastAsiaTheme="majorEastAsia" w:hAnsi="Arial" w:cs="Arial"/>
          <w:sz w:val="22"/>
          <w:szCs w:val="22"/>
        </w:rPr>
        <w:t>intensive organisations. Managers would additionally benefit from real</w:t>
      </w:r>
      <w:r w:rsidRPr="00444DBC">
        <w:rPr>
          <w:rFonts w:ascii="Cambria Math" w:eastAsiaTheme="majorEastAsia" w:hAnsi="Cambria Math" w:cs="Cambria Math"/>
          <w:sz w:val="22"/>
          <w:szCs w:val="22"/>
        </w:rPr>
        <w:t>‑</w:t>
      </w:r>
      <w:r w:rsidRPr="00444DBC">
        <w:rPr>
          <w:rFonts w:ascii="Arial" w:eastAsiaTheme="majorEastAsia" w:hAnsi="Arial" w:cs="Arial"/>
          <w:sz w:val="22"/>
          <w:szCs w:val="22"/>
        </w:rPr>
        <w:t>time dashboards and advanced analytics, enabling faster and more informed decision</w:t>
      </w:r>
      <w:r w:rsidRPr="00444DBC">
        <w:rPr>
          <w:rFonts w:ascii="Cambria Math" w:eastAsiaTheme="majorEastAsia" w:hAnsi="Cambria Math" w:cs="Cambria Math"/>
          <w:sz w:val="22"/>
          <w:szCs w:val="22"/>
        </w:rPr>
        <w:t>‑</w:t>
      </w:r>
      <w:r w:rsidRPr="00444DBC">
        <w:rPr>
          <w:rFonts w:ascii="Arial" w:eastAsiaTheme="majorEastAsia" w:hAnsi="Arial" w:cs="Arial"/>
          <w:sz w:val="22"/>
          <w:szCs w:val="22"/>
        </w:rPr>
        <w:t>making across departments.</w:t>
      </w:r>
    </w:p>
    <w:p w14:paraId="11FAE779" w14:textId="02AE34FC" w:rsidR="009E2669" w:rsidRPr="00444DBC" w:rsidRDefault="009E2669" w:rsidP="00993544">
      <w:pPr>
        <w:pStyle w:val="Heading2"/>
      </w:pPr>
      <w:r w:rsidRPr="00444DBC">
        <w:t>3.4 Strategic Benefits and Long</w:t>
      </w:r>
      <w:r w:rsidRPr="00444DBC">
        <w:rPr>
          <w:rFonts w:ascii="Cambria Math" w:hAnsi="Cambria Math" w:cs="Cambria Math"/>
        </w:rPr>
        <w:t>‑</w:t>
      </w:r>
      <w:r w:rsidRPr="00444DBC">
        <w:t>Term Organisational Impact</w:t>
      </w:r>
    </w:p>
    <w:p w14:paraId="6E75849A" w14:textId="77777777" w:rsidR="003C2F5B" w:rsidRPr="00444DBC" w:rsidRDefault="003C2F5B" w:rsidP="00444DBC">
      <w:pPr>
        <w:spacing w:line="360" w:lineRule="auto"/>
        <w:jc w:val="both"/>
        <w:rPr>
          <w:rFonts w:ascii="Arial" w:hAnsi="Arial" w:cs="Arial"/>
          <w:sz w:val="22"/>
          <w:szCs w:val="22"/>
        </w:rPr>
      </w:pPr>
      <w:r w:rsidRPr="00444DBC">
        <w:rPr>
          <w:rFonts w:ascii="Arial" w:hAnsi="Arial" w:cs="Arial"/>
          <w:sz w:val="22"/>
          <w:szCs w:val="22"/>
        </w:rPr>
        <w:t>Adopting an integrated ERP and CRM system offers AKPerog Ltd more than a solution to immediate operational challenges. Over time, it can reshape how the organisation interprets information, manages resources, and responds to competitive pressures. A unified platform improves visibility across departments, allowing managers to track sales patterns, customer behaviour, and operational risks with greater accuracy. Enhanced transparency supports more coherent planning, as information flows more easily between operational teams and senior leadership. This aligns with the view of Laudon and Laudon (2024), who argue that integrated information systems are central to maintaining competitiveness in digital retail environments.</w:t>
      </w:r>
    </w:p>
    <w:p w14:paraId="469A1CB2" w14:textId="77777777" w:rsidR="003C2F5B" w:rsidRPr="00444DBC" w:rsidRDefault="003C2F5B" w:rsidP="00444DBC">
      <w:pPr>
        <w:spacing w:line="360" w:lineRule="auto"/>
        <w:jc w:val="both"/>
        <w:rPr>
          <w:rFonts w:ascii="Arial" w:hAnsi="Arial" w:cs="Arial"/>
          <w:sz w:val="22"/>
          <w:szCs w:val="22"/>
        </w:rPr>
      </w:pPr>
      <w:r w:rsidRPr="00444DBC">
        <w:rPr>
          <w:rFonts w:ascii="Arial" w:hAnsi="Arial" w:cs="Arial"/>
          <w:sz w:val="22"/>
          <w:szCs w:val="22"/>
        </w:rPr>
        <w:t>The long</w:t>
      </w:r>
      <w:r w:rsidRPr="00444DBC">
        <w:rPr>
          <w:rFonts w:ascii="Cambria Math" w:hAnsi="Cambria Math" w:cs="Cambria Math"/>
          <w:sz w:val="22"/>
          <w:szCs w:val="22"/>
        </w:rPr>
        <w:t>‑</w:t>
      </w:r>
      <w:r w:rsidRPr="00444DBC">
        <w:rPr>
          <w:rFonts w:ascii="Arial" w:hAnsi="Arial" w:cs="Arial"/>
          <w:sz w:val="22"/>
          <w:szCs w:val="22"/>
        </w:rPr>
        <w:t>term benefits extend to customer experience. When data on purchases, service requests, and interactions is stored in a single system, staff across all channels can provide consistent and reliable support. This consistency is essential in the consumer electronics sector, where customers often require guidance before and after purchase. Research by Chaudhuri et al. (2022) shows that coherent omnichannel experiences strengthen customer trust and loyalty, suggesting that AKPerog Ltd could differentiate itself by offering smoother and more predictable service across stores and online platforms.</w:t>
      </w:r>
    </w:p>
    <w:p w14:paraId="6FCCC91F" w14:textId="77777777" w:rsidR="009E2669" w:rsidRPr="00444DBC" w:rsidRDefault="003C2F5B" w:rsidP="00444DBC">
      <w:pPr>
        <w:spacing w:line="360" w:lineRule="auto"/>
        <w:jc w:val="both"/>
        <w:rPr>
          <w:rFonts w:ascii="Arial" w:hAnsi="Arial" w:cs="Arial"/>
          <w:sz w:val="22"/>
          <w:szCs w:val="22"/>
        </w:rPr>
      </w:pPr>
      <w:r w:rsidRPr="00444DBC">
        <w:rPr>
          <w:rFonts w:ascii="Arial" w:hAnsi="Arial" w:cs="Arial"/>
          <w:sz w:val="22"/>
          <w:szCs w:val="22"/>
        </w:rPr>
        <w:t>The introduction of real</w:t>
      </w:r>
      <w:r w:rsidRPr="00444DBC">
        <w:rPr>
          <w:rFonts w:ascii="Cambria Math" w:hAnsi="Cambria Math" w:cs="Cambria Math"/>
          <w:sz w:val="22"/>
          <w:szCs w:val="22"/>
        </w:rPr>
        <w:t>‑</w:t>
      </w:r>
      <w:r w:rsidRPr="00444DBC">
        <w:rPr>
          <w:rFonts w:ascii="Arial" w:hAnsi="Arial" w:cs="Arial"/>
          <w:sz w:val="22"/>
          <w:szCs w:val="22"/>
        </w:rPr>
        <w:t>time reporting and analytics also encourages a culture of continuous improvement. Managers gain the ability to monitor performance indicators as they develop, enabling earlier intervention and more proactive decision</w:t>
      </w:r>
      <w:r w:rsidRPr="00444DBC">
        <w:rPr>
          <w:rFonts w:ascii="Cambria Math" w:hAnsi="Cambria Math" w:cs="Cambria Math"/>
          <w:sz w:val="22"/>
          <w:szCs w:val="22"/>
        </w:rPr>
        <w:t>‑</w:t>
      </w:r>
      <w:r w:rsidRPr="00444DBC">
        <w:rPr>
          <w:rFonts w:ascii="Arial" w:hAnsi="Arial" w:cs="Arial"/>
          <w:sz w:val="22"/>
          <w:szCs w:val="22"/>
        </w:rPr>
        <w:t>making. Popovič et al. (2022) highlight that timely insights significantly improve decision quality in uncertain environments, supporting a shift from reactive problem</w:t>
      </w:r>
      <w:r w:rsidRPr="00444DBC">
        <w:rPr>
          <w:rFonts w:ascii="Cambria Math" w:hAnsi="Cambria Math" w:cs="Cambria Math"/>
          <w:sz w:val="22"/>
          <w:szCs w:val="22"/>
        </w:rPr>
        <w:t>‑</w:t>
      </w:r>
      <w:r w:rsidRPr="00444DBC">
        <w:rPr>
          <w:rFonts w:ascii="Arial" w:hAnsi="Arial" w:cs="Arial"/>
          <w:sz w:val="22"/>
          <w:szCs w:val="22"/>
        </w:rPr>
        <w:t>solving to forward</w:t>
      </w:r>
      <w:r w:rsidRPr="00444DBC">
        <w:rPr>
          <w:rFonts w:ascii="Cambria Math" w:hAnsi="Cambria Math" w:cs="Cambria Math"/>
          <w:sz w:val="22"/>
          <w:szCs w:val="22"/>
        </w:rPr>
        <w:t>‑</w:t>
      </w:r>
      <w:r w:rsidRPr="00444DBC">
        <w:rPr>
          <w:rFonts w:ascii="Arial" w:hAnsi="Arial" w:cs="Arial"/>
          <w:sz w:val="22"/>
          <w:szCs w:val="22"/>
        </w:rPr>
        <w:t>looking strategic management.</w:t>
      </w:r>
    </w:p>
    <w:p w14:paraId="79964AF1" w14:textId="1D1CAAAF" w:rsidR="003C2F5B" w:rsidRPr="00444DBC" w:rsidRDefault="003C2F5B" w:rsidP="00444DBC">
      <w:pPr>
        <w:spacing w:line="360" w:lineRule="auto"/>
        <w:jc w:val="both"/>
        <w:rPr>
          <w:rFonts w:ascii="Arial" w:hAnsi="Arial" w:cs="Arial"/>
          <w:sz w:val="22"/>
          <w:szCs w:val="22"/>
        </w:rPr>
      </w:pPr>
      <w:r w:rsidRPr="00444DBC">
        <w:rPr>
          <w:rFonts w:ascii="Arial" w:hAnsi="Arial" w:cs="Arial"/>
          <w:sz w:val="22"/>
          <w:szCs w:val="22"/>
        </w:rPr>
        <w:t>Finally, an integrated ERP and CRM system provides a foundation for future digital innovation. Once processes are standardised and data quality improves, the organisation becomes better positioned to adopt advanced tools such as predictive analytics, automated demand forecasting, and AI</w:t>
      </w:r>
      <w:r w:rsidRPr="00444DBC">
        <w:rPr>
          <w:rFonts w:ascii="Cambria Math" w:hAnsi="Cambria Math" w:cs="Cambria Math"/>
          <w:sz w:val="22"/>
          <w:szCs w:val="22"/>
        </w:rPr>
        <w:t>‑</w:t>
      </w:r>
      <w:r w:rsidRPr="00444DBC">
        <w:rPr>
          <w:rFonts w:ascii="Arial" w:hAnsi="Arial" w:cs="Arial"/>
          <w:sz w:val="22"/>
          <w:szCs w:val="22"/>
        </w:rPr>
        <w:t>supported decision systems. Vial (2021) notes that such technologies deliver the greatest value when built on strong, reliable core systems. In this sense, the adoption of an integrated platform is not only a response to current inefficiencies but also a strategic investment that supports long</w:t>
      </w:r>
      <w:r w:rsidRPr="00444DBC">
        <w:rPr>
          <w:rFonts w:ascii="Cambria Math" w:hAnsi="Cambria Math" w:cs="Cambria Math"/>
          <w:sz w:val="22"/>
          <w:szCs w:val="22"/>
        </w:rPr>
        <w:t>‑</w:t>
      </w:r>
      <w:r w:rsidRPr="00444DBC">
        <w:rPr>
          <w:rFonts w:ascii="Arial" w:hAnsi="Arial" w:cs="Arial"/>
          <w:sz w:val="22"/>
          <w:szCs w:val="22"/>
        </w:rPr>
        <w:t>term scalability and digital transformation.</w:t>
      </w:r>
    </w:p>
    <w:p w14:paraId="39E40D7A" w14:textId="77777777" w:rsidR="00095FDC" w:rsidRPr="00993544" w:rsidRDefault="00BC1D19" w:rsidP="00993544">
      <w:pPr>
        <w:pStyle w:val="Heading1"/>
      </w:pPr>
      <w:bookmarkStart w:id="4" w:name="_Toc216770897"/>
      <w:r w:rsidRPr="00993544">
        <w:t>4. Implementation Plan</w:t>
      </w:r>
      <w:bookmarkStart w:id="5" w:name="_Toc216770898"/>
      <w:bookmarkEnd w:id="4"/>
    </w:p>
    <w:p w14:paraId="298E40B6" w14:textId="77777777" w:rsidR="00993544" w:rsidRDefault="00BC1D19" w:rsidP="00993544">
      <w:pPr>
        <w:pStyle w:val="Heading2"/>
      </w:pPr>
      <w:r w:rsidRPr="00444DBC">
        <w:lastRenderedPageBreak/>
        <w:t xml:space="preserve">4.1 Theoretical Framework: Technology Acceptance </w:t>
      </w:r>
      <w:bookmarkStart w:id="6" w:name="_Toc216770899"/>
      <w:bookmarkEnd w:id="5"/>
      <w:r w:rsidR="00993544" w:rsidRPr="00444DBC">
        <w:t xml:space="preserve">Model </w:t>
      </w:r>
    </w:p>
    <w:p w14:paraId="0B73EA0E" w14:textId="087FCAA8" w:rsidR="00095FDC" w:rsidRPr="00444DBC" w:rsidRDefault="00993544" w:rsidP="00444DBC">
      <w:pPr>
        <w:pStyle w:val="Heading1"/>
        <w:spacing w:line="360" w:lineRule="auto"/>
        <w:jc w:val="both"/>
        <w:rPr>
          <w:rFonts w:ascii="Arial" w:hAnsi="Arial" w:cs="Arial"/>
          <w:sz w:val="22"/>
          <w:szCs w:val="22"/>
        </w:rPr>
      </w:pPr>
      <w:r w:rsidRPr="00444DBC">
        <w:rPr>
          <w:rFonts w:ascii="Arial" w:hAnsi="Arial" w:cs="Arial"/>
          <w:sz w:val="22"/>
          <w:szCs w:val="22"/>
        </w:rPr>
        <w:t>The</w:t>
      </w:r>
      <w:r w:rsidR="00D014B4" w:rsidRPr="00444DBC">
        <w:rPr>
          <w:rFonts w:ascii="Arial" w:hAnsi="Arial" w:cs="Arial"/>
          <w:sz w:val="22"/>
          <w:szCs w:val="22"/>
        </w:rPr>
        <w:t xml:space="preserve"> Technology Acceptance Model provides a useful foundation for guiding system adoption at AKPerog Ltd, as it emphasises that employees are more likely to accept new technologies when they believe the system is both useful and easy to use. As Davis (2022) explains, perceived usefulness and perceived ease of use strongly influence user attitudes, meaning staff are more willing to adopt ERP and CRM tools when they see that these systems simplify tasks and reduce manual workload. Training programmes designed around TAM principles can further support adoption, since Agarwal and Gupta (2024) note that structured training increases user confidence and strengthens perceptions of value during digital transitions.</w:t>
      </w:r>
    </w:p>
    <w:p w14:paraId="08EE35A9" w14:textId="77777777" w:rsidR="00C474D2" w:rsidRPr="00444DBC" w:rsidRDefault="00BC1D19" w:rsidP="00993544">
      <w:pPr>
        <w:pStyle w:val="Heading2"/>
      </w:pPr>
      <w:r w:rsidRPr="00444DBC">
        <w:t>4.2 Phased Implementation Approach</w:t>
      </w:r>
      <w:bookmarkEnd w:id="6"/>
    </w:p>
    <w:p w14:paraId="3237829A" w14:textId="5C85828D" w:rsidR="00E06CBA" w:rsidRPr="00444DBC" w:rsidRDefault="00590717" w:rsidP="00444DBC">
      <w:pPr>
        <w:pStyle w:val="Heading1"/>
        <w:spacing w:line="360" w:lineRule="auto"/>
        <w:jc w:val="both"/>
        <w:rPr>
          <w:rFonts w:ascii="Arial" w:hAnsi="Arial" w:cs="Arial"/>
          <w:sz w:val="22"/>
          <w:szCs w:val="22"/>
        </w:rPr>
      </w:pPr>
      <w:r w:rsidRPr="00444DBC">
        <w:rPr>
          <w:rFonts w:ascii="Arial" w:hAnsi="Arial" w:cs="Arial"/>
          <w:sz w:val="22"/>
          <w:szCs w:val="22"/>
        </w:rPr>
        <w:t>A phased implementation approach helps reduce risk and ensures that each stage of the project is delivered in a controlled and manageable way. This approach begins with a detailed needs assessment and system selection, followed by data migration, system integration, training, testing, and final deployment.</w:t>
      </w:r>
      <w:r w:rsidRPr="00444DBC">
        <w:rPr>
          <w:rFonts w:ascii="Arial" w:hAnsi="Arial" w:cs="Arial"/>
          <w:sz w:val="22"/>
          <w:szCs w:val="22"/>
        </w:rPr>
        <w:t xml:space="preserve"> </w:t>
      </w:r>
      <w:r w:rsidR="00502AFF" w:rsidRPr="00444DBC">
        <w:rPr>
          <w:rFonts w:ascii="Arial" w:hAnsi="Arial" w:cs="Arial"/>
          <w:sz w:val="22"/>
          <w:szCs w:val="22"/>
        </w:rPr>
        <w:t>The flowchart illustrates the sequential process required to ensure successful adoption of ERP, CRM, BI, and security solutions.</w:t>
      </w:r>
    </w:p>
    <w:p w14:paraId="65557B95" w14:textId="5825D789" w:rsidR="00E06CBA" w:rsidRPr="00444DBC" w:rsidRDefault="00E06CBA" w:rsidP="00444DBC">
      <w:pPr>
        <w:pStyle w:val="Caption"/>
        <w:spacing w:line="360" w:lineRule="auto"/>
        <w:jc w:val="both"/>
        <w:rPr>
          <w:rFonts w:ascii="Arial" w:hAnsi="Arial" w:cs="Arial"/>
          <w:sz w:val="22"/>
          <w:szCs w:val="22"/>
        </w:rPr>
      </w:pPr>
      <w:r w:rsidRPr="00444DBC">
        <w:rPr>
          <w:rFonts w:ascii="Arial" w:hAnsi="Arial" w:cs="Arial"/>
          <w:sz w:val="22"/>
          <w:szCs w:val="22"/>
        </w:rPr>
        <w:t xml:space="preserve">Figure </w:t>
      </w:r>
      <w:r w:rsidRPr="00444DBC">
        <w:rPr>
          <w:rFonts w:ascii="Arial" w:hAnsi="Arial" w:cs="Arial"/>
          <w:sz w:val="22"/>
          <w:szCs w:val="22"/>
        </w:rPr>
        <w:fldChar w:fldCharType="begin"/>
      </w:r>
      <w:r w:rsidRPr="00444DBC">
        <w:rPr>
          <w:rFonts w:ascii="Arial" w:hAnsi="Arial" w:cs="Arial"/>
          <w:sz w:val="22"/>
          <w:szCs w:val="22"/>
        </w:rPr>
        <w:instrText xml:space="preserve"> SEQ Figure \* ARABIC </w:instrText>
      </w:r>
      <w:r w:rsidRPr="00444DBC">
        <w:rPr>
          <w:rFonts w:ascii="Arial" w:hAnsi="Arial" w:cs="Arial"/>
          <w:sz w:val="22"/>
          <w:szCs w:val="22"/>
        </w:rPr>
        <w:fldChar w:fldCharType="separate"/>
      </w:r>
      <w:r w:rsidRPr="00444DBC">
        <w:rPr>
          <w:rFonts w:ascii="Arial" w:hAnsi="Arial" w:cs="Arial"/>
          <w:noProof/>
          <w:sz w:val="22"/>
          <w:szCs w:val="22"/>
        </w:rPr>
        <w:t>1</w:t>
      </w:r>
      <w:r w:rsidRPr="00444DBC">
        <w:rPr>
          <w:rFonts w:ascii="Arial" w:hAnsi="Arial" w:cs="Arial"/>
          <w:sz w:val="22"/>
          <w:szCs w:val="22"/>
        </w:rPr>
        <w:fldChar w:fldCharType="end"/>
      </w:r>
      <w:r w:rsidRPr="00444DBC">
        <w:rPr>
          <w:rFonts w:ascii="Arial" w:hAnsi="Arial" w:cs="Arial"/>
          <w:sz w:val="22"/>
          <w:szCs w:val="22"/>
        </w:rPr>
        <w:t>: Flowchart of Implementation Approach</w:t>
      </w:r>
    </w:p>
    <w:p w14:paraId="773A88E3" w14:textId="414B34B8" w:rsidR="00502AFF" w:rsidRPr="00444DBC" w:rsidRDefault="003A54DA" w:rsidP="00444DBC">
      <w:pPr>
        <w:keepNext/>
        <w:spacing w:line="360" w:lineRule="auto"/>
        <w:jc w:val="both"/>
        <w:rPr>
          <w:rFonts w:ascii="Arial" w:hAnsi="Arial" w:cs="Arial"/>
          <w:sz w:val="22"/>
          <w:szCs w:val="22"/>
        </w:rPr>
      </w:pPr>
      <w:bookmarkStart w:id="7" w:name="_Toc216770900"/>
      <w:r w:rsidRPr="00444DBC">
        <w:rPr>
          <w:rFonts w:ascii="Arial" w:eastAsia="Aptos" w:hAnsi="Arial" w:cs="Arial"/>
          <w:noProof/>
          <w:sz w:val="22"/>
          <w:szCs w:val="22"/>
        </w:rPr>
        <w:drawing>
          <wp:inline distT="0" distB="0" distL="0" distR="0" wp14:anchorId="7D324464" wp14:editId="6B34FDAC">
            <wp:extent cx="5566410" cy="352425"/>
            <wp:effectExtent l="0" t="0" r="34290" b="9525"/>
            <wp:docPr id="122150383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690B5C46" w14:textId="47007E76" w:rsidR="00BC1D19" w:rsidRPr="00993544" w:rsidRDefault="00BC1D19" w:rsidP="00993544">
      <w:pPr>
        <w:pStyle w:val="Heading3"/>
      </w:pPr>
      <w:r w:rsidRPr="00993544">
        <w:t>4.2.1 Needs Assessment and System Selection</w:t>
      </w:r>
      <w:bookmarkEnd w:id="7"/>
    </w:p>
    <w:p w14:paraId="4FC29E93" w14:textId="77777777" w:rsidR="00993544" w:rsidRDefault="00C6661F" w:rsidP="00993544">
      <w:pPr>
        <w:spacing w:line="360" w:lineRule="auto"/>
        <w:jc w:val="both"/>
        <w:rPr>
          <w:rFonts w:ascii="Arial" w:hAnsi="Arial" w:cs="Arial"/>
          <w:sz w:val="22"/>
          <w:szCs w:val="22"/>
        </w:rPr>
      </w:pPr>
      <w:r w:rsidRPr="00444DBC">
        <w:rPr>
          <w:rFonts w:ascii="Arial" w:hAnsi="Arial" w:cs="Arial"/>
          <w:sz w:val="22"/>
          <w:szCs w:val="22"/>
        </w:rPr>
        <w:t>The implementation process should start with a systematic review of existing business processes, during which key stakeholders are consulted to identify functional requirements. Altamony et al. (2021) highlight that early stakeholder involvement improves alignment between technological solutions and organisational objectives, reducing the likelihood of project delays or system misfits</w:t>
      </w:r>
      <w:r w:rsidR="00850F27" w:rsidRPr="00444DBC">
        <w:rPr>
          <w:rFonts w:ascii="Arial" w:hAnsi="Arial" w:cs="Arial"/>
          <w:sz w:val="22"/>
          <w:szCs w:val="22"/>
        </w:rPr>
        <w:t>.</w:t>
      </w:r>
      <w:bookmarkStart w:id="8" w:name="_Toc216770901"/>
    </w:p>
    <w:p w14:paraId="2688ED6C" w14:textId="77777777" w:rsidR="00993544" w:rsidRDefault="00BC1D19" w:rsidP="00993544">
      <w:pPr>
        <w:spacing w:line="360" w:lineRule="auto"/>
        <w:jc w:val="both"/>
      </w:pPr>
      <w:r w:rsidRPr="00444DBC">
        <w:t>4.2.2 Data Migration and Configuration</w:t>
      </w:r>
      <w:bookmarkStart w:id="9" w:name="_Toc216770902"/>
      <w:bookmarkEnd w:id="8"/>
    </w:p>
    <w:p w14:paraId="0D2B7571" w14:textId="77777777" w:rsidR="00993544" w:rsidRDefault="00DC66F6" w:rsidP="00993544">
      <w:pPr>
        <w:spacing w:line="360" w:lineRule="auto"/>
        <w:jc w:val="both"/>
        <w:rPr>
          <w:rFonts w:ascii="Arial" w:hAnsi="Arial" w:cs="Arial"/>
          <w:sz w:val="22"/>
          <w:szCs w:val="22"/>
        </w:rPr>
      </w:pPr>
      <w:r w:rsidRPr="00444DBC">
        <w:rPr>
          <w:rFonts w:ascii="Arial" w:hAnsi="Arial" w:cs="Arial"/>
          <w:sz w:val="22"/>
          <w:szCs w:val="22"/>
        </w:rPr>
        <w:t>Before data is transferred into the new system, it must be cleaned, validated, and standardised. Hustad et al. (2021) emphasise that data quality is a critical success factor in ERP projects, as poor preparation can lead to system errors, inaccurate reporting, and user dissatisfaction. Proper configuration at this stage ensures that the system reflects AKPerog Ltd’s operational needs.</w:t>
      </w:r>
    </w:p>
    <w:p w14:paraId="56A95837" w14:textId="77777777" w:rsidR="00993544" w:rsidRDefault="00BC1D19" w:rsidP="00993544">
      <w:pPr>
        <w:pStyle w:val="Heading3"/>
      </w:pPr>
      <w:r w:rsidRPr="00444DBC">
        <w:t>4.2.3 System Integration</w:t>
      </w:r>
      <w:bookmarkStart w:id="10" w:name="_Toc216770903"/>
      <w:bookmarkEnd w:id="9"/>
    </w:p>
    <w:p w14:paraId="724E6472" w14:textId="18B0EE0E" w:rsidR="00DC66F6" w:rsidRPr="00444DBC" w:rsidRDefault="00DC66F6" w:rsidP="00993544">
      <w:pPr>
        <w:spacing w:line="360" w:lineRule="auto"/>
        <w:jc w:val="both"/>
        <w:rPr>
          <w:rFonts w:ascii="Arial" w:hAnsi="Arial" w:cs="Arial"/>
          <w:sz w:val="22"/>
          <w:szCs w:val="22"/>
        </w:rPr>
      </w:pPr>
      <w:r w:rsidRPr="00444DBC">
        <w:rPr>
          <w:rFonts w:ascii="Arial" w:hAnsi="Arial" w:cs="Arial"/>
          <w:sz w:val="22"/>
          <w:szCs w:val="22"/>
        </w:rPr>
        <w:t>The ERP system should be integrated with existing e</w:t>
      </w:r>
      <w:r w:rsidRPr="00444DBC">
        <w:rPr>
          <w:rFonts w:ascii="Cambria Math" w:hAnsi="Cambria Math" w:cs="Cambria Math"/>
          <w:sz w:val="22"/>
          <w:szCs w:val="22"/>
        </w:rPr>
        <w:t>‑</w:t>
      </w:r>
      <w:r w:rsidRPr="00444DBC">
        <w:rPr>
          <w:rFonts w:ascii="Arial" w:hAnsi="Arial" w:cs="Arial"/>
          <w:sz w:val="22"/>
          <w:szCs w:val="22"/>
        </w:rPr>
        <w:t>commerce platforms, point</w:t>
      </w:r>
      <w:r w:rsidRPr="00444DBC">
        <w:rPr>
          <w:rFonts w:ascii="Cambria Math" w:hAnsi="Cambria Math" w:cs="Cambria Math"/>
          <w:sz w:val="22"/>
          <w:szCs w:val="22"/>
        </w:rPr>
        <w:t>‑</w:t>
      </w:r>
      <w:r w:rsidRPr="00444DBC">
        <w:rPr>
          <w:rFonts w:ascii="Arial" w:hAnsi="Arial" w:cs="Arial"/>
          <w:sz w:val="22"/>
          <w:szCs w:val="22"/>
        </w:rPr>
        <w:t>of</w:t>
      </w:r>
      <w:r w:rsidRPr="00444DBC">
        <w:rPr>
          <w:rFonts w:ascii="Cambria Math" w:hAnsi="Cambria Math" w:cs="Cambria Math"/>
          <w:sz w:val="22"/>
          <w:szCs w:val="22"/>
        </w:rPr>
        <w:t>‑</w:t>
      </w:r>
      <w:r w:rsidRPr="00444DBC">
        <w:rPr>
          <w:rFonts w:ascii="Arial" w:hAnsi="Arial" w:cs="Arial"/>
          <w:sz w:val="22"/>
          <w:szCs w:val="22"/>
        </w:rPr>
        <w:t xml:space="preserve">sale systems, and payment gateways to maintain continuity across all sales channels. Vial (2021) </w:t>
      </w:r>
      <w:r w:rsidRPr="00444DBC">
        <w:rPr>
          <w:rFonts w:ascii="Arial" w:hAnsi="Arial" w:cs="Arial"/>
          <w:sz w:val="22"/>
          <w:szCs w:val="22"/>
        </w:rPr>
        <w:lastRenderedPageBreak/>
        <w:t>argues that effective integration is essential for minimising operational disruption and supporting seamless customer experiences.</w:t>
      </w:r>
    </w:p>
    <w:p w14:paraId="04EA4401" w14:textId="6DF1DA3E" w:rsidR="00BC1D19" w:rsidRPr="00993544" w:rsidRDefault="00BC1D19" w:rsidP="00993544">
      <w:pPr>
        <w:pStyle w:val="Heading3"/>
      </w:pPr>
      <w:r w:rsidRPr="00993544">
        <w:t>4.2.4 Training and Change Management</w:t>
      </w:r>
      <w:bookmarkEnd w:id="10"/>
    </w:p>
    <w:p w14:paraId="3B280CEF" w14:textId="77777777" w:rsidR="00872CB2" w:rsidRPr="00444DBC" w:rsidRDefault="00872CB2" w:rsidP="00444DBC">
      <w:pPr>
        <w:pStyle w:val="Heading3"/>
        <w:spacing w:line="360" w:lineRule="auto"/>
        <w:jc w:val="both"/>
        <w:rPr>
          <w:rFonts w:ascii="Arial" w:eastAsiaTheme="minorHAnsi" w:hAnsi="Arial" w:cs="Arial"/>
          <w:color w:val="auto"/>
          <w:sz w:val="22"/>
          <w:szCs w:val="22"/>
        </w:rPr>
      </w:pPr>
      <w:bookmarkStart w:id="11" w:name="_Toc216770904"/>
      <w:r w:rsidRPr="00444DBC">
        <w:rPr>
          <w:rFonts w:ascii="Arial" w:eastAsiaTheme="minorHAnsi" w:hAnsi="Arial" w:cs="Arial"/>
          <w:color w:val="auto"/>
          <w:sz w:val="22"/>
          <w:szCs w:val="22"/>
        </w:rPr>
        <w:t>Comprehensive training and clear communication strategies are essential for reducing resistance to change. Nguyen et al. (2023) show that targeted training initiatives improve user confidence and engagement, increasing the likelihood of successful system adoption.</w:t>
      </w:r>
    </w:p>
    <w:p w14:paraId="741F5749" w14:textId="55AF24EA" w:rsidR="00281362" w:rsidRPr="00993544" w:rsidRDefault="00BC1D19" w:rsidP="00993544">
      <w:pPr>
        <w:pStyle w:val="Heading3"/>
      </w:pPr>
      <w:r w:rsidRPr="00993544">
        <w:t>4.2.5 Testing and Go-Live</w:t>
      </w:r>
      <w:bookmarkEnd w:id="11"/>
    </w:p>
    <w:p w14:paraId="5DE48ADC" w14:textId="77777777" w:rsidR="005274EC" w:rsidRPr="00444DBC" w:rsidRDefault="005274EC" w:rsidP="00444DBC">
      <w:pPr>
        <w:pStyle w:val="Heading2"/>
        <w:spacing w:line="360" w:lineRule="auto"/>
        <w:jc w:val="both"/>
        <w:rPr>
          <w:rFonts w:eastAsiaTheme="minorHAnsi" w:cs="Arial"/>
          <w:szCs w:val="22"/>
        </w:rPr>
      </w:pPr>
      <w:bookmarkStart w:id="12" w:name="_Toc216770905"/>
      <w:r w:rsidRPr="00444DBC">
        <w:rPr>
          <w:rFonts w:eastAsiaTheme="minorHAnsi" w:cs="Arial"/>
          <w:szCs w:val="22"/>
        </w:rPr>
        <w:t>Extensive testing should be carried out before deployment to confirm that the system functions correctly, meets security requirements, and is accepted by users. Close monitoring during the post</w:t>
      </w:r>
      <w:r w:rsidRPr="00444DBC">
        <w:rPr>
          <w:rFonts w:ascii="Cambria Math" w:eastAsiaTheme="minorHAnsi" w:hAnsi="Cambria Math" w:cs="Cambria Math"/>
          <w:szCs w:val="22"/>
        </w:rPr>
        <w:t>‑</w:t>
      </w:r>
      <w:r w:rsidRPr="00444DBC">
        <w:rPr>
          <w:rFonts w:eastAsiaTheme="minorHAnsi" w:cs="Arial"/>
          <w:szCs w:val="22"/>
        </w:rPr>
        <w:t>implementation phase helps identify and resolve issues quickly.</w:t>
      </w:r>
    </w:p>
    <w:p w14:paraId="614C81C0" w14:textId="4B4CD718" w:rsidR="00C05884" w:rsidRPr="00993544" w:rsidRDefault="00BC1D19" w:rsidP="00993544">
      <w:pPr>
        <w:pStyle w:val="Heading2"/>
      </w:pPr>
      <w:r w:rsidRPr="00993544">
        <w:t>4.3 Risk Management and Governance</w:t>
      </w:r>
      <w:bookmarkEnd w:id="12"/>
    </w:p>
    <w:p w14:paraId="31342B93" w14:textId="77777777" w:rsidR="00D6536F" w:rsidRPr="00444DBC" w:rsidRDefault="00D6536F" w:rsidP="00444DBC">
      <w:pPr>
        <w:pStyle w:val="Heading1"/>
        <w:spacing w:line="360" w:lineRule="auto"/>
        <w:jc w:val="both"/>
        <w:rPr>
          <w:rFonts w:ascii="Arial" w:hAnsi="Arial" w:cs="Arial"/>
          <w:sz w:val="22"/>
          <w:szCs w:val="22"/>
        </w:rPr>
      </w:pPr>
      <w:bookmarkStart w:id="13" w:name="_Toc216770906"/>
      <w:r w:rsidRPr="00444DBC">
        <w:rPr>
          <w:rFonts w:ascii="Arial" w:hAnsi="Arial" w:cs="Arial"/>
          <w:sz w:val="22"/>
          <w:szCs w:val="22"/>
        </w:rPr>
        <w:t>Strong governance and ongoing risk management ensure that the project remains aligned with organisational goals and that potential challenges are addressed proactively.</w:t>
      </w:r>
    </w:p>
    <w:p w14:paraId="63FD3F96" w14:textId="61811CA1" w:rsidR="00BC1D19" w:rsidRPr="00993544" w:rsidRDefault="00BC1D19" w:rsidP="00993544">
      <w:pPr>
        <w:pStyle w:val="Heading1"/>
      </w:pPr>
      <w:r w:rsidRPr="00993544">
        <w:t>5. Conclusion</w:t>
      </w:r>
      <w:bookmarkEnd w:id="13"/>
    </w:p>
    <w:p w14:paraId="5D9024DC" w14:textId="77777777" w:rsidR="00B040CE" w:rsidRPr="00444DBC" w:rsidRDefault="00B040CE" w:rsidP="00444DBC">
      <w:pPr>
        <w:spacing w:line="360" w:lineRule="auto"/>
        <w:jc w:val="both"/>
        <w:rPr>
          <w:rFonts w:ascii="Arial" w:hAnsi="Arial" w:cs="Arial"/>
          <w:sz w:val="22"/>
          <w:szCs w:val="22"/>
        </w:rPr>
      </w:pPr>
      <w:r w:rsidRPr="00444DBC">
        <w:rPr>
          <w:rFonts w:ascii="Arial" w:hAnsi="Arial" w:cs="Arial"/>
          <w:sz w:val="22"/>
          <w:szCs w:val="22"/>
        </w:rPr>
        <w:t>AKPerog Ltd is currently limited by a collection of disconnected and outdated information systems that make everyday operations slower and less reliable. Manual inventory checks, scattered customer records, slow reporting cycles and weak security controls all create inefficiencies that become more serious as the organisation expands. These issues not only affect internal productivity but also reduce the quality of customer service and restrict the organisation’s ability to make timely, evidence</w:t>
      </w:r>
      <w:r w:rsidRPr="00444DBC">
        <w:rPr>
          <w:rFonts w:ascii="Cambria Math" w:hAnsi="Cambria Math" w:cs="Cambria Math"/>
          <w:sz w:val="22"/>
          <w:szCs w:val="22"/>
        </w:rPr>
        <w:t>‑</w:t>
      </w:r>
      <w:r w:rsidRPr="00444DBC">
        <w:rPr>
          <w:rFonts w:ascii="Arial" w:hAnsi="Arial" w:cs="Arial"/>
          <w:sz w:val="22"/>
          <w:szCs w:val="22"/>
        </w:rPr>
        <w:t>based decisions. Introducing an integrated ERP and CRM system would provide a single, coherent platform that supports real</w:t>
      </w:r>
      <w:r w:rsidRPr="00444DBC">
        <w:rPr>
          <w:rFonts w:ascii="Cambria Math" w:hAnsi="Cambria Math" w:cs="Cambria Math"/>
          <w:sz w:val="22"/>
          <w:szCs w:val="22"/>
        </w:rPr>
        <w:t>‑</w:t>
      </w:r>
      <w:r w:rsidRPr="00444DBC">
        <w:rPr>
          <w:rFonts w:ascii="Arial" w:hAnsi="Arial" w:cs="Arial"/>
          <w:sz w:val="22"/>
          <w:szCs w:val="22"/>
        </w:rPr>
        <w:t>time stock visibility, unified customer information, stronger security measures and more sophisticated analytical capabilities.</w:t>
      </w:r>
    </w:p>
    <w:p w14:paraId="079D5899" w14:textId="77777777" w:rsidR="00B040CE" w:rsidRPr="00444DBC" w:rsidRDefault="00B040CE" w:rsidP="00444DBC">
      <w:pPr>
        <w:spacing w:line="360" w:lineRule="auto"/>
        <w:jc w:val="both"/>
        <w:rPr>
          <w:rFonts w:ascii="Arial" w:hAnsi="Arial" w:cs="Arial"/>
          <w:sz w:val="22"/>
          <w:szCs w:val="22"/>
        </w:rPr>
      </w:pPr>
      <w:r w:rsidRPr="00444DBC">
        <w:rPr>
          <w:rFonts w:ascii="Arial" w:hAnsi="Arial" w:cs="Arial"/>
          <w:sz w:val="22"/>
          <w:szCs w:val="22"/>
        </w:rPr>
        <w:t>A structured implementation approach, supported by the principles of the Technology Acceptance Model, would help ensure that staff understand the value of the new system and are willing to adopt it in their daily work. Strong governance throughout the process would further reduce risks, maintain project alignment and ensure that the system is configured to meet organisational needs. By modernising its digital infrastructure in this way, AKPerog Ltd can build a stable and scalable foundation that supports future growth.</w:t>
      </w:r>
    </w:p>
    <w:p w14:paraId="011A28FC" w14:textId="7E519301" w:rsidR="00BC1D19" w:rsidRPr="00444DBC" w:rsidRDefault="00B040CE" w:rsidP="00444DBC">
      <w:pPr>
        <w:spacing w:line="360" w:lineRule="auto"/>
        <w:jc w:val="both"/>
        <w:rPr>
          <w:rFonts w:ascii="Arial" w:hAnsi="Arial" w:cs="Arial"/>
          <w:sz w:val="22"/>
          <w:szCs w:val="22"/>
        </w:rPr>
      </w:pPr>
      <w:r w:rsidRPr="00444DBC">
        <w:rPr>
          <w:rFonts w:ascii="Arial" w:hAnsi="Arial" w:cs="Arial"/>
          <w:sz w:val="22"/>
          <w:szCs w:val="22"/>
        </w:rPr>
        <w:t>This transformation does more than resolve current operational problems. It positions the organisation to compete more effectively in a retail environment that is increasingly shaped by digital expectations, rapid customer interactions and data</w:t>
      </w:r>
      <w:r w:rsidRPr="00444DBC">
        <w:rPr>
          <w:rFonts w:ascii="Cambria Math" w:hAnsi="Cambria Math" w:cs="Cambria Math"/>
          <w:sz w:val="22"/>
          <w:szCs w:val="22"/>
        </w:rPr>
        <w:t>‑</w:t>
      </w:r>
      <w:r w:rsidRPr="00444DBC">
        <w:rPr>
          <w:rFonts w:ascii="Arial" w:hAnsi="Arial" w:cs="Arial"/>
          <w:sz w:val="22"/>
          <w:szCs w:val="22"/>
        </w:rPr>
        <w:t>driven decision</w:t>
      </w:r>
      <w:r w:rsidRPr="00444DBC">
        <w:rPr>
          <w:rFonts w:ascii="Cambria Math" w:hAnsi="Cambria Math" w:cs="Cambria Math"/>
          <w:sz w:val="22"/>
          <w:szCs w:val="22"/>
        </w:rPr>
        <w:t>‑</w:t>
      </w:r>
      <w:r w:rsidRPr="00444DBC">
        <w:rPr>
          <w:rFonts w:ascii="Arial" w:hAnsi="Arial" w:cs="Arial"/>
          <w:sz w:val="22"/>
          <w:szCs w:val="22"/>
        </w:rPr>
        <w:t xml:space="preserve">making. With integrated systems, AKPerog Ltd can operate more efficiently, respond more quickly to market </w:t>
      </w:r>
      <w:r w:rsidRPr="00444DBC">
        <w:rPr>
          <w:rFonts w:ascii="Arial" w:hAnsi="Arial" w:cs="Arial"/>
          <w:sz w:val="22"/>
          <w:szCs w:val="22"/>
        </w:rPr>
        <w:lastRenderedPageBreak/>
        <w:t>changes and deliver a more consistent customer experience across all channels. Over time, these capabilities strengthen resilience and support long</w:t>
      </w:r>
      <w:r w:rsidRPr="00444DBC">
        <w:rPr>
          <w:rFonts w:ascii="Cambria Math" w:hAnsi="Cambria Math" w:cs="Cambria Math"/>
          <w:sz w:val="22"/>
          <w:szCs w:val="22"/>
        </w:rPr>
        <w:t>‑</w:t>
      </w:r>
      <w:r w:rsidRPr="00444DBC">
        <w:rPr>
          <w:rFonts w:ascii="Arial" w:hAnsi="Arial" w:cs="Arial"/>
          <w:sz w:val="22"/>
          <w:szCs w:val="22"/>
        </w:rPr>
        <w:t>term strategic development.</w:t>
      </w:r>
    </w:p>
    <w:p w14:paraId="63A2F91A" w14:textId="77777777" w:rsidR="00BC1D19" w:rsidRPr="00444DBC" w:rsidRDefault="00BC1D19" w:rsidP="00444DBC">
      <w:pPr>
        <w:spacing w:line="360" w:lineRule="auto"/>
        <w:jc w:val="both"/>
        <w:rPr>
          <w:rFonts w:ascii="Arial" w:hAnsi="Arial" w:cs="Arial"/>
          <w:sz w:val="22"/>
          <w:szCs w:val="22"/>
        </w:rPr>
      </w:pPr>
    </w:p>
    <w:p w14:paraId="5127FA19" w14:textId="77777777" w:rsidR="006E464B" w:rsidRPr="00444DBC" w:rsidRDefault="006E464B" w:rsidP="00444DBC">
      <w:pPr>
        <w:spacing w:line="360" w:lineRule="auto"/>
        <w:jc w:val="both"/>
        <w:rPr>
          <w:rFonts w:ascii="Arial" w:hAnsi="Arial" w:cs="Arial"/>
          <w:sz w:val="22"/>
          <w:szCs w:val="22"/>
        </w:rPr>
      </w:pPr>
    </w:p>
    <w:p w14:paraId="6ABE0B2B" w14:textId="77777777" w:rsidR="00993544" w:rsidRDefault="00993544">
      <w:pPr>
        <w:rPr>
          <w:rFonts w:ascii="Arial" w:hAnsi="Arial" w:cs="Arial"/>
          <w:sz w:val="22"/>
          <w:szCs w:val="22"/>
        </w:rPr>
      </w:pPr>
      <w:bookmarkStart w:id="14" w:name="_Toc216770907"/>
      <w:r>
        <w:rPr>
          <w:rFonts w:ascii="Arial" w:hAnsi="Arial" w:cs="Arial"/>
          <w:sz w:val="22"/>
          <w:szCs w:val="22"/>
        </w:rPr>
        <w:br w:type="page"/>
      </w:r>
    </w:p>
    <w:p w14:paraId="7E3B5090" w14:textId="690B1F56" w:rsidR="00BC1D19" w:rsidRPr="00993544" w:rsidRDefault="00BC1D19" w:rsidP="00993544">
      <w:pPr>
        <w:pStyle w:val="Heading1"/>
      </w:pPr>
      <w:r w:rsidRPr="00993544">
        <w:lastRenderedPageBreak/>
        <w:t>References</w:t>
      </w:r>
      <w:bookmarkEnd w:id="14"/>
      <w:r w:rsidRPr="00993544">
        <w:t xml:space="preserve"> </w:t>
      </w:r>
    </w:p>
    <w:p w14:paraId="5F6BB5A6"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Agarwal, R. and Gupta, A., 2024. </w:t>
      </w:r>
      <w:r w:rsidRPr="00444DBC">
        <w:rPr>
          <w:rStyle w:val="Emphasis"/>
          <w:rFonts w:ascii="Arial" w:eastAsiaTheme="majorEastAsia" w:hAnsi="Arial" w:cs="Arial"/>
          <w:sz w:val="22"/>
          <w:szCs w:val="22"/>
        </w:rPr>
        <w:t>Digital adoption and the Technology Acceptance Model in organisational change</w:t>
      </w:r>
      <w:r w:rsidRPr="00444DBC">
        <w:rPr>
          <w:rFonts w:ascii="Arial" w:hAnsi="Arial" w:cs="Arial"/>
          <w:sz w:val="22"/>
          <w:szCs w:val="22"/>
        </w:rPr>
        <w:t>. Journal of Information Systems Research, 35(1), pp.45-63.</w:t>
      </w:r>
    </w:p>
    <w:p w14:paraId="42248FF9"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Alhassan, I., Sammon, D. and Daly, M., 2021. </w:t>
      </w:r>
      <w:r w:rsidRPr="00444DBC">
        <w:rPr>
          <w:rStyle w:val="Emphasis"/>
          <w:rFonts w:ascii="Arial" w:eastAsiaTheme="majorEastAsia" w:hAnsi="Arial" w:cs="Arial"/>
          <w:sz w:val="22"/>
          <w:szCs w:val="22"/>
        </w:rPr>
        <w:t>Data governance and risk management in ERP implementations</w:t>
      </w:r>
      <w:r w:rsidRPr="00444DBC">
        <w:rPr>
          <w:rFonts w:ascii="Arial" w:hAnsi="Arial" w:cs="Arial"/>
          <w:sz w:val="22"/>
          <w:szCs w:val="22"/>
        </w:rPr>
        <w:t>. International Journal of Accounting Information Systems, 41, p.100502.</w:t>
      </w:r>
    </w:p>
    <w:p w14:paraId="0FB4282A"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Altamony, H., Alshurideh, M., El-Soud, H. and Al-Lozi, E., 2021. </w:t>
      </w:r>
      <w:r w:rsidRPr="00444DBC">
        <w:rPr>
          <w:rStyle w:val="Emphasis"/>
          <w:rFonts w:ascii="Arial" w:eastAsiaTheme="majorEastAsia" w:hAnsi="Arial" w:cs="Arial"/>
          <w:sz w:val="22"/>
          <w:szCs w:val="22"/>
        </w:rPr>
        <w:t>Stakeholder involvement in ERP system implementation</w:t>
      </w:r>
      <w:r w:rsidRPr="00444DBC">
        <w:rPr>
          <w:rFonts w:ascii="Arial" w:hAnsi="Arial" w:cs="Arial"/>
          <w:sz w:val="22"/>
          <w:szCs w:val="22"/>
        </w:rPr>
        <w:t>. Journal of Enterprise Information Management, 34(6), pp.1648-1665.</w:t>
      </w:r>
    </w:p>
    <w:p w14:paraId="0D758B88"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Attaran, M., 2022. </w:t>
      </w:r>
      <w:r w:rsidRPr="00444DBC">
        <w:rPr>
          <w:rStyle w:val="Emphasis"/>
          <w:rFonts w:ascii="Arial" w:eastAsiaTheme="majorEastAsia" w:hAnsi="Arial" w:cs="Arial"/>
          <w:sz w:val="22"/>
          <w:szCs w:val="22"/>
        </w:rPr>
        <w:t>Inventory management in multichannel retail operations</w:t>
      </w:r>
      <w:r w:rsidRPr="00444DBC">
        <w:rPr>
          <w:rFonts w:ascii="Arial" w:hAnsi="Arial" w:cs="Arial"/>
          <w:sz w:val="22"/>
          <w:szCs w:val="22"/>
        </w:rPr>
        <w:t>. International Journal of Production Economics, 248, p.108422.</w:t>
      </w:r>
    </w:p>
    <w:p w14:paraId="7176A3B0"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Bradford, M. and Florin, J., 2020. </w:t>
      </w:r>
      <w:r w:rsidRPr="00444DBC">
        <w:rPr>
          <w:rStyle w:val="Emphasis"/>
          <w:rFonts w:ascii="Arial" w:eastAsiaTheme="majorEastAsia" w:hAnsi="Arial" w:cs="Arial"/>
          <w:sz w:val="22"/>
          <w:szCs w:val="22"/>
        </w:rPr>
        <w:t>Cross-departmental integration and enterprise systems efficiency</w:t>
      </w:r>
      <w:r w:rsidRPr="00444DBC">
        <w:rPr>
          <w:rFonts w:ascii="Arial" w:hAnsi="Arial" w:cs="Arial"/>
          <w:sz w:val="22"/>
          <w:szCs w:val="22"/>
        </w:rPr>
        <w:t>. Information &amp; Management, 57(8), p.103378.</w:t>
      </w:r>
    </w:p>
    <w:p w14:paraId="6F729B7C"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Chaudhuri, A., Dayal, U. and Narasimhan, P., 2022. </w:t>
      </w:r>
      <w:r w:rsidRPr="00444DBC">
        <w:rPr>
          <w:rStyle w:val="Emphasis"/>
          <w:rFonts w:ascii="Arial" w:eastAsiaTheme="majorEastAsia" w:hAnsi="Arial" w:cs="Arial"/>
          <w:sz w:val="22"/>
          <w:szCs w:val="22"/>
        </w:rPr>
        <w:t>Customer-centric ERP design for omnichannel retail</w:t>
      </w:r>
      <w:r w:rsidRPr="00444DBC">
        <w:rPr>
          <w:rFonts w:ascii="Arial" w:hAnsi="Arial" w:cs="Arial"/>
          <w:sz w:val="22"/>
          <w:szCs w:val="22"/>
        </w:rPr>
        <w:t>. Journal of Retailing and Consumer Services, 66, p.102964.</w:t>
      </w:r>
    </w:p>
    <w:p w14:paraId="1AC3CA54"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Davis, F.D., 2022. </w:t>
      </w:r>
      <w:r w:rsidRPr="00444DBC">
        <w:rPr>
          <w:rStyle w:val="Emphasis"/>
          <w:rFonts w:ascii="Arial" w:eastAsiaTheme="majorEastAsia" w:hAnsi="Arial" w:cs="Arial"/>
          <w:sz w:val="22"/>
          <w:szCs w:val="22"/>
        </w:rPr>
        <w:t>Perceived usefulness, ease of use, and the Technology Acceptance Model</w:t>
      </w:r>
      <w:r w:rsidRPr="00444DBC">
        <w:rPr>
          <w:rFonts w:ascii="Arial" w:hAnsi="Arial" w:cs="Arial"/>
          <w:sz w:val="22"/>
          <w:szCs w:val="22"/>
        </w:rPr>
        <w:t>. MIS Quarterly, 46(2), pp.381-404.</w:t>
      </w:r>
    </w:p>
    <w:p w14:paraId="6435A9BE"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Harrison, F. and Lock, D., 2021. </w:t>
      </w:r>
      <w:r w:rsidRPr="00444DBC">
        <w:rPr>
          <w:rStyle w:val="Emphasis"/>
          <w:rFonts w:ascii="Arial" w:eastAsiaTheme="majorEastAsia" w:hAnsi="Arial" w:cs="Arial"/>
          <w:sz w:val="22"/>
          <w:szCs w:val="22"/>
        </w:rPr>
        <w:t>Scalability and financial sustainability of cloud-based ERP systems</w:t>
      </w:r>
      <w:r w:rsidRPr="00444DBC">
        <w:rPr>
          <w:rFonts w:ascii="Arial" w:hAnsi="Arial" w:cs="Arial"/>
          <w:sz w:val="22"/>
          <w:szCs w:val="22"/>
        </w:rPr>
        <w:t>. International Journal of Information Management, 57, p.102318.</w:t>
      </w:r>
    </w:p>
    <w:p w14:paraId="79BDC4D2"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Harrigan, P., Evers, U., Miles, M. and Daly, T., 2021. </w:t>
      </w:r>
      <w:r w:rsidRPr="00444DBC">
        <w:rPr>
          <w:rStyle w:val="Emphasis"/>
          <w:rFonts w:ascii="Arial" w:eastAsiaTheme="majorEastAsia" w:hAnsi="Arial" w:cs="Arial"/>
          <w:sz w:val="22"/>
          <w:szCs w:val="22"/>
        </w:rPr>
        <w:t>Digital customer engagement in fragmented systems</w:t>
      </w:r>
      <w:r w:rsidRPr="00444DBC">
        <w:rPr>
          <w:rFonts w:ascii="Arial" w:hAnsi="Arial" w:cs="Arial"/>
          <w:sz w:val="22"/>
          <w:szCs w:val="22"/>
        </w:rPr>
        <w:t>. Journal of Strategic Marketing, 29(3), pp.207-225.</w:t>
      </w:r>
    </w:p>
    <w:p w14:paraId="0034B496"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Hustad, E., Haddara, M. and Kalvenes, Ø., 2021. </w:t>
      </w:r>
      <w:r w:rsidRPr="00444DBC">
        <w:rPr>
          <w:rStyle w:val="Emphasis"/>
          <w:rFonts w:ascii="Arial" w:eastAsiaTheme="majorEastAsia" w:hAnsi="Arial" w:cs="Arial"/>
          <w:sz w:val="22"/>
          <w:szCs w:val="22"/>
        </w:rPr>
        <w:t>Data quality and migration challenges in ERP projects</w:t>
      </w:r>
      <w:r w:rsidRPr="00444DBC">
        <w:rPr>
          <w:rFonts w:ascii="Arial" w:hAnsi="Arial" w:cs="Arial"/>
          <w:sz w:val="22"/>
          <w:szCs w:val="22"/>
        </w:rPr>
        <w:t>. Procedia Computer Science, 181, pp.521-529.</w:t>
      </w:r>
    </w:p>
    <w:p w14:paraId="0100A18F"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Kembro, J., Näslund, D. and Olhager, J., 2021. </w:t>
      </w:r>
      <w:r w:rsidRPr="00444DBC">
        <w:rPr>
          <w:rStyle w:val="Emphasis"/>
          <w:rFonts w:ascii="Arial" w:eastAsiaTheme="majorEastAsia" w:hAnsi="Arial" w:cs="Arial"/>
          <w:sz w:val="22"/>
          <w:szCs w:val="22"/>
        </w:rPr>
        <w:t>Inventory control in multichannel retail supply chains</w:t>
      </w:r>
      <w:r w:rsidRPr="00444DBC">
        <w:rPr>
          <w:rFonts w:ascii="Arial" w:hAnsi="Arial" w:cs="Arial"/>
          <w:sz w:val="22"/>
          <w:szCs w:val="22"/>
        </w:rPr>
        <w:t>. International Journal of Production Economics, 235, p.108080.</w:t>
      </w:r>
    </w:p>
    <w:p w14:paraId="10428DDF"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Laudon, K.C. and Laudon, J.P., 2024. </w:t>
      </w:r>
      <w:r w:rsidRPr="00444DBC">
        <w:rPr>
          <w:rStyle w:val="Emphasis"/>
          <w:rFonts w:ascii="Arial" w:eastAsiaTheme="majorEastAsia" w:hAnsi="Arial" w:cs="Arial"/>
          <w:sz w:val="22"/>
          <w:szCs w:val="22"/>
        </w:rPr>
        <w:t>Management Information Systems: Managing the Digital Firm</w:t>
      </w:r>
      <w:r w:rsidRPr="00444DBC">
        <w:rPr>
          <w:rFonts w:ascii="Arial" w:hAnsi="Arial" w:cs="Arial"/>
          <w:sz w:val="22"/>
          <w:szCs w:val="22"/>
        </w:rPr>
        <w:t>. 18th ed. London: Pearson.</w:t>
      </w:r>
    </w:p>
    <w:p w14:paraId="64495839"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lastRenderedPageBreak/>
        <w:t xml:space="preserve">Mikalef, P., Krogstie, J., Pappas, I.O. and Pavlou, P.A., 2020. </w:t>
      </w:r>
      <w:r w:rsidRPr="00444DBC">
        <w:rPr>
          <w:rStyle w:val="Emphasis"/>
          <w:rFonts w:ascii="Arial" w:eastAsiaTheme="majorEastAsia" w:hAnsi="Arial" w:cs="Arial"/>
          <w:sz w:val="22"/>
          <w:szCs w:val="22"/>
        </w:rPr>
        <w:t>Data-driven decision-making in dynamic business environments</w:t>
      </w:r>
      <w:r w:rsidRPr="00444DBC">
        <w:rPr>
          <w:rFonts w:ascii="Arial" w:hAnsi="Arial" w:cs="Arial"/>
          <w:sz w:val="22"/>
          <w:szCs w:val="22"/>
        </w:rPr>
        <w:t>. Information &amp; Management, 57(2), p.103169.</w:t>
      </w:r>
    </w:p>
    <w:p w14:paraId="6CCA684F"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Nguyen, T., Malik, M. and Sharma, R., 2023. </w:t>
      </w:r>
      <w:r w:rsidRPr="00444DBC">
        <w:rPr>
          <w:rStyle w:val="Emphasis"/>
          <w:rFonts w:ascii="Arial" w:eastAsiaTheme="majorEastAsia" w:hAnsi="Arial" w:cs="Arial"/>
          <w:sz w:val="22"/>
          <w:szCs w:val="22"/>
        </w:rPr>
        <w:t>Training and employee engagement during ERP adoption</w:t>
      </w:r>
      <w:r w:rsidRPr="00444DBC">
        <w:rPr>
          <w:rFonts w:ascii="Arial" w:hAnsi="Arial" w:cs="Arial"/>
          <w:sz w:val="22"/>
          <w:szCs w:val="22"/>
        </w:rPr>
        <w:t>. Journal of Enterprise Information Management, 36(4), pp.1230-1247.</w:t>
      </w:r>
    </w:p>
    <w:p w14:paraId="2C10843B"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Popovič, A., Hackney, R., Coelho, P.S. and Jaklič, J., 2022. </w:t>
      </w:r>
      <w:r w:rsidRPr="00444DBC">
        <w:rPr>
          <w:rStyle w:val="Emphasis"/>
          <w:rFonts w:ascii="Arial" w:eastAsiaTheme="majorEastAsia" w:hAnsi="Arial" w:cs="Arial"/>
          <w:sz w:val="22"/>
          <w:szCs w:val="22"/>
        </w:rPr>
        <w:t>Analytics-driven decision-making under uncertainty</w:t>
      </w:r>
      <w:r w:rsidRPr="00444DBC">
        <w:rPr>
          <w:rFonts w:ascii="Arial" w:hAnsi="Arial" w:cs="Arial"/>
          <w:sz w:val="22"/>
          <w:szCs w:val="22"/>
        </w:rPr>
        <w:t>. European Journal of Information Systems, 31(2), pp.155-174.</w:t>
      </w:r>
    </w:p>
    <w:p w14:paraId="10AD83B5"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Richards, D. and Grinsted, A., 2022. </w:t>
      </w:r>
      <w:r w:rsidRPr="00444DBC">
        <w:rPr>
          <w:rStyle w:val="Emphasis"/>
          <w:rFonts w:ascii="Arial" w:eastAsiaTheme="majorEastAsia" w:hAnsi="Arial" w:cs="Arial"/>
          <w:sz w:val="22"/>
          <w:szCs w:val="22"/>
        </w:rPr>
        <w:t>Benefits of automated inventory management</w:t>
      </w:r>
      <w:r w:rsidRPr="00444DBC">
        <w:rPr>
          <w:rFonts w:ascii="Arial" w:hAnsi="Arial" w:cs="Arial"/>
          <w:sz w:val="22"/>
          <w:szCs w:val="22"/>
        </w:rPr>
        <w:t>. International Journal of Operations &amp; Production Management, 42(5), pp.783-802.</w:t>
      </w:r>
    </w:p>
    <w:p w14:paraId="6BA27A0A"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Tikkinen-Piri, C., Rohunen, A. and Markkula, J., 2020. </w:t>
      </w:r>
      <w:r w:rsidRPr="00444DBC">
        <w:rPr>
          <w:rStyle w:val="Emphasis"/>
          <w:rFonts w:ascii="Arial" w:eastAsiaTheme="majorEastAsia" w:hAnsi="Arial" w:cs="Arial"/>
          <w:sz w:val="22"/>
          <w:szCs w:val="22"/>
        </w:rPr>
        <w:t>Data protection and GDPR compliance in retail</w:t>
      </w:r>
      <w:r w:rsidRPr="00444DBC">
        <w:rPr>
          <w:rFonts w:ascii="Arial" w:hAnsi="Arial" w:cs="Arial"/>
          <w:sz w:val="22"/>
          <w:szCs w:val="22"/>
        </w:rPr>
        <w:t>. Computer Law &amp; Security Review, 36, p.105396.</w:t>
      </w:r>
    </w:p>
    <w:p w14:paraId="5330AFD1"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Verhoef, P.C., Broekhuizen, T., Bart, Y., Bhattacharya, A., Qi Dong, J., Fabian, N. and Haenlein, M., 2021. </w:t>
      </w:r>
      <w:r w:rsidRPr="00444DBC">
        <w:rPr>
          <w:rStyle w:val="Emphasis"/>
          <w:rFonts w:ascii="Arial" w:eastAsiaTheme="majorEastAsia" w:hAnsi="Arial" w:cs="Arial"/>
          <w:sz w:val="22"/>
          <w:szCs w:val="22"/>
        </w:rPr>
        <w:t>Customer engagement and integration in CRM</w:t>
      </w:r>
      <w:r w:rsidRPr="00444DBC">
        <w:rPr>
          <w:rFonts w:ascii="Arial" w:hAnsi="Arial" w:cs="Arial"/>
          <w:sz w:val="22"/>
          <w:szCs w:val="22"/>
        </w:rPr>
        <w:t>. Journal of the Academy of Marketing Science, 49(2), pp.189-214.</w:t>
      </w:r>
    </w:p>
    <w:p w14:paraId="0DD5CB35"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Voigt, P. and Von dem Bussche, A., 2021. </w:t>
      </w:r>
      <w:r w:rsidRPr="00444DBC">
        <w:rPr>
          <w:rStyle w:val="Emphasis"/>
          <w:rFonts w:ascii="Arial" w:eastAsiaTheme="majorEastAsia" w:hAnsi="Arial" w:cs="Arial"/>
          <w:sz w:val="22"/>
          <w:szCs w:val="22"/>
        </w:rPr>
        <w:t>The EU General Data Protection Regulation (GDPR): A Practical Guide</w:t>
      </w:r>
      <w:r w:rsidRPr="00444DBC">
        <w:rPr>
          <w:rFonts w:ascii="Arial" w:hAnsi="Arial" w:cs="Arial"/>
          <w:sz w:val="22"/>
          <w:szCs w:val="22"/>
        </w:rPr>
        <w:t>. 2nd ed. Cham: Springer.</w:t>
      </w:r>
    </w:p>
    <w:p w14:paraId="5DE16168" w14:textId="77777777" w:rsidR="00444DBC" w:rsidRPr="00444DBC" w:rsidRDefault="00444DBC" w:rsidP="00444DBC">
      <w:pPr>
        <w:pStyle w:val="NormalWeb"/>
        <w:spacing w:line="360" w:lineRule="auto"/>
        <w:jc w:val="both"/>
        <w:rPr>
          <w:rFonts w:ascii="Arial" w:hAnsi="Arial" w:cs="Arial"/>
          <w:sz w:val="22"/>
          <w:szCs w:val="22"/>
        </w:rPr>
      </w:pPr>
      <w:r w:rsidRPr="00444DBC">
        <w:rPr>
          <w:rFonts w:ascii="Arial" w:hAnsi="Arial" w:cs="Arial"/>
          <w:sz w:val="22"/>
          <w:szCs w:val="22"/>
        </w:rPr>
        <w:t xml:space="preserve">Vial, G., 2021. </w:t>
      </w:r>
      <w:r w:rsidRPr="00444DBC">
        <w:rPr>
          <w:rStyle w:val="Emphasis"/>
          <w:rFonts w:ascii="Arial" w:eastAsiaTheme="majorEastAsia" w:hAnsi="Arial" w:cs="Arial"/>
          <w:sz w:val="22"/>
          <w:szCs w:val="22"/>
        </w:rPr>
        <w:t>Understanding digital transformation: A review and research agenda</w:t>
      </w:r>
      <w:r w:rsidRPr="00444DBC">
        <w:rPr>
          <w:rFonts w:ascii="Arial" w:hAnsi="Arial" w:cs="Arial"/>
          <w:sz w:val="22"/>
          <w:szCs w:val="22"/>
        </w:rPr>
        <w:t>. Journal of Strategic Information Systems, 30(2), p.101622.</w:t>
      </w:r>
    </w:p>
    <w:p w14:paraId="7B10FB7A" w14:textId="6B5A774D" w:rsidR="00104074" w:rsidRPr="00BC1D19" w:rsidRDefault="00104074" w:rsidP="00444DBC">
      <w:pPr>
        <w:spacing w:before="100" w:beforeAutospacing="1" w:after="100" w:afterAutospacing="1" w:line="360" w:lineRule="auto"/>
        <w:jc w:val="both"/>
      </w:pPr>
    </w:p>
    <w:sectPr w:rsidR="00104074" w:rsidRPr="00BC1D19" w:rsidSect="007D541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A326D6" w14:textId="77777777" w:rsidR="004D75B2" w:rsidRDefault="004D75B2" w:rsidP="001E3F72">
      <w:pPr>
        <w:spacing w:after="0" w:line="240" w:lineRule="auto"/>
      </w:pPr>
      <w:r>
        <w:separator/>
      </w:r>
    </w:p>
  </w:endnote>
  <w:endnote w:type="continuationSeparator" w:id="0">
    <w:p w14:paraId="43F12F2E" w14:textId="77777777" w:rsidR="004D75B2" w:rsidRDefault="004D75B2" w:rsidP="001E3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423060"/>
      <w:docPartObj>
        <w:docPartGallery w:val="Page Numbers (Bottom of Page)"/>
        <w:docPartUnique/>
      </w:docPartObj>
    </w:sdtPr>
    <w:sdtEndPr>
      <w:rPr>
        <w:noProof/>
      </w:rPr>
    </w:sdtEndPr>
    <w:sdtContent>
      <w:p w14:paraId="33F20BDF" w14:textId="06FEEDBC" w:rsidR="001E3F72" w:rsidRDefault="001E3F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5F920C" w14:textId="77777777" w:rsidR="001E3F72" w:rsidRDefault="001E3F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6DD21B" w14:textId="77777777" w:rsidR="004D75B2" w:rsidRDefault="004D75B2" w:rsidP="001E3F72">
      <w:pPr>
        <w:spacing w:after="0" w:line="240" w:lineRule="auto"/>
      </w:pPr>
      <w:r>
        <w:separator/>
      </w:r>
    </w:p>
  </w:footnote>
  <w:footnote w:type="continuationSeparator" w:id="0">
    <w:p w14:paraId="6D0585F0" w14:textId="77777777" w:rsidR="004D75B2" w:rsidRDefault="004D75B2" w:rsidP="001E3F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2348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AE46BF3"/>
    <w:multiLevelType w:val="hybridMultilevel"/>
    <w:tmpl w:val="19AE7F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DE24BCB"/>
    <w:multiLevelType w:val="multilevel"/>
    <w:tmpl w:val="CEC25DAE"/>
    <w:lvl w:ilvl="0">
      <w:start w:val="1"/>
      <w:numFmt w:val="decimal"/>
      <w:lvlText w:val="%1."/>
      <w:lvlJc w:val="left"/>
      <w:pPr>
        <w:ind w:left="720" w:hanging="360"/>
      </w:pPr>
    </w:lvl>
    <w:lvl w:ilvl="1">
      <w:start w:val="4"/>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2DE97B9A"/>
    <w:multiLevelType w:val="hybridMultilevel"/>
    <w:tmpl w:val="505C5EE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7E45D8"/>
    <w:multiLevelType w:val="hybridMultilevel"/>
    <w:tmpl w:val="7F042096"/>
    <w:lvl w:ilvl="0" w:tplc="7CFC58E6">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ACD6A6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7D295B24"/>
    <w:multiLevelType w:val="multilevel"/>
    <w:tmpl w:val="73564966"/>
    <w:lvl w:ilvl="0">
      <w:start w:val="1"/>
      <w:numFmt w:val="upperRoman"/>
      <w:lvlText w:val="Article %1."/>
      <w:lvlJc w:val="left"/>
      <w:pPr>
        <w:ind w:left="0" w:firstLine="0"/>
      </w:pPr>
    </w:lvl>
    <w:lvl w:ilvl="1">
      <w:start w:val="1"/>
      <w:numFmt w:val="decimalZero"/>
      <w:isLgl/>
      <w:lvlText w:val="Section %1.%2"/>
      <w:lvlJc w:val="left"/>
      <w:pPr>
        <w:ind w:left="0" w:firstLine="0"/>
      </w:pPr>
      <w:rPr>
        <w:rFonts w:hint="default"/>
      </w:rPr>
    </w:lvl>
    <w:lvl w:ilvl="2">
      <w:start w:val="1"/>
      <w:numFmt w:val="lowerLetter"/>
      <w:lvlText w:val="(%3)"/>
      <w:lvlJc w:val="left"/>
      <w:pPr>
        <w:ind w:left="720" w:hanging="432"/>
      </w:pPr>
      <w:rPr>
        <w:rFonts w:hint="default"/>
      </w:rPr>
    </w:lvl>
    <w:lvl w:ilvl="3">
      <w:start w:val="1"/>
      <w:numFmt w:val="lowerRoman"/>
      <w:pStyle w:val="Heading4"/>
      <w:lvlText w:val="(%4)"/>
      <w:lvlJc w:val="right"/>
      <w:pPr>
        <w:ind w:left="864" w:hanging="144"/>
      </w:pPr>
      <w:rPr>
        <w:rFonts w:hint="default"/>
      </w:rPr>
    </w:lvl>
    <w:lvl w:ilvl="4">
      <w:start w:val="1"/>
      <w:numFmt w:val="decimal"/>
      <w:pStyle w:val="Heading5"/>
      <w:lvlText w:val="%5)"/>
      <w:lvlJc w:val="left"/>
      <w:pPr>
        <w:ind w:left="1008" w:hanging="432"/>
      </w:pPr>
      <w:rPr>
        <w:rFonts w:hint="default"/>
      </w:rPr>
    </w:lvl>
    <w:lvl w:ilvl="5">
      <w:start w:val="1"/>
      <w:numFmt w:val="lowerLetter"/>
      <w:pStyle w:val="Heading6"/>
      <w:lvlText w:val="%6)"/>
      <w:lvlJc w:val="left"/>
      <w:pPr>
        <w:ind w:left="1152" w:hanging="432"/>
      </w:pPr>
      <w:rPr>
        <w:rFonts w:hint="default"/>
      </w:rPr>
    </w:lvl>
    <w:lvl w:ilvl="6">
      <w:start w:val="1"/>
      <w:numFmt w:val="lowerRoman"/>
      <w:pStyle w:val="Heading7"/>
      <w:lvlText w:val="%7)"/>
      <w:lvlJc w:val="right"/>
      <w:pPr>
        <w:ind w:left="1296" w:hanging="288"/>
      </w:pPr>
      <w:rPr>
        <w:rFonts w:hint="default"/>
      </w:rPr>
    </w:lvl>
    <w:lvl w:ilvl="7">
      <w:start w:val="1"/>
      <w:numFmt w:val="lowerLetter"/>
      <w:pStyle w:val="Heading8"/>
      <w:lvlText w:val="%8."/>
      <w:lvlJc w:val="left"/>
      <w:pPr>
        <w:ind w:left="1440" w:hanging="432"/>
      </w:pPr>
      <w:rPr>
        <w:rFonts w:hint="default"/>
      </w:rPr>
    </w:lvl>
    <w:lvl w:ilvl="8">
      <w:start w:val="1"/>
      <w:numFmt w:val="lowerRoman"/>
      <w:pStyle w:val="Heading9"/>
      <w:lvlText w:val="%9."/>
      <w:lvlJc w:val="right"/>
      <w:pPr>
        <w:ind w:left="1584" w:hanging="144"/>
      </w:pPr>
      <w:rPr>
        <w:rFonts w:hint="default"/>
      </w:rPr>
    </w:lvl>
  </w:abstractNum>
  <w:num w:numId="1" w16cid:durableId="1005933657">
    <w:abstractNumId w:val="3"/>
  </w:num>
  <w:num w:numId="2" w16cid:durableId="1909414741">
    <w:abstractNumId w:val="2"/>
  </w:num>
  <w:num w:numId="3" w16cid:durableId="171382364">
    <w:abstractNumId w:val="1"/>
  </w:num>
  <w:num w:numId="4" w16cid:durableId="1786075715">
    <w:abstractNumId w:val="6"/>
  </w:num>
  <w:num w:numId="5" w16cid:durableId="343938435">
    <w:abstractNumId w:val="0"/>
  </w:num>
  <w:num w:numId="6" w16cid:durableId="957491962">
    <w:abstractNumId w:val="5"/>
  </w:num>
  <w:num w:numId="7" w16cid:durableId="17040186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1224" w:allStyles="0" w:customStyles="0" w:latentStyles="1" w:stylesInUse="0" w:headingStyles="1" w:numberingStyles="0" w:tableStyles="0" w:directFormattingOnRuns="0" w:directFormattingOnParagraphs="1" w:directFormattingOnNumbering="0" w:directFormattingOnTables="0" w:clearFormatting="1" w:top3HeadingStyles="0" w:visibleStyles="0" w:alternateStyleNames="0"/>
  <w:stylePaneSortMethod w:val="00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EFF"/>
    <w:rsid w:val="00002023"/>
    <w:rsid w:val="0007436A"/>
    <w:rsid w:val="00076353"/>
    <w:rsid w:val="00095FDC"/>
    <w:rsid w:val="000D4644"/>
    <w:rsid w:val="000F5591"/>
    <w:rsid w:val="000F6396"/>
    <w:rsid w:val="00101FC8"/>
    <w:rsid w:val="00104074"/>
    <w:rsid w:val="00117279"/>
    <w:rsid w:val="00123BD3"/>
    <w:rsid w:val="001B304C"/>
    <w:rsid w:val="001C73B4"/>
    <w:rsid w:val="001E3F72"/>
    <w:rsid w:val="001F7D51"/>
    <w:rsid w:val="00232B57"/>
    <w:rsid w:val="00251AB0"/>
    <w:rsid w:val="00256607"/>
    <w:rsid w:val="00280B9B"/>
    <w:rsid w:val="00281362"/>
    <w:rsid w:val="002F7EDC"/>
    <w:rsid w:val="0032377A"/>
    <w:rsid w:val="00330859"/>
    <w:rsid w:val="0035154D"/>
    <w:rsid w:val="00377ED5"/>
    <w:rsid w:val="0039377F"/>
    <w:rsid w:val="0039665B"/>
    <w:rsid w:val="00397642"/>
    <w:rsid w:val="003A54DA"/>
    <w:rsid w:val="003B1CCE"/>
    <w:rsid w:val="003B3626"/>
    <w:rsid w:val="003C2489"/>
    <w:rsid w:val="003C2F5B"/>
    <w:rsid w:val="00402E65"/>
    <w:rsid w:val="00444DBC"/>
    <w:rsid w:val="004575B5"/>
    <w:rsid w:val="0047441F"/>
    <w:rsid w:val="004D75B2"/>
    <w:rsid w:val="004E24E3"/>
    <w:rsid w:val="00500478"/>
    <w:rsid w:val="00502AFF"/>
    <w:rsid w:val="005274EC"/>
    <w:rsid w:val="005859E9"/>
    <w:rsid w:val="00590717"/>
    <w:rsid w:val="00590C70"/>
    <w:rsid w:val="005B0691"/>
    <w:rsid w:val="005E6533"/>
    <w:rsid w:val="005F5878"/>
    <w:rsid w:val="006B15E5"/>
    <w:rsid w:val="006D052E"/>
    <w:rsid w:val="006D65B8"/>
    <w:rsid w:val="006E134A"/>
    <w:rsid w:val="006E464B"/>
    <w:rsid w:val="00705C78"/>
    <w:rsid w:val="00720EFF"/>
    <w:rsid w:val="00763273"/>
    <w:rsid w:val="007A3601"/>
    <w:rsid w:val="007B1CAD"/>
    <w:rsid w:val="007D5417"/>
    <w:rsid w:val="007F3125"/>
    <w:rsid w:val="008045EB"/>
    <w:rsid w:val="00832E4E"/>
    <w:rsid w:val="00841DE2"/>
    <w:rsid w:val="00850F27"/>
    <w:rsid w:val="00857F37"/>
    <w:rsid w:val="00872CB2"/>
    <w:rsid w:val="008B54BB"/>
    <w:rsid w:val="008C5CE5"/>
    <w:rsid w:val="008E1CF5"/>
    <w:rsid w:val="008F71C8"/>
    <w:rsid w:val="00915CAA"/>
    <w:rsid w:val="00927346"/>
    <w:rsid w:val="00993544"/>
    <w:rsid w:val="009E2669"/>
    <w:rsid w:val="009E5826"/>
    <w:rsid w:val="00A56E32"/>
    <w:rsid w:val="00AB3AF6"/>
    <w:rsid w:val="00AC6687"/>
    <w:rsid w:val="00AF4A33"/>
    <w:rsid w:val="00B040CE"/>
    <w:rsid w:val="00B50912"/>
    <w:rsid w:val="00B93BCE"/>
    <w:rsid w:val="00BB775D"/>
    <w:rsid w:val="00BC1D19"/>
    <w:rsid w:val="00BC6470"/>
    <w:rsid w:val="00C04C3F"/>
    <w:rsid w:val="00C05884"/>
    <w:rsid w:val="00C474D2"/>
    <w:rsid w:val="00C6661F"/>
    <w:rsid w:val="00C7333D"/>
    <w:rsid w:val="00C86E8F"/>
    <w:rsid w:val="00C87DE5"/>
    <w:rsid w:val="00CD0D56"/>
    <w:rsid w:val="00CE0BB6"/>
    <w:rsid w:val="00CF20B7"/>
    <w:rsid w:val="00D014B4"/>
    <w:rsid w:val="00D14EC1"/>
    <w:rsid w:val="00D6536F"/>
    <w:rsid w:val="00D77CDF"/>
    <w:rsid w:val="00D8567B"/>
    <w:rsid w:val="00D901C1"/>
    <w:rsid w:val="00D94436"/>
    <w:rsid w:val="00DC66F6"/>
    <w:rsid w:val="00DE00A3"/>
    <w:rsid w:val="00E06CBA"/>
    <w:rsid w:val="00E50FFB"/>
    <w:rsid w:val="00F620F9"/>
    <w:rsid w:val="00F862F3"/>
    <w:rsid w:val="00FB64EF"/>
    <w:rsid w:val="00FD7442"/>
    <w:rsid w:val="00FE0F2B"/>
    <w:rsid w:val="00FE40D8"/>
    <w:rsid w:val="00FE4F32"/>
    <w:rsid w:val="00FF71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E39D4"/>
  <w15:chartTrackingRefBased/>
  <w15:docId w15:val="{6A5C1F51-D371-4D12-A935-05C820AABB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442"/>
  </w:style>
  <w:style w:type="paragraph" w:styleId="Heading1">
    <w:name w:val="heading 1"/>
    <w:basedOn w:val="Normal"/>
    <w:next w:val="Normal"/>
    <w:link w:val="Heading1Char"/>
    <w:uiPriority w:val="9"/>
    <w:qFormat/>
    <w:rsid w:val="00377ED5"/>
    <w:pPr>
      <w:outlineLvl w:val="0"/>
    </w:pPr>
  </w:style>
  <w:style w:type="paragraph" w:styleId="Heading2">
    <w:name w:val="heading 2"/>
    <w:basedOn w:val="Normal"/>
    <w:next w:val="Normal"/>
    <w:link w:val="Heading2Char"/>
    <w:uiPriority w:val="9"/>
    <w:qFormat/>
    <w:rsid w:val="00993544"/>
    <w:pPr>
      <w:keepNext/>
      <w:keepLines/>
      <w:spacing w:before="160" w:after="80"/>
      <w:outlineLvl w:val="1"/>
    </w:pPr>
    <w:rPr>
      <w:rFonts w:ascii="Arial" w:eastAsiaTheme="majorEastAsia" w:hAnsi="Arial" w:cstheme="majorBidi"/>
      <w:sz w:val="22"/>
      <w:szCs w:val="32"/>
    </w:rPr>
  </w:style>
  <w:style w:type="paragraph" w:styleId="Heading3">
    <w:name w:val="heading 3"/>
    <w:basedOn w:val="Normal"/>
    <w:next w:val="Normal"/>
    <w:link w:val="Heading3Char"/>
    <w:uiPriority w:val="9"/>
    <w:unhideWhenUsed/>
    <w:qFormat/>
    <w:rsid w:val="00FD7442"/>
    <w:pPr>
      <w:keepNext/>
      <w:keepLines/>
      <w:spacing w:before="160" w:after="80"/>
      <w:outlineLvl w:val="2"/>
    </w:pPr>
    <w:rPr>
      <w:rFonts w:eastAsiaTheme="majorEastAsia" w:cstheme="majorBidi"/>
      <w:color w:val="000000" w:themeColor="text1"/>
      <w:szCs w:val="28"/>
    </w:rPr>
  </w:style>
  <w:style w:type="paragraph" w:styleId="Heading4">
    <w:name w:val="heading 4"/>
    <w:basedOn w:val="Normal"/>
    <w:next w:val="Normal"/>
    <w:link w:val="Heading4Char"/>
    <w:uiPriority w:val="9"/>
    <w:semiHidden/>
    <w:unhideWhenUsed/>
    <w:qFormat/>
    <w:rsid w:val="00720EFF"/>
    <w:pPr>
      <w:keepNext/>
      <w:keepLines/>
      <w:numPr>
        <w:ilvl w:val="3"/>
        <w:numId w:val="4"/>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20EFF"/>
    <w:pPr>
      <w:keepNext/>
      <w:keepLines/>
      <w:numPr>
        <w:ilvl w:val="4"/>
        <w:numId w:val="4"/>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20EFF"/>
    <w:pPr>
      <w:keepNext/>
      <w:keepLines/>
      <w:numPr>
        <w:ilvl w:val="5"/>
        <w:numId w:val="4"/>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20EFF"/>
    <w:pPr>
      <w:keepNext/>
      <w:keepLines/>
      <w:numPr>
        <w:ilvl w:val="6"/>
        <w:numId w:val="4"/>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20EFF"/>
    <w:pPr>
      <w:keepNext/>
      <w:keepLines/>
      <w:numPr>
        <w:ilvl w:val="7"/>
        <w:numId w:val="4"/>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20EFF"/>
    <w:pPr>
      <w:keepNext/>
      <w:keepLines/>
      <w:numPr>
        <w:ilvl w:val="8"/>
        <w:numId w:val="4"/>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7ED5"/>
  </w:style>
  <w:style w:type="character" w:customStyle="1" w:styleId="Heading2Char">
    <w:name w:val="Heading 2 Char"/>
    <w:basedOn w:val="DefaultParagraphFont"/>
    <w:link w:val="Heading2"/>
    <w:uiPriority w:val="9"/>
    <w:rsid w:val="00993544"/>
    <w:rPr>
      <w:rFonts w:ascii="Arial" w:eastAsiaTheme="majorEastAsia" w:hAnsi="Arial" w:cstheme="majorBidi"/>
      <w:sz w:val="22"/>
      <w:szCs w:val="32"/>
    </w:rPr>
  </w:style>
  <w:style w:type="character" w:customStyle="1" w:styleId="Heading3Char">
    <w:name w:val="Heading 3 Char"/>
    <w:basedOn w:val="DefaultParagraphFont"/>
    <w:link w:val="Heading3"/>
    <w:uiPriority w:val="9"/>
    <w:rsid w:val="00FD7442"/>
    <w:rPr>
      <w:rFonts w:eastAsiaTheme="majorEastAsia" w:cstheme="majorBidi"/>
      <w:color w:val="000000" w:themeColor="text1"/>
      <w:szCs w:val="28"/>
    </w:rPr>
  </w:style>
  <w:style w:type="character" w:customStyle="1" w:styleId="Heading4Char">
    <w:name w:val="Heading 4 Char"/>
    <w:basedOn w:val="DefaultParagraphFont"/>
    <w:link w:val="Heading4"/>
    <w:uiPriority w:val="9"/>
    <w:semiHidden/>
    <w:rsid w:val="00720EF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20EF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20EF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20EF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20EF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20EFF"/>
    <w:rPr>
      <w:rFonts w:eastAsiaTheme="majorEastAsia" w:cstheme="majorBidi"/>
      <w:color w:val="272727" w:themeColor="text1" w:themeTint="D8"/>
    </w:rPr>
  </w:style>
  <w:style w:type="paragraph" w:styleId="Title">
    <w:name w:val="Title"/>
    <w:basedOn w:val="Normal"/>
    <w:next w:val="Normal"/>
    <w:link w:val="TitleChar"/>
    <w:uiPriority w:val="10"/>
    <w:qFormat/>
    <w:rsid w:val="00720EF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EF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EF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EF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20EFF"/>
    <w:pPr>
      <w:spacing w:before="160"/>
      <w:jc w:val="center"/>
    </w:pPr>
    <w:rPr>
      <w:i/>
      <w:iCs/>
      <w:color w:val="404040" w:themeColor="text1" w:themeTint="BF"/>
    </w:rPr>
  </w:style>
  <w:style w:type="character" w:customStyle="1" w:styleId="QuoteChar">
    <w:name w:val="Quote Char"/>
    <w:basedOn w:val="DefaultParagraphFont"/>
    <w:link w:val="Quote"/>
    <w:uiPriority w:val="29"/>
    <w:rsid w:val="00720EFF"/>
    <w:rPr>
      <w:i/>
      <w:iCs/>
      <w:color w:val="404040" w:themeColor="text1" w:themeTint="BF"/>
    </w:rPr>
  </w:style>
  <w:style w:type="paragraph" w:styleId="ListParagraph">
    <w:name w:val="List Paragraph"/>
    <w:basedOn w:val="Normal"/>
    <w:uiPriority w:val="34"/>
    <w:qFormat/>
    <w:rsid w:val="00720EFF"/>
    <w:pPr>
      <w:ind w:left="720"/>
      <w:contextualSpacing/>
    </w:pPr>
  </w:style>
  <w:style w:type="character" w:styleId="IntenseEmphasis">
    <w:name w:val="Intense Emphasis"/>
    <w:basedOn w:val="DefaultParagraphFont"/>
    <w:uiPriority w:val="21"/>
    <w:qFormat/>
    <w:rsid w:val="00720EFF"/>
    <w:rPr>
      <w:i/>
      <w:iCs/>
      <w:color w:val="0F4761" w:themeColor="accent1" w:themeShade="BF"/>
    </w:rPr>
  </w:style>
  <w:style w:type="paragraph" w:styleId="IntenseQuote">
    <w:name w:val="Intense Quote"/>
    <w:basedOn w:val="Normal"/>
    <w:next w:val="Normal"/>
    <w:link w:val="IntenseQuoteChar"/>
    <w:uiPriority w:val="30"/>
    <w:qFormat/>
    <w:rsid w:val="00720EF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20EFF"/>
    <w:rPr>
      <w:i/>
      <w:iCs/>
      <w:color w:val="0F4761" w:themeColor="accent1" w:themeShade="BF"/>
    </w:rPr>
  </w:style>
  <w:style w:type="character" w:styleId="IntenseReference">
    <w:name w:val="Intense Reference"/>
    <w:basedOn w:val="DefaultParagraphFont"/>
    <w:uiPriority w:val="32"/>
    <w:qFormat/>
    <w:rsid w:val="00720EFF"/>
    <w:rPr>
      <w:b/>
      <w:bCs/>
      <w:smallCaps/>
      <w:color w:val="0F4761" w:themeColor="accent1" w:themeShade="BF"/>
      <w:spacing w:val="5"/>
    </w:rPr>
  </w:style>
  <w:style w:type="paragraph" w:styleId="NormalWeb">
    <w:name w:val="Normal (Web)"/>
    <w:basedOn w:val="Normal"/>
    <w:uiPriority w:val="99"/>
    <w:semiHidden/>
    <w:unhideWhenUsed/>
    <w:rsid w:val="003B1CCE"/>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Spacing">
    <w:name w:val="No Spacing"/>
    <w:link w:val="NoSpacingChar"/>
    <w:uiPriority w:val="1"/>
    <w:qFormat/>
    <w:rsid w:val="007D541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7D5417"/>
    <w:rPr>
      <w:rFonts w:eastAsiaTheme="minorEastAsia"/>
      <w:kern w:val="0"/>
      <w:sz w:val="22"/>
      <w:szCs w:val="22"/>
      <w:lang w:val="en-US"/>
      <w14:ligatures w14:val="none"/>
    </w:rPr>
  </w:style>
  <w:style w:type="paragraph" w:styleId="Header">
    <w:name w:val="header"/>
    <w:basedOn w:val="Normal"/>
    <w:link w:val="HeaderChar"/>
    <w:uiPriority w:val="99"/>
    <w:unhideWhenUsed/>
    <w:rsid w:val="001E3F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3F72"/>
  </w:style>
  <w:style w:type="paragraph" w:styleId="Footer">
    <w:name w:val="footer"/>
    <w:basedOn w:val="Normal"/>
    <w:link w:val="FooterChar"/>
    <w:uiPriority w:val="99"/>
    <w:unhideWhenUsed/>
    <w:rsid w:val="001E3F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3F72"/>
  </w:style>
  <w:style w:type="paragraph" w:styleId="TOCHeading">
    <w:name w:val="TOC Heading"/>
    <w:basedOn w:val="Heading1"/>
    <w:next w:val="Normal"/>
    <w:uiPriority w:val="39"/>
    <w:unhideWhenUsed/>
    <w:qFormat/>
    <w:rsid w:val="005F5878"/>
    <w:pPr>
      <w:spacing w:before="240" w:after="0" w:line="259" w:lineRule="auto"/>
      <w:outlineLvl w:val="9"/>
    </w:pPr>
    <w:rPr>
      <w:rFonts w:asciiTheme="majorHAnsi" w:hAnsiTheme="majorHAnsi"/>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F5878"/>
    <w:pPr>
      <w:spacing w:after="100"/>
    </w:pPr>
  </w:style>
  <w:style w:type="paragraph" w:styleId="TOC2">
    <w:name w:val="toc 2"/>
    <w:basedOn w:val="Normal"/>
    <w:next w:val="Normal"/>
    <w:autoRedefine/>
    <w:uiPriority w:val="39"/>
    <w:unhideWhenUsed/>
    <w:rsid w:val="005F5878"/>
    <w:pPr>
      <w:spacing w:after="100"/>
      <w:ind w:left="240"/>
    </w:pPr>
  </w:style>
  <w:style w:type="character" w:styleId="Hyperlink">
    <w:name w:val="Hyperlink"/>
    <w:basedOn w:val="DefaultParagraphFont"/>
    <w:uiPriority w:val="99"/>
    <w:unhideWhenUsed/>
    <w:rsid w:val="005F5878"/>
    <w:rPr>
      <w:color w:val="467886" w:themeColor="hyperlink"/>
      <w:u w:val="single"/>
    </w:rPr>
  </w:style>
  <w:style w:type="paragraph" w:customStyle="1" w:styleId="Style1">
    <w:name w:val="Style1"/>
    <w:basedOn w:val="Heading1"/>
    <w:link w:val="Style1Char"/>
    <w:rsid w:val="004E24E3"/>
  </w:style>
  <w:style w:type="character" w:customStyle="1" w:styleId="Style1Char">
    <w:name w:val="Style1 Char"/>
    <w:basedOn w:val="Heading1Char"/>
    <w:link w:val="Style1"/>
    <w:rsid w:val="004E24E3"/>
    <w:rPr>
      <w:rFonts w:ascii="Arial" w:eastAsiaTheme="majorEastAsia" w:hAnsi="Arial" w:cstheme="majorBidi"/>
      <w:sz w:val="28"/>
      <w:szCs w:val="40"/>
    </w:rPr>
  </w:style>
  <w:style w:type="paragraph" w:styleId="TOC3">
    <w:name w:val="toc 3"/>
    <w:basedOn w:val="Normal"/>
    <w:next w:val="Normal"/>
    <w:autoRedefine/>
    <w:uiPriority w:val="39"/>
    <w:unhideWhenUsed/>
    <w:rsid w:val="00FD7442"/>
    <w:pPr>
      <w:spacing w:after="100"/>
      <w:ind w:left="480"/>
    </w:pPr>
  </w:style>
  <w:style w:type="paragraph" w:styleId="Caption">
    <w:name w:val="caption"/>
    <w:basedOn w:val="Normal"/>
    <w:next w:val="Normal"/>
    <w:uiPriority w:val="35"/>
    <w:unhideWhenUsed/>
    <w:qFormat/>
    <w:rsid w:val="00502AF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502AFF"/>
    <w:pPr>
      <w:spacing w:after="0"/>
    </w:pPr>
  </w:style>
  <w:style w:type="character" w:styleId="Emphasis">
    <w:name w:val="Emphasis"/>
    <w:basedOn w:val="DefaultParagraphFont"/>
    <w:uiPriority w:val="20"/>
    <w:qFormat/>
    <w:rsid w:val="00444DB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Colors" Target="diagrams/colors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openxmlformats.org/officeDocument/2006/relationships/styles" Target="style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B1BB7D6-999F-4797-B2DD-C3C02FB8CFE1}" type="doc">
      <dgm:prSet loTypeId="urn:microsoft.com/office/officeart/2005/8/layout/process1" loCatId="process" qsTypeId="urn:microsoft.com/office/officeart/2005/8/quickstyle/simple1" qsCatId="simple" csTypeId="urn:microsoft.com/office/officeart/2005/8/colors/accent1_2" csCatId="accent1" phldr="1"/>
      <dgm:spPr/>
    </dgm:pt>
    <dgm:pt modelId="{6464380A-7281-43C2-96CD-DB3123074842}">
      <dgm:prSet phldrT="[Text]"/>
      <dgm:spPr>
        <a:xfrm>
          <a:off x="1959"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Needs Assessment</a:t>
          </a:r>
        </a:p>
      </dgm:t>
    </dgm:pt>
    <dgm:pt modelId="{9FE07698-0A53-4C25-B799-A3B6729EA8B6}" type="parTrans" cxnId="{C82D1B93-A5F9-43EF-BF69-D787C8EEB116}">
      <dgm:prSet/>
      <dgm:spPr/>
      <dgm:t>
        <a:bodyPr/>
        <a:lstStyle/>
        <a:p>
          <a:endParaRPr lang="en-GB"/>
        </a:p>
      </dgm:t>
    </dgm:pt>
    <dgm:pt modelId="{BB97659B-3EE5-4E84-BE92-6ACBE4F65AB1}" type="sibTrans" cxnId="{C82D1B93-A5F9-43EF-BF69-D787C8EEB116}">
      <dgm:prSet/>
      <dgm:spPr>
        <a:xfrm>
          <a:off x="585324" y="227926"/>
          <a:ext cx="112430" cy="131522"/>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F7433AEB-A15C-450C-85E4-2A713FE9FF68}">
      <dgm:prSet phldrT="[Text]"/>
      <dgm:spPr>
        <a:xfrm>
          <a:off x="744424"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Vendor selection</a:t>
          </a:r>
        </a:p>
      </dgm:t>
    </dgm:pt>
    <dgm:pt modelId="{C187CD5A-8750-43C0-9CCB-04EDCC8626DE}" type="parTrans" cxnId="{B7C7D584-DFA1-4CED-B3C0-2747642B74F7}">
      <dgm:prSet/>
      <dgm:spPr/>
      <dgm:t>
        <a:bodyPr/>
        <a:lstStyle/>
        <a:p>
          <a:endParaRPr lang="en-GB"/>
        </a:p>
      </dgm:t>
    </dgm:pt>
    <dgm:pt modelId="{E8557D83-9B47-4563-A583-E6A49490B13D}" type="sibTrans" cxnId="{B7C7D584-DFA1-4CED-B3C0-2747642B74F7}">
      <dgm:prSet/>
      <dgm:spPr>
        <a:xfrm>
          <a:off x="1327790" y="227926"/>
          <a:ext cx="112430" cy="131522"/>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2B2A445C-DBD3-48B7-A225-9FB84F1D333F}">
      <dgm:prSet/>
      <dgm:spPr>
        <a:xfrm>
          <a:off x="2971821"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Integration</a:t>
          </a:r>
        </a:p>
      </dgm:t>
    </dgm:pt>
    <dgm:pt modelId="{1915A11A-9309-4CB9-8DE3-081F4D5D8C7E}" type="parTrans" cxnId="{0F436789-F3B4-4E35-B042-B7FAB5BA8666}">
      <dgm:prSet/>
      <dgm:spPr/>
      <dgm:t>
        <a:bodyPr/>
        <a:lstStyle/>
        <a:p>
          <a:endParaRPr lang="en-GB"/>
        </a:p>
      </dgm:t>
    </dgm:pt>
    <dgm:pt modelId="{A587A5E0-64A7-42D5-A478-7A3BACD21B3D}" type="sibTrans" cxnId="{0F436789-F3B4-4E35-B042-B7FAB5BA8666}">
      <dgm:prSet/>
      <dgm:spPr>
        <a:xfrm>
          <a:off x="3555187" y="227926"/>
          <a:ext cx="112430" cy="131522"/>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CCBDA479-B011-4E9F-B271-F045F36B4B53}">
      <dgm:prSet/>
      <dgm:spPr>
        <a:xfrm>
          <a:off x="3714287"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Training</a:t>
          </a:r>
        </a:p>
      </dgm:t>
    </dgm:pt>
    <dgm:pt modelId="{0009F2F5-1626-43D9-B6C1-058D30F1731B}" type="parTrans" cxnId="{F425B10C-BFBA-47DC-967F-94CA972BC59A}">
      <dgm:prSet/>
      <dgm:spPr/>
      <dgm:t>
        <a:bodyPr/>
        <a:lstStyle/>
        <a:p>
          <a:endParaRPr lang="en-GB"/>
        </a:p>
      </dgm:t>
    </dgm:pt>
    <dgm:pt modelId="{F7EA3A60-FA3A-48F5-8B9D-305F747351D1}" type="sibTrans" cxnId="{F425B10C-BFBA-47DC-967F-94CA972BC59A}">
      <dgm:prSet/>
      <dgm:spPr>
        <a:xfrm>
          <a:off x="4297652" y="227926"/>
          <a:ext cx="112430" cy="131522"/>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07CCCD7E-CA0B-43F4-BFB5-BDA798BCB5E1}">
      <dgm:prSet/>
      <dgm:spPr>
        <a:xfrm>
          <a:off x="4456752"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Full Deployment</a:t>
          </a:r>
        </a:p>
      </dgm:t>
    </dgm:pt>
    <dgm:pt modelId="{C21EF69D-1366-4A6C-A0CC-B08712091AA6}" type="parTrans" cxnId="{95C05DCC-3ED9-46ED-85FB-F30323DD793E}">
      <dgm:prSet/>
      <dgm:spPr/>
      <dgm:t>
        <a:bodyPr/>
        <a:lstStyle/>
        <a:p>
          <a:endParaRPr lang="en-GB"/>
        </a:p>
      </dgm:t>
    </dgm:pt>
    <dgm:pt modelId="{4178C30F-0326-465A-A9B8-297724CA304A}" type="sibTrans" cxnId="{95C05DCC-3ED9-46ED-85FB-F30323DD793E}">
      <dgm:prSet/>
      <dgm:spPr>
        <a:xfrm>
          <a:off x="5040118" y="227926"/>
          <a:ext cx="112430" cy="131522"/>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E95B4561-8DC5-4E02-AE9C-8CC9E1ACB31E}">
      <dgm:prSet/>
      <dgm:spPr>
        <a:xfrm>
          <a:off x="5199218"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Monitoring &amp; Evaluation</a:t>
          </a:r>
        </a:p>
      </dgm:t>
    </dgm:pt>
    <dgm:pt modelId="{B790B34B-2DA9-4A5B-A4B9-8D0BF369C1D5}" type="parTrans" cxnId="{90D4547C-F0C9-41EB-BF01-15FBB1D23961}">
      <dgm:prSet/>
      <dgm:spPr/>
      <dgm:t>
        <a:bodyPr/>
        <a:lstStyle/>
        <a:p>
          <a:endParaRPr lang="en-GB"/>
        </a:p>
      </dgm:t>
    </dgm:pt>
    <dgm:pt modelId="{86705505-CB4F-49E0-A1AA-EA742C8D647C}" type="sibTrans" cxnId="{90D4547C-F0C9-41EB-BF01-15FBB1D23961}">
      <dgm:prSet/>
      <dgm:spPr/>
      <dgm:t>
        <a:bodyPr/>
        <a:lstStyle/>
        <a:p>
          <a:endParaRPr lang="en-GB"/>
        </a:p>
      </dgm:t>
    </dgm:pt>
    <dgm:pt modelId="{C9B83359-910B-40D2-8129-675A31B78D35}">
      <dgm:prSet/>
      <dgm:spPr>
        <a:xfrm>
          <a:off x="2229355"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Data Migration</a:t>
          </a:r>
        </a:p>
      </dgm:t>
    </dgm:pt>
    <dgm:pt modelId="{B4657ABE-492B-49A6-8EA8-3E3AA42BD401}" type="parTrans" cxnId="{D4822CA6-F75D-42E5-9227-72DBE820CD39}">
      <dgm:prSet/>
      <dgm:spPr/>
      <dgm:t>
        <a:bodyPr/>
        <a:lstStyle/>
        <a:p>
          <a:endParaRPr lang="en-GB"/>
        </a:p>
      </dgm:t>
    </dgm:pt>
    <dgm:pt modelId="{35EA8B42-F369-413A-A0FC-D62D0B146125}" type="sibTrans" cxnId="{D4822CA6-F75D-42E5-9227-72DBE820CD39}">
      <dgm:prSet/>
      <dgm:spPr>
        <a:xfrm>
          <a:off x="2812721" y="227926"/>
          <a:ext cx="112430" cy="131522"/>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869F4235-E110-4776-900F-C7CE77042560}">
      <dgm:prSet phldrT="[Text]"/>
      <dgm:spPr>
        <a:xfrm>
          <a:off x="1486890" y="134587"/>
          <a:ext cx="530332" cy="318199"/>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Aptos" panose="02110004020202020204"/>
              <a:ea typeface="+mn-ea"/>
              <a:cs typeface="+mn-cs"/>
            </a:rPr>
            <a:t>Pilot Testing</a:t>
          </a:r>
        </a:p>
      </dgm:t>
    </dgm:pt>
    <dgm:pt modelId="{C025C109-31F5-4437-83EF-B846B3182A0A}" type="sibTrans" cxnId="{C72190D4-8ACE-4A57-97C1-518D02F83149}">
      <dgm:prSet/>
      <dgm:spPr>
        <a:xfrm>
          <a:off x="2070256" y="227926"/>
          <a:ext cx="112430" cy="131522"/>
        </a:xfrm>
        <a:prstGeom prst="rightArrow">
          <a:avLst>
            <a:gd name="adj1" fmla="val 60000"/>
            <a:gd name="adj2" fmla="val 50000"/>
          </a:avLst>
        </a:prstGeom>
        <a:solidFill>
          <a:srgbClr val="156082">
            <a:tint val="60000"/>
            <a:hueOff val="0"/>
            <a:satOff val="0"/>
            <a:lumOff val="0"/>
            <a:alphaOff val="0"/>
          </a:srgbClr>
        </a:solidFill>
        <a:ln>
          <a:noFill/>
        </a:ln>
        <a:effectLst/>
      </dgm:spPr>
      <dgm:t>
        <a:bodyPr/>
        <a:lstStyle/>
        <a:p>
          <a:pPr>
            <a:buNone/>
          </a:pPr>
          <a:endParaRPr lang="en-GB">
            <a:solidFill>
              <a:sysClr val="window" lastClr="FFFFFF"/>
            </a:solidFill>
            <a:latin typeface="Aptos" panose="02110004020202020204"/>
            <a:ea typeface="+mn-ea"/>
            <a:cs typeface="+mn-cs"/>
          </a:endParaRPr>
        </a:p>
      </dgm:t>
    </dgm:pt>
    <dgm:pt modelId="{894ADA4A-D097-4A46-9FCC-DDF437E0902B}" type="parTrans" cxnId="{C72190D4-8ACE-4A57-97C1-518D02F83149}">
      <dgm:prSet/>
      <dgm:spPr/>
      <dgm:t>
        <a:bodyPr/>
        <a:lstStyle/>
        <a:p>
          <a:endParaRPr lang="en-GB"/>
        </a:p>
      </dgm:t>
    </dgm:pt>
    <dgm:pt modelId="{F155A902-AC3E-490A-B869-28769299C951}" type="pres">
      <dgm:prSet presAssocID="{9B1BB7D6-999F-4797-B2DD-C3C02FB8CFE1}" presName="Name0" presStyleCnt="0">
        <dgm:presLayoutVars>
          <dgm:dir/>
          <dgm:resizeHandles val="exact"/>
        </dgm:presLayoutVars>
      </dgm:prSet>
      <dgm:spPr/>
    </dgm:pt>
    <dgm:pt modelId="{DAE5008E-E1D1-4E01-828F-0FE278791B7C}" type="pres">
      <dgm:prSet presAssocID="{6464380A-7281-43C2-96CD-DB3123074842}" presName="node" presStyleLbl="node1" presStyleIdx="0" presStyleCnt="8">
        <dgm:presLayoutVars>
          <dgm:bulletEnabled val="1"/>
        </dgm:presLayoutVars>
      </dgm:prSet>
      <dgm:spPr/>
    </dgm:pt>
    <dgm:pt modelId="{82C630C3-9614-400E-A297-3FE0A9BF0B3C}" type="pres">
      <dgm:prSet presAssocID="{BB97659B-3EE5-4E84-BE92-6ACBE4F65AB1}" presName="sibTrans" presStyleLbl="sibTrans2D1" presStyleIdx="0" presStyleCnt="7"/>
      <dgm:spPr/>
    </dgm:pt>
    <dgm:pt modelId="{D27F9B41-F1FE-460E-ACD7-020C22B5319C}" type="pres">
      <dgm:prSet presAssocID="{BB97659B-3EE5-4E84-BE92-6ACBE4F65AB1}" presName="connectorText" presStyleLbl="sibTrans2D1" presStyleIdx="0" presStyleCnt="7"/>
      <dgm:spPr/>
    </dgm:pt>
    <dgm:pt modelId="{D2B652A1-FA27-4088-893B-E2EE4565160A}" type="pres">
      <dgm:prSet presAssocID="{F7433AEB-A15C-450C-85E4-2A713FE9FF68}" presName="node" presStyleLbl="node1" presStyleIdx="1" presStyleCnt="8">
        <dgm:presLayoutVars>
          <dgm:bulletEnabled val="1"/>
        </dgm:presLayoutVars>
      </dgm:prSet>
      <dgm:spPr/>
    </dgm:pt>
    <dgm:pt modelId="{F0BA0FA5-8AFE-4B0A-8D23-A2B38E68F6D4}" type="pres">
      <dgm:prSet presAssocID="{E8557D83-9B47-4563-A583-E6A49490B13D}" presName="sibTrans" presStyleLbl="sibTrans2D1" presStyleIdx="1" presStyleCnt="7"/>
      <dgm:spPr/>
    </dgm:pt>
    <dgm:pt modelId="{8D1D62FD-631C-412A-8CC6-2E0A4D206768}" type="pres">
      <dgm:prSet presAssocID="{E8557D83-9B47-4563-A583-E6A49490B13D}" presName="connectorText" presStyleLbl="sibTrans2D1" presStyleIdx="1" presStyleCnt="7"/>
      <dgm:spPr/>
    </dgm:pt>
    <dgm:pt modelId="{C94B76A1-9414-40D5-965E-BA3BBEEC9992}" type="pres">
      <dgm:prSet presAssocID="{869F4235-E110-4776-900F-C7CE77042560}" presName="node" presStyleLbl="node1" presStyleIdx="2" presStyleCnt="8">
        <dgm:presLayoutVars>
          <dgm:bulletEnabled val="1"/>
        </dgm:presLayoutVars>
      </dgm:prSet>
      <dgm:spPr/>
    </dgm:pt>
    <dgm:pt modelId="{8F9D899A-117E-44A0-8E5A-8292F560BFF6}" type="pres">
      <dgm:prSet presAssocID="{C025C109-31F5-4437-83EF-B846B3182A0A}" presName="sibTrans" presStyleLbl="sibTrans2D1" presStyleIdx="2" presStyleCnt="7"/>
      <dgm:spPr/>
    </dgm:pt>
    <dgm:pt modelId="{48E0316D-3CD9-4EE4-9654-EA1B8E0829C0}" type="pres">
      <dgm:prSet presAssocID="{C025C109-31F5-4437-83EF-B846B3182A0A}" presName="connectorText" presStyleLbl="sibTrans2D1" presStyleIdx="2" presStyleCnt="7"/>
      <dgm:spPr/>
    </dgm:pt>
    <dgm:pt modelId="{89D6F23F-E5EA-4E9B-BAB1-DAB0851303B5}" type="pres">
      <dgm:prSet presAssocID="{C9B83359-910B-40D2-8129-675A31B78D35}" presName="node" presStyleLbl="node1" presStyleIdx="3" presStyleCnt="8">
        <dgm:presLayoutVars>
          <dgm:bulletEnabled val="1"/>
        </dgm:presLayoutVars>
      </dgm:prSet>
      <dgm:spPr/>
    </dgm:pt>
    <dgm:pt modelId="{4A376E38-1CEB-4378-B365-501A85FF02A0}" type="pres">
      <dgm:prSet presAssocID="{35EA8B42-F369-413A-A0FC-D62D0B146125}" presName="sibTrans" presStyleLbl="sibTrans2D1" presStyleIdx="3" presStyleCnt="7"/>
      <dgm:spPr/>
    </dgm:pt>
    <dgm:pt modelId="{8923F656-1E90-4D95-8B6A-5C0DA0153934}" type="pres">
      <dgm:prSet presAssocID="{35EA8B42-F369-413A-A0FC-D62D0B146125}" presName="connectorText" presStyleLbl="sibTrans2D1" presStyleIdx="3" presStyleCnt="7"/>
      <dgm:spPr/>
    </dgm:pt>
    <dgm:pt modelId="{8E52334F-45CC-4C3D-A0E2-D0ABCF6A155D}" type="pres">
      <dgm:prSet presAssocID="{2B2A445C-DBD3-48B7-A225-9FB84F1D333F}" presName="node" presStyleLbl="node1" presStyleIdx="4" presStyleCnt="8">
        <dgm:presLayoutVars>
          <dgm:bulletEnabled val="1"/>
        </dgm:presLayoutVars>
      </dgm:prSet>
      <dgm:spPr/>
    </dgm:pt>
    <dgm:pt modelId="{1520F32E-F2EE-4B8B-98E6-ADFC6E1D300F}" type="pres">
      <dgm:prSet presAssocID="{A587A5E0-64A7-42D5-A478-7A3BACD21B3D}" presName="sibTrans" presStyleLbl="sibTrans2D1" presStyleIdx="4" presStyleCnt="7"/>
      <dgm:spPr/>
    </dgm:pt>
    <dgm:pt modelId="{A0A4A278-12B1-4C03-AEF2-AC804D532FAA}" type="pres">
      <dgm:prSet presAssocID="{A587A5E0-64A7-42D5-A478-7A3BACD21B3D}" presName="connectorText" presStyleLbl="sibTrans2D1" presStyleIdx="4" presStyleCnt="7"/>
      <dgm:spPr/>
    </dgm:pt>
    <dgm:pt modelId="{36FCE6AD-06C5-4AA4-84D8-F8E9CBE58E8A}" type="pres">
      <dgm:prSet presAssocID="{CCBDA479-B011-4E9F-B271-F045F36B4B53}" presName="node" presStyleLbl="node1" presStyleIdx="5" presStyleCnt="8">
        <dgm:presLayoutVars>
          <dgm:bulletEnabled val="1"/>
        </dgm:presLayoutVars>
      </dgm:prSet>
      <dgm:spPr/>
    </dgm:pt>
    <dgm:pt modelId="{4CBE563D-2738-409C-BEB3-09C5DF8725F4}" type="pres">
      <dgm:prSet presAssocID="{F7EA3A60-FA3A-48F5-8B9D-305F747351D1}" presName="sibTrans" presStyleLbl="sibTrans2D1" presStyleIdx="5" presStyleCnt="7"/>
      <dgm:spPr/>
    </dgm:pt>
    <dgm:pt modelId="{D1CC3473-63D4-4ED4-923B-A69A65A5FC0A}" type="pres">
      <dgm:prSet presAssocID="{F7EA3A60-FA3A-48F5-8B9D-305F747351D1}" presName="connectorText" presStyleLbl="sibTrans2D1" presStyleIdx="5" presStyleCnt="7"/>
      <dgm:spPr/>
    </dgm:pt>
    <dgm:pt modelId="{67BD0649-C0EB-4240-814A-626DC3CC34A6}" type="pres">
      <dgm:prSet presAssocID="{07CCCD7E-CA0B-43F4-BFB5-BDA798BCB5E1}" presName="node" presStyleLbl="node1" presStyleIdx="6" presStyleCnt="8">
        <dgm:presLayoutVars>
          <dgm:bulletEnabled val="1"/>
        </dgm:presLayoutVars>
      </dgm:prSet>
      <dgm:spPr/>
    </dgm:pt>
    <dgm:pt modelId="{04F3436D-60BC-4115-BC09-92437D3DF363}" type="pres">
      <dgm:prSet presAssocID="{4178C30F-0326-465A-A9B8-297724CA304A}" presName="sibTrans" presStyleLbl="sibTrans2D1" presStyleIdx="6" presStyleCnt="7"/>
      <dgm:spPr/>
    </dgm:pt>
    <dgm:pt modelId="{D9E19AE4-61FD-45B1-8730-51039BE27776}" type="pres">
      <dgm:prSet presAssocID="{4178C30F-0326-465A-A9B8-297724CA304A}" presName="connectorText" presStyleLbl="sibTrans2D1" presStyleIdx="6" presStyleCnt="7"/>
      <dgm:spPr/>
    </dgm:pt>
    <dgm:pt modelId="{1BBCAA42-363B-46B6-B8F7-E3231684EB5E}" type="pres">
      <dgm:prSet presAssocID="{E95B4561-8DC5-4E02-AE9C-8CC9E1ACB31E}" presName="node" presStyleLbl="node1" presStyleIdx="7" presStyleCnt="8">
        <dgm:presLayoutVars>
          <dgm:bulletEnabled val="1"/>
        </dgm:presLayoutVars>
      </dgm:prSet>
      <dgm:spPr/>
    </dgm:pt>
  </dgm:ptLst>
  <dgm:cxnLst>
    <dgm:cxn modelId="{2B119A07-CCE9-4EE5-8E9C-6F0A40DC1ECA}" type="presOf" srcId="{CCBDA479-B011-4E9F-B271-F045F36B4B53}" destId="{36FCE6AD-06C5-4AA4-84D8-F8E9CBE58E8A}" srcOrd="0" destOrd="0" presId="urn:microsoft.com/office/officeart/2005/8/layout/process1"/>
    <dgm:cxn modelId="{F425B10C-BFBA-47DC-967F-94CA972BC59A}" srcId="{9B1BB7D6-999F-4797-B2DD-C3C02FB8CFE1}" destId="{CCBDA479-B011-4E9F-B271-F045F36B4B53}" srcOrd="5" destOrd="0" parTransId="{0009F2F5-1626-43D9-B6C1-058D30F1731B}" sibTransId="{F7EA3A60-FA3A-48F5-8B9D-305F747351D1}"/>
    <dgm:cxn modelId="{BC9BD816-C335-493E-AB1F-37400E397F3F}" type="presOf" srcId="{4178C30F-0326-465A-A9B8-297724CA304A}" destId="{04F3436D-60BC-4115-BC09-92437D3DF363}" srcOrd="0" destOrd="0" presId="urn:microsoft.com/office/officeart/2005/8/layout/process1"/>
    <dgm:cxn modelId="{13C02B19-E0D9-4467-ADC2-6F46D129457D}" type="presOf" srcId="{BB97659B-3EE5-4E84-BE92-6ACBE4F65AB1}" destId="{82C630C3-9614-400E-A297-3FE0A9BF0B3C}" srcOrd="0" destOrd="0" presId="urn:microsoft.com/office/officeart/2005/8/layout/process1"/>
    <dgm:cxn modelId="{73330420-4192-4655-A618-9734B5040908}" type="presOf" srcId="{E8557D83-9B47-4563-A583-E6A49490B13D}" destId="{F0BA0FA5-8AFE-4B0A-8D23-A2B38E68F6D4}" srcOrd="0" destOrd="0" presId="urn:microsoft.com/office/officeart/2005/8/layout/process1"/>
    <dgm:cxn modelId="{43570725-B039-4057-98CB-7EB281DD735D}" type="presOf" srcId="{C025C109-31F5-4437-83EF-B846B3182A0A}" destId="{48E0316D-3CD9-4EE4-9654-EA1B8E0829C0}" srcOrd="1" destOrd="0" presId="urn:microsoft.com/office/officeart/2005/8/layout/process1"/>
    <dgm:cxn modelId="{96145028-120D-4F5F-A3F6-E0BF7B0C0CE3}" type="presOf" srcId="{E95B4561-8DC5-4E02-AE9C-8CC9E1ACB31E}" destId="{1BBCAA42-363B-46B6-B8F7-E3231684EB5E}" srcOrd="0" destOrd="0" presId="urn:microsoft.com/office/officeart/2005/8/layout/process1"/>
    <dgm:cxn modelId="{D0320338-8847-4B22-8A54-0DB94466102C}" type="presOf" srcId="{F7EA3A60-FA3A-48F5-8B9D-305F747351D1}" destId="{4CBE563D-2738-409C-BEB3-09C5DF8725F4}" srcOrd="0" destOrd="0" presId="urn:microsoft.com/office/officeart/2005/8/layout/process1"/>
    <dgm:cxn modelId="{9031F23C-864A-4B70-868D-8B41EE667466}" type="presOf" srcId="{07CCCD7E-CA0B-43F4-BFB5-BDA798BCB5E1}" destId="{67BD0649-C0EB-4240-814A-626DC3CC34A6}" srcOrd="0" destOrd="0" presId="urn:microsoft.com/office/officeart/2005/8/layout/process1"/>
    <dgm:cxn modelId="{A7F3E062-AE13-4F73-AB45-734323AB0D32}" type="presOf" srcId="{2B2A445C-DBD3-48B7-A225-9FB84F1D333F}" destId="{8E52334F-45CC-4C3D-A0E2-D0ABCF6A155D}" srcOrd="0" destOrd="0" presId="urn:microsoft.com/office/officeart/2005/8/layout/process1"/>
    <dgm:cxn modelId="{ADD6FA4E-DCC4-459F-BDBB-16B739DBD10F}" type="presOf" srcId="{35EA8B42-F369-413A-A0FC-D62D0B146125}" destId="{8923F656-1E90-4D95-8B6A-5C0DA0153934}" srcOrd="1" destOrd="0" presId="urn:microsoft.com/office/officeart/2005/8/layout/process1"/>
    <dgm:cxn modelId="{05EA1672-453F-4959-8E8B-FBDB4A31D0AD}" type="presOf" srcId="{4178C30F-0326-465A-A9B8-297724CA304A}" destId="{D9E19AE4-61FD-45B1-8730-51039BE27776}" srcOrd="1" destOrd="0" presId="urn:microsoft.com/office/officeart/2005/8/layout/process1"/>
    <dgm:cxn modelId="{90D4547C-F0C9-41EB-BF01-15FBB1D23961}" srcId="{9B1BB7D6-999F-4797-B2DD-C3C02FB8CFE1}" destId="{E95B4561-8DC5-4E02-AE9C-8CC9E1ACB31E}" srcOrd="7" destOrd="0" parTransId="{B790B34B-2DA9-4A5B-A4B9-8D0BF369C1D5}" sibTransId="{86705505-CB4F-49E0-A1AA-EA742C8D647C}"/>
    <dgm:cxn modelId="{B7C7D584-DFA1-4CED-B3C0-2747642B74F7}" srcId="{9B1BB7D6-999F-4797-B2DD-C3C02FB8CFE1}" destId="{F7433AEB-A15C-450C-85E4-2A713FE9FF68}" srcOrd="1" destOrd="0" parTransId="{C187CD5A-8750-43C0-9CCB-04EDCC8626DE}" sibTransId="{E8557D83-9B47-4563-A583-E6A49490B13D}"/>
    <dgm:cxn modelId="{0F436789-F3B4-4E35-B042-B7FAB5BA8666}" srcId="{9B1BB7D6-999F-4797-B2DD-C3C02FB8CFE1}" destId="{2B2A445C-DBD3-48B7-A225-9FB84F1D333F}" srcOrd="4" destOrd="0" parTransId="{1915A11A-9309-4CB9-8DE3-081F4D5D8C7E}" sibTransId="{A587A5E0-64A7-42D5-A478-7A3BACD21B3D}"/>
    <dgm:cxn modelId="{4C86CE8F-3C6D-42F8-A1D5-1DA19432B9AC}" type="presOf" srcId="{BB97659B-3EE5-4E84-BE92-6ACBE4F65AB1}" destId="{D27F9B41-F1FE-460E-ACD7-020C22B5319C}" srcOrd="1" destOrd="0" presId="urn:microsoft.com/office/officeart/2005/8/layout/process1"/>
    <dgm:cxn modelId="{C82D1B93-A5F9-43EF-BF69-D787C8EEB116}" srcId="{9B1BB7D6-999F-4797-B2DD-C3C02FB8CFE1}" destId="{6464380A-7281-43C2-96CD-DB3123074842}" srcOrd="0" destOrd="0" parTransId="{9FE07698-0A53-4C25-B799-A3B6729EA8B6}" sibTransId="{BB97659B-3EE5-4E84-BE92-6ACBE4F65AB1}"/>
    <dgm:cxn modelId="{2A4E2F93-D534-47E6-B162-958D45FA3FF5}" type="presOf" srcId="{C9B83359-910B-40D2-8129-675A31B78D35}" destId="{89D6F23F-E5EA-4E9B-BAB1-DAB0851303B5}" srcOrd="0" destOrd="0" presId="urn:microsoft.com/office/officeart/2005/8/layout/process1"/>
    <dgm:cxn modelId="{BA860094-7FEA-4750-BCE1-D406F2CE6CCC}" type="presOf" srcId="{869F4235-E110-4776-900F-C7CE77042560}" destId="{C94B76A1-9414-40D5-965E-BA3BBEEC9992}" srcOrd="0" destOrd="0" presId="urn:microsoft.com/office/officeart/2005/8/layout/process1"/>
    <dgm:cxn modelId="{AF8D4E94-5F33-4622-A178-B8EDBA4CDF83}" type="presOf" srcId="{C025C109-31F5-4437-83EF-B846B3182A0A}" destId="{8F9D899A-117E-44A0-8E5A-8292F560BFF6}" srcOrd="0" destOrd="0" presId="urn:microsoft.com/office/officeart/2005/8/layout/process1"/>
    <dgm:cxn modelId="{7249119F-2D30-41D5-8E00-3AB4A63F8027}" type="presOf" srcId="{9B1BB7D6-999F-4797-B2DD-C3C02FB8CFE1}" destId="{F155A902-AC3E-490A-B869-28769299C951}" srcOrd="0" destOrd="0" presId="urn:microsoft.com/office/officeart/2005/8/layout/process1"/>
    <dgm:cxn modelId="{D4822CA6-F75D-42E5-9227-72DBE820CD39}" srcId="{9B1BB7D6-999F-4797-B2DD-C3C02FB8CFE1}" destId="{C9B83359-910B-40D2-8129-675A31B78D35}" srcOrd="3" destOrd="0" parTransId="{B4657ABE-492B-49A6-8EA8-3E3AA42BD401}" sibTransId="{35EA8B42-F369-413A-A0FC-D62D0B146125}"/>
    <dgm:cxn modelId="{9B068BB2-8384-45BC-9B5E-B9E243E1B1C9}" type="presOf" srcId="{E8557D83-9B47-4563-A583-E6A49490B13D}" destId="{8D1D62FD-631C-412A-8CC6-2E0A4D206768}" srcOrd="1" destOrd="0" presId="urn:microsoft.com/office/officeart/2005/8/layout/process1"/>
    <dgm:cxn modelId="{95C05DCC-3ED9-46ED-85FB-F30323DD793E}" srcId="{9B1BB7D6-999F-4797-B2DD-C3C02FB8CFE1}" destId="{07CCCD7E-CA0B-43F4-BFB5-BDA798BCB5E1}" srcOrd="6" destOrd="0" parTransId="{C21EF69D-1366-4A6C-A0CC-B08712091AA6}" sibTransId="{4178C30F-0326-465A-A9B8-297724CA304A}"/>
    <dgm:cxn modelId="{C72190D4-8ACE-4A57-97C1-518D02F83149}" srcId="{9B1BB7D6-999F-4797-B2DD-C3C02FB8CFE1}" destId="{869F4235-E110-4776-900F-C7CE77042560}" srcOrd="2" destOrd="0" parTransId="{894ADA4A-D097-4A46-9FCC-DDF437E0902B}" sibTransId="{C025C109-31F5-4437-83EF-B846B3182A0A}"/>
    <dgm:cxn modelId="{95FEDCDA-D848-4815-A36E-4FE2DC9D0558}" type="presOf" srcId="{A587A5E0-64A7-42D5-A478-7A3BACD21B3D}" destId="{A0A4A278-12B1-4C03-AEF2-AC804D532FAA}" srcOrd="1" destOrd="0" presId="urn:microsoft.com/office/officeart/2005/8/layout/process1"/>
    <dgm:cxn modelId="{9A0AEFE8-6392-45E1-B9AF-5AA68861FC0E}" type="presOf" srcId="{F7EA3A60-FA3A-48F5-8B9D-305F747351D1}" destId="{D1CC3473-63D4-4ED4-923B-A69A65A5FC0A}" srcOrd="1" destOrd="0" presId="urn:microsoft.com/office/officeart/2005/8/layout/process1"/>
    <dgm:cxn modelId="{E344EFE9-7CF3-4A8E-BC30-1074635A3502}" type="presOf" srcId="{A587A5E0-64A7-42D5-A478-7A3BACD21B3D}" destId="{1520F32E-F2EE-4B8B-98E6-ADFC6E1D300F}" srcOrd="0" destOrd="0" presId="urn:microsoft.com/office/officeart/2005/8/layout/process1"/>
    <dgm:cxn modelId="{A77E51F7-8EBD-4E53-A3BD-14D0D9C7FACC}" type="presOf" srcId="{6464380A-7281-43C2-96CD-DB3123074842}" destId="{DAE5008E-E1D1-4E01-828F-0FE278791B7C}" srcOrd="0" destOrd="0" presId="urn:microsoft.com/office/officeart/2005/8/layout/process1"/>
    <dgm:cxn modelId="{770D73F7-6906-46C2-907D-EBA9EA97179B}" type="presOf" srcId="{35EA8B42-F369-413A-A0FC-D62D0B146125}" destId="{4A376E38-1CEB-4378-B365-501A85FF02A0}" srcOrd="0" destOrd="0" presId="urn:microsoft.com/office/officeart/2005/8/layout/process1"/>
    <dgm:cxn modelId="{4B11F9FA-9D80-4ADD-9450-401EA11925E9}" type="presOf" srcId="{F7433AEB-A15C-450C-85E4-2A713FE9FF68}" destId="{D2B652A1-FA27-4088-893B-E2EE4565160A}" srcOrd="0" destOrd="0" presId="urn:microsoft.com/office/officeart/2005/8/layout/process1"/>
    <dgm:cxn modelId="{6C08080E-70FE-46CF-8ABF-BF17FAEA607A}" type="presParOf" srcId="{F155A902-AC3E-490A-B869-28769299C951}" destId="{DAE5008E-E1D1-4E01-828F-0FE278791B7C}" srcOrd="0" destOrd="0" presId="urn:microsoft.com/office/officeart/2005/8/layout/process1"/>
    <dgm:cxn modelId="{8E17EAA1-7FDB-4D29-9115-48FDD4213BA8}" type="presParOf" srcId="{F155A902-AC3E-490A-B869-28769299C951}" destId="{82C630C3-9614-400E-A297-3FE0A9BF0B3C}" srcOrd="1" destOrd="0" presId="urn:microsoft.com/office/officeart/2005/8/layout/process1"/>
    <dgm:cxn modelId="{6B2F3E71-4422-4EE8-AB8F-64F209B8C1E5}" type="presParOf" srcId="{82C630C3-9614-400E-A297-3FE0A9BF0B3C}" destId="{D27F9B41-F1FE-460E-ACD7-020C22B5319C}" srcOrd="0" destOrd="0" presId="urn:microsoft.com/office/officeart/2005/8/layout/process1"/>
    <dgm:cxn modelId="{F008BA37-38B7-49C8-8157-3EB8FF35FFE8}" type="presParOf" srcId="{F155A902-AC3E-490A-B869-28769299C951}" destId="{D2B652A1-FA27-4088-893B-E2EE4565160A}" srcOrd="2" destOrd="0" presId="urn:microsoft.com/office/officeart/2005/8/layout/process1"/>
    <dgm:cxn modelId="{F2B0E6C4-49FE-40E7-8002-C82C7CC6EFD9}" type="presParOf" srcId="{F155A902-AC3E-490A-B869-28769299C951}" destId="{F0BA0FA5-8AFE-4B0A-8D23-A2B38E68F6D4}" srcOrd="3" destOrd="0" presId="urn:microsoft.com/office/officeart/2005/8/layout/process1"/>
    <dgm:cxn modelId="{978A6E39-AABB-4605-A948-E9DF5029F6ED}" type="presParOf" srcId="{F0BA0FA5-8AFE-4B0A-8D23-A2B38E68F6D4}" destId="{8D1D62FD-631C-412A-8CC6-2E0A4D206768}" srcOrd="0" destOrd="0" presId="urn:microsoft.com/office/officeart/2005/8/layout/process1"/>
    <dgm:cxn modelId="{CF45A8CD-BC52-47FD-87BA-66D97742E3B5}" type="presParOf" srcId="{F155A902-AC3E-490A-B869-28769299C951}" destId="{C94B76A1-9414-40D5-965E-BA3BBEEC9992}" srcOrd="4" destOrd="0" presId="urn:microsoft.com/office/officeart/2005/8/layout/process1"/>
    <dgm:cxn modelId="{15BCE184-6DE8-46F4-89F9-D819D25302CC}" type="presParOf" srcId="{F155A902-AC3E-490A-B869-28769299C951}" destId="{8F9D899A-117E-44A0-8E5A-8292F560BFF6}" srcOrd="5" destOrd="0" presId="urn:microsoft.com/office/officeart/2005/8/layout/process1"/>
    <dgm:cxn modelId="{23ECA758-DD30-487F-9A3E-A3EC36FA3CD9}" type="presParOf" srcId="{8F9D899A-117E-44A0-8E5A-8292F560BFF6}" destId="{48E0316D-3CD9-4EE4-9654-EA1B8E0829C0}" srcOrd="0" destOrd="0" presId="urn:microsoft.com/office/officeart/2005/8/layout/process1"/>
    <dgm:cxn modelId="{F8D40FBC-DE85-4A43-BEF3-1F534B05CFB1}" type="presParOf" srcId="{F155A902-AC3E-490A-B869-28769299C951}" destId="{89D6F23F-E5EA-4E9B-BAB1-DAB0851303B5}" srcOrd="6" destOrd="0" presId="urn:microsoft.com/office/officeart/2005/8/layout/process1"/>
    <dgm:cxn modelId="{802A007B-4AAC-45B1-A768-26D27E7A148A}" type="presParOf" srcId="{F155A902-AC3E-490A-B869-28769299C951}" destId="{4A376E38-1CEB-4378-B365-501A85FF02A0}" srcOrd="7" destOrd="0" presId="urn:microsoft.com/office/officeart/2005/8/layout/process1"/>
    <dgm:cxn modelId="{524C0DDC-4F0E-42BA-B9A7-F01B59FD120A}" type="presParOf" srcId="{4A376E38-1CEB-4378-B365-501A85FF02A0}" destId="{8923F656-1E90-4D95-8B6A-5C0DA0153934}" srcOrd="0" destOrd="0" presId="urn:microsoft.com/office/officeart/2005/8/layout/process1"/>
    <dgm:cxn modelId="{098A4A31-DA5D-4148-84A0-85A85D10755A}" type="presParOf" srcId="{F155A902-AC3E-490A-B869-28769299C951}" destId="{8E52334F-45CC-4C3D-A0E2-D0ABCF6A155D}" srcOrd="8" destOrd="0" presId="urn:microsoft.com/office/officeart/2005/8/layout/process1"/>
    <dgm:cxn modelId="{48B34518-1DBD-481B-B489-2A5E3C48EF8A}" type="presParOf" srcId="{F155A902-AC3E-490A-B869-28769299C951}" destId="{1520F32E-F2EE-4B8B-98E6-ADFC6E1D300F}" srcOrd="9" destOrd="0" presId="urn:microsoft.com/office/officeart/2005/8/layout/process1"/>
    <dgm:cxn modelId="{F4CCF9A6-B4BC-4039-B149-421C9E722456}" type="presParOf" srcId="{1520F32E-F2EE-4B8B-98E6-ADFC6E1D300F}" destId="{A0A4A278-12B1-4C03-AEF2-AC804D532FAA}" srcOrd="0" destOrd="0" presId="urn:microsoft.com/office/officeart/2005/8/layout/process1"/>
    <dgm:cxn modelId="{0675F981-98CF-4A57-A63B-BF66ACA9AC64}" type="presParOf" srcId="{F155A902-AC3E-490A-B869-28769299C951}" destId="{36FCE6AD-06C5-4AA4-84D8-F8E9CBE58E8A}" srcOrd="10" destOrd="0" presId="urn:microsoft.com/office/officeart/2005/8/layout/process1"/>
    <dgm:cxn modelId="{1D9B689E-3913-45B8-81F5-0037EEA84B50}" type="presParOf" srcId="{F155A902-AC3E-490A-B869-28769299C951}" destId="{4CBE563D-2738-409C-BEB3-09C5DF8725F4}" srcOrd="11" destOrd="0" presId="urn:microsoft.com/office/officeart/2005/8/layout/process1"/>
    <dgm:cxn modelId="{D7C6B41E-4585-40AE-B834-E5CA613CA1E5}" type="presParOf" srcId="{4CBE563D-2738-409C-BEB3-09C5DF8725F4}" destId="{D1CC3473-63D4-4ED4-923B-A69A65A5FC0A}" srcOrd="0" destOrd="0" presId="urn:microsoft.com/office/officeart/2005/8/layout/process1"/>
    <dgm:cxn modelId="{02F1BD9B-6F64-44AE-ACCC-14C7EC403141}" type="presParOf" srcId="{F155A902-AC3E-490A-B869-28769299C951}" destId="{67BD0649-C0EB-4240-814A-626DC3CC34A6}" srcOrd="12" destOrd="0" presId="urn:microsoft.com/office/officeart/2005/8/layout/process1"/>
    <dgm:cxn modelId="{48F09233-FC94-4772-B23E-BE75F7AA108B}" type="presParOf" srcId="{F155A902-AC3E-490A-B869-28769299C951}" destId="{04F3436D-60BC-4115-BC09-92437D3DF363}" srcOrd="13" destOrd="0" presId="urn:microsoft.com/office/officeart/2005/8/layout/process1"/>
    <dgm:cxn modelId="{44DEDE95-7713-4173-AEBB-FC9CDE21675A}" type="presParOf" srcId="{04F3436D-60BC-4115-BC09-92437D3DF363}" destId="{D9E19AE4-61FD-45B1-8730-51039BE27776}" srcOrd="0" destOrd="0" presId="urn:microsoft.com/office/officeart/2005/8/layout/process1"/>
    <dgm:cxn modelId="{7CA572F9-D76F-46CB-80E7-5251476363C6}" type="presParOf" srcId="{F155A902-AC3E-490A-B869-28769299C951}" destId="{1BBCAA42-363B-46B6-B8F7-E3231684EB5E}" srcOrd="14" destOrd="0" presId="urn:microsoft.com/office/officeart/2005/8/layout/process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E5008E-E1D1-4E01-828F-0FE278791B7C}">
      <dsp:nvSpPr>
        <dsp:cNvPr id="0" name=""/>
        <dsp:cNvSpPr/>
      </dsp:nvSpPr>
      <dsp:spPr>
        <a:xfrm>
          <a:off x="1902"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Needs Assessment</a:t>
          </a:r>
        </a:p>
      </dsp:txBody>
      <dsp:txXfrm>
        <a:off x="10953" y="30746"/>
        <a:ext cx="496954" cy="290931"/>
      </dsp:txXfrm>
    </dsp:sp>
    <dsp:sp modelId="{82C630C3-9614-400E-A297-3FE0A9BF0B3C}">
      <dsp:nvSpPr>
        <dsp:cNvPr id="0" name=""/>
        <dsp:cNvSpPr/>
      </dsp:nvSpPr>
      <dsp:spPr>
        <a:xfrm>
          <a:off x="568464" y="112345"/>
          <a:ext cx="109191" cy="127733"/>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568464" y="137892"/>
        <a:ext cx="76434" cy="76639"/>
      </dsp:txXfrm>
    </dsp:sp>
    <dsp:sp modelId="{D2B652A1-FA27-4088-893B-E2EE4565160A}">
      <dsp:nvSpPr>
        <dsp:cNvPr id="0" name=""/>
        <dsp:cNvSpPr/>
      </dsp:nvSpPr>
      <dsp:spPr>
        <a:xfrm>
          <a:off x="722980"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Vendor selection</a:t>
          </a:r>
        </a:p>
      </dsp:txBody>
      <dsp:txXfrm>
        <a:off x="732031" y="30746"/>
        <a:ext cx="496954" cy="290931"/>
      </dsp:txXfrm>
    </dsp:sp>
    <dsp:sp modelId="{F0BA0FA5-8AFE-4B0A-8D23-A2B38E68F6D4}">
      <dsp:nvSpPr>
        <dsp:cNvPr id="0" name=""/>
        <dsp:cNvSpPr/>
      </dsp:nvSpPr>
      <dsp:spPr>
        <a:xfrm>
          <a:off x="1289542" y="112345"/>
          <a:ext cx="109191" cy="127733"/>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1289542" y="137892"/>
        <a:ext cx="76434" cy="76639"/>
      </dsp:txXfrm>
    </dsp:sp>
    <dsp:sp modelId="{C94B76A1-9414-40D5-965E-BA3BBEEC9992}">
      <dsp:nvSpPr>
        <dsp:cNvPr id="0" name=""/>
        <dsp:cNvSpPr/>
      </dsp:nvSpPr>
      <dsp:spPr>
        <a:xfrm>
          <a:off x="1444059"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Pilot Testing</a:t>
          </a:r>
        </a:p>
      </dsp:txBody>
      <dsp:txXfrm>
        <a:off x="1453110" y="30746"/>
        <a:ext cx="496954" cy="290931"/>
      </dsp:txXfrm>
    </dsp:sp>
    <dsp:sp modelId="{8F9D899A-117E-44A0-8E5A-8292F560BFF6}">
      <dsp:nvSpPr>
        <dsp:cNvPr id="0" name=""/>
        <dsp:cNvSpPr/>
      </dsp:nvSpPr>
      <dsp:spPr>
        <a:xfrm>
          <a:off x="2010620" y="112345"/>
          <a:ext cx="109191" cy="127733"/>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2010620" y="137892"/>
        <a:ext cx="76434" cy="76639"/>
      </dsp:txXfrm>
    </dsp:sp>
    <dsp:sp modelId="{89D6F23F-E5EA-4E9B-BAB1-DAB0851303B5}">
      <dsp:nvSpPr>
        <dsp:cNvPr id="0" name=""/>
        <dsp:cNvSpPr/>
      </dsp:nvSpPr>
      <dsp:spPr>
        <a:xfrm>
          <a:off x="2165137"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Data Migration</a:t>
          </a:r>
        </a:p>
      </dsp:txBody>
      <dsp:txXfrm>
        <a:off x="2174188" y="30746"/>
        <a:ext cx="496954" cy="290931"/>
      </dsp:txXfrm>
    </dsp:sp>
    <dsp:sp modelId="{4A376E38-1CEB-4378-B365-501A85FF02A0}">
      <dsp:nvSpPr>
        <dsp:cNvPr id="0" name=""/>
        <dsp:cNvSpPr/>
      </dsp:nvSpPr>
      <dsp:spPr>
        <a:xfrm>
          <a:off x="2731699" y="112345"/>
          <a:ext cx="109191" cy="127733"/>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2731699" y="137892"/>
        <a:ext cx="76434" cy="76639"/>
      </dsp:txXfrm>
    </dsp:sp>
    <dsp:sp modelId="{8E52334F-45CC-4C3D-A0E2-D0ABCF6A155D}">
      <dsp:nvSpPr>
        <dsp:cNvPr id="0" name=""/>
        <dsp:cNvSpPr/>
      </dsp:nvSpPr>
      <dsp:spPr>
        <a:xfrm>
          <a:off x="2886216"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Integration</a:t>
          </a:r>
        </a:p>
      </dsp:txBody>
      <dsp:txXfrm>
        <a:off x="2895267" y="30746"/>
        <a:ext cx="496954" cy="290931"/>
      </dsp:txXfrm>
    </dsp:sp>
    <dsp:sp modelId="{1520F32E-F2EE-4B8B-98E6-ADFC6E1D300F}">
      <dsp:nvSpPr>
        <dsp:cNvPr id="0" name=""/>
        <dsp:cNvSpPr/>
      </dsp:nvSpPr>
      <dsp:spPr>
        <a:xfrm>
          <a:off x="3452777" y="112345"/>
          <a:ext cx="109191" cy="127733"/>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3452777" y="137892"/>
        <a:ext cx="76434" cy="76639"/>
      </dsp:txXfrm>
    </dsp:sp>
    <dsp:sp modelId="{36FCE6AD-06C5-4AA4-84D8-F8E9CBE58E8A}">
      <dsp:nvSpPr>
        <dsp:cNvPr id="0" name=""/>
        <dsp:cNvSpPr/>
      </dsp:nvSpPr>
      <dsp:spPr>
        <a:xfrm>
          <a:off x="3607294"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Training</a:t>
          </a:r>
        </a:p>
      </dsp:txBody>
      <dsp:txXfrm>
        <a:off x="3616345" y="30746"/>
        <a:ext cx="496954" cy="290931"/>
      </dsp:txXfrm>
    </dsp:sp>
    <dsp:sp modelId="{4CBE563D-2738-409C-BEB3-09C5DF8725F4}">
      <dsp:nvSpPr>
        <dsp:cNvPr id="0" name=""/>
        <dsp:cNvSpPr/>
      </dsp:nvSpPr>
      <dsp:spPr>
        <a:xfrm>
          <a:off x="4173856" y="112345"/>
          <a:ext cx="109191" cy="127733"/>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4173856" y="137892"/>
        <a:ext cx="76434" cy="76639"/>
      </dsp:txXfrm>
    </dsp:sp>
    <dsp:sp modelId="{67BD0649-C0EB-4240-814A-626DC3CC34A6}">
      <dsp:nvSpPr>
        <dsp:cNvPr id="0" name=""/>
        <dsp:cNvSpPr/>
      </dsp:nvSpPr>
      <dsp:spPr>
        <a:xfrm>
          <a:off x="4328373"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Full Deployment</a:t>
          </a:r>
        </a:p>
      </dsp:txBody>
      <dsp:txXfrm>
        <a:off x="4337424" y="30746"/>
        <a:ext cx="496954" cy="290931"/>
      </dsp:txXfrm>
    </dsp:sp>
    <dsp:sp modelId="{04F3436D-60BC-4115-BC09-92437D3DF363}">
      <dsp:nvSpPr>
        <dsp:cNvPr id="0" name=""/>
        <dsp:cNvSpPr/>
      </dsp:nvSpPr>
      <dsp:spPr>
        <a:xfrm>
          <a:off x="4894934" y="112345"/>
          <a:ext cx="109191" cy="127733"/>
        </a:xfrm>
        <a:prstGeom prst="rightArrow">
          <a:avLst>
            <a:gd name="adj1" fmla="val 60000"/>
            <a:gd name="adj2" fmla="val 50000"/>
          </a:avLst>
        </a:prstGeom>
        <a:solidFill>
          <a:srgbClr val="156082">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222250">
            <a:lnSpc>
              <a:spcPct val="90000"/>
            </a:lnSpc>
            <a:spcBef>
              <a:spcPct val="0"/>
            </a:spcBef>
            <a:spcAft>
              <a:spcPct val="35000"/>
            </a:spcAft>
            <a:buNone/>
          </a:pPr>
          <a:endParaRPr lang="en-GB" sz="500" kern="1200">
            <a:solidFill>
              <a:sysClr val="window" lastClr="FFFFFF"/>
            </a:solidFill>
            <a:latin typeface="Aptos" panose="02110004020202020204"/>
            <a:ea typeface="+mn-ea"/>
            <a:cs typeface="+mn-cs"/>
          </a:endParaRPr>
        </a:p>
      </dsp:txBody>
      <dsp:txXfrm>
        <a:off x="4894934" y="137892"/>
        <a:ext cx="76434" cy="76639"/>
      </dsp:txXfrm>
    </dsp:sp>
    <dsp:sp modelId="{1BBCAA42-363B-46B6-B8F7-E3231684EB5E}">
      <dsp:nvSpPr>
        <dsp:cNvPr id="0" name=""/>
        <dsp:cNvSpPr/>
      </dsp:nvSpPr>
      <dsp:spPr>
        <a:xfrm>
          <a:off x="5049451" y="21695"/>
          <a:ext cx="515056" cy="309033"/>
        </a:xfrm>
        <a:prstGeom prst="roundRect">
          <a:avLst>
            <a:gd name="adj" fmla="val 10000"/>
          </a:avLst>
        </a:prstGeom>
        <a:solidFill>
          <a:srgbClr val="156082">
            <a:hueOff val="0"/>
            <a:satOff val="0"/>
            <a:lumOff val="0"/>
            <a:alphaOff val="0"/>
          </a:srgbClr>
        </a:solidFill>
        <a:ln w="1905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kern="1200">
              <a:solidFill>
                <a:sysClr val="window" lastClr="FFFFFF"/>
              </a:solidFill>
              <a:latin typeface="Aptos" panose="02110004020202020204"/>
              <a:ea typeface="+mn-ea"/>
              <a:cs typeface="+mn-cs"/>
            </a:rPr>
            <a:t>Monitoring &amp; Evaluation</a:t>
          </a:r>
        </a:p>
      </dsp:txBody>
      <dsp:txXfrm>
        <a:off x="5058502" y="30746"/>
        <a:ext cx="496954" cy="290931"/>
      </dsp:txXfrm>
    </dsp:sp>
  </dsp:spTree>
</dsp:drawing>
</file>

<file path=word/diagrams/layout1.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2025-12-16T00:00:00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4A49783-125A-4F9F-AAE5-3B7D59E682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3215</Words>
  <Characters>18327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Modern Information System at AKPerog Ltd.</vt:lpstr>
    </vt:vector>
  </TitlesOfParts>
  <Company>2335147</Company>
  <LinksUpToDate>false</LinksUpToDate>
  <CharactersWithSpaces>21500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 Information System at AKPerog Ltd.</dc:title>
  <dc:subject/>
  <dc:creator>Rosemary Jordao</dc:creator>
  <cp:keywords/>
  <dc:description/>
  <cp:lastModifiedBy>Rosemary Olapeju Jordao</cp:lastModifiedBy>
  <cp:revision>3</cp:revision>
  <dcterms:created xsi:type="dcterms:W3CDTF">2025-12-16T12:00:00Z</dcterms:created>
  <dcterms:modified xsi:type="dcterms:W3CDTF">2025-12-16T12:00:00Z</dcterms:modified>
</cp:coreProperties>
</file>