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00E15E1" w14:textId="4727E706" w:rsidR="00CF3092" w:rsidRDefault="00CF3092">
      <w:pPr>
        <w:spacing w:before="700"/>
        <w:jc w:val="center"/>
        <w:rPr>
          <w:b/>
          <w:color w:val="1F4E79"/>
          <w:sz w:val="38"/>
        </w:rPr>
      </w:pPr>
      <w:r>
        <w:rPr>
          <w:noProof/>
        </w:rPr>
        <w:drawing>
          <wp:inline distT="0" distB="0" distL="0" distR="0" wp14:anchorId="642C1545" wp14:editId="1E7766D5">
            <wp:extent cx="4052289" cy="2369820"/>
            <wp:effectExtent l="0" t="0" r="5715" b="0"/>
            <wp:docPr id="2" name="Picture 2" descr="Primary (PGCE - Graduates only) PGCE - University of Wales Trinity Saint  David (UWTSD) | StudentCrow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mary (PGCE - Graduates only) PGCE - University of Wales Trinity Saint  David (UWTSD) | StudentCrow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93499" cy="2393920"/>
                    </a:xfrm>
                    <a:prstGeom prst="rect">
                      <a:avLst/>
                    </a:prstGeom>
                    <a:noFill/>
                    <a:ln>
                      <a:noFill/>
                    </a:ln>
                  </pic:spPr>
                </pic:pic>
              </a:graphicData>
            </a:graphic>
          </wp:inline>
        </w:drawing>
      </w:r>
    </w:p>
    <w:p w14:paraId="525F2FB3" w14:textId="77777777" w:rsidR="00CF3092" w:rsidRDefault="00CF3092">
      <w:pPr>
        <w:spacing w:before="700"/>
        <w:jc w:val="center"/>
        <w:rPr>
          <w:b/>
          <w:color w:val="1F4E79"/>
          <w:sz w:val="38"/>
        </w:rPr>
      </w:pPr>
    </w:p>
    <w:p w14:paraId="21F5A52E" w14:textId="476A417D" w:rsidR="00832B3A" w:rsidRDefault="00990C6E">
      <w:pPr>
        <w:spacing w:before="700"/>
        <w:jc w:val="center"/>
      </w:pPr>
      <w:r>
        <w:rPr>
          <w:b/>
          <w:color w:val="1F4E79"/>
          <w:sz w:val="38"/>
        </w:rPr>
        <w:t>MARKETING ENVIRONMENT ANALYSIS</w:t>
      </w:r>
    </w:p>
    <w:p w14:paraId="67CEA6B5" w14:textId="77777777" w:rsidR="00832B3A" w:rsidRDefault="00990C6E">
      <w:pPr>
        <w:jc w:val="center"/>
      </w:pPr>
      <w:r>
        <w:rPr>
          <w:b/>
          <w:sz w:val="30"/>
        </w:rPr>
        <w:t>ArcelorMittal: The Transition to Lower-Carbon Steel</w:t>
      </w:r>
    </w:p>
    <w:p w14:paraId="7DDE5527" w14:textId="77777777" w:rsidR="00832B3A" w:rsidRDefault="00990C6E">
      <w:pPr>
        <w:spacing w:before="200"/>
        <w:jc w:val="center"/>
      </w:pPr>
      <w:r>
        <w:t>Assessment Component 1</w:t>
      </w:r>
    </w:p>
    <w:tbl>
      <w:tblPr>
        <w:tblStyle w:val="TableGrid"/>
        <w:tblW w:w="0" w:type="auto"/>
        <w:jc w:val="center"/>
        <w:tblLayout w:type="fixed"/>
        <w:tblLook w:val="04A0" w:firstRow="1" w:lastRow="0" w:firstColumn="1" w:lastColumn="0" w:noHBand="0" w:noVBand="1"/>
      </w:tblPr>
      <w:tblGrid>
        <w:gridCol w:w="2376"/>
        <w:gridCol w:w="6768"/>
      </w:tblGrid>
      <w:tr w:rsidR="00832B3A" w:rsidRPr="00C31030" w14:paraId="6AB2F623" w14:textId="77777777" w:rsidTr="004D599B">
        <w:trPr>
          <w:cantSplit/>
          <w:jc w:val="center"/>
        </w:trPr>
        <w:tc>
          <w:tcPr>
            <w:tcW w:w="2376" w:type="dxa"/>
            <w:tcMar>
              <w:top w:w="80" w:type="dxa"/>
              <w:left w:w="90" w:type="dxa"/>
              <w:bottom w:w="80" w:type="dxa"/>
              <w:right w:w="90" w:type="dxa"/>
            </w:tcMar>
            <w:vAlign w:val="center"/>
          </w:tcPr>
          <w:p w14:paraId="5575AC7B" w14:textId="77777777" w:rsidR="00832B3A" w:rsidRPr="00C31030" w:rsidRDefault="00990C6E">
            <w:pPr>
              <w:spacing w:before="20" w:after="30" w:line="240" w:lineRule="auto"/>
              <w:rPr>
                <w:szCs w:val="24"/>
              </w:rPr>
            </w:pPr>
            <w:proofErr w:type="spellStart"/>
            <w:r w:rsidRPr="00C31030">
              <w:rPr>
                <w:b/>
                <w:szCs w:val="24"/>
              </w:rPr>
              <w:t>Programme</w:t>
            </w:r>
            <w:proofErr w:type="spellEnd"/>
          </w:p>
        </w:tc>
        <w:tc>
          <w:tcPr>
            <w:tcW w:w="6768" w:type="dxa"/>
            <w:tcMar>
              <w:top w:w="80" w:type="dxa"/>
              <w:left w:w="90" w:type="dxa"/>
              <w:bottom w:w="80" w:type="dxa"/>
              <w:right w:w="90" w:type="dxa"/>
            </w:tcMar>
            <w:vAlign w:val="center"/>
          </w:tcPr>
          <w:p w14:paraId="1E66D981" w14:textId="77777777" w:rsidR="00832B3A" w:rsidRPr="00C31030" w:rsidRDefault="00990C6E">
            <w:pPr>
              <w:spacing w:before="20" w:after="30" w:line="240" w:lineRule="auto"/>
              <w:rPr>
                <w:szCs w:val="24"/>
              </w:rPr>
            </w:pPr>
            <w:r w:rsidRPr="00C31030">
              <w:rPr>
                <w:szCs w:val="24"/>
              </w:rPr>
              <w:t>Master of Business Administration</w:t>
            </w:r>
          </w:p>
        </w:tc>
      </w:tr>
      <w:tr w:rsidR="00832B3A" w:rsidRPr="00C31030" w14:paraId="6EF8396A" w14:textId="77777777" w:rsidTr="004D599B">
        <w:trPr>
          <w:cantSplit/>
          <w:jc w:val="center"/>
        </w:trPr>
        <w:tc>
          <w:tcPr>
            <w:tcW w:w="2376" w:type="dxa"/>
            <w:tcMar>
              <w:top w:w="80" w:type="dxa"/>
              <w:left w:w="90" w:type="dxa"/>
              <w:bottom w:w="80" w:type="dxa"/>
              <w:right w:w="90" w:type="dxa"/>
            </w:tcMar>
            <w:vAlign w:val="center"/>
          </w:tcPr>
          <w:p w14:paraId="6E999978" w14:textId="77777777" w:rsidR="00832B3A" w:rsidRPr="00C31030" w:rsidRDefault="00990C6E">
            <w:pPr>
              <w:spacing w:before="20" w:after="30" w:line="240" w:lineRule="auto"/>
              <w:rPr>
                <w:szCs w:val="24"/>
              </w:rPr>
            </w:pPr>
            <w:r w:rsidRPr="00C31030">
              <w:rPr>
                <w:b/>
                <w:szCs w:val="24"/>
              </w:rPr>
              <w:t>Module</w:t>
            </w:r>
          </w:p>
        </w:tc>
        <w:tc>
          <w:tcPr>
            <w:tcW w:w="6768" w:type="dxa"/>
            <w:tcMar>
              <w:top w:w="80" w:type="dxa"/>
              <w:left w:w="90" w:type="dxa"/>
              <w:bottom w:w="80" w:type="dxa"/>
              <w:right w:w="90" w:type="dxa"/>
            </w:tcMar>
            <w:vAlign w:val="center"/>
          </w:tcPr>
          <w:p w14:paraId="15A17AFF" w14:textId="77777777" w:rsidR="00832B3A" w:rsidRPr="00C31030" w:rsidRDefault="00990C6E">
            <w:pPr>
              <w:spacing w:before="20" w:after="30" w:line="240" w:lineRule="auto"/>
              <w:rPr>
                <w:szCs w:val="24"/>
              </w:rPr>
            </w:pPr>
            <w:r w:rsidRPr="00C31030">
              <w:rPr>
                <w:szCs w:val="24"/>
              </w:rPr>
              <w:t>Marketing Management (LCMB7024)</w:t>
            </w:r>
          </w:p>
        </w:tc>
      </w:tr>
      <w:tr w:rsidR="00832B3A" w:rsidRPr="00C31030" w14:paraId="612E889B" w14:textId="77777777" w:rsidTr="004D599B">
        <w:trPr>
          <w:cantSplit/>
          <w:jc w:val="center"/>
        </w:trPr>
        <w:tc>
          <w:tcPr>
            <w:tcW w:w="2376" w:type="dxa"/>
            <w:tcMar>
              <w:top w:w="80" w:type="dxa"/>
              <w:left w:w="90" w:type="dxa"/>
              <w:bottom w:w="80" w:type="dxa"/>
              <w:right w:w="90" w:type="dxa"/>
            </w:tcMar>
            <w:vAlign w:val="center"/>
          </w:tcPr>
          <w:p w14:paraId="43BF7ADD" w14:textId="77777777" w:rsidR="00832B3A" w:rsidRPr="00C31030" w:rsidRDefault="00990C6E">
            <w:pPr>
              <w:spacing w:before="20" w:after="30" w:line="240" w:lineRule="auto"/>
              <w:rPr>
                <w:szCs w:val="24"/>
              </w:rPr>
            </w:pPr>
            <w:r w:rsidRPr="00C31030">
              <w:rPr>
                <w:b/>
                <w:szCs w:val="24"/>
              </w:rPr>
              <w:t>Student name</w:t>
            </w:r>
          </w:p>
        </w:tc>
        <w:tc>
          <w:tcPr>
            <w:tcW w:w="6768" w:type="dxa"/>
            <w:tcMar>
              <w:top w:w="80" w:type="dxa"/>
              <w:left w:w="90" w:type="dxa"/>
              <w:bottom w:w="80" w:type="dxa"/>
              <w:right w:w="90" w:type="dxa"/>
            </w:tcMar>
            <w:vAlign w:val="center"/>
          </w:tcPr>
          <w:p w14:paraId="23D944BB" w14:textId="77777777" w:rsidR="00832B3A" w:rsidRPr="00C31030" w:rsidRDefault="00102863">
            <w:pPr>
              <w:spacing w:before="20" w:after="30" w:line="240" w:lineRule="auto"/>
              <w:rPr>
                <w:szCs w:val="24"/>
              </w:rPr>
            </w:pPr>
            <w:proofErr w:type="spellStart"/>
            <w:r w:rsidRPr="00102863">
              <w:rPr>
                <w:szCs w:val="24"/>
              </w:rPr>
              <w:t>Taranpreet</w:t>
            </w:r>
            <w:proofErr w:type="spellEnd"/>
            <w:r w:rsidRPr="00102863">
              <w:rPr>
                <w:szCs w:val="24"/>
              </w:rPr>
              <w:t xml:space="preserve"> singh</w:t>
            </w:r>
          </w:p>
        </w:tc>
      </w:tr>
      <w:tr w:rsidR="00832B3A" w:rsidRPr="00C31030" w14:paraId="48502041" w14:textId="77777777" w:rsidTr="004D599B">
        <w:trPr>
          <w:cantSplit/>
          <w:jc w:val="center"/>
        </w:trPr>
        <w:tc>
          <w:tcPr>
            <w:tcW w:w="2376" w:type="dxa"/>
            <w:tcMar>
              <w:top w:w="80" w:type="dxa"/>
              <w:left w:w="90" w:type="dxa"/>
              <w:bottom w:w="80" w:type="dxa"/>
              <w:right w:w="90" w:type="dxa"/>
            </w:tcMar>
            <w:vAlign w:val="center"/>
          </w:tcPr>
          <w:p w14:paraId="513B97DF" w14:textId="77777777" w:rsidR="00832B3A" w:rsidRPr="00C31030" w:rsidRDefault="00990C6E">
            <w:pPr>
              <w:spacing w:before="20" w:after="30" w:line="240" w:lineRule="auto"/>
              <w:rPr>
                <w:szCs w:val="24"/>
              </w:rPr>
            </w:pPr>
            <w:r w:rsidRPr="00C31030">
              <w:rPr>
                <w:b/>
                <w:szCs w:val="24"/>
              </w:rPr>
              <w:t>Student ID</w:t>
            </w:r>
          </w:p>
        </w:tc>
        <w:tc>
          <w:tcPr>
            <w:tcW w:w="6768" w:type="dxa"/>
            <w:tcMar>
              <w:top w:w="80" w:type="dxa"/>
              <w:left w:w="90" w:type="dxa"/>
              <w:bottom w:w="80" w:type="dxa"/>
              <w:right w:w="90" w:type="dxa"/>
            </w:tcMar>
            <w:vAlign w:val="center"/>
          </w:tcPr>
          <w:p w14:paraId="763E1F9F" w14:textId="77777777" w:rsidR="00832B3A" w:rsidRPr="00C31030" w:rsidRDefault="00102863">
            <w:pPr>
              <w:spacing w:before="20" w:after="30" w:line="240" w:lineRule="auto"/>
              <w:rPr>
                <w:szCs w:val="24"/>
              </w:rPr>
            </w:pPr>
            <w:r w:rsidRPr="00102863">
              <w:rPr>
                <w:szCs w:val="24"/>
              </w:rPr>
              <w:t>2606892</w:t>
            </w:r>
          </w:p>
        </w:tc>
      </w:tr>
      <w:tr w:rsidR="00832B3A" w:rsidRPr="00C31030" w14:paraId="5A80E975" w14:textId="77777777" w:rsidTr="004D599B">
        <w:trPr>
          <w:cantSplit/>
          <w:jc w:val="center"/>
        </w:trPr>
        <w:tc>
          <w:tcPr>
            <w:tcW w:w="2376" w:type="dxa"/>
            <w:tcMar>
              <w:top w:w="80" w:type="dxa"/>
              <w:left w:w="90" w:type="dxa"/>
              <w:bottom w:w="80" w:type="dxa"/>
              <w:right w:w="90" w:type="dxa"/>
            </w:tcMar>
            <w:vAlign w:val="center"/>
          </w:tcPr>
          <w:p w14:paraId="44F24371" w14:textId="77777777" w:rsidR="00832B3A" w:rsidRPr="00C31030" w:rsidRDefault="00990C6E">
            <w:pPr>
              <w:spacing w:before="20" w:after="30" w:line="240" w:lineRule="auto"/>
              <w:rPr>
                <w:szCs w:val="24"/>
              </w:rPr>
            </w:pPr>
            <w:r w:rsidRPr="00C31030">
              <w:rPr>
                <w:b/>
                <w:szCs w:val="24"/>
              </w:rPr>
              <w:t>Lecturer(s)</w:t>
            </w:r>
          </w:p>
        </w:tc>
        <w:tc>
          <w:tcPr>
            <w:tcW w:w="6768" w:type="dxa"/>
            <w:tcMar>
              <w:top w:w="80" w:type="dxa"/>
              <w:left w:w="90" w:type="dxa"/>
              <w:bottom w:w="80" w:type="dxa"/>
              <w:right w:w="90" w:type="dxa"/>
            </w:tcMar>
            <w:vAlign w:val="center"/>
          </w:tcPr>
          <w:p w14:paraId="1D121A1F" w14:textId="0B07E000" w:rsidR="00832B3A" w:rsidRPr="00C31030" w:rsidRDefault="00990C6E">
            <w:pPr>
              <w:spacing w:before="20" w:after="30" w:line="240" w:lineRule="auto"/>
              <w:rPr>
                <w:szCs w:val="24"/>
              </w:rPr>
            </w:pPr>
            <w:proofErr w:type="spellStart"/>
            <w:r w:rsidRPr="00C31030">
              <w:rPr>
                <w:szCs w:val="24"/>
              </w:rPr>
              <w:t>Taonga</w:t>
            </w:r>
            <w:proofErr w:type="spellEnd"/>
            <w:r w:rsidRPr="00C31030">
              <w:rPr>
                <w:szCs w:val="24"/>
              </w:rPr>
              <w:t xml:space="preserve"> </w:t>
            </w:r>
            <w:proofErr w:type="spellStart"/>
            <w:r w:rsidRPr="00C31030">
              <w:rPr>
                <w:szCs w:val="24"/>
              </w:rPr>
              <w:t>Kaonga</w:t>
            </w:r>
            <w:proofErr w:type="spellEnd"/>
            <w:r w:rsidRPr="00C31030">
              <w:rPr>
                <w:szCs w:val="24"/>
              </w:rPr>
              <w:t xml:space="preserve"> </w:t>
            </w:r>
            <w:proofErr w:type="spellStart"/>
            <w:r w:rsidRPr="00C31030">
              <w:rPr>
                <w:szCs w:val="24"/>
              </w:rPr>
              <w:t>Sobere-Snithers</w:t>
            </w:r>
            <w:proofErr w:type="spellEnd"/>
            <w:r w:rsidRPr="00C31030">
              <w:rPr>
                <w:szCs w:val="24"/>
              </w:rPr>
              <w:t xml:space="preserve"> (Birmingham)</w:t>
            </w:r>
          </w:p>
        </w:tc>
      </w:tr>
      <w:tr w:rsidR="00832B3A" w:rsidRPr="00C31030" w14:paraId="77144C6C" w14:textId="77777777" w:rsidTr="004D599B">
        <w:trPr>
          <w:cantSplit/>
          <w:jc w:val="center"/>
        </w:trPr>
        <w:tc>
          <w:tcPr>
            <w:tcW w:w="2376" w:type="dxa"/>
            <w:tcMar>
              <w:top w:w="80" w:type="dxa"/>
              <w:left w:w="90" w:type="dxa"/>
              <w:bottom w:w="80" w:type="dxa"/>
              <w:right w:w="90" w:type="dxa"/>
            </w:tcMar>
            <w:vAlign w:val="center"/>
          </w:tcPr>
          <w:p w14:paraId="1E891150" w14:textId="77777777" w:rsidR="00832B3A" w:rsidRPr="00C31030" w:rsidRDefault="00990C6E">
            <w:pPr>
              <w:spacing w:before="20" w:after="30" w:line="240" w:lineRule="auto"/>
              <w:rPr>
                <w:szCs w:val="24"/>
              </w:rPr>
            </w:pPr>
            <w:r w:rsidRPr="00C31030">
              <w:rPr>
                <w:b/>
                <w:szCs w:val="24"/>
              </w:rPr>
              <w:t>Submission date</w:t>
            </w:r>
          </w:p>
        </w:tc>
        <w:tc>
          <w:tcPr>
            <w:tcW w:w="6768" w:type="dxa"/>
            <w:tcMar>
              <w:top w:w="80" w:type="dxa"/>
              <w:left w:w="90" w:type="dxa"/>
              <w:bottom w:w="80" w:type="dxa"/>
              <w:right w:w="90" w:type="dxa"/>
            </w:tcMar>
            <w:vAlign w:val="center"/>
          </w:tcPr>
          <w:p w14:paraId="0B69DB72" w14:textId="77777777" w:rsidR="00832B3A" w:rsidRPr="00C31030" w:rsidRDefault="00990C6E">
            <w:pPr>
              <w:spacing w:before="20" w:after="30" w:line="240" w:lineRule="auto"/>
              <w:rPr>
                <w:szCs w:val="24"/>
              </w:rPr>
            </w:pPr>
            <w:r w:rsidRPr="00C31030">
              <w:rPr>
                <w:szCs w:val="24"/>
              </w:rPr>
              <w:t>22 October 2026</w:t>
            </w:r>
          </w:p>
        </w:tc>
      </w:tr>
      <w:tr w:rsidR="00832B3A" w:rsidRPr="00C31030" w14:paraId="369003E7" w14:textId="77777777" w:rsidTr="004D599B">
        <w:trPr>
          <w:cantSplit/>
          <w:jc w:val="center"/>
        </w:trPr>
        <w:tc>
          <w:tcPr>
            <w:tcW w:w="2376" w:type="dxa"/>
            <w:tcMar>
              <w:top w:w="80" w:type="dxa"/>
              <w:left w:w="90" w:type="dxa"/>
              <w:bottom w:w="80" w:type="dxa"/>
              <w:right w:w="90" w:type="dxa"/>
            </w:tcMar>
            <w:vAlign w:val="center"/>
          </w:tcPr>
          <w:p w14:paraId="60C4CB49" w14:textId="77777777" w:rsidR="00832B3A" w:rsidRPr="00C31030" w:rsidRDefault="00990C6E">
            <w:pPr>
              <w:spacing w:before="20" w:after="30" w:line="240" w:lineRule="auto"/>
              <w:rPr>
                <w:szCs w:val="24"/>
              </w:rPr>
            </w:pPr>
            <w:r w:rsidRPr="00C31030">
              <w:rPr>
                <w:b/>
                <w:szCs w:val="24"/>
              </w:rPr>
              <w:t>Word count</w:t>
            </w:r>
          </w:p>
        </w:tc>
        <w:tc>
          <w:tcPr>
            <w:tcW w:w="6768" w:type="dxa"/>
            <w:tcMar>
              <w:top w:w="80" w:type="dxa"/>
              <w:left w:w="90" w:type="dxa"/>
              <w:bottom w:w="80" w:type="dxa"/>
              <w:right w:w="90" w:type="dxa"/>
            </w:tcMar>
            <w:vAlign w:val="center"/>
          </w:tcPr>
          <w:p w14:paraId="78B799B1" w14:textId="77777777" w:rsidR="00832B3A" w:rsidRPr="00C31030" w:rsidRDefault="003350B5">
            <w:pPr>
              <w:spacing w:before="20" w:after="30" w:line="240" w:lineRule="auto"/>
              <w:rPr>
                <w:szCs w:val="24"/>
              </w:rPr>
            </w:pPr>
            <w:r>
              <w:rPr>
                <w:szCs w:val="24"/>
              </w:rPr>
              <w:t>2500</w:t>
            </w:r>
          </w:p>
        </w:tc>
      </w:tr>
    </w:tbl>
    <w:p w14:paraId="4DF27E46" w14:textId="77777777" w:rsidR="00832B3A" w:rsidRDefault="00990C6E">
      <w:pPr>
        <w:spacing w:before="560"/>
        <w:jc w:val="center"/>
      </w:pPr>
      <w:r>
        <w:rPr>
          <w:color w:val="646464"/>
          <w:sz w:val="20"/>
        </w:rPr>
        <w:t>University of Wales Trinity Saint David</w:t>
      </w:r>
    </w:p>
    <w:p w14:paraId="6AE31699" w14:textId="77777777" w:rsidR="00832B3A" w:rsidRDefault="00990C6E">
      <w:r>
        <w:br w:type="page"/>
      </w:r>
    </w:p>
    <w:sdt>
      <w:sdtPr>
        <w:rPr>
          <w:rFonts w:eastAsia="Times New Roman" w:cstheme="minorBidi"/>
          <w:b w:val="0"/>
          <w:bCs w:val="0"/>
          <w:sz w:val="24"/>
          <w:szCs w:val="22"/>
        </w:rPr>
        <w:id w:val="1312835346"/>
        <w:docPartObj>
          <w:docPartGallery w:val="Table of Contents"/>
          <w:docPartUnique/>
        </w:docPartObj>
      </w:sdtPr>
      <w:sdtEndPr>
        <w:rPr>
          <w:noProof/>
        </w:rPr>
      </w:sdtEndPr>
      <w:sdtContent>
        <w:p w14:paraId="24E6DD40" w14:textId="77777777" w:rsidR="00234667" w:rsidRDefault="00234667" w:rsidP="00234667">
          <w:pPr>
            <w:pStyle w:val="TOCHeading"/>
            <w:jc w:val="center"/>
          </w:pPr>
          <w:r>
            <w:t>Table of Contents</w:t>
          </w:r>
        </w:p>
        <w:p w14:paraId="47C2A8DB" w14:textId="77777777" w:rsidR="00234667" w:rsidRPr="00D1237F" w:rsidRDefault="00234667">
          <w:pPr>
            <w:pStyle w:val="TOC1"/>
            <w:tabs>
              <w:tab w:val="right" w:leader="dot" w:pos="9534"/>
            </w:tabs>
            <w:rPr>
              <w:noProof/>
              <w:color w:val="000000" w:themeColor="text1"/>
            </w:rPr>
          </w:pPr>
          <w:r w:rsidRPr="00D1237F">
            <w:rPr>
              <w:color w:val="000000" w:themeColor="text1"/>
            </w:rPr>
            <w:fldChar w:fldCharType="begin"/>
          </w:r>
          <w:r w:rsidRPr="00D1237F">
            <w:rPr>
              <w:color w:val="000000" w:themeColor="text1"/>
            </w:rPr>
            <w:instrText xml:space="preserve"> TOC \o "1-3" \h \z \u </w:instrText>
          </w:r>
          <w:r w:rsidRPr="00D1237F">
            <w:rPr>
              <w:color w:val="000000" w:themeColor="text1"/>
            </w:rPr>
            <w:fldChar w:fldCharType="separate"/>
          </w:r>
          <w:hyperlink w:anchor="_Toc242808192" w:history="1">
            <w:r w:rsidRPr="00D1237F">
              <w:rPr>
                <w:rStyle w:val="Hyperlink"/>
                <w:noProof/>
                <w:color w:val="000000" w:themeColor="text1"/>
              </w:rPr>
              <w:t>Task 1: Marketing Environment Analysis</w:t>
            </w:r>
            <w:r w:rsidRPr="00D1237F">
              <w:rPr>
                <w:noProof/>
                <w:webHidden/>
                <w:color w:val="000000" w:themeColor="text1"/>
              </w:rPr>
              <w:tab/>
            </w:r>
            <w:r w:rsidRPr="00D1237F">
              <w:rPr>
                <w:noProof/>
                <w:webHidden/>
                <w:color w:val="000000" w:themeColor="text1"/>
              </w:rPr>
              <w:fldChar w:fldCharType="begin"/>
            </w:r>
            <w:r w:rsidRPr="00D1237F">
              <w:rPr>
                <w:noProof/>
                <w:webHidden/>
                <w:color w:val="000000" w:themeColor="text1"/>
              </w:rPr>
              <w:instrText xml:space="preserve"> PAGEREF _Toc242808192 \h </w:instrText>
            </w:r>
            <w:r w:rsidRPr="00D1237F">
              <w:rPr>
                <w:noProof/>
                <w:webHidden/>
                <w:color w:val="000000" w:themeColor="text1"/>
              </w:rPr>
            </w:r>
            <w:r w:rsidRPr="00D1237F">
              <w:rPr>
                <w:noProof/>
                <w:webHidden/>
                <w:color w:val="000000" w:themeColor="text1"/>
              </w:rPr>
              <w:fldChar w:fldCharType="separate"/>
            </w:r>
            <w:r w:rsidRPr="00D1237F">
              <w:rPr>
                <w:noProof/>
                <w:webHidden/>
                <w:color w:val="000000" w:themeColor="text1"/>
              </w:rPr>
              <w:t>3</w:t>
            </w:r>
            <w:r w:rsidRPr="00D1237F">
              <w:rPr>
                <w:noProof/>
                <w:webHidden/>
                <w:color w:val="000000" w:themeColor="text1"/>
              </w:rPr>
              <w:fldChar w:fldCharType="end"/>
            </w:r>
          </w:hyperlink>
        </w:p>
        <w:p w14:paraId="11D4B3C7" w14:textId="77777777" w:rsidR="00234667" w:rsidRPr="00D1237F" w:rsidRDefault="00234667" w:rsidP="00CF3092">
          <w:pPr>
            <w:pStyle w:val="TOC2"/>
            <w:rPr>
              <w:color w:val="000000" w:themeColor="text1"/>
            </w:rPr>
          </w:pPr>
          <w:hyperlink w:anchor="_Toc242808193" w:history="1">
            <w:r w:rsidRPr="00D1237F">
              <w:rPr>
                <w:rStyle w:val="Hyperlink"/>
                <w:color w:val="000000" w:themeColor="text1"/>
              </w:rPr>
              <w:t>1.1 Company and analytical focus</w:t>
            </w:r>
            <w:r w:rsidRPr="00D1237F">
              <w:rPr>
                <w:webHidden/>
                <w:color w:val="000000" w:themeColor="text1"/>
              </w:rPr>
              <w:tab/>
            </w:r>
            <w:r w:rsidRPr="00D1237F">
              <w:rPr>
                <w:webHidden/>
                <w:color w:val="000000" w:themeColor="text1"/>
              </w:rPr>
              <w:fldChar w:fldCharType="begin"/>
            </w:r>
            <w:r w:rsidRPr="00D1237F">
              <w:rPr>
                <w:webHidden/>
                <w:color w:val="000000" w:themeColor="text1"/>
              </w:rPr>
              <w:instrText xml:space="preserve"> PAGEREF _Toc242808193 \h </w:instrText>
            </w:r>
            <w:r w:rsidRPr="00D1237F">
              <w:rPr>
                <w:webHidden/>
                <w:color w:val="000000" w:themeColor="text1"/>
              </w:rPr>
            </w:r>
            <w:r w:rsidRPr="00D1237F">
              <w:rPr>
                <w:webHidden/>
                <w:color w:val="000000" w:themeColor="text1"/>
              </w:rPr>
              <w:fldChar w:fldCharType="separate"/>
            </w:r>
            <w:r w:rsidRPr="00D1237F">
              <w:rPr>
                <w:webHidden/>
                <w:color w:val="000000" w:themeColor="text1"/>
              </w:rPr>
              <w:t>3</w:t>
            </w:r>
            <w:r w:rsidRPr="00D1237F">
              <w:rPr>
                <w:webHidden/>
                <w:color w:val="000000" w:themeColor="text1"/>
              </w:rPr>
              <w:fldChar w:fldCharType="end"/>
            </w:r>
          </w:hyperlink>
        </w:p>
        <w:p w14:paraId="28018115" w14:textId="77777777" w:rsidR="00234667" w:rsidRPr="00D1237F" w:rsidRDefault="00234667" w:rsidP="00CF3092">
          <w:pPr>
            <w:pStyle w:val="TOC2"/>
            <w:rPr>
              <w:color w:val="000000" w:themeColor="text1"/>
            </w:rPr>
          </w:pPr>
          <w:hyperlink w:anchor="_Toc242808194" w:history="1">
            <w:r w:rsidRPr="00D1237F">
              <w:rPr>
                <w:rStyle w:val="Hyperlink"/>
                <w:color w:val="000000" w:themeColor="text1"/>
              </w:rPr>
              <w:t>1.2 Environmental factors: emissions and climate risk</w:t>
            </w:r>
            <w:r w:rsidRPr="00D1237F">
              <w:rPr>
                <w:webHidden/>
                <w:color w:val="000000" w:themeColor="text1"/>
              </w:rPr>
              <w:tab/>
            </w:r>
            <w:r w:rsidRPr="00D1237F">
              <w:rPr>
                <w:webHidden/>
                <w:color w:val="000000" w:themeColor="text1"/>
              </w:rPr>
              <w:fldChar w:fldCharType="begin"/>
            </w:r>
            <w:r w:rsidRPr="00D1237F">
              <w:rPr>
                <w:webHidden/>
                <w:color w:val="000000" w:themeColor="text1"/>
              </w:rPr>
              <w:instrText xml:space="preserve"> PAGEREF _Toc242808194 \h </w:instrText>
            </w:r>
            <w:r w:rsidRPr="00D1237F">
              <w:rPr>
                <w:webHidden/>
                <w:color w:val="000000" w:themeColor="text1"/>
              </w:rPr>
            </w:r>
            <w:r w:rsidRPr="00D1237F">
              <w:rPr>
                <w:webHidden/>
                <w:color w:val="000000" w:themeColor="text1"/>
              </w:rPr>
              <w:fldChar w:fldCharType="separate"/>
            </w:r>
            <w:r w:rsidRPr="00D1237F">
              <w:rPr>
                <w:webHidden/>
                <w:color w:val="000000" w:themeColor="text1"/>
              </w:rPr>
              <w:t>3</w:t>
            </w:r>
            <w:r w:rsidRPr="00D1237F">
              <w:rPr>
                <w:webHidden/>
                <w:color w:val="000000" w:themeColor="text1"/>
              </w:rPr>
              <w:fldChar w:fldCharType="end"/>
            </w:r>
          </w:hyperlink>
        </w:p>
        <w:p w14:paraId="5CC1C769" w14:textId="77777777" w:rsidR="00234667" w:rsidRPr="00D1237F" w:rsidRDefault="00234667" w:rsidP="00CF3092">
          <w:pPr>
            <w:pStyle w:val="TOC2"/>
            <w:rPr>
              <w:color w:val="000000" w:themeColor="text1"/>
            </w:rPr>
          </w:pPr>
          <w:hyperlink w:anchor="_Toc242808195" w:history="1">
            <w:r w:rsidRPr="00D1237F">
              <w:rPr>
                <w:rStyle w:val="Hyperlink"/>
                <w:color w:val="000000" w:themeColor="text1"/>
              </w:rPr>
              <w:t>1.3 Social factors: customer expectations and demand</w:t>
            </w:r>
            <w:r w:rsidRPr="00D1237F">
              <w:rPr>
                <w:webHidden/>
                <w:color w:val="000000" w:themeColor="text1"/>
              </w:rPr>
              <w:tab/>
            </w:r>
            <w:r w:rsidRPr="00D1237F">
              <w:rPr>
                <w:webHidden/>
                <w:color w:val="000000" w:themeColor="text1"/>
              </w:rPr>
              <w:fldChar w:fldCharType="begin"/>
            </w:r>
            <w:r w:rsidRPr="00D1237F">
              <w:rPr>
                <w:webHidden/>
                <w:color w:val="000000" w:themeColor="text1"/>
              </w:rPr>
              <w:instrText xml:space="preserve"> PAGEREF _Toc242808195 \h </w:instrText>
            </w:r>
            <w:r w:rsidRPr="00D1237F">
              <w:rPr>
                <w:webHidden/>
                <w:color w:val="000000" w:themeColor="text1"/>
              </w:rPr>
            </w:r>
            <w:r w:rsidRPr="00D1237F">
              <w:rPr>
                <w:webHidden/>
                <w:color w:val="000000" w:themeColor="text1"/>
              </w:rPr>
              <w:fldChar w:fldCharType="separate"/>
            </w:r>
            <w:r w:rsidRPr="00D1237F">
              <w:rPr>
                <w:webHidden/>
                <w:color w:val="000000" w:themeColor="text1"/>
              </w:rPr>
              <w:t>5</w:t>
            </w:r>
            <w:r w:rsidRPr="00D1237F">
              <w:rPr>
                <w:webHidden/>
                <w:color w:val="000000" w:themeColor="text1"/>
              </w:rPr>
              <w:fldChar w:fldCharType="end"/>
            </w:r>
          </w:hyperlink>
        </w:p>
        <w:p w14:paraId="110BFD9C" w14:textId="77777777" w:rsidR="00234667" w:rsidRPr="00D1237F" w:rsidRDefault="00234667" w:rsidP="00CF3092">
          <w:pPr>
            <w:pStyle w:val="TOC2"/>
            <w:rPr>
              <w:color w:val="000000" w:themeColor="text1"/>
            </w:rPr>
          </w:pPr>
          <w:hyperlink w:anchor="_Toc242808195" w:history="1">
            <w:r w:rsidRPr="00D1237F">
              <w:rPr>
                <w:rStyle w:val="Hyperlink"/>
                <w:color w:val="000000" w:themeColor="text1"/>
              </w:rPr>
              <w:t>1.4 Economic factors: scrap, electricity and hydrogen</w:t>
            </w:r>
            <w:r w:rsidRPr="00D1237F">
              <w:rPr>
                <w:webHidden/>
                <w:color w:val="000000" w:themeColor="text1"/>
              </w:rPr>
              <w:tab/>
            </w:r>
            <w:r w:rsidRPr="00D1237F">
              <w:rPr>
                <w:webHidden/>
                <w:color w:val="000000" w:themeColor="text1"/>
              </w:rPr>
              <w:fldChar w:fldCharType="begin"/>
            </w:r>
            <w:r w:rsidRPr="00D1237F">
              <w:rPr>
                <w:webHidden/>
                <w:color w:val="000000" w:themeColor="text1"/>
              </w:rPr>
              <w:instrText xml:space="preserve"> PAGEREF _Toc242808195 \h </w:instrText>
            </w:r>
            <w:r w:rsidRPr="00D1237F">
              <w:rPr>
                <w:webHidden/>
                <w:color w:val="000000" w:themeColor="text1"/>
              </w:rPr>
            </w:r>
            <w:r w:rsidRPr="00D1237F">
              <w:rPr>
                <w:webHidden/>
                <w:color w:val="000000" w:themeColor="text1"/>
              </w:rPr>
              <w:fldChar w:fldCharType="separate"/>
            </w:r>
            <w:r w:rsidRPr="00D1237F">
              <w:rPr>
                <w:webHidden/>
                <w:color w:val="000000" w:themeColor="text1"/>
              </w:rPr>
              <w:t>5</w:t>
            </w:r>
            <w:r w:rsidRPr="00D1237F">
              <w:rPr>
                <w:webHidden/>
                <w:color w:val="000000" w:themeColor="text1"/>
              </w:rPr>
              <w:fldChar w:fldCharType="end"/>
            </w:r>
          </w:hyperlink>
        </w:p>
        <w:p w14:paraId="140D03D2" w14:textId="77777777" w:rsidR="00234667" w:rsidRPr="00D1237F" w:rsidRDefault="00234667" w:rsidP="00CF3092">
          <w:pPr>
            <w:pStyle w:val="TOC2"/>
            <w:rPr>
              <w:color w:val="000000" w:themeColor="text1"/>
            </w:rPr>
          </w:pPr>
          <w:hyperlink w:anchor="_Toc242808197" w:history="1">
            <w:r w:rsidRPr="00D1237F">
              <w:rPr>
                <w:rStyle w:val="Hyperlink"/>
                <w:color w:val="000000" w:themeColor="text1"/>
              </w:rPr>
              <w:t>1.5 Synthesis of the three PESTLE factors</w:t>
            </w:r>
            <w:r w:rsidRPr="00D1237F">
              <w:rPr>
                <w:webHidden/>
                <w:color w:val="000000" w:themeColor="text1"/>
              </w:rPr>
              <w:tab/>
            </w:r>
            <w:r w:rsidRPr="00D1237F">
              <w:rPr>
                <w:webHidden/>
                <w:color w:val="000000" w:themeColor="text1"/>
              </w:rPr>
              <w:fldChar w:fldCharType="begin"/>
            </w:r>
            <w:r w:rsidRPr="00D1237F">
              <w:rPr>
                <w:webHidden/>
                <w:color w:val="000000" w:themeColor="text1"/>
              </w:rPr>
              <w:instrText xml:space="preserve"> PAGEREF _Toc242808197 \h </w:instrText>
            </w:r>
            <w:r w:rsidRPr="00D1237F">
              <w:rPr>
                <w:webHidden/>
                <w:color w:val="000000" w:themeColor="text1"/>
              </w:rPr>
            </w:r>
            <w:r w:rsidRPr="00D1237F">
              <w:rPr>
                <w:webHidden/>
                <w:color w:val="000000" w:themeColor="text1"/>
              </w:rPr>
              <w:fldChar w:fldCharType="separate"/>
            </w:r>
            <w:r w:rsidRPr="00D1237F">
              <w:rPr>
                <w:webHidden/>
                <w:color w:val="000000" w:themeColor="text1"/>
              </w:rPr>
              <w:t>6</w:t>
            </w:r>
            <w:r w:rsidRPr="00D1237F">
              <w:rPr>
                <w:webHidden/>
                <w:color w:val="000000" w:themeColor="text1"/>
              </w:rPr>
              <w:fldChar w:fldCharType="end"/>
            </w:r>
          </w:hyperlink>
        </w:p>
        <w:p w14:paraId="525840F7" w14:textId="77777777" w:rsidR="00234667" w:rsidRPr="00D1237F" w:rsidRDefault="00234667">
          <w:pPr>
            <w:pStyle w:val="TOC1"/>
            <w:tabs>
              <w:tab w:val="right" w:leader="dot" w:pos="9534"/>
            </w:tabs>
            <w:rPr>
              <w:noProof/>
              <w:color w:val="000000" w:themeColor="text1"/>
            </w:rPr>
          </w:pPr>
          <w:hyperlink w:anchor="_Toc242808198" w:history="1">
            <w:r w:rsidRPr="00D1237F">
              <w:rPr>
                <w:rStyle w:val="Hyperlink"/>
                <w:noProof/>
                <w:color w:val="000000" w:themeColor="text1"/>
              </w:rPr>
              <w:t>Task 2: Growth Strategy and Competitive Advantage</w:t>
            </w:r>
            <w:r w:rsidRPr="00D1237F">
              <w:rPr>
                <w:noProof/>
                <w:webHidden/>
                <w:color w:val="000000" w:themeColor="text1"/>
              </w:rPr>
              <w:tab/>
            </w:r>
            <w:r w:rsidRPr="00D1237F">
              <w:rPr>
                <w:noProof/>
                <w:webHidden/>
                <w:color w:val="000000" w:themeColor="text1"/>
              </w:rPr>
              <w:fldChar w:fldCharType="begin"/>
            </w:r>
            <w:r w:rsidRPr="00D1237F">
              <w:rPr>
                <w:noProof/>
                <w:webHidden/>
                <w:color w:val="000000" w:themeColor="text1"/>
              </w:rPr>
              <w:instrText xml:space="preserve"> PAGEREF _Toc242808198 \h </w:instrText>
            </w:r>
            <w:r w:rsidRPr="00D1237F">
              <w:rPr>
                <w:noProof/>
                <w:webHidden/>
                <w:color w:val="000000" w:themeColor="text1"/>
              </w:rPr>
            </w:r>
            <w:r w:rsidRPr="00D1237F">
              <w:rPr>
                <w:noProof/>
                <w:webHidden/>
                <w:color w:val="000000" w:themeColor="text1"/>
              </w:rPr>
              <w:fldChar w:fldCharType="separate"/>
            </w:r>
            <w:r w:rsidRPr="00D1237F">
              <w:rPr>
                <w:noProof/>
                <w:webHidden/>
                <w:color w:val="000000" w:themeColor="text1"/>
              </w:rPr>
              <w:t>6</w:t>
            </w:r>
            <w:r w:rsidRPr="00D1237F">
              <w:rPr>
                <w:noProof/>
                <w:webHidden/>
                <w:color w:val="000000" w:themeColor="text1"/>
              </w:rPr>
              <w:fldChar w:fldCharType="end"/>
            </w:r>
          </w:hyperlink>
        </w:p>
        <w:p w14:paraId="1EC12DFB" w14:textId="77777777" w:rsidR="00234667" w:rsidRPr="00D1237F" w:rsidRDefault="00234667" w:rsidP="00CF3092">
          <w:pPr>
            <w:pStyle w:val="TOC2"/>
            <w:rPr>
              <w:color w:val="000000" w:themeColor="text1"/>
            </w:rPr>
          </w:pPr>
          <w:hyperlink w:anchor="_Toc242808199" w:history="1">
            <w:r w:rsidRPr="00D1237F">
              <w:rPr>
                <w:rStyle w:val="Hyperlink"/>
                <w:color w:val="000000" w:themeColor="text1"/>
              </w:rPr>
              <w:t>2.1 Ansoff Matrix: recommended growth direction</w:t>
            </w:r>
            <w:r w:rsidRPr="00D1237F">
              <w:rPr>
                <w:webHidden/>
                <w:color w:val="000000" w:themeColor="text1"/>
              </w:rPr>
              <w:tab/>
            </w:r>
            <w:r w:rsidRPr="00D1237F">
              <w:rPr>
                <w:webHidden/>
                <w:color w:val="000000" w:themeColor="text1"/>
              </w:rPr>
              <w:fldChar w:fldCharType="begin"/>
            </w:r>
            <w:r w:rsidRPr="00D1237F">
              <w:rPr>
                <w:webHidden/>
                <w:color w:val="000000" w:themeColor="text1"/>
              </w:rPr>
              <w:instrText xml:space="preserve"> PAGEREF _Toc242808199 \h </w:instrText>
            </w:r>
            <w:r w:rsidRPr="00D1237F">
              <w:rPr>
                <w:webHidden/>
                <w:color w:val="000000" w:themeColor="text1"/>
              </w:rPr>
            </w:r>
            <w:r w:rsidRPr="00D1237F">
              <w:rPr>
                <w:webHidden/>
                <w:color w:val="000000" w:themeColor="text1"/>
              </w:rPr>
              <w:fldChar w:fldCharType="separate"/>
            </w:r>
            <w:r w:rsidRPr="00D1237F">
              <w:rPr>
                <w:webHidden/>
                <w:color w:val="000000" w:themeColor="text1"/>
              </w:rPr>
              <w:t>6</w:t>
            </w:r>
            <w:r w:rsidRPr="00D1237F">
              <w:rPr>
                <w:webHidden/>
                <w:color w:val="000000" w:themeColor="text1"/>
              </w:rPr>
              <w:fldChar w:fldCharType="end"/>
            </w:r>
          </w:hyperlink>
        </w:p>
        <w:p w14:paraId="740DBF63" w14:textId="77777777" w:rsidR="00234667" w:rsidRPr="00D1237F" w:rsidRDefault="00234667" w:rsidP="00CF3092">
          <w:pPr>
            <w:pStyle w:val="TOC2"/>
            <w:rPr>
              <w:color w:val="000000" w:themeColor="text1"/>
            </w:rPr>
          </w:pPr>
          <w:hyperlink w:anchor="_Toc242808200" w:history="1">
            <w:r w:rsidRPr="00D1237F">
              <w:rPr>
                <w:rStyle w:val="Hyperlink"/>
                <w:color w:val="000000" w:themeColor="text1"/>
              </w:rPr>
              <w:t>2.2 Porter’s Generic Strategies: competitive advantage</w:t>
            </w:r>
            <w:r w:rsidRPr="00D1237F">
              <w:rPr>
                <w:webHidden/>
                <w:color w:val="000000" w:themeColor="text1"/>
              </w:rPr>
              <w:tab/>
            </w:r>
            <w:r w:rsidRPr="00D1237F">
              <w:rPr>
                <w:webHidden/>
                <w:color w:val="000000" w:themeColor="text1"/>
              </w:rPr>
              <w:fldChar w:fldCharType="begin"/>
            </w:r>
            <w:r w:rsidRPr="00D1237F">
              <w:rPr>
                <w:webHidden/>
                <w:color w:val="000000" w:themeColor="text1"/>
              </w:rPr>
              <w:instrText xml:space="preserve"> PAGEREF _Toc242808200 \h </w:instrText>
            </w:r>
            <w:r w:rsidRPr="00D1237F">
              <w:rPr>
                <w:webHidden/>
                <w:color w:val="000000" w:themeColor="text1"/>
              </w:rPr>
            </w:r>
            <w:r w:rsidRPr="00D1237F">
              <w:rPr>
                <w:webHidden/>
                <w:color w:val="000000" w:themeColor="text1"/>
              </w:rPr>
              <w:fldChar w:fldCharType="separate"/>
            </w:r>
            <w:r w:rsidRPr="00D1237F">
              <w:rPr>
                <w:webHidden/>
                <w:color w:val="000000" w:themeColor="text1"/>
              </w:rPr>
              <w:t>8</w:t>
            </w:r>
            <w:r w:rsidRPr="00D1237F">
              <w:rPr>
                <w:webHidden/>
                <w:color w:val="000000" w:themeColor="text1"/>
              </w:rPr>
              <w:fldChar w:fldCharType="end"/>
            </w:r>
          </w:hyperlink>
        </w:p>
        <w:p w14:paraId="4E742490" w14:textId="77777777" w:rsidR="00234667" w:rsidRPr="00D1237F" w:rsidRDefault="00234667" w:rsidP="00CF3092">
          <w:pPr>
            <w:pStyle w:val="TOC2"/>
            <w:rPr>
              <w:color w:val="000000" w:themeColor="text1"/>
            </w:rPr>
          </w:pPr>
          <w:hyperlink w:anchor="_Toc242808201" w:history="1">
            <w:r w:rsidRPr="00D1237F">
              <w:rPr>
                <w:rStyle w:val="Hyperlink"/>
                <w:color w:val="000000" w:themeColor="text1"/>
              </w:rPr>
              <w:t>2.3 Implementation and performance controls</w:t>
            </w:r>
            <w:r w:rsidRPr="00D1237F">
              <w:rPr>
                <w:webHidden/>
                <w:color w:val="000000" w:themeColor="text1"/>
              </w:rPr>
              <w:tab/>
            </w:r>
            <w:r w:rsidRPr="00D1237F">
              <w:rPr>
                <w:webHidden/>
                <w:color w:val="000000" w:themeColor="text1"/>
              </w:rPr>
              <w:fldChar w:fldCharType="begin"/>
            </w:r>
            <w:r w:rsidRPr="00D1237F">
              <w:rPr>
                <w:webHidden/>
                <w:color w:val="000000" w:themeColor="text1"/>
              </w:rPr>
              <w:instrText xml:space="preserve"> PAGEREF _Toc242808201 \h </w:instrText>
            </w:r>
            <w:r w:rsidRPr="00D1237F">
              <w:rPr>
                <w:webHidden/>
                <w:color w:val="000000" w:themeColor="text1"/>
              </w:rPr>
            </w:r>
            <w:r w:rsidRPr="00D1237F">
              <w:rPr>
                <w:webHidden/>
                <w:color w:val="000000" w:themeColor="text1"/>
              </w:rPr>
              <w:fldChar w:fldCharType="separate"/>
            </w:r>
            <w:r w:rsidRPr="00D1237F">
              <w:rPr>
                <w:webHidden/>
                <w:color w:val="000000" w:themeColor="text1"/>
              </w:rPr>
              <w:t>8</w:t>
            </w:r>
            <w:r w:rsidRPr="00D1237F">
              <w:rPr>
                <w:webHidden/>
                <w:color w:val="000000" w:themeColor="text1"/>
              </w:rPr>
              <w:fldChar w:fldCharType="end"/>
            </w:r>
          </w:hyperlink>
        </w:p>
        <w:p w14:paraId="58AB7BDB" w14:textId="77777777" w:rsidR="00234667" w:rsidRPr="00D1237F" w:rsidRDefault="00234667" w:rsidP="00CF3092">
          <w:pPr>
            <w:pStyle w:val="TOC2"/>
            <w:rPr>
              <w:color w:val="000000" w:themeColor="text1"/>
            </w:rPr>
          </w:pPr>
          <w:hyperlink w:anchor="_Toc242808202" w:history="1">
            <w:r w:rsidRPr="00D1237F">
              <w:rPr>
                <w:rStyle w:val="Hyperlink"/>
                <w:color w:val="000000" w:themeColor="text1"/>
              </w:rPr>
              <w:t>2.4 Recommendation</w:t>
            </w:r>
            <w:r w:rsidRPr="00D1237F">
              <w:rPr>
                <w:webHidden/>
                <w:color w:val="000000" w:themeColor="text1"/>
              </w:rPr>
              <w:tab/>
            </w:r>
            <w:r w:rsidRPr="00D1237F">
              <w:rPr>
                <w:webHidden/>
                <w:color w:val="000000" w:themeColor="text1"/>
              </w:rPr>
              <w:fldChar w:fldCharType="begin"/>
            </w:r>
            <w:r w:rsidRPr="00D1237F">
              <w:rPr>
                <w:webHidden/>
                <w:color w:val="000000" w:themeColor="text1"/>
              </w:rPr>
              <w:instrText xml:space="preserve"> PAGEREF _Toc242808202 \h </w:instrText>
            </w:r>
            <w:r w:rsidRPr="00D1237F">
              <w:rPr>
                <w:webHidden/>
                <w:color w:val="000000" w:themeColor="text1"/>
              </w:rPr>
            </w:r>
            <w:r w:rsidRPr="00D1237F">
              <w:rPr>
                <w:webHidden/>
                <w:color w:val="000000" w:themeColor="text1"/>
              </w:rPr>
              <w:fldChar w:fldCharType="separate"/>
            </w:r>
            <w:r w:rsidRPr="00D1237F">
              <w:rPr>
                <w:webHidden/>
                <w:color w:val="000000" w:themeColor="text1"/>
              </w:rPr>
              <w:t>9</w:t>
            </w:r>
            <w:r w:rsidRPr="00D1237F">
              <w:rPr>
                <w:webHidden/>
                <w:color w:val="000000" w:themeColor="text1"/>
              </w:rPr>
              <w:fldChar w:fldCharType="end"/>
            </w:r>
          </w:hyperlink>
        </w:p>
        <w:p w14:paraId="45BB6EB4" w14:textId="77777777" w:rsidR="00234667" w:rsidRPr="00D1237F" w:rsidRDefault="00234667">
          <w:pPr>
            <w:pStyle w:val="TOC1"/>
            <w:tabs>
              <w:tab w:val="right" w:leader="dot" w:pos="9534"/>
            </w:tabs>
            <w:rPr>
              <w:noProof/>
              <w:color w:val="000000" w:themeColor="text1"/>
            </w:rPr>
          </w:pPr>
          <w:hyperlink w:anchor="_Toc242808203" w:history="1">
            <w:r w:rsidRPr="00D1237F">
              <w:rPr>
                <w:rStyle w:val="Hyperlink"/>
                <w:noProof/>
                <w:color w:val="000000" w:themeColor="text1"/>
              </w:rPr>
              <w:t>Task 3: Managerial and Professional Reflection</w:t>
            </w:r>
            <w:r w:rsidRPr="00D1237F">
              <w:rPr>
                <w:noProof/>
                <w:webHidden/>
                <w:color w:val="000000" w:themeColor="text1"/>
              </w:rPr>
              <w:tab/>
            </w:r>
            <w:r w:rsidRPr="00D1237F">
              <w:rPr>
                <w:noProof/>
                <w:webHidden/>
                <w:color w:val="000000" w:themeColor="text1"/>
              </w:rPr>
              <w:fldChar w:fldCharType="begin"/>
            </w:r>
            <w:r w:rsidRPr="00D1237F">
              <w:rPr>
                <w:noProof/>
                <w:webHidden/>
                <w:color w:val="000000" w:themeColor="text1"/>
              </w:rPr>
              <w:instrText xml:space="preserve"> PAGEREF _Toc242808203 \h </w:instrText>
            </w:r>
            <w:r w:rsidRPr="00D1237F">
              <w:rPr>
                <w:noProof/>
                <w:webHidden/>
                <w:color w:val="000000" w:themeColor="text1"/>
              </w:rPr>
            </w:r>
            <w:r w:rsidRPr="00D1237F">
              <w:rPr>
                <w:noProof/>
                <w:webHidden/>
                <w:color w:val="000000" w:themeColor="text1"/>
              </w:rPr>
              <w:fldChar w:fldCharType="separate"/>
            </w:r>
            <w:r w:rsidRPr="00D1237F">
              <w:rPr>
                <w:noProof/>
                <w:webHidden/>
                <w:color w:val="000000" w:themeColor="text1"/>
              </w:rPr>
              <w:t>9</w:t>
            </w:r>
            <w:r w:rsidRPr="00D1237F">
              <w:rPr>
                <w:noProof/>
                <w:webHidden/>
                <w:color w:val="000000" w:themeColor="text1"/>
              </w:rPr>
              <w:fldChar w:fldCharType="end"/>
            </w:r>
          </w:hyperlink>
        </w:p>
        <w:p w14:paraId="4292C9AE" w14:textId="77777777" w:rsidR="00234667" w:rsidRPr="00D1237F" w:rsidRDefault="00234667" w:rsidP="00CF3092">
          <w:pPr>
            <w:pStyle w:val="TOC2"/>
            <w:rPr>
              <w:color w:val="000000" w:themeColor="text1"/>
            </w:rPr>
          </w:pPr>
          <w:hyperlink w:anchor="_Toc242808204" w:history="1">
            <w:r w:rsidRPr="00D1237F">
              <w:rPr>
                <w:rStyle w:val="Hyperlink"/>
                <w:color w:val="000000" w:themeColor="text1"/>
              </w:rPr>
              <w:t>3.1 Rationale for decisions</w:t>
            </w:r>
            <w:r w:rsidRPr="00D1237F">
              <w:rPr>
                <w:webHidden/>
                <w:color w:val="000000" w:themeColor="text1"/>
              </w:rPr>
              <w:tab/>
            </w:r>
            <w:r w:rsidRPr="00D1237F">
              <w:rPr>
                <w:webHidden/>
                <w:color w:val="000000" w:themeColor="text1"/>
              </w:rPr>
              <w:fldChar w:fldCharType="begin"/>
            </w:r>
            <w:r w:rsidRPr="00D1237F">
              <w:rPr>
                <w:webHidden/>
                <w:color w:val="000000" w:themeColor="text1"/>
              </w:rPr>
              <w:instrText xml:space="preserve"> PAGEREF _Toc242808204 \h </w:instrText>
            </w:r>
            <w:r w:rsidRPr="00D1237F">
              <w:rPr>
                <w:webHidden/>
                <w:color w:val="000000" w:themeColor="text1"/>
              </w:rPr>
            </w:r>
            <w:r w:rsidRPr="00D1237F">
              <w:rPr>
                <w:webHidden/>
                <w:color w:val="000000" w:themeColor="text1"/>
              </w:rPr>
              <w:fldChar w:fldCharType="separate"/>
            </w:r>
            <w:r w:rsidRPr="00D1237F">
              <w:rPr>
                <w:webHidden/>
                <w:color w:val="000000" w:themeColor="text1"/>
              </w:rPr>
              <w:t>9</w:t>
            </w:r>
            <w:r w:rsidRPr="00D1237F">
              <w:rPr>
                <w:webHidden/>
                <w:color w:val="000000" w:themeColor="text1"/>
              </w:rPr>
              <w:fldChar w:fldCharType="end"/>
            </w:r>
          </w:hyperlink>
        </w:p>
        <w:p w14:paraId="144FED55" w14:textId="77777777" w:rsidR="00234667" w:rsidRPr="00D1237F" w:rsidRDefault="00234667" w:rsidP="00CF3092">
          <w:pPr>
            <w:pStyle w:val="TOC2"/>
            <w:rPr>
              <w:color w:val="000000" w:themeColor="text1"/>
            </w:rPr>
          </w:pPr>
          <w:hyperlink w:anchor="_Toc242808205" w:history="1">
            <w:r w:rsidRPr="00D1237F">
              <w:rPr>
                <w:rStyle w:val="Hyperlink"/>
                <w:color w:val="000000" w:themeColor="text1"/>
              </w:rPr>
              <w:t>3.2 Limitations and further information required</w:t>
            </w:r>
            <w:r w:rsidRPr="00D1237F">
              <w:rPr>
                <w:webHidden/>
                <w:color w:val="000000" w:themeColor="text1"/>
              </w:rPr>
              <w:tab/>
            </w:r>
            <w:r w:rsidRPr="00D1237F">
              <w:rPr>
                <w:webHidden/>
                <w:color w:val="000000" w:themeColor="text1"/>
              </w:rPr>
              <w:fldChar w:fldCharType="begin"/>
            </w:r>
            <w:r w:rsidRPr="00D1237F">
              <w:rPr>
                <w:webHidden/>
                <w:color w:val="000000" w:themeColor="text1"/>
              </w:rPr>
              <w:instrText xml:space="preserve"> PAGEREF _Toc242808205 \h </w:instrText>
            </w:r>
            <w:r w:rsidRPr="00D1237F">
              <w:rPr>
                <w:webHidden/>
                <w:color w:val="000000" w:themeColor="text1"/>
              </w:rPr>
            </w:r>
            <w:r w:rsidRPr="00D1237F">
              <w:rPr>
                <w:webHidden/>
                <w:color w:val="000000" w:themeColor="text1"/>
              </w:rPr>
              <w:fldChar w:fldCharType="separate"/>
            </w:r>
            <w:r w:rsidRPr="00D1237F">
              <w:rPr>
                <w:webHidden/>
                <w:color w:val="000000" w:themeColor="text1"/>
              </w:rPr>
              <w:t>9</w:t>
            </w:r>
            <w:r w:rsidRPr="00D1237F">
              <w:rPr>
                <w:webHidden/>
                <w:color w:val="000000" w:themeColor="text1"/>
              </w:rPr>
              <w:fldChar w:fldCharType="end"/>
            </w:r>
          </w:hyperlink>
        </w:p>
        <w:p w14:paraId="5950968A" w14:textId="77777777" w:rsidR="00234667" w:rsidRPr="00D1237F" w:rsidRDefault="00234667" w:rsidP="00CF3092">
          <w:pPr>
            <w:pStyle w:val="TOC2"/>
            <w:rPr>
              <w:color w:val="000000" w:themeColor="text1"/>
            </w:rPr>
          </w:pPr>
          <w:hyperlink w:anchor="_Toc242808206" w:history="1">
            <w:r w:rsidRPr="00D1237F">
              <w:rPr>
                <w:rStyle w:val="Hyperlink"/>
                <w:color w:val="000000" w:themeColor="text1"/>
              </w:rPr>
              <w:t>3.3 Final reflection</w:t>
            </w:r>
            <w:r w:rsidRPr="00D1237F">
              <w:rPr>
                <w:webHidden/>
                <w:color w:val="000000" w:themeColor="text1"/>
              </w:rPr>
              <w:tab/>
            </w:r>
            <w:r w:rsidRPr="00D1237F">
              <w:rPr>
                <w:webHidden/>
                <w:color w:val="000000" w:themeColor="text1"/>
              </w:rPr>
              <w:fldChar w:fldCharType="begin"/>
            </w:r>
            <w:r w:rsidRPr="00D1237F">
              <w:rPr>
                <w:webHidden/>
                <w:color w:val="000000" w:themeColor="text1"/>
              </w:rPr>
              <w:instrText xml:space="preserve"> PAGEREF _Toc242808206 \h </w:instrText>
            </w:r>
            <w:r w:rsidRPr="00D1237F">
              <w:rPr>
                <w:webHidden/>
                <w:color w:val="000000" w:themeColor="text1"/>
              </w:rPr>
            </w:r>
            <w:r w:rsidRPr="00D1237F">
              <w:rPr>
                <w:webHidden/>
                <w:color w:val="000000" w:themeColor="text1"/>
              </w:rPr>
              <w:fldChar w:fldCharType="separate"/>
            </w:r>
            <w:r w:rsidRPr="00D1237F">
              <w:rPr>
                <w:webHidden/>
                <w:color w:val="000000" w:themeColor="text1"/>
              </w:rPr>
              <w:t>10</w:t>
            </w:r>
            <w:r w:rsidRPr="00D1237F">
              <w:rPr>
                <w:webHidden/>
                <w:color w:val="000000" w:themeColor="text1"/>
              </w:rPr>
              <w:fldChar w:fldCharType="end"/>
            </w:r>
          </w:hyperlink>
        </w:p>
        <w:p w14:paraId="03AC22F9" w14:textId="77777777" w:rsidR="00234667" w:rsidRPr="00D1237F" w:rsidRDefault="00234667">
          <w:pPr>
            <w:pStyle w:val="TOC1"/>
            <w:tabs>
              <w:tab w:val="right" w:leader="dot" w:pos="9534"/>
            </w:tabs>
            <w:rPr>
              <w:noProof/>
              <w:color w:val="000000" w:themeColor="text1"/>
            </w:rPr>
          </w:pPr>
          <w:hyperlink w:anchor="_Toc242808207" w:history="1">
            <w:r w:rsidRPr="00D1237F">
              <w:rPr>
                <w:rStyle w:val="Hyperlink"/>
                <w:noProof/>
                <w:color w:val="000000" w:themeColor="text1"/>
              </w:rPr>
              <w:t>Reference List</w:t>
            </w:r>
            <w:r w:rsidRPr="00D1237F">
              <w:rPr>
                <w:noProof/>
                <w:webHidden/>
                <w:color w:val="000000" w:themeColor="text1"/>
              </w:rPr>
              <w:tab/>
            </w:r>
            <w:r w:rsidRPr="00D1237F">
              <w:rPr>
                <w:noProof/>
                <w:webHidden/>
                <w:color w:val="000000" w:themeColor="text1"/>
              </w:rPr>
              <w:fldChar w:fldCharType="begin"/>
            </w:r>
            <w:r w:rsidRPr="00D1237F">
              <w:rPr>
                <w:noProof/>
                <w:webHidden/>
                <w:color w:val="000000" w:themeColor="text1"/>
              </w:rPr>
              <w:instrText xml:space="preserve"> PAGEREF _Toc242808207 \h </w:instrText>
            </w:r>
            <w:r w:rsidRPr="00D1237F">
              <w:rPr>
                <w:noProof/>
                <w:webHidden/>
                <w:color w:val="000000" w:themeColor="text1"/>
              </w:rPr>
            </w:r>
            <w:r w:rsidRPr="00D1237F">
              <w:rPr>
                <w:noProof/>
                <w:webHidden/>
                <w:color w:val="000000" w:themeColor="text1"/>
              </w:rPr>
              <w:fldChar w:fldCharType="separate"/>
            </w:r>
            <w:r w:rsidRPr="00D1237F">
              <w:rPr>
                <w:noProof/>
                <w:webHidden/>
                <w:color w:val="000000" w:themeColor="text1"/>
              </w:rPr>
              <w:t>11</w:t>
            </w:r>
            <w:r w:rsidRPr="00D1237F">
              <w:rPr>
                <w:noProof/>
                <w:webHidden/>
                <w:color w:val="000000" w:themeColor="text1"/>
              </w:rPr>
              <w:fldChar w:fldCharType="end"/>
            </w:r>
          </w:hyperlink>
        </w:p>
        <w:p w14:paraId="7DC66114" w14:textId="77777777" w:rsidR="00234667" w:rsidRDefault="00234667">
          <w:r w:rsidRPr="00D1237F">
            <w:rPr>
              <w:noProof/>
              <w:color w:val="000000" w:themeColor="text1"/>
            </w:rPr>
            <w:fldChar w:fldCharType="end"/>
          </w:r>
        </w:p>
      </w:sdtContent>
    </w:sdt>
    <w:p w14:paraId="3E872611" w14:textId="77777777" w:rsidR="004D599B" w:rsidRDefault="004D599B">
      <w:pPr>
        <w:spacing w:after="200"/>
        <w:rPr>
          <w:rFonts w:asciiTheme="majorHAnsi" w:eastAsiaTheme="majorEastAsia" w:hAnsiTheme="majorHAnsi" w:cstheme="majorBidi"/>
          <w:b/>
          <w:bCs/>
          <w:color w:val="1F4E79"/>
          <w:sz w:val="28"/>
          <w:szCs w:val="28"/>
        </w:rPr>
      </w:pPr>
    </w:p>
    <w:p w14:paraId="61CC1FEF" w14:textId="77777777" w:rsidR="00234667" w:rsidRDefault="00234667">
      <w:pPr>
        <w:spacing w:before="0" w:after="200" w:line="276" w:lineRule="auto"/>
        <w:jc w:val="left"/>
        <w:rPr>
          <w:rFonts w:eastAsiaTheme="majorEastAsia" w:cstheme="majorBidi"/>
          <w:b/>
          <w:bCs/>
          <w:sz w:val="28"/>
          <w:szCs w:val="28"/>
        </w:rPr>
      </w:pPr>
      <w:bookmarkStart w:id="0" w:name="_Toc242808192"/>
      <w:r>
        <w:br w:type="page"/>
      </w:r>
    </w:p>
    <w:p w14:paraId="6EF1F1C8" w14:textId="77777777" w:rsidR="00832B3A" w:rsidRDefault="00990C6E">
      <w:pPr>
        <w:pStyle w:val="Heading1"/>
      </w:pPr>
      <w:r>
        <w:t>Task 1: Marketing Environment Analysis</w:t>
      </w:r>
      <w:bookmarkEnd w:id="0"/>
    </w:p>
    <w:p w14:paraId="52D57D51" w14:textId="77777777" w:rsidR="00832B3A" w:rsidRDefault="00990C6E">
      <w:pPr>
        <w:pStyle w:val="Heading2"/>
      </w:pPr>
      <w:bookmarkStart w:id="1" w:name="_Toc242808193"/>
      <w:r>
        <w:t>1.1 Company and analytical focus</w:t>
      </w:r>
      <w:bookmarkEnd w:id="1"/>
    </w:p>
    <w:p w14:paraId="3BB241D2" w14:textId="1F156F9F" w:rsidR="00A14201" w:rsidRPr="00CF3092" w:rsidRDefault="00A14201">
      <w:pPr>
        <w:pStyle w:val="Heading2"/>
        <w:rPr>
          <w:rFonts w:eastAsia="Times New Roman" w:cstheme="minorBidi"/>
          <w:b w:val="0"/>
          <w:bCs w:val="0"/>
          <w:sz w:val="24"/>
          <w:szCs w:val="22"/>
        </w:rPr>
      </w:pPr>
      <w:r w:rsidRPr="00CF3092">
        <w:rPr>
          <w:rFonts w:eastAsia="Times New Roman" w:cstheme="minorBidi"/>
          <w:b w:val="0"/>
          <w:bCs w:val="0"/>
          <w:sz w:val="24"/>
          <w:szCs w:val="22"/>
        </w:rPr>
        <w:t xml:space="preserve">ArcelorMittal is a multinational company working in 60 different countries with crude steel production in 14 nations. According to the statistics of 2024, the revenue of ArcelorMittal reached US$62.4 billion, the production of crude steel is 57.9 million tonnes and the production of iron ore is 42.4 million tonnes (ArcelorMittal, 2025a). In this analysis, the three elements from the PESTLE framework that are taken into consideration are environmental, social, and economic. Government policy is viewed as cross-consideration (Kotler </w:t>
      </w:r>
      <w:r w:rsidR="00E6257C" w:rsidRPr="00CF3092">
        <w:rPr>
          <w:rFonts w:eastAsia="Times New Roman" w:cstheme="minorBidi"/>
          <w:b w:val="0"/>
          <w:bCs w:val="0"/>
          <w:i/>
          <w:iCs/>
          <w:sz w:val="24"/>
          <w:szCs w:val="22"/>
        </w:rPr>
        <w:t>et al</w:t>
      </w:r>
      <w:r w:rsidRPr="00CF3092">
        <w:rPr>
          <w:rFonts w:eastAsia="Times New Roman" w:cstheme="minorBidi"/>
          <w:b w:val="0"/>
          <w:bCs w:val="0"/>
          <w:sz w:val="24"/>
          <w:szCs w:val="22"/>
        </w:rPr>
        <w:t>., 2024).</w:t>
      </w:r>
    </w:p>
    <w:p w14:paraId="1319CAF2" w14:textId="6E1F23EE" w:rsidR="00832B3A" w:rsidRPr="00CF3092" w:rsidRDefault="00990C6E">
      <w:pPr>
        <w:pStyle w:val="Heading2"/>
      </w:pPr>
      <w:r w:rsidRPr="00CF3092">
        <w:t>1.2 Environmental factors: emissions and climate risk</w:t>
      </w:r>
    </w:p>
    <w:p w14:paraId="5F8B6BAC" w14:textId="77777777" w:rsidR="009D1817" w:rsidRDefault="009D1817" w:rsidP="009D1817">
      <w:r>
        <w:t xml:space="preserve">Conventional steelmaking is not easy to decarbonize due to its reliance on coal and high-temperature process conditions. According to IEA (2020), the production of iron and steel has been responsible for approximately 2.6 </w:t>
      </w:r>
      <w:proofErr w:type="spellStart"/>
      <w:r>
        <w:t>gigatonnes</w:t>
      </w:r>
      <w:proofErr w:type="spellEnd"/>
      <w:r>
        <w:t xml:space="preserve"> of CO2 emissions annually, constituting nearly 7% of the total energy-system emissions in 2019. The emissions per tonne of crude steel were 1.92 tonnes of CO2 in 2023, according to the World Steel Association (2024). Thus, carbon performance could affect the access to markets, claims for products and costs of doing business as well as brand reputation. Additionally, climate change creates several physical risks like heat stress, water scarcity, and supply chain disruption (ArcelorMittal, 2023).</w:t>
      </w:r>
    </w:p>
    <w:p w14:paraId="02AE8373" w14:textId="77777777" w:rsidR="009D1817" w:rsidRDefault="009D1817" w:rsidP="009D1817">
      <w:r>
        <w:t xml:space="preserve">The data provided by ArcelorMittal requires careful analysis. Its Annual Report for 2024 indicates the adjusted absolute emissions Scope 1 and 2 of 136.3 million tonnes CO2e in 2018, 98.5 million tonnes in 2023 and 101.9 million tonnes in 2024. While the latter figure was 25% lower than the adjusted baseline for 2018, it increased slightly when compared to the previous year (ArcelorMittal, 2025a). The company's adjusted group intensity for 2024 was 1.75 tonnes CO2e per tonne of steel. In comparison, the World Steel Association's global 2023 indicator of carbon intensity was 1.92 tonnes CO2 per tonne of crude steel (ArcelorMittal, 2025a; World Steel Association, 2025). Those indicators refer to different boundaries, which makes comparison impossible. The year-on-year increase needs explaining </w:t>
      </w:r>
      <w:r w:rsidRPr="009D1817">
        <w:t>rather than omission.</w:t>
      </w:r>
    </w:p>
    <w:p w14:paraId="7BF57DB5" w14:textId="77777777" w:rsidR="00832B3A" w:rsidRDefault="00990C6E">
      <w:pPr>
        <w:jc w:val="center"/>
      </w:pPr>
      <w:r>
        <w:rPr>
          <w:noProof/>
        </w:rPr>
        <w:drawing>
          <wp:inline distT="0" distB="0" distL="0" distR="0" wp14:anchorId="4739B8CD" wp14:editId="0C736F2F">
            <wp:extent cx="5440680" cy="25982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rcelormittal_emissions_chart.png"/>
                    <pic:cNvPicPr/>
                  </pic:nvPicPr>
                  <pic:blipFill>
                    <a:blip r:embed="rId9"/>
                    <a:stretch>
                      <a:fillRect/>
                    </a:stretch>
                  </pic:blipFill>
                  <pic:spPr>
                    <a:xfrm>
                      <a:off x="0" y="0"/>
                      <a:ext cx="5440680" cy="2598230"/>
                    </a:xfrm>
                    <a:prstGeom prst="rect">
                      <a:avLst/>
                    </a:prstGeom>
                  </pic:spPr>
                </pic:pic>
              </a:graphicData>
            </a:graphic>
          </wp:inline>
        </w:drawing>
      </w:r>
    </w:p>
    <w:p w14:paraId="13E48C09" w14:textId="77777777" w:rsidR="004D599B" w:rsidRPr="004D599B" w:rsidRDefault="004D599B" w:rsidP="004D599B">
      <w:pPr>
        <w:jc w:val="center"/>
        <w:rPr>
          <w:szCs w:val="24"/>
        </w:rPr>
      </w:pPr>
      <w:r w:rsidRPr="004D599B">
        <w:rPr>
          <w:b/>
          <w:bCs/>
          <w:szCs w:val="24"/>
        </w:rPr>
        <w:t>Figure 1</w:t>
      </w:r>
      <w:r>
        <w:rPr>
          <w:b/>
          <w:bCs/>
          <w:szCs w:val="24"/>
        </w:rPr>
        <w:t>:</w:t>
      </w:r>
      <w:r w:rsidRPr="004D599B">
        <w:rPr>
          <w:szCs w:val="24"/>
        </w:rPr>
        <w:t xml:space="preserve"> ArcelorMittal adjusted absolute Scope 1 and 2 emissions, 2018–2024 (Mt CO₂e).</w:t>
      </w:r>
    </w:p>
    <w:p w14:paraId="41DCE274" w14:textId="77777777" w:rsidR="004D599B" w:rsidRDefault="00990C6E" w:rsidP="004D599B">
      <w:pPr>
        <w:jc w:val="center"/>
        <w:rPr>
          <w:szCs w:val="24"/>
        </w:rPr>
      </w:pPr>
      <w:r w:rsidRPr="004D599B">
        <w:rPr>
          <w:szCs w:val="24"/>
        </w:rPr>
        <w:t xml:space="preserve">Source: ArcelorMittal (2025a, p. 40). </w:t>
      </w:r>
    </w:p>
    <w:p w14:paraId="51E843EC" w14:textId="77777777" w:rsidR="009D1817" w:rsidRDefault="009D1817" w:rsidP="009D1817">
      <w:r>
        <w:t xml:space="preserve">The response involves increased EAF production and </w:t>
      </w:r>
      <w:proofErr w:type="spellStart"/>
      <w:r>
        <w:t>XCarb</w:t>
      </w:r>
      <w:proofErr w:type="spellEnd"/>
      <w:r>
        <w:t xml:space="preserve">. According to ArcelorMittal, EAF production accounted for about one quarter of total global production in 2024 compared to 19% in 2018, along with US$1 billion investment in </w:t>
      </w:r>
      <w:proofErr w:type="spellStart"/>
      <w:r>
        <w:t>decarbonisation</w:t>
      </w:r>
      <w:proofErr w:type="spellEnd"/>
      <w:r>
        <w:t xml:space="preserve"> projects (ArcelorMittal, 2025b). </w:t>
      </w:r>
      <w:proofErr w:type="spellStart"/>
      <w:r>
        <w:t>XCarb</w:t>
      </w:r>
      <w:proofErr w:type="spellEnd"/>
      <w:r>
        <w:t xml:space="preserve"> recycled and renewably produced steel utilizes scrap in the EAF and renewable electricity. In some of its building products launched in 2024, ArcelorMittal claims that the products have up to 70% lower footprint compared to traditional production, based on the product type and comparison (ArcelorMittal Building Solutions, 2024). This could provide differentiation, but it does not mean that EAF steel is necessarily zero carbon as it depends on the electricity used, scrap share and the emissions boundary. Product-specific declarations and independent verification can help to reduce the risk of greenwashing (ResponsibleSteel, 2024).</w:t>
      </w:r>
    </w:p>
    <w:p w14:paraId="6E960323" w14:textId="7173AD93" w:rsidR="00A14201" w:rsidRPr="00CF3092" w:rsidRDefault="00A14201" w:rsidP="00A14201">
      <w:r w:rsidRPr="00CF3092">
        <w:t xml:space="preserve">Environmental gains do not necessarily command a premium in pricing. Iron production without carbon would need to use new machinery, green power, and possibly green hydrogen. Fan and Friedmann (2021) note that there is no one-size-fits-all technology for low-cost decarbonization. The IEA (2025a) predicts that hydrogen DRI EAF will cost 50% - 140% compared to traditional blast furnaces, while ArcelorMittal warns that some forms of iron making transformation may not be economically feasible until 2030 without incentives (ArcelorMittal, 2025b). Promotional statements should be product-related, quantifiable, and verifiable. Decrease in carbon intensity should be separated from decrease in absolute amount of carbon emissions, as the rise in production volume could compensate for the former. ArcelorMittal should report both figures, provide information on boundaries and study the year-to-year dynamics (Wang </w:t>
      </w:r>
      <w:r w:rsidR="00E6257C" w:rsidRPr="00CF3092">
        <w:rPr>
          <w:i/>
          <w:iCs/>
        </w:rPr>
        <w:t>et al</w:t>
      </w:r>
      <w:r w:rsidRPr="00CF3092">
        <w:t>., 2021).</w:t>
      </w:r>
    </w:p>
    <w:p w14:paraId="69B5AE4C" w14:textId="668DF251" w:rsidR="00832B3A" w:rsidRPr="00CF3092" w:rsidRDefault="00990C6E">
      <w:pPr>
        <w:pStyle w:val="Heading2"/>
      </w:pPr>
      <w:r w:rsidRPr="00CF3092">
        <w:t>1.3 Social factors: customer expectations and demand</w:t>
      </w:r>
    </w:p>
    <w:p w14:paraId="7CF1FFC8" w14:textId="77777777" w:rsidR="00CB39FA" w:rsidRPr="00CF3092" w:rsidRDefault="00CB39FA" w:rsidP="00CB39FA">
      <w:r w:rsidRPr="00CF3092">
        <w:t>Social norms of responsible production become increasingly important in B2B purchases. Automotive, construction, engineering and machinery buyers impact the choice of steel specifications and procurement, and using low-carbon steel could help to cut the supply chain emissions (ArcelorMittal, 2025a; ArcelorMittal Building Solutions, 2024). The prospects are particularly promising if the buyer's requirements include a small proportion of steel in product costs or carbon targets; the IEA (2024a) pointed out that steel is a relatively small share in vehicle costs.</w:t>
      </w:r>
    </w:p>
    <w:p w14:paraId="4127BC33" w14:textId="7B5E0718" w:rsidR="00CB39FA" w:rsidRPr="00CF3092" w:rsidRDefault="00CB39FA" w:rsidP="00CB39FA">
      <w:r w:rsidRPr="00CF3092">
        <w:t>Buyers' commitments express an interest, but do not guarantee sales. At the beginning of 2024, the First Movers Coalition included 96 members and over 120 purchase commitments in hard-to-abate industries, amounting to the US$16 billion demand signal annually until 2030; near-zero-steel commitments showed potential demand of 2.3 million tonnes (World Economic Forum, 2024). Nevertheless, the IEA (2024a) indicated that disclosed near-zero-steel offtake was still below 2 million tonnes annually in 2030, and new commitments did not receive the corresponding supply. Orders would be dependent on price, volume, quality and emissions. ArcelorMittal needs multi-year contracts and carbon information for each product; approval from engineering, procurement and sustainability departments may extend the sales cycle.</w:t>
      </w:r>
    </w:p>
    <w:p w14:paraId="53ECE613" w14:textId="7954B16E" w:rsidR="00832B3A" w:rsidRDefault="009D1817" w:rsidP="009D1817">
      <w:pPr>
        <w:keepLines/>
      </w:pPr>
      <w:r>
        <w:t>The company needs to offer comparable technical data and life cycle information for each product, but not make claims that cannot be checked by the customer. This approach can reduce buyer uncertainty and improve repeat purchasing.</w:t>
      </w:r>
    </w:p>
    <w:p w14:paraId="42433847" w14:textId="77777777" w:rsidR="008C642D" w:rsidRPr="00CF3092" w:rsidRDefault="00990C6E">
      <w:pPr>
        <w:pStyle w:val="Heading2"/>
      </w:pPr>
      <w:r w:rsidRPr="00CF3092">
        <w:t>1.4 Economic factors: scrap, electricity and hydrogen</w:t>
      </w:r>
    </w:p>
    <w:p w14:paraId="677BA16C" w14:textId="387EBFF4" w:rsidR="00CB39FA" w:rsidRPr="00CF3092" w:rsidRDefault="00CB39FA" w:rsidP="00CB39FA">
      <w:r w:rsidRPr="00CF3092">
        <w:t xml:space="preserve">In terms of the supply chain, scrap is an important material used to make EAF steel, but high-grade scrap is limited. Raabe </w:t>
      </w:r>
      <w:r w:rsidR="00E6257C" w:rsidRPr="00CF3092">
        <w:rPr>
          <w:i/>
          <w:iCs/>
        </w:rPr>
        <w:t>et al</w:t>
      </w:r>
      <w:r w:rsidRPr="00CF3092">
        <w:t>. (2024) note that current scrap can meet only about one-third of global steel demand due to the long lifetime of buildings, vehicles, and infrastructure. The contamination can decrease the usage of scrap in high-quality flat steel. Sorting, tracking and primary iron production are required.</w:t>
      </w:r>
    </w:p>
    <w:p w14:paraId="3A5C852B" w14:textId="0CECAC5D" w:rsidR="00CB39FA" w:rsidRPr="00CF3092" w:rsidRDefault="00CB39FA" w:rsidP="00CB39FA">
      <w:r w:rsidRPr="00CF3092">
        <w:t>Renewable energy and low-carbon hydrogen have an impact on cost and scalability as well. The global demand for hydrogen in 2023 was 97 million tonnes, whereas low-carbon hydrogen was produced in no more than one million tonnes (IEA, 2024b). Each region requires renewable energy, iron ore, production capacity and transportation infrastructure to make green steel at reasonable prices (Devlin &amp; Yang, 2022). ArcelorMittal is supposed to use long-term contracts, cooperation with suppliers and staged investments in order not to be influenced by price fluctuations and assess labour, human rights and biodiversity issues along with carbon emission reductions (ResponsibleSteel, 2024).</w:t>
      </w:r>
    </w:p>
    <w:p w14:paraId="6411D1AB" w14:textId="77777777" w:rsidR="00832B3A" w:rsidRPr="00CF3092" w:rsidRDefault="00990C6E">
      <w:pPr>
        <w:pStyle w:val="Heading2"/>
      </w:pPr>
      <w:r w:rsidRPr="00CF3092">
        <w:t>1.5 Synthesis of the three PESTLE factors</w:t>
      </w:r>
    </w:p>
    <w:p w14:paraId="7ED395C8" w14:textId="64AB95B4" w:rsidR="00CB39FA" w:rsidRPr="00CF3092" w:rsidRDefault="00CB39FA" w:rsidP="00CB39FA">
      <w:r w:rsidRPr="00CF3092">
        <w:t>The three PESTLE factors are interrelated; environmental pressure will result in decarbonization, social expectations and customer commitments drive demand, and economic considerations impact on affordability, input availability and scalability. EU Carbon Border Adjustment Mechanism will have reporting and cost issues for covered imports, whereas European Steel and Metals Action Plan 2025 emphasizes on renewable energy, circularity, and lead markets (European Parliament and Council, 2023; European Commission, 2025a). Global overcapacity of steel in 2023 was estimated to be 551 million tons by OECD, which is likely to increase and raise competitive pressures (OECD, 2024; OECD, 2025). Opportunity for ArcelorMittal is to translate its performance in terms of carbon emissions and secured supply into customer value.</w:t>
      </w:r>
    </w:p>
    <w:p w14:paraId="594B9BEE" w14:textId="77777777" w:rsidR="00832B3A" w:rsidRPr="00CF3092" w:rsidRDefault="00990C6E" w:rsidP="004D599B">
      <w:pPr>
        <w:jc w:val="center"/>
      </w:pPr>
      <w:r w:rsidRPr="00CF3092">
        <w:t>Table 1: PESTLE analysis: opportunities, threats and marketing response.</w:t>
      </w:r>
    </w:p>
    <w:tbl>
      <w:tblPr>
        <w:tblStyle w:val="TableGrid"/>
        <w:tblW w:w="0" w:type="auto"/>
        <w:jc w:val="center"/>
        <w:tblLook w:val="04A0" w:firstRow="1" w:lastRow="0" w:firstColumn="1" w:lastColumn="0" w:noHBand="0" w:noVBand="1"/>
      </w:tblPr>
      <w:tblGrid>
        <w:gridCol w:w="3244"/>
        <w:gridCol w:w="3240"/>
        <w:gridCol w:w="3240"/>
      </w:tblGrid>
      <w:tr w:rsidR="00CF3092" w:rsidRPr="00CF3092" w14:paraId="578FD6CB" w14:textId="77777777" w:rsidTr="004D599B">
        <w:trPr>
          <w:cantSplit/>
          <w:tblHeader/>
          <w:jc w:val="center"/>
        </w:trPr>
        <w:tc>
          <w:tcPr>
            <w:tcW w:w="3293" w:type="dxa"/>
            <w:tcMar>
              <w:top w:w="80" w:type="dxa"/>
              <w:left w:w="90" w:type="dxa"/>
              <w:bottom w:w="80" w:type="dxa"/>
              <w:right w:w="90" w:type="dxa"/>
            </w:tcMar>
          </w:tcPr>
          <w:p w14:paraId="44A9E608" w14:textId="77777777" w:rsidR="00832B3A" w:rsidRPr="00CF3092" w:rsidRDefault="00990C6E" w:rsidP="003D64CC">
            <w:pPr>
              <w:spacing w:before="20" w:after="30"/>
              <w:jc w:val="center"/>
              <w:rPr>
                <w:b/>
                <w:bCs/>
                <w:szCs w:val="24"/>
              </w:rPr>
            </w:pPr>
            <w:r w:rsidRPr="00CF3092">
              <w:rPr>
                <w:b/>
                <w:bCs/>
              </w:rPr>
              <w:t>PESTLE factor</w:t>
            </w:r>
          </w:p>
        </w:tc>
        <w:tc>
          <w:tcPr>
            <w:tcW w:w="3293" w:type="dxa"/>
            <w:tcMar>
              <w:top w:w="80" w:type="dxa"/>
              <w:left w:w="90" w:type="dxa"/>
              <w:bottom w:w="80" w:type="dxa"/>
              <w:right w:w="90" w:type="dxa"/>
            </w:tcMar>
          </w:tcPr>
          <w:p w14:paraId="44EAA250" w14:textId="77777777" w:rsidR="00832B3A" w:rsidRPr="00CF3092" w:rsidRDefault="00990C6E" w:rsidP="003D64CC">
            <w:pPr>
              <w:spacing w:before="20" w:after="30"/>
              <w:jc w:val="center"/>
              <w:rPr>
                <w:szCs w:val="24"/>
              </w:rPr>
            </w:pPr>
            <w:r w:rsidRPr="00CF3092">
              <w:rPr>
                <w:b/>
                <w:szCs w:val="24"/>
              </w:rPr>
              <w:t>Opportunity and threat</w:t>
            </w:r>
          </w:p>
        </w:tc>
        <w:tc>
          <w:tcPr>
            <w:tcW w:w="3293" w:type="dxa"/>
            <w:tcMar>
              <w:top w:w="80" w:type="dxa"/>
              <w:left w:w="90" w:type="dxa"/>
              <w:bottom w:w="80" w:type="dxa"/>
              <w:right w:w="90" w:type="dxa"/>
            </w:tcMar>
          </w:tcPr>
          <w:p w14:paraId="7861B5FE" w14:textId="77777777" w:rsidR="00832B3A" w:rsidRPr="00CF3092" w:rsidRDefault="00990C6E" w:rsidP="003D64CC">
            <w:pPr>
              <w:spacing w:before="20" w:after="30"/>
              <w:jc w:val="center"/>
              <w:rPr>
                <w:szCs w:val="24"/>
              </w:rPr>
            </w:pPr>
            <w:r w:rsidRPr="00CF3092">
              <w:rPr>
                <w:b/>
                <w:szCs w:val="24"/>
              </w:rPr>
              <w:t>Marketing response</w:t>
            </w:r>
          </w:p>
        </w:tc>
      </w:tr>
      <w:tr w:rsidR="00CF3092" w:rsidRPr="00CF3092" w14:paraId="337AC4E8" w14:textId="77777777" w:rsidTr="004D599B">
        <w:trPr>
          <w:cantSplit/>
          <w:jc w:val="center"/>
        </w:trPr>
        <w:tc>
          <w:tcPr>
            <w:tcW w:w="3293" w:type="dxa"/>
            <w:tcMar>
              <w:top w:w="80" w:type="dxa"/>
              <w:left w:w="90" w:type="dxa"/>
              <w:bottom w:w="80" w:type="dxa"/>
              <w:right w:w="90" w:type="dxa"/>
            </w:tcMar>
          </w:tcPr>
          <w:p w14:paraId="44301DF6" w14:textId="77777777" w:rsidR="00832B3A" w:rsidRPr="00CF3092" w:rsidRDefault="00990C6E" w:rsidP="003D64CC">
            <w:pPr>
              <w:spacing w:before="20" w:after="30"/>
              <w:jc w:val="center"/>
              <w:rPr>
                <w:szCs w:val="24"/>
              </w:rPr>
            </w:pPr>
            <w:r w:rsidRPr="00CF3092">
              <w:t>Environmental factors</w:t>
            </w:r>
          </w:p>
        </w:tc>
        <w:tc>
          <w:tcPr>
            <w:tcW w:w="3293" w:type="dxa"/>
            <w:tcMar>
              <w:top w:w="80" w:type="dxa"/>
              <w:left w:w="90" w:type="dxa"/>
              <w:bottom w:w="80" w:type="dxa"/>
              <w:right w:w="90" w:type="dxa"/>
            </w:tcMar>
          </w:tcPr>
          <w:p w14:paraId="04FA35A5" w14:textId="77777777" w:rsidR="00832B3A" w:rsidRPr="00CF3092" w:rsidRDefault="00990C6E" w:rsidP="003D64CC">
            <w:pPr>
              <w:spacing w:before="20" w:after="30"/>
              <w:jc w:val="center"/>
              <w:rPr>
                <w:szCs w:val="24"/>
              </w:rPr>
            </w:pPr>
            <w:r w:rsidRPr="00CF3092">
              <w:t>Demand for lower-emission steel creates opportunity; carbon-intensive production and physical climate risks threaten performance.</w:t>
            </w:r>
          </w:p>
        </w:tc>
        <w:tc>
          <w:tcPr>
            <w:tcW w:w="3293" w:type="dxa"/>
            <w:tcMar>
              <w:top w:w="80" w:type="dxa"/>
              <w:left w:w="90" w:type="dxa"/>
              <w:bottom w:w="80" w:type="dxa"/>
              <w:right w:w="90" w:type="dxa"/>
            </w:tcMar>
          </w:tcPr>
          <w:p w14:paraId="0DE8B52A" w14:textId="77777777" w:rsidR="00832B3A" w:rsidRPr="00CF3092" w:rsidRDefault="00990C6E" w:rsidP="003D64CC">
            <w:pPr>
              <w:spacing w:before="20" w:after="30"/>
              <w:jc w:val="center"/>
              <w:rPr>
                <w:szCs w:val="24"/>
              </w:rPr>
            </w:pPr>
            <w:r w:rsidRPr="00CF3092">
              <w:t>Verify product emissions, explain boundaries and invest in lower-carbon routes where commercially viable.</w:t>
            </w:r>
          </w:p>
        </w:tc>
      </w:tr>
      <w:tr w:rsidR="00CF3092" w:rsidRPr="00CF3092" w14:paraId="498987A5" w14:textId="77777777" w:rsidTr="004D599B">
        <w:trPr>
          <w:cantSplit/>
          <w:jc w:val="center"/>
        </w:trPr>
        <w:tc>
          <w:tcPr>
            <w:tcW w:w="3293" w:type="dxa"/>
            <w:tcMar>
              <w:top w:w="80" w:type="dxa"/>
              <w:left w:w="90" w:type="dxa"/>
              <w:bottom w:w="80" w:type="dxa"/>
              <w:right w:w="90" w:type="dxa"/>
            </w:tcMar>
          </w:tcPr>
          <w:p w14:paraId="07E0B80D" w14:textId="77777777" w:rsidR="00832B3A" w:rsidRPr="00CF3092" w:rsidRDefault="00990C6E" w:rsidP="003D64CC">
            <w:pPr>
              <w:spacing w:before="20" w:after="30"/>
              <w:jc w:val="center"/>
              <w:rPr>
                <w:szCs w:val="24"/>
              </w:rPr>
            </w:pPr>
            <w:r w:rsidRPr="00CF3092">
              <w:t>Social factors</w:t>
            </w:r>
          </w:p>
        </w:tc>
        <w:tc>
          <w:tcPr>
            <w:tcW w:w="3293" w:type="dxa"/>
            <w:tcMar>
              <w:top w:w="80" w:type="dxa"/>
              <w:left w:w="90" w:type="dxa"/>
              <w:bottom w:w="80" w:type="dxa"/>
              <w:right w:w="90" w:type="dxa"/>
            </w:tcMar>
          </w:tcPr>
          <w:p w14:paraId="53016DF0" w14:textId="77777777" w:rsidR="00832B3A" w:rsidRPr="00CF3092" w:rsidRDefault="00990C6E" w:rsidP="003D64CC">
            <w:pPr>
              <w:spacing w:before="20" w:after="30"/>
              <w:jc w:val="center"/>
              <w:rPr>
                <w:szCs w:val="24"/>
              </w:rPr>
            </w:pPr>
            <w:r w:rsidRPr="00CF3092">
              <w:t>Buyer interest and sustainability expectations create an opportunity, but price sensitivity and unconfirmed commitments may limit paid demand.</w:t>
            </w:r>
          </w:p>
        </w:tc>
        <w:tc>
          <w:tcPr>
            <w:tcW w:w="3293" w:type="dxa"/>
            <w:tcMar>
              <w:top w:w="80" w:type="dxa"/>
              <w:left w:w="90" w:type="dxa"/>
              <w:bottom w:w="80" w:type="dxa"/>
              <w:right w:w="90" w:type="dxa"/>
            </w:tcMar>
          </w:tcPr>
          <w:p w14:paraId="78E37842" w14:textId="77777777" w:rsidR="00832B3A" w:rsidRPr="00CF3092" w:rsidRDefault="00990C6E" w:rsidP="003D64CC">
            <w:pPr>
              <w:spacing w:before="20" w:after="30"/>
              <w:jc w:val="center"/>
              <w:rPr>
                <w:szCs w:val="24"/>
              </w:rPr>
            </w:pPr>
            <w:proofErr w:type="spellStart"/>
            <w:r w:rsidRPr="00CF3092">
              <w:t>Prioritise</w:t>
            </w:r>
            <w:proofErr w:type="spellEnd"/>
            <w:r w:rsidRPr="00CF3092">
              <w:t xml:space="preserve"> buyers with clear climate targets, provide comparable product-emissions data and seek multi-year offtake agreements.</w:t>
            </w:r>
          </w:p>
        </w:tc>
      </w:tr>
      <w:tr w:rsidR="00CF3092" w:rsidRPr="00CF3092" w14:paraId="5D69E9B5" w14:textId="77777777" w:rsidTr="004D599B">
        <w:trPr>
          <w:cantSplit/>
          <w:jc w:val="center"/>
        </w:trPr>
        <w:tc>
          <w:tcPr>
            <w:tcW w:w="3293" w:type="dxa"/>
            <w:tcMar>
              <w:top w:w="80" w:type="dxa"/>
              <w:left w:w="90" w:type="dxa"/>
              <w:bottom w:w="80" w:type="dxa"/>
              <w:right w:w="90" w:type="dxa"/>
            </w:tcMar>
          </w:tcPr>
          <w:p w14:paraId="3C258E99" w14:textId="77777777" w:rsidR="00832B3A" w:rsidRPr="00CF3092" w:rsidRDefault="00990C6E" w:rsidP="003D64CC">
            <w:pPr>
              <w:spacing w:before="20" w:after="30"/>
              <w:jc w:val="center"/>
              <w:rPr>
                <w:szCs w:val="24"/>
              </w:rPr>
            </w:pPr>
            <w:r w:rsidRPr="00CF3092">
              <w:t>Economic factors</w:t>
            </w:r>
          </w:p>
        </w:tc>
        <w:tc>
          <w:tcPr>
            <w:tcW w:w="3293" w:type="dxa"/>
            <w:tcMar>
              <w:top w:w="80" w:type="dxa"/>
              <w:left w:w="90" w:type="dxa"/>
              <w:bottom w:w="80" w:type="dxa"/>
              <w:right w:w="90" w:type="dxa"/>
            </w:tcMar>
          </w:tcPr>
          <w:p w14:paraId="07DC4C44" w14:textId="77777777" w:rsidR="00832B3A" w:rsidRPr="00CF3092" w:rsidRDefault="00990C6E" w:rsidP="003D64CC">
            <w:pPr>
              <w:spacing w:before="20" w:after="30"/>
              <w:jc w:val="center"/>
              <w:rPr>
                <w:szCs w:val="24"/>
              </w:rPr>
            </w:pPr>
            <w:r w:rsidRPr="00CF3092">
              <w:t>Quality scrap, renewable electricity and low-emission hydrogen can be scarce or volatile in price, raising costs and delaying scale-up.</w:t>
            </w:r>
          </w:p>
        </w:tc>
        <w:tc>
          <w:tcPr>
            <w:tcW w:w="3293" w:type="dxa"/>
            <w:tcMar>
              <w:top w:w="80" w:type="dxa"/>
              <w:left w:w="90" w:type="dxa"/>
              <w:bottom w:w="80" w:type="dxa"/>
              <w:right w:w="90" w:type="dxa"/>
            </w:tcMar>
          </w:tcPr>
          <w:p w14:paraId="29668786" w14:textId="77777777" w:rsidR="00832B3A" w:rsidRPr="00CF3092" w:rsidRDefault="00990C6E" w:rsidP="003D64CC">
            <w:pPr>
              <w:spacing w:before="20" w:after="30"/>
              <w:jc w:val="center"/>
              <w:rPr>
                <w:szCs w:val="24"/>
              </w:rPr>
            </w:pPr>
            <w:r w:rsidRPr="00CF3092">
              <w:t>Build supplier partnerships, secure long-term renewable-power contracts and strengthen input-quality and traceability controls.</w:t>
            </w:r>
          </w:p>
        </w:tc>
      </w:tr>
    </w:tbl>
    <w:p w14:paraId="4337B047" w14:textId="77777777" w:rsidR="00832B3A" w:rsidRPr="00CF3092" w:rsidRDefault="00990C6E">
      <w:pPr>
        <w:pStyle w:val="Heading1"/>
      </w:pPr>
      <w:r w:rsidRPr="00CF3092">
        <w:t>Task 2: Growth Strategy and Competitive Advantage</w:t>
      </w:r>
    </w:p>
    <w:p w14:paraId="4A72605F" w14:textId="77777777" w:rsidR="00832B3A" w:rsidRPr="00CF3092" w:rsidRDefault="00990C6E">
      <w:pPr>
        <w:pStyle w:val="Heading2"/>
      </w:pPr>
      <w:r w:rsidRPr="00CF3092">
        <w:t>2.1 Ansoff Matrix: recommended growth direction</w:t>
      </w:r>
    </w:p>
    <w:p w14:paraId="20E7E86B" w14:textId="4155B95B" w:rsidR="00832B3A" w:rsidRDefault="009D1817">
      <w:r w:rsidRPr="00CF3092">
        <w:t xml:space="preserve">Ansoff Matrix is used to compare growth strategies based on existing products and markets or new ones. The preferred choice would be product development where </w:t>
      </w:r>
      <w:r w:rsidRPr="009D1817">
        <w:t xml:space="preserve">there will be improvement in low-carbon steel in existing markets. Market development can see further expansion of grades in other markets and to other customers and applications. It is less risky than diversification since it is based on the already acquired knowledge of production of steel and sales relations, </w:t>
      </w:r>
      <w:proofErr w:type="spellStart"/>
      <w:r w:rsidRPr="009D1817">
        <w:t>XCarb</w:t>
      </w:r>
      <w:proofErr w:type="spellEnd"/>
      <w:r w:rsidRPr="009D1817">
        <w:t xml:space="preserve"> expertise (</w:t>
      </w:r>
      <w:proofErr w:type="spellStart"/>
      <w:r w:rsidRPr="009D1817">
        <w:t>Kotler</w:t>
      </w:r>
      <w:proofErr w:type="spellEnd"/>
      <w:r w:rsidRPr="009D1817">
        <w:t xml:space="preserve"> </w:t>
      </w:r>
      <w:r w:rsidR="00E6257C" w:rsidRPr="00E6257C">
        <w:rPr>
          <w:i/>
          <w:iCs/>
        </w:rPr>
        <w:t>et al</w:t>
      </w:r>
      <w:r w:rsidRPr="009D1817">
        <w:t>., 2024; ArcelorMittal, 2025a). From the perspective of risk, market penetration is based on familiar products and buyers, while product development has technological and financial risks. Market development has customer qualification and regional risks, while diversification involves unfamiliar products and markets.</w:t>
      </w:r>
      <w:r>
        <w:t xml:space="preserve"> Product development is still the strongest choice, but investment should be staged against customer validation and supply readiness.</w:t>
      </w:r>
    </w:p>
    <w:p w14:paraId="7BCC046B" w14:textId="77777777" w:rsidR="00C70DEB" w:rsidRDefault="00C70DEB" w:rsidP="00C70DEB">
      <w:pPr>
        <w:jc w:val="center"/>
      </w:pPr>
      <w:r>
        <w:rPr>
          <w:noProof/>
        </w:rPr>
        <w:drawing>
          <wp:inline distT="0" distB="0" distL="0" distR="0" wp14:anchorId="500CB9E9" wp14:editId="7E798875">
            <wp:extent cx="5474970" cy="3649980"/>
            <wp:effectExtent l="0" t="0" r="0" b="7620"/>
            <wp:docPr id="11020472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74970" cy="3649980"/>
                    </a:xfrm>
                    <a:prstGeom prst="rect">
                      <a:avLst/>
                    </a:prstGeom>
                    <a:noFill/>
                  </pic:spPr>
                </pic:pic>
              </a:graphicData>
            </a:graphic>
          </wp:inline>
        </w:drawing>
      </w:r>
    </w:p>
    <w:p w14:paraId="5CD27BE0" w14:textId="77777777" w:rsidR="00832B3A" w:rsidRDefault="00990C6E" w:rsidP="00C70DEB">
      <w:pPr>
        <w:jc w:val="center"/>
      </w:pPr>
      <w:r w:rsidRPr="00C70DEB">
        <w:rPr>
          <w:b/>
          <w:bCs/>
        </w:rPr>
        <w:t>Figure 2</w:t>
      </w:r>
      <w:r w:rsidR="00C70DEB" w:rsidRPr="00C70DEB">
        <w:rPr>
          <w:b/>
          <w:bCs/>
        </w:rPr>
        <w:t>:</w:t>
      </w:r>
      <w:r>
        <w:t xml:space="preserve"> Ansoff Matrix applied to ArcelorMittal.</w:t>
      </w:r>
    </w:p>
    <w:p w14:paraId="11E715B9" w14:textId="77777777" w:rsidR="00C70DEB" w:rsidRPr="00C70DEB" w:rsidRDefault="00C70DEB" w:rsidP="00C70DEB">
      <w:pPr>
        <w:jc w:val="center"/>
      </w:pPr>
      <w:r>
        <w:t>(Source: Self-Developed)</w:t>
      </w:r>
    </w:p>
    <w:p w14:paraId="69390969" w14:textId="77777777" w:rsidR="009D1817" w:rsidRDefault="009D1817" w:rsidP="009D1817">
      <w:r>
        <w:t>The development of products is supposed to create a portfolio, not a general 'green steel' offering. In this way, ArcelorMittal can extend the product portfolio, publish emissions factors for each individual product as well as provide Environmental Product Declarations, where applicable. Steel produced using high levels of scrap and renewables-based electricity should be separated from certificates issued in relation to carbon abatement on blast-furnace routes. These products are different in nature and should not be marketed as such due to different production routes and accounting (ArcelorMittal, 2023; ResponsibleSteel, 2024).</w:t>
      </w:r>
    </w:p>
    <w:p w14:paraId="4C2AEB9E" w14:textId="77777777" w:rsidR="009D1817" w:rsidRDefault="009D1817" w:rsidP="009D1817">
      <w:r>
        <w:t>Market development should focus on purchasers that are capable of recognizing the verified low-carbon content of the product: automotive supply chain, renewable energy infrastructure, construction. According to the IEA (2024a), procurement, definition standards and demand aggregation can facilitate early adoption of near-zero steel. ArcelorMittal needs to choose its priorities among those segments, understand their product standards and reporting requirements and offer technical support. Potential customers should be approached first since the process of qualifying them might be simpler. Coalition commitments prove an interest, but a lack of actual offtake agreements means that interest needs to be translated into commitments (World Economic Forum, 2024; IEA, 2025a).</w:t>
      </w:r>
    </w:p>
    <w:p w14:paraId="259DEA83" w14:textId="77777777" w:rsidR="009D1817" w:rsidRPr="009D1817" w:rsidRDefault="009D1817" w:rsidP="009D1817">
      <w:r w:rsidRPr="009D1817">
        <w:t>Market penetration is one of the supporting tactics: increase sales of existing low-carbon products to existing customers via account planning, transparency of carbon information, and long-term contracts. Market diversification to other unrelated sectors is not a priority tactic since it brings risk at a time when the transition process requires significant capital expenditure, energy, and technology investment. The following table lists product development as the most advantageous tactic followed by market development.</w:t>
      </w:r>
    </w:p>
    <w:p w14:paraId="363A5C76" w14:textId="77777777" w:rsidR="009D1817" w:rsidRDefault="009D1817" w:rsidP="009D1817">
      <w:pPr>
        <w:rPr>
          <w:b/>
          <w:bCs/>
        </w:rPr>
      </w:pPr>
      <w:r w:rsidRPr="009D1817">
        <w:t>Advantages may arise from having economies of scale, metallurgical expertise, customer relationships in industrial markets, carbon data, and access to low-carbon raw materials. ArcelorMittal reported 42 facilities certified by ResponsibleSteel by 2024, which provides assurance of site carbon emissions, but certification cannot guarantee similar carbon intensity of all products; thus, they may not be necessarily green (ArcelorMittal, 2025b). The differentiation strategy should consist of product data, deliveries, technical assistance, and sustainable sourcing.</w:t>
      </w:r>
    </w:p>
    <w:p w14:paraId="77F9EF88" w14:textId="77777777" w:rsidR="00832B3A" w:rsidRPr="00CF3092" w:rsidRDefault="00990C6E">
      <w:pPr>
        <w:pStyle w:val="Heading2"/>
      </w:pPr>
      <w:r w:rsidRPr="00CF3092">
        <w:t>2.2 Porter’s Generic Strategies: competitive advantage</w:t>
      </w:r>
    </w:p>
    <w:p w14:paraId="57991893" w14:textId="4E1BFD32" w:rsidR="00CB39FA" w:rsidRPr="00CF3092" w:rsidRDefault="00CB39FA" w:rsidP="00CB39FA">
      <w:pPr>
        <w:rPr>
          <w:b/>
          <w:bCs/>
        </w:rPr>
      </w:pPr>
      <w:bookmarkStart w:id="2" w:name="_Toc242808201"/>
      <w:r w:rsidRPr="00CF3092">
        <w:t>Porter’s Generic Strategies explains how the company needs to compete in light of Ansoff’s direction of growth (Porter, 1985). Cost leadership is hard to implement in low-carbon steel because hydrogen, green electricity, and new machinery are still costly. However, process efficiencies, economies of scale and assured supply may reduce additional cost. Thus, differentiation emerges as the best primary strategy: provide verified emissions information on a product level, quality metallurgy, reliable supply and service, not vague “green steel”. The chosen niche would focus initially on automotive, construction and renewable energy industry clients with carbon targets and procurement standards. It would marry product development with customer benefits. Evaluate the strategy with actual realized premiums, gross margins, repeat orders and emissions cuts; when customers are unwilling to pay for differentiation, slow down the investments and reduce costs and product evidence.</w:t>
      </w:r>
    </w:p>
    <w:p w14:paraId="75CFC59A" w14:textId="42BFEAA2" w:rsidR="00832B3A" w:rsidRPr="00CF3092" w:rsidRDefault="00990C6E" w:rsidP="009D1817">
      <w:pPr>
        <w:pStyle w:val="Heading2"/>
      </w:pPr>
      <w:r w:rsidRPr="00CF3092">
        <w:t>2.3 Implementation and performance controls</w:t>
      </w:r>
      <w:bookmarkEnd w:id="2"/>
    </w:p>
    <w:p w14:paraId="3EDCAD04" w14:textId="77777777" w:rsidR="009D1817" w:rsidRPr="00CF3092" w:rsidRDefault="009D1817" w:rsidP="009D1817">
      <w:r w:rsidRPr="00CF3092">
        <w:t>Use three phases. In phase one, identify priority grades and customers, establish standardized product emissions boundaries, validate claims and map input suppliers. In months 12-24, conclude pilot or multi-year offtake agreements and report only verified case studies. Increase capacity when contracts represent a significant portion of incremental cost. Clean Industrial Deal and Steel and Metals Action Plan by European Commission support industrial decarbonization but high energy prices and global competition constrain it (European Commission, 2025a; European Commission, 2025b). Breakthrough Agenda by IEA also emphasizes the need for coordination among producers, government authorities and buyers to transition from announcements about projects to deployment of near-zero-emission capacity (IEA, 2024c).</w:t>
      </w:r>
    </w:p>
    <w:p w14:paraId="32E646E6" w14:textId="77777777" w:rsidR="009D1817" w:rsidRDefault="009D1817" w:rsidP="009D1817">
      <w:r w:rsidRPr="00CF3092">
        <w:t>Monitor tonnes of low-carbon steel sold and their revenue share; product-level tCO₂e per tonne; gross margin and realized premium by grade; share of sales with firm offtakes; delivery and renewal rate; scrap quality and renewable electricity supply; and capital cost per tonne of emissions reduction. They link environmental performance to marketing results and determine commercial sustainability of growth. Customer communication has to be consistent about product boundary in brochures, agreements and online media. Sales team must learn to distinguish product emissions from company emissions and certificates. Each quarter, it is important to compare contracted demand with production and suppliers' capaci</w:t>
      </w:r>
      <w:r>
        <w:t>ty so that the company can pause its expansion if gross margins, environmental performance and delivery fail to meet established criteria.</w:t>
      </w:r>
    </w:p>
    <w:p w14:paraId="473AB43B" w14:textId="77777777" w:rsidR="00832B3A" w:rsidRDefault="00990C6E">
      <w:pPr>
        <w:pStyle w:val="Heading2"/>
      </w:pPr>
      <w:bookmarkStart w:id="3" w:name="_Toc242808202"/>
      <w:r>
        <w:t>2.4 Recommendation</w:t>
      </w:r>
      <w:bookmarkEnd w:id="3"/>
    </w:p>
    <w:p w14:paraId="32210AA2" w14:textId="77777777" w:rsidR="009D1817" w:rsidRPr="009D1817" w:rsidRDefault="009D1817" w:rsidP="009D1817">
      <w:r w:rsidRPr="009D1817">
        <w:t>For ArcelorMittal, the first step would be product development while the second step will be market development. The core message to be emphasized will be ‘lower emission steel proven to have quality and supply’ with data specific to the products being used and long term customers. Growth should only occur after demand, availability, and economics can be proven.</w:t>
      </w:r>
    </w:p>
    <w:p w14:paraId="38A1C277" w14:textId="77777777" w:rsidR="00832B3A" w:rsidRDefault="00990C6E">
      <w:pPr>
        <w:pStyle w:val="Heading1"/>
      </w:pPr>
      <w:bookmarkStart w:id="4" w:name="_Toc242808203"/>
      <w:r>
        <w:t>Task 3: Managerial and Professional Reflection</w:t>
      </w:r>
      <w:bookmarkEnd w:id="4"/>
    </w:p>
    <w:p w14:paraId="30AE325D" w14:textId="77777777" w:rsidR="00832B3A" w:rsidRDefault="00990C6E">
      <w:pPr>
        <w:pStyle w:val="Heading2"/>
      </w:pPr>
      <w:bookmarkStart w:id="5" w:name="_Toc242808204"/>
      <w:r>
        <w:t>3.1 Rationale for decisions</w:t>
      </w:r>
      <w:bookmarkEnd w:id="5"/>
    </w:p>
    <w:p w14:paraId="1B86ADDF" w14:textId="77777777" w:rsidR="00CB39FA" w:rsidRPr="00CF3092" w:rsidRDefault="00CB39FA" w:rsidP="00B5552A">
      <w:r w:rsidRPr="00CF3092">
        <w:t>I selected ArcelorMittal as the organization for senior management because it is an integrated steel and mining business with financial, emissions, and product data publicly available, allowing me to compare its ambition and performance. The environmental, social, and economic aspects are the three chosen PESTLE aspects since emissions, expectations from buyers, and cost of inputs influence the transition; political and legal changes are cross-cutting factors.</w:t>
      </w:r>
    </w:p>
    <w:p w14:paraId="0B6E6074" w14:textId="3B147985" w:rsidR="009D1817" w:rsidRPr="009D1817" w:rsidRDefault="00B5552A" w:rsidP="00B5552A">
      <w:r w:rsidRPr="00CF3092">
        <w:t xml:space="preserve">Product development helps to combine current capabilities with added value for customers; after that, market development helps to reach those customers that have climate ambitions </w:t>
      </w:r>
      <w:r>
        <w:t>or requirements for reporting. Diversification does not make sense without evidence of capabilities in new markets. Independent carbon data becomes essential as it can build trust in the standard, while uncertain boundaries entail reputation and regulatory risks (ResponsibleSteel, 2024; European Parliament and Council, 2023).</w:t>
      </w:r>
    </w:p>
    <w:p w14:paraId="2476F219" w14:textId="77777777" w:rsidR="00832B3A" w:rsidRDefault="00990C6E">
      <w:pPr>
        <w:pStyle w:val="Heading2"/>
      </w:pPr>
      <w:bookmarkStart w:id="6" w:name="_Toc242808205"/>
      <w:r>
        <w:t>3.2 Limitations and further information required</w:t>
      </w:r>
      <w:bookmarkEnd w:id="6"/>
    </w:p>
    <w:p w14:paraId="02326627" w14:textId="77777777" w:rsidR="00B5552A" w:rsidRDefault="00B5552A" w:rsidP="00B5552A">
      <w:r w:rsidRPr="00B5552A">
        <w:t xml:space="preserve">This is </w:t>
      </w:r>
      <w:r>
        <w:t>desk research, not an audit of the facility or customer surveys. The company</w:t>
      </w:r>
      <w:r w:rsidR="008A292F">
        <w:t>’</w:t>
      </w:r>
      <w:r>
        <w:t>s use of adjusted portfolio boundaries in its data makes the comparison to industry averages difficult. Emissions increased in 2024 compared to 2023, but not enough information is available to clarify the reason. Margins of products, contract prices, willingness-to-pay, site-level abatement cost and contracts with suppliers have not been provided. Industry targets are not the same as orders from ArcelorMittal, and announced hydrogen projects do not ensure supply. This lack of detail makes return on investment forecasts inaccurate.</w:t>
      </w:r>
    </w:p>
    <w:p w14:paraId="62859B11" w14:textId="77777777" w:rsidR="00B5552A" w:rsidRPr="00B5552A" w:rsidRDefault="00B5552A" w:rsidP="00B5552A">
      <w:r>
        <w:t>The consultant should ask for verified site- and product-level emissions; capital and operational costs by pathway; renewable-power and hydrogen price scenarios; scrap quantities and quality; customer tender terms and willingness-to-pay; competitor footprint; and signed offtake volumes. The scenario tests should include possible changes in policies, energy shocks, technology delays and weak demand. Product claims should be comparable and reduction should be tested for additionality. In addition, I would check the recommendation on the downside scenario in which customers reject the premium and renewable power become more expensive. If this scenario renders additional capacity unviable, then the first priority will shift to efficiency, product data and pilot project. This shows that good decisions should be made in spite of missing evidence, instead of providing one forecast with certainty.</w:t>
      </w:r>
    </w:p>
    <w:p w14:paraId="3A9ABE29" w14:textId="77777777" w:rsidR="00832B3A" w:rsidRDefault="00990C6E">
      <w:pPr>
        <w:pStyle w:val="Heading2"/>
      </w:pPr>
      <w:bookmarkStart w:id="7" w:name="_Toc242808206"/>
      <w:r>
        <w:t>3.3 Final reflection</w:t>
      </w:r>
      <w:bookmarkEnd w:id="7"/>
    </w:p>
    <w:p w14:paraId="5D7DF359" w14:textId="7F0E16BE" w:rsidR="00832B3A" w:rsidRDefault="00E10072">
      <w:r w:rsidRPr="00E10072">
        <w:t xml:space="preserve">Sustainability will become an advantage in marketing only if it proves credible, valuable to the consumer and commercially viable. ArcelorMittal possesses the necessary competencies, yet the emission trajectories, costs of technologies, absence of offtake and limitations on scrap and green hydrogen justify a phased implementation process (ArcelorMittal, 2025a; IEA, 2025a; Raabe </w:t>
      </w:r>
      <w:r w:rsidR="00E6257C" w:rsidRPr="00E6257C">
        <w:rPr>
          <w:i/>
          <w:iCs/>
        </w:rPr>
        <w:t>et al</w:t>
      </w:r>
      <w:r w:rsidRPr="00E10072">
        <w:t>., 2024). Leadership must view product innovation as a hypothesis that needs to be proven through reductions, repeat business, margin protection and scaling thereof.</w:t>
      </w:r>
      <w:r>
        <w:br w:type="page"/>
      </w:r>
    </w:p>
    <w:p w14:paraId="43ED8FF9" w14:textId="77777777" w:rsidR="00832B3A" w:rsidRDefault="00990C6E">
      <w:pPr>
        <w:pStyle w:val="Heading1"/>
      </w:pPr>
      <w:bookmarkStart w:id="8" w:name="_Toc242808207"/>
      <w:r>
        <w:t>Reference List</w:t>
      </w:r>
      <w:bookmarkEnd w:id="8"/>
    </w:p>
    <w:p w14:paraId="0BB919DA" w14:textId="77777777" w:rsidR="00832B3A" w:rsidRDefault="00990C6E" w:rsidP="004D599B">
      <w:r>
        <w:t xml:space="preserve">ArcelorMittal (2023) </w:t>
      </w:r>
      <w:r>
        <w:rPr>
          <w:i/>
        </w:rPr>
        <w:t>2023 Integrated Annual Review</w:t>
      </w:r>
      <w:r>
        <w:t xml:space="preserve">. Available at: </w:t>
      </w:r>
      <w:hyperlink r:id="rId11" w:history="1">
        <w:r w:rsidR="004D599B" w:rsidRPr="00526C70">
          <w:rPr>
            <w:rStyle w:val="Hyperlink"/>
          </w:rPr>
          <w:t>https://corporate.arcelormittal.com/media/news/regulatory-news/arcelormittal-publishes-its-2023-integrated-annual-review</w:t>
        </w:r>
      </w:hyperlink>
      <w:r w:rsidR="004D599B">
        <w:t xml:space="preserve"> </w:t>
      </w:r>
      <w:r>
        <w:t>(Accessed: 13 October 2026).</w:t>
      </w:r>
    </w:p>
    <w:p w14:paraId="5721843B" w14:textId="77777777" w:rsidR="00832B3A" w:rsidRDefault="00990C6E" w:rsidP="004D599B">
      <w:r>
        <w:t xml:space="preserve">ArcelorMittal (2025a) </w:t>
      </w:r>
      <w:r>
        <w:rPr>
          <w:i/>
        </w:rPr>
        <w:t>Annual Report 2024</w:t>
      </w:r>
      <w:r>
        <w:t xml:space="preserve">. Available at: </w:t>
      </w:r>
      <w:hyperlink r:id="rId12" w:history="1">
        <w:r w:rsidR="004D599B" w:rsidRPr="00526C70">
          <w:rPr>
            <w:rStyle w:val="Hyperlink"/>
          </w:rPr>
          <w:t>https://corporate.arcelormittal.com/media/if0baqyg/annual-report-2024.pdf</w:t>
        </w:r>
      </w:hyperlink>
      <w:r w:rsidR="004D599B">
        <w:t xml:space="preserve"> </w:t>
      </w:r>
      <w:r>
        <w:t>(Accessed: 13 October 2026).</w:t>
      </w:r>
    </w:p>
    <w:p w14:paraId="3BDAA293" w14:textId="77777777" w:rsidR="00832B3A" w:rsidRDefault="00990C6E" w:rsidP="004D599B">
      <w:r>
        <w:t xml:space="preserve">ArcelorMittal (2025b) </w:t>
      </w:r>
      <w:r>
        <w:rPr>
          <w:i/>
        </w:rPr>
        <w:t>ArcelorMittal publishes its 2024 Sustainability Report</w:t>
      </w:r>
      <w:r>
        <w:t xml:space="preserve">. 17 April. Available at: </w:t>
      </w:r>
      <w:hyperlink r:id="rId13" w:history="1">
        <w:r w:rsidR="004D599B" w:rsidRPr="00526C70">
          <w:rPr>
            <w:rStyle w:val="Hyperlink"/>
          </w:rPr>
          <w:t>https://corporate.arcelormittal.com/media/news/regulatory-news/arcelormittal-publishes-its-2024-sustainability-report</w:t>
        </w:r>
      </w:hyperlink>
      <w:r w:rsidR="004D599B">
        <w:t xml:space="preserve"> </w:t>
      </w:r>
      <w:r>
        <w:t>(Accessed: 13 October 2026).</w:t>
      </w:r>
    </w:p>
    <w:p w14:paraId="4D9BC4C2" w14:textId="77777777" w:rsidR="00832B3A" w:rsidRDefault="00990C6E" w:rsidP="004D599B">
      <w:r>
        <w:t xml:space="preserve">ArcelorMittal Building Solutions (2024) </w:t>
      </w:r>
      <w:proofErr w:type="spellStart"/>
      <w:r>
        <w:rPr>
          <w:i/>
        </w:rPr>
        <w:t>XCarb</w:t>
      </w:r>
      <w:proofErr w:type="spellEnd"/>
      <w:r>
        <w:rPr>
          <w:i/>
        </w:rPr>
        <w:t>® recycled and renewably produced steel to reduce carbon footprint</w:t>
      </w:r>
      <w:r>
        <w:t xml:space="preserve">. 22 May. Available at: </w:t>
      </w:r>
      <w:hyperlink r:id="rId14" w:history="1">
        <w:r w:rsidR="004D599B" w:rsidRPr="00526C70">
          <w:rPr>
            <w:rStyle w:val="Hyperlink"/>
          </w:rPr>
          <w:t>https://buildingsolutions-caraibes.arcelormittal.com/en/news-details/embracing-sustainability-arcelormittal-building-solutions-introduces-xcarb-recycled-and-renewably-produced-steel-to-reduce-carbon-footprint-by-up-to-70</w:t>
        </w:r>
      </w:hyperlink>
      <w:r w:rsidR="004D599B">
        <w:t xml:space="preserve"> </w:t>
      </w:r>
      <w:r>
        <w:t>(Accessed: 13 October 2026).</w:t>
      </w:r>
    </w:p>
    <w:p w14:paraId="6BD81AC5" w14:textId="77777777" w:rsidR="00832B3A" w:rsidRDefault="00990C6E" w:rsidP="004D599B">
      <w:r>
        <w:t xml:space="preserve">Devlin, A. and Yang, A. (2022) ‘Regional supply chains for </w:t>
      </w:r>
      <w:proofErr w:type="spellStart"/>
      <w:r>
        <w:t>decarbonising</w:t>
      </w:r>
      <w:proofErr w:type="spellEnd"/>
      <w:r>
        <w:t xml:space="preserve"> steel: Energy efficiency and green premium mitigation’, </w:t>
      </w:r>
      <w:r>
        <w:rPr>
          <w:i/>
        </w:rPr>
        <w:t>Energy Conversion and Management</w:t>
      </w:r>
      <w:r>
        <w:t xml:space="preserve">, 254, article 115268. Available at: </w:t>
      </w:r>
      <w:hyperlink r:id="rId15" w:history="1">
        <w:r w:rsidR="004D599B" w:rsidRPr="00526C70">
          <w:rPr>
            <w:rStyle w:val="Hyperlink"/>
          </w:rPr>
          <w:t>https://doi.org/10.1016/j.enconman.2022.115268</w:t>
        </w:r>
      </w:hyperlink>
      <w:r w:rsidR="004D599B">
        <w:t xml:space="preserve"> </w:t>
      </w:r>
    </w:p>
    <w:p w14:paraId="5C87DEAB" w14:textId="77777777" w:rsidR="00832B3A" w:rsidRDefault="00990C6E" w:rsidP="004D599B">
      <w:r>
        <w:t xml:space="preserve">European Commission (2025a) </w:t>
      </w:r>
      <w:r>
        <w:rPr>
          <w:i/>
        </w:rPr>
        <w:t>A European Steel and Metals Action Plan</w:t>
      </w:r>
      <w:r>
        <w:t xml:space="preserve">. COM(2025) 125 final. Available at: </w:t>
      </w:r>
      <w:hyperlink r:id="rId16" w:history="1">
        <w:r w:rsidR="004D599B" w:rsidRPr="00526C70">
          <w:rPr>
            <w:rStyle w:val="Hyperlink"/>
          </w:rPr>
          <w:t>https://eur-lex.europa.eu/legal-content/EN/TXT/?uri=CELEX:52025DC0125</w:t>
        </w:r>
      </w:hyperlink>
      <w:r w:rsidR="004D599B">
        <w:t xml:space="preserve"> </w:t>
      </w:r>
      <w:r>
        <w:t xml:space="preserve"> (Accessed: 13 October 2026).</w:t>
      </w:r>
    </w:p>
    <w:p w14:paraId="63761D90" w14:textId="77777777" w:rsidR="00832B3A" w:rsidRDefault="00990C6E" w:rsidP="004D599B">
      <w:r>
        <w:t xml:space="preserve">European Commission (2025b) </w:t>
      </w:r>
      <w:r>
        <w:rPr>
          <w:i/>
        </w:rPr>
        <w:t xml:space="preserve">Clean Industrial Deal: A plan for EU competitiveness and </w:t>
      </w:r>
      <w:proofErr w:type="spellStart"/>
      <w:r>
        <w:rPr>
          <w:i/>
        </w:rPr>
        <w:t>decarbonisation</w:t>
      </w:r>
      <w:proofErr w:type="spellEnd"/>
      <w:r>
        <w:t xml:space="preserve">. Available at: </w:t>
      </w:r>
      <w:hyperlink r:id="rId17" w:history="1">
        <w:r w:rsidR="004D599B" w:rsidRPr="00526C70">
          <w:rPr>
            <w:rStyle w:val="Hyperlink"/>
          </w:rPr>
          <w:t>https://commission.europa.eu/topics/competitiveness/clean-industrial-deal_en</w:t>
        </w:r>
      </w:hyperlink>
      <w:r w:rsidR="004D599B">
        <w:t xml:space="preserve"> </w:t>
      </w:r>
      <w:r>
        <w:t>(Accessed: 13 October 2026).</w:t>
      </w:r>
    </w:p>
    <w:p w14:paraId="4558F62D" w14:textId="77777777" w:rsidR="00832B3A" w:rsidRDefault="00990C6E" w:rsidP="004D599B">
      <w:r>
        <w:t xml:space="preserve">European Parliament and Council of the European Union (2023) ‘Regulation (EU) 2023/956 of 10 May 2023 establishing a Carbon Border Adjustment Mechanism’. </w:t>
      </w:r>
      <w:r>
        <w:rPr>
          <w:i/>
        </w:rPr>
        <w:t>Official Journal of the European Union</w:t>
      </w:r>
      <w:r>
        <w:t xml:space="preserve">, L 130, pp. 52–104. Available at: </w:t>
      </w:r>
      <w:hyperlink r:id="rId18" w:history="1">
        <w:r w:rsidR="004D599B" w:rsidRPr="00526C70">
          <w:rPr>
            <w:rStyle w:val="Hyperlink"/>
          </w:rPr>
          <w:t>https://eur-lex.europa.eu/eli/reg/2023/956/oj</w:t>
        </w:r>
      </w:hyperlink>
      <w:r w:rsidR="004D599B">
        <w:t xml:space="preserve"> </w:t>
      </w:r>
      <w:r>
        <w:t xml:space="preserve"> (Accessed: 13 October 2026).</w:t>
      </w:r>
    </w:p>
    <w:p w14:paraId="00E90686" w14:textId="77777777" w:rsidR="00832B3A" w:rsidRDefault="00990C6E" w:rsidP="004D599B">
      <w:r>
        <w:t xml:space="preserve">Fan, Z. and Friedmann, S.J. (2021) ‘Low-carbon production of iron and steel: Technology options, economic assessment, and policy’, </w:t>
      </w:r>
      <w:r>
        <w:rPr>
          <w:i/>
        </w:rPr>
        <w:t>Joule</w:t>
      </w:r>
      <w:r>
        <w:t xml:space="preserve">, 5(4), pp. 829–862. Available at: </w:t>
      </w:r>
      <w:hyperlink r:id="rId19" w:history="1">
        <w:r w:rsidR="004D599B" w:rsidRPr="00526C70">
          <w:rPr>
            <w:rStyle w:val="Hyperlink"/>
          </w:rPr>
          <w:t>https://doi.org/10.1016/j.joule.2021.02.018</w:t>
        </w:r>
      </w:hyperlink>
      <w:r w:rsidR="004D599B">
        <w:t xml:space="preserve"> </w:t>
      </w:r>
    </w:p>
    <w:p w14:paraId="06AC04EC" w14:textId="77777777" w:rsidR="00832B3A" w:rsidRDefault="00990C6E" w:rsidP="004D599B">
      <w:r>
        <w:t xml:space="preserve">Global Energy Monitor (2024) </w:t>
      </w:r>
      <w:r>
        <w:rPr>
          <w:i/>
        </w:rPr>
        <w:t>Pedal to the Metal 2024: A Global Steel Plant Tracker Report</w:t>
      </w:r>
      <w:r>
        <w:t xml:space="preserve">. Available at: </w:t>
      </w:r>
      <w:hyperlink r:id="rId20" w:history="1">
        <w:r w:rsidR="004D599B" w:rsidRPr="00526C70">
          <w:rPr>
            <w:rStyle w:val="Hyperlink"/>
          </w:rPr>
          <w:t>https://globalenergymonitor.org/research/pedal-metal-2024/</w:t>
        </w:r>
      </w:hyperlink>
      <w:r w:rsidR="004D599B">
        <w:t xml:space="preserve"> </w:t>
      </w:r>
      <w:r>
        <w:t>(Accessed: 13 October 2026).</w:t>
      </w:r>
    </w:p>
    <w:p w14:paraId="104574BB" w14:textId="77777777" w:rsidR="00832B3A" w:rsidRDefault="00990C6E" w:rsidP="004D599B">
      <w:r>
        <w:t xml:space="preserve">International Energy Agency (IEA) (2020) </w:t>
      </w:r>
      <w:r>
        <w:rPr>
          <w:i/>
        </w:rPr>
        <w:t>Iron and Steel Technology Roadmap: Towards more sustainable steelmaking</w:t>
      </w:r>
      <w:r>
        <w:t xml:space="preserve">. Paris: IEA. Available at: </w:t>
      </w:r>
      <w:hyperlink r:id="rId21" w:history="1">
        <w:r w:rsidR="004D599B" w:rsidRPr="00526C70">
          <w:rPr>
            <w:rStyle w:val="Hyperlink"/>
          </w:rPr>
          <w:t>https://www.iea.org/reports/iron-and-steel-technology-roadmap</w:t>
        </w:r>
      </w:hyperlink>
      <w:r w:rsidR="004D599B">
        <w:t xml:space="preserve"> </w:t>
      </w:r>
      <w:r>
        <w:t>(Accessed: 13 October 2026).</w:t>
      </w:r>
    </w:p>
    <w:p w14:paraId="539BE23E" w14:textId="77777777" w:rsidR="00832B3A" w:rsidRDefault="00990C6E" w:rsidP="004D599B">
      <w:r>
        <w:t xml:space="preserve">International Energy Agency (IEA) (2024a) </w:t>
      </w:r>
      <w:r>
        <w:rPr>
          <w:i/>
        </w:rPr>
        <w:t>Demand and Supply Measures for the Steel and Cement Transition</w:t>
      </w:r>
      <w:r>
        <w:t xml:space="preserve">. Paris: IEA. Available at: </w:t>
      </w:r>
      <w:hyperlink r:id="rId22" w:history="1">
        <w:r w:rsidR="004D599B" w:rsidRPr="00526C70">
          <w:rPr>
            <w:rStyle w:val="Hyperlink"/>
          </w:rPr>
          <w:t>https://www.iea.org/reports/demand-and-supply-measures-for-the-steel-and-cement-transition</w:t>
        </w:r>
      </w:hyperlink>
      <w:r w:rsidR="004D599B">
        <w:t xml:space="preserve"> </w:t>
      </w:r>
      <w:r>
        <w:t>(Accessed: 13 October 2026).</w:t>
      </w:r>
    </w:p>
    <w:p w14:paraId="1E433E7A" w14:textId="77777777" w:rsidR="00832B3A" w:rsidRDefault="00990C6E" w:rsidP="004D599B">
      <w:r>
        <w:t xml:space="preserve">International Energy Agency (IEA) (2024b) </w:t>
      </w:r>
      <w:r>
        <w:rPr>
          <w:i/>
        </w:rPr>
        <w:t>Global Hydrogen Review 2024</w:t>
      </w:r>
      <w:r>
        <w:t xml:space="preserve">. Paris: IEA. Available at: </w:t>
      </w:r>
      <w:hyperlink r:id="rId23" w:history="1">
        <w:r w:rsidR="004D599B" w:rsidRPr="00526C70">
          <w:rPr>
            <w:rStyle w:val="Hyperlink"/>
          </w:rPr>
          <w:t>https://www.iea.org/reports/global-hydrogen-review-2024</w:t>
        </w:r>
      </w:hyperlink>
      <w:r w:rsidR="004D599B">
        <w:t xml:space="preserve"> </w:t>
      </w:r>
      <w:r>
        <w:t>(Accessed: 13 October 2026).</w:t>
      </w:r>
    </w:p>
    <w:p w14:paraId="14C0974E" w14:textId="77777777" w:rsidR="00832B3A" w:rsidRDefault="00990C6E" w:rsidP="004D599B">
      <w:r>
        <w:t xml:space="preserve">International Energy Agency (IEA) (2024c) </w:t>
      </w:r>
      <w:r>
        <w:rPr>
          <w:i/>
        </w:rPr>
        <w:t>Breakthrough Agenda Report 2024: Steel</w:t>
      </w:r>
      <w:r>
        <w:t xml:space="preserve">. Paris: IEA. Available at: </w:t>
      </w:r>
      <w:hyperlink r:id="rId24" w:history="1">
        <w:r w:rsidR="004D599B" w:rsidRPr="00526C70">
          <w:rPr>
            <w:rStyle w:val="Hyperlink"/>
          </w:rPr>
          <w:t>https://www.iea.org/reports/breakthrough-agenda-report-2024/steel</w:t>
        </w:r>
      </w:hyperlink>
      <w:r w:rsidR="004D599B">
        <w:t xml:space="preserve"> </w:t>
      </w:r>
      <w:r>
        <w:t>(Accessed: 13 October 2026).</w:t>
      </w:r>
    </w:p>
    <w:p w14:paraId="3B793BAA" w14:textId="77777777" w:rsidR="00832B3A" w:rsidRDefault="00990C6E" w:rsidP="004D599B">
      <w:r>
        <w:t xml:space="preserve">International Energy Agency (IEA) (2025a) </w:t>
      </w:r>
      <w:r>
        <w:rPr>
          <w:i/>
        </w:rPr>
        <w:t>Breakthrough Agenda Report 2025: Steel</w:t>
      </w:r>
      <w:r>
        <w:t xml:space="preserve">. Paris: IEA. Available at: </w:t>
      </w:r>
      <w:hyperlink r:id="rId25" w:history="1">
        <w:r w:rsidR="004D599B" w:rsidRPr="00526C70">
          <w:rPr>
            <w:rStyle w:val="Hyperlink"/>
          </w:rPr>
          <w:t>https://www.iea.org/reports/breakthrough-agenda-report-2025/steel</w:t>
        </w:r>
      </w:hyperlink>
      <w:r w:rsidR="004D599B">
        <w:t xml:space="preserve"> </w:t>
      </w:r>
      <w:r>
        <w:t>(Accessed: 13 October 2026).</w:t>
      </w:r>
    </w:p>
    <w:p w14:paraId="34F2C8AB" w14:textId="77777777" w:rsidR="00832B3A" w:rsidRDefault="00990C6E" w:rsidP="004D599B">
      <w:r>
        <w:t xml:space="preserve">Kotler, P., Armstrong, G., Harris, L.C. and He, H. (2024) </w:t>
      </w:r>
      <w:r>
        <w:rPr>
          <w:i/>
        </w:rPr>
        <w:t>Principles of Marketing</w:t>
      </w:r>
      <w:r>
        <w:t xml:space="preserve">. 19th </w:t>
      </w:r>
      <w:proofErr w:type="spellStart"/>
      <w:r>
        <w:t>edn</w:t>
      </w:r>
      <w:proofErr w:type="spellEnd"/>
      <w:r>
        <w:t xml:space="preserve">. Harlow: Pearson. Available at: </w:t>
      </w:r>
      <w:hyperlink r:id="rId26" w:history="1">
        <w:r w:rsidR="004D599B" w:rsidRPr="00526C70">
          <w:rPr>
            <w:rStyle w:val="Hyperlink"/>
          </w:rPr>
          <w:t>https://www.pearson.com/en-gb/subject-catalog/p/principles-of-marketing-global-edition/P200000010013/9781292740836</w:t>
        </w:r>
      </w:hyperlink>
      <w:r w:rsidR="004D599B">
        <w:t xml:space="preserve"> </w:t>
      </w:r>
      <w:r>
        <w:t>(Accessed: 13 October 2026).</w:t>
      </w:r>
    </w:p>
    <w:p w14:paraId="61090EC7" w14:textId="77777777" w:rsidR="00832B3A" w:rsidRDefault="00990C6E" w:rsidP="004D599B">
      <w:r>
        <w:t xml:space="preserve">OECD (2024) </w:t>
      </w:r>
      <w:r>
        <w:rPr>
          <w:i/>
        </w:rPr>
        <w:t>Global Forum on Steel Excess Capacity: Ministerial Statement and References</w:t>
      </w:r>
      <w:r>
        <w:t xml:space="preserve">, 8 October. Available at: </w:t>
      </w:r>
      <w:hyperlink r:id="rId27" w:history="1">
        <w:r w:rsidR="004D599B" w:rsidRPr="00526C70">
          <w:rPr>
            <w:rStyle w:val="Hyperlink"/>
          </w:rPr>
          <w:t>https://www.oecd.org/content/dam/oecd/en/events/2024/10/gfsec-ministerial-meeting/GFSEC-2024-ministerial-statement-and-references.pdf</w:t>
        </w:r>
      </w:hyperlink>
      <w:r w:rsidR="004D599B">
        <w:t xml:space="preserve"> </w:t>
      </w:r>
      <w:r>
        <w:t>(Accessed: 13 October 2026).</w:t>
      </w:r>
    </w:p>
    <w:p w14:paraId="3388CD26" w14:textId="77777777" w:rsidR="00832B3A" w:rsidRDefault="00990C6E" w:rsidP="004D599B">
      <w:r>
        <w:t xml:space="preserve">OECD (2025) </w:t>
      </w:r>
      <w:r>
        <w:rPr>
          <w:i/>
        </w:rPr>
        <w:t xml:space="preserve">OECD Steel Outlook 2025: Steel </w:t>
      </w:r>
      <w:proofErr w:type="spellStart"/>
      <w:r>
        <w:rPr>
          <w:i/>
        </w:rPr>
        <w:t>decarbonisation</w:t>
      </w:r>
      <w:proofErr w:type="spellEnd"/>
      <w:r>
        <w:rPr>
          <w:i/>
        </w:rPr>
        <w:t xml:space="preserve"> efforts challenged by excess capacity</w:t>
      </w:r>
      <w:r>
        <w:t xml:space="preserve">. Available at: </w:t>
      </w:r>
      <w:hyperlink r:id="rId28" w:history="1">
        <w:r w:rsidR="004D599B" w:rsidRPr="00526C70">
          <w:rPr>
            <w:rStyle w:val="Hyperlink"/>
          </w:rPr>
          <w:t>https://www.oecd.org/en/publications/oecd-steel-outlook-2025_28b61a5e-en/full-report/steel-decarbonisation-efforts-challenged-by-excess-capacity_1d8e1abc.html</w:t>
        </w:r>
      </w:hyperlink>
      <w:r w:rsidR="004D599B">
        <w:t xml:space="preserve"> </w:t>
      </w:r>
      <w:r>
        <w:t xml:space="preserve"> </w:t>
      </w:r>
      <w:r w:rsidR="004D599B">
        <w:t xml:space="preserve"> </w:t>
      </w:r>
      <w:r>
        <w:t>(Accessed: 13 October 2026).</w:t>
      </w:r>
    </w:p>
    <w:p w14:paraId="2232F104" w14:textId="77777777" w:rsidR="008C642D" w:rsidRPr="00CF3092" w:rsidRDefault="00990C6E">
      <w:r w:rsidRPr="00CF3092">
        <w:t xml:space="preserve">Porter, M.E. (1985) </w:t>
      </w:r>
      <w:r w:rsidRPr="00CF3092">
        <w:rPr>
          <w:i/>
        </w:rPr>
        <w:t>Competitive Advantage: Creating and Sustaining Superior Performance</w:t>
      </w:r>
      <w:r w:rsidRPr="00CF3092">
        <w:t>. New York: Free Press.</w:t>
      </w:r>
    </w:p>
    <w:p w14:paraId="1754E180" w14:textId="77777777" w:rsidR="00832B3A" w:rsidRDefault="00990C6E" w:rsidP="004D599B">
      <w:r>
        <w:t xml:space="preserve">Raabe, D., </w:t>
      </w:r>
      <w:proofErr w:type="spellStart"/>
      <w:r>
        <w:t>Jovičević-Klug</w:t>
      </w:r>
      <w:proofErr w:type="spellEnd"/>
      <w:r>
        <w:t xml:space="preserve">, M., </w:t>
      </w:r>
      <w:proofErr w:type="spellStart"/>
      <w:r>
        <w:t>Ponge</w:t>
      </w:r>
      <w:proofErr w:type="spellEnd"/>
      <w:r>
        <w:t xml:space="preserve">, D., Gramlich, A., Kwiatkowski da Silva, A., Grundy, A.N., Springer, H., Souza Filho, I. and Ma, Y. (2024) ‘Circular steel for fast decarbonization: Thermodynamics, kinetics, and microstructure behind upcycling scrap into high-performance sheet steel’, </w:t>
      </w:r>
      <w:r>
        <w:rPr>
          <w:i/>
        </w:rPr>
        <w:t>Annual Review of Materials Research</w:t>
      </w:r>
      <w:r>
        <w:t xml:space="preserve">, 54, pp. 247–297. Available at: </w:t>
      </w:r>
      <w:hyperlink r:id="rId29" w:history="1">
        <w:r w:rsidR="004D599B" w:rsidRPr="00526C70">
          <w:rPr>
            <w:rStyle w:val="Hyperlink"/>
          </w:rPr>
          <w:t>https://doi.org/10.1146/annurev-matsci-080222-123648</w:t>
        </w:r>
      </w:hyperlink>
      <w:r w:rsidR="004D599B">
        <w:t xml:space="preserve"> </w:t>
      </w:r>
    </w:p>
    <w:p w14:paraId="2E5BA413" w14:textId="77777777" w:rsidR="00832B3A" w:rsidRDefault="00990C6E" w:rsidP="004D599B">
      <w:r>
        <w:t xml:space="preserve">ResponsibleSteel (2024) </w:t>
      </w:r>
      <w:r>
        <w:rPr>
          <w:i/>
        </w:rPr>
        <w:t>International Production Standard, Version 2.1.1</w:t>
      </w:r>
      <w:r>
        <w:t xml:space="preserve">. Available at: </w:t>
      </w:r>
      <w:hyperlink r:id="rId30" w:history="1">
        <w:r w:rsidR="004D599B" w:rsidRPr="00526C70">
          <w:rPr>
            <w:rStyle w:val="Hyperlink"/>
          </w:rPr>
          <w:t>https://www.responsiblesteel.org/standards</w:t>
        </w:r>
      </w:hyperlink>
      <w:r w:rsidR="004D599B">
        <w:t xml:space="preserve"> </w:t>
      </w:r>
      <w:r>
        <w:t>(Accessed: 13 October 2026).</w:t>
      </w:r>
    </w:p>
    <w:p w14:paraId="0CB225B4" w14:textId="77777777" w:rsidR="00832B3A" w:rsidRDefault="00990C6E" w:rsidP="004D599B">
      <w:r>
        <w:t xml:space="preserve">Wang, P., Ryberg, M., Yang, Y., Feng, K., Kara, S., Hauschild, M. and Chen, W.-Q. (2021) ‘Efficiency stagnation in global steel production urges joint supply- and demand-side mitigation efforts’, </w:t>
      </w:r>
      <w:r>
        <w:rPr>
          <w:i/>
        </w:rPr>
        <w:t>Nature Communications</w:t>
      </w:r>
      <w:r>
        <w:t xml:space="preserve">, 12, article 2066. Available at: </w:t>
      </w:r>
      <w:hyperlink r:id="rId31" w:history="1">
        <w:r w:rsidR="004D599B" w:rsidRPr="00526C70">
          <w:rPr>
            <w:rStyle w:val="Hyperlink"/>
          </w:rPr>
          <w:t>https://doi.org/10.1038/s41467-021-22245-6</w:t>
        </w:r>
      </w:hyperlink>
      <w:r w:rsidR="004D599B">
        <w:t xml:space="preserve"> </w:t>
      </w:r>
    </w:p>
    <w:p w14:paraId="295D11BB" w14:textId="77777777" w:rsidR="00832B3A" w:rsidRDefault="00990C6E" w:rsidP="004D599B">
      <w:r>
        <w:t xml:space="preserve">World Economic Forum (2024) </w:t>
      </w:r>
      <w:r>
        <w:rPr>
          <w:i/>
        </w:rPr>
        <w:t>First Movers Coalition: 120 commitments for breakthrough industrial decarbonization technologies</w:t>
      </w:r>
      <w:r>
        <w:t xml:space="preserve">. 16 January. Available at: </w:t>
      </w:r>
      <w:hyperlink r:id="rId32" w:history="1">
        <w:r w:rsidR="004D599B" w:rsidRPr="00526C70">
          <w:rPr>
            <w:rStyle w:val="Hyperlink"/>
          </w:rPr>
          <w:t>https://www.weforum.org/media/wef24-first-movers-coalition-commitments/</w:t>
        </w:r>
      </w:hyperlink>
      <w:r w:rsidR="004D599B">
        <w:t xml:space="preserve"> </w:t>
      </w:r>
      <w:r>
        <w:t>(Accessed: 13 October 2026).</w:t>
      </w:r>
    </w:p>
    <w:p w14:paraId="727DF445" w14:textId="77777777" w:rsidR="00832B3A" w:rsidRDefault="00990C6E" w:rsidP="004D599B">
      <w:r>
        <w:t xml:space="preserve">World Steel Association (2024) </w:t>
      </w:r>
      <w:r>
        <w:rPr>
          <w:i/>
        </w:rPr>
        <w:t>Sustainability Indicators 2024 Report</w:t>
      </w:r>
      <w:r>
        <w:t xml:space="preserve">. Available at: </w:t>
      </w:r>
      <w:hyperlink r:id="rId33" w:history="1">
        <w:r w:rsidR="004D599B" w:rsidRPr="00526C70">
          <w:rPr>
            <w:rStyle w:val="Hyperlink"/>
          </w:rPr>
          <w:t>https://worldsteel.org/media/press-releases/2024/sustainability-indicators-2024/</w:t>
        </w:r>
      </w:hyperlink>
      <w:r w:rsidR="004D599B">
        <w:t xml:space="preserve"> </w:t>
      </w:r>
      <w:r>
        <w:t>(Accessed: 13 October 2026).</w:t>
      </w:r>
    </w:p>
    <w:p w14:paraId="6510E3E4" w14:textId="1497B5F6" w:rsidR="00832B3A" w:rsidRDefault="00990C6E" w:rsidP="004D599B">
      <w:r>
        <w:t xml:space="preserve">World Steel Association (2025) </w:t>
      </w:r>
      <w:r>
        <w:rPr>
          <w:i/>
        </w:rPr>
        <w:t>World Steel in Figures 2025</w:t>
      </w:r>
      <w:r>
        <w:t xml:space="preserve">. Available at: </w:t>
      </w:r>
      <w:hyperlink r:id="rId34" w:history="1">
        <w:r w:rsidR="004D599B" w:rsidRPr="00526C70">
          <w:rPr>
            <w:rStyle w:val="Hyperlink"/>
          </w:rPr>
          <w:t>https://worldsteel.org/data/world-steel-in-figures/world-steel-in-figures-2025/</w:t>
        </w:r>
      </w:hyperlink>
      <w:r w:rsidR="004D599B">
        <w:t xml:space="preserve"> </w:t>
      </w:r>
      <w:r>
        <w:t>(Accessed: 13 October 2026).</w:t>
      </w:r>
      <w:r w:rsidR="001D02E4">
        <w:t xml:space="preserve"> </w:t>
      </w:r>
    </w:p>
    <w:sectPr w:rsidR="00832B3A" w:rsidSect="004D599B">
      <w:footerReference w:type="default" r:id="rId35"/>
      <w:pgSz w:w="11906" w:h="16838" w:code="9"/>
      <w:pgMar w:top="1037" w:right="1181" w:bottom="1037" w:left="118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A4220B2" w14:textId="77777777" w:rsidR="0024744C" w:rsidRDefault="0024744C">
      <w:pPr>
        <w:spacing w:before="0" w:after="0" w:line="240" w:lineRule="auto"/>
      </w:pPr>
      <w:r>
        <w:separator/>
      </w:r>
    </w:p>
  </w:endnote>
  <w:endnote w:type="continuationSeparator" w:id="0">
    <w:p w14:paraId="33CE8CD9" w14:textId="77777777" w:rsidR="0024744C" w:rsidRDefault="0024744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rinda">
    <w:panose1 w:val="020B0502040204020203"/>
    <w:charset w:val="00"/>
    <w:family w:val="swiss"/>
    <w:pitch w:val="variable"/>
    <w:sig w:usb0="0001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ACFF" w:usb2="00000009" w:usb3="00000000" w:csb0="000001FF" w:csb1="00000000"/>
  </w:font>
  <w:font w:name="Courier">
    <w:panose1 w:val="020B060402020202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6F4CC1A" w14:textId="77777777" w:rsidR="00832B3A" w:rsidRDefault="00990C6E">
    <w:pPr>
      <w:pStyle w:val="Footer"/>
      <w:jc w:val="center"/>
    </w:pPr>
    <w:r>
      <w:rPr>
        <w:sz w:val="18"/>
      </w:rPr>
      <w:fldChar w:fldCharType="begin"/>
    </w:r>
    <w:r>
      <w:rPr>
        <w:sz w:val="18"/>
      </w:rPr>
      <w:instrText xml:space="preserve"> PAGE </w:instrText>
    </w:r>
    <w:r>
      <w:rPr>
        <w:sz w:val="18"/>
      </w:rPr>
      <w:fldChar w:fldCharType="separate"/>
    </w:r>
    <w:r w:rsidR="004D599B">
      <w:rPr>
        <w:noProof/>
        <w:sz w:val="18"/>
      </w:rPr>
      <w:t>1</w:t>
    </w:r>
    <w:r>
      <w:rPr>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5725BD5" w14:textId="77777777" w:rsidR="0024744C" w:rsidRDefault="0024744C">
      <w:pPr>
        <w:spacing w:before="0" w:after="0" w:line="240" w:lineRule="auto"/>
      </w:pPr>
      <w:r>
        <w:separator/>
      </w:r>
    </w:p>
  </w:footnote>
  <w:footnote w:type="continuationSeparator" w:id="0">
    <w:p w14:paraId="088F3A05" w14:textId="77777777" w:rsidR="0024744C" w:rsidRDefault="0024744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702097338">
    <w:abstractNumId w:val="8"/>
  </w:num>
  <w:num w:numId="2" w16cid:durableId="1963270258">
    <w:abstractNumId w:val="6"/>
  </w:num>
  <w:num w:numId="3" w16cid:durableId="1407999437">
    <w:abstractNumId w:val="5"/>
  </w:num>
  <w:num w:numId="4" w16cid:durableId="1012412033">
    <w:abstractNumId w:val="4"/>
  </w:num>
  <w:num w:numId="5" w16cid:durableId="822043909">
    <w:abstractNumId w:val="7"/>
  </w:num>
  <w:num w:numId="6" w16cid:durableId="1561938606">
    <w:abstractNumId w:val="3"/>
  </w:num>
  <w:num w:numId="7" w16cid:durableId="2045787223">
    <w:abstractNumId w:val="2"/>
  </w:num>
  <w:num w:numId="8" w16cid:durableId="553278747">
    <w:abstractNumId w:val="1"/>
  </w:num>
  <w:num w:numId="9" w16cid:durableId="456722083">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553AC"/>
    <w:rsid w:val="0006063C"/>
    <w:rsid w:val="00102863"/>
    <w:rsid w:val="0015074B"/>
    <w:rsid w:val="00155D35"/>
    <w:rsid w:val="001A5744"/>
    <w:rsid w:val="001C0E3E"/>
    <w:rsid w:val="001D02E4"/>
    <w:rsid w:val="001F4E68"/>
    <w:rsid w:val="00234667"/>
    <w:rsid w:val="0024744C"/>
    <w:rsid w:val="0029639D"/>
    <w:rsid w:val="00326F90"/>
    <w:rsid w:val="003350B5"/>
    <w:rsid w:val="003D64CC"/>
    <w:rsid w:val="004203B6"/>
    <w:rsid w:val="004D599B"/>
    <w:rsid w:val="0050363D"/>
    <w:rsid w:val="005773C9"/>
    <w:rsid w:val="005B2EC1"/>
    <w:rsid w:val="005D3D49"/>
    <w:rsid w:val="00832B3A"/>
    <w:rsid w:val="008A292F"/>
    <w:rsid w:val="008C642D"/>
    <w:rsid w:val="00910569"/>
    <w:rsid w:val="00990C6E"/>
    <w:rsid w:val="009B1AB3"/>
    <w:rsid w:val="009D1817"/>
    <w:rsid w:val="00A14201"/>
    <w:rsid w:val="00AA1D8D"/>
    <w:rsid w:val="00B078D6"/>
    <w:rsid w:val="00B47730"/>
    <w:rsid w:val="00B5552A"/>
    <w:rsid w:val="00B91DF8"/>
    <w:rsid w:val="00C31030"/>
    <w:rsid w:val="00C46404"/>
    <w:rsid w:val="00C70DEB"/>
    <w:rsid w:val="00CB0664"/>
    <w:rsid w:val="00CB39FA"/>
    <w:rsid w:val="00CE2390"/>
    <w:rsid w:val="00CF3092"/>
    <w:rsid w:val="00CF4510"/>
    <w:rsid w:val="00D10908"/>
    <w:rsid w:val="00D1237F"/>
    <w:rsid w:val="00E10072"/>
    <w:rsid w:val="00E6257C"/>
    <w:rsid w:val="00E9608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E2D4D99"/>
  <w14:defaultImageDpi w14:val="300"/>
  <w15:docId w15:val="{C5BD152A-B386-4FF7-AA8B-0B1E46D00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99B"/>
    <w:pPr>
      <w:spacing w:before="120" w:after="120" w:line="360" w:lineRule="auto"/>
      <w:jc w:val="both"/>
    </w:pPr>
    <w:rPr>
      <w:rFonts w:ascii="Times New Roman" w:eastAsia="Times New Roman" w:hAnsi="Times New Roman"/>
      <w:sz w:val="24"/>
    </w:rPr>
  </w:style>
  <w:style w:type="paragraph" w:styleId="Heading1">
    <w:name w:val="heading 1"/>
    <w:basedOn w:val="Normal"/>
    <w:next w:val="Normal"/>
    <w:link w:val="Heading1Char"/>
    <w:uiPriority w:val="9"/>
    <w:qFormat/>
    <w:rsid w:val="004D599B"/>
    <w:pPr>
      <w:keepNext/>
      <w:keepLines/>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4D599B"/>
    <w:pPr>
      <w:keepNext/>
      <w:keepLines/>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FC693F"/>
    <w:pPr>
      <w:keepNext/>
      <w:keepLines/>
      <w:spacing w:before="160" w:after="80"/>
      <w:outlineLvl w:val="2"/>
    </w:pPr>
    <w:rPr>
      <w:rFonts w:asciiTheme="majorHAnsi" w:eastAsiaTheme="majorEastAsia" w:hAnsiTheme="majorHAnsi" w:cstheme="majorBidi"/>
      <w:b/>
      <w:bCs/>
      <w:color w:val="1F4E79"/>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4D599B"/>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4D599B"/>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pBdr>
        <w:bottom w:val="single" w:sz="8" w:space="4" w:color="4F81BD" w:themeColor="accent1"/>
      </w:pBdr>
      <w:spacing w:before="160" w:after="80" w:line="240" w:lineRule="auto"/>
      <w:contextualSpacing/>
    </w:pPr>
    <w:rPr>
      <w:rFonts w:asciiTheme="majorHAnsi" w:eastAsiaTheme="majorEastAsia" w:hAnsiTheme="majorHAnsi" w:cstheme="majorBidi"/>
      <w:b/>
      <w:color w:val="1F4E79"/>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keepNext/>
      <w:numPr>
        <w:ilvl w:val="1"/>
      </w:numPr>
      <w:spacing w:before="160" w:after="80"/>
    </w:pPr>
    <w:rPr>
      <w:rFonts w:asciiTheme="majorHAnsi" w:eastAsiaTheme="majorEastAsia" w:hAnsiTheme="majorHAnsi" w:cstheme="majorBidi"/>
      <w:i/>
      <w:iCs/>
      <w:color w:val="1F4E79"/>
      <w:spacing w:val="15"/>
      <w:sz w:val="26"/>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4D599B"/>
    <w:rPr>
      <w:color w:val="0000FF" w:themeColor="hyperlink"/>
      <w:u w:val="single"/>
    </w:rPr>
  </w:style>
  <w:style w:type="character" w:styleId="UnresolvedMention">
    <w:name w:val="Unresolved Mention"/>
    <w:basedOn w:val="DefaultParagraphFont"/>
    <w:uiPriority w:val="99"/>
    <w:semiHidden/>
    <w:unhideWhenUsed/>
    <w:rsid w:val="004D599B"/>
    <w:rPr>
      <w:color w:val="605E5C"/>
      <w:shd w:val="clear" w:color="auto" w:fill="E1DFDD"/>
    </w:rPr>
  </w:style>
  <w:style w:type="paragraph" w:styleId="TOC1">
    <w:name w:val="toc 1"/>
    <w:basedOn w:val="Normal"/>
    <w:next w:val="Normal"/>
    <w:autoRedefine/>
    <w:uiPriority w:val="39"/>
    <w:unhideWhenUsed/>
    <w:rsid w:val="00234667"/>
    <w:pPr>
      <w:spacing w:after="100"/>
    </w:pPr>
  </w:style>
  <w:style w:type="paragraph" w:styleId="TOC2">
    <w:name w:val="toc 2"/>
    <w:basedOn w:val="Normal"/>
    <w:next w:val="Normal"/>
    <w:autoRedefine/>
    <w:uiPriority w:val="39"/>
    <w:unhideWhenUsed/>
    <w:rsid w:val="00CF3092"/>
    <w:pPr>
      <w:tabs>
        <w:tab w:val="right" w:leader="dot" w:pos="9534"/>
      </w:tabs>
      <w:spacing w:after="100"/>
      <w:ind w:left="240"/>
    </w:pPr>
    <w:rPr>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rporate.arcelormittal.com/media/news/regulatory-news/arcelormittal-publishes-its-2024-sustainability-report" TargetMode="External"/><Relationship Id="rId18" Type="http://schemas.openxmlformats.org/officeDocument/2006/relationships/hyperlink" Target="https://eur-lex.europa.eu/eli/reg/2023/956/oj" TargetMode="External"/><Relationship Id="rId26" Type="http://schemas.openxmlformats.org/officeDocument/2006/relationships/hyperlink" Target="https://www.pearson.com/en-gb/subject-catalog/p/principles-of-marketing-global-edition/P200000010013/9781292740836" TargetMode="External"/><Relationship Id="rId21" Type="http://schemas.openxmlformats.org/officeDocument/2006/relationships/hyperlink" Target="https://www.iea.org/reports/iron-and-steel-technology-roadmap" TargetMode="External"/><Relationship Id="rId34" Type="http://schemas.openxmlformats.org/officeDocument/2006/relationships/hyperlink" Target="https://worldsteel.org/data/world-steel-in-figures/world-steel-in-figures-2025/" TargetMode="External"/><Relationship Id="rId7" Type="http://schemas.openxmlformats.org/officeDocument/2006/relationships/endnotes" Target="endnotes.xml"/><Relationship Id="rId12" Type="http://schemas.openxmlformats.org/officeDocument/2006/relationships/hyperlink" Target="https://corporate.arcelormittal.com/media/if0baqyg/annual-report-2024.pdf" TargetMode="External"/><Relationship Id="rId17" Type="http://schemas.openxmlformats.org/officeDocument/2006/relationships/hyperlink" Target="https://commission.europa.eu/topics/competitiveness/clean-industrial-deal_en" TargetMode="External"/><Relationship Id="rId25" Type="http://schemas.openxmlformats.org/officeDocument/2006/relationships/hyperlink" Target="https://www.iea.org/reports/breakthrough-agenda-report-2025/steel" TargetMode="External"/><Relationship Id="rId33" Type="http://schemas.openxmlformats.org/officeDocument/2006/relationships/hyperlink" Target="https://worldsteel.org/media/press-releases/2024/sustainability-indicators-2024/" TargetMode="External"/><Relationship Id="rId2" Type="http://schemas.openxmlformats.org/officeDocument/2006/relationships/numbering" Target="numbering.xml"/><Relationship Id="rId16" Type="http://schemas.openxmlformats.org/officeDocument/2006/relationships/hyperlink" Target="https://eur-lex.europa.eu/legal-content/EN/TXT/?uri=CELEX:52025DC0125" TargetMode="External"/><Relationship Id="rId20" Type="http://schemas.openxmlformats.org/officeDocument/2006/relationships/hyperlink" Target="https://globalenergymonitor.org/research/pedal-metal-2024/" TargetMode="External"/><Relationship Id="rId29" Type="http://schemas.openxmlformats.org/officeDocument/2006/relationships/hyperlink" Target="https://doi.org/10.1146/annurev-matsci-080222-12364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arcelormittal.com/media/news/regulatory-news/arcelormittal-publishes-its-2023-integrated-annual-review" TargetMode="External"/><Relationship Id="rId24" Type="http://schemas.openxmlformats.org/officeDocument/2006/relationships/hyperlink" Target="https://www.iea.org/reports/breakthrough-agenda-report-2024/steel" TargetMode="External"/><Relationship Id="rId32" Type="http://schemas.openxmlformats.org/officeDocument/2006/relationships/hyperlink" Target="https://www.weforum.org/media/wef24-first-movers-coalition-commitment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16/j.enconman.2022.115268" TargetMode="External"/><Relationship Id="rId23" Type="http://schemas.openxmlformats.org/officeDocument/2006/relationships/hyperlink" Target="https://www.iea.org/reports/global-hydrogen-review-2024" TargetMode="External"/><Relationship Id="rId28" Type="http://schemas.openxmlformats.org/officeDocument/2006/relationships/hyperlink" Target="https://www.oecd.org/en/publications/oecd-steel-outlook-2025_28b61a5e-en/full-report/steel-decarbonisation-efforts-challenged-by-excess-capacity_1d8e1abc.html"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oi.org/10.1016/j.joule.2021.02.018" TargetMode="External"/><Relationship Id="rId31" Type="http://schemas.openxmlformats.org/officeDocument/2006/relationships/hyperlink" Target="https://doi.org/10.1038/s41467-021-22245-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uildingsolutions-caraibes.arcelormittal.com/en/news-details/embracing-sustainability-arcelormittal-building-solutions-introduces-xcarb-recycled-and-renewably-produced-steel-to-reduce-carbon-footprint-by-up-to-70" TargetMode="External"/><Relationship Id="rId22" Type="http://schemas.openxmlformats.org/officeDocument/2006/relationships/hyperlink" Target="https://www.iea.org/reports/demand-and-supply-measures-for-the-steel-and-cement-transition" TargetMode="External"/><Relationship Id="rId27" Type="http://schemas.openxmlformats.org/officeDocument/2006/relationships/hyperlink" Target="https://www.oecd.org/content/dam/oecd/en/events/2024/10/gfsec-ministerial-meeting/GFSEC-2024-ministerial-statement-and-references.pdf" TargetMode="External"/><Relationship Id="rId30" Type="http://schemas.openxmlformats.org/officeDocument/2006/relationships/hyperlink" Target="https://www.responsiblesteel.org/standards" TargetMode="External"/><Relationship Id="rId35"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4364</Words>
  <Characters>24876</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Marketing Environment Analysis: ArcelorMittal and the Transition to Lower-Carbon Steel</vt:lpstr>
    </vt:vector>
  </TitlesOfParts>
  <Manager/>
  <Company/>
  <LinksUpToDate>false</LinksUpToDate>
  <CharactersWithSpaces>29182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Taranpreet Singh (2606892)</cp:lastModifiedBy>
  <cp:revision>3</cp:revision>
  <dcterms:created xsi:type="dcterms:W3CDTF">2026-10-21T18:38:00Z</dcterms:created>
  <dcterms:modified xsi:type="dcterms:W3CDTF">2026-10-21T18:43:00Z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7497fff6f6731ecb75f951dcf49a431d3ed6c02f1317face2eb1832fc129ed8a</vt:lpwstr>
  </property>
</Properties>
</file>