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10F" w:rsidRPr="004D2C82" w:rsidRDefault="007F410F" w:rsidP="004D2C82">
      <w:pPr>
        <w:jc w:val="center"/>
        <w:rPr>
          <w:rFonts w:ascii="Times New Roman" w:hAnsi="Times New Roman" w:cs="Times New Roman"/>
          <w:b/>
          <w:sz w:val="48"/>
          <w:u w:val="single"/>
        </w:rPr>
      </w:pPr>
      <w:r w:rsidRPr="004D2C82">
        <w:rPr>
          <w:rFonts w:ascii="Times New Roman" w:hAnsi="Times New Roman" w:cs="Times New Roman"/>
          <w:b/>
          <w:sz w:val="48"/>
          <w:u w:val="single"/>
        </w:rPr>
        <w:t>Contents Page</w:t>
      </w:r>
    </w:p>
    <w:p w:rsidR="007F410F" w:rsidRDefault="007F410F">
      <w:pPr>
        <w:rPr>
          <w:rFonts w:ascii="Times New Roman" w:hAnsi="Times New Roman" w:cs="Times New Roman"/>
          <w:sz w:val="48"/>
        </w:rPr>
      </w:pPr>
    </w:p>
    <w:p w:rsidR="004D2C82" w:rsidRDefault="004D2C82" w:rsidP="004D2C82">
      <w:pPr>
        <w:jc w:val="center"/>
        <w:rPr>
          <w:rFonts w:ascii="Times New Roman" w:hAnsi="Times New Roman" w:cs="Times New Roman"/>
          <w:sz w:val="48"/>
        </w:rPr>
      </w:pPr>
    </w:p>
    <w:p w:rsidR="004D2C82" w:rsidRDefault="004D2C82" w:rsidP="004D2C82">
      <w:pPr>
        <w:jc w:val="center"/>
        <w:rPr>
          <w:rFonts w:ascii="Times New Roman" w:hAnsi="Times New Roman" w:cs="Times New Roman"/>
          <w:sz w:val="48"/>
        </w:rPr>
      </w:pPr>
    </w:p>
    <w:p w:rsidR="004D2C82" w:rsidRDefault="004D2C82" w:rsidP="004D2C82">
      <w:pPr>
        <w:jc w:val="center"/>
        <w:rPr>
          <w:rFonts w:ascii="Times New Roman" w:hAnsi="Times New Roman" w:cs="Times New Roman"/>
          <w:sz w:val="48"/>
        </w:rPr>
      </w:pPr>
    </w:p>
    <w:p w:rsidR="007F410F" w:rsidRDefault="007F410F" w:rsidP="004D2C82">
      <w:pPr>
        <w:jc w:val="center"/>
        <w:rPr>
          <w:rFonts w:ascii="Times New Roman" w:hAnsi="Times New Roman" w:cs="Times New Roman"/>
          <w:sz w:val="48"/>
        </w:rPr>
      </w:pPr>
      <w:r>
        <w:rPr>
          <w:rFonts w:ascii="Times New Roman" w:hAnsi="Times New Roman" w:cs="Times New Roman"/>
          <w:sz w:val="48"/>
        </w:rPr>
        <w:t xml:space="preserve">Activity Plan      </w:t>
      </w:r>
      <w:r w:rsidR="00C2080D">
        <w:rPr>
          <w:rFonts w:ascii="Times New Roman" w:hAnsi="Times New Roman" w:cs="Times New Roman"/>
          <w:sz w:val="48"/>
        </w:rPr>
        <w:t xml:space="preserve">                             2-4</w:t>
      </w:r>
    </w:p>
    <w:p w:rsidR="007F410F" w:rsidRDefault="007F410F" w:rsidP="004D2C82">
      <w:pPr>
        <w:jc w:val="center"/>
        <w:rPr>
          <w:rFonts w:ascii="Times New Roman" w:hAnsi="Times New Roman" w:cs="Times New Roman"/>
          <w:sz w:val="48"/>
        </w:rPr>
      </w:pPr>
    </w:p>
    <w:p w:rsidR="007F410F" w:rsidRDefault="007F410F" w:rsidP="004D2C82">
      <w:pPr>
        <w:jc w:val="center"/>
        <w:rPr>
          <w:rFonts w:ascii="Times New Roman" w:hAnsi="Times New Roman" w:cs="Times New Roman"/>
          <w:sz w:val="48"/>
        </w:rPr>
      </w:pPr>
      <w:r>
        <w:rPr>
          <w:rFonts w:ascii="Times New Roman" w:hAnsi="Times New Roman" w:cs="Times New Roman"/>
          <w:sz w:val="48"/>
        </w:rPr>
        <w:t>Evaluation</w:t>
      </w:r>
      <w:r w:rsidR="00C2080D">
        <w:rPr>
          <w:rFonts w:ascii="Times New Roman" w:hAnsi="Times New Roman" w:cs="Times New Roman"/>
          <w:sz w:val="48"/>
        </w:rPr>
        <w:t xml:space="preserve">         </w:t>
      </w:r>
      <w:r w:rsidR="0073688A">
        <w:rPr>
          <w:rFonts w:ascii="Times New Roman" w:hAnsi="Times New Roman" w:cs="Times New Roman"/>
          <w:sz w:val="48"/>
        </w:rPr>
        <w:t xml:space="preserve">                             4-6</w:t>
      </w:r>
    </w:p>
    <w:p w:rsidR="007F410F" w:rsidRDefault="007F410F" w:rsidP="004D2C82">
      <w:pPr>
        <w:jc w:val="center"/>
        <w:rPr>
          <w:rFonts w:ascii="Times New Roman" w:hAnsi="Times New Roman" w:cs="Times New Roman"/>
          <w:sz w:val="48"/>
        </w:rPr>
      </w:pPr>
    </w:p>
    <w:p w:rsidR="007F410F" w:rsidRDefault="007F410F" w:rsidP="004D2C82">
      <w:pPr>
        <w:jc w:val="center"/>
        <w:rPr>
          <w:rFonts w:ascii="Times New Roman" w:hAnsi="Times New Roman" w:cs="Times New Roman"/>
          <w:sz w:val="48"/>
        </w:rPr>
      </w:pPr>
      <w:r>
        <w:rPr>
          <w:rFonts w:ascii="Times New Roman" w:hAnsi="Times New Roman" w:cs="Times New Roman"/>
          <w:sz w:val="48"/>
        </w:rPr>
        <w:t>Discussion</w:t>
      </w:r>
      <w:r w:rsidR="007529B5">
        <w:rPr>
          <w:rFonts w:ascii="Times New Roman" w:hAnsi="Times New Roman" w:cs="Times New Roman"/>
          <w:sz w:val="48"/>
        </w:rPr>
        <w:t xml:space="preserve">       </w:t>
      </w:r>
      <w:r w:rsidR="0073688A">
        <w:rPr>
          <w:rFonts w:ascii="Times New Roman" w:hAnsi="Times New Roman" w:cs="Times New Roman"/>
          <w:sz w:val="48"/>
        </w:rPr>
        <w:t xml:space="preserve">                               6-7</w:t>
      </w:r>
    </w:p>
    <w:p w:rsidR="007F410F" w:rsidRDefault="007F410F" w:rsidP="004D2C82">
      <w:pPr>
        <w:jc w:val="center"/>
        <w:rPr>
          <w:rFonts w:ascii="Times New Roman" w:hAnsi="Times New Roman" w:cs="Times New Roman"/>
          <w:sz w:val="48"/>
        </w:rPr>
      </w:pPr>
    </w:p>
    <w:p w:rsidR="007F410F" w:rsidRDefault="007F410F" w:rsidP="004D2C82">
      <w:pPr>
        <w:jc w:val="center"/>
        <w:rPr>
          <w:rFonts w:ascii="Times New Roman" w:hAnsi="Times New Roman" w:cs="Times New Roman"/>
          <w:sz w:val="48"/>
        </w:rPr>
      </w:pPr>
      <w:r>
        <w:rPr>
          <w:rFonts w:ascii="Times New Roman" w:hAnsi="Times New Roman" w:cs="Times New Roman"/>
          <w:sz w:val="48"/>
        </w:rPr>
        <w:t>Explanation</w:t>
      </w:r>
      <w:r w:rsidR="004D2C82">
        <w:rPr>
          <w:rFonts w:ascii="Times New Roman" w:hAnsi="Times New Roman" w:cs="Times New Roman"/>
          <w:sz w:val="48"/>
        </w:rPr>
        <w:t xml:space="preserve">       </w:t>
      </w:r>
      <w:r w:rsidR="0073688A">
        <w:rPr>
          <w:rFonts w:ascii="Times New Roman" w:hAnsi="Times New Roman" w:cs="Times New Roman"/>
          <w:sz w:val="48"/>
        </w:rPr>
        <w:t xml:space="preserve">                             7-9</w:t>
      </w:r>
    </w:p>
    <w:p w:rsidR="004D2C82" w:rsidRDefault="004D2C82" w:rsidP="004D2C82">
      <w:pPr>
        <w:jc w:val="center"/>
        <w:rPr>
          <w:rFonts w:ascii="Times New Roman" w:hAnsi="Times New Roman" w:cs="Times New Roman"/>
          <w:sz w:val="48"/>
        </w:rPr>
      </w:pPr>
    </w:p>
    <w:p w:rsidR="0073688A" w:rsidRDefault="004D2C82" w:rsidP="004D2C82">
      <w:pPr>
        <w:jc w:val="center"/>
        <w:rPr>
          <w:rFonts w:ascii="Times New Roman" w:hAnsi="Times New Roman" w:cs="Times New Roman"/>
          <w:sz w:val="48"/>
        </w:rPr>
      </w:pPr>
      <w:r>
        <w:rPr>
          <w:rFonts w:ascii="Times New Roman" w:hAnsi="Times New Roman" w:cs="Times New Roman"/>
          <w:sz w:val="48"/>
        </w:rPr>
        <w:t>References                                     10</w:t>
      </w:r>
      <w:r w:rsidR="00F86617">
        <w:rPr>
          <w:rFonts w:ascii="Times New Roman" w:hAnsi="Times New Roman" w:cs="Times New Roman"/>
          <w:sz w:val="48"/>
        </w:rPr>
        <w:t>-12</w:t>
      </w:r>
    </w:p>
    <w:p w:rsidR="0073688A" w:rsidRPr="0073688A" w:rsidRDefault="0073688A" w:rsidP="0073688A">
      <w:pPr>
        <w:rPr>
          <w:rFonts w:ascii="Times New Roman" w:hAnsi="Times New Roman" w:cs="Times New Roman"/>
          <w:sz w:val="48"/>
        </w:rPr>
      </w:pPr>
    </w:p>
    <w:p w:rsidR="004D2C82" w:rsidRPr="0073688A" w:rsidRDefault="004D2C82" w:rsidP="0073688A">
      <w:pPr>
        <w:jc w:val="center"/>
        <w:rPr>
          <w:rFonts w:ascii="Times New Roman" w:hAnsi="Times New Roman" w:cs="Times New Roman"/>
          <w:sz w:val="48"/>
        </w:rPr>
      </w:pPr>
    </w:p>
    <w:tbl>
      <w:tblPr>
        <w:tblStyle w:val="TableGrid"/>
        <w:tblpPr w:leftFromText="180" w:rightFromText="180" w:horzAnchor="margin" w:tblpY="-1440"/>
        <w:tblW w:w="0" w:type="auto"/>
        <w:tblLayout w:type="fixed"/>
        <w:tblLook w:val="04A0" w:firstRow="1" w:lastRow="0" w:firstColumn="1" w:lastColumn="0" w:noHBand="0" w:noVBand="1"/>
      </w:tblPr>
      <w:tblGrid>
        <w:gridCol w:w="2771"/>
        <w:gridCol w:w="3416"/>
        <w:gridCol w:w="2829"/>
      </w:tblGrid>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i/>
                <w:sz w:val="24"/>
                <w:szCs w:val="24"/>
              </w:rPr>
            </w:pPr>
            <w:r w:rsidRPr="0073688A">
              <w:rPr>
                <w:rFonts w:ascii="Times New Roman" w:hAnsi="Times New Roman" w:cs="Times New Roman"/>
                <w:b/>
                <w:i/>
                <w:sz w:val="24"/>
                <w:szCs w:val="24"/>
              </w:rPr>
              <w:lastRenderedPageBreak/>
              <w:t>Activity Plan</w:t>
            </w: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Activity:</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Use classroom scales to weigh different objects and discuss and develop the concept of heavier and lighter.</w:t>
            </w: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2771" w:type="dxa"/>
          </w:tcPr>
          <w:p w:rsidR="00ED401F" w:rsidRPr="0073688A" w:rsidRDefault="00ED401F"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Number of children:</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6</w:t>
            </w:r>
          </w:p>
          <w:p w:rsidR="00ED401F" w:rsidRPr="0073688A" w:rsidRDefault="00ED401F" w:rsidP="0073688A">
            <w:pPr>
              <w:spacing w:line="360" w:lineRule="auto"/>
              <w:jc w:val="both"/>
              <w:rPr>
                <w:rFonts w:ascii="Times New Roman" w:hAnsi="Times New Roman" w:cs="Times New Roman"/>
                <w:sz w:val="24"/>
                <w:szCs w:val="24"/>
              </w:rPr>
            </w:pPr>
          </w:p>
        </w:tc>
        <w:tc>
          <w:tcPr>
            <w:tcW w:w="3416" w:type="dxa"/>
          </w:tcPr>
          <w:p w:rsidR="00ED401F" w:rsidRPr="0073688A" w:rsidRDefault="00ED401F"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Age of children:</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4-5</w:t>
            </w:r>
          </w:p>
        </w:tc>
        <w:tc>
          <w:tcPr>
            <w:tcW w:w="2829" w:type="dxa"/>
          </w:tcPr>
          <w:p w:rsidR="00ED401F" w:rsidRPr="0073688A" w:rsidRDefault="00ED401F"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Number of adults:</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1</w:t>
            </w:r>
          </w:p>
        </w:tc>
      </w:tr>
      <w:tr w:rsidR="00ED401F" w:rsidRPr="0073688A" w:rsidTr="007F410F">
        <w:tc>
          <w:tcPr>
            <w:tcW w:w="2771" w:type="dxa"/>
          </w:tcPr>
          <w:p w:rsidR="00D20375" w:rsidRPr="0073688A" w:rsidRDefault="00D20375"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Location:</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Classroom</w:t>
            </w:r>
          </w:p>
          <w:p w:rsidR="00ED401F" w:rsidRPr="0073688A" w:rsidRDefault="00ED401F" w:rsidP="0073688A">
            <w:pPr>
              <w:spacing w:line="360" w:lineRule="auto"/>
              <w:jc w:val="both"/>
              <w:rPr>
                <w:rFonts w:ascii="Times New Roman" w:hAnsi="Times New Roman" w:cs="Times New Roman"/>
                <w:sz w:val="24"/>
                <w:szCs w:val="24"/>
              </w:rPr>
            </w:pPr>
          </w:p>
        </w:tc>
        <w:tc>
          <w:tcPr>
            <w:tcW w:w="3416" w:type="dxa"/>
          </w:tcPr>
          <w:p w:rsidR="00D20375" w:rsidRPr="0073688A" w:rsidRDefault="00D20375"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Preparation time:</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10 minutes</w:t>
            </w:r>
          </w:p>
        </w:tc>
        <w:tc>
          <w:tcPr>
            <w:tcW w:w="2829" w:type="dxa"/>
          </w:tcPr>
          <w:p w:rsidR="00D20375" w:rsidRPr="0073688A" w:rsidRDefault="00D20375"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Activity time:</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15 minutes</w:t>
            </w: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sz w:val="24"/>
                <w:szCs w:val="24"/>
              </w:rPr>
            </w:pPr>
          </w:p>
          <w:p w:rsidR="00ED401F" w:rsidRPr="0073688A" w:rsidRDefault="00ED401F" w:rsidP="0073688A">
            <w:pPr>
              <w:spacing w:line="360" w:lineRule="auto"/>
              <w:jc w:val="both"/>
              <w:rPr>
                <w:rFonts w:ascii="Times New Roman" w:hAnsi="Times New Roman" w:cs="Times New Roman"/>
                <w:sz w:val="24"/>
                <w:szCs w:val="24"/>
              </w:rPr>
            </w:pPr>
            <w:r w:rsidRPr="0073688A">
              <w:rPr>
                <w:rFonts w:ascii="Times New Roman" w:hAnsi="Times New Roman" w:cs="Times New Roman"/>
                <w:b/>
                <w:i/>
                <w:sz w:val="24"/>
                <w:szCs w:val="24"/>
              </w:rPr>
              <w:t>Resources:</w:t>
            </w:r>
            <w:r w:rsidR="00D20375" w:rsidRPr="0073688A">
              <w:rPr>
                <w:rFonts w:ascii="Times New Roman" w:hAnsi="Times New Roman" w:cs="Times New Roman"/>
                <w:b/>
                <w:i/>
                <w:sz w:val="24"/>
                <w:szCs w:val="24"/>
              </w:rPr>
              <w:t xml:space="preserve"> </w:t>
            </w:r>
            <w:r w:rsidR="00D20375" w:rsidRPr="0073688A">
              <w:rPr>
                <w:rFonts w:ascii="Times New Roman" w:hAnsi="Times New Roman" w:cs="Times New Roman"/>
                <w:sz w:val="24"/>
                <w:szCs w:val="24"/>
              </w:rPr>
              <w:t>Blocks, rubber, numicon, glue sticks, balls, scissors, soft toy, dice, bottle of water</w:t>
            </w:r>
          </w:p>
          <w:p w:rsidR="00ED401F" w:rsidRPr="0073688A" w:rsidRDefault="00ED401F" w:rsidP="0073688A">
            <w:pPr>
              <w:spacing w:line="360" w:lineRule="auto"/>
              <w:jc w:val="both"/>
              <w:rPr>
                <w:rFonts w:ascii="Times New Roman" w:hAnsi="Times New Roman" w:cs="Times New Roman"/>
                <w:sz w:val="24"/>
                <w:szCs w:val="24"/>
              </w:rPr>
            </w:pPr>
          </w:p>
          <w:p w:rsidR="00ED401F" w:rsidRPr="0073688A" w:rsidRDefault="00ED401F" w:rsidP="0073688A">
            <w:pPr>
              <w:spacing w:line="360" w:lineRule="auto"/>
              <w:jc w:val="both"/>
              <w:rPr>
                <w:rFonts w:ascii="Times New Roman" w:hAnsi="Times New Roman" w:cs="Times New Roman"/>
                <w:sz w:val="24"/>
                <w:szCs w:val="24"/>
              </w:rPr>
            </w:pP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i/>
                <w:sz w:val="24"/>
                <w:szCs w:val="24"/>
              </w:rPr>
            </w:pPr>
            <w:r w:rsidRPr="0073688A">
              <w:rPr>
                <w:rFonts w:ascii="Times New Roman" w:hAnsi="Times New Roman" w:cs="Times New Roman"/>
                <w:b/>
                <w:i/>
                <w:sz w:val="24"/>
                <w:szCs w:val="24"/>
              </w:rPr>
              <w:t>Aim/s of activity:</w:t>
            </w:r>
          </w:p>
          <w:p w:rsidR="00D20375" w:rsidRPr="0073688A" w:rsidRDefault="00D20375" w:rsidP="0073688A">
            <w:pPr>
              <w:spacing w:line="360" w:lineRule="auto"/>
              <w:jc w:val="both"/>
              <w:rPr>
                <w:rFonts w:ascii="Times New Roman" w:hAnsi="Times New Roman" w:cs="Times New Roman"/>
                <w:b/>
                <w:i/>
                <w:sz w:val="24"/>
                <w:szCs w:val="24"/>
              </w:rPr>
            </w:pPr>
          </w:p>
          <w:p w:rsidR="00D20375" w:rsidRPr="0073688A" w:rsidRDefault="00D20375"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Develop an understanding of what is heavy and light.</w:t>
            </w:r>
          </w:p>
          <w:p w:rsidR="00D20375" w:rsidRPr="0073688A" w:rsidRDefault="00D20375"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Identify that bigger items do not necessarily mean heavy and small items do not necessarily mean light. This will also introduce the concept of density.</w:t>
            </w:r>
          </w:p>
          <w:p w:rsidR="00ED401F" w:rsidRPr="0073688A" w:rsidRDefault="00D20375"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A visual representation of what heavy/light objects look like when placed on scales and a developed understanding on how to identify which item is heaviest/lightest by looking at the scales.</w:t>
            </w:r>
          </w:p>
          <w:p w:rsidR="00ED401F" w:rsidRPr="0073688A" w:rsidRDefault="00ED401F" w:rsidP="0073688A">
            <w:pPr>
              <w:spacing w:line="360" w:lineRule="auto"/>
              <w:jc w:val="both"/>
              <w:rPr>
                <w:rFonts w:ascii="Times New Roman" w:hAnsi="Times New Roman" w:cs="Times New Roman"/>
                <w:sz w:val="24"/>
                <w:szCs w:val="24"/>
              </w:rPr>
            </w:pP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i/>
                <w:sz w:val="24"/>
                <w:szCs w:val="24"/>
              </w:rPr>
            </w:pPr>
            <w:r w:rsidRPr="0073688A">
              <w:rPr>
                <w:rFonts w:ascii="Times New Roman" w:hAnsi="Times New Roman" w:cs="Times New Roman"/>
                <w:b/>
                <w:i/>
                <w:sz w:val="24"/>
                <w:szCs w:val="24"/>
              </w:rPr>
              <w:t>Links to outcomes:</w:t>
            </w:r>
          </w:p>
          <w:p w:rsidR="00224074" w:rsidRPr="0073688A" w:rsidRDefault="00224074" w:rsidP="0073688A">
            <w:pPr>
              <w:spacing w:line="360" w:lineRule="auto"/>
              <w:jc w:val="both"/>
              <w:rPr>
                <w:rFonts w:ascii="Times New Roman" w:hAnsi="Times New Roman" w:cs="Times New Roman"/>
                <w:b/>
                <w:sz w:val="24"/>
                <w:szCs w:val="24"/>
              </w:rPr>
            </w:pPr>
          </w:p>
          <w:p w:rsidR="00ED401F" w:rsidRPr="0073688A" w:rsidRDefault="00224074"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According to the Curriculum for Wales: Foundation phase framework for mathematical development, children in reception should be use direct comparisons with weight and mass. This activity will develop this skill and allow the children to discuss and identify things that are heavier/lighter than each other. </w:t>
            </w:r>
          </w:p>
          <w:p w:rsidR="00ED401F" w:rsidRPr="0073688A" w:rsidRDefault="00ED401F" w:rsidP="0073688A">
            <w:pPr>
              <w:spacing w:line="360" w:lineRule="auto"/>
              <w:jc w:val="both"/>
              <w:rPr>
                <w:rFonts w:ascii="Times New Roman" w:hAnsi="Times New Roman" w:cs="Times New Roman"/>
                <w:sz w:val="24"/>
                <w:szCs w:val="24"/>
              </w:rPr>
            </w:pP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i/>
                <w:sz w:val="24"/>
                <w:szCs w:val="24"/>
              </w:rPr>
            </w:pPr>
            <w:r w:rsidRPr="0073688A">
              <w:rPr>
                <w:rFonts w:ascii="Times New Roman" w:hAnsi="Times New Roman" w:cs="Times New Roman"/>
                <w:b/>
                <w:i/>
                <w:sz w:val="24"/>
                <w:szCs w:val="24"/>
              </w:rPr>
              <w:lastRenderedPageBreak/>
              <w:t>Differentiation:</w:t>
            </w:r>
          </w:p>
          <w:p w:rsidR="00224074" w:rsidRPr="0073688A" w:rsidRDefault="00224074" w:rsidP="0073688A">
            <w:pPr>
              <w:spacing w:line="360" w:lineRule="auto"/>
              <w:jc w:val="both"/>
              <w:rPr>
                <w:rFonts w:ascii="Times New Roman" w:hAnsi="Times New Roman" w:cs="Times New Roman"/>
                <w:sz w:val="24"/>
                <w:szCs w:val="24"/>
              </w:rPr>
            </w:pPr>
          </w:p>
          <w:p w:rsidR="00224074" w:rsidRPr="0073688A" w:rsidRDefault="00072EA1"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The group will include children at all different developmental stages</w:t>
            </w:r>
            <w:r w:rsidR="00C73EDE" w:rsidRPr="0073688A">
              <w:rPr>
                <w:rFonts w:ascii="Times New Roman" w:hAnsi="Times New Roman" w:cs="Times New Roman"/>
                <w:sz w:val="24"/>
                <w:szCs w:val="24"/>
              </w:rPr>
              <w:t>,</w:t>
            </w:r>
            <w:r w:rsidRPr="0073688A">
              <w:rPr>
                <w:rFonts w:ascii="Times New Roman" w:hAnsi="Times New Roman" w:cs="Times New Roman"/>
                <w:sz w:val="24"/>
                <w:szCs w:val="24"/>
              </w:rPr>
              <w:t xml:space="preserve"> so it is important to consider each child’s individual understanding of the task.</w:t>
            </w:r>
            <w:r w:rsidR="000A44BB" w:rsidRPr="0073688A">
              <w:rPr>
                <w:rFonts w:ascii="Times New Roman" w:hAnsi="Times New Roman" w:cs="Times New Roman"/>
                <w:sz w:val="24"/>
                <w:szCs w:val="24"/>
              </w:rPr>
              <w:t xml:space="preserve"> It is also important to consider th</w:t>
            </w:r>
            <w:r w:rsidR="00C73EDE" w:rsidRPr="0073688A">
              <w:rPr>
                <w:rFonts w:ascii="Times New Roman" w:hAnsi="Times New Roman" w:cs="Times New Roman"/>
                <w:sz w:val="24"/>
                <w:szCs w:val="24"/>
              </w:rPr>
              <w:t>at the activity may be a longer process for children who need more time and objects to understand the concept.</w:t>
            </w:r>
          </w:p>
          <w:p w:rsidR="00ED401F" w:rsidRPr="0073688A" w:rsidRDefault="00003347"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Furthermore,</w:t>
            </w:r>
            <w:r w:rsidR="00AB0A4C" w:rsidRPr="0073688A">
              <w:rPr>
                <w:rFonts w:ascii="Times New Roman" w:hAnsi="Times New Roman" w:cs="Times New Roman"/>
                <w:sz w:val="24"/>
                <w:szCs w:val="24"/>
              </w:rPr>
              <w:t xml:space="preserve"> it is important to consider the professional who will be undertaking the activity and are they appropriately qualified and are they the best professional to ensure a rich learning experience.</w:t>
            </w: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i/>
                <w:sz w:val="24"/>
                <w:szCs w:val="24"/>
              </w:rPr>
            </w:pPr>
            <w:r w:rsidRPr="0073688A">
              <w:rPr>
                <w:rFonts w:ascii="Times New Roman" w:hAnsi="Times New Roman" w:cs="Times New Roman"/>
                <w:b/>
                <w:i/>
                <w:sz w:val="24"/>
                <w:szCs w:val="24"/>
              </w:rPr>
              <w:t>Health and safety:</w:t>
            </w:r>
          </w:p>
          <w:p w:rsidR="00C73EDE" w:rsidRPr="0073688A" w:rsidRDefault="00C73EDE" w:rsidP="0073688A">
            <w:pPr>
              <w:spacing w:line="360" w:lineRule="auto"/>
              <w:jc w:val="both"/>
              <w:rPr>
                <w:rFonts w:ascii="Times New Roman" w:hAnsi="Times New Roman" w:cs="Times New Roman"/>
                <w:b/>
                <w:i/>
                <w:sz w:val="24"/>
                <w:szCs w:val="24"/>
              </w:rPr>
            </w:pPr>
          </w:p>
          <w:p w:rsidR="00C73EDE" w:rsidRPr="0073688A" w:rsidRDefault="00C73EDE"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Make sure children are comfortable and supported throughout the task. Ensure objects being used are not hazardous to the children in any way prior to starting the activity.</w:t>
            </w:r>
            <w:r w:rsidR="00AB0A4C" w:rsidRPr="0073688A">
              <w:rPr>
                <w:rFonts w:ascii="Times New Roman" w:hAnsi="Times New Roman" w:cs="Times New Roman"/>
                <w:sz w:val="24"/>
                <w:szCs w:val="24"/>
              </w:rPr>
              <w:t xml:space="preserve"> Ensure ratios are correct and any risk assessment needed will be carried out as per school’s policy. </w:t>
            </w:r>
          </w:p>
          <w:p w:rsidR="00ED401F" w:rsidRPr="0073688A" w:rsidRDefault="00ED401F" w:rsidP="0073688A">
            <w:pPr>
              <w:spacing w:line="360" w:lineRule="auto"/>
              <w:jc w:val="both"/>
              <w:rPr>
                <w:rFonts w:ascii="Times New Roman" w:hAnsi="Times New Roman" w:cs="Times New Roman"/>
                <w:sz w:val="24"/>
                <w:szCs w:val="24"/>
              </w:rPr>
            </w:pP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i/>
                <w:sz w:val="24"/>
                <w:szCs w:val="24"/>
              </w:rPr>
            </w:pPr>
            <w:r w:rsidRPr="0073688A">
              <w:rPr>
                <w:rFonts w:ascii="Times New Roman" w:hAnsi="Times New Roman" w:cs="Times New Roman"/>
                <w:b/>
                <w:i/>
                <w:sz w:val="24"/>
                <w:szCs w:val="24"/>
              </w:rPr>
              <w:t>Role of adult/adults:</w:t>
            </w:r>
          </w:p>
          <w:p w:rsidR="00C73EDE" w:rsidRPr="0073688A" w:rsidRDefault="00C73EDE" w:rsidP="0073688A">
            <w:pPr>
              <w:spacing w:line="360" w:lineRule="auto"/>
              <w:jc w:val="both"/>
              <w:rPr>
                <w:rFonts w:ascii="Times New Roman" w:hAnsi="Times New Roman" w:cs="Times New Roman"/>
                <w:b/>
                <w:i/>
                <w:sz w:val="24"/>
                <w:szCs w:val="24"/>
              </w:rPr>
            </w:pPr>
          </w:p>
          <w:p w:rsidR="00C73EDE" w:rsidRPr="0073688A" w:rsidRDefault="00C73EDE"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The </w:t>
            </w:r>
            <w:r w:rsidR="00352EF8" w:rsidRPr="0073688A">
              <w:rPr>
                <w:rFonts w:ascii="Times New Roman" w:hAnsi="Times New Roman" w:cs="Times New Roman"/>
                <w:sz w:val="24"/>
                <w:szCs w:val="24"/>
              </w:rPr>
              <w:t>role of ad</w:t>
            </w:r>
            <w:r w:rsidR="00AB0A4C" w:rsidRPr="0073688A">
              <w:rPr>
                <w:rFonts w:ascii="Times New Roman" w:hAnsi="Times New Roman" w:cs="Times New Roman"/>
                <w:sz w:val="24"/>
                <w:szCs w:val="24"/>
              </w:rPr>
              <w:t>ults is to appropriately explain the concept of weight and mass to the children. They will need to guide the</w:t>
            </w:r>
            <w:r w:rsidR="00F53451" w:rsidRPr="0073688A">
              <w:rPr>
                <w:rFonts w:ascii="Times New Roman" w:hAnsi="Times New Roman" w:cs="Times New Roman"/>
                <w:sz w:val="24"/>
                <w:szCs w:val="24"/>
              </w:rPr>
              <w:t xml:space="preserve">ir learning by pointing out what happens when the two objects are put onto the scales and allowing the </w:t>
            </w:r>
            <w:r w:rsidR="00F53451" w:rsidRPr="0073688A">
              <w:rPr>
                <w:rFonts w:ascii="Times New Roman" w:hAnsi="Times New Roman" w:cs="Times New Roman"/>
                <w:sz w:val="24"/>
                <w:szCs w:val="24"/>
                <w:lang w:val="en-GB"/>
              </w:rPr>
              <w:t>children</w:t>
            </w:r>
            <w:r w:rsidR="00F53451" w:rsidRPr="0073688A">
              <w:rPr>
                <w:rFonts w:ascii="Times New Roman" w:hAnsi="Times New Roman" w:cs="Times New Roman"/>
                <w:sz w:val="24"/>
                <w:szCs w:val="24"/>
              </w:rPr>
              <w:t xml:space="preserve"> to </w:t>
            </w:r>
            <w:r w:rsidR="00D6357B" w:rsidRPr="0073688A">
              <w:rPr>
                <w:rFonts w:ascii="Times New Roman" w:hAnsi="Times New Roman" w:cs="Times New Roman"/>
                <w:sz w:val="24"/>
                <w:szCs w:val="24"/>
              </w:rPr>
              <w:t>recognise</w:t>
            </w:r>
            <w:r w:rsidR="00F53451" w:rsidRPr="0073688A">
              <w:rPr>
                <w:rFonts w:ascii="Times New Roman" w:hAnsi="Times New Roman" w:cs="Times New Roman"/>
                <w:sz w:val="24"/>
                <w:szCs w:val="24"/>
              </w:rPr>
              <w:t xml:space="preserve"> </w:t>
            </w:r>
            <w:r w:rsidR="00D6357B" w:rsidRPr="0073688A">
              <w:rPr>
                <w:rFonts w:ascii="Times New Roman" w:hAnsi="Times New Roman" w:cs="Times New Roman"/>
                <w:sz w:val="24"/>
                <w:szCs w:val="24"/>
              </w:rPr>
              <w:t>and discuss w</w:t>
            </w:r>
            <w:r w:rsidR="00F53451" w:rsidRPr="0073688A">
              <w:rPr>
                <w:rFonts w:ascii="Times New Roman" w:hAnsi="Times New Roman" w:cs="Times New Roman"/>
                <w:sz w:val="24"/>
                <w:szCs w:val="24"/>
              </w:rPr>
              <w:t xml:space="preserve">hat object they think is the </w:t>
            </w:r>
            <w:r w:rsidR="00D6357B" w:rsidRPr="0073688A">
              <w:rPr>
                <w:rFonts w:ascii="Times New Roman" w:hAnsi="Times New Roman" w:cs="Times New Roman"/>
                <w:sz w:val="24"/>
                <w:szCs w:val="24"/>
              </w:rPr>
              <w:t>heaviest and what object they think is the lightest.</w:t>
            </w:r>
          </w:p>
          <w:p w:rsidR="00ED401F" w:rsidRPr="0073688A" w:rsidRDefault="00ED401F" w:rsidP="0073688A">
            <w:pPr>
              <w:spacing w:line="360" w:lineRule="auto"/>
              <w:jc w:val="both"/>
              <w:rPr>
                <w:rFonts w:ascii="Times New Roman" w:hAnsi="Times New Roman" w:cs="Times New Roman"/>
                <w:sz w:val="24"/>
                <w:szCs w:val="24"/>
                <w:lang w:val="en-GB"/>
              </w:rPr>
            </w:pPr>
          </w:p>
          <w:p w:rsidR="00ED401F" w:rsidRPr="0073688A" w:rsidRDefault="00ED401F" w:rsidP="0073688A">
            <w:pPr>
              <w:spacing w:line="360" w:lineRule="auto"/>
              <w:jc w:val="both"/>
              <w:rPr>
                <w:rFonts w:ascii="Times New Roman" w:hAnsi="Times New Roman" w:cs="Times New Roman"/>
                <w:sz w:val="24"/>
                <w:szCs w:val="24"/>
              </w:rPr>
            </w:pPr>
          </w:p>
        </w:tc>
      </w:tr>
      <w:tr w:rsidR="00ED401F" w:rsidRPr="0073688A" w:rsidTr="007F410F">
        <w:tc>
          <w:tcPr>
            <w:tcW w:w="9016" w:type="dxa"/>
            <w:gridSpan w:val="3"/>
          </w:tcPr>
          <w:p w:rsidR="00ED401F" w:rsidRPr="0073688A" w:rsidRDefault="00ED401F" w:rsidP="0073688A">
            <w:pPr>
              <w:spacing w:line="360" w:lineRule="auto"/>
              <w:jc w:val="both"/>
              <w:rPr>
                <w:rFonts w:ascii="Times New Roman" w:hAnsi="Times New Roman" w:cs="Times New Roman"/>
                <w:b/>
                <w:i/>
                <w:sz w:val="24"/>
                <w:szCs w:val="24"/>
              </w:rPr>
            </w:pPr>
            <w:r w:rsidRPr="0073688A">
              <w:rPr>
                <w:rFonts w:ascii="Times New Roman" w:hAnsi="Times New Roman" w:cs="Times New Roman"/>
                <w:b/>
                <w:i/>
                <w:sz w:val="24"/>
                <w:szCs w:val="24"/>
              </w:rPr>
              <w:t>The activity:</w:t>
            </w:r>
          </w:p>
          <w:p w:rsidR="00ED401F" w:rsidRPr="0073688A" w:rsidRDefault="00ED401F" w:rsidP="0073688A">
            <w:pPr>
              <w:spacing w:line="360" w:lineRule="auto"/>
              <w:jc w:val="both"/>
              <w:rPr>
                <w:rFonts w:ascii="Times New Roman" w:hAnsi="Times New Roman" w:cs="Times New Roman"/>
                <w:b/>
                <w:i/>
                <w:sz w:val="24"/>
                <w:szCs w:val="24"/>
              </w:rPr>
            </w:pPr>
          </w:p>
          <w:p w:rsidR="00D6357B" w:rsidRPr="0073688A" w:rsidRDefault="00CB146F"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The activity is intended to help develop children’s understanding of weight and mass. There will be a selection of everyday objects presented on a table and the children will chose two objects they wish to weigh. Before the children put their chosen items on the scale, there will be a discussion on what they think will be the outcome and why they think the outcome will be that way. A discussion pointing out the different shapes and sizes of the items will also take place, and to try and get the children’s view on whether they think a larger object will </w:t>
            </w:r>
            <w:r w:rsidRPr="0073688A">
              <w:rPr>
                <w:rFonts w:ascii="Times New Roman" w:hAnsi="Times New Roman" w:cs="Times New Roman"/>
                <w:sz w:val="24"/>
                <w:szCs w:val="24"/>
              </w:rPr>
              <w:lastRenderedPageBreak/>
              <w:t>be the heaviest or whether they would able to accurately predict the outcome. The children will also all have the opportunity to hold and compare both objects using their hands to come to a conclusion on what they think will be the outcome.</w:t>
            </w:r>
          </w:p>
          <w:p w:rsidR="00CB146F" w:rsidRPr="0073688A" w:rsidRDefault="00CB146F"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The teacher will then show them the scales and briefly explain what a scale tells us and how we can identify what is heavy and light but what the scales shows us. </w:t>
            </w:r>
          </w:p>
          <w:p w:rsidR="00CB146F" w:rsidRPr="0073688A" w:rsidRDefault="00CB146F"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The children will then put the objects onto the scales and using their knowledge from the previous discussion about what heavy and light looks like </w:t>
            </w:r>
            <w:r w:rsidR="00572367" w:rsidRPr="0073688A">
              <w:rPr>
                <w:rFonts w:ascii="Times New Roman" w:hAnsi="Times New Roman" w:cs="Times New Roman"/>
                <w:sz w:val="24"/>
                <w:szCs w:val="24"/>
              </w:rPr>
              <w:t>on a scale</w:t>
            </w:r>
            <w:r w:rsidRPr="0073688A">
              <w:rPr>
                <w:rFonts w:ascii="Times New Roman" w:hAnsi="Times New Roman" w:cs="Times New Roman"/>
                <w:sz w:val="24"/>
                <w:szCs w:val="24"/>
              </w:rPr>
              <w:t>, they will be given the opportunity to identify what they believe to be the heaviest and why they believe that object to be the heaviest.</w:t>
            </w:r>
            <w:r w:rsidR="00572367" w:rsidRPr="0073688A">
              <w:rPr>
                <w:rFonts w:ascii="Times New Roman" w:hAnsi="Times New Roman" w:cs="Times New Roman"/>
                <w:sz w:val="24"/>
                <w:szCs w:val="24"/>
              </w:rPr>
              <w:t xml:space="preserve"> If they have correctly identified what the heaviest object is then it is important to ensure they can confidently explain how they knew it was the heaviest by drawing on what had previously been discussed with the teacher. </w:t>
            </w:r>
          </w:p>
          <w:p w:rsidR="00ED401F" w:rsidRPr="0073688A" w:rsidRDefault="00572367"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This process will be completed several times using different objects each time, all the while discussing the shape and size of each object and identifying if they are able to make the observation that the biggest object may not necessarily be the heaviest and the smallest may not be the lightest. After completing this task several times, the idea of heavy and light should be clear in their heads. To ensure that all children have understand the concept of heavy and light it is important to discuss with each individual child the outcomes of the activity, and whether they are able to explain confidently the results of the activity. </w:t>
            </w:r>
          </w:p>
          <w:p w:rsidR="00ED401F" w:rsidRPr="0073688A" w:rsidRDefault="00572367"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Furthermore, to finish off the task, the children would then be asked to put the objects they have chosen into columns of heavy and light. They are able to draw the objects that they chose and then differentiate the heavy objects and light objects and put them in their respective columns.</w:t>
            </w:r>
          </w:p>
        </w:tc>
      </w:tr>
      <w:tr w:rsidR="00572367" w:rsidRPr="0073688A" w:rsidTr="007F410F">
        <w:tc>
          <w:tcPr>
            <w:tcW w:w="9016" w:type="dxa"/>
            <w:gridSpan w:val="3"/>
          </w:tcPr>
          <w:p w:rsidR="00572367" w:rsidRPr="0073688A" w:rsidRDefault="00572367" w:rsidP="0073688A">
            <w:pPr>
              <w:spacing w:line="360" w:lineRule="auto"/>
              <w:jc w:val="both"/>
              <w:rPr>
                <w:rFonts w:ascii="Times New Roman" w:hAnsi="Times New Roman" w:cs="Times New Roman"/>
                <w:b/>
                <w:i/>
                <w:sz w:val="24"/>
                <w:szCs w:val="24"/>
              </w:rPr>
            </w:pPr>
          </w:p>
        </w:tc>
      </w:tr>
    </w:tbl>
    <w:p w:rsidR="00E13BED" w:rsidRPr="0073688A" w:rsidRDefault="00E13BED" w:rsidP="0073688A">
      <w:pPr>
        <w:spacing w:line="360" w:lineRule="auto"/>
        <w:jc w:val="both"/>
        <w:rPr>
          <w:rFonts w:ascii="Times New Roman" w:hAnsi="Times New Roman" w:cs="Times New Roman"/>
          <w:sz w:val="24"/>
          <w:szCs w:val="24"/>
        </w:rPr>
      </w:pPr>
    </w:p>
    <w:p w:rsidR="00E63899" w:rsidRPr="0073688A" w:rsidRDefault="00E63899" w:rsidP="0073688A">
      <w:pPr>
        <w:spacing w:line="360" w:lineRule="auto"/>
        <w:jc w:val="both"/>
        <w:rPr>
          <w:rFonts w:ascii="Times New Roman" w:hAnsi="Times New Roman" w:cs="Times New Roman"/>
          <w:b/>
          <w:color w:val="000000" w:themeColor="text1"/>
          <w:sz w:val="24"/>
          <w:szCs w:val="24"/>
          <w:u w:val="single"/>
        </w:rPr>
      </w:pPr>
      <w:r w:rsidRPr="0073688A">
        <w:rPr>
          <w:rFonts w:ascii="Times New Roman" w:hAnsi="Times New Roman" w:cs="Times New Roman"/>
          <w:b/>
          <w:color w:val="000000" w:themeColor="text1"/>
          <w:sz w:val="24"/>
          <w:szCs w:val="24"/>
          <w:u w:val="single"/>
        </w:rPr>
        <w:t>Evaluation</w:t>
      </w:r>
    </w:p>
    <w:p w:rsidR="00F86617" w:rsidRPr="00516A1A" w:rsidRDefault="00E63899" w:rsidP="00F86617">
      <w:pPr>
        <w:overflowPunct w:val="0"/>
        <w:autoSpaceDE w:val="0"/>
        <w:autoSpaceDN w:val="0"/>
        <w:adjustRightInd w:val="0"/>
        <w:spacing w:line="360" w:lineRule="auto"/>
        <w:jc w:val="both"/>
        <w:textAlignment w:val="baseline"/>
        <w:rPr>
          <w:rFonts w:ascii="Times New Roman" w:hAnsi="Times New Roman" w:cs="Times New Roman"/>
          <w:color w:val="000000" w:themeColor="text1"/>
          <w:sz w:val="24"/>
          <w:szCs w:val="24"/>
          <w:lang w:val="en-GB"/>
        </w:rPr>
      </w:pPr>
      <w:r w:rsidRPr="0073688A">
        <w:rPr>
          <w:rFonts w:ascii="Times New Roman" w:hAnsi="Times New Roman" w:cs="Times New Roman"/>
          <w:color w:val="000000" w:themeColor="text1"/>
          <w:sz w:val="24"/>
          <w:szCs w:val="24"/>
          <w:lang w:val="en-GB"/>
        </w:rPr>
        <w:t xml:space="preserve">This activity introduces children to the understanding of the weight and mass of different objects. </w:t>
      </w:r>
      <w:r w:rsidR="008D58E9" w:rsidRPr="0073688A">
        <w:rPr>
          <w:rFonts w:ascii="Times New Roman" w:hAnsi="Times New Roman" w:cs="Times New Roman"/>
          <w:color w:val="000000" w:themeColor="text1"/>
          <w:sz w:val="24"/>
          <w:szCs w:val="24"/>
          <w:lang w:val="en-GB"/>
        </w:rPr>
        <w:t xml:space="preserve">During this activity the children will be asked to discuss their understanding of heavy and light and of the objects that are put in front of them what do they believe to be the heavy objects and light objects. </w:t>
      </w:r>
      <w:r w:rsidR="003763DC" w:rsidRPr="0073688A">
        <w:rPr>
          <w:rFonts w:ascii="Times New Roman" w:hAnsi="Times New Roman" w:cs="Times New Roman"/>
          <w:color w:val="000000" w:themeColor="text1"/>
          <w:sz w:val="24"/>
          <w:szCs w:val="24"/>
          <w:lang w:val="en-GB"/>
        </w:rPr>
        <w:t xml:space="preserve">This aspect of the activity is keeping in line with what the welsh assembly believe practitioners should be providing children to develop their numeracy skills. </w:t>
      </w:r>
      <w:r w:rsidRPr="0073688A">
        <w:rPr>
          <w:rFonts w:ascii="Times New Roman" w:hAnsi="Times New Roman" w:cs="Times New Roman"/>
          <w:color w:val="000000" w:themeColor="text1"/>
          <w:sz w:val="24"/>
          <w:szCs w:val="24"/>
          <w:lang w:val="en-GB"/>
        </w:rPr>
        <w:t xml:space="preserve">The Welsh Assembly states that practical activities which are intended to develop numeracy skills should start of using non-standard measurements such as heavy and light. In addition to this, The Welsh Assembly suggest that the practitioner that carries out the tasks are required to </w:t>
      </w:r>
      <w:r w:rsidRPr="0073688A">
        <w:rPr>
          <w:rFonts w:ascii="Times New Roman" w:hAnsi="Times New Roman" w:cs="Times New Roman"/>
          <w:color w:val="000000" w:themeColor="text1"/>
          <w:sz w:val="24"/>
          <w:szCs w:val="24"/>
          <w:lang w:val="en-GB"/>
        </w:rPr>
        <w:lastRenderedPageBreak/>
        <w:t>use open-ended questions that allow children to</w:t>
      </w:r>
      <w:r w:rsidR="008D58E9" w:rsidRPr="0073688A">
        <w:rPr>
          <w:rFonts w:ascii="Times New Roman" w:hAnsi="Times New Roman" w:cs="Times New Roman"/>
          <w:color w:val="000000" w:themeColor="text1"/>
          <w:sz w:val="24"/>
          <w:szCs w:val="24"/>
          <w:lang w:val="en-GB"/>
        </w:rPr>
        <w:t xml:space="preserve"> think for themselves and observe the results of the task. Furthe</w:t>
      </w:r>
      <w:r w:rsidR="00516A1A">
        <w:rPr>
          <w:rFonts w:ascii="Times New Roman" w:hAnsi="Times New Roman" w:cs="Times New Roman"/>
          <w:color w:val="000000" w:themeColor="text1"/>
          <w:sz w:val="24"/>
          <w:szCs w:val="24"/>
          <w:lang w:val="en-GB"/>
        </w:rPr>
        <w:t>rmore, the Welsh A</w:t>
      </w:r>
      <w:r w:rsidR="008D58E9" w:rsidRPr="0073688A">
        <w:rPr>
          <w:rFonts w:ascii="Times New Roman" w:hAnsi="Times New Roman" w:cs="Times New Roman"/>
          <w:color w:val="000000" w:themeColor="text1"/>
          <w:sz w:val="24"/>
          <w:szCs w:val="24"/>
          <w:lang w:val="en-GB"/>
        </w:rPr>
        <w:t>ssembly state that before the activity takes place that children should make predictions on what they believe may happen as this will develop confidence and understanding.</w:t>
      </w:r>
      <w:r w:rsidR="00F86617">
        <w:rPr>
          <w:rFonts w:ascii="Times New Roman" w:hAnsi="Times New Roman" w:cs="Times New Roman"/>
          <w:color w:val="000000" w:themeColor="text1"/>
          <w:sz w:val="24"/>
          <w:szCs w:val="24"/>
          <w:lang w:val="en-GB"/>
        </w:rPr>
        <w:t xml:space="preserve"> </w:t>
      </w:r>
      <w:r w:rsidR="00F86617">
        <w:rPr>
          <w:rFonts w:ascii="Times New Roman" w:hAnsi="Times New Roman" w:cs="Times New Roman"/>
          <w:sz w:val="24"/>
          <w:szCs w:val="24"/>
        </w:rPr>
        <w:t>(Dera.ioe.ac.uk, 2008)</w:t>
      </w:r>
    </w:p>
    <w:p w:rsidR="00E63899" w:rsidRPr="0073688A" w:rsidRDefault="00E32A83" w:rsidP="0073688A">
      <w:pPr>
        <w:autoSpaceDE w:val="0"/>
        <w:autoSpaceDN w:val="0"/>
        <w:adjustRightInd w:val="0"/>
        <w:spacing w:after="0" w:line="360" w:lineRule="auto"/>
        <w:jc w:val="both"/>
        <w:rPr>
          <w:rFonts w:ascii="Times New Roman" w:hAnsi="Times New Roman" w:cs="Times New Roman"/>
          <w:color w:val="000000" w:themeColor="text1"/>
          <w:sz w:val="24"/>
          <w:szCs w:val="24"/>
          <w:lang w:val="en-GB"/>
        </w:rPr>
      </w:pPr>
      <w:r w:rsidRPr="0073688A">
        <w:rPr>
          <w:rFonts w:ascii="Times New Roman" w:hAnsi="Times New Roman" w:cs="Times New Roman"/>
          <w:color w:val="000000" w:themeColor="text1"/>
          <w:sz w:val="24"/>
          <w:szCs w:val="24"/>
          <w:lang w:val="en-GB"/>
        </w:rPr>
        <w:t xml:space="preserve">Gifford (2005) suggests that a very common misunderstanding when teaching mass and weight is that the biggest object will be the heaviest. When carrying out the activity, it was important to reinforce the understanding that the biggest item would </w:t>
      </w:r>
      <w:r w:rsidR="006202D8" w:rsidRPr="0073688A">
        <w:rPr>
          <w:rFonts w:ascii="Times New Roman" w:hAnsi="Times New Roman" w:cs="Times New Roman"/>
          <w:color w:val="000000" w:themeColor="text1"/>
          <w:sz w:val="24"/>
          <w:szCs w:val="24"/>
          <w:lang w:val="en-GB"/>
        </w:rPr>
        <w:t>not necessarily be the heaviest and when the children identified what was the heaviest they were able to understand that the size of the object did not coincide with its weight.</w:t>
      </w:r>
    </w:p>
    <w:p w:rsidR="006202D8" w:rsidRPr="00F86617" w:rsidRDefault="006202D8" w:rsidP="00F8661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color w:val="000000" w:themeColor="text1"/>
          <w:sz w:val="24"/>
          <w:szCs w:val="24"/>
          <w:lang w:val="en-GB"/>
        </w:rPr>
        <w:t xml:space="preserve">According to the LNF’s foundation phase framework, children of reception age should be able to make comparisons with weight and mass. They should be able to identify what is the heaviest and lightest object and compare the differences between them. This activity directly addresses that need in children of reception age, it also allows children who are not at this developmental stage to be given a visual representation of what </w:t>
      </w:r>
      <w:r w:rsidR="00473F63" w:rsidRPr="0073688A">
        <w:rPr>
          <w:rFonts w:ascii="Times New Roman" w:hAnsi="Times New Roman" w:cs="Times New Roman"/>
          <w:color w:val="000000" w:themeColor="text1"/>
          <w:sz w:val="24"/>
          <w:szCs w:val="24"/>
          <w:lang w:val="en-GB"/>
        </w:rPr>
        <w:t>heavy and light is which will expand their knowledge and in time develop their understanding so that they are meeting the expectations of the LNF.</w:t>
      </w:r>
      <w:r w:rsidR="00F86617">
        <w:rPr>
          <w:rFonts w:ascii="Times New Roman" w:hAnsi="Times New Roman" w:cs="Times New Roman"/>
          <w:color w:val="000000" w:themeColor="text1"/>
          <w:sz w:val="24"/>
          <w:szCs w:val="24"/>
          <w:lang w:val="en-GB"/>
        </w:rPr>
        <w:t xml:space="preserve"> </w:t>
      </w:r>
      <w:r w:rsidR="00F86617">
        <w:rPr>
          <w:rFonts w:ascii="Times New Roman" w:hAnsi="Times New Roman" w:cs="Times New Roman"/>
          <w:sz w:val="24"/>
          <w:szCs w:val="24"/>
        </w:rPr>
        <w:t>(Dera.ioe.ac.uk, 2008)</w:t>
      </w:r>
    </w:p>
    <w:p w:rsidR="001A07F1" w:rsidRPr="0073688A" w:rsidRDefault="001A07F1" w:rsidP="0073688A">
      <w:pPr>
        <w:autoSpaceDE w:val="0"/>
        <w:autoSpaceDN w:val="0"/>
        <w:adjustRightInd w:val="0"/>
        <w:spacing w:after="0" w:line="360" w:lineRule="auto"/>
        <w:jc w:val="both"/>
        <w:rPr>
          <w:rFonts w:ascii="Times New Roman" w:hAnsi="Times New Roman" w:cs="Times New Roman"/>
          <w:color w:val="000000" w:themeColor="text1"/>
          <w:sz w:val="24"/>
          <w:szCs w:val="24"/>
          <w:lang w:val="en-GB"/>
        </w:rPr>
      </w:pPr>
      <w:r w:rsidRPr="0073688A">
        <w:rPr>
          <w:rFonts w:ascii="Times New Roman" w:hAnsi="Times New Roman" w:cs="Times New Roman"/>
          <w:color w:val="000000" w:themeColor="text1"/>
          <w:sz w:val="24"/>
          <w:szCs w:val="24"/>
          <w:lang w:val="en-GB"/>
        </w:rPr>
        <w:t>Beckley and Johnston (2010)</w:t>
      </w:r>
      <w:r w:rsidR="00BA0BDF" w:rsidRPr="0073688A">
        <w:rPr>
          <w:rFonts w:ascii="Times New Roman" w:hAnsi="Times New Roman" w:cs="Times New Roman"/>
          <w:color w:val="000000" w:themeColor="text1"/>
          <w:sz w:val="24"/>
          <w:szCs w:val="24"/>
          <w:lang w:val="en-GB"/>
        </w:rPr>
        <w:t xml:space="preserve"> state that activities where children are expected to explain their findings help develop their persuasive language. In addition to this, Beckley and Johnston (2010) state that children are more likely to use deductive reasoning which is based on their experiences. This activity allowed them to experience what heavy and light look like on the scales which made it easier for them to understand and identify the differences in light objects and heavy objects. However, Beckley and Johnston (2010) also suggest that children’s reasoning may not always appear logical to an adult or a</w:t>
      </w:r>
      <w:r w:rsidR="00DA4995" w:rsidRPr="0073688A">
        <w:rPr>
          <w:rFonts w:ascii="Times New Roman" w:hAnsi="Times New Roman" w:cs="Times New Roman"/>
          <w:color w:val="000000" w:themeColor="text1"/>
          <w:sz w:val="24"/>
          <w:szCs w:val="24"/>
          <w:lang w:val="en-GB"/>
        </w:rPr>
        <w:t xml:space="preserve"> practitioner, </w:t>
      </w:r>
      <w:r w:rsidR="00BA0BDF" w:rsidRPr="0073688A">
        <w:rPr>
          <w:rFonts w:ascii="Times New Roman" w:hAnsi="Times New Roman" w:cs="Times New Roman"/>
          <w:color w:val="000000" w:themeColor="text1"/>
          <w:sz w:val="24"/>
          <w:szCs w:val="24"/>
          <w:lang w:val="en-GB"/>
        </w:rPr>
        <w:t>so it was important when carrying out the activity that the children were able to express their predictions and results confidently.</w:t>
      </w:r>
    </w:p>
    <w:p w:rsidR="00BA0BDF" w:rsidRPr="0073688A" w:rsidRDefault="00BA0BDF" w:rsidP="0073688A">
      <w:pPr>
        <w:autoSpaceDE w:val="0"/>
        <w:autoSpaceDN w:val="0"/>
        <w:adjustRightInd w:val="0"/>
        <w:spacing w:after="0" w:line="360" w:lineRule="auto"/>
        <w:jc w:val="both"/>
        <w:rPr>
          <w:rFonts w:ascii="Times New Roman" w:hAnsi="Times New Roman" w:cs="Times New Roman"/>
          <w:color w:val="000000" w:themeColor="text1"/>
          <w:sz w:val="24"/>
          <w:szCs w:val="24"/>
          <w:lang w:val="en-GB"/>
        </w:rPr>
      </w:pPr>
      <w:r w:rsidRPr="0073688A">
        <w:rPr>
          <w:rFonts w:ascii="Times New Roman" w:hAnsi="Times New Roman" w:cs="Times New Roman"/>
          <w:color w:val="000000" w:themeColor="text1"/>
          <w:sz w:val="24"/>
          <w:szCs w:val="24"/>
          <w:lang w:val="en-GB"/>
        </w:rPr>
        <w:t>Skinner and Stevens (2013) state that children are able to expand their knowledge and understanding of weigh</w:t>
      </w:r>
      <w:r w:rsidR="00DA4995" w:rsidRPr="0073688A">
        <w:rPr>
          <w:rFonts w:ascii="Times New Roman" w:hAnsi="Times New Roman" w:cs="Times New Roman"/>
          <w:color w:val="000000" w:themeColor="text1"/>
          <w:sz w:val="24"/>
          <w:szCs w:val="24"/>
          <w:lang w:val="en-GB"/>
        </w:rPr>
        <w:t>t best during creative and imaginative play. This activity could be considered to not be creative enough and not encouraging children to learn through play. On reflection, the activity could have included more toys and objects that the children could relate to more to engage their interest further.</w:t>
      </w:r>
    </w:p>
    <w:p w:rsidR="00E63899" w:rsidRPr="0073688A" w:rsidRDefault="00D337BD" w:rsidP="0073688A">
      <w:pPr>
        <w:autoSpaceDE w:val="0"/>
        <w:autoSpaceDN w:val="0"/>
        <w:adjustRightInd w:val="0"/>
        <w:spacing w:after="0" w:line="360" w:lineRule="auto"/>
        <w:jc w:val="both"/>
        <w:rPr>
          <w:rFonts w:ascii="Times New Roman" w:hAnsi="Times New Roman" w:cs="Times New Roman"/>
          <w:color w:val="000000"/>
          <w:sz w:val="24"/>
          <w:szCs w:val="24"/>
          <w:lang w:val="en-GB"/>
        </w:rPr>
      </w:pPr>
      <w:r w:rsidRPr="0073688A">
        <w:rPr>
          <w:rFonts w:ascii="Times New Roman" w:hAnsi="Times New Roman" w:cs="Times New Roman"/>
          <w:color w:val="000000" w:themeColor="text1"/>
          <w:sz w:val="24"/>
          <w:szCs w:val="24"/>
          <w:lang w:val="en-GB"/>
        </w:rPr>
        <w:t>Learning.gov.uk (2008) state that the role of the adult in developing numeracy skills</w:t>
      </w:r>
      <w:r w:rsidR="00914FB7" w:rsidRPr="0073688A">
        <w:rPr>
          <w:rFonts w:ascii="Times New Roman" w:hAnsi="Times New Roman" w:cs="Times New Roman"/>
          <w:color w:val="000000" w:themeColor="text1"/>
          <w:sz w:val="24"/>
          <w:szCs w:val="24"/>
          <w:lang w:val="en-GB"/>
        </w:rPr>
        <w:t xml:space="preserve"> is vital. Furthermore, Learning.gov.uk (2008) suggest that if a practitioner’s role is always with groups or individuals focused on a task then opportunities for sustained shared thinking will be missed. </w:t>
      </w:r>
      <w:r w:rsidR="00914FB7" w:rsidRPr="0073688A">
        <w:rPr>
          <w:rFonts w:ascii="Times New Roman" w:hAnsi="Times New Roman" w:cs="Times New Roman"/>
          <w:color w:val="000000" w:themeColor="text1"/>
          <w:sz w:val="24"/>
          <w:szCs w:val="24"/>
          <w:lang w:val="en-GB"/>
        </w:rPr>
        <w:lastRenderedPageBreak/>
        <w:t xml:space="preserve">In addition to this, Learning.gov.uk (2008) suggest that schema </w:t>
      </w:r>
      <w:r w:rsidR="004E647B" w:rsidRPr="0073688A">
        <w:rPr>
          <w:rFonts w:ascii="Times New Roman" w:hAnsi="Times New Roman" w:cs="Times New Roman"/>
          <w:color w:val="000000" w:themeColor="text1"/>
          <w:sz w:val="24"/>
          <w:szCs w:val="24"/>
          <w:lang w:val="en-GB"/>
        </w:rPr>
        <w:t>cannot</w:t>
      </w:r>
      <w:r w:rsidR="00914FB7" w:rsidRPr="0073688A">
        <w:rPr>
          <w:rFonts w:ascii="Times New Roman" w:hAnsi="Times New Roman" w:cs="Times New Roman"/>
          <w:color w:val="000000" w:themeColor="text1"/>
          <w:sz w:val="24"/>
          <w:szCs w:val="24"/>
          <w:lang w:val="en-GB"/>
        </w:rPr>
        <w:t xml:space="preserve"> be </w:t>
      </w:r>
      <w:r w:rsidR="004E647B" w:rsidRPr="0073688A">
        <w:rPr>
          <w:rFonts w:ascii="Times New Roman" w:hAnsi="Times New Roman" w:cs="Times New Roman"/>
          <w:color w:val="000000" w:themeColor="text1"/>
          <w:sz w:val="24"/>
          <w:szCs w:val="24"/>
          <w:lang w:val="en-GB"/>
        </w:rPr>
        <w:t>planned,</w:t>
      </w:r>
      <w:r w:rsidR="000F4805" w:rsidRPr="0073688A">
        <w:rPr>
          <w:rFonts w:ascii="Times New Roman" w:hAnsi="Times New Roman" w:cs="Times New Roman"/>
          <w:color w:val="000000" w:themeColor="text1"/>
          <w:sz w:val="24"/>
          <w:szCs w:val="24"/>
          <w:lang w:val="en-GB"/>
        </w:rPr>
        <w:t xml:space="preserve"> and an organised environment allows a child to demonstrate schema which the adult can then expand on and use to aid learning. The organisation of the activity was crucial, the children were able to immediately understand what was expected from then and they were able to freely and comfortably use the activity to best exercise their own individual way of learning. This helped include all children regardless of where they were developmentally, the practitioner was able to identify how each child was learning and tailor the activity to the individual needs of all of the children through individual observations.</w:t>
      </w:r>
    </w:p>
    <w:p w:rsidR="00E63899" w:rsidRPr="0073688A" w:rsidRDefault="000F4805" w:rsidP="0073688A">
      <w:pPr>
        <w:autoSpaceDE w:val="0"/>
        <w:autoSpaceDN w:val="0"/>
        <w:adjustRightInd w:val="0"/>
        <w:spacing w:after="0" w:line="360" w:lineRule="auto"/>
        <w:jc w:val="both"/>
        <w:rPr>
          <w:rFonts w:ascii="Times New Roman" w:hAnsi="Times New Roman" w:cs="Times New Roman"/>
          <w:color w:val="000000"/>
          <w:sz w:val="24"/>
          <w:szCs w:val="24"/>
          <w:lang w:val="en-GB"/>
        </w:rPr>
      </w:pPr>
      <w:r w:rsidRPr="0073688A">
        <w:rPr>
          <w:rFonts w:ascii="Times New Roman" w:hAnsi="Times New Roman" w:cs="Times New Roman"/>
          <w:color w:val="000000"/>
          <w:sz w:val="24"/>
          <w:szCs w:val="24"/>
          <w:lang w:val="en-GB"/>
        </w:rPr>
        <w:t xml:space="preserve">The resources needed for this activity were mainly objects that were found around the classroom, however it was important to consider the weight of individual objects. </w:t>
      </w:r>
      <w:r w:rsidR="00916C97" w:rsidRPr="0073688A">
        <w:rPr>
          <w:rFonts w:ascii="Times New Roman" w:hAnsi="Times New Roman" w:cs="Times New Roman"/>
          <w:color w:val="000000"/>
          <w:sz w:val="24"/>
          <w:szCs w:val="24"/>
          <w:lang w:val="en-GB"/>
        </w:rPr>
        <w:t>Skinner and Stevens (2013:64)</w:t>
      </w:r>
      <w:r w:rsidR="00C2080D" w:rsidRPr="0073688A">
        <w:rPr>
          <w:rFonts w:ascii="Times New Roman" w:hAnsi="Times New Roman" w:cs="Times New Roman"/>
          <w:color w:val="000000"/>
          <w:sz w:val="24"/>
          <w:szCs w:val="24"/>
          <w:lang w:val="en-GB"/>
        </w:rPr>
        <w:t xml:space="preserve"> states that ‘understanding that heavier does not always mean bigger and smaller is not necessarily lighter is a vital step in becoming weight knowledgeable.’ When considering the objects to be used for the activity, it was important to choose things that would best represent the notion of bigger not being heavier and smaller not being lighter.</w:t>
      </w:r>
    </w:p>
    <w:p w:rsidR="00E63899" w:rsidRPr="0073688A" w:rsidRDefault="004D2C82" w:rsidP="0073688A">
      <w:pPr>
        <w:autoSpaceDE w:val="0"/>
        <w:autoSpaceDN w:val="0"/>
        <w:adjustRightInd w:val="0"/>
        <w:spacing w:after="0" w:line="360" w:lineRule="auto"/>
        <w:jc w:val="both"/>
        <w:rPr>
          <w:rFonts w:ascii="Times New Roman" w:hAnsi="Times New Roman" w:cs="Times New Roman"/>
          <w:color w:val="000000"/>
          <w:sz w:val="24"/>
          <w:szCs w:val="24"/>
          <w:lang w:val="en-GB"/>
        </w:rPr>
      </w:pPr>
      <w:r w:rsidRPr="0073688A">
        <w:rPr>
          <w:rFonts w:ascii="Times New Roman" w:hAnsi="Times New Roman" w:cs="Times New Roman"/>
          <w:color w:val="000000"/>
          <w:sz w:val="24"/>
          <w:szCs w:val="24"/>
          <w:lang w:val="en-GB"/>
        </w:rPr>
        <w:t xml:space="preserve">When taking into consideration the different abilities of this group and the inclusion of children with any additional needs, as a practitioner Vygotsky’s theory of more knowledgeable other can be used. It is important to consider that each individual child will understand the concept of the activity at their own pace but having mixed ability groups allows those who may understand the </w:t>
      </w:r>
      <w:r w:rsidR="00647716" w:rsidRPr="0073688A">
        <w:rPr>
          <w:rFonts w:ascii="Times New Roman" w:hAnsi="Times New Roman" w:cs="Times New Roman"/>
          <w:color w:val="000000"/>
          <w:sz w:val="24"/>
          <w:szCs w:val="24"/>
          <w:lang w:val="en-GB"/>
        </w:rPr>
        <w:t>task more clearly to nurture the understanding of those who may not.</w:t>
      </w:r>
    </w:p>
    <w:p w:rsidR="00C2080D" w:rsidRPr="0073688A" w:rsidRDefault="00C2080D" w:rsidP="0073688A">
      <w:pPr>
        <w:autoSpaceDE w:val="0"/>
        <w:autoSpaceDN w:val="0"/>
        <w:adjustRightInd w:val="0"/>
        <w:spacing w:after="0" w:line="360" w:lineRule="auto"/>
        <w:jc w:val="both"/>
        <w:rPr>
          <w:rFonts w:ascii="Times New Roman" w:hAnsi="Times New Roman" w:cs="Times New Roman"/>
          <w:b/>
          <w:color w:val="000000"/>
          <w:sz w:val="24"/>
          <w:szCs w:val="24"/>
          <w:u w:val="single"/>
          <w:lang w:val="en-GB"/>
        </w:rPr>
      </w:pPr>
    </w:p>
    <w:p w:rsidR="00C2080D" w:rsidRPr="0073688A" w:rsidRDefault="00C2080D" w:rsidP="0073688A">
      <w:pPr>
        <w:autoSpaceDE w:val="0"/>
        <w:autoSpaceDN w:val="0"/>
        <w:adjustRightInd w:val="0"/>
        <w:spacing w:after="0" w:line="360" w:lineRule="auto"/>
        <w:jc w:val="both"/>
        <w:rPr>
          <w:rFonts w:ascii="Times New Roman" w:hAnsi="Times New Roman" w:cs="Times New Roman"/>
          <w:b/>
          <w:color w:val="000000"/>
          <w:sz w:val="24"/>
          <w:szCs w:val="24"/>
          <w:u w:val="single"/>
          <w:lang w:val="en-GB"/>
        </w:rPr>
      </w:pPr>
      <w:r w:rsidRPr="0073688A">
        <w:rPr>
          <w:rFonts w:ascii="Times New Roman" w:hAnsi="Times New Roman" w:cs="Times New Roman"/>
          <w:b/>
          <w:color w:val="000000"/>
          <w:sz w:val="24"/>
          <w:szCs w:val="24"/>
          <w:u w:val="single"/>
          <w:lang w:val="en-GB"/>
        </w:rPr>
        <w:t>Discussion</w:t>
      </w:r>
    </w:p>
    <w:p w:rsidR="00861176" w:rsidRPr="0073688A" w:rsidRDefault="00861176" w:rsidP="0073688A">
      <w:pPr>
        <w:pStyle w:val="NormalWeb"/>
        <w:spacing w:line="360" w:lineRule="auto"/>
        <w:jc w:val="both"/>
        <w:rPr>
          <w:color w:val="000000"/>
        </w:rPr>
      </w:pPr>
      <w:r w:rsidRPr="0073688A">
        <w:rPr>
          <w:color w:val="000000"/>
        </w:rPr>
        <w:t xml:space="preserve">Resources in schools that promote numeracy skills can be found in more than just the classroom. Effective practitioners will identify the value that everyday objects hold when it comes to developing numeracy skills in the foundation phase. Ltl.org.uk (no date) suggest that </w:t>
      </w:r>
      <w:r w:rsidRPr="0073688A">
        <w:t>making sure adults are knowledgeable and open to the idea of exploring the outdoors as a medium to learn is vital to identifying the true potential of the outdoors. Furthermore, ltl.org.uk (no date) state that once the potential of the outdoors has been realised, practitioners need to aid children’s mathematical develop through outdoor experiences in an imaginative and fun way.</w:t>
      </w:r>
      <w:r w:rsidRPr="0073688A">
        <w:rPr>
          <w:color w:val="000000"/>
        </w:rPr>
        <w:t xml:space="preserve"> </w:t>
      </w:r>
      <w:r w:rsidR="00FA73AF" w:rsidRPr="0073688A">
        <w:rPr>
          <w:color w:val="000000"/>
        </w:rPr>
        <w:t>If a practitioner has a good attitude towards outdoor learning</w:t>
      </w:r>
      <w:r w:rsidR="00F635B1" w:rsidRPr="0073688A">
        <w:rPr>
          <w:color w:val="000000"/>
        </w:rPr>
        <w:t>,</w:t>
      </w:r>
      <w:r w:rsidR="00FA73AF" w:rsidRPr="0073688A">
        <w:rPr>
          <w:color w:val="000000"/>
        </w:rPr>
        <w:t xml:space="preserve"> then there are a lot of experiences for children to develop their numeracy skills with natural resources. Simple tasks such as counting and collecting leaves help to develop children’s number recognition. </w:t>
      </w:r>
      <w:r w:rsidR="003C1292" w:rsidRPr="0073688A">
        <w:rPr>
          <w:color w:val="000000"/>
        </w:rPr>
        <w:t>Similarly, Pound and Lee (2015:102) state that ‘perhaps the most important thing that children learn is that mathematics is part of the real world – not something to be done in school.’</w:t>
      </w:r>
      <w:r w:rsidR="00FA73AF" w:rsidRPr="0073688A">
        <w:rPr>
          <w:color w:val="000000"/>
        </w:rPr>
        <w:t xml:space="preserve"> If </w:t>
      </w:r>
      <w:r w:rsidR="00FA73AF" w:rsidRPr="0073688A">
        <w:rPr>
          <w:color w:val="000000"/>
        </w:rPr>
        <w:lastRenderedPageBreak/>
        <w:t xml:space="preserve">children are given the opportunity to understand maths in the outside world and not sat at a table completing sums in the classroom, their attitude towards the subject will be significantly more positive. </w:t>
      </w:r>
      <w:r w:rsidR="00F635B1" w:rsidRPr="0073688A">
        <w:rPr>
          <w:color w:val="000000"/>
        </w:rPr>
        <w:t xml:space="preserve">Giving children enriched experiences to develop their numeracy skills such as playing shopkeeper to learn the value of money, addition and subtraction will allow the child to more susceptible to learning. Likewise, </w:t>
      </w:r>
      <w:r w:rsidRPr="0073688A">
        <w:rPr>
          <w:color w:val="000000"/>
        </w:rPr>
        <w:t>Bru</w:t>
      </w:r>
      <w:r w:rsidR="0073688A">
        <w:rPr>
          <w:color w:val="000000"/>
        </w:rPr>
        <w:t>ce (2012) states</w:t>
      </w:r>
      <w:r w:rsidRPr="0073688A">
        <w:rPr>
          <w:color w:val="000000"/>
        </w:rPr>
        <w:t xml:space="preserve"> that </w:t>
      </w:r>
      <w:r w:rsidR="00845577" w:rsidRPr="0073688A">
        <w:rPr>
          <w:color w:val="000000"/>
        </w:rPr>
        <w:t>play,</w:t>
      </w:r>
      <w:r w:rsidR="00A1648C" w:rsidRPr="0073688A">
        <w:rPr>
          <w:color w:val="000000"/>
        </w:rPr>
        <w:t xml:space="preserve"> and creativity allows children to make connections with their learning. Any object that a child plays with can be used to teach them something, and it can be used as resource to develop numeracy skills.</w:t>
      </w:r>
      <w:r w:rsidR="00F635B1" w:rsidRPr="0073688A">
        <w:rPr>
          <w:color w:val="000000"/>
        </w:rPr>
        <w:t xml:space="preserve"> </w:t>
      </w:r>
    </w:p>
    <w:p w:rsidR="00F635B1" w:rsidRPr="0073688A" w:rsidRDefault="00A1648C" w:rsidP="0073688A">
      <w:pPr>
        <w:pStyle w:val="NormalWeb"/>
        <w:spacing w:line="360" w:lineRule="auto"/>
        <w:jc w:val="both"/>
        <w:rPr>
          <w:color w:val="000000"/>
        </w:rPr>
      </w:pPr>
      <w:r w:rsidRPr="0073688A">
        <w:rPr>
          <w:color w:val="000000"/>
        </w:rPr>
        <w:t>Montessorisociety.org.uk (no date) state that Montessori believed that children under the age of six learn and develop through movement, senses and physical activities.</w:t>
      </w:r>
      <w:r w:rsidR="003C1292" w:rsidRPr="0073688A">
        <w:rPr>
          <w:color w:val="000000"/>
        </w:rPr>
        <w:t xml:space="preserve"> A resource that would be used in a school who were using Montessori techniques would be a number rod. A wooden rod with different colours that represents an addition of another unit.</w:t>
      </w:r>
      <w:r w:rsidR="00F635B1" w:rsidRPr="0073688A">
        <w:rPr>
          <w:color w:val="000000"/>
        </w:rPr>
        <w:t xml:space="preserve"> Not all schools follow Montessori’s method, but counting resources are easily accessible to children in schools. They are often given a ‘maths’ corner which means any activity that is intended to develop numeracy skills will be completed in that corner, so the child is not getting a wide range of environments to use this equipment. to use Bruce (2012) theory of creativity and play linking with learning opportunities, practitioners could consider that any game a child will play within an educational setting could be changed and used to develop numeracy skills.</w:t>
      </w:r>
    </w:p>
    <w:p w:rsidR="00FA73AF" w:rsidRPr="0073688A" w:rsidRDefault="00FA73AF" w:rsidP="0073688A">
      <w:pPr>
        <w:pStyle w:val="NormalWeb"/>
        <w:spacing w:line="360" w:lineRule="auto"/>
        <w:jc w:val="both"/>
        <w:rPr>
          <w:color w:val="000000"/>
        </w:rPr>
      </w:pPr>
      <w:r w:rsidRPr="0073688A">
        <w:rPr>
          <w:color w:val="000000"/>
        </w:rPr>
        <w:t>Brousseau (1997) cited in learning.gov.wales (2016) discusses the classroom ‘milieu’. This includes that organisation of the classroom, the resources available to the children, the classroom ethos and how the teachers and children are responsible for ensuring learning. Classrooms will often have a lot of merchandised resources to develop numeracy skills. Numicon are used in classrooms to help develop children’s counting and number recognition, they are also used when it comes to addition and subtraction.</w:t>
      </w:r>
      <w:r w:rsidR="00F635B1" w:rsidRPr="0073688A">
        <w:rPr>
          <w:color w:val="000000"/>
        </w:rPr>
        <w:t xml:space="preserve"> In addition to this, tuff trays are used for </w:t>
      </w:r>
      <w:r w:rsidR="006A1DA6" w:rsidRPr="0073688A">
        <w:rPr>
          <w:color w:val="000000"/>
        </w:rPr>
        <w:t xml:space="preserve">counting activities using various resource such as beads, unifix, sand and water activities. All these activities are beneficial to children’s numeracy skill development by promoting counting, patterns, volume, weight and mass, but often children are not given the opportunity to fully take advantage of these opportunities because of the emphasis on assessing what a child can or </w:t>
      </w:r>
      <w:r w:rsidR="004E647B" w:rsidRPr="0073688A">
        <w:rPr>
          <w:color w:val="000000"/>
        </w:rPr>
        <w:t>cannot</w:t>
      </w:r>
      <w:r w:rsidR="006A1DA6" w:rsidRPr="0073688A">
        <w:rPr>
          <w:color w:val="000000"/>
        </w:rPr>
        <w:t xml:space="preserve"> do in terms of mathematical development. </w:t>
      </w:r>
    </w:p>
    <w:p w:rsidR="00DC7A20" w:rsidRPr="0073688A" w:rsidRDefault="00DC7A20" w:rsidP="0073688A">
      <w:pPr>
        <w:pStyle w:val="NormalWeb"/>
        <w:spacing w:line="360" w:lineRule="auto"/>
        <w:jc w:val="both"/>
        <w:rPr>
          <w:b/>
          <w:color w:val="000000"/>
          <w:u w:val="single"/>
        </w:rPr>
      </w:pPr>
      <w:r w:rsidRPr="0073688A">
        <w:rPr>
          <w:b/>
          <w:color w:val="000000"/>
          <w:u w:val="single"/>
        </w:rPr>
        <w:t>Explanation</w:t>
      </w:r>
    </w:p>
    <w:p w:rsidR="00AC7932" w:rsidRPr="0073688A" w:rsidRDefault="00AC7932" w:rsidP="0073688A">
      <w:pPr>
        <w:pStyle w:val="NormalWeb"/>
        <w:spacing w:line="360" w:lineRule="auto"/>
        <w:jc w:val="both"/>
        <w:rPr>
          <w:color w:val="000000"/>
        </w:rPr>
      </w:pPr>
      <w:r w:rsidRPr="0073688A">
        <w:rPr>
          <w:color w:val="000000"/>
        </w:rPr>
        <w:t xml:space="preserve">Smidt (2015) </w:t>
      </w:r>
      <w:r w:rsidR="002D0422" w:rsidRPr="0073688A">
        <w:rPr>
          <w:color w:val="000000"/>
        </w:rPr>
        <w:t xml:space="preserve">suggests that the role of the adult in any learning environment is to listen. Smidt (2015) goes on to say that whilst many practitioners naturally listen to children in their settings, </w:t>
      </w:r>
      <w:r w:rsidR="002D0422" w:rsidRPr="0073688A">
        <w:rPr>
          <w:color w:val="000000"/>
        </w:rPr>
        <w:lastRenderedPageBreak/>
        <w:t xml:space="preserve">they must question whether they are being attentive to what is actually being said by each child. Smidt (2015) cites two theorists, Malaguzzi and Rinaldi, and states that practitioners must partake in what Malaguzzi and Rinaldi would call active listening. Active listening is listening that is between two equals and is reciprocal. By allowing the child to explain a theory in their head, the practitioner is able to get an insight of how that child has understood what they are being taught. Furthermore, when the practitioner responds with their idea, it gives the child the opportunity to expand on the knowledge </w:t>
      </w:r>
      <w:bookmarkStart w:id="0" w:name="_GoBack"/>
      <w:r w:rsidR="002D0422" w:rsidRPr="0073688A">
        <w:rPr>
          <w:color w:val="000000"/>
        </w:rPr>
        <w:t>they</w:t>
      </w:r>
      <w:bookmarkEnd w:id="0"/>
      <w:r w:rsidR="002D0422" w:rsidRPr="0073688A">
        <w:rPr>
          <w:color w:val="000000"/>
        </w:rPr>
        <w:t xml:space="preserve"> already had or change their idea to better represent the learning.</w:t>
      </w:r>
      <w:r w:rsidR="000E6AD4" w:rsidRPr="0073688A">
        <w:rPr>
          <w:color w:val="000000"/>
        </w:rPr>
        <w:t xml:space="preserve"> </w:t>
      </w:r>
    </w:p>
    <w:p w:rsidR="00A72ECB" w:rsidRPr="0073688A" w:rsidRDefault="00845577" w:rsidP="0073688A">
      <w:pPr>
        <w:pStyle w:val="NormalWeb"/>
        <w:spacing w:line="360" w:lineRule="auto"/>
        <w:jc w:val="both"/>
        <w:rPr>
          <w:color w:val="000000"/>
        </w:rPr>
      </w:pPr>
      <w:r w:rsidRPr="0073688A">
        <w:rPr>
          <w:color w:val="000000"/>
        </w:rPr>
        <w:t xml:space="preserve">When planning for mathematics in </w:t>
      </w:r>
      <w:r>
        <w:rPr>
          <w:color w:val="000000"/>
        </w:rPr>
        <w:t>an early year's</w:t>
      </w:r>
      <w:r w:rsidRPr="0073688A">
        <w:rPr>
          <w:color w:val="000000"/>
        </w:rPr>
        <w:t xml:space="preserve"> setting, the curriculum and expected outcomes for the children have to be considered. </w:t>
      </w:r>
      <w:r w:rsidR="008436D9" w:rsidRPr="0073688A">
        <w:rPr>
          <w:color w:val="000000"/>
        </w:rPr>
        <w:t xml:space="preserve">According to the Early Years Foundation Phase handbook, </w:t>
      </w:r>
      <w:r w:rsidR="004D2C82" w:rsidRPr="0073688A">
        <w:rPr>
          <w:color w:val="000000"/>
        </w:rPr>
        <w:t>children’s mathematical development has to be effective and link closely with children’s everyday lives and encompass real experience. Children should be given an opportunity to explore mathematical activities both indoors and outdoors, they then will be able to develop a relationship and a real understanding of what maths is. The more ‘hands-on’ approach a practitioner takes when developing mathematical activities will mean that children will find concepts easier to understand. Furthermore, it is important that the maths activities that are being planned for children are developmentally appropriate and use skills that the children already have to build upon. (Foundation Phase Profile Handbook, no date)</w:t>
      </w:r>
    </w:p>
    <w:p w:rsidR="00647716" w:rsidRPr="0073688A" w:rsidRDefault="00647716" w:rsidP="0073688A">
      <w:pPr>
        <w:pStyle w:val="NormalWeb"/>
        <w:spacing w:line="360" w:lineRule="auto"/>
        <w:jc w:val="both"/>
        <w:rPr>
          <w:color w:val="000000"/>
        </w:rPr>
      </w:pPr>
      <w:r w:rsidRPr="0073688A">
        <w:rPr>
          <w:color w:val="000000"/>
        </w:rPr>
        <w:t>In relation to planning mathematical activities based on what a child already knows, it is important to consider Bruner’s spiral curriculum. The spiral curriculum is the basis that children will learn best when the information is given to them in stages and each time information is given to them they can understand it by building on the foundation of knowledge that has already been formed. This links with Vygotsky’s zone of proximal development in which focuses on what the learner can already can do, what they cannot do and how to get them onto the stage of doing. (Simplypsychology.org, 2008)</w:t>
      </w:r>
    </w:p>
    <w:p w:rsidR="00DC6AA1" w:rsidRPr="0073688A" w:rsidRDefault="00DC6AA1" w:rsidP="0073688A">
      <w:pPr>
        <w:pStyle w:val="NormalWeb"/>
        <w:spacing w:line="360" w:lineRule="auto"/>
        <w:jc w:val="both"/>
        <w:rPr>
          <w:color w:val="000000"/>
        </w:rPr>
      </w:pPr>
      <w:r w:rsidRPr="0073688A">
        <w:rPr>
          <w:color w:val="000000"/>
        </w:rPr>
        <w:t xml:space="preserve">Smidt (2015) states that the word assessment is a word often used in many scenarios. Furthermore, Smidt (2015) suggests that assessing a child is not the same as testing or examining. There are many assessments that take place in a school and the main aim of assessing a child is because there is a need for evidence to prove that a child is learning and developing alongside the guidelines given for their age. In addition to this, Smidt (2015) suggests that an assessment is a tool to help develop teachers understanding on whether what they are doing is in the best interest of the education of the children in their class. </w:t>
      </w:r>
    </w:p>
    <w:p w:rsidR="000E6AD4" w:rsidRPr="0073688A" w:rsidRDefault="00440BDB" w:rsidP="0073688A">
      <w:pPr>
        <w:pStyle w:val="NormalWeb"/>
        <w:spacing w:line="360" w:lineRule="auto"/>
        <w:jc w:val="both"/>
        <w:rPr>
          <w:color w:val="000000"/>
        </w:rPr>
      </w:pPr>
      <w:r w:rsidRPr="0073688A">
        <w:rPr>
          <w:color w:val="000000"/>
        </w:rPr>
        <w:lastRenderedPageBreak/>
        <w:t>To summatively assess children’s learning and attainment, a practitioner should look at a range of evidence in order to observe and maintain a record of each child’s development using skill ladders. Once this process has been established, practitioners can start scoring each child’s progress and keep giving consistent scores using the established scoring system. Practitioners best practice is to score based on skill to skill, this then produces a summative score for children and can then go on to inform future learning. Practitioners should include a guidance statement with each step on the skill ladder, this will help practitioners reach their judgement and make the process more consistent as a whole. (Foundation Phase Profile Handbook, no date)</w:t>
      </w:r>
    </w:p>
    <w:p w:rsidR="00DC6AA1" w:rsidRPr="0073688A" w:rsidRDefault="00DC6AA1" w:rsidP="0073688A">
      <w:pPr>
        <w:pStyle w:val="NormalWeb"/>
        <w:spacing w:line="360" w:lineRule="auto"/>
        <w:jc w:val="both"/>
        <w:rPr>
          <w:color w:val="000000"/>
        </w:rPr>
      </w:pPr>
      <w:r w:rsidRPr="0073688A">
        <w:rPr>
          <w:color w:val="000000"/>
        </w:rPr>
        <w:t>The education system in Wales, and the United Kingdom in general, differs from many different countries. Primary school children are put under more pressure and more tests at a younger age than any other school system in the world. (The Independent, 2008)</w:t>
      </w:r>
    </w:p>
    <w:p w:rsidR="00DE6349" w:rsidRPr="0073688A" w:rsidRDefault="00DE6349" w:rsidP="0073688A">
      <w:pPr>
        <w:pStyle w:val="NormalWeb"/>
        <w:spacing w:line="360" w:lineRule="auto"/>
        <w:jc w:val="both"/>
        <w:rPr>
          <w:color w:val="000000"/>
        </w:rPr>
      </w:pPr>
      <w:r w:rsidRPr="0073688A">
        <w:rPr>
          <w:color w:val="000000"/>
        </w:rPr>
        <w:t>In Sweden, Norway, Portugal and New Zealand the school ethos is different. In Sweden, children are not required to even go to school until they are seven. This means the early years framework in a country like Sweden is far more relaxed than in a country like Wales. Sweden see children’s development through the interaction with their mental and physical abilities and takes into consideration the environment in which they grew up.</w:t>
      </w:r>
      <w:r w:rsidR="00A72ECB" w:rsidRPr="0073688A">
        <w:rPr>
          <w:color w:val="000000"/>
        </w:rPr>
        <w:t xml:space="preserve"> (oecd.org, 2013)</w:t>
      </w:r>
    </w:p>
    <w:p w:rsidR="00A72ECB" w:rsidRPr="0073688A" w:rsidRDefault="00A72ECB" w:rsidP="0073688A">
      <w:pPr>
        <w:pStyle w:val="NormalWeb"/>
        <w:spacing w:line="360" w:lineRule="auto"/>
        <w:jc w:val="both"/>
        <w:rPr>
          <w:color w:val="000000"/>
        </w:rPr>
      </w:pPr>
    </w:p>
    <w:p w:rsidR="00DC6AA1" w:rsidRPr="0073688A" w:rsidRDefault="00DC6AA1" w:rsidP="0073688A">
      <w:pPr>
        <w:pStyle w:val="NormalWeb"/>
        <w:spacing w:line="360" w:lineRule="auto"/>
        <w:jc w:val="both"/>
        <w:rPr>
          <w:color w:val="000000"/>
        </w:rPr>
      </w:pPr>
    </w:p>
    <w:p w:rsidR="00440BDB" w:rsidRPr="0073688A" w:rsidRDefault="00440BDB" w:rsidP="0073688A">
      <w:pPr>
        <w:overflowPunct w:val="0"/>
        <w:autoSpaceDE w:val="0"/>
        <w:autoSpaceDN w:val="0"/>
        <w:adjustRightInd w:val="0"/>
        <w:spacing w:line="360" w:lineRule="auto"/>
        <w:jc w:val="both"/>
        <w:textAlignment w:val="baseline"/>
        <w:rPr>
          <w:rFonts w:ascii="Times New Roman" w:eastAsia="Times New Roman" w:hAnsi="Times New Roman" w:cs="Times New Roman"/>
          <w:color w:val="000000"/>
          <w:sz w:val="24"/>
          <w:szCs w:val="24"/>
          <w:lang w:val="en-GB" w:eastAsia="en-GB"/>
        </w:rPr>
      </w:pPr>
    </w:p>
    <w:p w:rsidR="004D2C82" w:rsidRPr="0073688A" w:rsidRDefault="004D2C82"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4D2C82" w:rsidRPr="0073688A" w:rsidRDefault="004D2C82"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647716" w:rsidRPr="0073688A" w:rsidRDefault="00647716"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647716" w:rsidRPr="0073688A" w:rsidRDefault="00647716"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647716" w:rsidRPr="0073688A" w:rsidRDefault="00647716"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647716" w:rsidRPr="0073688A" w:rsidRDefault="00647716"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647716" w:rsidRPr="0073688A" w:rsidRDefault="00647716"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73688A" w:rsidRDefault="0073688A"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p>
    <w:p w:rsidR="004E647B" w:rsidRPr="0073688A" w:rsidRDefault="004E647B"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r w:rsidRPr="0073688A">
        <w:rPr>
          <w:rFonts w:ascii="Times New Roman" w:hAnsi="Times New Roman" w:cs="Times New Roman"/>
          <w:b/>
          <w:sz w:val="24"/>
          <w:szCs w:val="24"/>
          <w:u w:val="single"/>
        </w:rPr>
        <w:lastRenderedPageBreak/>
        <w:t>References</w:t>
      </w:r>
    </w:p>
    <w:p w:rsidR="003C1292" w:rsidRDefault="000705A1"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Beckley, P. and Johnston, J. (2010) </w:t>
      </w:r>
      <w:r w:rsidRPr="0073688A">
        <w:rPr>
          <w:rFonts w:ascii="Times New Roman" w:hAnsi="Times New Roman" w:cs="Times New Roman"/>
          <w:i/>
          <w:sz w:val="24"/>
          <w:szCs w:val="24"/>
        </w:rPr>
        <w:t>Problem Solving, Reasoning and Numeracy.</w:t>
      </w:r>
      <w:r w:rsidRPr="0073688A">
        <w:rPr>
          <w:rFonts w:ascii="Times New Roman" w:hAnsi="Times New Roman" w:cs="Times New Roman"/>
          <w:sz w:val="24"/>
          <w:szCs w:val="24"/>
        </w:rPr>
        <w:t xml:space="preserve"> London: Continuum.</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DC7A20" w:rsidRDefault="00DC7A20"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Bruce, T. (2012) </w:t>
      </w:r>
      <w:r w:rsidRPr="0073688A">
        <w:rPr>
          <w:rFonts w:ascii="Times New Roman" w:hAnsi="Times New Roman" w:cs="Times New Roman"/>
          <w:i/>
          <w:sz w:val="24"/>
          <w:szCs w:val="24"/>
        </w:rPr>
        <w:t>Learning Through Play</w:t>
      </w:r>
      <w:r w:rsidRPr="0073688A">
        <w:rPr>
          <w:rFonts w:ascii="Times New Roman" w:hAnsi="Times New Roman" w:cs="Times New Roman"/>
          <w:sz w:val="24"/>
          <w:szCs w:val="24"/>
        </w:rPr>
        <w:t xml:space="preserve"> (2</w:t>
      </w:r>
      <w:r w:rsidRPr="0073688A">
        <w:rPr>
          <w:rFonts w:ascii="Times New Roman" w:hAnsi="Times New Roman" w:cs="Times New Roman"/>
          <w:sz w:val="24"/>
          <w:szCs w:val="24"/>
          <w:vertAlign w:val="superscript"/>
        </w:rPr>
        <w:t>nd</w:t>
      </w:r>
      <w:r w:rsidRPr="0073688A">
        <w:rPr>
          <w:rFonts w:ascii="Times New Roman" w:hAnsi="Times New Roman" w:cs="Times New Roman"/>
          <w:sz w:val="24"/>
          <w:szCs w:val="24"/>
        </w:rPr>
        <w:t xml:space="preserve"> Ed). London: Hodder.</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4E647B" w:rsidRDefault="004E647B" w:rsidP="0073688A">
      <w:pPr>
        <w:overflowPunct w:val="0"/>
        <w:autoSpaceDE w:val="0"/>
        <w:autoSpaceDN w:val="0"/>
        <w:adjustRightInd w:val="0"/>
        <w:spacing w:line="360" w:lineRule="auto"/>
        <w:jc w:val="both"/>
        <w:textAlignment w:val="baseline"/>
        <w:rPr>
          <w:rFonts w:ascii="Times New Roman" w:hAnsi="Times New Roman" w:cs="Times New Roman"/>
          <w:color w:val="000000" w:themeColor="text1"/>
          <w:sz w:val="24"/>
          <w:szCs w:val="24"/>
        </w:rPr>
      </w:pPr>
      <w:r w:rsidRPr="0073688A">
        <w:rPr>
          <w:rFonts w:ascii="Times New Roman" w:hAnsi="Times New Roman" w:cs="Times New Roman"/>
          <w:color w:val="000000" w:themeColor="text1"/>
          <w:sz w:val="24"/>
          <w:szCs w:val="24"/>
          <w:lang w:val="en-GB"/>
        </w:rPr>
        <w:t xml:space="preserve">ERW. (2008) ‘Foundation phase mathematical development area of learning’ </w:t>
      </w:r>
      <w:hyperlink r:id="rId7" w:history="1">
        <w:r w:rsidRPr="0073688A">
          <w:rPr>
            <w:rStyle w:val="Hyperlink"/>
            <w:rFonts w:ascii="Times New Roman" w:hAnsi="Times New Roman" w:cs="Times New Roman"/>
            <w:sz w:val="24"/>
            <w:szCs w:val="24"/>
            <w:lang w:val="en-GB"/>
          </w:rPr>
          <w:t>http://www.erw.wales/media/1097/141006-foundation-phase-mathematical-development-area-of-learning.pdf</w:t>
        </w:r>
      </w:hyperlink>
      <w:r w:rsidRPr="0073688A">
        <w:rPr>
          <w:rFonts w:ascii="Times New Roman" w:hAnsi="Times New Roman" w:cs="Times New Roman"/>
          <w:color w:val="000000" w:themeColor="text1"/>
          <w:sz w:val="24"/>
          <w:szCs w:val="24"/>
        </w:rPr>
        <w:t xml:space="preserve"> [Accessed: 27</w:t>
      </w:r>
      <w:r w:rsidRPr="0073688A">
        <w:rPr>
          <w:rFonts w:ascii="Times New Roman" w:hAnsi="Times New Roman" w:cs="Times New Roman"/>
          <w:color w:val="000000" w:themeColor="text1"/>
          <w:sz w:val="24"/>
          <w:szCs w:val="24"/>
          <w:vertAlign w:val="superscript"/>
        </w:rPr>
        <w:t>th</w:t>
      </w:r>
      <w:r w:rsidRPr="0073688A">
        <w:rPr>
          <w:rFonts w:ascii="Times New Roman" w:hAnsi="Times New Roman" w:cs="Times New Roman"/>
          <w:color w:val="000000" w:themeColor="text1"/>
          <w:sz w:val="24"/>
          <w:szCs w:val="24"/>
        </w:rPr>
        <w:t xml:space="preserve"> February 2018].</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color w:val="000000" w:themeColor="text1"/>
          <w:sz w:val="24"/>
          <w:szCs w:val="24"/>
        </w:rPr>
      </w:pPr>
    </w:p>
    <w:p w:rsidR="000705A1" w:rsidRPr="0073688A" w:rsidRDefault="000705A1" w:rsidP="0073688A">
      <w:pPr>
        <w:pStyle w:val="NoSpacing"/>
        <w:spacing w:line="360" w:lineRule="auto"/>
        <w:jc w:val="both"/>
        <w:rPr>
          <w:rFonts w:ascii="Times New Roman" w:hAnsi="Times New Roman" w:cs="Times New Roman"/>
          <w:sz w:val="24"/>
          <w:szCs w:val="24"/>
          <w:lang w:val="en-GB"/>
        </w:rPr>
      </w:pPr>
      <w:r w:rsidRPr="0073688A">
        <w:rPr>
          <w:rFonts w:ascii="Times New Roman" w:hAnsi="Times New Roman" w:cs="Times New Roman"/>
          <w:sz w:val="24"/>
          <w:szCs w:val="24"/>
          <w:lang w:val="en-GB"/>
        </w:rPr>
        <w:t>G</w:t>
      </w:r>
      <w:r w:rsidRPr="0073688A">
        <w:rPr>
          <w:rFonts w:ascii="Times New Roman" w:hAnsi="Times New Roman" w:cs="Times New Roman"/>
          <w:sz w:val="24"/>
          <w:szCs w:val="24"/>
        </w:rPr>
        <w:t xml:space="preserve">ifford, S. (2005) Teaching mathematics 3-5: Developing learning in the foundation stage. </w:t>
      </w:r>
      <w:r w:rsidR="004E647B" w:rsidRPr="0073688A">
        <w:rPr>
          <w:rFonts w:ascii="Times New Roman" w:hAnsi="Times New Roman" w:cs="Times New Roman"/>
          <w:sz w:val="24"/>
          <w:szCs w:val="24"/>
        </w:rPr>
        <w:t>McGraw-Hill Education</w:t>
      </w:r>
      <w:r w:rsidR="004E647B" w:rsidRPr="0073688A">
        <w:rPr>
          <w:rFonts w:ascii="Times New Roman" w:hAnsi="Times New Roman" w:cs="Times New Roman"/>
          <w:sz w:val="24"/>
          <w:szCs w:val="24"/>
          <w:lang w:val="en-GB"/>
        </w:rPr>
        <w:t>: UK.</w:t>
      </w:r>
    </w:p>
    <w:p w:rsidR="004E647B" w:rsidRPr="0073688A" w:rsidRDefault="004E647B"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4E647B" w:rsidRPr="0073688A" w:rsidRDefault="004E647B"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Learning through landscapes (no date) ‘Open Up to Outdoor Mathematics’ </w:t>
      </w:r>
      <w:hyperlink r:id="rId8" w:history="1">
        <w:r w:rsidRPr="0073688A">
          <w:rPr>
            <w:rStyle w:val="Hyperlink"/>
            <w:rFonts w:ascii="Times New Roman" w:hAnsi="Times New Roman" w:cs="Times New Roman"/>
            <w:sz w:val="24"/>
            <w:szCs w:val="24"/>
          </w:rPr>
          <w:t>https://www.ltl.org.uk/nsgw/documents/LTL-Maths-Early-Years-Booklet-final1432742138.pdf</w:t>
        </w:r>
      </w:hyperlink>
      <w:r w:rsidRPr="0073688A">
        <w:rPr>
          <w:rFonts w:ascii="Times New Roman" w:hAnsi="Times New Roman" w:cs="Times New Roman"/>
          <w:sz w:val="24"/>
          <w:szCs w:val="24"/>
        </w:rPr>
        <w:t xml:space="preserve"> [Accessed: 27</w:t>
      </w:r>
      <w:r w:rsidRPr="0073688A">
        <w:rPr>
          <w:rFonts w:ascii="Times New Roman" w:hAnsi="Times New Roman" w:cs="Times New Roman"/>
          <w:sz w:val="24"/>
          <w:szCs w:val="24"/>
          <w:vertAlign w:val="superscript"/>
        </w:rPr>
        <w:t>th</w:t>
      </w:r>
      <w:r w:rsidRPr="0073688A">
        <w:rPr>
          <w:rFonts w:ascii="Times New Roman" w:hAnsi="Times New Roman" w:cs="Times New Roman"/>
          <w:sz w:val="24"/>
          <w:szCs w:val="24"/>
        </w:rPr>
        <w:t xml:space="preserve"> February 2018].</w:t>
      </w:r>
    </w:p>
    <w:p w:rsidR="004E647B" w:rsidRPr="0073688A" w:rsidRDefault="004E647B" w:rsidP="0073688A">
      <w:pPr>
        <w:pStyle w:val="NoSpacing"/>
        <w:spacing w:line="360" w:lineRule="auto"/>
        <w:jc w:val="both"/>
        <w:rPr>
          <w:rFonts w:ascii="Times New Roman" w:hAnsi="Times New Roman" w:cs="Times New Roman"/>
          <w:sz w:val="24"/>
          <w:szCs w:val="24"/>
          <w:lang w:val="en-GB"/>
        </w:rPr>
      </w:pPr>
    </w:p>
    <w:p w:rsidR="000705A1" w:rsidRDefault="000705A1"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Learning Wales. (2016) ‘ Creating numeracy learning </w:t>
      </w:r>
      <w:r w:rsidR="004E647B" w:rsidRPr="0073688A">
        <w:rPr>
          <w:rFonts w:ascii="Times New Roman" w:hAnsi="Times New Roman" w:cs="Times New Roman"/>
          <w:sz w:val="24"/>
          <w:szCs w:val="24"/>
        </w:rPr>
        <w:t>environments</w:t>
      </w:r>
      <w:r w:rsidRPr="0073688A">
        <w:rPr>
          <w:rFonts w:ascii="Times New Roman" w:hAnsi="Times New Roman" w:cs="Times New Roman"/>
          <w:sz w:val="24"/>
          <w:szCs w:val="24"/>
        </w:rPr>
        <w:t xml:space="preserve">’ </w:t>
      </w:r>
      <w:hyperlink r:id="rId9" w:history="1">
        <w:r w:rsidRPr="0073688A">
          <w:rPr>
            <w:rStyle w:val="Hyperlink"/>
            <w:rFonts w:ascii="Times New Roman" w:hAnsi="Times New Roman" w:cs="Times New Roman"/>
            <w:sz w:val="24"/>
            <w:szCs w:val="24"/>
          </w:rPr>
          <w:t>http://learning.gov.wales/resources/learningpacks/mep/numeracy/learning-and-teaching-numeracy/creating-numeracy-learning-environments/?lang=en</w:t>
        </w:r>
      </w:hyperlink>
      <w:r w:rsidRPr="0073688A">
        <w:rPr>
          <w:rFonts w:ascii="Times New Roman" w:hAnsi="Times New Roman" w:cs="Times New Roman"/>
          <w:sz w:val="24"/>
          <w:szCs w:val="24"/>
        </w:rPr>
        <w:t xml:space="preserve"> [Accessed: 27</w:t>
      </w:r>
      <w:r w:rsidRPr="0073688A">
        <w:rPr>
          <w:rFonts w:ascii="Times New Roman" w:hAnsi="Times New Roman" w:cs="Times New Roman"/>
          <w:sz w:val="24"/>
          <w:szCs w:val="24"/>
          <w:vertAlign w:val="superscript"/>
        </w:rPr>
        <w:t>th</w:t>
      </w:r>
      <w:r w:rsidRPr="0073688A">
        <w:rPr>
          <w:rFonts w:ascii="Times New Roman" w:hAnsi="Times New Roman" w:cs="Times New Roman"/>
          <w:sz w:val="24"/>
          <w:szCs w:val="24"/>
        </w:rPr>
        <w:t xml:space="preserve"> February 2018].</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0705A1" w:rsidRDefault="004E647B"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Learning Wales. (2016) ‘Effective learning and teaching practices’ </w:t>
      </w:r>
      <w:hyperlink r:id="rId10" w:history="1">
        <w:r w:rsidRPr="0073688A">
          <w:rPr>
            <w:rStyle w:val="Hyperlink"/>
            <w:rFonts w:ascii="Times New Roman" w:hAnsi="Times New Roman" w:cs="Times New Roman"/>
            <w:sz w:val="24"/>
            <w:szCs w:val="24"/>
          </w:rPr>
          <w:t>http://learning.gov.wales/resources/learningpacks/mep/numeracy/learning-and-teaching-numeracy/effective-learning-and-teaching-practices/?lang=en</w:t>
        </w:r>
      </w:hyperlink>
      <w:r w:rsidRPr="0073688A">
        <w:rPr>
          <w:rFonts w:ascii="Times New Roman" w:hAnsi="Times New Roman" w:cs="Times New Roman"/>
          <w:sz w:val="24"/>
          <w:szCs w:val="24"/>
        </w:rPr>
        <w:t xml:space="preserve"> [Accessed: 27</w:t>
      </w:r>
      <w:r w:rsidRPr="0073688A">
        <w:rPr>
          <w:rFonts w:ascii="Times New Roman" w:hAnsi="Times New Roman" w:cs="Times New Roman"/>
          <w:sz w:val="24"/>
          <w:szCs w:val="24"/>
          <w:vertAlign w:val="superscript"/>
        </w:rPr>
        <w:t>th</w:t>
      </w:r>
      <w:r w:rsidRPr="0073688A">
        <w:rPr>
          <w:rFonts w:ascii="Times New Roman" w:hAnsi="Times New Roman" w:cs="Times New Roman"/>
          <w:sz w:val="24"/>
          <w:szCs w:val="24"/>
        </w:rPr>
        <w:t xml:space="preserve"> February 2018].</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A72ECB" w:rsidRPr="0073688A" w:rsidRDefault="00A72ECB"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Miho Taguma, Ineke Litjen</w:t>
      </w:r>
      <w:r w:rsidRPr="0073688A">
        <w:rPr>
          <w:rFonts w:ascii="Times New Roman" w:hAnsi="Times New Roman" w:cs="Times New Roman"/>
          <w:sz w:val="24"/>
          <w:szCs w:val="24"/>
        </w:rPr>
        <w:t>s and Kelly Makowiecki. (2013</w:t>
      </w:r>
      <w:r w:rsidRPr="0073688A">
        <w:rPr>
          <w:rFonts w:ascii="Times New Roman" w:hAnsi="Times New Roman" w:cs="Times New Roman"/>
          <w:sz w:val="24"/>
          <w:szCs w:val="24"/>
        </w:rPr>
        <w:t xml:space="preserve">) ‘Quality Matters in Early Childhood Education and Care’ </w:t>
      </w:r>
      <w:hyperlink r:id="rId11" w:history="1">
        <w:r w:rsidRPr="0073688A">
          <w:rPr>
            <w:rStyle w:val="Hyperlink"/>
            <w:rFonts w:ascii="Times New Roman" w:hAnsi="Times New Roman" w:cs="Times New Roman"/>
            <w:sz w:val="24"/>
            <w:szCs w:val="24"/>
          </w:rPr>
          <w:t>http://www.oecd.org/education/school/SWEDEN%20policy%20profile%20-</w:t>
        </w:r>
        <w:r w:rsidRPr="0073688A">
          <w:rPr>
            <w:rStyle w:val="Hyperlink"/>
            <w:rFonts w:ascii="Times New Roman" w:hAnsi="Times New Roman" w:cs="Times New Roman"/>
            <w:sz w:val="24"/>
            <w:szCs w:val="24"/>
          </w:rPr>
          <w:lastRenderedPageBreak/>
          <w:t>%20published%2005-02- 2013.pdf?TSPD_101_R0=de83e17a64a17051cdb20a58e98f3a2db960000000000000000e559e497ffff00000000000000000000000000005a99151400f8aedc1e</w:t>
        </w:r>
      </w:hyperlink>
      <w:r w:rsidRPr="0073688A">
        <w:rPr>
          <w:rFonts w:ascii="Times New Roman" w:hAnsi="Times New Roman" w:cs="Times New Roman"/>
          <w:sz w:val="24"/>
          <w:szCs w:val="24"/>
        </w:rPr>
        <w:t xml:space="preserve"> [Accessed: 2</w:t>
      </w:r>
      <w:r w:rsidRPr="0073688A">
        <w:rPr>
          <w:rFonts w:ascii="Times New Roman" w:hAnsi="Times New Roman" w:cs="Times New Roman"/>
          <w:sz w:val="24"/>
          <w:szCs w:val="24"/>
          <w:vertAlign w:val="superscript"/>
        </w:rPr>
        <w:t>nd</w:t>
      </w:r>
      <w:r w:rsidRPr="0073688A">
        <w:rPr>
          <w:rFonts w:ascii="Times New Roman" w:hAnsi="Times New Roman" w:cs="Times New Roman"/>
          <w:sz w:val="24"/>
          <w:szCs w:val="24"/>
        </w:rPr>
        <w:t xml:space="preserve"> March 2018]</w:t>
      </w:r>
    </w:p>
    <w:p w:rsidR="00A72ECB" w:rsidRPr="0073688A" w:rsidRDefault="00A72ECB"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0705A1" w:rsidRDefault="000705A1"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Pound, L. and Lee, T.  (2015) </w:t>
      </w:r>
      <w:r w:rsidRPr="0073688A">
        <w:rPr>
          <w:rFonts w:ascii="Times New Roman" w:hAnsi="Times New Roman" w:cs="Times New Roman"/>
          <w:i/>
          <w:sz w:val="24"/>
          <w:szCs w:val="24"/>
        </w:rPr>
        <w:t>Teaching Mathematics Creatively</w:t>
      </w:r>
      <w:r w:rsidRPr="0073688A">
        <w:rPr>
          <w:rFonts w:ascii="Times New Roman" w:hAnsi="Times New Roman" w:cs="Times New Roman"/>
          <w:sz w:val="24"/>
          <w:szCs w:val="24"/>
        </w:rPr>
        <w:t xml:space="preserve"> (2</w:t>
      </w:r>
      <w:r w:rsidRPr="0073688A">
        <w:rPr>
          <w:rFonts w:ascii="Times New Roman" w:hAnsi="Times New Roman" w:cs="Times New Roman"/>
          <w:sz w:val="24"/>
          <w:szCs w:val="24"/>
          <w:vertAlign w:val="superscript"/>
        </w:rPr>
        <w:t>nd</w:t>
      </w:r>
      <w:r w:rsidRPr="0073688A">
        <w:rPr>
          <w:rFonts w:ascii="Times New Roman" w:hAnsi="Times New Roman" w:cs="Times New Roman"/>
          <w:sz w:val="24"/>
          <w:szCs w:val="24"/>
        </w:rPr>
        <w:t xml:space="preserve"> Ed). London: Routledge.</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DC6AA1" w:rsidRDefault="00DC6AA1"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Sarah Cassidy. (2008) </w:t>
      </w:r>
      <w:r w:rsidR="00DE6349" w:rsidRPr="0073688A">
        <w:rPr>
          <w:rFonts w:ascii="Times New Roman" w:hAnsi="Times New Roman" w:cs="Times New Roman"/>
          <w:sz w:val="24"/>
          <w:szCs w:val="24"/>
        </w:rPr>
        <w:t xml:space="preserve">‘Our children tested to destruction’ </w:t>
      </w:r>
      <w:hyperlink r:id="rId12" w:history="1">
        <w:r w:rsidR="00DE6349" w:rsidRPr="0073688A">
          <w:rPr>
            <w:rStyle w:val="Hyperlink"/>
            <w:rFonts w:ascii="Times New Roman" w:hAnsi="Times New Roman" w:cs="Times New Roman"/>
            <w:sz w:val="24"/>
            <w:szCs w:val="24"/>
          </w:rPr>
          <w:t>http://www.independent.co.uk/news/education/education-news/our-children-tested-to-destruction-779790.html</w:t>
        </w:r>
      </w:hyperlink>
      <w:r w:rsidR="00DE6349" w:rsidRPr="0073688A">
        <w:rPr>
          <w:rFonts w:ascii="Times New Roman" w:hAnsi="Times New Roman" w:cs="Times New Roman"/>
          <w:sz w:val="24"/>
          <w:szCs w:val="24"/>
        </w:rPr>
        <w:t xml:space="preserve"> [Accessed: 2</w:t>
      </w:r>
      <w:r w:rsidR="00DE6349" w:rsidRPr="0073688A">
        <w:rPr>
          <w:rFonts w:ascii="Times New Roman" w:hAnsi="Times New Roman" w:cs="Times New Roman"/>
          <w:sz w:val="24"/>
          <w:szCs w:val="24"/>
          <w:vertAlign w:val="superscript"/>
        </w:rPr>
        <w:t>nd</w:t>
      </w:r>
      <w:r w:rsidR="00DE6349" w:rsidRPr="0073688A">
        <w:rPr>
          <w:rFonts w:ascii="Times New Roman" w:hAnsi="Times New Roman" w:cs="Times New Roman"/>
          <w:sz w:val="24"/>
          <w:szCs w:val="24"/>
        </w:rPr>
        <w:t xml:space="preserve"> March 2018].</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73688A" w:rsidRDefault="0073688A" w:rsidP="0073688A">
      <w:pPr>
        <w:overflowPunct w:val="0"/>
        <w:autoSpaceDE w:val="0"/>
        <w:autoSpaceDN w:val="0"/>
        <w:adjustRightInd w:val="0"/>
        <w:spacing w:line="360" w:lineRule="auto"/>
        <w:jc w:val="both"/>
        <w:textAlignment w:val="baseline"/>
        <w:rPr>
          <w:rFonts w:ascii="Times New Roman" w:hAnsi="Times New Roman" w:cs="Times New Roman"/>
          <w:b/>
          <w:sz w:val="24"/>
          <w:szCs w:val="24"/>
          <w:u w:val="single"/>
        </w:rPr>
      </w:pPr>
      <w:r w:rsidRPr="0073688A">
        <w:rPr>
          <w:rFonts w:ascii="Times New Roman" w:hAnsi="Times New Roman" w:cs="Times New Roman"/>
          <w:sz w:val="24"/>
          <w:szCs w:val="24"/>
        </w:rPr>
        <w:t>Saul McL</w:t>
      </w:r>
      <w:r w:rsidRPr="0073688A">
        <w:rPr>
          <w:rFonts w:ascii="Times New Roman" w:hAnsi="Times New Roman" w:cs="Times New Roman"/>
          <w:sz w:val="24"/>
          <w:szCs w:val="24"/>
        </w:rPr>
        <w:t xml:space="preserve">eod. (2008) ‘Bruner’ </w:t>
      </w:r>
      <w:hyperlink r:id="rId13" w:history="1">
        <w:r w:rsidRPr="0073688A">
          <w:rPr>
            <w:rStyle w:val="Hyperlink"/>
            <w:rFonts w:ascii="Times New Roman" w:hAnsi="Times New Roman" w:cs="Times New Roman"/>
            <w:sz w:val="24"/>
            <w:szCs w:val="24"/>
          </w:rPr>
          <w:t>https://www.simplypsychology.org/bruner.html</w:t>
        </w:r>
      </w:hyperlink>
      <w:r w:rsidRPr="0073688A">
        <w:rPr>
          <w:rFonts w:ascii="Times New Roman" w:hAnsi="Times New Roman" w:cs="Times New Roman"/>
          <w:sz w:val="24"/>
          <w:szCs w:val="24"/>
        </w:rPr>
        <w:t xml:space="preserve"> [Accessed: 2</w:t>
      </w:r>
      <w:r w:rsidRPr="0073688A">
        <w:rPr>
          <w:rFonts w:ascii="Times New Roman" w:hAnsi="Times New Roman" w:cs="Times New Roman"/>
          <w:sz w:val="24"/>
          <w:szCs w:val="24"/>
          <w:vertAlign w:val="superscript"/>
        </w:rPr>
        <w:t>nd</w:t>
      </w:r>
      <w:r w:rsidRPr="0073688A">
        <w:rPr>
          <w:rFonts w:ascii="Times New Roman" w:hAnsi="Times New Roman" w:cs="Times New Roman"/>
          <w:sz w:val="24"/>
          <w:szCs w:val="24"/>
        </w:rPr>
        <w:t xml:space="preserve"> March 2018]</w:t>
      </w:r>
      <w:r w:rsidRPr="0073688A">
        <w:rPr>
          <w:rFonts w:ascii="Times New Roman" w:hAnsi="Times New Roman" w:cs="Times New Roman"/>
          <w:b/>
          <w:sz w:val="24"/>
          <w:szCs w:val="24"/>
          <w:u w:val="single"/>
        </w:rPr>
        <w:t xml:space="preserve"> </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DA4995" w:rsidRDefault="00DA4995"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Skinner, C. and Stevens, J. (2013) </w:t>
      </w:r>
      <w:r w:rsidRPr="0073688A">
        <w:rPr>
          <w:rFonts w:ascii="Times New Roman" w:hAnsi="Times New Roman" w:cs="Times New Roman"/>
          <w:i/>
          <w:sz w:val="24"/>
          <w:szCs w:val="24"/>
        </w:rPr>
        <w:t>Foundations of Mathematics: An Active Approach to Number, Shape and Measures in the Early Years.</w:t>
      </w:r>
      <w:r w:rsidRPr="0073688A">
        <w:rPr>
          <w:rFonts w:ascii="Times New Roman" w:hAnsi="Times New Roman" w:cs="Times New Roman"/>
          <w:sz w:val="24"/>
          <w:szCs w:val="24"/>
        </w:rPr>
        <w:t xml:space="preserve"> London: Featherstone Education.</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AC7932" w:rsidRDefault="00AC7932" w:rsidP="0073688A">
      <w:pPr>
        <w:overflowPunct w:val="0"/>
        <w:autoSpaceDE w:val="0"/>
        <w:autoSpaceDN w:val="0"/>
        <w:adjustRightInd w:val="0"/>
        <w:spacing w:line="360" w:lineRule="auto"/>
        <w:jc w:val="both"/>
        <w:textAlignment w:val="baseline"/>
        <w:rPr>
          <w:rFonts w:ascii="Times New Roman" w:hAnsi="Times New Roman" w:cs="Times New Roman"/>
          <w:sz w:val="24"/>
          <w:szCs w:val="24"/>
          <w:lang w:val="cy-GB"/>
        </w:rPr>
      </w:pPr>
      <w:r w:rsidRPr="0073688A">
        <w:rPr>
          <w:rFonts w:ascii="Times New Roman" w:hAnsi="Times New Roman" w:cs="Times New Roman"/>
          <w:sz w:val="24"/>
          <w:szCs w:val="24"/>
          <w:lang w:val="cy-GB"/>
        </w:rPr>
        <w:t xml:space="preserve">Smidt, S. (2015) </w:t>
      </w:r>
      <w:r w:rsidRPr="0073688A">
        <w:rPr>
          <w:rFonts w:ascii="Times New Roman" w:hAnsi="Times New Roman" w:cs="Times New Roman"/>
          <w:i/>
          <w:sz w:val="24"/>
          <w:szCs w:val="24"/>
          <w:lang w:val="cy-GB"/>
        </w:rPr>
        <w:t>Observing Young Children: The role of observation and assessment in early childhood settings</w:t>
      </w:r>
      <w:r w:rsidRPr="0073688A">
        <w:rPr>
          <w:rFonts w:ascii="Times New Roman" w:hAnsi="Times New Roman" w:cs="Times New Roman"/>
          <w:sz w:val="24"/>
          <w:szCs w:val="24"/>
          <w:lang w:val="cy-GB"/>
        </w:rPr>
        <w:t xml:space="preserve"> (2</w:t>
      </w:r>
      <w:r w:rsidRPr="0073688A">
        <w:rPr>
          <w:rFonts w:ascii="Times New Roman" w:hAnsi="Times New Roman" w:cs="Times New Roman"/>
          <w:sz w:val="24"/>
          <w:szCs w:val="24"/>
          <w:vertAlign w:val="superscript"/>
          <w:lang w:val="cy-GB"/>
        </w:rPr>
        <w:t>nd</w:t>
      </w:r>
      <w:r w:rsidRPr="0073688A">
        <w:rPr>
          <w:rFonts w:ascii="Times New Roman" w:hAnsi="Times New Roman" w:cs="Times New Roman"/>
          <w:sz w:val="24"/>
          <w:szCs w:val="24"/>
          <w:lang w:val="cy-GB"/>
        </w:rPr>
        <w:t xml:space="preserve"> Ed). London: Routledge.</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lang w:val="cy-GB"/>
        </w:rPr>
      </w:pPr>
    </w:p>
    <w:p w:rsidR="00DC7A20" w:rsidRDefault="00DC7A20"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Taylor, H. and Harris, A. (Eds) (2014) </w:t>
      </w:r>
      <w:r w:rsidRPr="0073688A">
        <w:rPr>
          <w:rFonts w:ascii="Times New Roman" w:hAnsi="Times New Roman" w:cs="Times New Roman"/>
          <w:i/>
          <w:sz w:val="24"/>
          <w:szCs w:val="24"/>
        </w:rPr>
        <w:t>Learning and Teaching Mathematics 0-8.</w:t>
      </w:r>
      <w:r w:rsidRPr="0073688A">
        <w:rPr>
          <w:rFonts w:ascii="Times New Roman" w:hAnsi="Times New Roman" w:cs="Times New Roman"/>
          <w:sz w:val="24"/>
          <w:szCs w:val="24"/>
        </w:rPr>
        <w:t xml:space="preserve"> London: Sage Publications Ltd.</w:t>
      </w:r>
    </w:p>
    <w:p w:rsidR="00F86617" w:rsidRPr="0073688A"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0705A1" w:rsidRDefault="004E647B"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t xml:space="preserve">Welsh Assembly Government. (2008) ‘Mathematical Development’ </w:t>
      </w:r>
      <w:hyperlink r:id="rId14" w:history="1">
        <w:r w:rsidR="000705A1" w:rsidRPr="0073688A">
          <w:rPr>
            <w:rStyle w:val="Hyperlink"/>
            <w:rFonts w:ascii="Times New Roman" w:hAnsi="Times New Roman" w:cs="Times New Roman"/>
            <w:b/>
            <w:sz w:val="24"/>
            <w:szCs w:val="24"/>
          </w:rPr>
          <w:t>http://dera.ioe.ac.uk/15795/1/mathdevelopmentepdf_lang%3Den</w:t>
        </w:r>
      </w:hyperlink>
      <w:r w:rsidRPr="0073688A">
        <w:rPr>
          <w:rFonts w:ascii="Times New Roman" w:hAnsi="Times New Roman" w:cs="Times New Roman"/>
          <w:b/>
          <w:sz w:val="24"/>
          <w:szCs w:val="24"/>
        </w:rPr>
        <w:t xml:space="preserve"> </w:t>
      </w:r>
      <w:r w:rsidRPr="0073688A">
        <w:rPr>
          <w:rFonts w:ascii="Times New Roman" w:hAnsi="Times New Roman" w:cs="Times New Roman"/>
          <w:sz w:val="24"/>
          <w:szCs w:val="24"/>
        </w:rPr>
        <w:t>[Accessed: 27</w:t>
      </w:r>
      <w:r w:rsidRPr="0073688A">
        <w:rPr>
          <w:rFonts w:ascii="Times New Roman" w:hAnsi="Times New Roman" w:cs="Times New Roman"/>
          <w:sz w:val="24"/>
          <w:szCs w:val="24"/>
          <w:vertAlign w:val="superscript"/>
        </w:rPr>
        <w:t>th</w:t>
      </w:r>
      <w:r w:rsidRPr="0073688A">
        <w:rPr>
          <w:rFonts w:ascii="Times New Roman" w:hAnsi="Times New Roman" w:cs="Times New Roman"/>
          <w:sz w:val="24"/>
          <w:szCs w:val="24"/>
        </w:rPr>
        <w:t xml:space="preserve"> February 2018].</w:t>
      </w:r>
    </w:p>
    <w:p w:rsidR="00F86617" w:rsidRPr="0073688A" w:rsidRDefault="00F86617" w:rsidP="0073688A">
      <w:pPr>
        <w:spacing w:line="360" w:lineRule="auto"/>
        <w:jc w:val="both"/>
        <w:rPr>
          <w:rFonts w:ascii="Times New Roman" w:hAnsi="Times New Roman" w:cs="Times New Roman"/>
          <w:sz w:val="24"/>
          <w:szCs w:val="24"/>
        </w:rPr>
      </w:pPr>
    </w:p>
    <w:p w:rsidR="00440BDB" w:rsidRDefault="00440BDB" w:rsidP="0073688A">
      <w:pPr>
        <w:spacing w:line="360" w:lineRule="auto"/>
        <w:jc w:val="both"/>
        <w:rPr>
          <w:rFonts w:ascii="Times New Roman" w:hAnsi="Times New Roman" w:cs="Times New Roman"/>
          <w:sz w:val="24"/>
          <w:szCs w:val="24"/>
        </w:rPr>
      </w:pPr>
      <w:r w:rsidRPr="0073688A">
        <w:rPr>
          <w:rFonts w:ascii="Times New Roman" w:hAnsi="Times New Roman" w:cs="Times New Roman"/>
          <w:sz w:val="24"/>
          <w:szCs w:val="24"/>
        </w:rPr>
        <w:lastRenderedPageBreak/>
        <w:t xml:space="preserve">Welsh Government. (No date) ‘Foundation Phase Profile Handbook’ </w:t>
      </w:r>
      <w:hyperlink r:id="rId15" w:history="1">
        <w:r w:rsidRPr="0073688A">
          <w:rPr>
            <w:rStyle w:val="Hyperlink"/>
            <w:rFonts w:ascii="Times New Roman" w:hAnsi="Times New Roman" w:cs="Times New Roman"/>
            <w:sz w:val="24"/>
            <w:szCs w:val="24"/>
          </w:rPr>
          <w:t>http://www.cscjes.org.uk/CMSPages/GetFile.aspx?nodeguid=5bdd5ac9-78ef-48f7-a972-e55312ec9334</w:t>
        </w:r>
      </w:hyperlink>
      <w:r w:rsidRPr="0073688A">
        <w:rPr>
          <w:rFonts w:ascii="Times New Roman" w:hAnsi="Times New Roman" w:cs="Times New Roman"/>
          <w:sz w:val="24"/>
          <w:szCs w:val="24"/>
        </w:rPr>
        <w:t xml:space="preserve"> [Accessed: 2</w:t>
      </w:r>
      <w:r w:rsidRPr="0073688A">
        <w:rPr>
          <w:rFonts w:ascii="Times New Roman" w:hAnsi="Times New Roman" w:cs="Times New Roman"/>
          <w:sz w:val="24"/>
          <w:szCs w:val="24"/>
          <w:vertAlign w:val="superscript"/>
        </w:rPr>
        <w:t>nd</w:t>
      </w:r>
      <w:r w:rsidRPr="0073688A">
        <w:rPr>
          <w:rFonts w:ascii="Times New Roman" w:hAnsi="Times New Roman" w:cs="Times New Roman"/>
          <w:sz w:val="24"/>
          <w:szCs w:val="24"/>
        </w:rPr>
        <w:t xml:space="preserve"> March 2018].</w:t>
      </w:r>
    </w:p>
    <w:p w:rsidR="00F86617" w:rsidRPr="0073688A" w:rsidRDefault="00F86617" w:rsidP="0073688A">
      <w:pPr>
        <w:spacing w:line="360" w:lineRule="auto"/>
        <w:jc w:val="both"/>
        <w:rPr>
          <w:rFonts w:ascii="Times New Roman" w:hAnsi="Times New Roman" w:cs="Times New Roman"/>
          <w:sz w:val="24"/>
          <w:szCs w:val="24"/>
        </w:rPr>
      </w:pPr>
    </w:p>
    <w:p w:rsidR="004E647B" w:rsidRDefault="004E647B"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73688A">
        <w:rPr>
          <w:rFonts w:ascii="Times New Roman" w:hAnsi="Times New Roman" w:cs="Times New Roman"/>
          <w:sz w:val="24"/>
          <w:szCs w:val="24"/>
        </w:rPr>
        <w:t xml:space="preserve">Woellhaf, L. (no date) ‘Approach to maths’ </w:t>
      </w:r>
      <w:hyperlink r:id="rId16" w:history="1">
        <w:r w:rsidRPr="0073688A">
          <w:rPr>
            <w:rStyle w:val="Hyperlink"/>
            <w:rFonts w:ascii="Times New Roman" w:hAnsi="Times New Roman" w:cs="Times New Roman"/>
            <w:sz w:val="24"/>
            <w:szCs w:val="24"/>
          </w:rPr>
          <w:t>https://www.montessorisociety.org.uk/Articles/4403559</w:t>
        </w:r>
      </w:hyperlink>
      <w:r w:rsidRPr="0073688A">
        <w:rPr>
          <w:rFonts w:ascii="Times New Roman" w:hAnsi="Times New Roman" w:cs="Times New Roman"/>
          <w:sz w:val="24"/>
          <w:szCs w:val="24"/>
        </w:rPr>
        <w:t xml:space="preserve"> [Accessed: 27</w:t>
      </w:r>
      <w:r w:rsidRPr="0073688A">
        <w:rPr>
          <w:rFonts w:ascii="Times New Roman" w:hAnsi="Times New Roman" w:cs="Times New Roman"/>
          <w:sz w:val="24"/>
          <w:szCs w:val="24"/>
          <w:vertAlign w:val="superscript"/>
        </w:rPr>
        <w:t>th</w:t>
      </w:r>
      <w:r w:rsidRPr="0073688A">
        <w:rPr>
          <w:rFonts w:ascii="Times New Roman" w:hAnsi="Times New Roman" w:cs="Times New Roman"/>
          <w:sz w:val="24"/>
          <w:szCs w:val="24"/>
        </w:rPr>
        <w:t xml:space="preserve"> February 2018].</w:t>
      </w:r>
    </w:p>
    <w:p w:rsidR="00F86617" w:rsidRDefault="00F86617" w:rsidP="0073688A">
      <w:pPr>
        <w:overflowPunct w:val="0"/>
        <w:autoSpaceDE w:val="0"/>
        <w:autoSpaceDN w:val="0"/>
        <w:adjustRightInd w:val="0"/>
        <w:spacing w:line="360" w:lineRule="auto"/>
        <w:jc w:val="both"/>
        <w:textAlignment w:val="baseline"/>
        <w:rPr>
          <w:rFonts w:ascii="Times New Roman" w:hAnsi="Times New Roman" w:cs="Times New Roman"/>
          <w:sz w:val="24"/>
          <w:szCs w:val="24"/>
        </w:rPr>
      </w:pPr>
    </w:p>
    <w:p w:rsidR="000705A1" w:rsidRPr="0073688A" w:rsidRDefault="000705A1" w:rsidP="0073688A">
      <w:pPr>
        <w:autoSpaceDE w:val="0"/>
        <w:autoSpaceDN w:val="0"/>
        <w:adjustRightInd w:val="0"/>
        <w:spacing w:after="0" w:line="360" w:lineRule="auto"/>
        <w:jc w:val="both"/>
        <w:rPr>
          <w:rFonts w:ascii="Times New Roman" w:hAnsi="Times New Roman" w:cs="Times New Roman"/>
          <w:color w:val="646464"/>
          <w:sz w:val="24"/>
          <w:szCs w:val="24"/>
          <w:lang w:val="en-GB"/>
        </w:rPr>
      </w:pPr>
    </w:p>
    <w:p w:rsidR="006202D8" w:rsidRPr="0073688A" w:rsidRDefault="006202D8" w:rsidP="0073688A">
      <w:pPr>
        <w:spacing w:line="360" w:lineRule="auto"/>
        <w:jc w:val="both"/>
        <w:rPr>
          <w:rFonts w:ascii="Times New Roman" w:hAnsi="Times New Roman" w:cs="Times New Roman"/>
          <w:b/>
          <w:sz w:val="24"/>
          <w:szCs w:val="24"/>
          <w:u w:val="single"/>
        </w:rPr>
      </w:pPr>
    </w:p>
    <w:sectPr w:rsidR="006202D8" w:rsidRPr="0073688A">
      <w:headerReference w:type="even" r:id="rId17"/>
      <w:headerReference w:type="default" r:id="rId18"/>
      <w:footerReference w:type="even"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21DF" w:rsidRDefault="005E21DF" w:rsidP="00572367">
      <w:pPr>
        <w:spacing w:after="0" w:line="240" w:lineRule="auto"/>
      </w:pPr>
      <w:r>
        <w:separator/>
      </w:r>
    </w:p>
  </w:endnote>
  <w:endnote w:type="continuationSeparator" w:id="0">
    <w:p w:rsidR="005E21DF" w:rsidRDefault="005E21DF" w:rsidP="00572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5299883"/>
      <w:docPartObj>
        <w:docPartGallery w:val="Page Numbers (Bottom of Page)"/>
        <w:docPartUnique/>
      </w:docPartObj>
    </w:sdtPr>
    <w:sdtEndPr>
      <w:rPr>
        <w:rStyle w:val="PageNumber"/>
      </w:rPr>
    </w:sdtEndPr>
    <w:sdtContent>
      <w:p w:rsidR="00572367" w:rsidRDefault="00572367" w:rsidP="008306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72367" w:rsidRDefault="00572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617" w:rsidRPr="00F86617" w:rsidRDefault="00F86617">
    <w:pPr>
      <w:pStyle w:val="Footer"/>
      <w:rPr>
        <w:rFonts w:ascii="Times New Roman" w:hAnsi="Times New Roman" w:cs="Times New Roman"/>
        <w:sz w:val="24"/>
        <w:szCs w:val="24"/>
      </w:rPr>
    </w:pPr>
    <w:r w:rsidRPr="00F86617">
      <w:rPr>
        <w:rFonts w:ascii="Times New Roman" w:hAnsi="Times New Roman" w:cs="Times New Roman"/>
        <w:sz w:val="24"/>
        <w:szCs w:val="24"/>
      </w:rPr>
      <w:t>Word Count: 2940</w:t>
    </w:r>
  </w:p>
  <w:p w:rsidR="00572367" w:rsidRDefault="00572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21DF" w:rsidRDefault="005E21DF" w:rsidP="00572367">
      <w:pPr>
        <w:spacing w:after="0" w:line="240" w:lineRule="auto"/>
      </w:pPr>
      <w:r>
        <w:separator/>
      </w:r>
    </w:p>
  </w:footnote>
  <w:footnote w:type="continuationSeparator" w:id="0">
    <w:p w:rsidR="005E21DF" w:rsidRDefault="005E21DF" w:rsidP="005723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604697"/>
      <w:docPartObj>
        <w:docPartGallery w:val="Page Numbers (Top of Page)"/>
        <w:docPartUnique/>
      </w:docPartObj>
    </w:sdtPr>
    <w:sdtContent>
      <w:p w:rsidR="00F86617" w:rsidRDefault="00F86617" w:rsidP="00F86C57">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86617" w:rsidRDefault="00F866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4536820"/>
      <w:docPartObj>
        <w:docPartGallery w:val="Page Numbers (Top of Page)"/>
        <w:docPartUnique/>
      </w:docPartObj>
    </w:sdtPr>
    <w:sdtContent>
      <w:p w:rsidR="00F86617" w:rsidRDefault="00F86617" w:rsidP="00F86C57">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86617" w:rsidRDefault="00F866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3347"/>
    <w:rsid w:val="00007670"/>
    <w:rsid w:val="00010238"/>
    <w:rsid w:val="00013D7C"/>
    <w:rsid w:val="00017FF9"/>
    <w:rsid w:val="00032891"/>
    <w:rsid w:val="0003340B"/>
    <w:rsid w:val="00040FC8"/>
    <w:rsid w:val="00050132"/>
    <w:rsid w:val="000521AA"/>
    <w:rsid w:val="0005297D"/>
    <w:rsid w:val="00061A94"/>
    <w:rsid w:val="00066B02"/>
    <w:rsid w:val="000705A1"/>
    <w:rsid w:val="00071FC7"/>
    <w:rsid w:val="00072EA1"/>
    <w:rsid w:val="00077E62"/>
    <w:rsid w:val="00085EF8"/>
    <w:rsid w:val="00091A58"/>
    <w:rsid w:val="000A44BB"/>
    <w:rsid w:val="000A6AC7"/>
    <w:rsid w:val="000A7E8D"/>
    <w:rsid w:val="000B0E4F"/>
    <w:rsid w:val="000C24DE"/>
    <w:rsid w:val="000D04B7"/>
    <w:rsid w:val="000D6E6B"/>
    <w:rsid w:val="000E3669"/>
    <w:rsid w:val="000E6AD4"/>
    <w:rsid w:val="000F12FB"/>
    <w:rsid w:val="000F4805"/>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07F1"/>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074"/>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422"/>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2EF8"/>
    <w:rsid w:val="00357F55"/>
    <w:rsid w:val="00360F8A"/>
    <w:rsid w:val="00364D47"/>
    <w:rsid w:val="0037258C"/>
    <w:rsid w:val="003737A7"/>
    <w:rsid w:val="003755CA"/>
    <w:rsid w:val="003763DC"/>
    <w:rsid w:val="00381FF6"/>
    <w:rsid w:val="00382E7F"/>
    <w:rsid w:val="00382F5C"/>
    <w:rsid w:val="00383640"/>
    <w:rsid w:val="00390161"/>
    <w:rsid w:val="003A192F"/>
    <w:rsid w:val="003A1CB1"/>
    <w:rsid w:val="003A3C0A"/>
    <w:rsid w:val="003A6F91"/>
    <w:rsid w:val="003B38A2"/>
    <w:rsid w:val="003C0635"/>
    <w:rsid w:val="003C1241"/>
    <w:rsid w:val="003C1292"/>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0BDB"/>
    <w:rsid w:val="0044466D"/>
    <w:rsid w:val="00452E64"/>
    <w:rsid w:val="004559FC"/>
    <w:rsid w:val="004650B0"/>
    <w:rsid w:val="00466F6E"/>
    <w:rsid w:val="00472419"/>
    <w:rsid w:val="00473B28"/>
    <w:rsid w:val="00473F63"/>
    <w:rsid w:val="00477D4F"/>
    <w:rsid w:val="0048172A"/>
    <w:rsid w:val="00484D35"/>
    <w:rsid w:val="004A4D38"/>
    <w:rsid w:val="004C2ED5"/>
    <w:rsid w:val="004C6DCA"/>
    <w:rsid w:val="004D2C82"/>
    <w:rsid w:val="004D711F"/>
    <w:rsid w:val="004E0643"/>
    <w:rsid w:val="004E647B"/>
    <w:rsid w:val="004F643D"/>
    <w:rsid w:val="005104AB"/>
    <w:rsid w:val="00511351"/>
    <w:rsid w:val="00516623"/>
    <w:rsid w:val="00516A1A"/>
    <w:rsid w:val="00521E71"/>
    <w:rsid w:val="00530F05"/>
    <w:rsid w:val="00542969"/>
    <w:rsid w:val="00552617"/>
    <w:rsid w:val="00553AF9"/>
    <w:rsid w:val="0056135B"/>
    <w:rsid w:val="00563AD2"/>
    <w:rsid w:val="005675F2"/>
    <w:rsid w:val="00572367"/>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21DF"/>
    <w:rsid w:val="005E423C"/>
    <w:rsid w:val="005E4561"/>
    <w:rsid w:val="005F2E23"/>
    <w:rsid w:val="00600419"/>
    <w:rsid w:val="00600F10"/>
    <w:rsid w:val="006073B6"/>
    <w:rsid w:val="00610736"/>
    <w:rsid w:val="006202D8"/>
    <w:rsid w:val="00622A1D"/>
    <w:rsid w:val="00623B95"/>
    <w:rsid w:val="00631774"/>
    <w:rsid w:val="006346B3"/>
    <w:rsid w:val="00635DB9"/>
    <w:rsid w:val="00643553"/>
    <w:rsid w:val="0064424C"/>
    <w:rsid w:val="00644ABB"/>
    <w:rsid w:val="00647716"/>
    <w:rsid w:val="006478E0"/>
    <w:rsid w:val="0065422E"/>
    <w:rsid w:val="00654667"/>
    <w:rsid w:val="00660177"/>
    <w:rsid w:val="00660E2C"/>
    <w:rsid w:val="00666D20"/>
    <w:rsid w:val="0067212D"/>
    <w:rsid w:val="00676B22"/>
    <w:rsid w:val="00681950"/>
    <w:rsid w:val="006934CA"/>
    <w:rsid w:val="006A0B0D"/>
    <w:rsid w:val="006A1DA6"/>
    <w:rsid w:val="006A2EBD"/>
    <w:rsid w:val="006A47F0"/>
    <w:rsid w:val="006A52E6"/>
    <w:rsid w:val="006B67BF"/>
    <w:rsid w:val="006C0896"/>
    <w:rsid w:val="006C290B"/>
    <w:rsid w:val="006C3839"/>
    <w:rsid w:val="006C53D7"/>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3688A"/>
    <w:rsid w:val="00743B79"/>
    <w:rsid w:val="00746E26"/>
    <w:rsid w:val="007529B5"/>
    <w:rsid w:val="00757306"/>
    <w:rsid w:val="00757CD3"/>
    <w:rsid w:val="00761122"/>
    <w:rsid w:val="00763B82"/>
    <w:rsid w:val="00763F44"/>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410F"/>
    <w:rsid w:val="007F6229"/>
    <w:rsid w:val="00800C8B"/>
    <w:rsid w:val="00802904"/>
    <w:rsid w:val="00806E9C"/>
    <w:rsid w:val="00810DB6"/>
    <w:rsid w:val="008178A5"/>
    <w:rsid w:val="0082494E"/>
    <w:rsid w:val="00826271"/>
    <w:rsid w:val="00832B43"/>
    <w:rsid w:val="00836D92"/>
    <w:rsid w:val="00840E46"/>
    <w:rsid w:val="008436D9"/>
    <w:rsid w:val="00845506"/>
    <w:rsid w:val="00845577"/>
    <w:rsid w:val="00845A68"/>
    <w:rsid w:val="008605F7"/>
    <w:rsid w:val="00861176"/>
    <w:rsid w:val="00861EC6"/>
    <w:rsid w:val="00864A89"/>
    <w:rsid w:val="008655DB"/>
    <w:rsid w:val="00865A6F"/>
    <w:rsid w:val="00866B1A"/>
    <w:rsid w:val="00866EBD"/>
    <w:rsid w:val="00873442"/>
    <w:rsid w:val="008778C4"/>
    <w:rsid w:val="00882553"/>
    <w:rsid w:val="008851E0"/>
    <w:rsid w:val="0088675B"/>
    <w:rsid w:val="00887F30"/>
    <w:rsid w:val="00896A92"/>
    <w:rsid w:val="008A2A34"/>
    <w:rsid w:val="008A6F3F"/>
    <w:rsid w:val="008B5C4D"/>
    <w:rsid w:val="008D00C4"/>
    <w:rsid w:val="008D58E9"/>
    <w:rsid w:val="008E01BC"/>
    <w:rsid w:val="008E7BF9"/>
    <w:rsid w:val="008F35E4"/>
    <w:rsid w:val="008F3CEE"/>
    <w:rsid w:val="00903954"/>
    <w:rsid w:val="0091097C"/>
    <w:rsid w:val="00913270"/>
    <w:rsid w:val="00913DA0"/>
    <w:rsid w:val="00914FB7"/>
    <w:rsid w:val="00916C97"/>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648C"/>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2ECB"/>
    <w:rsid w:val="00A739D2"/>
    <w:rsid w:val="00A80553"/>
    <w:rsid w:val="00A92149"/>
    <w:rsid w:val="00A93372"/>
    <w:rsid w:val="00A94762"/>
    <w:rsid w:val="00A969EE"/>
    <w:rsid w:val="00AA056E"/>
    <w:rsid w:val="00AB02CE"/>
    <w:rsid w:val="00AB0A4C"/>
    <w:rsid w:val="00AB3F77"/>
    <w:rsid w:val="00AB7D4B"/>
    <w:rsid w:val="00AC32ED"/>
    <w:rsid w:val="00AC6346"/>
    <w:rsid w:val="00AC7932"/>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A0BDF"/>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080D"/>
    <w:rsid w:val="00C23EFD"/>
    <w:rsid w:val="00C247D0"/>
    <w:rsid w:val="00C331A7"/>
    <w:rsid w:val="00C50157"/>
    <w:rsid w:val="00C5157E"/>
    <w:rsid w:val="00C51ECC"/>
    <w:rsid w:val="00C53C9E"/>
    <w:rsid w:val="00C57B33"/>
    <w:rsid w:val="00C641F6"/>
    <w:rsid w:val="00C734F4"/>
    <w:rsid w:val="00C73EDE"/>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46F"/>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0375"/>
    <w:rsid w:val="00D266F0"/>
    <w:rsid w:val="00D30EDE"/>
    <w:rsid w:val="00D337BD"/>
    <w:rsid w:val="00D33CF8"/>
    <w:rsid w:val="00D3643B"/>
    <w:rsid w:val="00D60AF8"/>
    <w:rsid w:val="00D6357B"/>
    <w:rsid w:val="00D75D08"/>
    <w:rsid w:val="00D77169"/>
    <w:rsid w:val="00D81692"/>
    <w:rsid w:val="00D91FFE"/>
    <w:rsid w:val="00D921BA"/>
    <w:rsid w:val="00DA0D28"/>
    <w:rsid w:val="00DA4995"/>
    <w:rsid w:val="00DB1796"/>
    <w:rsid w:val="00DB7CC4"/>
    <w:rsid w:val="00DC510B"/>
    <w:rsid w:val="00DC6AA1"/>
    <w:rsid w:val="00DC7A20"/>
    <w:rsid w:val="00DD12C3"/>
    <w:rsid w:val="00DD2C8D"/>
    <w:rsid w:val="00DD7817"/>
    <w:rsid w:val="00DE4BEC"/>
    <w:rsid w:val="00DE5AD4"/>
    <w:rsid w:val="00DE6349"/>
    <w:rsid w:val="00DE75C4"/>
    <w:rsid w:val="00DF09CB"/>
    <w:rsid w:val="00DF31D3"/>
    <w:rsid w:val="00DF55DE"/>
    <w:rsid w:val="00E047D4"/>
    <w:rsid w:val="00E06A17"/>
    <w:rsid w:val="00E11120"/>
    <w:rsid w:val="00E13BED"/>
    <w:rsid w:val="00E32A83"/>
    <w:rsid w:val="00E3732E"/>
    <w:rsid w:val="00E523F0"/>
    <w:rsid w:val="00E541A3"/>
    <w:rsid w:val="00E542B3"/>
    <w:rsid w:val="00E574DB"/>
    <w:rsid w:val="00E63899"/>
    <w:rsid w:val="00E66951"/>
    <w:rsid w:val="00E700C3"/>
    <w:rsid w:val="00E7372A"/>
    <w:rsid w:val="00E849F8"/>
    <w:rsid w:val="00E86504"/>
    <w:rsid w:val="00E8652C"/>
    <w:rsid w:val="00E919C6"/>
    <w:rsid w:val="00E931A8"/>
    <w:rsid w:val="00EA2505"/>
    <w:rsid w:val="00EA55F9"/>
    <w:rsid w:val="00EA6DCC"/>
    <w:rsid w:val="00EB45A6"/>
    <w:rsid w:val="00EB5917"/>
    <w:rsid w:val="00EC0E61"/>
    <w:rsid w:val="00EC2DEE"/>
    <w:rsid w:val="00EC46A6"/>
    <w:rsid w:val="00EC5B42"/>
    <w:rsid w:val="00ED352C"/>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53451"/>
    <w:rsid w:val="00F60D3B"/>
    <w:rsid w:val="00F635B1"/>
    <w:rsid w:val="00F641FE"/>
    <w:rsid w:val="00F679D3"/>
    <w:rsid w:val="00F70A42"/>
    <w:rsid w:val="00F83908"/>
    <w:rsid w:val="00F86617"/>
    <w:rsid w:val="00F9425B"/>
    <w:rsid w:val="00FA73AF"/>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191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5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2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367"/>
  </w:style>
  <w:style w:type="paragraph" w:styleId="Footer">
    <w:name w:val="footer"/>
    <w:basedOn w:val="Normal"/>
    <w:link w:val="FooterChar"/>
    <w:uiPriority w:val="99"/>
    <w:unhideWhenUsed/>
    <w:rsid w:val="00572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367"/>
  </w:style>
  <w:style w:type="character" w:styleId="PageNumber">
    <w:name w:val="page number"/>
    <w:basedOn w:val="DefaultParagraphFont"/>
    <w:uiPriority w:val="99"/>
    <w:semiHidden/>
    <w:unhideWhenUsed/>
    <w:rsid w:val="00572367"/>
  </w:style>
  <w:style w:type="character" w:styleId="Hyperlink">
    <w:name w:val="Hyperlink"/>
    <w:basedOn w:val="DefaultParagraphFont"/>
    <w:uiPriority w:val="99"/>
    <w:unhideWhenUsed/>
    <w:rsid w:val="006202D8"/>
    <w:rPr>
      <w:color w:val="0563C1" w:themeColor="hyperlink"/>
      <w:u w:val="single"/>
    </w:rPr>
  </w:style>
  <w:style w:type="character" w:styleId="UnresolvedMention">
    <w:name w:val="Unresolved Mention"/>
    <w:basedOn w:val="DefaultParagraphFont"/>
    <w:uiPriority w:val="99"/>
    <w:semiHidden/>
    <w:unhideWhenUsed/>
    <w:rsid w:val="006202D8"/>
    <w:rPr>
      <w:color w:val="808080"/>
      <w:shd w:val="clear" w:color="auto" w:fill="E6E6E6"/>
    </w:rPr>
  </w:style>
  <w:style w:type="paragraph" w:styleId="NormalWeb">
    <w:name w:val="Normal (Web)"/>
    <w:basedOn w:val="Normal"/>
    <w:uiPriority w:val="99"/>
    <w:unhideWhenUsed/>
    <w:rsid w:val="0086117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3C1292"/>
    <w:rPr>
      <w:color w:val="954F72" w:themeColor="followedHyperlink"/>
      <w:u w:val="single"/>
    </w:rPr>
  </w:style>
  <w:style w:type="paragraph" w:styleId="NoSpacing">
    <w:name w:val="No Spacing"/>
    <w:uiPriority w:val="1"/>
    <w:qFormat/>
    <w:rsid w:val="000705A1"/>
    <w:pPr>
      <w:spacing w:after="0" w:line="240" w:lineRule="auto"/>
    </w:pPr>
  </w:style>
  <w:style w:type="character" w:customStyle="1" w:styleId="Heading1Char">
    <w:name w:val="Heading 1 Char"/>
    <w:basedOn w:val="DefaultParagraphFont"/>
    <w:link w:val="Heading1"/>
    <w:uiPriority w:val="9"/>
    <w:rsid w:val="000705A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541571">
      <w:bodyDiv w:val="1"/>
      <w:marLeft w:val="0"/>
      <w:marRight w:val="0"/>
      <w:marTop w:val="0"/>
      <w:marBottom w:val="0"/>
      <w:divBdr>
        <w:top w:val="none" w:sz="0" w:space="0" w:color="auto"/>
        <w:left w:val="none" w:sz="0" w:space="0" w:color="auto"/>
        <w:bottom w:val="none" w:sz="0" w:space="0" w:color="auto"/>
        <w:right w:val="none" w:sz="0" w:space="0" w:color="auto"/>
      </w:divBdr>
      <w:divsChild>
        <w:div w:id="1603758739">
          <w:marLeft w:val="0"/>
          <w:marRight w:val="0"/>
          <w:marTop w:val="0"/>
          <w:marBottom w:val="0"/>
          <w:divBdr>
            <w:top w:val="none" w:sz="0" w:space="0" w:color="auto"/>
            <w:left w:val="none" w:sz="0" w:space="0" w:color="auto"/>
            <w:bottom w:val="none" w:sz="0" w:space="0" w:color="auto"/>
            <w:right w:val="none" w:sz="0" w:space="0" w:color="auto"/>
          </w:divBdr>
          <w:divsChild>
            <w:div w:id="809395840">
              <w:marLeft w:val="0"/>
              <w:marRight w:val="0"/>
              <w:marTop w:val="0"/>
              <w:marBottom w:val="0"/>
              <w:divBdr>
                <w:top w:val="none" w:sz="0" w:space="0" w:color="auto"/>
                <w:left w:val="none" w:sz="0" w:space="0" w:color="auto"/>
                <w:bottom w:val="none" w:sz="0" w:space="0" w:color="auto"/>
                <w:right w:val="none" w:sz="0" w:space="0" w:color="auto"/>
              </w:divBdr>
              <w:divsChild>
                <w:div w:id="177459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tl.org.uk/nsgw/documents/LTL-Maths-Early-Years-Booklet-final1432742138.pdf" TargetMode="External"/><Relationship Id="rId13" Type="http://schemas.openxmlformats.org/officeDocument/2006/relationships/hyperlink" Target="https://www.simplypsychology.org/bruner.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erw.wales/media/1097/141006-foundation-phase-mathematical-development-area-of-learning.pdf" TargetMode="External"/><Relationship Id="rId12" Type="http://schemas.openxmlformats.org/officeDocument/2006/relationships/hyperlink" Target="http://www.independent.co.uk/news/education/education-news/our-children-tested-to-destruction-779790.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ontessorisociety.org.uk/Articles/440355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oecd.org/education/school/SWEDEN%20policy%20profile%20-%20published%2005-02-%202013.pdf?TSPD_101_R0=de83e17a64a17051cdb20a58e98f3a2db960000000000000000e559e497ffff00000000000000000000000000005a99151400f8aedc1e" TargetMode="External"/><Relationship Id="rId5" Type="http://schemas.openxmlformats.org/officeDocument/2006/relationships/footnotes" Target="footnotes.xml"/><Relationship Id="rId15" Type="http://schemas.openxmlformats.org/officeDocument/2006/relationships/hyperlink" Target="http://www.cscjes.org.uk/CMSPages/GetFile.aspx?nodeguid=5bdd5ac9-78ef-48f7-a972-e55312ec9334" TargetMode="External"/><Relationship Id="rId23" Type="http://schemas.openxmlformats.org/officeDocument/2006/relationships/theme" Target="theme/theme1.xml"/><Relationship Id="rId10" Type="http://schemas.openxmlformats.org/officeDocument/2006/relationships/hyperlink" Target="http://learning.gov.wales/resources/learningpacks/mep/numeracy/learning-and-teaching-numeracy/effective-learning-and-teaching-practices/?lang=e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learning.gov.wales/resources/learningpacks/mep/numeracy/learning-and-teaching-numeracy/creating-numeracy-learning-environments/?lang=en" TargetMode="External"/><Relationship Id="rId14" Type="http://schemas.openxmlformats.org/officeDocument/2006/relationships/hyperlink" Target="http://dera.ioe.ac.uk/15795/1/mathdevelopmentepdf_lang%3De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8EA"/>
    <w:rsid w:val="003F78EA"/>
    <w:rsid w:val="00CE3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1F7D764AF73440934038116D9EF66D">
    <w:name w:val="9C1F7D764AF73440934038116D9EF66D"/>
    <w:rsid w:val="003F78EA"/>
  </w:style>
  <w:style w:type="paragraph" w:customStyle="1" w:styleId="0F0021A726F56C4982A8499AABBEF5F3">
    <w:name w:val="0F0021A726F56C4982A8499AABBEF5F3"/>
    <w:rsid w:val="003F78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FAEEA-9032-C741-9CED-C719B8E17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12</Pages>
  <Words>3363</Words>
  <Characters>19172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Jessica Avery (1702743)</cp:lastModifiedBy>
  <cp:revision>7</cp:revision>
  <dcterms:created xsi:type="dcterms:W3CDTF">2018-02-27T13:26:00Z</dcterms:created>
  <dcterms:modified xsi:type="dcterms:W3CDTF">2018-03-02T10:31:00Z</dcterms:modified>
</cp:coreProperties>
</file>