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B3CEC2" w14:textId="77777777" w:rsidR="00EF5221" w:rsidRDefault="11E2030B">
      <w:r>
        <w:t>part a</w:t>
      </w:r>
    </w:p>
    <w:p w14:paraId="1E0FD247" w14:textId="77777777" w:rsidR="11E2030B" w:rsidRDefault="11E2030B">
      <w:r>
        <w:t xml:space="preserve">Sources </w:t>
      </w:r>
    </w:p>
    <w:p w14:paraId="6002B38D" w14:textId="0E6A878B" w:rsidR="00D9030F" w:rsidRPr="00D9030F" w:rsidRDefault="00D9030F" w:rsidP="00D9030F">
      <w:pPr>
        <w:spacing w:before="100" w:beforeAutospacing="1" w:after="100" w:afterAutospacing="1" w:line="240" w:lineRule="auto"/>
        <w:rPr>
          <w:rFonts w:ascii="Times New Roman" w:hAnsi="Times New Roman" w:cs="Times New Roman"/>
          <w:lang w:eastAsia="en-GB"/>
        </w:rPr>
      </w:pPr>
      <w:proofErr w:type="spellStart"/>
      <w:r w:rsidRPr="00D9030F">
        <w:rPr>
          <w:rFonts w:ascii="Times New Roman" w:hAnsi="Times New Roman" w:cs="Times New Roman"/>
          <w:lang w:eastAsia="en-GB"/>
        </w:rPr>
        <w:t>Bowlby’s</w:t>
      </w:r>
      <w:proofErr w:type="spellEnd"/>
      <w:r w:rsidRPr="00D9030F">
        <w:rPr>
          <w:rFonts w:ascii="Times New Roman" w:hAnsi="Times New Roman" w:cs="Times New Roman"/>
          <w:lang w:eastAsia="en-GB"/>
        </w:rPr>
        <w:t xml:space="preserve"> Attachment Theory explains that the emotional bond formed between an infant and their primary caregiver influences social, </w:t>
      </w:r>
      <w:r w:rsidR="00512183" w:rsidRPr="00D9030F">
        <w:rPr>
          <w:rFonts w:ascii="Times New Roman" w:hAnsi="Times New Roman" w:cs="Times New Roman"/>
          <w:lang w:eastAsia="en-GB"/>
        </w:rPr>
        <w:t>emotional,</w:t>
      </w:r>
      <w:r w:rsidRPr="00D9030F">
        <w:rPr>
          <w:rFonts w:ascii="Times New Roman" w:hAnsi="Times New Roman" w:cs="Times New Roman"/>
          <w:lang w:eastAsia="en-GB"/>
        </w:rPr>
        <w:t xml:space="preserve"> and psychological development throughout life. </w:t>
      </w:r>
      <w:proofErr w:type="spellStart"/>
      <w:r w:rsidRPr="00D9030F">
        <w:rPr>
          <w:rFonts w:ascii="Times New Roman" w:hAnsi="Times New Roman" w:cs="Times New Roman"/>
          <w:lang w:eastAsia="en-GB"/>
        </w:rPr>
        <w:t>Bowlby</w:t>
      </w:r>
      <w:proofErr w:type="spellEnd"/>
      <w:r w:rsidRPr="00D9030F">
        <w:rPr>
          <w:rFonts w:ascii="Times New Roman" w:hAnsi="Times New Roman" w:cs="Times New Roman"/>
          <w:lang w:eastAsia="en-GB"/>
        </w:rPr>
        <w:t xml:space="preserve"> (1969) argued that when a child experiences a secure attachment, they develop an internal working model that helps them build trusting relationships, regulate emotions and cope with stressful situations. Although the theory </w:t>
      </w:r>
      <w:bookmarkStart w:id="0" w:name="_Int_bvompnpM"/>
      <w:r w:rsidRPr="00D9030F">
        <w:rPr>
          <w:rFonts w:ascii="Times New Roman" w:hAnsi="Times New Roman" w:cs="Times New Roman"/>
          <w:lang w:eastAsia="en-GB"/>
        </w:rPr>
        <w:t>was originally developed</w:t>
      </w:r>
      <w:bookmarkEnd w:id="0"/>
      <w:r w:rsidRPr="00D9030F">
        <w:rPr>
          <w:rFonts w:ascii="Times New Roman" w:hAnsi="Times New Roman" w:cs="Times New Roman"/>
          <w:lang w:eastAsia="en-GB"/>
        </w:rPr>
        <w:t xml:space="preserve"> to explain childhood development, research suggests that attachment continues to influence behaviour and wellbeing in adulthood and older age. Older adults often experience life changes such as retirement, bereavement, declining health and moving into residential care, making supportive relationships increasingly important. Developing secure relationships with family members, carers and healthcare professionals can reduce anxiety, encourage </w:t>
      </w:r>
      <w:r w:rsidR="00512183" w:rsidRPr="00D9030F">
        <w:rPr>
          <w:rFonts w:ascii="Times New Roman" w:hAnsi="Times New Roman" w:cs="Times New Roman"/>
          <w:lang w:eastAsia="en-GB"/>
        </w:rPr>
        <w:t>communication,</w:t>
      </w:r>
      <w:r w:rsidRPr="00D9030F">
        <w:rPr>
          <w:rFonts w:ascii="Times New Roman" w:hAnsi="Times New Roman" w:cs="Times New Roman"/>
          <w:lang w:eastAsia="en-GB"/>
        </w:rPr>
        <w:t xml:space="preserve"> and improve engagement with treatment. This highlights the importance of attachment theory in promoting psychological wellbeing among older adults receiving health and social care.</w:t>
      </w:r>
    </w:p>
    <w:p w14:paraId="62AF062E" w14:textId="51FC7983" w:rsidR="00D9030F" w:rsidRPr="00D9030F" w:rsidRDefault="00D9030F" w:rsidP="00D9030F">
      <w:pPr>
        <w:spacing w:before="100" w:beforeAutospacing="1" w:after="100" w:afterAutospacing="1" w:line="240" w:lineRule="auto"/>
        <w:rPr>
          <w:rFonts w:ascii="Times New Roman" w:hAnsi="Times New Roman" w:cs="Times New Roman"/>
          <w:lang w:eastAsia="en-GB"/>
        </w:rPr>
      </w:pPr>
      <w:proofErr w:type="spellStart"/>
      <w:r w:rsidRPr="00D9030F">
        <w:rPr>
          <w:rFonts w:ascii="Times New Roman" w:hAnsi="Times New Roman" w:cs="Times New Roman"/>
          <w:lang w:eastAsia="en-GB"/>
        </w:rPr>
        <w:t>Bowlby’s</w:t>
      </w:r>
      <w:proofErr w:type="spellEnd"/>
      <w:r w:rsidRPr="00D9030F">
        <w:rPr>
          <w:rFonts w:ascii="Times New Roman" w:hAnsi="Times New Roman" w:cs="Times New Roman"/>
          <w:lang w:eastAsia="en-GB"/>
        </w:rPr>
        <w:t xml:space="preserve"> Attachment Theory is highly relevant to health and social care because it highlights the importance of trust, emotional security and consistent relationships between older adults and those providing care. Care professionals who develop compassionate and trusting relationships may help reduce loneliness, fear and emotional distress while encouraging individuals to </w:t>
      </w:r>
      <w:r w:rsidR="00512183" w:rsidRPr="00D9030F">
        <w:rPr>
          <w:rFonts w:ascii="Times New Roman" w:hAnsi="Times New Roman" w:cs="Times New Roman"/>
          <w:lang w:eastAsia="en-GB"/>
        </w:rPr>
        <w:t>take part</w:t>
      </w:r>
      <w:r w:rsidRPr="00D9030F">
        <w:rPr>
          <w:rFonts w:ascii="Times New Roman" w:hAnsi="Times New Roman" w:cs="Times New Roman"/>
          <w:lang w:eastAsia="en-GB"/>
        </w:rPr>
        <w:t xml:space="preserve"> in their care. The theory also supports person-centred care by recognising the importance of understanding each person’s emotional needs and relationship history. However, one limitation is that </w:t>
      </w:r>
      <w:proofErr w:type="spellStart"/>
      <w:r w:rsidRPr="00D9030F">
        <w:rPr>
          <w:rFonts w:ascii="Times New Roman" w:hAnsi="Times New Roman" w:cs="Times New Roman"/>
          <w:lang w:eastAsia="en-GB"/>
        </w:rPr>
        <w:t>Bowlby’s</w:t>
      </w:r>
      <w:proofErr w:type="spellEnd"/>
      <w:r w:rsidRPr="00D9030F">
        <w:rPr>
          <w:rFonts w:ascii="Times New Roman" w:hAnsi="Times New Roman" w:cs="Times New Roman"/>
          <w:lang w:eastAsia="en-GB"/>
        </w:rPr>
        <w:t xml:space="preserve"> theory places considerable emphasis on early childhood experiences and may not fully explain how later life events, culture, </w:t>
      </w:r>
      <w:r w:rsidR="00512183" w:rsidRPr="00D9030F">
        <w:rPr>
          <w:rFonts w:ascii="Times New Roman" w:hAnsi="Times New Roman" w:cs="Times New Roman"/>
          <w:lang w:eastAsia="en-GB"/>
        </w:rPr>
        <w:t>personality,</w:t>
      </w:r>
      <w:r w:rsidRPr="00D9030F">
        <w:rPr>
          <w:rFonts w:ascii="Times New Roman" w:hAnsi="Times New Roman" w:cs="Times New Roman"/>
          <w:lang w:eastAsia="en-GB"/>
        </w:rPr>
        <w:t xml:space="preserve"> or resilience influence attachment in older adulthood. Despite this limitation, the theory </w:t>
      </w:r>
      <w:r w:rsidR="00512183" w:rsidRPr="00D9030F">
        <w:rPr>
          <w:rFonts w:ascii="Times New Roman" w:hAnsi="Times New Roman" w:cs="Times New Roman"/>
          <w:lang w:eastAsia="en-GB"/>
        </w:rPr>
        <w:t>stays</w:t>
      </w:r>
      <w:r w:rsidRPr="00D9030F">
        <w:rPr>
          <w:rFonts w:ascii="Times New Roman" w:hAnsi="Times New Roman" w:cs="Times New Roman"/>
          <w:lang w:eastAsia="en-GB"/>
        </w:rPr>
        <w:t xml:space="preserve"> valuable because it reminds healthcare professionals that positive relationships are essential for supporting the emotional wellbeing and quality of life of older adults.</w:t>
      </w:r>
    </w:p>
    <w:p w14:paraId="6F8D0A5E" w14:textId="77777777" w:rsidR="56D145EA" w:rsidRDefault="56D145EA"/>
    <w:p w14:paraId="10D3BB6D" w14:textId="77777777" w:rsidR="753A3545" w:rsidRDefault="753A3545">
      <w:proofErr w:type="spellStart"/>
      <w:r>
        <w:t>Havighurst</w:t>
      </w:r>
      <w:proofErr w:type="spellEnd"/>
      <w:r>
        <w:t xml:space="preserve"> theory </w:t>
      </w:r>
    </w:p>
    <w:p w14:paraId="25CA0111" w14:textId="40CA4676" w:rsidR="000150E3" w:rsidRPr="000150E3" w:rsidRDefault="000150E3" w:rsidP="000150E3">
      <w:pPr>
        <w:spacing w:before="100" w:beforeAutospacing="1" w:after="100" w:afterAutospacing="1" w:line="240" w:lineRule="auto"/>
        <w:rPr>
          <w:rFonts w:ascii="Times New Roman" w:hAnsi="Times New Roman" w:cs="Times New Roman"/>
          <w:lang w:eastAsia="en-GB"/>
        </w:rPr>
      </w:pPr>
      <w:proofErr w:type="spellStart"/>
      <w:r w:rsidRPr="000150E3">
        <w:rPr>
          <w:rFonts w:ascii="Times New Roman" w:hAnsi="Times New Roman" w:cs="Times New Roman"/>
          <w:lang w:eastAsia="en-GB"/>
        </w:rPr>
        <w:t>Havighurst’s</w:t>
      </w:r>
      <w:proofErr w:type="spellEnd"/>
      <w:r w:rsidRPr="000150E3">
        <w:rPr>
          <w:rFonts w:ascii="Times New Roman" w:hAnsi="Times New Roman" w:cs="Times New Roman"/>
          <w:lang w:eastAsia="en-GB"/>
        </w:rPr>
        <w:t xml:space="preserve"> Activity Theory suggests that older adults are more likely to experience successful ageing when they </w:t>
      </w:r>
      <w:r w:rsidR="00512183" w:rsidRPr="000150E3">
        <w:rPr>
          <w:rFonts w:ascii="Times New Roman" w:hAnsi="Times New Roman" w:cs="Times New Roman"/>
          <w:lang w:eastAsia="en-GB"/>
        </w:rPr>
        <w:t>stay</w:t>
      </w:r>
      <w:r w:rsidRPr="000150E3">
        <w:rPr>
          <w:rFonts w:ascii="Times New Roman" w:hAnsi="Times New Roman" w:cs="Times New Roman"/>
          <w:lang w:eastAsia="en-GB"/>
        </w:rPr>
        <w:t xml:space="preserve"> physically, </w:t>
      </w:r>
      <w:r w:rsidR="00512183" w:rsidRPr="000150E3">
        <w:rPr>
          <w:rFonts w:ascii="Times New Roman" w:hAnsi="Times New Roman" w:cs="Times New Roman"/>
          <w:lang w:eastAsia="en-GB"/>
        </w:rPr>
        <w:t>mentally,</w:t>
      </w:r>
      <w:r w:rsidRPr="000150E3">
        <w:rPr>
          <w:rFonts w:ascii="Times New Roman" w:hAnsi="Times New Roman" w:cs="Times New Roman"/>
          <w:lang w:eastAsia="en-GB"/>
        </w:rPr>
        <w:t xml:space="preserve"> and socially active. Developed in the 1960s, the theory argues that </w:t>
      </w:r>
      <w:r w:rsidR="00512183" w:rsidRPr="000150E3">
        <w:rPr>
          <w:rFonts w:ascii="Times New Roman" w:hAnsi="Times New Roman" w:cs="Times New Roman"/>
          <w:lang w:eastAsia="en-GB"/>
        </w:rPr>
        <w:t>supporting</w:t>
      </w:r>
      <w:r w:rsidRPr="000150E3">
        <w:rPr>
          <w:rFonts w:ascii="Times New Roman" w:hAnsi="Times New Roman" w:cs="Times New Roman"/>
          <w:lang w:eastAsia="en-GB"/>
        </w:rPr>
        <w:t xml:space="preserve"> meaningful roles and </w:t>
      </w:r>
      <w:r w:rsidR="00512183" w:rsidRPr="000150E3">
        <w:rPr>
          <w:rFonts w:ascii="Times New Roman" w:hAnsi="Times New Roman" w:cs="Times New Roman"/>
          <w:lang w:eastAsia="en-GB"/>
        </w:rPr>
        <w:t>taking part</w:t>
      </w:r>
      <w:r w:rsidRPr="000150E3">
        <w:rPr>
          <w:rFonts w:ascii="Times New Roman" w:hAnsi="Times New Roman" w:cs="Times New Roman"/>
          <w:lang w:eastAsia="en-GB"/>
        </w:rPr>
        <w:t xml:space="preserve"> in enjoyable activities after retirement can improve happiness, </w:t>
      </w:r>
      <w:r w:rsidR="00512183" w:rsidRPr="000150E3">
        <w:rPr>
          <w:rFonts w:ascii="Times New Roman" w:hAnsi="Times New Roman" w:cs="Times New Roman"/>
          <w:lang w:eastAsia="en-GB"/>
        </w:rPr>
        <w:t>independence,</w:t>
      </w:r>
      <w:r w:rsidRPr="000150E3">
        <w:rPr>
          <w:rFonts w:ascii="Times New Roman" w:hAnsi="Times New Roman" w:cs="Times New Roman"/>
          <w:lang w:eastAsia="en-GB"/>
        </w:rPr>
        <w:t xml:space="preserve"> and overall quality of life. As people age, they may experience changes such as retirement, loss of loved ones or declining health, which can reduce social interaction and increase feelings of loneliness. Activity Theory proposes that replacing lost roles with new activities, hobbies or social relationships helps older adults </w:t>
      </w:r>
      <w:bookmarkStart w:id="1" w:name="_Int_NzIuZel8"/>
      <w:r w:rsidRPr="000150E3">
        <w:rPr>
          <w:rFonts w:ascii="Times New Roman" w:hAnsi="Times New Roman" w:cs="Times New Roman"/>
          <w:lang w:eastAsia="en-GB"/>
        </w:rPr>
        <w:t>maintain</w:t>
      </w:r>
      <w:bookmarkEnd w:id="1"/>
      <w:r w:rsidRPr="000150E3">
        <w:rPr>
          <w:rFonts w:ascii="Times New Roman" w:hAnsi="Times New Roman" w:cs="Times New Roman"/>
          <w:lang w:eastAsia="en-GB"/>
        </w:rPr>
        <w:t xml:space="preserve"> a positive sense of identity and purpose. In health and social care settings, this theory encourages professionals to support older adults in </w:t>
      </w:r>
      <w:r w:rsidR="00512183" w:rsidRPr="000150E3">
        <w:rPr>
          <w:rFonts w:ascii="Times New Roman" w:hAnsi="Times New Roman" w:cs="Times New Roman"/>
          <w:lang w:eastAsia="en-GB"/>
        </w:rPr>
        <w:t>taking part</w:t>
      </w:r>
      <w:r w:rsidRPr="000150E3">
        <w:rPr>
          <w:rFonts w:ascii="Times New Roman" w:hAnsi="Times New Roman" w:cs="Times New Roman"/>
          <w:lang w:eastAsia="en-GB"/>
        </w:rPr>
        <w:t xml:space="preserve"> in activities that match their interests and abilities. Examples include exercise groups, gardening, music sessions, arts and crafts, </w:t>
      </w:r>
      <w:r w:rsidR="00512183" w:rsidRPr="000150E3">
        <w:rPr>
          <w:rFonts w:ascii="Times New Roman" w:hAnsi="Times New Roman" w:cs="Times New Roman"/>
          <w:lang w:eastAsia="en-GB"/>
        </w:rPr>
        <w:t>volunteering,</w:t>
      </w:r>
      <w:r w:rsidRPr="000150E3">
        <w:rPr>
          <w:rFonts w:ascii="Times New Roman" w:hAnsi="Times New Roman" w:cs="Times New Roman"/>
          <w:lang w:eastAsia="en-GB"/>
        </w:rPr>
        <w:t xml:space="preserve"> and social events, all of which can promote emotional wellbeing and reduce social isolation.</w:t>
      </w:r>
    </w:p>
    <w:p w14:paraId="5197B30E" w14:textId="77777777" w:rsidR="000150E3" w:rsidRPr="000150E3" w:rsidRDefault="000150E3" w:rsidP="000150E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150E3">
        <w:rPr>
          <w:rFonts w:ascii="Times New Roman" w:eastAsia="Times New Roman" w:hAnsi="Times New Roman" w:cs="Times New Roman"/>
          <w:b/>
          <w:bCs/>
          <w:sz w:val="27"/>
          <w:szCs w:val="27"/>
          <w:lang w:eastAsia="en-GB"/>
        </w:rPr>
        <w:t>Critical Comment</w:t>
      </w:r>
    </w:p>
    <w:p w14:paraId="43BCFDAC" w14:textId="4CA24DAD" w:rsidR="000150E3" w:rsidRPr="000150E3" w:rsidRDefault="000150E3" w:rsidP="000150E3">
      <w:pPr>
        <w:spacing w:before="100" w:beforeAutospacing="1" w:after="100" w:afterAutospacing="1" w:line="240" w:lineRule="auto"/>
        <w:rPr>
          <w:rFonts w:ascii="Times New Roman" w:hAnsi="Times New Roman" w:cs="Times New Roman"/>
          <w:lang w:eastAsia="en-GB"/>
        </w:rPr>
      </w:pPr>
      <w:proofErr w:type="spellStart"/>
      <w:r w:rsidRPr="000150E3">
        <w:rPr>
          <w:rFonts w:ascii="Times New Roman" w:hAnsi="Times New Roman" w:cs="Times New Roman"/>
          <w:lang w:eastAsia="en-GB"/>
        </w:rPr>
        <w:t>Havighurst’s</w:t>
      </w:r>
      <w:proofErr w:type="spellEnd"/>
      <w:r w:rsidRPr="000150E3">
        <w:rPr>
          <w:rFonts w:ascii="Times New Roman" w:hAnsi="Times New Roman" w:cs="Times New Roman"/>
          <w:lang w:eastAsia="en-GB"/>
        </w:rPr>
        <w:t xml:space="preserve"> Activity Theory is highly relevant to health and social care because it </w:t>
      </w:r>
      <w:r w:rsidR="00512183" w:rsidRPr="000150E3">
        <w:rPr>
          <w:rFonts w:ascii="Times New Roman" w:hAnsi="Times New Roman" w:cs="Times New Roman"/>
          <w:lang w:eastAsia="en-GB"/>
        </w:rPr>
        <w:t>proves</w:t>
      </w:r>
      <w:r w:rsidRPr="000150E3">
        <w:rPr>
          <w:rFonts w:ascii="Times New Roman" w:hAnsi="Times New Roman" w:cs="Times New Roman"/>
          <w:lang w:eastAsia="en-GB"/>
        </w:rPr>
        <w:t xml:space="preserve"> how meaningful social and physical activities can improve the wellbeing of older adults. Care professionals can use this theory to develop person-centred activity programmes that encourage independence, reduce </w:t>
      </w:r>
      <w:r w:rsidR="00512183" w:rsidRPr="000150E3">
        <w:rPr>
          <w:rFonts w:ascii="Times New Roman" w:hAnsi="Times New Roman" w:cs="Times New Roman"/>
          <w:lang w:eastAsia="en-GB"/>
        </w:rPr>
        <w:t>loneliness,</w:t>
      </w:r>
      <w:r w:rsidRPr="000150E3">
        <w:rPr>
          <w:rFonts w:ascii="Times New Roman" w:hAnsi="Times New Roman" w:cs="Times New Roman"/>
          <w:lang w:eastAsia="en-GB"/>
        </w:rPr>
        <w:t xml:space="preserve"> and improve mental health. Research has shown that regular participation in meaningful activities can increase self-esteem, promote social </w:t>
      </w:r>
      <w:r w:rsidR="00512183" w:rsidRPr="000150E3">
        <w:rPr>
          <w:rFonts w:ascii="Times New Roman" w:hAnsi="Times New Roman" w:cs="Times New Roman"/>
          <w:lang w:eastAsia="en-GB"/>
        </w:rPr>
        <w:t>inclusion,</w:t>
      </w:r>
      <w:r w:rsidRPr="000150E3">
        <w:rPr>
          <w:rFonts w:ascii="Times New Roman" w:hAnsi="Times New Roman" w:cs="Times New Roman"/>
          <w:lang w:eastAsia="en-GB"/>
        </w:rPr>
        <w:t xml:space="preserve"> and enhance quality of life for older people living in residential care. However, the theory has limitations because it assumes that </w:t>
      </w:r>
      <w:bookmarkStart w:id="2" w:name="_Int_dgZX30N3"/>
      <w:r w:rsidRPr="000150E3">
        <w:rPr>
          <w:rFonts w:ascii="Times New Roman" w:hAnsi="Times New Roman" w:cs="Times New Roman"/>
          <w:lang w:eastAsia="en-GB"/>
        </w:rPr>
        <w:t>remaining</w:t>
      </w:r>
      <w:bookmarkEnd w:id="2"/>
      <w:r w:rsidRPr="000150E3">
        <w:rPr>
          <w:rFonts w:ascii="Times New Roman" w:hAnsi="Times New Roman" w:cs="Times New Roman"/>
          <w:lang w:eastAsia="en-GB"/>
        </w:rPr>
        <w:t xml:space="preserve"> active is the best approach for everyone. Some older adults may have chronic illnesses, mobility difficulties, </w:t>
      </w:r>
      <w:r w:rsidR="00512183" w:rsidRPr="000150E3">
        <w:rPr>
          <w:rFonts w:ascii="Times New Roman" w:hAnsi="Times New Roman" w:cs="Times New Roman"/>
          <w:lang w:eastAsia="en-GB"/>
        </w:rPr>
        <w:t>dementia,</w:t>
      </w:r>
      <w:r w:rsidRPr="000150E3">
        <w:rPr>
          <w:rFonts w:ascii="Times New Roman" w:hAnsi="Times New Roman" w:cs="Times New Roman"/>
          <w:lang w:eastAsia="en-GB"/>
        </w:rPr>
        <w:t xml:space="preserve"> or personal preferences that limit their ability or desire to </w:t>
      </w:r>
      <w:bookmarkStart w:id="3" w:name="_Int_zrC5324u"/>
      <w:r w:rsidRPr="000150E3">
        <w:rPr>
          <w:rFonts w:ascii="Times New Roman" w:hAnsi="Times New Roman" w:cs="Times New Roman"/>
          <w:lang w:eastAsia="en-GB"/>
        </w:rPr>
        <w:t>participate</w:t>
      </w:r>
      <w:bookmarkEnd w:id="3"/>
      <w:r w:rsidRPr="000150E3">
        <w:rPr>
          <w:rFonts w:ascii="Times New Roman" w:hAnsi="Times New Roman" w:cs="Times New Roman"/>
          <w:lang w:eastAsia="en-GB"/>
        </w:rPr>
        <w:t xml:space="preserve"> in organised activities. Therefore, healthcare professionals should adopt a person-centred approach by tailoring activities to </w:t>
      </w:r>
      <w:bookmarkStart w:id="4" w:name="_Int_ok9Sn2Xk"/>
      <w:r w:rsidRPr="000150E3">
        <w:rPr>
          <w:rFonts w:ascii="Times New Roman" w:hAnsi="Times New Roman" w:cs="Times New Roman"/>
          <w:lang w:eastAsia="en-GB"/>
        </w:rPr>
        <w:t>each individual’s</w:t>
      </w:r>
      <w:bookmarkEnd w:id="4"/>
      <w:r w:rsidRPr="000150E3">
        <w:rPr>
          <w:rFonts w:ascii="Times New Roman" w:hAnsi="Times New Roman" w:cs="Times New Roman"/>
          <w:lang w:eastAsia="en-GB"/>
        </w:rPr>
        <w:t xml:space="preserve"> needs, </w:t>
      </w:r>
      <w:r w:rsidR="00512183" w:rsidRPr="000150E3">
        <w:rPr>
          <w:rFonts w:ascii="Times New Roman" w:hAnsi="Times New Roman" w:cs="Times New Roman"/>
          <w:lang w:eastAsia="en-GB"/>
        </w:rPr>
        <w:t>preferences,</w:t>
      </w:r>
      <w:r w:rsidRPr="000150E3">
        <w:rPr>
          <w:rFonts w:ascii="Times New Roman" w:hAnsi="Times New Roman" w:cs="Times New Roman"/>
          <w:lang w:eastAsia="en-GB"/>
        </w:rPr>
        <w:t xml:space="preserve"> and abilities rather than expecting every older adult to </w:t>
      </w:r>
      <w:r w:rsidR="00512183" w:rsidRPr="000150E3">
        <w:rPr>
          <w:rFonts w:ascii="Times New Roman" w:hAnsi="Times New Roman" w:cs="Times New Roman"/>
          <w:lang w:eastAsia="en-GB"/>
        </w:rPr>
        <w:t>take part</w:t>
      </w:r>
      <w:r w:rsidRPr="000150E3">
        <w:rPr>
          <w:rFonts w:ascii="Times New Roman" w:hAnsi="Times New Roman" w:cs="Times New Roman"/>
          <w:lang w:eastAsia="en-GB"/>
        </w:rPr>
        <w:t xml:space="preserve"> in the same way. Despite these limitations, Activity Theory </w:t>
      </w:r>
      <w:bookmarkStart w:id="5" w:name="_Int_efQ1jaWN"/>
      <w:r w:rsidRPr="000150E3">
        <w:rPr>
          <w:rFonts w:ascii="Times New Roman" w:hAnsi="Times New Roman" w:cs="Times New Roman"/>
          <w:lang w:eastAsia="en-GB"/>
        </w:rPr>
        <w:t>remains</w:t>
      </w:r>
      <w:bookmarkEnd w:id="5"/>
      <w:r w:rsidRPr="000150E3">
        <w:rPr>
          <w:rFonts w:ascii="Times New Roman" w:hAnsi="Times New Roman" w:cs="Times New Roman"/>
          <w:lang w:eastAsia="en-GB"/>
        </w:rPr>
        <w:t xml:space="preserve"> a valuable framework for promoting healthy ageing and psychological wellbeing in health and social care settings.</w:t>
      </w:r>
    </w:p>
    <w:p w14:paraId="445C844E" w14:textId="77777777" w:rsidR="000150E3" w:rsidRDefault="000150E3"/>
    <w:p w14:paraId="2C4C6F7E" w14:textId="77777777" w:rsidR="00C25697" w:rsidRDefault="00000000">
      <w:r>
        <w:t>Academic Sources</w:t>
      </w:r>
      <w:r>
        <w:br/>
      </w:r>
      <w:r>
        <w:br/>
        <w:t>Source 1: Bowlby, J. (1969)...</w:t>
      </w:r>
      <w:r>
        <w:br/>
        <w:t>Summary: Bowlby argues secure attachment influences development throughout life.</w:t>
      </w:r>
      <w:r>
        <w:br/>
        <w:t>Critical comment: Relevant to health and social care but overemphasises early childhood.</w:t>
      </w:r>
      <w:r>
        <w:br/>
      </w:r>
      <w:r>
        <w:br/>
        <w:t>Source 2: Bradley, J.M. and Cafferty, T.P. (2001)...</w:t>
      </w:r>
      <w:r>
        <w:br/>
        <w:t>Summary: Attachment remains important in older adulthood.</w:t>
      </w:r>
      <w:r>
        <w:br/>
        <w:t>Critical comment: Supports later-life attachment but more research is needed.</w:t>
      </w:r>
      <w:r>
        <w:br/>
      </w:r>
      <w:r>
        <w:br/>
        <w:t>Source 3: Havighurst, R.J. (1961) Successful Aging.</w:t>
      </w:r>
      <w:r>
        <w:br/>
        <w:t>Summary: Remaining active promotes successful ageing.</w:t>
      </w:r>
      <w:r>
        <w:br/>
        <w:t>Critical comment: Not suitable for everyone.</w:t>
      </w:r>
      <w:r>
        <w:br/>
      </w:r>
      <w:r>
        <w:br/>
        <w:t>Source 4: Everard, K.M. et al. (2000)...</w:t>
      </w:r>
      <w:r>
        <w:br/>
        <w:t>Summary: Social activities improve wellbeing.</w:t>
      </w:r>
      <w:r>
        <w:br/>
        <w:t>Critical comment: Supports Activity Theory while emphasising person-centred care.</w:t>
      </w:r>
    </w:p>
    <w:p w14:paraId="0B5DEF5F" w14:textId="77777777" w:rsidR="7D9AD9F4" w:rsidRDefault="7D9AD9F4">
      <w:r>
        <w:t xml:space="preserve">Part b </w:t>
      </w:r>
    </w:p>
    <w:p w14:paraId="2DB4C4A3" w14:textId="77777777" w:rsidR="00A2566E" w:rsidRDefault="00A2566E">
      <w:pPr>
        <w:pStyle w:val="p1"/>
      </w:pPr>
      <w:r>
        <w:t xml:space="preserve">This report examines how </w:t>
      </w:r>
      <w:proofErr w:type="spellStart"/>
      <w:r>
        <w:t>Havighurst’s</w:t>
      </w:r>
      <w:proofErr w:type="spellEnd"/>
      <w:r>
        <w:t xml:space="preserve"> Activity Theory can </w:t>
      </w:r>
      <w:bookmarkStart w:id="6" w:name="_Int_e5saCkMd"/>
      <w:r>
        <w:t>be applied</w:t>
      </w:r>
      <w:bookmarkEnd w:id="6"/>
      <w:r>
        <w:t xml:space="preserve"> to support the wellbeing of older adults in residential care settings. Developed by Robert </w:t>
      </w:r>
      <w:proofErr w:type="spellStart"/>
      <w:r>
        <w:t>Havighurst</w:t>
      </w:r>
      <w:proofErr w:type="spellEnd"/>
      <w:r>
        <w:t xml:space="preserve"> (1961), the theory proposes that </w:t>
      </w:r>
      <w:bookmarkStart w:id="7" w:name="_Int_hPAENB3R"/>
      <w:r>
        <w:t>remaining</w:t>
      </w:r>
      <w:bookmarkEnd w:id="7"/>
      <w:r>
        <w:t xml:space="preserve"> physically, </w:t>
      </w:r>
      <w:bookmarkStart w:id="8" w:name="_Int_BhsMSSGC"/>
      <w:r>
        <w:t>socially</w:t>
      </w:r>
      <w:bookmarkEnd w:id="8"/>
      <w:r>
        <w:t xml:space="preserve"> and mentally active contributes to successful ageing by helping older adults </w:t>
      </w:r>
      <w:bookmarkStart w:id="9" w:name="_Int_xmbiyMC7"/>
      <w:r>
        <w:t>maintain</w:t>
      </w:r>
      <w:bookmarkEnd w:id="9"/>
      <w:r>
        <w:t xml:space="preserve"> independence, </w:t>
      </w:r>
      <w:bookmarkStart w:id="10" w:name="_Int_eK0hLZ9z"/>
      <w:r>
        <w:t>self-esteem</w:t>
      </w:r>
      <w:bookmarkEnd w:id="10"/>
      <w:r>
        <w:t xml:space="preserve"> and a sense of purpose. As many older adults experience retirement, bereavement, declining health and social isolation, activity theory provides a useful framework for promoting positive ageing. This report will discuss how the theory can </w:t>
      </w:r>
      <w:bookmarkStart w:id="11" w:name="_Int_YMBqepbr"/>
      <w:r>
        <w:t>be applied</w:t>
      </w:r>
      <w:bookmarkEnd w:id="11"/>
      <w:r>
        <w:t xml:space="preserve"> in practice, </w:t>
      </w:r>
      <w:bookmarkStart w:id="12" w:name="_Int_5bBk5u79"/>
      <w:r>
        <w:t>provide</w:t>
      </w:r>
      <w:bookmarkEnd w:id="12"/>
      <w:r>
        <w:t xml:space="preserve"> an example from a residential care setting, evaluate one challenge associated with its use and suggest how health and social care professionals can overcome this challenge through person-centred care.</w:t>
      </w:r>
    </w:p>
    <w:p w14:paraId="0AE872BE" w14:textId="3F7748B2" w:rsidR="0035593B" w:rsidRDefault="0035593B">
      <w:pPr>
        <w:pStyle w:val="p1"/>
      </w:pPr>
      <w:proofErr w:type="spellStart"/>
      <w:r>
        <w:t>Havighurst’s</w:t>
      </w:r>
      <w:proofErr w:type="spellEnd"/>
      <w:r>
        <w:t xml:space="preserve"> Activity Theory suggests that successful ageing occurs when older adults continue to </w:t>
      </w:r>
      <w:bookmarkStart w:id="13" w:name="_Int_7QUAlx1Q"/>
      <w:r>
        <w:t>participate</w:t>
      </w:r>
      <w:bookmarkEnd w:id="13"/>
      <w:r>
        <w:t xml:space="preserve"> in meaningful activities and </w:t>
      </w:r>
      <w:bookmarkStart w:id="14" w:name="_Int_Ct7daojQ"/>
      <w:r>
        <w:t>maintain</w:t>
      </w:r>
      <w:bookmarkEnd w:id="14"/>
      <w:r>
        <w:t xml:space="preserve"> social relationships. Participation in activities such as exercise classes, gardening, music therapy, arts and crafts and social groups can improve physical health, reduce </w:t>
      </w:r>
      <w:bookmarkStart w:id="15" w:name="_Int_b4rJ5VNC"/>
      <w:r>
        <w:t>loneliness</w:t>
      </w:r>
      <w:bookmarkEnd w:id="15"/>
      <w:r>
        <w:t xml:space="preserve"> and increase confidence. Care professionals have </w:t>
      </w:r>
      <w:r w:rsidR="00FD14C7">
        <w:t>a key role</w:t>
      </w:r>
      <w:r>
        <w:t xml:space="preserve"> in encouraging older adults to remain active by </w:t>
      </w:r>
      <w:bookmarkStart w:id="16" w:name="_Int_GwxUck6j"/>
      <w:r>
        <w:t>identifying</w:t>
      </w:r>
      <w:bookmarkEnd w:id="16"/>
      <w:r>
        <w:t xml:space="preserve"> activities that reflect each person’s interests, </w:t>
      </w:r>
      <w:bookmarkStart w:id="17" w:name="_Int_LvHcQucK"/>
      <w:r>
        <w:t>abilities</w:t>
      </w:r>
      <w:bookmarkEnd w:id="17"/>
      <w:r>
        <w:t xml:space="preserve"> and cultural background. This supports person-centred care by recognising that meaningful activities differ between individuals and should </w:t>
      </w:r>
      <w:bookmarkStart w:id="18" w:name="_Int_1Yg2C5MB"/>
      <w:r>
        <w:t>be tailored</w:t>
      </w:r>
      <w:bookmarkEnd w:id="18"/>
      <w:r>
        <w:t xml:space="preserve"> to meet their needs.</w:t>
      </w:r>
    </w:p>
    <w:p w14:paraId="1286881E" w14:textId="2C3DAA41" w:rsidR="0035593B" w:rsidRDefault="0035593B">
      <w:pPr>
        <w:pStyle w:val="p2"/>
        <w:rPr>
          <w:rStyle w:val="s1"/>
        </w:rPr>
      </w:pPr>
      <w:r>
        <w:t xml:space="preserve">Research by Everard </w:t>
      </w:r>
      <w:r>
        <w:rPr>
          <w:rStyle w:val="s2"/>
          <w:i/>
          <w:iCs/>
        </w:rPr>
        <w:t>et al.</w:t>
      </w:r>
      <w:r>
        <w:rPr>
          <w:rStyle w:val="s1"/>
        </w:rPr>
        <w:t xml:space="preserve"> (2000) found that participation in social and leisure activities was associated with improved functional health and wellbeing among older adults. These findings support Activity Theory by </w:t>
      </w:r>
      <w:bookmarkStart w:id="19" w:name="_Int_yaNXHJtI"/>
      <w:r>
        <w:rPr>
          <w:rStyle w:val="s1"/>
        </w:rPr>
        <w:t>demonstrating</w:t>
      </w:r>
      <w:bookmarkEnd w:id="19"/>
      <w:r>
        <w:rPr>
          <w:rStyle w:val="s1"/>
        </w:rPr>
        <w:t xml:space="preserve"> that meaningful engagement can contribute to healthy ageing and a better quality of life. In residential care settings, activity programmes can also encourage friendships, reduce social </w:t>
      </w:r>
      <w:r w:rsidR="00FD14C7">
        <w:rPr>
          <w:rStyle w:val="s1"/>
        </w:rPr>
        <w:t>isolation,</w:t>
      </w:r>
      <w:r>
        <w:rPr>
          <w:rStyle w:val="s1"/>
        </w:rPr>
        <w:t xml:space="preserve"> and improve emotional wellbeing.</w:t>
      </w:r>
    </w:p>
    <w:p w14:paraId="4E209700" w14:textId="53D60B41" w:rsidR="006C23AF" w:rsidRDefault="006C23AF">
      <w:pPr>
        <w:pStyle w:val="p1"/>
      </w:pPr>
      <w:r>
        <w:t xml:space="preserve">An example of Activity Theory in practice is an older adult who has recently moved into a residential care home following the loss of their spouse. Initially, they may experience loneliness, </w:t>
      </w:r>
      <w:bookmarkStart w:id="20" w:name="_Int_bddZF0iO"/>
      <w:r>
        <w:t>anxiety</w:t>
      </w:r>
      <w:bookmarkEnd w:id="20"/>
      <w:r>
        <w:t xml:space="preserve"> and a loss of identity. Care staff can support the individual by discussing their interests and encouraging participation in activities such as gardening, knitting, music sessions or group exercise. As the resident develops new friendships and becomes involved in meaningful activities, they may experience improved confidence, reduced </w:t>
      </w:r>
      <w:r w:rsidR="00FD14C7">
        <w:t>loneliness,</w:t>
      </w:r>
      <w:r>
        <w:t xml:space="preserve"> and a greater sense of purpose. This </w:t>
      </w:r>
      <w:bookmarkStart w:id="21" w:name="_Int_2DpVy8y3"/>
      <w:r>
        <w:t>demonstrates</w:t>
      </w:r>
      <w:bookmarkEnd w:id="21"/>
      <w:r>
        <w:t xml:space="preserve"> how Activity Theory can </w:t>
      </w:r>
      <w:bookmarkStart w:id="22" w:name="_Int_AYovhD9x"/>
      <w:r>
        <w:t>be used</w:t>
      </w:r>
      <w:bookmarkEnd w:id="22"/>
      <w:r>
        <w:t xml:space="preserve"> to promote successful ageing while supporting emotional and social wellbeing.</w:t>
      </w:r>
    </w:p>
    <w:p w14:paraId="534DCC5E" w14:textId="5EF86320" w:rsidR="00DD7277" w:rsidRDefault="00DD7277">
      <w:pPr>
        <w:pStyle w:val="p1"/>
      </w:pPr>
      <w:r>
        <w:t xml:space="preserve">A challenge when applying Activity Theory is that not all older adults are willing or able to </w:t>
      </w:r>
      <w:r w:rsidR="00FD14C7">
        <w:t>take part</w:t>
      </w:r>
      <w:r>
        <w:t xml:space="preserve"> in organised activities. Some individuals may have dementia, mobility problems, chronic </w:t>
      </w:r>
      <w:bookmarkStart w:id="23" w:name="_Int_DFMXzy6l"/>
      <w:r>
        <w:t>illness</w:t>
      </w:r>
      <w:bookmarkEnd w:id="23"/>
      <w:r>
        <w:t xml:space="preserve"> or sensory impairments that make participation difficult. Others may prefer quieter or more independent activities. If care professionals expect all residents to take part in the same activities, this may reduce motivation and negatively affect wellbeing.</w:t>
      </w:r>
    </w:p>
    <w:p w14:paraId="6AA6052B" w14:textId="038353E6" w:rsidR="00DD7277" w:rsidRDefault="00DD7277">
      <w:pPr>
        <w:pStyle w:val="p2"/>
      </w:pPr>
      <w:r>
        <w:t xml:space="preserve">To overcome this challenge, health and social care professionals should adopt a person-centred approach. This involves assessing </w:t>
      </w:r>
      <w:r w:rsidR="00FD14C7">
        <w:t>everyone's</w:t>
      </w:r>
      <w:r>
        <w:t xml:space="preserve"> abilities, preferences, life </w:t>
      </w:r>
      <w:r w:rsidR="00FD14C7">
        <w:t>experiences,</w:t>
      </w:r>
      <w:r>
        <w:t xml:space="preserve"> and cultural background before planning activities. Staff should provide </w:t>
      </w:r>
      <w:r w:rsidR="00FD14C7">
        <w:t>support</w:t>
      </w:r>
      <w:r>
        <w:t xml:space="preserve">, make reasonable </w:t>
      </w:r>
      <w:r w:rsidR="00FD14C7">
        <w:t>adjustments,</w:t>
      </w:r>
      <w:r>
        <w:t xml:space="preserve"> and regularly review care plans to ensure activities </w:t>
      </w:r>
      <w:r w:rsidR="00FD14C7">
        <w:t>are still</w:t>
      </w:r>
      <w:r>
        <w:t xml:space="preserve"> meaningful and achievable. Offering a variety of individual and group activities allows older adults to make choices and </w:t>
      </w:r>
      <w:bookmarkStart w:id="24" w:name="_Int_3CippZOW"/>
      <w:r>
        <w:t>maintain</w:t>
      </w:r>
      <w:bookmarkEnd w:id="24"/>
      <w:r>
        <w:t xml:space="preserve"> independence while promoting dignity and inclusion.</w:t>
      </w:r>
    </w:p>
    <w:p w14:paraId="7E212659" w14:textId="1F3A5A64" w:rsidR="0065631F" w:rsidRDefault="0065631F">
      <w:pPr>
        <w:pStyle w:val="p1"/>
      </w:pPr>
      <w:r>
        <w:t xml:space="preserve">In conclusion, </w:t>
      </w:r>
      <w:proofErr w:type="spellStart"/>
      <w:r>
        <w:t>Havighurst’s</w:t>
      </w:r>
      <w:proofErr w:type="spellEnd"/>
      <w:r>
        <w:t xml:space="preserve"> Activity Theory provides a valuable framework for promoting successful ageing by encouraging older adults to remain physically, </w:t>
      </w:r>
      <w:r w:rsidR="00FD14C7">
        <w:t>socially,</w:t>
      </w:r>
      <w:r>
        <w:t xml:space="preserve"> and mentally active. Meaningful activities can improve wellbeing, reduce </w:t>
      </w:r>
      <w:r w:rsidR="00FD14C7">
        <w:t>loneliness,</w:t>
      </w:r>
      <w:r>
        <w:t xml:space="preserve"> and support independence in residential care settings. Although the theory has limitations because not all individuals can or wish to remain active, these challenges can </w:t>
      </w:r>
      <w:bookmarkStart w:id="25" w:name="_Int_w2IHvTiO"/>
      <w:r>
        <w:t>be addressed</w:t>
      </w:r>
      <w:bookmarkEnd w:id="25"/>
      <w:r>
        <w:t xml:space="preserve"> through person-centred care and individualised activity planning. Overall, Activity Theory </w:t>
      </w:r>
      <w:bookmarkStart w:id="26" w:name="_Int_ChmI7flp"/>
      <w:r>
        <w:t>remains</w:t>
      </w:r>
      <w:bookmarkEnd w:id="26"/>
      <w:r>
        <w:t xml:space="preserve"> an important guide for health and social care professionals </w:t>
      </w:r>
      <w:r w:rsidR="00FD14C7">
        <w:t>looking</w:t>
      </w:r>
      <w:r>
        <w:t xml:space="preserve"> to improve the quality of life of older adults.</w:t>
      </w:r>
    </w:p>
    <w:p w14:paraId="58C91B78" w14:textId="77777777" w:rsidR="0065631F" w:rsidRDefault="0065631F">
      <w:pPr>
        <w:pStyle w:val="p2"/>
      </w:pPr>
    </w:p>
    <w:p w14:paraId="362F9D17" w14:textId="77777777" w:rsidR="006C23AF" w:rsidRDefault="006C23AF">
      <w:pPr>
        <w:pStyle w:val="p2"/>
        <w:rPr>
          <w:rStyle w:val="s1"/>
        </w:rPr>
      </w:pPr>
    </w:p>
    <w:p w14:paraId="5BAA54AB" w14:textId="77777777" w:rsidR="0035593B" w:rsidRDefault="0035593B">
      <w:pPr>
        <w:pStyle w:val="p1"/>
      </w:pPr>
    </w:p>
    <w:p w14:paraId="307F11BE" w14:textId="77777777" w:rsidR="7D9AD9F4" w:rsidRDefault="7D9AD9F4">
      <w:pPr>
        <w:rPr>
          <w:rFonts w:ascii="Arial" w:eastAsia="Arial" w:hAnsi="Arial" w:cs="Arial"/>
          <w:sz w:val="22"/>
          <w:szCs w:val="22"/>
          <w:u w:val="single"/>
        </w:rPr>
      </w:pPr>
    </w:p>
    <w:sectPr w:rsidR="7D9AD9F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bvompnpM" int2:invalidationBookmarkName="" int2:hashCode="DzUnAnm/twFvXs" int2:id="HC2jV3OO">
      <int2:state int2:value="Rejected" int2:type="style"/>
    </int2:bookmark>
    <int2:bookmark int2:bookmarkName="_Int_NzIuZel8" int2:invalidationBookmarkName="" int2:hashCode="6xX40Nbu8SUY24" int2:id="UEm84Yvj">
      <int2:state int2:value="Rejected" int2:type="style"/>
    </int2:bookmark>
    <int2:bookmark int2:bookmarkName="_Int_dgZX30N3" int2:invalidationBookmarkName="" int2:hashCode="OYZYpgHZzMTnqA" int2:id="qAp27dda">
      <int2:state int2:value="Rejected" int2:type="style"/>
    </int2:bookmark>
    <int2:bookmark int2:bookmarkName="_Int_zrC5324u" int2:invalidationBookmarkName="" int2:hashCode="1oV0hlFN+4Gwi+" int2:id="ME3zmTyI">
      <int2:state int2:value="Rejected" int2:type="style"/>
    </int2:bookmark>
    <int2:bookmark int2:bookmarkName="_Int_ok9Sn2Xk" int2:invalidationBookmarkName="" int2:hashCode="3m8pyYd3KOKgHK" int2:id="AUBhuvD2">
      <int2:state int2:value="Rejected" int2:type="style"/>
    </int2:bookmark>
    <int2:bookmark int2:bookmarkName="_Int_efQ1jaWN" int2:invalidationBookmarkName="" int2:hashCode="dalNooyseA++F1" int2:id="SpjbKgPn">
      <int2:state int2:value="Rejected" int2:type="style"/>
    </int2:bookmark>
    <int2:bookmark int2:bookmarkName="_Int_e5saCkMd" int2:invalidationBookmarkName="" int2:hashCode="LtE20um5MT0JGL" int2:id="3ZQcFRx8">
      <int2:state int2:value="Rejected" int2:type="style"/>
    </int2:bookmark>
    <int2:bookmark int2:bookmarkName="_Int_hPAENB3R" int2:invalidationBookmarkName="" int2:hashCode="OYZYpgHZzMTnqA" int2:id="JaeBIxLY">
      <int2:state int2:value="Rejected" int2:type="style"/>
    </int2:bookmark>
    <int2:bookmark int2:bookmarkName="_Int_BhsMSSGC" int2:invalidationBookmarkName="" int2:hashCode="SV/t7ddkCOPkPy" int2:id="0keJo5EH">
      <int2:state int2:value="Rejected" int2:type="style"/>
    </int2:bookmark>
    <int2:bookmark int2:bookmarkName="_Int_xmbiyMC7" int2:invalidationBookmarkName="" int2:hashCode="6xX40Nbu8SUY24" int2:id="m6Lft1W0">
      <int2:state int2:value="Rejected" int2:type="style"/>
    </int2:bookmark>
    <int2:bookmark int2:bookmarkName="_Int_eK0hLZ9z" int2:invalidationBookmarkName="" int2:hashCode="6oXRdutnCSq9jo" int2:id="ibrAhCbo">
      <int2:state int2:value="Rejected" int2:type="style"/>
    </int2:bookmark>
    <int2:bookmark int2:bookmarkName="_Int_YMBqepbr" int2:invalidationBookmarkName="" int2:hashCode="LtE20um5MT0JGL" int2:id="6hwfRyCK">
      <int2:state int2:value="Rejected" int2:type="style"/>
    </int2:bookmark>
    <int2:bookmark int2:bookmarkName="_Int_5bBk5u79" int2:invalidationBookmarkName="" int2:hashCode="SradH0SdDJdch8" int2:id="n5StjQoZ">
      <int2:state int2:value="Rejected" int2:type="style"/>
    </int2:bookmark>
    <int2:bookmark int2:bookmarkName="_Int_7QUAlx1Q" int2:invalidationBookmarkName="" int2:hashCode="1oV0hlFN+4Gwi+" int2:id="PL2g4PpL">
      <int2:state int2:value="Rejected" int2:type="style"/>
    </int2:bookmark>
    <int2:bookmark int2:bookmarkName="_Int_Ct7daojQ" int2:invalidationBookmarkName="" int2:hashCode="6xX40Nbu8SUY24" int2:id="dBWJJ483">
      <int2:state int2:value="Rejected" int2:type="style"/>
    </int2:bookmark>
    <int2:bookmark int2:bookmarkName="_Int_b4rJ5VNC" int2:invalidationBookmarkName="" int2:hashCode="apYFnV7Zm+OF54" int2:id="XmDI0LzE">
      <int2:state int2:value="Rejected" int2:type="style"/>
    </int2:bookmark>
    <int2:bookmark int2:bookmarkName="_Int_GwxUck6j" int2:invalidationBookmarkName="" int2:hashCode="gRg+Ewpr1g5/o3" int2:id="Xt6EpC8b">
      <int2:state int2:value="Rejected" int2:type="style"/>
    </int2:bookmark>
    <int2:bookmark int2:bookmarkName="_Int_LvHcQucK" int2:invalidationBookmarkName="" int2:hashCode="ZaWolC+iLoHC+8" int2:id="gM8C3tJg">
      <int2:state int2:value="Rejected" int2:type="style"/>
    </int2:bookmark>
    <int2:bookmark int2:bookmarkName="_Int_1Yg2C5MB" int2:invalidationBookmarkName="" int2:hashCode="NPg19lmms48+NC" int2:id="tVTBcc9o">
      <int2:state int2:value="Rejected" int2:type="style"/>
    </int2:bookmark>
    <int2:bookmark int2:bookmarkName="_Int_yaNXHJtI" int2:invalidationBookmarkName="" int2:hashCode="5NmnYnEbPG7rVG" int2:id="Ph8QmXga">
      <int2:state int2:value="Rejected" int2:type="style"/>
    </int2:bookmark>
    <int2:bookmark int2:bookmarkName="_Int_bddZF0iO" int2:invalidationBookmarkName="" int2:hashCode="rQBTq09ILFACw7" int2:id="7Vey9z54">
      <int2:state int2:value="Rejected" int2:type="style"/>
    </int2:bookmark>
    <int2:bookmark int2:bookmarkName="_Int_2DpVy8y3" int2:invalidationBookmarkName="" int2:hashCode="SMFwPIHakRGYAb" int2:id="TBNbhsBV">
      <int2:state int2:value="Rejected" int2:type="style"/>
    </int2:bookmark>
    <int2:bookmark int2:bookmarkName="_Int_AYovhD9x" int2:invalidationBookmarkName="" int2:hashCode="2uW32/K8uBDHiu" int2:id="aOUXSukA">
      <int2:state int2:value="Rejected" int2:type="style"/>
    </int2:bookmark>
    <int2:bookmark int2:bookmarkName="_Int_DFMXzy6l" int2:invalidationBookmarkName="" int2:hashCode="j/kNg8KbMvXXYs" int2:id="0T4FhbA8">
      <int2:state int2:value="Rejected" int2:type="style"/>
    </int2:bookmark>
    <int2:bookmark int2:bookmarkName="_Int_3CippZOW" int2:invalidationBookmarkName="" int2:hashCode="6xX40Nbu8SUY24" int2:id="Z0dKe4xp">
      <int2:state int2:value="Rejected" int2:type="style"/>
    </int2:bookmark>
    <int2:bookmark int2:bookmarkName="_Int_w2IHvTiO" int2:invalidationBookmarkName="" int2:hashCode="KH/R9eYBhxaRyz" int2:id="S3If8gJo">
      <int2:state int2:value="Rejected" int2:type="style"/>
    </int2:bookmark>
    <int2:bookmark int2:bookmarkName="_Int_ChmI7flp" int2:invalidationBookmarkName="" int2:hashCode="dalNooyseA++F1" int2:id="fmQli4xt">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37A984"/>
    <w:rsid w:val="000150E3"/>
    <w:rsid w:val="00041525"/>
    <w:rsid w:val="00055814"/>
    <w:rsid w:val="00071021"/>
    <w:rsid w:val="000941D7"/>
    <w:rsid w:val="000976C8"/>
    <w:rsid w:val="000A5FB7"/>
    <w:rsid w:val="000A7203"/>
    <w:rsid w:val="000B5F69"/>
    <w:rsid w:val="000C30E9"/>
    <w:rsid w:val="000D3EC1"/>
    <w:rsid w:val="000D4ED0"/>
    <w:rsid w:val="000F0DB9"/>
    <w:rsid w:val="000F17A0"/>
    <w:rsid w:val="00116A2F"/>
    <w:rsid w:val="00120945"/>
    <w:rsid w:val="00134A45"/>
    <w:rsid w:val="00154395"/>
    <w:rsid w:val="00193EB1"/>
    <w:rsid w:val="00193FB5"/>
    <w:rsid w:val="001A1381"/>
    <w:rsid w:val="001A3EBA"/>
    <w:rsid w:val="001C1F5E"/>
    <w:rsid w:val="001C672E"/>
    <w:rsid w:val="001D0E82"/>
    <w:rsid w:val="001F6738"/>
    <w:rsid w:val="00204BC2"/>
    <w:rsid w:val="00217766"/>
    <w:rsid w:val="002409B6"/>
    <w:rsid w:val="002419D5"/>
    <w:rsid w:val="002546BB"/>
    <w:rsid w:val="002954CF"/>
    <w:rsid w:val="002A482E"/>
    <w:rsid w:val="002C3587"/>
    <w:rsid w:val="002D529C"/>
    <w:rsid w:val="002E1A80"/>
    <w:rsid w:val="00305082"/>
    <w:rsid w:val="00312219"/>
    <w:rsid w:val="00323DCB"/>
    <w:rsid w:val="0035593B"/>
    <w:rsid w:val="00360C27"/>
    <w:rsid w:val="0036688F"/>
    <w:rsid w:val="003A776A"/>
    <w:rsid w:val="003E5C9E"/>
    <w:rsid w:val="003F1A89"/>
    <w:rsid w:val="00416CB0"/>
    <w:rsid w:val="004363C4"/>
    <w:rsid w:val="00437F71"/>
    <w:rsid w:val="00450E4F"/>
    <w:rsid w:val="00461D3E"/>
    <w:rsid w:val="00481692"/>
    <w:rsid w:val="00486661"/>
    <w:rsid w:val="00486896"/>
    <w:rsid w:val="00490F24"/>
    <w:rsid w:val="004A3FE9"/>
    <w:rsid w:val="004A4B4E"/>
    <w:rsid w:val="004A5EB5"/>
    <w:rsid w:val="004B4223"/>
    <w:rsid w:val="004D7A8F"/>
    <w:rsid w:val="004E0F01"/>
    <w:rsid w:val="004F5F3E"/>
    <w:rsid w:val="004F6D6A"/>
    <w:rsid w:val="004F7548"/>
    <w:rsid w:val="005035FE"/>
    <w:rsid w:val="005039AB"/>
    <w:rsid w:val="005118AA"/>
    <w:rsid w:val="00512183"/>
    <w:rsid w:val="0053309A"/>
    <w:rsid w:val="005439F7"/>
    <w:rsid w:val="005B7A0B"/>
    <w:rsid w:val="005C1135"/>
    <w:rsid w:val="005C69E2"/>
    <w:rsid w:val="00615635"/>
    <w:rsid w:val="0063100C"/>
    <w:rsid w:val="00645D0C"/>
    <w:rsid w:val="0065631F"/>
    <w:rsid w:val="00660D78"/>
    <w:rsid w:val="006625F8"/>
    <w:rsid w:val="0066281F"/>
    <w:rsid w:val="006A1EA4"/>
    <w:rsid w:val="006C23AF"/>
    <w:rsid w:val="006D02FD"/>
    <w:rsid w:val="006F523D"/>
    <w:rsid w:val="006F69F7"/>
    <w:rsid w:val="007062BC"/>
    <w:rsid w:val="007147B3"/>
    <w:rsid w:val="00722498"/>
    <w:rsid w:val="00777022"/>
    <w:rsid w:val="007A785E"/>
    <w:rsid w:val="007C2265"/>
    <w:rsid w:val="007D5E4C"/>
    <w:rsid w:val="007E4626"/>
    <w:rsid w:val="007E5F66"/>
    <w:rsid w:val="008107C3"/>
    <w:rsid w:val="00812D80"/>
    <w:rsid w:val="00820C43"/>
    <w:rsid w:val="008221EB"/>
    <w:rsid w:val="00832907"/>
    <w:rsid w:val="00841FFF"/>
    <w:rsid w:val="00844318"/>
    <w:rsid w:val="0086639D"/>
    <w:rsid w:val="00894291"/>
    <w:rsid w:val="008E18AA"/>
    <w:rsid w:val="008E60C4"/>
    <w:rsid w:val="008F13F2"/>
    <w:rsid w:val="00922D2D"/>
    <w:rsid w:val="00922E1B"/>
    <w:rsid w:val="00953488"/>
    <w:rsid w:val="009577F1"/>
    <w:rsid w:val="009B314D"/>
    <w:rsid w:val="009C5543"/>
    <w:rsid w:val="00A0401E"/>
    <w:rsid w:val="00A2566E"/>
    <w:rsid w:val="00A51835"/>
    <w:rsid w:val="00A8505D"/>
    <w:rsid w:val="00A85455"/>
    <w:rsid w:val="00AD27BC"/>
    <w:rsid w:val="00AD332E"/>
    <w:rsid w:val="00AD73A0"/>
    <w:rsid w:val="00AE5526"/>
    <w:rsid w:val="00B165F3"/>
    <w:rsid w:val="00B17D77"/>
    <w:rsid w:val="00B30EE3"/>
    <w:rsid w:val="00B5635D"/>
    <w:rsid w:val="00B6687D"/>
    <w:rsid w:val="00B66E0E"/>
    <w:rsid w:val="00B7437A"/>
    <w:rsid w:val="00BA47E5"/>
    <w:rsid w:val="00BE72D3"/>
    <w:rsid w:val="00C01A04"/>
    <w:rsid w:val="00C05DA6"/>
    <w:rsid w:val="00C164FE"/>
    <w:rsid w:val="00C25697"/>
    <w:rsid w:val="00C52088"/>
    <w:rsid w:val="00C53160"/>
    <w:rsid w:val="00C94B01"/>
    <w:rsid w:val="00CB022E"/>
    <w:rsid w:val="00D21F52"/>
    <w:rsid w:val="00D4060E"/>
    <w:rsid w:val="00D45EE9"/>
    <w:rsid w:val="00D463FE"/>
    <w:rsid w:val="00D4BE09"/>
    <w:rsid w:val="00D75FFE"/>
    <w:rsid w:val="00D9030F"/>
    <w:rsid w:val="00D9240F"/>
    <w:rsid w:val="00D95F9B"/>
    <w:rsid w:val="00DA097D"/>
    <w:rsid w:val="00DB3DAA"/>
    <w:rsid w:val="00DC24AB"/>
    <w:rsid w:val="00DD320C"/>
    <w:rsid w:val="00DD35B5"/>
    <w:rsid w:val="00DD7277"/>
    <w:rsid w:val="00DE0737"/>
    <w:rsid w:val="00DE2C4A"/>
    <w:rsid w:val="00E02AAF"/>
    <w:rsid w:val="00E721C3"/>
    <w:rsid w:val="00E90248"/>
    <w:rsid w:val="00EB5B6B"/>
    <w:rsid w:val="00ED59B8"/>
    <w:rsid w:val="00EF1926"/>
    <w:rsid w:val="00EF1CB0"/>
    <w:rsid w:val="00EF5221"/>
    <w:rsid w:val="00EF65C2"/>
    <w:rsid w:val="00F267B0"/>
    <w:rsid w:val="00F51539"/>
    <w:rsid w:val="00FA3650"/>
    <w:rsid w:val="00FD14C7"/>
    <w:rsid w:val="00FE323B"/>
    <w:rsid w:val="00FF3F4A"/>
    <w:rsid w:val="0103F71A"/>
    <w:rsid w:val="011DB226"/>
    <w:rsid w:val="012DA1CD"/>
    <w:rsid w:val="01A566F7"/>
    <w:rsid w:val="02170CE5"/>
    <w:rsid w:val="0229C946"/>
    <w:rsid w:val="029423B4"/>
    <w:rsid w:val="02ED703A"/>
    <w:rsid w:val="031FE7EC"/>
    <w:rsid w:val="03210B40"/>
    <w:rsid w:val="03B89036"/>
    <w:rsid w:val="03C43F7A"/>
    <w:rsid w:val="04501841"/>
    <w:rsid w:val="047F655D"/>
    <w:rsid w:val="056D4438"/>
    <w:rsid w:val="05832386"/>
    <w:rsid w:val="05BCF1E5"/>
    <w:rsid w:val="060235D1"/>
    <w:rsid w:val="062FE1F1"/>
    <w:rsid w:val="064B1D0D"/>
    <w:rsid w:val="068BD56F"/>
    <w:rsid w:val="06929075"/>
    <w:rsid w:val="06B116EF"/>
    <w:rsid w:val="06DC95B5"/>
    <w:rsid w:val="08AD97A3"/>
    <w:rsid w:val="08E91E51"/>
    <w:rsid w:val="0A401917"/>
    <w:rsid w:val="0A8B26E0"/>
    <w:rsid w:val="0ADDE407"/>
    <w:rsid w:val="0B1B3A42"/>
    <w:rsid w:val="0BF0C5D5"/>
    <w:rsid w:val="0D0C7B03"/>
    <w:rsid w:val="0D4E7365"/>
    <w:rsid w:val="0D7C1E06"/>
    <w:rsid w:val="0DD437C0"/>
    <w:rsid w:val="0DF68AD6"/>
    <w:rsid w:val="0EDED557"/>
    <w:rsid w:val="0F67F7D7"/>
    <w:rsid w:val="0FEC6FC2"/>
    <w:rsid w:val="1000FFB7"/>
    <w:rsid w:val="1014CAF8"/>
    <w:rsid w:val="104D9680"/>
    <w:rsid w:val="1086DF19"/>
    <w:rsid w:val="10C52504"/>
    <w:rsid w:val="112C8C56"/>
    <w:rsid w:val="114BF072"/>
    <w:rsid w:val="11501FA8"/>
    <w:rsid w:val="11E1500A"/>
    <w:rsid w:val="11E2030B"/>
    <w:rsid w:val="11E9DC44"/>
    <w:rsid w:val="12080578"/>
    <w:rsid w:val="1258BCD2"/>
    <w:rsid w:val="12B82B10"/>
    <w:rsid w:val="133E311F"/>
    <w:rsid w:val="13EC1AD3"/>
    <w:rsid w:val="141246C3"/>
    <w:rsid w:val="1424AC4C"/>
    <w:rsid w:val="151AC13D"/>
    <w:rsid w:val="154F9F7A"/>
    <w:rsid w:val="15898D92"/>
    <w:rsid w:val="15983E53"/>
    <w:rsid w:val="15D97F47"/>
    <w:rsid w:val="15DB5F35"/>
    <w:rsid w:val="160A1BB3"/>
    <w:rsid w:val="1623C1E4"/>
    <w:rsid w:val="170C53EA"/>
    <w:rsid w:val="171F6865"/>
    <w:rsid w:val="17268845"/>
    <w:rsid w:val="1755806F"/>
    <w:rsid w:val="178DF97B"/>
    <w:rsid w:val="18A22CE9"/>
    <w:rsid w:val="18C67263"/>
    <w:rsid w:val="18DF150E"/>
    <w:rsid w:val="18F305BB"/>
    <w:rsid w:val="19483ABC"/>
    <w:rsid w:val="19623C01"/>
    <w:rsid w:val="199FEAC0"/>
    <w:rsid w:val="19A26AC5"/>
    <w:rsid w:val="19E38A9B"/>
    <w:rsid w:val="1A7C5726"/>
    <w:rsid w:val="1AD8668A"/>
    <w:rsid w:val="1ADA8865"/>
    <w:rsid w:val="1B403F32"/>
    <w:rsid w:val="1B6A3D7A"/>
    <w:rsid w:val="1B92062B"/>
    <w:rsid w:val="1C06A22F"/>
    <w:rsid w:val="1C1517E8"/>
    <w:rsid w:val="1C2F6B9B"/>
    <w:rsid w:val="1CE3F6E5"/>
    <w:rsid w:val="1D4EBAFD"/>
    <w:rsid w:val="1E2521A3"/>
    <w:rsid w:val="1E3C26B0"/>
    <w:rsid w:val="1E4CB23D"/>
    <w:rsid w:val="1F6421C9"/>
    <w:rsid w:val="200F568A"/>
    <w:rsid w:val="208F1989"/>
    <w:rsid w:val="20F2A624"/>
    <w:rsid w:val="2101C81E"/>
    <w:rsid w:val="2120AEF5"/>
    <w:rsid w:val="2128F1B6"/>
    <w:rsid w:val="216FF86B"/>
    <w:rsid w:val="21FF5FBB"/>
    <w:rsid w:val="22AB413D"/>
    <w:rsid w:val="232F81A5"/>
    <w:rsid w:val="23C88E29"/>
    <w:rsid w:val="241C972B"/>
    <w:rsid w:val="248DFCA6"/>
    <w:rsid w:val="24E2CBB4"/>
    <w:rsid w:val="25DCB2C8"/>
    <w:rsid w:val="26841C0C"/>
    <w:rsid w:val="26DC0FEF"/>
    <w:rsid w:val="274E534A"/>
    <w:rsid w:val="276515C3"/>
    <w:rsid w:val="2775A64A"/>
    <w:rsid w:val="2856D377"/>
    <w:rsid w:val="289443A4"/>
    <w:rsid w:val="28CDBB94"/>
    <w:rsid w:val="29C74807"/>
    <w:rsid w:val="2BB6711C"/>
    <w:rsid w:val="2BC4F573"/>
    <w:rsid w:val="2C77396F"/>
    <w:rsid w:val="2C99EA9F"/>
    <w:rsid w:val="2EC7D257"/>
    <w:rsid w:val="2ED7FE11"/>
    <w:rsid w:val="2F355EDA"/>
    <w:rsid w:val="2F57A951"/>
    <w:rsid w:val="2F65B503"/>
    <w:rsid w:val="300CCC4F"/>
    <w:rsid w:val="30D01BE4"/>
    <w:rsid w:val="31EE04AF"/>
    <w:rsid w:val="323EE7D2"/>
    <w:rsid w:val="332276A7"/>
    <w:rsid w:val="33A4C950"/>
    <w:rsid w:val="33B56B55"/>
    <w:rsid w:val="340A3D29"/>
    <w:rsid w:val="34438D3B"/>
    <w:rsid w:val="344DE720"/>
    <w:rsid w:val="34694962"/>
    <w:rsid w:val="354EE439"/>
    <w:rsid w:val="359AE372"/>
    <w:rsid w:val="361606AE"/>
    <w:rsid w:val="36DE28D5"/>
    <w:rsid w:val="3796BC24"/>
    <w:rsid w:val="398CAABF"/>
    <w:rsid w:val="39C5CD5B"/>
    <w:rsid w:val="3A3B0930"/>
    <w:rsid w:val="3A496C49"/>
    <w:rsid w:val="3AD4ED48"/>
    <w:rsid w:val="3C041A82"/>
    <w:rsid w:val="3C424E2B"/>
    <w:rsid w:val="3C9C2C69"/>
    <w:rsid w:val="3D2E7C5C"/>
    <w:rsid w:val="3DC988E2"/>
    <w:rsid w:val="3E04B705"/>
    <w:rsid w:val="3E8ECD96"/>
    <w:rsid w:val="3E94E5B1"/>
    <w:rsid w:val="3EB1C151"/>
    <w:rsid w:val="3EC4C225"/>
    <w:rsid w:val="3EDE908B"/>
    <w:rsid w:val="3F4EE4C8"/>
    <w:rsid w:val="3FA59112"/>
    <w:rsid w:val="3FB04BCC"/>
    <w:rsid w:val="3FF392B0"/>
    <w:rsid w:val="40383D4A"/>
    <w:rsid w:val="403CFF4C"/>
    <w:rsid w:val="40D665EF"/>
    <w:rsid w:val="4135BCAF"/>
    <w:rsid w:val="41C082B2"/>
    <w:rsid w:val="41C7F5D4"/>
    <w:rsid w:val="41F24147"/>
    <w:rsid w:val="41FC7B9A"/>
    <w:rsid w:val="42682477"/>
    <w:rsid w:val="42A89813"/>
    <w:rsid w:val="43C1DA69"/>
    <w:rsid w:val="43C22CF7"/>
    <w:rsid w:val="43F6D2D2"/>
    <w:rsid w:val="44209C0C"/>
    <w:rsid w:val="442BE04F"/>
    <w:rsid w:val="44ADBA5A"/>
    <w:rsid w:val="44C839A6"/>
    <w:rsid w:val="44E223EA"/>
    <w:rsid w:val="4531BD1C"/>
    <w:rsid w:val="456C51EC"/>
    <w:rsid w:val="45CFCAF2"/>
    <w:rsid w:val="45E525DB"/>
    <w:rsid w:val="4612BCF9"/>
    <w:rsid w:val="47491C03"/>
    <w:rsid w:val="475DEE92"/>
    <w:rsid w:val="47D2A9FC"/>
    <w:rsid w:val="487CAAAF"/>
    <w:rsid w:val="48E182E3"/>
    <w:rsid w:val="49012290"/>
    <w:rsid w:val="4924BEE3"/>
    <w:rsid w:val="49AA4DC7"/>
    <w:rsid w:val="49DBBA65"/>
    <w:rsid w:val="4AC778C8"/>
    <w:rsid w:val="4AE3CBA6"/>
    <w:rsid w:val="4AF9D987"/>
    <w:rsid w:val="4AFC3A31"/>
    <w:rsid w:val="4B1803E4"/>
    <w:rsid w:val="4B336A55"/>
    <w:rsid w:val="4B45987E"/>
    <w:rsid w:val="4B627DFC"/>
    <w:rsid w:val="4CC870C3"/>
    <w:rsid w:val="4CCC406E"/>
    <w:rsid w:val="4CEF7007"/>
    <w:rsid w:val="4E02FC18"/>
    <w:rsid w:val="4E2DDB8D"/>
    <w:rsid w:val="4EE2B59A"/>
    <w:rsid w:val="4F58447F"/>
    <w:rsid w:val="4F6B978D"/>
    <w:rsid w:val="50DCD81E"/>
    <w:rsid w:val="51461657"/>
    <w:rsid w:val="52244C12"/>
    <w:rsid w:val="5239FF3E"/>
    <w:rsid w:val="525D4D47"/>
    <w:rsid w:val="52C67EB8"/>
    <w:rsid w:val="532B58EF"/>
    <w:rsid w:val="533544D1"/>
    <w:rsid w:val="53E219C2"/>
    <w:rsid w:val="54199481"/>
    <w:rsid w:val="5459CF5E"/>
    <w:rsid w:val="546E52D5"/>
    <w:rsid w:val="548A48AF"/>
    <w:rsid w:val="54ADBF28"/>
    <w:rsid w:val="54CA5C38"/>
    <w:rsid w:val="56840871"/>
    <w:rsid w:val="568E6FDB"/>
    <w:rsid w:val="56AABD29"/>
    <w:rsid w:val="56D145EA"/>
    <w:rsid w:val="57403A60"/>
    <w:rsid w:val="575160D6"/>
    <w:rsid w:val="582B2BCA"/>
    <w:rsid w:val="5957D12D"/>
    <w:rsid w:val="59AFAA4A"/>
    <w:rsid w:val="59B0A572"/>
    <w:rsid w:val="5A052933"/>
    <w:rsid w:val="5A1718FA"/>
    <w:rsid w:val="5BCB3CAF"/>
    <w:rsid w:val="5C924C96"/>
    <w:rsid w:val="5CA94A8F"/>
    <w:rsid w:val="5CE6A0DF"/>
    <w:rsid w:val="5D8AE862"/>
    <w:rsid w:val="5DB6E6A9"/>
    <w:rsid w:val="5E247F60"/>
    <w:rsid w:val="5E9ADBF5"/>
    <w:rsid w:val="6006B0D8"/>
    <w:rsid w:val="602AEB0A"/>
    <w:rsid w:val="6092449A"/>
    <w:rsid w:val="60993429"/>
    <w:rsid w:val="6169DC4F"/>
    <w:rsid w:val="61B5C1D5"/>
    <w:rsid w:val="61B97119"/>
    <w:rsid w:val="62175527"/>
    <w:rsid w:val="624EE359"/>
    <w:rsid w:val="6272C704"/>
    <w:rsid w:val="629A8496"/>
    <w:rsid w:val="63CA914C"/>
    <w:rsid w:val="651C9EC8"/>
    <w:rsid w:val="65563C49"/>
    <w:rsid w:val="6581F4CA"/>
    <w:rsid w:val="65EF116D"/>
    <w:rsid w:val="668598E3"/>
    <w:rsid w:val="66890CED"/>
    <w:rsid w:val="66B018E0"/>
    <w:rsid w:val="66C096CF"/>
    <w:rsid w:val="66DCE524"/>
    <w:rsid w:val="674E3AFD"/>
    <w:rsid w:val="67C2AE6D"/>
    <w:rsid w:val="67FAEC6A"/>
    <w:rsid w:val="685E9DA2"/>
    <w:rsid w:val="68A457E8"/>
    <w:rsid w:val="68A95E0B"/>
    <w:rsid w:val="68AC337B"/>
    <w:rsid w:val="68B2FB40"/>
    <w:rsid w:val="6A37A984"/>
    <w:rsid w:val="6AB96FD1"/>
    <w:rsid w:val="6ABF2EE8"/>
    <w:rsid w:val="6AF0389B"/>
    <w:rsid w:val="6B017CA1"/>
    <w:rsid w:val="6B161D29"/>
    <w:rsid w:val="6B8529C4"/>
    <w:rsid w:val="6C30F9CF"/>
    <w:rsid w:val="6C45126F"/>
    <w:rsid w:val="6CEBB264"/>
    <w:rsid w:val="6D9FEF29"/>
    <w:rsid w:val="6DAB059E"/>
    <w:rsid w:val="6DBEA550"/>
    <w:rsid w:val="6E6E1DEB"/>
    <w:rsid w:val="6ECFFB9B"/>
    <w:rsid w:val="6F6D381E"/>
    <w:rsid w:val="6F7E5B8C"/>
    <w:rsid w:val="7015497E"/>
    <w:rsid w:val="70569BFF"/>
    <w:rsid w:val="711FB76A"/>
    <w:rsid w:val="71506364"/>
    <w:rsid w:val="71533D98"/>
    <w:rsid w:val="718A9FF4"/>
    <w:rsid w:val="71A5501B"/>
    <w:rsid w:val="71C47CB0"/>
    <w:rsid w:val="7225D356"/>
    <w:rsid w:val="72677CC8"/>
    <w:rsid w:val="7287AE52"/>
    <w:rsid w:val="72FD8F95"/>
    <w:rsid w:val="7333C029"/>
    <w:rsid w:val="734F89D9"/>
    <w:rsid w:val="7379A4C4"/>
    <w:rsid w:val="73821086"/>
    <w:rsid w:val="73D652B0"/>
    <w:rsid w:val="73F64682"/>
    <w:rsid w:val="74DA45AB"/>
    <w:rsid w:val="750DDCB5"/>
    <w:rsid w:val="7530B66C"/>
    <w:rsid w:val="753A3545"/>
    <w:rsid w:val="756D9F6D"/>
    <w:rsid w:val="76428929"/>
    <w:rsid w:val="766E5450"/>
    <w:rsid w:val="76B60518"/>
    <w:rsid w:val="76EDD7B0"/>
    <w:rsid w:val="786CED76"/>
    <w:rsid w:val="78BA2A8B"/>
    <w:rsid w:val="78BF8C47"/>
    <w:rsid w:val="78C99A8E"/>
    <w:rsid w:val="794E1521"/>
    <w:rsid w:val="79557812"/>
    <w:rsid w:val="79732A92"/>
    <w:rsid w:val="7ABED743"/>
    <w:rsid w:val="7BD14C8A"/>
    <w:rsid w:val="7C185919"/>
    <w:rsid w:val="7CC9BB93"/>
    <w:rsid w:val="7CD850F4"/>
    <w:rsid w:val="7CFEA4BE"/>
    <w:rsid w:val="7D39E449"/>
    <w:rsid w:val="7D8A3F3E"/>
    <w:rsid w:val="7D9AD9F4"/>
    <w:rsid w:val="7DC3715D"/>
    <w:rsid w:val="7DCB33BC"/>
    <w:rsid w:val="7E1D0478"/>
    <w:rsid w:val="7E4583FE"/>
    <w:rsid w:val="7E99ACA8"/>
    <w:rsid w:val="7EFB6EF6"/>
    <w:rsid w:val="7FAD27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CC5DE0B"/>
  <w15:chartTrackingRefBased/>
  <w15:docId w15:val="{7D5069AF-8501-4168-B2B7-F9D68859F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21F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9030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E02AAF"/>
    <w:pPr>
      <w:spacing w:before="100" w:beforeAutospacing="1" w:after="100" w:afterAutospacing="1" w:line="240" w:lineRule="auto"/>
    </w:pPr>
    <w:rPr>
      <w:rFonts w:ascii="Times New Roman" w:hAnsi="Times New Roman" w:cs="Times New Roman"/>
      <w:lang w:eastAsia="en-GB"/>
    </w:rPr>
  </w:style>
  <w:style w:type="character" w:customStyle="1" w:styleId="s1">
    <w:name w:val="s1"/>
    <w:basedOn w:val="DefaultParagraphFont"/>
    <w:rsid w:val="00E02AAF"/>
  </w:style>
  <w:style w:type="paragraph" w:customStyle="1" w:styleId="p2">
    <w:name w:val="p2"/>
    <w:basedOn w:val="Normal"/>
    <w:rsid w:val="00E02AAF"/>
    <w:pPr>
      <w:spacing w:before="100" w:beforeAutospacing="1" w:after="100" w:afterAutospacing="1" w:line="240" w:lineRule="auto"/>
    </w:pPr>
    <w:rPr>
      <w:rFonts w:ascii="Times New Roman" w:hAnsi="Times New Roman" w:cs="Times New Roman"/>
      <w:lang w:eastAsia="en-GB"/>
    </w:rPr>
  </w:style>
  <w:style w:type="character" w:styleId="Hyperlink">
    <w:name w:val="Hyperlink"/>
    <w:basedOn w:val="DefaultParagraphFont"/>
    <w:uiPriority w:val="99"/>
    <w:unhideWhenUsed/>
    <w:rsid w:val="002A482E"/>
    <w:rPr>
      <w:color w:val="467886"/>
      <w:u w:val="single"/>
    </w:rPr>
  </w:style>
  <w:style w:type="character" w:customStyle="1" w:styleId="Heading3Char">
    <w:name w:val="Heading 3 Char"/>
    <w:basedOn w:val="DefaultParagraphFont"/>
    <w:link w:val="Heading3"/>
    <w:uiPriority w:val="9"/>
    <w:semiHidden/>
    <w:rsid w:val="00D9030F"/>
    <w:rPr>
      <w:rFonts w:eastAsiaTheme="majorEastAsia" w:cstheme="majorBidi"/>
      <w:color w:val="0F4761" w:themeColor="accent1" w:themeShade="BF"/>
      <w:sz w:val="28"/>
      <w:szCs w:val="28"/>
    </w:rPr>
  </w:style>
  <w:style w:type="paragraph" w:customStyle="1" w:styleId="p3">
    <w:name w:val="p3"/>
    <w:basedOn w:val="Normal"/>
    <w:rsid w:val="00D9030F"/>
    <w:pPr>
      <w:spacing w:before="100" w:beforeAutospacing="1" w:after="100" w:afterAutospacing="1" w:line="240" w:lineRule="auto"/>
    </w:pPr>
    <w:rPr>
      <w:rFonts w:ascii="Times New Roman" w:hAnsi="Times New Roman" w:cs="Times New Roman"/>
      <w:lang w:eastAsia="en-GB"/>
    </w:rPr>
  </w:style>
  <w:style w:type="character" w:customStyle="1" w:styleId="Heading2Char">
    <w:name w:val="Heading 2 Char"/>
    <w:basedOn w:val="DefaultParagraphFont"/>
    <w:link w:val="Heading2"/>
    <w:uiPriority w:val="9"/>
    <w:semiHidden/>
    <w:rsid w:val="00D21F52"/>
    <w:rPr>
      <w:rFonts w:asciiTheme="majorHAnsi" w:eastAsiaTheme="majorEastAsia" w:hAnsiTheme="majorHAnsi" w:cstheme="majorBidi"/>
      <w:color w:val="0F4761" w:themeColor="accent1" w:themeShade="BF"/>
      <w:sz w:val="32"/>
      <w:szCs w:val="32"/>
    </w:rPr>
  </w:style>
  <w:style w:type="character" w:customStyle="1" w:styleId="s2">
    <w:name w:val="s2"/>
    <w:basedOn w:val="DefaultParagraphFont"/>
    <w:rsid w:val="003559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1413</Words>
  <Characters>8055</Characters>
  <Application>Microsoft Office Word</Application>
  <DocSecurity>0</DocSecurity>
  <Lines>67</Lines>
  <Paragraphs>18</Paragraphs>
  <ScaleCrop>false</ScaleCrop>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Maimuna Ali (2432010)</dc:creator>
  <cp:keywords/>
  <dc:description/>
  <cp:lastModifiedBy>Maimuna Ali (2432010)</cp:lastModifiedBy>
  <cp:revision>4</cp:revision>
  <dcterms:created xsi:type="dcterms:W3CDTF">2026-07-30T20:30:00Z</dcterms:created>
  <dcterms:modified xsi:type="dcterms:W3CDTF">2026-07-30T20:40:00Z</dcterms:modified>
</cp:coreProperties>
</file>