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3005"/>
        <w:gridCol w:w="3005"/>
        <w:gridCol w:w="3006"/>
      </w:tblGrid>
      <w:tr w:rsidR="00DE043B" w:rsidRPr="00D23DD8" w14:paraId="41F14EDC" w14:textId="77777777" w:rsidTr="00612C81">
        <w:trPr>
          <w:trHeight w:val="983"/>
        </w:trPr>
        <w:tc>
          <w:tcPr>
            <w:tcW w:w="3005" w:type="dxa"/>
          </w:tcPr>
          <w:p w14:paraId="4605E619" w14:textId="56E8A133" w:rsidR="00DE043B" w:rsidRPr="00B0719C" w:rsidRDefault="00CA3D1E" w:rsidP="00576E3C">
            <w:pPr>
              <w:jc w:val="center"/>
              <w:rPr>
                <w:rFonts w:ascii="Calibri" w:hAnsi="Calibri" w:cs="Calibri"/>
                <w:b/>
                <w:bCs/>
                <w:sz w:val="20"/>
                <w:szCs w:val="20"/>
              </w:rPr>
            </w:pPr>
            <w:proofErr w:type="spellStart"/>
            <w:r w:rsidRPr="00B0719C">
              <w:rPr>
                <w:rFonts w:ascii="Calibri" w:hAnsi="Calibri" w:cs="Calibri"/>
                <w:b/>
                <w:bCs/>
                <w:sz w:val="20"/>
                <w:szCs w:val="20"/>
              </w:rPr>
              <w:t>Targedau</w:t>
            </w:r>
            <w:proofErr w:type="spellEnd"/>
            <w:r w:rsidRPr="00B0719C">
              <w:rPr>
                <w:rFonts w:ascii="Calibri" w:hAnsi="Calibri" w:cs="Calibri"/>
                <w:b/>
                <w:bCs/>
                <w:sz w:val="20"/>
                <w:szCs w:val="20"/>
              </w:rPr>
              <w:t xml:space="preserve"> / Targets</w:t>
            </w:r>
          </w:p>
        </w:tc>
        <w:tc>
          <w:tcPr>
            <w:tcW w:w="3005" w:type="dxa"/>
          </w:tcPr>
          <w:p w14:paraId="597C17C7" w14:textId="77777777" w:rsidR="006D4876" w:rsidRPr="00B0719C" w:rsidRDefault="006D4876" w:rsidP="006D4876">
            <w:pPr>
              <w:jc w:val="center"/>
              <w:rPr>
                <w:rFonts w:ascii="Calibri" w:hAnsi="Calibri" w:cs="Calibri"/>
                <w:b/>
                <w:bCs/>
                <w:sz w:val="20"/>
                <w:szCs w:val="20"/>
              </w:rPr>
            </w:pPr>
            <w:r w:rsidRPr="00B0719C">
              <w:rPr>
                <w:rFonts w:ascii="Calibri" w:hAnsi="Calibri" w:cs="Calibri"/>
                <w:b/>
                <w:bCs/>
                <w:sz w:val="20"/>
                <w:szCs w:val="20"/>
              </w:rPr>
              <w:t xml:space="preserve">Sut </w:t>
            </w:r>
            <w:proofErr w:type="spellStart"/>
            <w:r w:rsidRPr="00B0719C">
              <w:rPr>
                <w:rFonts w:ascii="Calibri" w:hAnsi="Calibri" w:cs="Calibri"/>
                <w:b/>
                <w:bCs/>
                <w:sz w:val="20"/>
                <w:szCs w:val="20"/>
              </w:rPr>
              <w:t>rydych</w:t>
            </w:r>
            <w:proofErr w:type="spellEnd"/>
            <w:r w:rsidRPr="00B0719C">
              <w:rPr>
                <w:rFonts w:ascii="Calibri" w:hAnsi="Calibri" w:cs="Calibri"/>
                <w:b/>
                <w:bCs/>
                <w:sz w:val="20"/>
                <w:szCs w:val="20"/>
              </w:rPr>
              <w:t xml:space="preserve"> </w:t>
            </w:r>
            <w:proofErr w:type="spellStart"/>
            <w:r w:rsidRPr="00B0719C">
              <w:rPr>
                <w:rFonts w:ascii="Calibri" w:hAnsi="Calibri" w:cs="Calibri"/>
                <w:b/>
                <w:bCs/>
                <w:sz w:val="20"/>
                <w:szCs w:val="20"/>
              </w:rPr>
              <w:t>wedi</w:t>
            </w:r>
            <w:proofErr w:type="spellEnd"/>
            <w:r w:rsidRPr="00B0719C">
              <w:rPr>
                <w:rFonts w:ascii="Calibri" w:hAnsi="Calibri" w:cs="Calibri"/>
                <w:b/>
                <w:bCs/>
                <w:sz w:val="20"/>
                <w:szCs w:val="20"/>
              </w:rPr>
              <w:t xml:space="preserve"> </w:t>
            </w:r>
            <w:proofErr w:type="spellStart"/>
            <w:r w:rsidRPr="00B0719C">
              <w:rPr>
                <w:rFonts w:ascii="Calibri" w:hAnsi="Calibri" w:cs="Calibri"/>
                <w:b/>
                <w:bCs/>
                <w:sz w:val="20"/>
                <w:szCs w:val="20"/>
              </w:rPr>
              <w:t>gweithio</w:t>
            </w:r>
            <w:proofErr w:type="spellEnd"/>
            <w:r w:rsidRPr="00B0719C">
              <w:rPr>
                <w:rFonts w:ascii="Calibri" w:hAnsi="Calibri" w:cs="Calibri"/>
                <w:b/>
                <w:bCs/>
                <w:sz w:val="20"/>
                <w:szCs w:val="20"/>
              </w:rPr>
              <w:t xml:space="preserve"> </w:t>
            </w:r>
            <w:proofErr w:type="spellStart"/>
            <w:r w:rsidRPr="00B0719C">
              <w:rPr>
                <w:rFonts w:ascii="Calibri" w:hAnsi="Calibri" w:cs="Calibri"/>
                <w:b/>
                <w:bCs/>
                <w:sz w:val="20"/>
                <w:szCs w:val="20"/>
              </w:rPr>
              <w:t>ar</w:t>
            </w:r>
            <w:proofErr w:type="spellEnd"/>
            <w:r w:rsidRPr="00B0719C">
              <w:rPr>
                <w:rFonts w:ascii="Calibri" w:hAnsi="Calibri" w:cs="Calibri"/>
                <w:b/>
                <w:bCs/>
                <w:sz w:val="20"/>
                <w:szCs w:val="20"/>
              </w:rPr>
              <w:t xml:space="preserve"> </w:t>
            </w:r>
            <w:proofErr w:type="spellStart"/>
            <w:r w:rsidRPr="00B0719C">
              <w:rPr>
                <w:rFonts w:ascii="Calibri" w:hAnsi="Calibri" w:cs="Calibri"/>
                <w:b/>
                <w:bCs/>
                <w:sz w:val="20"/>
                <w:szCs w:val="20"/>
              </w:rPr>
              <w:t>hwn</w:t>
            </w:r>
            <w:proofErr w:type="spellEnd"/>
            <w:r w:rsidRPr="00B0719C">
              <w:rPr>
                <w:rFonts w:ascii="Calibri" w:hAnsi="Calibri" w:cs="Calibri"/>
                <w:b/>
                <w:bCs/>
                <w:sz w:val="20"/>
                <w:szCs w:val="20"/>
              </w:rPr>
              <w:t xml:space="preserve"> / </w:t>
            </w:r>
          </w:p>
          <w:p w14:paraId="08A90EA1" w14:textId="1CA6A459" w:rsidR="006D4876" w:rsidRPr="00B0719C" w:rsidRDefault="006D4876" w:rsidP="006D4876">
            <w:pPr>
              <w:jc w:val="center"/>
              <w:rPr>
                <w:rFonts w:ascii="Calibri" w:hAnsi="Calibri" w:cs="Calibri"/>
                <w:b/>
                <w:bCs/>
                <w:sz w:val="20"/>
                <w:szCs w:val="20"/>
              </w:rPr>
            </w:pPr>
            <w:r w:rsidRPr="00B0719C">
              <w:rPr>
                <w:rFonts w:ascii="Calibri" w:hAnsi="Calibri" w:cs="Calibri"/>
                <w:b/>
                <w:bCs/>
                <w:sz w:val="20"/>
                <w:szCs w:val="20"/>
              </w:rPr>
              <w:t>How have you worked on this? </w:t>
            </w:r>
          </w:p>
          <w:p w14:paraId="6B5927D1" w14:textId="77777777" w:rsidR="00DE043B" w:rsidRPr="00B0719C" w:rsidRDefault="00DE043B" w:rsidP="00576E3C">
            <w:pPr>
              <w:jc w:val="center"/>
              <w:rPr>
                <w:rFonts w:ascii="Calibri" w:hAnsi="Calibri" w:cs="Calibri"/>
                <w:b/>
                <w:bCs/>
                <w:sz w:val="20"/>
                <w:szCs w:val="20"/>
                <w:u w:val="single"/>
              </w:rPr>
            </w:pPr>
          </w:p>
        </w:tc>
        <w:tc>
          <w:tcPr>
            <w:tcW w:w="3006" w:type="dxa"/>
          </w:tcPr>
          <w:p w14:paraId="76C123A5" w14:textId="77777777" w:rsidR="00612C81" w:rsidRPr="00B0719C" w:rsidRDefault="00612C81" w:rsidP="00612C81">
            <w:pPr>
              <w:jc w:val="center"/>
              <w:rPr>
                <w:rFonts w:ascii="Calibri" w:hAnsi="Calibri" w:cs="Calibri"/>
                <w:b/>
                <w:bCs/>
                <w:sz w:val="20"/>
                <w:szCs w:val="20"/>
              </w:rPr>
            </w:pPr>
            <w:proofErr w:type="spellStart"/>
            <w:r w:rsidRPr="00B0719C">
              <w:rPr>
                <w:rFonts w:ascii="Calibri" w:hAnsi="Calibri" w:cs="Calibri"/>
                <w:b/>
                <w:bCs/>
                <w:sz w:val="20"/>
                <w:szCs w:val="20"/>
              </w:rPr>
              <w:t>Ceir</w:t>
            </w:r>
            <w:proofErr w:type="spellEnd"/>
            <w:r w:rsidRPr="00B0719C">
              <w:rPr>
                <w:rFonts w:ascii="Calibri" w:hAnsi="Calibri" w:cs="Calibri"/>
                <w:b/>
                <w:bCs/>
                <w:sz w:val="20"/>
                <w:szCs w:val="20"/>
              </w:rPr>
              <w:t xml:space="preserve"> </w:t>
            </w:r>
            <w:proofErr w:type="spellStart"/>
            <w:r w:rsidRPr="00B0719C">
              <w:rPr>
                <w:rFonts w:ascii="Calibri" w:hAnsi="Calibri" w:cs="Calibri"/>
                <w:b/>
                <w:bCs/>
                <w:sz w:val="20"/>
                <w:szCs w:val="20"/>
              </w:rPr>
              <w:t>enghraifft</w:t>
            </w:r>
            <w:proofErr w:type="spellEnd"/>
            <w:r w:rsidRPr="00B0719C">
              <w:rPr>
                <w:rFonts w:ascii="Calibri" w:hAnsi="Calibri" w:cs="Calibri"/>
                <w:b/>
                <w:bCs/>
                <w:sz w:val="20"/>
                <w:szCs w:val="20"/>
              </w:rPr>
              <w:t xml:space="preserve"> </w:t>
            </w:r>
            <w:proofErr w:type="spellStart"/>
            <w:r w:rsidRPr="00B0719C">
              <w:rPr>
                <w:rFonts w:ascii="Calibri" w:hAnsi="Calibri" w:cs="Calibri"/>
                <w:b/>
                <w:bCs/>
                <w:sz w:val="20"/>
                <w:szCs w:val="20"/>
              </w:rPr>
              <w:t>ar</w:t>
            </w:r>
            <w:proofErr w:type="spellEnd"/>
            <w:r w:rsidRPr="00B0719C">
              <w:rPr>
                <w:rFonts w:ascii="Calibri" w:hAnsi="Calibri" w:cs="Calibri"/>
                <w:b/>
                <w:bCs/>
                <w:sz w:val="20"/>
                <w:szCs w:val="20"/>
              </w:rPr>
              <w:t xml:space="preserve"> / </w:t>
            </w:r>
          </w:p>
          <w:p w14:paraId="6A815F62" w14:textId="77777777" w:rsidR="00612C81" w:rsidRPr="00B0719C" w:rsidRDefault="00612C81" w:rsidP="00612C81">
            <w:pPr>
              <w:jc w:val="center"/>
              <w:rPr>
                <w:rFonts w:ascii="Calibri" w:hAnsi="Calibri" w:cs="Calibri"/>
                <w:b/>
                <w:bCs/>
                <w:sz w:val="20"/>
                <w:szCs w:val="20"/>
              </w:rPr>
            </w:pPr>
            <w:r w:rsidRPr="00B0719C">
              <w:rPr>
                <w:rFonts w:ascii="Calibri" w:hAnsi="Calibri" w:cs="Calibri"/>
                <w:b/>
                <w:bCs/>
                <w:sz w:val="20"/>
                <w:szCs w:val="20"/>
              </w:rPr>
              <w:t>An example can be found on: </w:t>
            </w:r>
          </w:p>
          <w:p w14:paraId="56597BDA" w14:textId="77777777" w:rsidR="00DE043B" w:rsidRPr="00B0719C" w:rsidRDefault="00DE043B" w:rsidP="00576E3C">
            <w:pPr>
              <w:jc w:val="center"/>
              <w:rPr>
                <w:rFonts w:ascii="Calibri" w:hAnsi="Calibri" w:cs="Calibri"/>
                <w:b/>
                <w:bCs/>
                <w:sz w:val="20"/>
                <w:szCs w:val="20"/>
                <w:u w:val="single"/>
              </w:rPr>
            </w:pPr>
          </w:p>
        </w:tc>
      </w:tr>
      <w:tr w:rsidR="00DE043B" w:rsidRPr="00D23DD8" w14:paraId="24BC9726" w14:textId="77777777" w:rsidTr="00DE043B">
        <w:tc>
          <w:tcPr>
            <w:tcW w:w="3005" w:type="dxa"/>
          </w:tcPr>
          <w:p w14:paraId="6BCCFE91" w14:textId="77777777" w:rsidR="00DE043B" w:rsidRPr="00B0719C" w:rsidRDefault="00612C81" w:rsidP="00612C81">
            <w:pPr>
              <w:rPr>
                <w:rFonts w:ascii="Calibri" w:hAnsi="Calibri" w:cs="Calibri"/>
                <w:b/>
                <w:bCs/>
                <w:sz w:val="20"/>
                <w:szCs w:val="20"/>
                <w:u w:val="single"/>
              </w:rPr>
            </w:pPr>
            <w:proofErr w:type="spellStart"/>
            <w:r w:rsidRPr="00B0719C">
              <w:rPr>
                <w:rFonts w:ascii="Calibri" w:hAnsi="Calibri" w:cs="Calibri"/>
                <w:b/>
                <w:bCs/>
                <w:sz w:val="20"/>
                <w:szCs w:val="20"/>
                <w:u w:val="single"/>
              </w:rPr>
              <w:t>Targed</w:t>
            </w:r>
            <w:proofErr w:type="spellEnd"/>
            <w:r w:rsidR="00D23DD8" w:rsidRPr="00B0719C">
              <w:rPr>
                <w:rFonts w:ascii="Calibri" w:hAnsi="Calibri" w:cs="Calibri"/>
                <w:b/>
                <w:bCs/>
                <w:sz w:val="20"/>
                <w:szCs w:val="20"/>
                <w:u w:val="single"/>
              </w:rPr>
              <w:t>/Target 1</w:t>
            </w:r>
          </w:p>
          <w:p w14:paraId="0BCC82B1" w14:textId="1F3145AB" w:rsidR="00D23DD8" w:rsidRPr="00B0719C" w:rsidRDefault="009F316A" w:rsidP="00612C81">
            <w:pPr>
              <w:rPr>
                <w:rFonts w:ascii="Calibri" w:hAnsi="Calibri" w:cs="Calibri"/>
                <w:sz w:val="20"/>
                <w:szCs w:val="20"/>
              </w:rPr>
            </w:pPr>
            <w:r w:rsidRPr="00B0719C">
              <w:rPr>
                <w:rFonts w:ascii="Calibri" w:hAnsi="Calibri" w:cs="Calibri"/>
                <w:sz w:val="20"/>
                <w:szCs w:val="20"/>
              </w:rPr>
              <w:t xml:space="preserve">Ensure </w:t>
            </w:r>
            <w:r w:rsidR="002D0FB5" w:rsidRPr="00B0719C">
              <w:rPr>
                <w:rFonts w:ascii="Calibri" w:hAnsi="Calibri" w:cs="Calibri"/>
                <w:sz w:val="20"/>
                <w:szCs w:val="20"/>
              </w:rPr>
              <w:t xml:space="preserve">I continue to develop my critical tone further. </w:t>
            </w:r>
          </w:p>
          <w:p w14:paraId="0B1FBBDE" w14:textId="77777777" w:rsidR="00CC08BA" w:rsidRPr="00B0719C" w:rsidRDefault="00CC08BA" w:rsidP="00612C81">
            <w:pPr>
              <w:rPr>
                <w:rFonts w:ascii="Calibri" w:hAnsi="Calibri" w:cs="Calibri"/>
                <w:b/>
                <w:bCs/>
                <w:sz w:val="20"/>
                <w:szCs w:val="20"/>
                <w:u w:val="single"/>
              </w:rPr>
            </w:pPr>
          </w:p>
          <w:p w14:paraId="616B20A4" w14:textId="62988968" w:rsidR="00CC08BA" w:rsidRPr="00B0719C" w:rsidRDefault="00CC08BA" w:rsidP="00612C81">
            <w:pPr>
              <w:rPr>
                <w:rFonts w:ascii="Calibri" w:hAnsi="Calibri" w:cs="Calibri"/>
                <w:b/>
                <w:bCs/>
                <w:sz w:val="20"/>
                <w:szCs w:val="20"/>
                <w:u w:val="single"/>
              </w:rPr>
            </w:pPr>
          </w:p>
        </w:tc>
        <w:tc>
          <w:tcPr>
            <w:tcW w:w="3005" w:type="dxa"/>
          </w:tcPr>
          <w:p w14:paraId="65D021CC" w14:textId="11CD9B5C" w:rsidR="00DE043B" w:rsidRPr="00B0719C" w:rsidRDefault="006D53AC" w:rsidP="00D45CCF">
            <w:pPr>
              <w:rPr>
                <w:rFonts w:ascii="Calibri" w:hAnsi="Calibri" w:cs="Calibri"/>
                <w:sz w:val="20"/>
                <w:szCs w:val="20"/>
              </w:rPr>
            </w:pPr>
            <w:r w:rsidRPr="00B0719C">
              <w:rPr>
                <w:rFonts w:ascii="Calibri" w:hAnsi="Calibri" w:cs="Calibri"/>
                <w:sz w:val="20"/>
                <w:szCs w:val="20"/>
              </w:rPr>
              <w:t>I have attempted to do this through continued research into relevant literature when discussing strengths and limitations. </w:t>
            </w:r>
          </w:p>
        </w:tc>
        <w:tc>
          <w:tcPr>
            <w:tcW w:w="3006" w:type="dxa"/>
          </w:tcPr>
          <w:p w14:paraId="7CAD705D" w14:textId="2A6882FF" w:rsidR="00DE043B" w:rsidRPr="00B0719C" w:rsidRDefault="006D62D3" w:rsidP="00D45CCF">
            <w:pPr>
              <w:rPr>
                <w:rFonts w:ascii="Calibri" w:hAnsi="Calibri" w:cs="Calibri"/>
                <w:sz w:val="20"/>
                <w:szCs w:val="20"/>
              </w:rPr>
            </w:pPr>
            <w:r w:rsidRPr="00B0719C">
              <w:rPr>
                <w:rFonts w:ascii="Calibri" w:hAnsi="Calibri" w:cs="Calibri"/>
                <w:sz w:val="20"/>
                <w:szCs w:val="20"/>
              </w:rPr>
              <w:t>This can be found within my written response to the question asked and within my reference list.  </w:t>
            </w:r>
          </w:p>
        </w:tc>
      </w:tr>
      <w:tr w:rsidR="00DE043B" w:rsidRPr="00D23DD8" w14:paraId="2DFAC1E9" w14:textId="77777777" w:rsidTr="00DE043B">
        <w:tc>
          <w:tcPr>
            <w:tcW w:w="3005" w:type="dxa"/>
          </w:tcPr>
          <w:p w14:paraId="7C76445C" w14:textId="6AE460FA" w:rsidR="00DE043B" w:rsidRPr="00B0719C" w:rsidRDefault="00D23DD8" w:rsidP="00D23DD8">
            <w:pPr>
              <w:rPr>
                <w:rFonts w:ascii="Calibri" w:hAnsi="Calibri" w:cs="Calibri"/>
                <w:b/>
                <w:bCs/>
                <w:sz w:val="20"/>
                <w:szCs w:val="20"/>
                <w:u w:val="single"/>
              </w:rPr>
            </w:pPr>
            <w:proofErr w:type="spellStart"/>
            <w:r w:rsidRPr="00B0719C">
              <w:rPr>
                <w:rFonts w:ascii="Calibri" w:hAnsi="Calibri" w:cs="Calibri"/>
                <w:b/>
                <w:bCs/>
                <w:sz w:val="20"/>
                <w:szCs w:val="20"/>
                <w:u w:val="single"/>
              </w:rPr>
              <w:t>Targed</w:t>
            </w:r>
            <w:proofErr w:type="spellEnd"/>
            <w:r w:rsidRPr="00B0719C">
              <w:rPr>
                <w:rFonts w:ascii="Calibri" w:hAnsi="Calibri" w:cs="Calibri"/>
                <w:b/>
                <w:bCs/>
                <w:sz w:val="20"/>
                <w:szCs w:val="20"/>
                <w:u w:val="single"/>
              </w:rPr>
              <w:t>/</w:t>
            </w:r>
            <w:r w:rsidR="00D45CCF" w:rsidRPr="00B0719C">
              <w:rPr>
                <w:rFonts w:ascii="Calibri" w:hAnsi="Calibri" w:cs="Calibri"/>
                <w:b/>
                <w:bCs/>
                <w:sz w:val="20"/>
                <w:szCs w:val="20"/>
                <w:u w:val="single"/>
              </w:rPr>
              <w:t>T</w:t>
            </w:r>
            <w:r w:rsidRPr="00B0719C">
              <w:rPr>
                <w:rFonts w:ascii="Calibri" w:hAnsi="Calibri" w:cs="Calibri"/>
                <w:b/>
                <w:bCs/>
                <w:sz w:val="20"/>
                <w:szCs w:val="20"/>
                <w:u w:val="single"/>
              </w:rPr>
              <w:t>arget 2</w:t>
            </w:r>
          </w:p>
          <w:p w14:paraId="7990BF2F" w14:textId="45D76975" w:rsidR="00D23DD8" w:rsidRPr="00B0719C" w:rsidRDefault="00023DB3" w:rsidP="00D23DD8">
            <w:pPr>
              <w:rPr>
                <w:rFonts w:ascii="Calibri" w:hAnsi="Calibri" w:cs="Calibri"/>
                <w:sz w:val="20"/>
                <w:szCs w:val="20"/>
              </w:rPr>
            </w:pPr>
            <w:r w:rsidRPr="00B0719C">
              <w:rPr>
                <w:rFonts w:ascii="Calibri" w:hAnsi="Calibri" w:cs="Calibri"/>
                <w:sz w:val="20"/>
                <w:szCs w:val="20"/>
              </w:rPr>
              <w:t xml:space="preserve">Ensure my writing is concise and not repetitive. </w:t>
            </w:r>
          </w:p>
          <w:p w14:paraId="3BAD4B56" w14:textId="77777777" w:rsidR="00CC08BA" w:rsidRPr="00B0719C" w:rsidRDefault="00CC08BA" w:rsidP="00D23DD8">
            <w:pPr>
              <w:rPr>
                <w:rFonts w:ascii="Calibri" w:hAnsi="Calibri" w:cs="Calibri"/>
                <w:b/>
                <w:bCs/>
                <w:sz w:val="20"/>
                <w:szCs w:val="20"/>
                <w:u w:val="single"/>
              </w:rPr>
            </w:pPr>
          </w:p>
          <w:p w14:paraId="71FF4DEA" w14:textId="2DABA88F" w:rsidR="00CC08BA" w:rsidRPr="00B0719C" w:rsidRDefault="00CC08BA" w:rsidP="00D23DD8">
            <w:pPr>
              <w:rPr>
                <w:rFonts w:ascii="Calibri" w:hAnsi="Calibri" w:cs="Calibri"/>
                <w:b/>
                <w:bCs/>
                <w:sz w:val="20"/>
                <w:szCs w:val="20"/>
                <w:u w:val="single"/>
              </w:rPr>
            </w:pPr>
          </w:p>
        </w:tc>
        <w:tc>
          <w:tcPr>
            <w:tcW w:w="3005" w:type="dxa"/>
          </w:tcPr>
          <w:p w14:paraId="6A5D044A" w14:textId="1C007CD7" w:rsidR="00DE043B" w:rsidRPr="00B0719C" w:rsidRDefault="000601FD" w:rsidP="00D45CCF">
            <w:pPr>
              <w:rPr>
                <w:rFonts w:ascii="Calibri" w:hAnsi="Calibri" w:cs="Calibri"/>
                <w:sz w:val="20"/>
                <w:szCs w:val="20"/>
              </w:rPr>
            </w:pPr>
            <w:r w:rsidRPr="00B0719C">
              <w:rPr>
                <w:rFonts w:ascii="Calibri" w:hAnsi="Calibri" w:cs="Calibri"/>
                <w:sz w:val="20"/>
                <w:szCs w:val="20"/>
              </w:rPr>
              <w:t>I have attempted to do this through</w:t>
            </w:r>
            <w:r w:rsidR="00072D8F" w:rsidRPr="00B0719C">
              <w:rPr>
                <w:rFonts w:ascii="Calibri" w:hAnsi="Calibri" w:cs="Calibri"/>
                <w:sz w:val="20"/>
                <w:szCs w:val="20"/>
              </w:rPr>
              <w:t xml:space="preserve"> effective planning of my writing and proof-reading my work.</w:t>
            </w:r>
          </w:p>
        </w:tc>
        <w:tc>
          <w:tcPr>
            <w:tcW w:w="3006" w:type="dxa"/>
          </w:tcPr>
          <w:p w14:paraId="0D7A7582" w14:textId="749CD719" w:rsidR="00DE043B" w:rsidRPr="00B0719C" w:rsidRDefault="006D62D3" w:rsidP="00D45CCF">
            <w:pPr>
              <w:rPr>
                <w:rFonts w:ascii="Calibri" w:hAnsi="Calibri" w:cs="Calibri"/>
                <w:sz w:val="20"/>
                <w:szCs w:val="20"/>
              </w:rPr>
            </w:pPr>
            <w:r w:rsidRPr="00B0719C">
              <w:rPr>
                <w:rFonts w:ascii="Calibri" w:hAnsi="Calibri" w:cs="Calibri"/>
                <w:sz w:val="20"/>
                <w:szCs w:val="20"/>
              </w:rPr>
              <w:t xml:space="preserve">This can be found within my written response to the question asked. </w:t>
            </w:r>
          </w:p>
        </w:tc>
      </w:tr>
    </w:tbl>
    <w:p w14:paraId="2A71B31E" w14:textId="77777777" w:rsidR="00B0719C" w:rsidRDefault="00B0719C" w:rsidP="00B0719C">
      <w:pPr>
        <w:jc w:val="center"/>
        <w:rPr>
          <w:rFonts w:ascii="Calibri" w:hAnsi="Calibri" w:cs="Calibri"/>
          <w:b/>
          <w:bCs/>
          <w:sz w:val="22"/>
          <w:szCs w:val="22"/>
        </w:rPr>
      </w:pPr>
    </w:p>
    <w:p w14:paraId="7B856721" w14:textId="3D8B776F" w:rsidR="006725F2" w:rsidRDefault="006725F2" w:rsidP="00B0719C">
      <w:pPr>
        <w:jc w:val="center"/>
        <w:rPr>
          <w:rFonts w:ascii="Calibri" w:hAnsi="Calibri" w:cs="Calibri"/>
          <w:b/>
          <w:bCs/>
          <w:sz w:val="22"/>
          <w:szCs w:val="22"/>
        </w:rPr>
      </w:pPr>
      <w:r w:rsidRPr="00B0719C">
        <w:rPr>
          <w:rFonts w:ascii="Calibri" w:hAnsi="Calibri" w:cs="Calibri"/>
          <w:b/>
          <w:bCs/>
          <w:sz w:val="22"/>
          <w:szCs w:val="22"/>
        </w:rPr>
        <w:t xml:space="preserve">AI was used to support research summarising, structuring the assignment, and proofreading my own writing for clarity and accuracy, with all final content </w:t>
      </w:r>
      <w:r w:rsidR="00800E16" w:rsidRPr="00B0719C">
        <w:rPr>
          <w:rFonts w:ascii="Calibri" w:hAnsi="Calibri" w:cs="Calibri"/>
          <w:b/>
          <w:bCs/>
          <w:sz w:val="22"/>
          <w:szCs w:val="22"/>
        </w:rPr>
        <w:t xml:space="preserve">being </w:t>
      </w:r>
      <w:r w:rsidRPr="00B0719C">
        <w:rPr>
          <w:rFonts w:ascii="Calibri" w:hAnsi="Calibri" w:cs="Calibri"/>
          <w:b/>
          <w:bCs/>
          <w:sz w:val="22"/>
          <w:szCs w:val="22"/>
        </w:rPr>
        <w:t>my own.</w:t>
      </w:r>
    </w:p>
    <w:p w14:paraId="54D308C1" w14:textId="77777777" w:rsidR="00B0719C" w:rsidRPr="00B0719C" w:rsidRDefault="00B0719C" w:rsidP="00B0719C">
      <w:pPr>
        <w:jc w:val="center"/>
        <w:rPr>
          <w:rFonts w:ascii="Calibri" w:hAnsi="Calibri" w:cs="Calibri"/>
          <w:b/>
          <w:bCs/>
          <w:sz w:val="22"/>
          <w:szCs w:val="22"/>
        </w:rPr>
      </w:pPr>
    </w:p>
    <w:p w14:paraId="29F6F4EC" w14:textId="1A7000A8" w:rsidR="00CB3228" w:rsidRPr="00D23DD8" w:rsidRDefault="00F07EA8" w:rsidP="00576E3C">
      <w:pPr>
        <w:jc w:val="center"/>
        <w:rPr>
          <w:rFonts w:ascii="Calibri" w:hAnsi="Calibri" w:cs="Calibri"/>
          <w:b/>
          <w:bCs/>
          <w:u w:val="single"/>
        </w:rPr>
      </w:pPr>
      <w:r w:rsidRPr="00D23DD8">
        <w:rPr>
          <w:rFonts w:ascii="Calibri" w:hAnsi="Calibri" w:cs="Calibri"/>
          <w:b/>
          <w:bCs/>
          <w:u w:val="single"/>
        </w:rPr>
        <w:t>ECAD6016</w:t>
      </w:r>
      <w:r w:rsidR="00FB4F1C" w:rsidRPr="00D23DD8">
        <w:rPr>
          <w:rFonts w:ascii="Calibri" w:hAnsi="Calibri" w:cs="Calibri"/>
          <w:b/>
          <w:bCs/>
          <w:u w:val="single"/>
        </w:rPr>
        <w:t xml:space="preserve"> – Learners, Schools &amp; Communities</w:t>
      </w:r>
    </w:p>
    <w:p w14:paraId="0BB2ACE0" w14:textId="168C932D" w:rsidR="003D436D" w:rsidRPr="00D23DD8" w:rsidRDefault="00F07EA8" w:rsidP="00576E3C">
      <w:pPr>
        <w:jc w:val="center"/>
        <w:rPr>
          <w:rFonts w:ascii="Calibri" w:hAnsi="Calibri" w:cs="Calibri"/>
          <w:b/>
          <w:bCs/>
          <w:u w:val="single"/>
        </w:rPr>
      </w:pPr>
      <w:r w:rsidRPr="00D23DD8">
        <w:rPr>
          <w:rFonts w:ascii="Calibri" w:hAnsi="Calibri" w:cs="Calibri"/>
          <w:b/>
          <w:bCs/>
          <w:u w:val="single"/>
        </w:rPr>
        <w:t>Where am I teaching</w:t>
      </w:r>
      <w:r w:rsidR="00FB4F1C" w:rsidRPr="00D23DD8">
        <w:rPr>
          <w:rFonts w:ascii="Calibri" w:hAnsi="Calibri" w:cs="Calibri"/>
          <w:b/>
          <w:bCs/>
          <w:u w:val="single"/>
        </w:rPr>
        <w:t>?</w:t>
      </w:r>
    </w:p>
    <w:p w14:paraId="2FB404E6" w14:textId="3E462353" w:rsidR="00FB4F1C" w:rsidRDefault="00576E3C" w:rsidP="00576E3C">
      <w:pPr>
        <w:jc w:val="center"/>
        <w:rPr>
          <w:rFonts w:ascii="Calibri" w:hAnsi="Calibri" w:cs="Calibri"/>
          <w:b/>
          <w:bCs/>
          <w:i/>
          <w:iCs/>
        </w:rPr>
      </w:pPr>
      <w:r w:rsidRPr="00D23DD8">
        <w:rPr>
          <w:rFonts w:ascii="Calibri" w:hAnsi="Calibri" w:cs="Calibri"/>
          <w:b/>
          <w:bCs/>
          <w:i/>
          <w:iCs/>
        </w:rPr>
        <w:t>A critical evaluation of the development of a strategic target in a School Development Plan: Actions, impact, and evidence-based reflections.</w:t>
      </w:r>
    </w:p>
    <w:p w14:paraId="11600B7B" w14:textId="77777777" w:rsidR="00382D50" w:rsidRPr="00D23DD8" w:rsidRDefault="00382D50" w:rsidP="00576E3C">
      <w:pPr>
        <w:jc w:val="center"/>
        <w:rPr>
          <w:rFonts w:ascii="Calibri" w:hAnsi="Calibri" w:cs="Calibri"/>
          <w:b/>
          <w:bCs/>
          <w:i/>
          <w:iCs/>
        </w:rPr>
      </w:pPr>
    </w:p>
    <w:p w14:paraId="3B17C4D5" w14:textId="6D5B518D" w:rsidR="00382D50" w:rsidRPr="00382D50" w:rsidRDefault="0012672D" w:rsidP="00382D50">
      <w:pPr>
        <w:rPr>
          <w:rFonts w:ascii="Calibri" w:hAnsi="Calibri" w:cs="Calibri"/>
        </w:rPr>
      </w:pPr>
      <w:r w:rsidRPr="00382D50">
        <w:rPr>
          <w:rFonts w:ascii="Calibri" w:hAnsi="Calibri" w:cs="Calibri"/>
        </w:rPr>
        <w:t>This critical evaluation focuses on a strategic action point from a School Development Plan (SDP), looking at how promoting learner health and wellbeing supports school improvement. The strategic target selected relates to enhancing emotional regulation, resilience, and pupil readiness to learn, reflecting national and local priorities around supporting holistic development. This target holds particular significance for School T, where supporting learner wellbeing is a core focus, in line with the Welsh Government’s national mission to deliver “high standards and aspirations for all” (Welsh Government, 2023</w:t>
      </w:r>
      <w:r w:rsidR="0068653F">
        <w:rPr>
          <w:rFonts w:ascii="Calibri" w:hAnsi="Calibri" w:cs="Calibri"/>
        </w:rPr>
        <w:t>a</w:t>
      </w:r>
      <w:r w:rsidRPr="00382D50">
        <w:rPr>
          <w:rFonts w:ascii="Calibri" w:hAnsi="Calibri" w:cs="Calibri"/>
        </w:rPr>
        <w:t>).</w:t>
      </w:r>
    </w:p>
    <w:p w14:paraId="530E80E2" w14:textId="3AD520C8" w:rsidR="00382D50" w:rsidRPr="00382D50" w:rsidRDefault="0012672D" w:rsidP="00382D50">
      <w:pPr>
        <w:rPr>
          <w:rFonts w:ascii="Calibri" w:hAnsi="Calibri" w:cs="Calibri"/>
        </w:rPr>
      </w:pPr>
      <w:r w:rsidRPr="00382D50">
        <w:rPr>
          <w:rFonts w:ascii="Calibri" w:hAnsi="Calibri" w:cs="Calibri"/>
        </w:rPr>
        <w:br/>
        <w:t>School T is a primary school located in an urban area of South Wales and serves a community classified as a high deprivation area. 54.7% of statutory school-age pupils are eligible for free school meals (School T, 2024), significantly above the national average of 22.9% (Welsh Government, 2023</w:t>
      </w:r>
      <w:r w:rsidR="0068653F">
        <w:rPr>
          <w:rFonts w:ascii="Calibri" w:hAnsi="Calibri" w:cs="Calibri"/>
        </w:rPr>
        <w:t>b</w:t>
      </w:r>
      <w:r w:rsidRPr="00382D50">
        <w:rPr>
          <w:rFonts w:ascii="Calibri" w:hAnsi="Calibri" w:cs="Calibri"/>
        </w:rPr>
        <w:t>). Additionally, 24.9% of learners have been identified with Additional Learning Needs (School T, 2024), compared to the national figure of 22.2% (Welsh Government, 2023</w:t>
      </w:r>
      <w:r w:rsidR="0068653F">
        <w:rPr>
          <w:rFonts w:ascii="Calibri" w:hAnsi="Calibri" w:cs="Calibri"/>
        </w:rPr>
        <w:t>b</w:t>
      </w:r>
      <w:r w:rsidRPr="00382D50">
        <w:rPr>
          <w:rFonts w:ascii="Calibri" w:hAnsi="Calibri" w:cs="Calibri"/>
        </w:rPr>
        <w:t>). The school’s inclusive ethos and strong focus on equity underpins its commitment to improving pupil wellbeing. Within this context, prioritising whole-school wellbeing initiatives represents a crucial step in supporting emotional regulation, engagement, and improved learner outcomes.</w:t>
      </w:r>
    </w:p>
    <w:p w14:paraId="7CAB1686" w14:textId="77777777" w:rsidR="00382D50" w:rsidRPr="00382D50" w:rsidRDefault="00382D50" w:rsidP="00382D50">
      <w:pPr>
        <w:rPr>
          <w:rFonts w:ascii="Calibri" w:hAnsi="Calibri" w:cs="Calibri"/>
        </w:rPr>
      </w:pPr>
    </w:p>
    <w:p w14:paraId="32417644" w14:textId="545E2380" w:rsidR="00660D9D" w:rsidRPr="00382D50" w:rsidRDefault="00660D9D" w:rsidP="00382D50">
      <w:pPr>
        <w:rPr>
          <w:rFonts w:ascii="Calibri" w:hAnsi="Calibri" w:cs="Calibri"/>
        </w:rPr>
      </w:pPr>
      <w:r w:rsidRPr="00382D50">
        <w:rPr>
          <w:rFonts w:ascii="Calibri" w:hAnsi="Calibri" w:cs="Calibri"/>
        </w:rPr>
        <w:lastRenderedPageBreak/>
        <w:t xml:space="preserve">School Development Planning (SDP) plays a </w:t>
      </w:r>
      <w:r w:rsidR="006C3283" w:rsidRPr="00382D50">
        <w:rPr>
          <w:rFonts w:ascii="Calibri" w:hAnsi="Calibri" w:cs="Calibri"/>
        </w:rPr>
        <w:t>crucial</w:t>
      </w:r>
      <w:r w:rsidRPr="00382D50">
        <w:rPr>
          <w:rFonts w:ascii="Calibri" w:hAnsi="Calibri" w:cs="Calibri"/>
        </w:rPr>
        <w:t xml:space="preserve"> role in supporting continuous school improvement by identifying key priorities, setting clear targets, and planning actions that enhance pupil achievement and wellbeing. According to Welsh Government guidance, effective development planning should be based on strong self-evaluation, use evidence to guide decisions, and maintain a clear focus on learner progress and wellbeing (Welsh </w:t>
      </w:r>
      <w:r w:rsidRPr="00BA0205">
        <w:rPr>
          <w:rFonts w:ascii="Calibri" w:hAnsi="Calibri" w:cs="Calibri"/>
          <w:color w:val="000000" w:themeColor="text1"/>
        </w:rPr>
        <w:t>Government, 202</w:t>
      </w:r>
      <w:r w:rsidR="00BA0205" w:rsidRPr="00BA0205">
        <w:rPr>
          <w:rFonts w:ascii="Calibri" w:hAnsi="Calibri" w:cs="Calibri"/>
          <w:color w:val="000000" w:themeColor="text1"/>
        </w:rPr>
        <w:t>2</w:t>
      </w:r>
      <w:r w:rsidRPr="00BA0205">
        <w:rPr>
          <w:rFonts w:ascii="Calibri" w:hAnsi="Calibri" w:cs="Calibri"/>
          <w:color w:val="000000" w:themeColor="text1"/>
        </w:rPr>
        <w:t>).</w:t>
      </w:r>
    </w:p>
    <w:p w14:paraId="1462E8EB" w14:textId="5D936D9E" w:rsidR="00660D9D" w:rsidRPr="00382D50" w:rsidRDefault="00660D9D" w:rsidP="00382D50">
      <w:pPr>
        <w:rPr>
          <w:rFonts w:ascii="Calibri" w:hAnsi="Calibri" w:cs="Calibri"/>
        </w:rPr>
      </w:pPr>
      <w:r w:rsidRPr="00382D50">
        <w:rPr>
          <w:rFonts w:ascii="Calibri" w:hAnsi="Calibri" w:cs="Calibri"/>
        </w:rPr>
        <w:t xml:space="preserve">The development planning process </w:t>
      </w:r>
      <w:r w:rsidR="008348A6" w:rsidRPr="00382D50">
        <w:rPr>
          <w:rFonts w:ascii="Calibri" w:hAnsi="Calibri" w:cs="Calibri"/>
        </w:rPr>
        <w:t xml:space="preserve">often </w:t>
      </w:r>
      <w:r w:rsidRPr="00382D50">
        <w:rPr>
          <w:rFonts w:ascii="Calibri" w:hAnsi="Calibri" w:cs="Calibri"/>
        </w:rPr>
        <w:t>follows a structured approach. Schools begin by carrying out a detailed self-evaluation to recognise strengths and areas for improvement. Strategic priorities are then set, actions are planned, resources are allocated, and progress is reviewed regularly to ensure that improvements are having the intended impact (Welsh Government</w:t>
      </w:r>
      <w:r w:rsidRPr="00A6585F">
        <w:rPr>
          <w:rFonts w:ascii="Calibri" w:hAnsi="Calibri" w:cs="Calibri"/>
          <w:color w:val="000000" w:themeColor="text1"/>
        </w:rPr>
        <w:t>, 202</w:t>
      </w:r>
      <w:r w:rsidR="00A6585F" w:rsidRPr="00A6585F">
        <w:rPr>
          <w:rFonts w:ascii="Calibri" w:hAnsi="Calibri" w:cs="Calibri"/>
          <w:color w:val="000000" w:themeColor="text1"/>
        </w:rPr>
        <w:t>2)</w:t>
      </w:r>
      <w:r w:rsidRPr="00A6585F">
        <w:rPr>
          <w:rFonts w:ascii="Calibri" w:hAnsi="Calibri" w:cs="Calibri"/>
          <w:color w:val="000000" w:themeColor="text1"/>
        </w:rPr>
        <w:t xml:space="preserve">. </w:t>
      </w:r>
      <w:r w:rsidRPr="00382D50">
        <w:rPr>
          <w:rFonts w:ascii="Calibri" w:hAnsi="Calibri" w:cs="Calibri"/>
        </w:rPr>
        <w:t xml:space="preserve">Throughout this </w:t>
      </w:r>
      <w:r w:rsidR="006D26FF" w:rsidRPr="00382D50">
        <w:rPr>
          <w:rFonts w:ascii="Calibri" w:hAnsi="Calibri" w:cs="Calibri"/>
        </w:rPr>
        <w:t>process</w:t>
      </w:r>
      <w:r w:rsidRPr="00382D50">
        <w:rPr>
          <w:rFonts w:ascii="Calibri" w:hAnsi="Calibri" w:cs="Calibri"/>
        </w:rPr>
        <w:t xml:space="preserve">, collaboration between leaders, staff, governors, learners, and the wider community is </w:t>
      </w:r>
      <w:r w:rsidR="006D26FF" w:rsidRPr="00382D50">
        <w:rPr>
          <w:rFonts w:ascii="Calibri" w:hAnsi="Calibri" w:cs="Calibri"/>
        </w:rPr>
        <w:t>important in ensuring</w:t>
      </w:r>
      <w:r w:rsidRPr="00382D50">
        <w:rPr>
          <w:rFonts w:ascii="Calibri" w:hAnsi="Calibri" w:cs="Calibri"/>
        </w:rPr>
        <w:t xml:space="preserve"> the plan remains relevant and focused on real outcomes.</w:t>
      </w:r>
    </w:p>
    <w:p w14:paraId="318E4D86" w14:textId="25FDD1FF" w:rsidR="00660D9D" w:rsidRPr="00382D50" w:rsidRDefault="00660D9D" w:rsidP="00382D50">
      <w:pPr>
        <w:rPr>
          <w:rFonts w:ascii="Calibri" w:hAnsi="Calibri" w:cs="Calibri"/>
        </w:rPr>
      </w:pPr>
      <w:r w:rsidRPr="00382D50">
        <w:rPr>
          <w:rFonts w:ascii="Calibri" w:hAnsi="Calibri" w:cs="Calibri"/>
        </w:rPr>
        <w:t xml:space="preserve">National frameworks such as Our National Mission: High Standards and Aspirations for All (Welsh </w:t>
      </w:r>
      <w:r w:rsidRPr="00A6585F">
        <w:rPr>
          <w:rFonts w:ascii="Calibri" w:hAnsi="Calibri" w:cs="Calibri"/>
          <w:color w:val="000000" w:themeColor="text1"/>
        </w:rPr>
        <w:t xml:space="preserve">Government, 2023a) </w:t>
      </w:r>
      <w:r w:rsidRPr="00382D50">
        <w:rPr>
          <w:rFonts w:ascii="Calibri" w:hAnsi="Calibri" w:cs="Calibri"/>
        </w:rPr>
        <w:t xml:space="preserve">and the School Improvement Guidance: Framework for Evaluation, Improvement and Accountability (Welsh </w:t>
      </w:r>
      <w:r w:rsidRPr="00A6585F">
        <w:rPr>
          <w:rFonts w:ascii="Calibri" w:hAnsi="Calibri" w:cs="Calibri"/>
          <w:color w:val="000000" w:themeColor="text1"/>
        </w:rPr>
        <w:t>Government, 202</w:t>
      </w:r>
      <w:r w:rsidR="00A6585F" w:rsidRPr="00A6585F">
        <w:rPr>
          <w:rFonts w:ascii="Calibri" w:hAnsi="Calibri" w:cs="Calibri"/>
          <w:color w:val="000000" w:themeColor="text1"/>
        </w:rPr>
        <w:t>2</w:t>
      </w:r>
      <w:r w:rsidRPr="00382D50">
        <w:rPr>
          <w:rFonts w:ascii="Calibri" w:hAnsi="Calibri" w:cs="Calibri"/>
        </w:rPr>
        <w:t xml:space="preserve">) strongly shape the expectations for development planning in Wales. These policies emphasise raising standards, promoting equity, supporting wellbeing, and strengthening leadership. The School Improvement Guidance also closely aligns with the Curriculum for Wales, ensuring that development planning supports learner-centred approaches and the development of the four purposes. </w:t>
      </w:r>
      <w:r w:rsidR="006C3283" w:rsidRPr="00382D50">
        <w:rPr>
          <w:rFonts w:ascii="Calibri" w:hAnsi="Calibri" w:cs="Calibri"/>
        </w:rPr>
        <w:t xml:space="preserve">Importantly, recent policy developments prioritise self-evaluation and collective improvement over </w:t>
      </w:r>
      <w:r w:rsidR="007C051B" w:rsidRPr="00382D50">
        <w:rPr>
          <w:rFonts w:ascii="Calibri" w:hAnsi="Calibri" w:cs="Calibri"/>
        </w:rPr>
        <w:t>intensive performance monitoring</w:t>
      </w:r>
      <w:r w:rsidR="006C3283" w:rsidRPr="00382D50">
        <w:rPr>
          <w:rFonts w:ascii="Calibri" w:hAnsi="Calibri" w:cs="Calibri"/>
        </w:rPr>
        <w:t>.</w:t>
      </w:r>
      <w:r w:rsidRPr="00382D50">
        <w:rPr>
          <w:rFonts w:ascii="Calibri" w:hAnsi="Calibri" w:cs="Calibri"/>
        </w:rPr>
        <w:t xml:space="preserve"> </w:t>
      </w:r>
      <w:r w:rsidR="007678A7" w:rsidRPr="00382D50">
        <w:rPr>
          <w:rFonts w:ascii="Calibri" w:hAnsi="Calibri" w:cs="Calibri"/>
        </w:rPr>
        <w:t>School T’s SDP reflects these national priorities, placing learner wellbeing at the centre. In line with this strategic focus, actions such as the introduction of daily brain breaks have been implemented to support wider goals of sustainable improvement and holistic learner development</w:t>
      </w:r>
    </w:p>
    <w:p w14:paraId="0F8F9531" w14:textId="469E2078" w:rsidR="00823198" w:rsidRPr="00382D50" w:rsidRDefault="0016532F" w:rsidP="00382D50">
      <w:pPr>
        <w:rPr>
          <w:rFonts w:ascii="Calibri" w:hAnsi="Calibri" w:cs="Calibri"/>
        </w:rPr>
      </w:pPr>
      <w:r w:rsidRPr="00382D50">
        <w:rPr>
          <w:rFonts w:ascii="Calibri" w:hAnsi="Calibri" w:cs="Calibri"/>
        </w:rPr>
        <w:t>Promoting health and wellbeing is increasingly recognised as a crucial strategic priority within schools, forming a strong foundation for supporting pupil engagement, emotional regulation, and academic achievement. The Welsh Government (202</w:t>
      </w:r>
      <w:r w:rsidR="00A529D4" w:rsidRPr="00382D50">
        <w:rPr>
          <w:rFonts w:ascii="Calibri" w:hAnsi="Calibri" w:cs="Calibri"/>
        </w:rPr>
        <w:t>2</w:t>
      </w:r>
      <w:r w:rsidRPr="00382D50">
        <w:rPr>
          <w:rFonts w:ascii="Calibri" w:hAnsi="Calibri" w:cs="Calibri"/>
        </w:rPr>
        <w:t>) highlights wellbeing as a core aspect of the Curriculum for Wales, noting that learners must be supported to become healthy, confident individuals who are ready to learn throughout their lives. Within this framework, addressing pupils’ emotional needs is essential for securing better learning outcomes.</w:t>
      </w:r>
    </w:p>
    <w:p w14:paraId="4189626C" w14:textId="7BBBA0FD" w:rsidR="00276AEA" w:rsidRPr="00382D50" w:rsidRDefault="00276AEA" w:rsidP="00382D50">
      <w:pPr>
        <w:rPr>
          <w:rFonts w:ascii="Calibri" w:hAnsi="Calibri" w:cs="Calibri"/>
        </w:rPr>
      </w:pPr>
      <w:r w:rsidRPr="00382D50">
        <w:rPr>
          <w:rFonts w:ascii="Calibri" w:hAnsi="Calibri" w:cs="Calibri"/>
        </w:rPr>
        <w:t>One of the key challenges associated with supporting learner wellbeing is the impact of socio-economic disadvantage. Estyn (2012) identifies that pupils from deprived backgrounds often experience additional barriers to engagement, including higher levels of anxiety, low self-esteem, and difficulties with emotional regulation. These factors can affect concentration, resilience, and overall attainment. Similarly, the Education Endowment Foundation (20</w:t>
      </w:r>
      <w:r w:rsidR="0043667A">
        <w:rPr>
          <w:rFonts w:ascii="Calibri" w:hAnsi="Calibri" w:cs="Calibri"/>
        </w:rPr>
        <w:t>24</w:t>
      </w:r>
      <w:r w:rsidRPr="00382D50">
        <w:rPr>
          <w:rFonts w:ascii="Calibri" w:hAnsi="Calibri" w:cs="Calibri"/>
        </w:rPr>
        <w:t>) emphasises that disadvantaged learners particularly benefit from strategies that promote social-emotional learning (SEL), helping to close the attainment gap.</w:t>
      </w:r>
    </w:p>
    <w:p w14:paraId="65503594" w14:textId="77777777" w:rsidR="00E8728C" w:rsidRPr="00382D50" w:rsidRDefault="00E8728C" w:rsidP="00382D50">
      <w:pPr>
        <w:rPr>
          <w:rFonts w:ascii="Calibri" w:hAnsi="Calibri" w:cs="Calibri"/>
        </w:rPr>
      </w:pPr>
      <w:r w:rsidRPr="00382D50">
        <w:rPr>
          <w:rFonts w:ascii="Calibri" w:hAnsi="Calibri" w:cs="Calibri"/>
        </w:rPr>
        <w:lastRenderedPageBreak/>
        <w:t>Promoting emotional wellbeing is also closely linked to broader issues of equity and social justice. Arshad </w:t>
      </w:r>
      <w:r w:rsidRPr="00382D50">
        <w:rPr>
          <w:rFonts w:ascii="Calibri" w:hAnsi="Calibri" w:cs="Calibri"/>
          <w:i/>
          <w:iCs/>
        </w:rPr>
        <w:t>et al.</w:t>
      </w:r>
      <w:r w:rsidRPr="00382D50">
        <w:rPr>
          <w:rFonts w:ascii="Calibri" w:hAnsi="Calibri" w:cs="Calibri"/>
        </w:rPr>
        <w:t> (2019) argue that supporting the emotional and social needs of learners is essential for creating inclusive classrooms where all pupils can succeed. They highlight that without addressing these fundamental needs, educational interventions are unlikely to have a lasting impact, particularly in disadvantaged communities. This supports the case for embedding wellbeing-focused practices, such as classroom-based strategies to support emotional regulation and engagement, into whole-school improvement plans.</w:t>
      </w:r>
    </w:p>
    <w:p w14:paraId="789AB399" w14:textId="58FFC3CE" w:rsidR="005B5FFC" w:rsidRPr="00382D50" w:rsidRDefault="005B5FFC" w:rsidP="00382D50">
      <w:pPr>
        <w:rPr>
          <w:rFonts w:ascii="Calibri" w:hAnsi="Calibri" w:cs="Calibri"/>
        </w:rPr>
      </w:pPr>
      <w:r w:rsidRPr="00382D50">
        <w:rPr>
          <w:rFonts w:ascii="Calibri" w:hAnsi="Calibri" w:cs="Calibri"/>
        </w:rPr>
        <w:t xml:space="preserve">Embedding a rights-based approach within school life is vital for promoting pupil wellbeing and emotional development. </w:t>
      </w:r>
      <w:r w:rsidR="004C2437" w:rsidRPr="00382D50">
        <w:rPr>
          <w:rFonts w:ascii="Calibri" w:hAnsi="Calibri" w:cs="Calibri"/>
        </w:rPr>
        <w:t>The United Nations Convention on the Rights of the Child (1989) further reinforces the importance of prioritising wellbeing in education, recognising every child’s right to rest, play, and an education that develops their full potential (Articles 29 and 31). Integrating these principles into everyday school practice can have a positive impact on emotional regulation, resilience, engagement, and readiness to learn, supporting the rationale for wellbeing initiatives within classrooms and across the whole school</w:t>
      </w:r>
      <w:r w:rsidRPr="00382D50">
        <w:rPr>
          <w:rFonts w:ascii="Calibri" w:hAnsi="Calibri" w:cs="Calibri"/>
        </w:rPr>
        <w:t>.</w:t>
      </w:r>
    </w:p>
    <w:p w14:paraId="145ADFEC" w14:textId="266E82BF" w:rsidR="0061184B" w:rsidRPr="00382D50" w:rsidRDefault="006C3247" w:rsidP="00382D50">
      <w:pPr>
        <w:rPr>
          <w:rFonts w:ascii="Calibri" w:hAnsi="Calibri" w:cs="Calibri"/>
        </w:rPr>
      </w:pPr>
      <w:r w:rsidRPr="00382D50">
        <w:rPr>
          <w:rFonts w:ascii="Calibri" w:hAnsi="Calibri" w:cs="Calibri"/>
        </w:rPr>
        <w:t>Recent case studies from community-focused schools in Wales (Welsh Government, 2021) demonstrate that prioritising wellbeing, emotional literacy, and resilience is integral to effective school development planning. Evidence suggests that schools which embed wellbeing as a core strategic focus are more successful in securing sustained improvements in learner outcomes and equity. Therefore, actions such as introducing daily brain breaks directly reflect the growing understanding that supporting health and wellbeing is fundamental to successful teaching, learning, and long-term school improvement.</w:t>
      </w:r>
    </w:p>
    <w:p w14:paraId="663ED43D" w14:textId="3840380D" w:rsidR="00EC6F19" w:rsidRPr="00382D50" w:rsidRDefault="00EC6F19" w:rsidP="00382D50">
      <w:pPr>
        <w:rPr>
          <w:rFonts w:ascii="Calibri" w:hAnsi="Calibri" w:cs="Calibri"/>
        </w:rPr>
      </w:pPr>
      <w:r w:rsidRPr="00382D50">
        <w:rPr>
          <w:rFonts w:ascii="Calibri" w:hAnsi="Calibri" w:cs="Calibri"/>
        </w:rPr>
        <w:t xml:space="preserve">School T’s School Development Plan (SDP) identified supporting learner health and wellbeing as a key priority following </w:t>
      </w:r>
      <w:r w:rsidR="00794528" w:rsidRPr="00382D50">
        <w:rPr>
          <w:rFonts w:ascii="Calibri" w:hAnsi="Calibri" w:cs="Calibri"/>
        </w:rPr>
        <w:t>thorough</w:t>
      </w:r>
      <w:r w:rsidRPr="00382D50">
        <w:rPr>
          <w:rFonts w:ascii="Calibri" w:hAnsi="Calibri" w:cs="Calibri"/>
        </w:rPr>
        <w:t xml:space="preserve"> self-evaluation. Feedback from Estyn inspections, internal assessment data, and input from </w:t>
      </w:r>
      <w:r w:rsidRPr="00382D50">
        <w:rPr>
          <w:rFonts w:ascii="Calibri" w:hAnsi="Calibri" w:cs="Calibri"/>
        </w:rPr>
        <w:t>challenge advisors</w:t>
      </w:r>
      <w:r w:rsidRPr="00382D50">
        <w:rPr>
          <w:rFonts w:ascii="Calibri" w:hAnsi="Calibri" w:cs="Calibri"/>
        </w:rPr>
        <w:t xml:space="preserve"> highlighted the need to strengthen emotional regulation, resilience, and pupil engagement. With 54.7% of pupils eligible for free school meals and 24.9% identified with Additional Learning Needs</w:t>
      </w:r>
      <w:r w:rsidR="00794528" w:rsidRPr="00382D50">
        <w:rPr>
          <w:rFonts w:ascii="Calibri" w:hAnsi="Calibri" w:cs="Calibri"/>
        </w:rPr>
        <w:t xml:space="preserve"> </w:t>
      </w:r>
      <w:r w:rsidR="00794528" w:rsidRPr="00382D50">
        <w:rPr>
          <w:rFonts w:ascii="Calibri" w:hAnsi="Calibri" w:cs="Calibri"/>
        </w:rPr>
        <w:t>(School T, 2024)</w:t>
      </w:r>
      <w:r w:rsidRPr="00382D50">
        <w:rPr>
          <w:rFonts w:ascii="Calibri" w:hAnsi="Calibri" w:cs="Calibri"/>
        </w:rPr>
        <w:t>, a strategic focus on wellbeing was viewed as crucial for removing barriers to learning and improving overall outcomes. This aligns with national priorities outlined by the Welsh Government (2023a), which emphasise developing healthy, confident learners.</w:t>
      </w:r>
      <w:proofErr w:type="spellStart"/>
    </w:p>
    <w:p w14:paraId="27DC1F16" w14:textId="6F77E952" w:rsidR="005905D6" w:rsidRPr="00382D50" w:rsidRDefault="00DD7040" w:rsidP="00382D50">
      <w:pPr>
        <w:rPr>
          <w:rFonts w:ascii="Calibri" w:hAnsi="Calibri" w:cs="Calibri"/>
        </w:rPr>
      </w:pPr>
      <w:r w:rsidRPr="00382D50">
        <w:rPr>
          <w:rFonts w:ascii="Calibri" w:hAnsi="Calibri" w:cs="Calibri"/>
        </w:rPr>
        <w:t>To</w:t>
      </w:r>
      <w:proofErr w:type="spellEnd"/>
      <w:r w:rsidRPr="00382D50">
        <w:rPr>
          <w:rFonts w:ascii="Calibri" w:hAnsi="Calibri" w:cs="Calibri"/>
        </w:rPr>
        <w:t xml:space="preserve"> address this target, School T introduced a range of wellbeing-focused initiatives. Daily wellbeing check-ins were embedded into registration routines, emotional literacy programmes such as the Zones of Regulation were adopted across classes, and new opportunities for pupil voice, including wellbeing councils and circle times, were established. Staff also received training on trauma-informed approaches to better support pupil emotional needs. Additional investment was made in pastoral support staff and emotional wellbeing resources, with actions rolled out in a phased approach throughout the academic year and reviewed regularly through staff meetings</w:t>
      </w:r>
      <w:r w:rsidRPr="00382D50">
        <w:rPr>
          <w:rFonts w:ascii="Calibri" w:hAnsi="Calibri" w:cs="Calibri"/>
        </w:rPr>
        <w:t xml:space="preserve"> (School </w:t>
      </w:r>
      <w:r w:rsidR="005905D6" w:rsidRPr="00382D50">
        <w:rPr>
          <w:rFonts w:ascii="Calibri" w:hAnsi="Calibri" w:cs="Calibri"/>
        </w:rPr>
        <w:t>T, 2024).</w:t>
      </w:r>
    </w:p>
    <w:p w14:paraId="6A8FD737" w14:textId="77777777" w:rsidR="000242EC" w:rsidRPr="00382D50" w:rsidRDefault="000242EC" w:rsidP="00382D50">
      <w:pPr>
        <w:rPr>
          <w:rFonts w:ascii="Calibri" w:hAnsi="Calibri" w:cs="Calibri"/>
        </w:rPr>
      </w:pPr>
    </w:p>
    <w:p w14:paraId="7DFE8283" w14:textId="73F3BC32" w:rsidR="00BA1DEB" w:rsidRPr="00382D50" w:rsidRDefault="00382215" w:rsidP="00382D50">
      <w:pPr>
        <w:rPr>
          <w:rFonts w:ascii="Calibri" w:hAnsi="Calibri" w:cs="Calibri"/>
        </w:rPr>
      </w:pPr>
      <w:r w:rsidRPr="00382D50">
        <w:rPr>
          <w:rFonts w:ascii="Calibri" w:hAnsi="Calibri" w:cs="Calibri"/>
        </w:rPr>
        <w:lastRenderedPageBreak/>
        <w:t>In supporting the school's wellbeing focus within my own classroom practice, I introduced daily brain breaks. These included movement videos to promote physical engagement, breathing exercises such as “sniff the flowers, blow out the candle” to support emotional regulation, and the use of a wellbeing teddy for pupils who needed individualised regulation strategies during carpet times. These short, structured breaks normalised emotional self-regulation within everyday routines and provided pupils with accessible strategies to manage their emotions independently. Research supports the use of mindfulness and movement-based interventions to improve engagement and emotional regulation, particularly for learners from disadvantaged backgrounds (Education Endowment Foundation, 2019). Similarly, Estyn (2023) highlights that embedding calming strategies, movement breaks, and emotional regulation supports throughout the school day contributes to improved pupil behaviour, resilience, and readiness to learn. Based on this evidence, a recommendation for further development would be to extend the consistent use of short, structured brain breaks or mindfulness activities across all classes, providing greater continuity for learners throughout the school day.</w:t>
      </w:r>
    </w:p>
    <w:p w14:paraId="63FA9955" w14:textId="3C285E79" w:rsidR="00382215" w:rsidRPr="00382D50" w:rsidRDefault="00DD0D5D" w:rsidP="00382D50">
      <w:pPr>
        <w:rPr>
          <w:rFonts w:ascii="Calibri" w:hAnsi="Calibri" w:cs="Calibri"/>
        </w:rPr>
      </w:pPr>
      <w:r w:rsidRPr="00382D50">
        <w:rPr>
          <w:rFonts w:ascii="Calibri" w:hAnsi="Calibri" w:cs="Calibri"/>
        </w:rPr>
        <w:t>School T measures the impact of its wellbeing strategies using a range of evaluation methods. These include termly pupil wellbeing surveys, feedback from professional learning communities (PLCs), analysis of attendance and engagement data, and lesson observations that focus on classroom climate and emotional wellbeing practices. Early outcomes suggest improvements in pupil engagement, emotional regulation, and reductions in low-level disruptive behaviour. Ongoing review and adaptation will be crucial to maintaining progress and embedding wellbeing at the heart of School T’s continued improvement journey</w:t>
      </w:r>
      <w:r w:rsidRPr="00382D50">
        <w:rPr>
          <w:rFonts w:ascii="Calibri" w:hAnsi="Calibri" w:cs="Calibri"/>
        </w:rPr>
        <w:t xml:space="preserve"> (School T, 2024)</w:t>
      </w:r>
      <w:r w:rsidRPr="00382D50">
        <w:rPr>
          <w:rFonts w:ascii="Calibri" w:hAnsi="Calibri" w:cs="Calibri"/>
        </w:rPr>
        <w:t>.</w:t>
      </w:r>
    </w:p>
    <w:p w14:paraId="496E6840" w14:textId="4D5ED50D" w:rsidR="00BA2EDB" w:rsidRPr="00382D50" w:rsidRDefault="009917AF" w:rsidP="00382D50">
      <w:pPr>
        <w:rPr>
          <w:rFonts w:ascii="Calibri" w:hAnsi="Calibri" w:cs="Calibri"/>
        </w:rPr>
      </w:pPr>
      <w:r w:rsidRPr="00382D50">
        <w:rPr>
          <w:rFonts w:ascii="Calibri" w:hAnsi="Calibri" w:cs="Calibri"/>
        </w:rPr>
        <w:t>This critical evaluation explored how School T’s School Development Plan (SDP) strategically prioritised learner health and wellbeing to support emotional regulation, engagement, and improved outcomes. Analysis of the school's actions, alongside reflection on my own classroom practice, demonstrated how small, classroom-based strategies</w:t>
      </w:r>
      <w:r w:rsidR="00F86139" w:rsidRPr="00382D50">
        <w:rPr>
          <w:rFonts w:ascii="Calibri" w:hAnsi="Calibri" w:cs="Calibri"/>
        </w:rPr>
        <w:t xml:space="preserve">, </w:t>
      </w:r>
      <w:r w:rsidRPr="00382D50">
        <w:rPr>
          <w:rFonts w:ascii="Calibri" w:hAnsi="Calibri" w:cs="Calibri"/>
        </w:rPr>
        <w:t>such as daily brain breaks, breathing exercises, and individual emotional regulation tools like the wellbeing teddy</w:t>
      </w:r>
      <w:r w:rsidR="00F86139" w:rsidRPr="00382D50">
        <w:rPr>
          <w:rFonts w:ascii="Calibri" w:hAnsi="Calibri" w:cs="Calibri"/>
        </w:rPr>
        <w:t xml:space="preserve">, </w:t>
      </w:r>
      <w:r w:rsidR="004D5860" w:rsidRPr="00382D50">
        <w:rPr>
          <w:rFonts w:ascii="Calibri" w:hAnsi="Calibri" w:cs="Calibri"/>
        </w:rPr>
        <w:t xml:space="preserve">can complement and strengthen whole-school approaches to supporting pupil wellbeing. This process has enhanced my understanding of how effective development planning is </w:t>
      </w:r>
      <w:r w:rsidR="00DF0F23" w:rsidRPr="00382D50">
        <w:rPr>
          <w:rFonts w:ascii="Calibri" w:hAnsi="Calibri" w:cs="Calibri"/>
        </w:rPr>
        <w:t>built upon</w:t>
      </w:r>
      <w:r w:rsidR="004D5860" w:rsidRPr="00382D50">
        <w:rPr>
          <w:rFonts w:ascii="Calibri" w:hAnsi="Calibri" w:cs="Calibri"/>
        </w:rPr>
        <w:t xml:space="preserve"> self-evaluation, evidence-based practice, and a focus on sustainable, long-term improvement</w:t>
      </w:r>
      <w:r w:rsidRPr="00382D50">
        <w:rPr>
          <w:rFonts w:ascii="Calibri" w:hAnsi="Calibri" w:cs="Calibri"/>
        </w:rPr>
        <w:t xml:space="preserve">. Evaluating School T’s SDP has highlighted how aligning individual teaching practice with whole-school priorities maximises impact on learner outcomes. Moving forward, this learning will continue to shape my professional practice, ensuring that promoting wellbeing, supporting engagement, and embedding evidence-based strategies remain </w:t>
      </w:r>
      <w:r w:rsidR="007B07BC" w:rsidRPr="00382D50">
        <w:rPr>
          <w:rFonts w:ascii="Calibri" w:hAnsi="Calibri" w:cs="Calibri"/>
        </w:rPr>
        <w:t>a key aspect within</w:t>
      </w:r>
      <w:r w:rsidRPr="00382D50">
        <w:rPr>
          <w:rFonts w:ascii="Calibri" w:hAnsi="Calibri" w:cs="Calibri"/>
        </w:rPr>
        <w:t xml:space="preserve"> my approach, in line with the professional standards for teaching and leadership in Wales.</w:t>
      </w:r>
    </w:p>
    <w:p w14:paraId="434E11F2" w14:textId="77777777" w:rsidR="006C400C" w:rsidRDefault="006C400C" w:rsidP="00576E3C">
      <w:pPr>
        <w:rPr>
          <w:rFonts w:ascii="Calibri" w:hAnsi="Calibri" w:cs="Calibri"/>
        </w:rPr>
      </w:pPr>
    </w:p>
    <w:p w14:paraId="0809F179" w14:textId="77777777" w:rsidR="0009364B" w:rsidRDefault="0009364B" w:rsidP="00576E3C">
      <w:pPr>
        <w:rPr>
          <w:rFonts w:ascii="Calibri" w:hAnsi="Calibri" w:cs="Calibri"/>
        </w:rPr>
      </w:pPr>
    </w:p>
    <w:p w14:paraId="5149189F" w14:textId="77777777" w:rsidR="006C400C" w:rsidRPr="006C400C" w:rsidRDefault="006C400C" w:rsidP="006C400C">
      <w:pPr>
        <w:rPr>
          <w:rFonts w:ascii="Calibri" w:hAnsi="Calibri" w:cs="Calibri"/>
          <w:b/>
          <w:bCs/>
        </w:rPr>
      </w:pPr>
      <w:r w:rsidRPr="006C400C">
        <w:rPr>
          <w:rFonts w:ascii="Calibri" w:hAnsi="Calibri" w:cs="Calibri"/>
          <w:b/>
          <w:bCs/>
        </w:rPr>
        <w:lastRenderedPageBreak/>
        <w:t>Reference list</w:t>
      </w:r>
    </w:p>
    <w:p w14:paraId="7C427974" w14:textId="77777777" w:rsidR="006C400C" w:rsidRPr="006C400C" w:rsidRDefault="006C400C" w:rsidP="006C400C">
      <w:pPr>
        <w:rPr>
          <w:rFonts w:ascii="Calibri" w:hAnsi="Calibri" w:cs="Calibri"/>
        </w:rPr>
      </w:pPr>
      <w:r w:rsidRPr="006C400C">
        <w:rPr>
          <w:rFonts w:ascii="Calibri" w:hAnsi="Calibri" w:cs="Calibri"/>
        </w:rPr>
        <w:t>Arshad, R., Wrigley, T. and Pratt, L. (2019). </w:t>
      </w:r>
      <w:r w:rsidRPr="006C400C">
        <w:rPr>
          <w:rFonts w:ascii="Calibri" w:hAnsi="Calibri" w:cs="Calibri"/>
          <w:i/>
          <w:iCs/>
        </w:rPr>
        <w:t>SOCIAL JUSTICE RE-</w:t>
      </w:r>
      <w:proofErr w:type="gramStart"/>
      <w:r w:rsidRPr="006C400C">
        <w:rPr>
          <w:rFonts w:ascii="Calibri" w:hAnsi="Calibri" w:cs="Calibri"/>
          <w:i/>
          <w:iCs/>
        </w:rPr>
        <w:t>EXAMINED :</w:t>
      </w:r>
      <w:proofErr w:type="gramEnd"/>
      <w:r w:rsidRPr="006C400C">
        <w:rPr>
          <w:rFonts w:ascii="Calibri" w:hAnsi="Calibri" w:cs="Calibri"/>
          <w:i/>
          <w:iCs/>
        </w:rPr>
        <w:t xml:space="preserve"> dilemmas and solutions for the classroom teacher.</w:t>
      </w:r>
      <w:r w:rsidRPr="006C400C">
        <w:rPr>
          <w:rFonts w:ascii="Calibri" w:hAnsi="Calibri" w:cs="Calibri"/>
        </w:rPr>
        <w:t> S.L.: Trentham Books Ltd.</w:t>
      </w:r>
    </w:p>
    <w:p w14:paraId="1D3A5459" w14:textId="77777777" w:rsidR="006C400C" w:rsidRPr="006C400C" w:rsidRDefault="006C400C" w:rsidP="006C400C">
      <w:pPr>
        <w:rPr>
          <w:rFonts w:ascii="Calibri" w:hAnsi="Calibri" w:cs="Calibri"/>
        </w:rPr>
      </w:pPr>
      <w:r w:rsidRPr="006C400C">
        <w:rPr>
          <w:rFonts w:ascii="Calibri" w:hAnsi="Calibri" w:cs="Calibri"/>
        </w:rPr>
        <w:t>Education Endowment Foundation (2024). </w:t>
      </w:r>
      <w:r w:rsidRPr="006C400C">
        <w:rPr>
          <w:rFonts w:ascii="Calibri" w:hAnsi="Calibri" w:cs="Calibri"/>
          <w:i/>
          <w:iCs/>
        </w:rPr>
        <w:t>Putting Evidence to Work - A School’s Guide to Implementation</w:t>
      </w:r>
      <w:r w:rsidRPr="006C400C">
        <w:rPr>
          <w:rFonts w:ascii="Calibri" w:hAnsi="Calibri" w:cs="Calibri"/>
        </w:rPr>
        <w:t>. [online] EEF. Available at: https://educationendowmentfoundation.org.uk/education-evidence/guidance-reports/implementation.</w:t>
      </w:r>
    </w:p>
    <w:p w14:paraId="61C2A1E3" w14:textId="77777777" w:rsidR="006C400C" w:rsidRPr="006C400C" w:rsidRDefault="006C400C" w:rsidP="006C400C">
      <w:pPr>
        <w:rPr>
          <w:rFonts w:ascii="Calibri" w:hAnsi="Calibri" w:cs="Calibri"/>
        </w:rPr>
      </w:pPr>
      <w:r w:rsidRPr="006C400C">
        <w:rPr>
          <w:rFonts w:ascii="Calibri" w:hAnsi="Calibri" w:cs="Calibri"/>
        </w:rPr>
        <w:t>Estyn (2012). </w:t>
      </w:r>
      <w:r w:rsidRPr="006C400C">
        <w:rPr>
          <w:rFonts w:ascii="Calibri" w:hAnsi="Calibri" w:cs="Calibri"/>
          <w:i/>
          <w:iCs/>
        </w:rPr>
        <w:t>Effective practice in tackling poverty and disadvantage in schools</w:t>
      </w:r>
      <w:r w:rsidRPr="006C400C">
        <w:rPr>
          <w:rFonts w:ascii="Calibri" w:hAnsi="Calibri" w:cs="Calibri"/>
        </w:rPr>
        <w:t>. [online] Available at: https://www.estyn.gov.wales/system/files/2020-07/Effective%2520practice%2520in%2520tackling%2520poverty%2520and%2520disadvantage%2520in%2520schools%2520-%2520November%25202012.pdf.</w:t>
      </w:r>
    </w:p>
    <w:p w14:paraId="02C96D37" w14:textId="77777777" w:rsidR="006C400C" w:rsidRPr="006C400C" w:rsidRDefault="006C400C" w:rsidP="006C400C">
      <w:pPr>
        <w:rPr>
          <w:rFonts w:ascii="Calibri" w:hAnsi="Calibri" w:cs="Calibri"/>
        </w:rPr>
      </w:pPr>
      <w:r w:rsidRPr="006C400C">
        <w:rPr>
          <w:rFonts w:ascii="Calibri" w:hAnsi="Calibri" w:cs="Calibri"/>
        </w:rPr>
        <w:t>Estyn (2024). </w:t>
      </w:r>
      <w:r w:rsidRPr="006C400C">
        <w:rPr>
          <w:rFonts w:ascii="Calibri" w:hAnsi="Calibri" w:cs="Calibri"/>
          <w:i/>
          <w:iCs/>
        </w:rPr>
        <w:t>Supporting pupil wellbeing - Estyn</w:t>
      </w:r>
      <w:r w:rsidRPr="006C400C">
        <w:rPr>
          <w:rFonts w:ascii="Calibri" w:hAnsi="Calibri" w:cs="Calibri"/>
        </w:rPr>
        <w:t>. [online] Estyn. Available at: https://www.estyn.gov.wales/thematic-report/supporting-pupil-wellbeing [Accessed 26 Apr. 2025].</w:t>
      </w:r>
    </w:p>
    <w:p w14:paraId="046F921A" w14:textId="77777777" w:rsidR="006C400C" w:rsidRPr="006C400C" w:rsidRDefault="006C400C" w:rsidP="006C400C">
      <w:pPr>
        <w:rPr>
          <w:rFonts w:ascii="Calibri" w:hAnsi="Calibri" w:cs="Calibri"/>
        </w:rPr>
      </w:pPr>
      <w:r w:rsidRPr="006C400C">
        <w:rPr>
          <w:rFonts w:ascii="Calibri" w:hAnsi="Calibri" w:cs="Calibri"/>
        </w:rPr>
        <w:t>School T. (2024). </w:t>
      </w:r>
      <w:r w:rsidRPr="006C400C">
        <w:rPr>
          <w:rFonts w:ascii="Calibri" w:hAnsi="Calibri" w:cs="Calibri"/>
          <w:i/>
          <w:iCs/>
        </w:rPr>
        <w:t>School Development Plan 2024–2025</w:t>
      </w:r>
      <w:r w:rsidRPr="006C400C">
        <w:rPr>
          <w:rFonts w:ascii="Calibri" w:hAnsi="Calibri" w:cs="Calibri"/>
        </w:rPr>
        <w:t>. Unpublished internal document. </w:t>
      </w:r>
    </w:p>
    <w:p w14:paraId="4744AEFD" w14:textId="77777777" w:rsidR="006C400C" w:rsidRPr="006C400C" w:rsidRDefault="006C400C" w:rsidP="006C400C">
      <w:pPr>
        <w:rPr>
          <w:rFonts w:ascii="Calibri" w:hAnsi="Calibri" w:cs="Calibri"/>
        </w:rPr>
      </w:pPr>
      <w:r w:rsidRPr="006C400C">
        <w:rPr>
          <w:rFonts w:ascii="Calibri" w:hAnsi="Calibri" w:cs="Calibri"/>
        </w:rPr>
        <w:t>United Nations (1989). </w:t>
      </w:r>
      <w:r w:rsidRPr="006C400C">
        <w:rPr>
          <w:rFonts w:ascii="Calibri" w:hAnsi="Calibri" w:cs="Calibri"/>
          <w:i/>
          <w:iCs/>
        </w:rPr>
        <w:t>Convention on the Rights of the Child</w:t>
      </w:r>
      <w:r w:rsidRPr="006C400C">
        <w:rPr>
          <w:rFonts w:ascii="Calibri" w:hAnsi="Calibri" w:cs="Calibri"/>
        </w:rPr>
        <w:t>. [online] OHCHR. Available at: https://www.ohchr.org/en/instruments-mechanisms/instruments/convention-rights-child.</w:t>
      </w:r>
    </w:p>
    <w:p w14:paraId="30F9EB96" w14:textId="77777777" w:rsidR="006C400C" w:rsidRPr="006C400C" w:rsidRDefault="006C400C" w:rsidP="006C400C">
      <w:pPr>
        <w:rPr>
          <w:rFonts w:ascii="Calibri" w:hAnsi="Calibri" w:cs="Calibri"/>
        </w:rPr>
      </w:pPr>
      <w:r w:rsidRPr="006C400C">
        <w:rPr>
          <w:rFonts w:ascii="Calibri" w:hAnsi="Calibri" w:cs="Calibri"/>
        </w:rPr>
        <w:t>Welsh Government (2021). </w:t>
      </w:r>
      <w:r w:rsidRPr="006C400C">
        <w:rPr>
          <w:rFonts w:ascii="Calibri" w:hAnsi="Calibri" w:cs="Calibri"/>
          <w:i/>
          <w:iCs/>
        </w:rPr>
        <w:t xml:space="preserve">Black, Asian and Minority Ethnic Communities, Contributions and </w:t>
      </w:r>
      <w:proofErr w:type="spellStart"/>
      <w:r w:rsidRPr="006C400C">
        <w:rPr>
          <w:rFonts w:ascii="Calibri" w:hAnsi="Calibri" w:cs="Calibri"/>
          <w:i/>
          <w:iCs/>
        </w:rPr>
        <w:t>Cynefin</w:t>
      </w:r>
      <w:proofErr w:type="spellEnd"/>
      <w:r w:rsidRPr="006C400C">
        <w:rPr>
          <w:rFonts w:ascii="Calibri" w:hAnsi="Calibri" w:cs="Calibri"/>
          <w:i/>
          <w:iCs/>
        </w:rPr>
        <w:t xml:space="preserve"> in the New Curriculum Working Group: final report | GOV.WALES</w:t>
      </w:r>
      <w:r w:rsidRPr="006C400C">
        <w:rPr>
          <w:rFonts w:ascii="Calibri" w:hAnsi="Calibri" w:cs="Calibri"/>
        </w:rPr>
        <w:t>. [online] www.gov.wales. Available at: https://www.gov.wales/final-report-black-asian-and-minority-ethnic-communities-contributions-and-cynefin-new-curriculum.</w:t>
      </w:r>
    </w:p>
    <w:p w14:paraId="7ECF96DB" w14:textId="77777777" w:rsidR="006C400C" w:rsidRPr="006C400C" w:rsidRDefault="006C400C" w:rsidP="006C400C">
      <w:pPr>
        <w:rPr>
          <w:rFonts w:ascii="Calibri" w:hAnsi="Calibri" w:cs="Calibri"/>
        </w:rPr>
      </w:pPr>
      <w:r w:rsidRPr="006C400C">
        <w:rPr>
          <w:rFonts w:ascii="Calibri" w:hAnsi="Calibri" w:cs="Calibri"/>
        </w:rPr>
        <w:t>Welsh Government (2022). </w:t>
      </w:r>
      <w:r w:rsidRPr="006C400C">
        <w:rPr>
          <w:rFonts w:ascii="Calibri" w:hAnsi="Calibri" w:cs="Calibri"/>
          <w:i/>
          <w:iCs/>
        </w:rPr>
        <w:t>School improvement guidance: framework for evaluation, improvement and accountability - Hwb</w:t>
      </w:r>
      <w:r w:rsidRPr="006C400C">
        <w:rPr>
          <w:rFonts w:ascii="Calibri" w:hAnsi="Calibri" w:cs="Calibri"/>
        </w:rPr>
        <w:t xml:space="preserve">. [online] </w:t>
      </w:r>
      <w:proofErr w:type="spellStart"/>
      <w:proofErr w:type="gramStart"/>
      <w:r w:rsidRPr="006C400C">
        <w:rPr>
          <w:rFonts w:ascii="Calibri" w:hAnsi="Calibri" w:cs="Calibri"/>
        </w:rPr>
        <w:t>hwb.gov.wales</w:t>
      </w:r>
      <w:proofErr w:type="spellEnd"/>
      <w:proofErr w:type="gramEnd"/>
      <w:r w:rsidRPr="006C400C">
        <w:rPr>
          <w:rFonts w:ascii="Calibri" w:hAnsi="Calibri" w:cs="Calibri"/>
        </w:rPr>
        <w:t>. Available at: https://hwb.gov.wales/evaluation-improvement-and-accountability/school-improvement-guidance-framework-for-evaluation-improvement-and-accountability.</w:t>
      </w:r>
    </w:p>
    <w:p w14:paraId="7CDB46B1" w14:textId="77777777" w:rsidR="006C400C" w:rsidRPr="006C400C" w:rsidRDefault="006C400C" w:rsidP="006C400C">
      <w:pPr>
        <w:rPr>
          <w:rFonts w:ascii="Calibri" w:hAnsi="Calibri" w:cs="Calibri"/>
        </w:rPr>
      </w:pPr>
      <w:r w:rsidRPr="006C400C">
        <w:rPr>
          <w:rFonts w:ascii="Calibri" w:hAnsi="Calibri" w:cs="Calibri"/>
        </w:rPr>
        <w:t>Welsh Government (2023a). </w:t>
      </w:r>
      <w:r w:rsidRPr="006C400C">
        <w:rPr>
          <w:rFonts w:ascii="Calibri" w:hAnsi="Calibri" w:cs="Calibri"/>
          <w:i/>
          <w:iCs/>
        </w:rPr>
        <w:t>Our national mission: high standards and aspirations for all [HTML] | GOV.WALES</w:t>
      </w:r>
      <w:r w:rsidRPr="006C400C">
        <w:rPr>
          <w:rFonts w:ascii="Calibri" w:hAnsi="Calibri" w:cs="Calibri"/>
        </w:rPr>
        <w:t>. [online] www.gov.wales. Available at: https://www.gov.wales/our-national-mission-high-standards-and-aspirations-all-html.</w:t>
      </w:r>
    </w:p>
    <w:p w14:paraId="0333ED2A" w14:textId="77777777" w:rsidR="006C400C" w:rsidRPr="006C400C" w:rsidRDefault="006C400C" w:rsidP="006C400C">
      <w:pPr>
        <w:rPr>
          <w:rFonts w:ascii="Calibri" w:hAnsi="Calibri" w:cs="Calibri"/>
        </w:rPr>
      </w:pPr>
      <w:r w:rsidRPr="006C400C">
        <w:rPr>
          <w:rFonts w:ascii="Calibri" w:hAnsi="Calibri" w:cs="Calibri"/>
        </w:rPr>
        <w:t>Welsh Government (2023b). </w:t>
      </w:r>
      <w:r w:rsidRPr="006C400C">
        <w:rPr>
          <w:rFonts w:ascii="Calibri" w:hAnsi="Calibri" w:cs="Calibri"/>
          <w:i/>
          <w:iCs/>
        </w:rPr>
        <w:t>Schools’ census results: January 2023 | GOV.WALES</w:t>
      </w:r>
      <w:r w:rsidRPr="006C400C">
        <w:rPr>
          <w:rFonts w:ascii="Calibri" w:hAnsi="Calibri" w:cs="Calibri"/>
        </w:rPr>
        <w:t>. [online] www.gov.wales. Available at: https://www.gov.wales/schools-census-results-january-2023-html.</w:t>
      </w:r>
    </w:p>
    <w:p w14:paraId="0D6F408B" w14:textId="77777777" w:rsidR="006C400C" w:rsidRDefault="006C400C" w:rsidP="00576E3C">
      <w:pPr>
        <w:rPr>
          <w:rFonts w:ascii="Calibri" w:hAnsi="Calibri" w:cs="Calibri"/>
        </w:rPr>
      </w:pPr>
    </w:p>
    <w:p w14:paraId="64AA76BD" w14:textId="42DF9D75" w:rsidR="00CF6DA2" w:rsidRPr="00B06612" w:rsidRDefault="00CF6DA2" w:rsidP="009B2EFF">
      <w:pPr>
        <w:rPr>
          <w:rFonts w:ascii="Calibri" w:hAnsi="Calibri" w:cs="Calibri"/>
        </w:rPr>
      </w:pPr>
    </w:p>
    <w:sectPr w:rsidR="00CF6DA2" w:rsidRPr="00B0661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5549B" w14:textId="77777777" w:rsidR="001068DB" w:rsidRDefault="001068DB" w:rsidP="001068DB">
      <w:pPr>
        <w:spacing w:after="0" w:line="240" w:lineRule="auto"/>
      </w:pPr>
      <w:r>
        <w:separator/>
      </w:r>
    </w:p>
  </w:endnote>
  <w:endnote w:type="continuationSeparator" w:id="0">
    <w:p w14:paraId="503C2AF5" w14:textId="77777777" w:rsidR="001068DB" w:rsidRDefault="001068DB" w:rsidP="00106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3D507" w14:textId="77777777" w:rsidR="001068DB" w:rsidRDefault="001068DB" w:rsidP="001068DB">
      <w:pPr>
        <w:spacing w:after="0" w:line="240" w:lineRule="auto"/>
      </w:pPr>
      <w:r>
        <w:separator/>
      </w:r>
    </w:p>
  </w:footnote>
  <w:footnote w:type="continuationSeparator" w:id="0">
    <w:p w14:paraId="0EB21778" w14:textId="77777777" w:rsidR="001068DB" w:rsidRDefault="001068DB" w:rsidP="00106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640C1" w14:textId="28F5E9E6" w:rsidR="001068DB" w:rsidRDefault="001068DB">
    <w:pPr>
      <w:pStyle w:val="Header"/>
    </w:pPr>
    <w:r>
      <w:t>Nia Colclough.                                                                                                                                     2100479.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5D2CD0"/>
    <w:multiLevelType w:val="hybridMultilevel"/>
    <w:tmpl w:val="46D4C0C0"/>
    <w:lvl w:ilvl="0" w:tplc="743220A8">
      <w:start w:val="137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0496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36D"/>
    <w:rsid w:val="00023DB3"/>
    <w:rsid w:val="000242EC"/>
    <w:rsid w:val="00037EB8"/>
    <w:rsid w:val="000601FD"/>
    <w:rsid w:val="0007114A"/>
    <w:rsid w:val="00072D8F"/>
    <w:rsid w:val="00073552"/>
    <w:rsid w:val="0007356F"/>
    <w:rsid w:val="0009364B"/>
    <w:rsid w:val="001068DB"/>
    <w:rsid w:val="0012672D"/>
    <w:rsid w:val="00142745"/>
    <w:rsid w:val="0016532F"/>
    <w:rsid w:val="001C4596"/>
    <w:rsid w:val="0022591C"/>
    <w:rsid w:val="0025586B"/>
    <w:rsid w:val="00276AEA"/>
    <w:rsid w:val="00282E02"/>
    <w:rsid w:val="002864B2"/>
    <w:rsid w:val="002D0FB5"/>
    <w:rsid w:val="003052C1"/>
    <w:rsid w:val="00336F31"/>
    <w:rsid w:val="003759F0"/>
    <w:rsid w:val="00382215"/>
    <w:rsid w:val="00382D50"/>
    <w:rsid w:val="003D436D"/>
    <w:rsid w:val="0043667A"/>
    <w:rsid w:val="00443E3F"/>
    <w:rsid w:val="004A2A37"/>
    <w:rsid w:val="004C2437"/>
    <w:rsid w:val="004D5860"/>
    <w:rsid w:val="004E2975"/>
    <w:rsid w:val="00501CB5"/>
    <w:rsid w:val="005144D3"/>
    <w:rsid w:val="00576E3C"/>
    <w:rsid w:val="005905D6"/>
    <w:rsid w:val="00590FD5"/>
    <w:rsid w:val="00591D20"/>
    <w:rsid w:val="005B3F37"/>
    <w:rsid w:val="005B5FFC"/>
    <w:rsid w:val="0061184B"/>
    <w:rsid w:val="00612C81"/>
    <w:rsid w:val="00656E40"/>
    <w:rsid w:val="00660D9D"/>
    <w:rsid w:val="006725F2"/>
    <w:rsid w:val="00674CCD"/>
    <w:rsid w:val="0068653F"/>
    <w:rsid w:val="0068702E"/>
    <w:rsid w:val="006C3247"/>
    <w:rsid w:val="006C3283"/>
    <w:rsid w:val="006C400C"/>
    <w:rsid w:val="006D26FF"/>
    <w:rsid w:val="006D4876"/>
    <w:rsid w:val="006D53AC"/>
    <w:rsid w:val="006D62D3"/>
    <w:rsid w:val="007017E3"/>
    <w:rsid w:val="00753272"/>
    <w:rsid w:val="007678A7"/>
    <w:rsid w:val="00794528"/>
    <w:rsid w:val="007B07BC"/>
    <w:rsid w:val="007C051B"/>
    <w:rsid w:val="007E5DCD"/>
    <w:rsid w:val="00800E16"/>
    <w:rsid w:val="00823198"/>
    <w:rsid w:val="008348A6"/>
    <w:rsid w:val="008366FB"/>
    <w:rsid w:val="0084381F"/>
    <w:rsid w:val="00890B80"/>
    <w:rsid w:val="008B4CB6"/>
    <w:rsid w:val="008B6D2E"/>
    <w:rsid w:val="008C3078"/>
    <w:rsid w:val="008C4E90"/>
    <w:rsid w:val="008E60AA"/>
    <w:rsid w:val="008F3301"/>
    <w:rsid w:val="00932FC9"/>
    <w:rsid w:val="009335AA"/>
    <w:rsid w:val="009506DE"/>
    <w:rsid w:val="009917AF"/>
    <w:rsid w:val="009B2EFF"/>
    <w:rsid w:val="009E726A"/>
    <w:rsid w:val="009F316A"/>
    <w:rsid w:val="00A529D4"/>
    <w:rsid w:val="00A6585F"/>
    <w:rsid w:val="00A86363"/>
    <w:rsid w:val="00A94A6B"/>
    <w:rsid w:val="00B06612"/>
    <w:rsid w:val="00B0719C"/>
    <w:rsid w:val="00B17763"/>
    <w:rsid w:val="00B46D48"/>
    <w:rsid w:val="00B707FC"/>
    <w:rsid w:val="00BA0205"/>
    <w:rsid w:val="00BA1DEB"/>
    <w:rsid w:val="00BA2EDB"/>
    <w:rsid w:val="00BB5C8B"/>
    <w:rsid w:val="00C06814"/>
    <w:rsid w:val="00C7573C"/>
    <w:rsid w:val="00CA1F36"/>
    <w:rsid w:val="00CA3D1E"/>
    <w:rsid w:val="00CB3228"/>
    <w:rsid w:val="00CC08BA"/>
    <w:rsid w:val="00CC4797"/>
    <w:rsid w:val="00CF2D17"/>
    <w:rsid w:val="00CF6DA2"/>
    <w:rsid w:val="00D23DD8"/>
    <w:rsid w:val="00D41D5B"/>
    <w:rsid w:val="00D45CCF"/>
    <w:rsid w:val="00DA570B"/>
    <w:rsid w:val="00DD0D5D"/>
    <w:rsid w:val="00DD7040"/>
    <w:rsid w:val="00DE043B"/>
    <w:rsid w:val="00DF0F23"/>
    <w:rsid w:val="00E42A82"/>
    <w:rsid w:val="00E8728C"/>
    <w:rsid w:val="00E9271A"/>
    <w:rsid w:val="00EA4AF7"/>
    <w:rsid w:val="00EC6F19"/>
    <w:rsid w:val="00F031F4"/>
    <w:rsid w:val="00F07EA8"/>
    <w:rsid w:val="00F21DAE"/>
    <w:rsid w:val="00F239BB"/>
    <w:rsid w:val="00F86139"/>
    <w:rsid w:val="00FB4F1C"/>
    <w:rsid w:val="00FC4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9A05FA"/>
  <w15:chartTrackingRefBased/>
  <w15:docId w15:val="{84B4A6D4-1F85-CC46-8C76-165AE65BF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43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43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43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43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43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43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43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43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43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3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43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43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43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43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43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43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43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436D"/>
    <w:rPr>
      <w:rFonts w:eastAsiaTheme="majorEastAsia" w:cstheme="majorBidi"/>
      <w:color w:val="272727" w:themeColor="text1" w:themeTint="D8"/>
    </w:rPr>
  </w:style>
  <w:style w:type="paragraph" w:styleId="Title">
    <w:name w:val="Title"/>
    <w:basedOn w:val="Normal"/>
    <w:next w:val="Normal"/>
    <w:link w:val="TitleChar"/>
    <w:uiPriority w:val="10"/>
    <w:qFormat/>
    <w:rsid w:val="003D43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43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43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43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436D"/>
    <w:pPr>
      <w:spacing w:before="160"/>
      <w:jc w:val="center"/>
    </w:pPr>
    <w:rPr>
      <w:i/>
      <w:iCs/>
      <w:color w:val="404040" w:themeColor="text1" w:themeTint="BF"/>
    </w:rPr>
  </w:style>
  <w:style w:type="character" w:customStyle="1" w:styleId="QuoteChar">
    <w:name w:val="Quote Char"/>
    <w:basedOn w:val="DefaultParagraphFont"/>
    <w:link w:val="Quote"/>
    <w:uiPriority w:val="29"/>
    <w:rsid w:val="003D436D"/>
    <w:rPr>
      <w:i/>
      <w:iCs/>
      <w:color w:val="404040" w:themeColor="text1" w:themeTint="BF"/>
    </w:rPr>
  </w:style>
  <w:style w:type="paragraph" w:styleId="ListParagraph">
    <w:name w:val="List Paragraph"/>
    <w:basedOn w:val="Normal"/>
    <w:uiPriority w:val="34"/>
    <w:qFormat/>
    <w:rsid w:val="003D436D"/>
    <w:pPr>
      <w:ind w:left="720"/>
      <w:contextualSpacing/>
    </w:pPr>
  </w:style>
  <w:style w:type="character" w:styleId="IntenseEmphasis">
    <w:name w:val="Intense Emphasis"/>
    <w:basedOn w:val="DefaultParagraphFont"/>
    <w:uiPriority w:val="21"/>
    <w:qFormat/>
    <w:rsid w:val="003D436D"/>
    <w:rPr>
      <w:i/>
      <w:iCs/>
      <w:color w:val="0F4761" w:themeColor="accent1" w:themeShade="BF"/>
    </w:rPr>
  </w:style>
  <w:style w:type="paragraph" w:styleId="IntenseQuote">
    <w:name w:val="Intense Quote"/>
    <w:basedOn w:val="Normal"/>
    <w:next w:val="Normal"/>
    <w:link w:val="IntenseQuoteChar"/>
    <w:uiPriority w:val="30"/>
    <w:qFormat/>
    <w:rsid w:val="003D43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436D"/>
    <w:rPr>
      <w:i/>
      <w:iCs/>
      <w:color w:val="0F4761" w:themeColor="accent1" w:themeShade="BF"/>
    </w:rPr>
  </w:style>
  <w:style w:type="character" w:styleId="IntenseReference">
    <w:name w:val="Intense Reference"/>
    <w:basedOn w:val="DefaultParagraphFont"/>
    <w:uiPriority w:val="32"/>
    <w:qFormat/>
    <w:rsid w:val="003D436D"/>
    <w:rPr>
      <w:b/>
      <w:bCs/>
      <w:smallCaps/>
      <w:color w:val="0F4761" w:themeColor="accent1" w:themeShade="BF"/>
      <w:spacing w:val="5"/>
    </w:rPr>
  </w:style>
  <w:style w:type="paragraph" w:styleId="Header">
    <w:name w:val="header"/>
    <w:basedOn w:val="Normal"/>
    <w:link w:val="HeaderChar"/>
    <w:uiPriority w:val="99"/>
    <w:unhideWhenUsed/>
    <w:rsid w:val="001068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8DB"/>
  </w:style>
  <w:style w:type="paragraph" w:styleId="Footer">
    <w:name w:val="footer"/>
    <w:basedOn w:val="Normal"/>
    <w:link w:val="FooterChar"/>
    <w:uiPriority w:val="99"/>
    <w:unhideWhenUsed/>
    <w:rsid w:val="001068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8DB"/>
  </w:style>
  <w:style w:type="paragraph" w:styleId="NoSpacing">
    <w:name w:val="No Spacing"/>
    <w:uiPriority w:val="1"/>
    <w:qFormat/>
    <w:rsid w:val="00CB3228"/>
    <w:pPr>
      <w:spacing w:after="0" w:line="240" w:lineRule="auto"/>
    </w:pPr>
  </w:style>
  <w:style w:type="table" w:styleId="TableGrid">
    <w:name w:val="Table Grid"/>
    <w:basedOn w:val="TableNormal"/>
    <w:uiPriority w:val="39"/>
    <w:rsid w:val="00DE04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11044">
      <w:bodyDiv w:val="1"/>
      <w:marLeft w:val="0"/>
      <w:marRight w:val="0"/>
      <w:marTop w:val="0"/>
      <w:marBottom w:val="0"/>
      <w:divBdr>
        <w:top w:val="none" w:sz="0" w:space="0" w:color="auto"/>
        <w:left w:val="none" w:sz="0" w:space="0" w:color="auto"/>
        <w:bottom w:val="none" w:sz="0" w:space="0" w:color="auto"/>
        <w:right w:val="none" w:sz="0" w:space="0" w:color="auto"/>
      </w:divBdr>
      <w:divsChild>
        <w:div w:id="300186029">
          <w:marLeft w:val="0"/>
          <w:marRight w:val="0"/>
          <w:marTop w:val="0"/>
          <w:marBottom w:val="0"/>
          <w:divBdr>
            <w:top w:val="none" w:sz="0" w:space="0" w:color="auto"/>
            <w:left w:val="none" w:sz="0" w:space="0" w:color="auto"/>
            <w:bottom w:val="none" w:sz="0" w:space="0" w:color="auto"/>
            <w:right w:val="none" w:sz="0" w:space="0" w:color="auto"/>
          </w:divBdr>
        </w:div>
      </w:divsChild>
    </w:div>
    <w:div w:id="182013228">
      <w:bodyDiv w:val="1"/>
      <w:marLeft w:val="0"/>
      <w:marRight w:val="0"/>
      <w:marTop w:val="0"/>
      <w:marBottom w:val="0"/>
      <w:divBdr>
        <w:top w:val="none" w:sz="0" w:space="0" w:color="auto"/>
        <w:left w:val="none" w:sz="0" w:space="0" w:color="auto"/>
        <w:bottom w:val="none" w:sz="0" w:space="0" w:color="auto"/>
        <w:right w:val="none" w:sz="0" w:space="0" w:color="auto"/>
      </w:divBdr>
      <w:divsChild>
        <w:div w:id="644970831">
          <w:marLeft w:val="0"/>
          <w:marRight w:val="0"/>
          <w:marTop w:val="0"/>
          <w:marBottom w:val="0"/>
          <w:divBdr>
            <w:top w:val="none" w:sz="0" w:space="0" w:color="auto"/>
            <w:left w:val="none" w:sz="0" w:space="0" w:color="auto"/>
            <w:bottom w:val="none" w:sz="0" w:space="0" w:color="auto"/>
            <w:right w:val="none" w:sz="0" w:space="0" w:color="auto"/>
          </w:divBdr>
        </w:div>
        <w:div w:id="1867012970">
          <w:marLeft w:val="0"/>
          <w:marRight w:val="0"/>
          <w:marTop w:val="0"/>
          <w:marBottom w:val="0"/>
          <w:divBdr>
            <w:top w:val="none" w:sz="0" w:space="0" w:color="auto"/>
            <w:left w:val="none" w:sz="0" w:space="0" w:color="auto"/>
            <w:bottom w:val="none" w:sz="0" w:space="0" w:color="auto"/>
            <w:right w:val="none" w:sz="0" w:space="0" w:color="auto"/>
          </w:divBdr>
        </w:div>
      </w:divsChild>
    </w:div>
    <w:div w:id="248851249">
      <w:bodyDiv w:val="1"/>
      <w:marLeft w:val="0"/>
      <w:marRight w:val="0"/>
      <w:marTop w:val="0"/>
      <w:marBottom w:val="0"/>
      <w:divBdr>
        <w:top w:val="none" w:sz="0" w:space="0" w:color="auto"/>
        <w:left w:val="none" w:sz="0" w:space="0" w:color="auto"/>
        <w:bottom w:val="none" w:sz="0" w:space="0" w:color="auto"/>
        <w:right w:val="none" w:sz="0" w:space="0" w:color="auto"/>
      </w:divBdr>
      <w:divsChild>
        <w:div w:id="325519660">
          <w:marLeft w:val="0"/>
          <w:marRight w:val="0"/>
          <w:marTop w:val="0"/>
          <w:marBottom w:val="0"/>
          <w:divBdr>
            <w:top w:val="none" w:sz="0" w:space="0" w:color="auto"/>
            <w:left w:val="none" w:sz="0" w:space="0" w:color="auto"/>
            <w:bottom w:val="none" w:sz="0" w:space="0" w:color="auto"/>
            <w:right w:val="none" w:sz="0" w:space="0" w:color="auto"/>
          </w:divBdr>
          <w:divsChild>
            <w:div w:id="1427533602">
              <w:marLeft w:val="0"/>
              <w:marRight w:val="0"/>
              <w:marTop w:val="30"/>
              <w:marBottom w:val="30"/>
              <w:divBdr>
                <w:top w:val="none" w:sz="0" w:space="0" w:color="auto"/>
                <w:left w:val="none" w:sz="0" w:space="0" w:color="auto"/>
                <w:bottom w:val="none" w:sz="0" w:space="0" w:color="auto"/>
                <w:right w:val="none" w:sz="0" w:space="0" w:color="auto"/>
              </w:divBdr>
              <w:divsChild>
                <w:div w:id="1861238140">
                  <w:marLeft w:val="0"/>
                  <w:marRight w:val="0"/>
                  <w:marTop w:val="0"/>
                  <w:marBottom w:val="0"/>
                  <w:divBdr>
                    <w:top w:val="none" w:sz="0" w:space="0" w:color="auto"/>
                    <w:left w:val="none" w:sz="0" w:space="0" w:color="auto"/>
                    <w:bottom w:val="none" w:sz="0" w:space="0" w:color="auto"/>
                    <w:right w:val="none" w:sz="0" w:space="0" w:color="auto"/>
                  </w:divBdr>
                  <w:divsChild>
                    <w:div w:id="181284850">
                      <w:marLeft w:val="0"/>
                      <w:marRight w:val="0"/>
                      <w:marTop w:val="0"/>
                      <w:marBottom w:val="0"/>
                      <w:divBdr>
                        <w:top w:val="none" w:sz="0" w:space="0" w:color="auto"/>
                        <w:left w:val="none" w:sz="0" w:space="0" w:color="auto"/>
                        <w:bottom w:val="none" w:sz="0" w:space="0" w:color="auto"/>
                        <w:right w:val="none" w:sz="0" w:space="0" w:color="auto"/>
                      </w:divBdr>
                      <w:divsChild>
                        <w:div w:id="1964186833">
                          <w:marLeft w:val="0"/>
                          <w:marRight w:val="0"/>
                          <w:marTop w:val="0"/>
                          <w:marBottom w:val="0"/>
                          <w:divBdr>
                            <w:top w:val="none" w:sz="0" w:space="0" w:color="auto"/>
                            <w:left w:val="none" w:sz="0" w:space="0" w:color="auto"/>
                            <w:bottom w:val="none" w:sz="0" w:space="0" w:color="auto"/>
                            <w:right w:val="none" w:sz="0" w:space="0" w:color="auto"/>
                          </w:divBdr>
                        </w:div>
                        <w:div w:id="41112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952693">
                  <w:marLeft w:val="0"/>
                  <w:marRight w:val="0"/>
                  <w:marTop w:val="0"/>
                  <w:marBottom w:val="0"/>
                  <w:divBdr>
                    <w:top w:val="none" w:sz="0" w:space="0" w:color="auto"/>
                    <w:left w:val="none" w:sz="0" w:space="0" w:color="auto"/>
                    <w:bottom w:val="none" w:sz="0" w:space="0" w:color="auto"/>
                    <w:right w:val="none" w:sz="0" w:space="0" w:color="auto"/>
                  </w:divBdr>
                  <w:divsChild>
                    <w:div w:id="841241460">
                      <w:marLeft w:val="0"/>
                      <w:marRight w:val="0"/>
                      <w:marTop w:val="0"/>
                      <w:marBottom w:val="0"/>
                      <w:divBdr>
                        <w:top w:val="none" w:sz="0" w:space="0" w:color="auto"/>
                        <w:left w:val="none" w:sz="0" w:space="0" w:color="auto"/>
                        <w:bottom w:val="none" w:sz="0" w:space="0" w:color="auto"/>
                        <w:right w:val="none" w:sz="0" w:space="0" w:color="auto"/>
                      </w:divBdr>
                      <w:divsChild>
                        <w:div w:id="1246181463">
                          <w:marLeft w:val="0"/>
                          <w:marRight w:val="0"/>
                          <w:marTop w:val="0"/>
                          <w:marBottom w:val="0"/>
                          <w:divBdr>
                            <w:top w:val="none" w:sz="0" w:space="0" w:color="auto"/>
                            <w:left w:val="none" w:sz="0" w:space="0" w:color="auto"/>
                            <w:bottom w:val="none" w:sz="0" w:space="0" w:color="auto"/>
                            <w:right w:val="none" w:sz="0" w:space="0" w:color="auto"/>
                          </w:divBdr>
                        </w:div>
                        <w:div w:id="175794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857390">
                  <w:marLeft w:val="0"/>
                  <w:marRight w:val="0"/>
                  <w:marTop w:val="0"/>
                  <w:marBottom w:val="0"/>
                  <w:divBdr>
                    <w:top w:val="none" w:sz="0" w:space="0" w:color="auto"/>
                    <w:left w:val="none" w:sz="0" w:space="0" w:color="auto"/>
                    <w:bottom w:val="none" w:sz="0" w:space="0" w:color="auto"/>
                    <w:right w:val="none" w:sz="0" w:space="0" w:color="auto"/>
                  </w:divBdr>
                  <w:divsChild>
                    <w:div w:id="1447505818">
                      <w:marLeft w:val="0"/>
                      <w:marRight w:val="0"/>
                      <w:marTop w:val="0"/>
                      <w:marBottom w:val="0"/>
                      <w:divBdr>
                        <w:top w:val="none" w:sz="0" w:space="0" w:color="auto"/>
                        <w:left w:val="none" w:sz="0" w:space="0" w:color="auto"/>
                        <w:bottom w:val="none" w:sz="0" w:space="0" w:color="auto"/>
                        <w:right w:val="none" w:sz="0" w:space="0" w:color="auto"/>
                      </w:divBdr>
                      <w:divsChild>
                        <w:div w:id="990792562">
                          <w:marLeft w:val="0"/>
                          <w:marRight w:val="0"/>
                          <w:marTop w:val="0"/>
                          <w:marBottom w:val="0"/>
                          <w:divBdr>
                            <w:top w:val="none" w:sz="0" w:space="0" w:color="auto"/>
                            <w:left w:val="none" w:sz="0" w:space="0" w:color="auto"/>
                            <w:bottom w:val="none" w:sz="0" w:space="0" w:color="auto"/>
                            <w:right w:val="none" w:sz="0" w:space="0" w:color="auto"/>
                          </w:divBdr>
                        </w:div>
                        <w:div w:id="166023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928498">
                  <w:marLeft w:val="0"/>
                  <w:marRight w:val="0"/>
                  <w:marTop w:val="0"/>
                  <w:marBottom w:val="0"/>
                  <w:divBdr>
                    <w:top w:val="none" w:sz="0" w:space="0" w:color="auto"/>
                    <w:left w:val="none" w:sz="0" w:space="0" w:color="auto"/>
                    <w:bottom w:val="none" w:sz="0" w:space="0" w:color="auto"/>
                    <w:right w:val="none" w:sz="0" w:space="0" w:color="auto"/>
                  </w:divBdr>
                  <w:divsChild>
                    <w:div w:id="1116873693">
                      <w:marLeft w:val="0"/>
                      <w:marRight w:val="0"/>
                      <w:marTop w:val="0"/>
                      <w:marBottom w:val="0"/>
                      <w:divBdr>
                        <w:top w:val="none" w:sz="0" w:space="0" w:color="auto"/>
                        <w:left w:val="none" w:sz="0" w:space="0" w:color="auto"/>
                        <w:bottom w:val="none" w:sz="0" w:space="0" w:color="auto"/>
                        <w:right w:val="none" w:sz="0" w:space="0" w:color="auto"/>
                      </w:divBdr>
                      <w:divsChild>
                        <w:div w:id="955985819">
                          <w:marLeft w:val="0"/>
                          <w:marRight w:val="0"/>
                          <w:marTop w:val="0"/>
                          <w:marBottom w:val="0"/>
                          <w:divBdr>
                            <w:top w:val="none" w:sz="0" w:space="0" w:color="auto"/>
                            <w:left w:val="none" w:sz="0" w:space="0" w:color="auto"/>
                            <w:bottom w:val="none" w:sz="0" w:space="0" w:color="auto"/>
                            <w:right w:val="none" w:sz="0" w:space="0" w:color="auto"/>
                          </w:divBdr>
                        </w:div>
                        <w:div w:id="178325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63682">
                  <w:marLeft w:val="0"/>
                  <w:marRight w:val="0"/>
                  <w:marTop w:val="0"/>
                  <w:marBottom w:val="0"/>
                  <w:divBdr>
                    <w:top w:val="none" w:sz="0" w:space="0" w:color="auto"/>
                    <w:left w:val="none" w:sz="0" w:space="0" w:color="auto"/>
                    <w:bottom w:val="none" w:sz="0" w:space="0" w:color="auto"/>
                    <w:right w:val="none" w:sz="0" w:space="0" w:color="auto"/>
                  </w:divBdr>
                  <w:divsChild>
                    <w:div w:id="247540621">
                      <w:marLeft w:val="0"/>
                      <w:marRight w:val="0"/>
                      <w:marTop w:val="0"/>
                      <w:marBottom w:val="0"/>
                      <w:divBdr>
                        <w:top w:val="none" w:sz="0" w:space="0" w:color="auto"/>
                        <w:left w:val="none" w:sz="0" w:space="0" w:color="auto"/>
                        <w:bottom w:val="none" w:sz="0" w:space="0" w:color="auto"/>
                        <w:right w:val="none" w:sz="0" w:space="0" w:color="auto"/>
                      </w:divBdr>
                      <w:divsChild>
                        <w:div w:id="55994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207082">
                  <w:marLeft w:val="0"/>
                  <w:marRight w:val="0"/>
                  <w:marTop w:val="0"/>
                  <w:marBottom w:val="0"/>
                  <w:divBdr>
                    <w:top w:val="none" w:sz="0" w:space="0" w:color="auto"/>
                    <w:left w:val="none" w:sz="0" w:space="0" w:color="auto"/>
                    <w:bottom w:val="none" w:sz="0" w:space="0" w:color="auto"/>
                    <w:right w:val="none" w:sz="0" w:space="0" w:color="auto"/>
                  </w:divBdr>
                  <w:divsChild>
                    <w:div w:id="1780446679">
                      <w:marLeft w:val="0"/>
                      <w:marRight w:val="0"/>
                      <w:marTop w:val="0"/>
                      <w:marBottom w:val="0"/>
                      <w:divBdr>
                        <w:top w:val="none" w:sz="0" w:space="0" w:color="auto"/>
                        <w:left w:val="none" w:sz="0" w:space="0" w:color="auto"/>
                        <w:bottom w:val="none" w:sz="0" w:space="0" w:color="auto"/>
                        <w:right w:val="none" w:sz="0" w:space="0" w:color="auto"/>
                      </w:divBdr>
                      <w:divsChild>
                        <w:div w:id="127489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06394">
                  <w:marLeft w:val="0"/>
                  <w:marRight w:val="0"/>
                  <w:marTop w:val="0"/>
                  <w:marBottom w:val="0"/>
                  <w:divBdr>
                    <w:top w:val="none" w:sz="0" w:space="0" w:color="auto"/>
                    <w:left w:val="none" w:sz="0" w:space="0" w:color="auto"/>
                    <w:bottom w:val="none" w:sz="0" w:space="0" w:color="auto"/>
                    <w:right w:val="none" w:sz="0" w:space="0" w:color="auto"/>
                  </w:divBdr>
                  <w:divsChild>
                    <w:div w:id="687951760">
                      <w:marLeft w:val="0"/>
                      <w:marRight w:val="0"/>
                      <w:marTop w:val="0"/>
                      <w:marBottom w:val="0"/>
                      <w:divBdr>
                        <w:top w:val="none" w:sz="0" w:space="0" w:color="auto"/>
                        <w:left w:val="none" w:sz="0" w:space="0" w:color="auto"/>
                        <w:bottom w:val="none" w:sz="0" w:space="0" w:color="auto"/>
                        <w:right w:val="none" w:sz="0" w:space="0" w:color="auto"/>
                      </w:divBdr>
                      <w:divsChild>
                        <w:div w:id="686753075">
                          <w:marLeft w:val="0"/>
                          <w:marRight w:val="0"/>
                          <w:marTop w:val="0"/>
                          <w:marBottom w:val="0"/>
                          <w:divBdr>
                            <w:top w:val="none" w:sz="0" w:space="0" w:color="auto"/>
                            <w:left w:val="none" w:sz="0" w:space="0" w:color="auto"/>
                            <w:bottom w:val="none" w:sz="0" w:space="0" w:color="auto"/>
                            <w:right w:val="none" w:sz="0" w:space="0" w:color="auto"/>
                          </w:divBdr>
                        </w:div>
                        <w:div w:id="200508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626077">
                  <w:marLeft w:val="0"/>
                  <w:marRight w:val="0"/>
                  <w:marTop w:val="0"/>
                  <w:marBottom w:val="0"/>
                  <w:divBdr>
                    <w:top w:val="none" w:sz="0" w:space="0" w:color="auto"/>
                    <w:left w:val="none" w:sz="0" w:space="0" w:color="auto"/>
                    <w:bottom w:val="none" w:sz="0" w:space="0" w:color="auto"/>
                    <w:right w:val="none" w:sz="0" w:space="0" w:color="auto"/>
                  </w:divBdr>
                  <w:divsChild>
                    <w:div w:id="1750492963">
                      <w:marLeft w:val="0"/>
                      <w:marRight w:val="0"/>
                      <w:marTop w:val="0"/>
                      <w:marBottom w:val="0"/>
                      <w:divBdr>
                        <w:top w:val="none" w:sz="0" w:space="0" w:color="auto"/>
                        <w:left w:val="none" w:sz="0" w:space="0" w:color="auto"/>
                        <w:bottom w:val="none" w:sz="0" w:space="0" w:color="auto"/>
                        <w:right w:val="none" w:sz="0" w:space="0" w:color="auto"/>
                      </w:divBdr>
                      <w:divsChild>
                        <w:div w:id="204374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019913">
                  <w:marLeft w:val="0"/>
                  <w:marRight w:val="0"/>
                  <w:marTop w:val="0"/>
                  <w:marBottom w:val="0"/>
                  <w:divBdr>
                    <w:top w:val="none" w:sz="0" w:space="0" w:color="auto"/>
                    <w:left w:val="none" w:sz="0" w:space="0" w:color="auto"/>
                    <w:bottom w:val="none" w:sz="0" w:space="0" w:color="auto"/>
                    <w:right w:val="none" w:sz="0" w:space="0" w:color="auto"/>
                  </w:divBdr>
                  <w:divsChild>
                    <w:div w:id="205725045">
                      <w:marLeft w:val="0"/>
                      <w:marRight w:val="0"/>
                      <w:marTop w:val="0"/>
                      <w:marBottom w:val="0"/>
                      <w:divBdr>
                        <w:top w:val="none" w:sz="0" w:space="0" w:color="auto"/>
                        <w:left w:val="none" w:sz="0" w:space="0" w:color="auto"/>
                        <w:bottom w:val="none" w:sz="0" w:space="0" w:color="auto"/>
                        <w:right w:val="none" w:sz="0" w:space="0" w:color="auto"/>
                      </w:divBdr>
                      <w:divsChild>
                        <w:div w:id="149306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934438">
          <w:marLeft w:val="0"/>
          <w:marRight w:val="0"/>
          <w:marTop w:val="0"/>
          <w:marBottom w:val="0"/>
          <w:divBdr>
            <w:top w:val="none" w:sz="0" w:space="0" w:color="auto"/>
            <w:left w:val="none" w:sz="0" w:space="0" w:color="auto"/>
            <w:bottom w:val="none" w:sz="0" w:space="0" w:color="auto"/>
            <w:right w:val="none" w:sz="0" w:space="0" w:color="auto"/>
          </w:divBdr>
        </w:div>
      </w:divsChild>
    </w:div>
    <w:div w:id="276956925">
      <w:bodyDiv w:val="1"/>
      <w:marLeft w:val="0"/>
      <w:marRight w:val="0"/>
      <w:marTop w:val="0"/>
      <w:marBottom w:val="0"/>
      <w:divBdr>
        <w:top w:val="none" w:sz="0" w:space="0" w:color="auto"/>
        <w:left w:val="none" w:sz="0" w:space="0" w:color="auto"/>
        <w:bottom w:val="none" w:sz="0" w:space="0" w:color="auto"/>
        <w:right w:val="none" w:sz="0" w:space="0" w:color="auto"/>
      </w:divBdr>
    </w:div>
    <w:div w:id="379012861">
      <w:bodyDiv w:val="1"/>
      <w:marLeft w:val="0"/>
      <w:marRight w:val="0"/>
      <w:marTop w:val="0"/>
      <w:marBottom w:val="0"/>
      <w:divBdr>
        <w:top w:val="none" w:sz="0" w:space="0" w:color="auto"/>
        <w:left w:val="none" w:sz="0" w:space="0" w:color="auto"/>
        <w:bottom w:val="none" w:sz="0" w:space="0" w:color="auto"/>
        <w:right w:val="none" w:sz="0" w:space="0" w:color="auto"/>
      </w:divBdr>
      <w:divsChild>
        <w:div w:id="1746338678">
          <w:marLeft w:val="0"/>
          <w:marRight w:val="0"/>
          <w:marTop w:val="0"/>
          <w:marBottom w:val="0"/>
          <w:divBdr>
            <w:top w:val="none" w:sz="0" w:space="0" w:color="auto"/>
            <w:left w:val="none" w:sz="0" w:space="0" w:color="auto"/>
            <w:bottom w:val="none" w:sz="0" w:space="0" w:color="auto"/>
            <w:right w:val="none" w:sz="0" w:space="0" w:color="auto"/>
          </w:divBdr>
        </w:div>
        <w:div w:id="1558592103">
          <w:marLeft w:val="0"/>
          <w:marRight w:val="0"/>
          <w:marTop w:val="0"/>
          <w:marBottom w:val="0"/>
          <w:divBdr>
            <w:top w:val="none" w:sz="0" w:space="0" w:color="auto"/>
            <w:left w:val="none" w:sz="0" w:space="0" w:color="auto"/>
            <w:bottom w:val="none" w:sz="0" w:space="0" w:color="auto"/>
            <w:right w:val="none" w:sz="0" w:space="0" w:color="auto"/>
          </w:divBdr>
        </w:div>
      </w:divsChild>
    </w:div>
    <w:div w:id="601959765">
      <w:bodyDiv w:val="1"/>
      <w:marLeft w:val="0"/>
      <w:marRight w:val="0"/>
      <w:marTop w:val="0"/>
      <w:marBottom w:val="0"/>
      <w:divBdr>
        <w:top w:val="none" w:sz="0" w:space="0" w:color="auto"/>
        <w:left w:val="none" w:sz="0" w:space="0" w:color="auto"/>
        <w:bottom w:val="none" w:sz="0" w:space="0" w:color="auto"/>
        <w:right w:val="none" w:sz="0" w:space="0" w:color="auto"/>
      </w:divBdr>
      <w:divsChild>
        <w:div w:id="1547647371">
          <w:marLeft w:val="0"/>
          <w:marRight w:val="0"/>
          <w:marTop w:val="0"/>
          <w:marBottom w:val="0"/>
          <w:divBdr>
            <w:top w:val="none" w:sz="0" w:space="0" w:color="auto"/>
            <w:left w:val="none" w:sz="0" w:space="0" w:color="auto"/>
            <w:bottom w:val="none" w:sz="0" w:space="0" w:color="auto"/>
            <w:right w:val="none" w:sz="0" w:space="0" w:color="auto"/>
          </w:divBdr>
        </w:div>
      </w:divsChild>
    </w:div>
    <w:div w:id="1005596262">
      <w:bodyDiv w:val="1"/>
      <w:marLeft w:val="0"/>
      <w:marRight w:val="0"/>
      <w:marTop w:val="0"/>
      <w:marBottom w:val="0"/>
      <w:divBdr>
        <w:top w:val="none" w:sz="0" w:space="0" w:color="auto"/>
        <w:left w:val="none" w:sz="0" w:space="0" w:color="auto"/>
        <w:bottom w:val="none" w:sz="0" w:space="0" w:color="auto"/>
        <w:right w:val="none" w:sz="0" w:space="0" w:color="auto"/>
      </w:divBdr>
      <w:divsChild>
        <w:div w:id="1924682709">
          <w:marLeft w:val="0"/>
          <w:marRight w:val="0"/>
          <w:marTop w:val="0"/>
          <w:marBottom w:val="0"/>
          <w:divBdr>
            <w:top w:val="none" w:sz="0" w:space="0" w:color="auto"/>
            <w:left w:val="none" w:sz="0" w:space="0" w:color="auto"/>
            <w:bottom w:val="none" w:sz="0" w:space="0" w:color="auto"/>
            <w:right w:val="none" w:sz="0" w:space="0" w:color="auto"/>
          </w:divBdr>
        </w:div>
        <w:div w:id="1093476039">
          <w:marLeft w:val="0"/>
          <w:marRight w:val="0"/>
          <w:marTop w:val="0"/>
          <w:marBottom w:val="0"/>
          <w:divBdr>
            <w:top w:val="none" w:sz="0" w:space="0" w:color="auto"/>
            <w:left w:val="none" w:sz="0" w:space="0" w:color="auto"/>
            <w:bottom w:val="none" w:sz="0" w:space="0" w:color="auto"/>
            <w:right w:val="none" w:sz="0" w:space="0" w:color="auto"/>
          </w:divBdr>
        </w:div>
      </w:divsChild>
    </w:div>
    <w:div w:id="1099449867">
      <w:bodyDiv w:val="1"/>
      <w:marLeft w:val="0"/>
      <w:marRight w:val="0"/>
      <w:marTop w:val="0"/>
      <w:marBottom w:val="0"/>
      <w:divBdr>
        <w:top w:val="none" w:sz="0" w:space="0" w:color="auto"/>
        <w:left w:val="none" w:sz="0" w:space="0" w:color="auto"/>
        <w:bottom w:val="none" w:sz="0" w:space="0" w:color="auto"/>
        <w:right w:val="none" w:sz="0" w:space="0" w:color="auto"/>
      </w:divBdr>
      <w:divsChild>
        <w:div w:id="1451777589">
          <w:marLeft w:val="0"/>
          <w:marRight w:val="0"/>
          <w:marTop w:val="0"/>
          <w:marBottom w:val="0"/>
          <w:divBdr>
            <w:top w:val="none" w:sz="0" w:space="0" w:color="auto"/>
            <w:left w:val="none" w:sz="0" w:space="0" w:color="auto"/>
            <w:bottom w:val="none" w:sz="0" w:space="0" w:color="auto"/>
            <w:right w:val="none" w:sz="0" w:space="0" w:color="auto"/>
          </w:divBdr>
        </w:div>
        <w:div w:id="1221402554">
          <w:marLeft w:val="0"/>
          <w:marRight w:val="0"/>
          <w:marTop w:val="0"/>
          <w:marBottom w:val="0"/>
          <w:divBdr>
            <w:top w:val="none" w:sz="0" w:space="0" w:color="auto"/>
            <w:left w:val="none" w:sz="0" w:space="0" w:color="auto"/>
            <w:bottom w:val="none" w:sz="0" w:space="0" w:color="auto"/>
            <w:right w:val="none" w:sz="0" w:space="0" w:color="auto"/>
          </w:divBdr>
        </w:div>
      </w:divsChild>
    </w:div>
    <w:div w:id="1169949189">
      <w:bodyDiv w:val="1"/>
      <w:marLeft w:val="0"/>
      <w:marRight w:val="0"/>
      <w:marTop w:val="0"/>
      <w:marBottom w:val="0"/>
      <w:divBdr>
        <w:top w:val="none" w:sz="0" w:space="0" w:color="auto"/>
        <w:left w:val="none" w:sz="0" w:space="0" w:color="auto"/>
        <w:bottom w:val="none" w:sz="0" w:space="0" w:color="auto"/>
        <w:right w:val="none" w:sz="0" w:space="0" w:color="auto"/>
      </w:divBdr>
    </w:div>
    <w:div w:id="1463495705">
      <w:bodyDiv w:val="1"/>
      <w:marLeft w:val="0"/>
      <w:marRight w:val="0"/>
      <w:marTop w:val="0"/>
      <w:marBottom w:val="0"/>
      <w:divBdr>
        <w:top w:val="none" w:sz="0" w:space="0" w:color="auto"/>
        <w:left w:val="none" w:sz="0" w:space="0" w:color="auto"/>
        <w:bottom w:val="none" w:sz="0" w:space="0" w:color="auto"/>
        <w:right w:val="none" w:sz="0" w:space="0" w:color="auto"/>
      </w:divBdr>
      <w:divsChild>
        <w:div w:id="1638683725">
          <w:marLeft w:val="0"/>
          <w:marRight w:val="0"/>
          <w:marTop w:val="0"/>
          <w:marBottom w:val="0"/>
          <w:divBdr>
            <w:top w:val="none" w:sz="0" w:space="0" w:color="auto"/>
            <w:left w:val="none" w:sz="0" w:space="0" w:color="auto"/>
            <w:bottom w:val="none" w:sz="0" w:space="0" w:color="auto"/>
            <w:right w:val="none" w:sz="0" w:space="0" w:color="auto"/>
          </w:divBdr>
          <w:divsChild>
            <w:div w:id="1734159709">
              <w:marLeft w:val="0"/>
              <w:marRight w:val="0"/>
              <w:marTop w:val="30"/>
              <w:marBottom w:val="30"/>
              <w:divBdr>
                <w:top w:val="none" w:sz="0" w:space="0" w:color="auto"/>
                <w:left w:val="none" w:sz="0" w:space="0" w:color="auto"/>
                <w:bottom w:val="none" w:sz="0" w:space="0" w:color="auto"/>
                <w:right w:val="none" w:sz="0" w:space="0" w:color="auto"/>
              </w:divBdr>
              <w:divsChild>
                <w:div w:id="1335838501">
                  <w:marLeft w:val="0"/>
                  <w:marRight w:val="0"/>
                  <w:marTop w:val="0"/>
                  <w:marBottom w:val="0"/>
                  <w:divBdr>
                    <w:top w:val="none" w:sz="0" w:space="0" w:color="auto"/>
                    <w:left w:val="none" w:sz="0" w:space="0" w:color="auto"/>
                    <w:bottom w:val="none" w:sz="0" w:space="0" w:color="auto"/>
                    <w:right w:val="none" w:sz="0" w:space="0" w:color="auto"/>
                  </w:divBdr>
                  <w:divsChild>
                    <w:div w:id="1163737804">
                      <w:marLeft w:val="0"/>
                      <w:marRight w:val="0"/>
                      <w:marTop w:val="0"/>
                      <w:marBottom w:val="0"/>
                      <w:divBdr>
                        <w:top w:val="none" w:sz="0" w:space="0" w:color="auto"/>
                        <w:left w:val="none" w:sz="0" w:space="0" w:color="auto"/>
                        <w:bottom w:val="none" w:sz="0" w:space="0" w:color="auto"/>
                        <w:right w:val="none" w:sz="0" w:space="0" w:color="auto"/>
                      </w:divBdr>
                      <w:divsChild>
                        <w:div w:id="56176090">
                          <w:marLeft w:val="0"/>
                          <w:marRight w:val="0"/>
                          <w:marTop w:val="0"/>
                          <w:marBottom w:val="0"/>
                          <w:divBdr>
                            <w:top w:val="none" w:sz="0" w:space="0" w:color="auto"/>
                            <w:left w:val="none" w:sz="0" w:space="0" w:color="auto"/>
                            <w:bottom w:val="none" w:sz="0" w:space="0" w:color="auto"/>
                            <w:right w:val="none" w:sz="0" w:space="0" w:color="auto"/>
                          </w:divBdr>
                        </w:div>
                        <w:div w:id="17419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499659">
                  <w:marLeft w:val="0"/>
                  <w:marRight w:val="0"/>
                  <w:marTop w:val="0"/>
                  <w:marBottom w:val="0"/>
                  <w:divBdr>
                    <w:top w:val="none" w:sz="0" w:space="0" w:color="auto"/>
                    <w:left w:val="none" w:sz="0" w:space="0" w:color="auto"/>
                    <w:bottom w:val="none" w:sz="0" w:space="0" w:color="auto"/>
                    <w:right w:val="none" w:sz="0" w:space="0" w:color="auto"/>
                  </w:divBdr>
                  <w:divsChild>
                    <w:div w:id="1383286989">
                      <w:marLeft w:val="0"/>
                      <w:marRight w:val="0"/>
                      <w:marTop w:val="0"/>
                      <w:marBottom w:val="0"/>
                      <w:divBdr>
                        <w:top w:val="none" w:sz="0" w:space="0" w:color="auto"/>
                        <w:left w:val="none" w:sz="0" w:space="0" w:color="auto"/>
                        <w:bottom w:val="none" w:sz="0" w:space="0" w:color="auto"/>
                        <w:right w:val="none" w:sz="0" w:space="0" w:color="auto"/>
                      </w:divBdr>
                      <w:divsChild>
                        <w:div w:id="1961299151">
                          <w:marLeft w:val="0"/>
                          <w:marRight w:val="0"/>
                          <w:marTop w:val="0"/>
                          <w:marBottom w:val="0"/>
                          <w:divBdr>
                            <w:top w:val="none" w:sz="0" w:space="0" w:color="auto"/>
                            <w:left w:val="none" w:sz="0" w:space="0" w:color="auto"/>
                            <w:bottom w:val="none" w:sz="0" w:space="0" w:color="auto"/>
                            <w:right w:val="none" w:sz="0" w:space="0" w:color="auto"/>
                          </w:divBdr>
                        </w:div>
                        <w:div w:id="20308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408320">
                  <w:marLeft w:val="0"/>
                  <w:marRight w:val="0"/>
                  <w:marTop w:val="0"/>
                  <w:marBottom w:val="0"/>
                  <w:divBdr>
                    <w:top w:val="none" w:sz="0" w:space="0" w:color="auto"/>
                    <w:left w:val="none" w:sz="0" w:space="0" w:color="auto"/>
                    <w:bottom w:val="none" w:sz="0" w:space="0" w:color="auto"/>
                    <w:right w:val="none" w:sz="0" w:space="0" w:color="auto"/>
                  </w:divBdr>
                  <w:divsChild>
                    <w:div w:id="116803675">
                      <w:marLeft w:val="0"/>
                      <w:marRight w:val="0"/>
                      <w:marTop w:val="0"/>
                      <w:marBottom w:val="0"/>
                      <w:divBdr>
                        <w:top w:val="none" w:sz="0" w:space="0" w:color="auto"/>
                        <w:left w:val="none" w:sz="0" w:space="0" w:color="auto"/>
                        <w:bottom w:val="none" w:sz="0" w:space="0" w:color="auto"/>
                        <w:right w:val="none" w:sz="0" w:space="0" w:color="auto"/>
                      </w:divBdr>
                      <w:divsChild>
                        <w:div w:id="289212878">
                          <w:marLeft w:val="0"/>
                          <w:marRight w:val="0"/>
                          <w:marTop w:val="0"/>
                          <w:marBottom w:val="0"/>
                          <w:divBdr>
                            <w:top w:val="none" w:sz="0" w:space="0" w:color="auto"/>
                            <w:left w:val="none" w:sz="0" w:space="0" w:color="auto"/>
                            <w:bottom w:val="none" w:sz="0" w:space="0" w:color="auto"/>
                            <w:right w:val="none" w:sz="0" w:space="0" w:color="auto"/>
                          </w:divBdr>
                        </w:div>
                        <w:div w:id="109879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524335">
                  <w:marLeft w:val="0"/>
                  <w:marRight w:val="0"/>
                  <w:marTop w:val="0"/>
                  <w:marBottom w:val="0"/>
                  <w:divBdr>
                    <w:top w:val="none" w:sz="0" w:space="0" w:color="auto"/>
                    <w:left w:val="none" w:sz="0" w:space="0" w:color="auto"/>
                    <w:bottom w:val="none" w:sz="0" w:space="0" w:color="auto"/>
                    <w:right w:val="none" w:sz="0" w:space="0" w:color="auto"/>
                  </w:divBdr>
                  <w:divsChild>
                    <w:div w:id="456997359">
                      <w:marLeft w:val="0"/>
                      <w:marRight w:val="0"/>
                      <w:marTop w:val="0"/>
                      <w:marBottom w:val="0"/>
                      <w:divBdr>
                        <w:top w:val="none" w:sz="0" w:space="0" w:color="auto"/>
                        <w:left w:val="none" w:sz="0" w:space="0" w:color="auto"/>
                        <w:bottom w:val="none" w:sz="0" w:space="0" w:color="auto"/>
                        <w:right w:val="none" w:sz="0" w:space="0" w:color="auto"/>
                      </w:divBdr>
                      <w:divsChild>
                        <w:div w:id="580984920">
                          <w:marLeft w:val="0"/>
                          <w:marRight w:val="0"/>
                          <w:marTop w:val="0"/>
                          <w:marBottom w:val="0"/>
                          <w:divBdr>
                            <w:top w:val="none" w:sz="0" w:space="0" w:color="auto"/>
                            <w:left w:val="none" w:sz="0" w:space="0" w:color="auto"/>
                            <w:bottom w:val="none" w:sz="0" w:space="0" w:color="auto"/>
                            <w:right w:val="none" w:sz="0" w:space="0" w:color="auto"/>
                          </w:divBdr>
                        </w:div>
                        <w:div w:id="189284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90066">
                  <w:marLeft w:val="0"/>
                  <w:marRight w:val="0"/>
                  <w:marTop w:val="0"/>
                  <w:marBottom w:val="0"/>
                  <w:divBdr>
                    <w:top w:val="none" w:sz="0" w:space="0" w:color="auto"/>
                    <w:left w:val="none" w:sz="0" w:space="0" w:color="auto"/>
                    <w:bottom w:val="none" w:sz="0" w:space="0" w:color="auto"/>
                    <w:right w:val="none" w:sz="0" w:space="0" w:color="auto"/>
                  </w:divBdr>
                  <w:divsChild>
                    <w:div w:id="1054818700">
                      <w:marLeft w:val="0"/>
                      <w:marRight w:val="0"/>
                      <w:marTop w:val="0"/>
                      <w:marBottom w:val="0"/>
                      <w:divBdr>
                        <w:top w:val="none" w:sz="0" w:space="0" w:color="auto"/>
                        <w:left w:val="none" w:sz="0" w:space="0" w:color="auto"/>
                        <w:bottom w:val="none" w:sz="0" w:space="0" w:color="auto"/>
                        <w:right w:val="none" w:sz="0" w:space="0" w:color="auto"/>
                      </w:divBdr>
                      <w:divsChild>
                        <w:div w:id="139554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946049">
                  <w:marLeft w:val="0"/>
                  <w:marRight w:val="0"/>
                  <w:marTop w:val="0"/>
                  <w:marBottom w:val="0"/>
                  <w:divBdr>
                    <w:top w:val="none" w:sz="0" w:space="0" w:color="auto"/>
                    <w:left w:val="none" w:sz="0" w:space="0" w:color="auto"/>
                    <w:bottom w:val="none" w:sz="0" w:space="0" w:color="auto"/>
                    <w:right w:val="none" w:sz="0" w:space="0" w:color="auto"/>
                  </w:divBdr>
                  <w:divsChild>
                    <w:div w:id="1823306461">
                      <w:marLeft w:val="0"/>
                      <w:marRight w:val="0"/>
                      <w:marTop w:val="0"/>
                      <w:marBottom w:val="0"/>
                      <w:divBdr>
                        <w:top w:val="none" w:sz="0" w:space="0" w:color="auto"/>
                        <w:left w:val="none" w:sz="0" w:space="0" w:color="auto"/>
                        <w:bottom w:val="none" w:sz="0" w:space="0" w:color="auto"/>
                        <w:right w:val="none" w:sz="0" w:space="0" w:color="auto"/>
                      </w:divBdr>
                      <w:divsChild>
                        <w:div w:id="191450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070119">
                  <w:marLeft w:val="0"/>
                  <w:marRight w:val="0"/>
                  <w:marTop w:val="0"/>
                  <w:marBottom w:val="0"/>
                  <w:divBdr>
                    <w:top w:val="none" w:sz="0" w:space="0" w:color="auto"/>
                    <w:left w:val="none" w:sz="0" w:space="0" w:color="auto"/>
                    <w:bottom w:val="none" w:sz="0" w:space="0" w:color="auto"/>
                    <w:right w:val="none" w:sz="0" w:space="0" w:color="auto"/>
                  </w:divBdr>
                  <w:divsChild>
                    <w:div w:id="1693722244">
                      <w:marLeft w:val="0"/>
                      <w:marRight w:val="0"/>
                      <w:marTop w:val="0"/>
                      <w:marBottom w:val="0"/>
                      <w:divBdr>
                        <w:top w:val="none" w:sz="0" w:space="0" w:color="auto"/>
                        <w:left w:val="none" w:sz="0" w:space="0" w:color="auto"/>
                        <w:bottom w:val="none" w:sz="0" w:space="0" w:color="auto"/>
                        <w:right w:val="none" w:sz="0" w:space="0" w:color="auto"/>
                      </w:divBdr>
                      <w:divsChild>
                        <w:div w:id="2044285601">
                          <w:marLeft w:val="0"/>
                          <w:marRight w:val="0"/>
                          <w:marTop w:val="0"/>
                          <w:marBottom w:val="0"/>
                          <w:divBdr>
                            <w:top w:val="none" w:sz="0" w:space="0" w:color="auto"/>
                            <w:left w:val="none" w:sz="0" w:space="0" w:color="auto"/>
                            <w:bottom w:val="none" w:sz="0" w:space="0" w:color="auto"/>
                            <w:right w:val="none" w:sz="0" w:space="0" w:color="auto"/>
                          </w:divBdr>
                        </w:div>
                        <w:div w:id="1207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120890">
                  <w:marLeft w:val="0"/>
                  <w:marRight w:val="0"/>
                  <w:marTop w:val="0"/>
                  <w:marBottom w:val="0"/>
                  <w:divBdr>
                    <w:top w:val="none" w:sz="0" w:space="0" w:color="auto"/>
                    <w:left w:val="none" w:sz="0" w:space="0" w:color="auto"/>
                    <w:bottom w:val="none" w:sz="0" w:space="0" w:color="auto"/>
                    <w:right w:val="none" w:sz="0" w:space="0" w:color="auto"/>
                  </w:divBdr>
                  <w:divsChild>
                    <w:div w:id="1986473035">
                      <w:marLeft w:val="0"/>
                      <w:marRight w:val="0"/>
                      <w:marTop w:val="0"/>
                      <w:marBottom w:val="0"/>
                      <w:divBdr>
                        <w:top w:val="none" w:sz="0" w:space="0" w:color="auto"/>
                        <w:left w:val="none" w:sz="0" w:space="0" w:color="auto"/>
                        <w:bottom w:val="none" w:sz="0" w:space="0" w:color="auto"/>
                        <w:right w:val="none" w:sz="0" w:space="0" w:color="auto"/>
                      </w:divBdr>
                      <w:divsChild>
                        <w:div w:id="8436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780221">
                  <w:marLeft w:val="0"/>
                  <w:marRight w:val="0"/>
                  <w:marTop w:val="0"/>
                  <w:marBottom w:val="0"/>
                  <w:divBdr>
                    <w:top w:val="none" w:sz="0" w:space="0" w:color="auto"/>
                    <w:left w:val="none" w:sz="0" w:space="0" w:color="auto"/>
                    <w:bottom w:val="none" w:sz="0" w:space="0" w:color="auto"/>
                    <w:right w:val="none" w:sz="0" w:space="0" w:color="auto"/>
                  </w:divBdr>
                  <w:divsChild>
                    <w:div w:id="12462814">
                      <w:marLeft w:val="0"/>
                      <w:marRight w:val="0"/>
                      <w:marTop w:val="0"/>
                      <w:marBottom w:val="0"/>
                      <w:divBdr>
                        <w:top w:val="none" w:sz="0" w:space="0" w:color="auto"/>
                        <w:left w:val="none" w:sz="0" w:space="0" w:color="auto"/>
                        <w:bottom w:val="none" w:sz="0" w:space="0" w:color="auto"/>
                        <w:right w:val="none" w:sz="0" w:space="0" w:color="auto"/>
                      </w:divBdr>
                      <w:divsChild>
                        <w:div w:id="82709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439953">
          <w:marLeft w:val="0"/>
          <w:marRight w:val="0"/>
          <w:marTop w:val="0"/>
          <w:marBottom w:val="0"/>
          <w:divBdr>
            <w:top w:val="none" w:sz="0" w:space="0" w:color="auto"/>
            <w:left w:val="none" w:sz="0" w:space="0" w:color="auto"/>
            <w:bottom w:val="none" w:sz="0" w:space="0" w:color="auto"/>
            <w:right w:val="none" w:sz="0" w:space="0" w:color="auto"/>
          </w:divBdr>
        </w:div>
      </w:divsChild>
    </w:div>
    <w:div w:id="1678072878">
      <w:bodyDiv w:val="1"/>
      <w:marLeft w:val="0"/>
      <w:marRight w:val="0"/>
      <w:marTop w:val="0"/>
      <w:marBottom w:val="0"/>
      <w:divBdr>
        <w:top w:val="none" w:sz="0" w:space="0" w:color="auto"/>
        <w:left w:val="none" w:sz="0" w:space="0" w:color="auto"/>
        <w:bottom w:val="none" w:sz="0" w:space="0" w:color="auto"/>
        <w:right w:val="none" w:sz="0" w:space="0" w:color="auto"/>
      </w:divBdr>
      <w:divsChild>
        <w:div w:id="1539276334">
          <w:marLeft w:val="0"/>
          <w:marRight w:val="0"/>
          <w:marTop w:val="0"/>
          <w:marBottom w:val="0"/>
          <w:divBdr>
            <w:top w:val="none" w:sz="0" w:space="0" w:color="auto"/>
            <w:left w:val="none" w:sz="0" w:space="0" w:color="auto"/>
            <w:bottom w:val="none" w:sz="0" w:space="0" w:color="auto"/>
            <w:right w:val="none" w:sz="0" w:space="0" w:color="auto"/>
          </w:divBdr>
        </w:div>
        <w:div w:id="1784836390">
          <w:marLeft w:val="0"/>
          <w:marRight w:val="0"/>
          <w:marTop w:val="0"/>
          <w:marBottom w:val="0"/>
          <w:divBdr>
            <w:top w:val="none" w:sz="0" w:space="0" w:color="auto"/>
            <w:left w:val="none" w:sz="0" w:space="0" w:color="auto"/>
            <w:bottom w:val="none" w:sz="0" w:space="0" w:color="auto"/>
            <w:right w:val="none" w:sz="0" w:space="0" w:color="auto"/>
          </w:divBdr>
        </w:div>
      </w:divsChild>
    </w:div>
    <w:div w:id="1737972834">
      <w:bodyDiv w:val="1"/>
      <w:marLeft w:val="0"/>
      <w:marRight w:val="0"/>
      <w:marTop w:val="0"/>
      <w:marBottom w:val="0"/>
      <w:divBdr>
        <w:top w:val="none" w:sz="0" w:space="0" w:color="auto"/>
        <w:left w:val="none" w:sz="0" w:space="0" w:color="auto"/>
        <w:bottom w:val="none" w:sz="0" w:space="0" w:color="auto"/>
        <w:right w:val="none" w:sz="0" w:space="0" w:color="auto"/>
      </w:divBdr>
      <w:divsChild>
        <w:div w:id="819463462">
          <w:marLeft w:val="0"/>
          <w:marRight w:val="0"/>
          <w:marTop w:val="0"/>
          <w:marBottom w:val="0"/>
          <w:divBdr>
            <w:top w:val="none" w:sz="0" w:space="0" w:color="auto"/>
            <w:left w:val="none" w:sz="0" w:space="0" w:color="auto"/>
            <w:bottom w:val="none" w:sz="0" w:space="0" w:color="auto"/>
            <w:right w:val="none" w:sz="0" w:space="0" w:color="auto"/>
          </w:divBdr>
        </w:div>
        <w:div w:id="517282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2104</Words>
  <Characters>11995</Characters>
  <Application>Microsoft Office Word</Application>
  <DocSecurity>0</DocSecurity>
  <Lines>99</Lines>
  <Paragraphs>28</Paragraphs>
  <ScaleCrop>false</ScaleCrop>
  <Company/>
  <LinksUpToDate>false</LinksUpToDate>
  <CharactersWithSpaces>14071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Colclough (2100479)</dc:creator>
  <cp:keywords/>
  <dc:description/>
  <cp:lastModifiedBy>Nia Colclough (2100479)</cp:lastModifiedBy>
  <cp:revision>2</cp:revision>
  <dcterms:created xsi:type="dcterms:W3CDTF">2025-04-26T22:55:00Z</dcterms:created>
  <dcterms:modified xsi:type="dcterms:W3CDTF">2025-04-26T22:55:00Z</dcterms:modified>
</cp:coreProperties>
</file>