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3EB92" w14:textId="77777777" w:rsidR="0051147A" w:rsidRPr="00BE462B" w:rsidRDefault="0051147A" w:rsidP="0051147A">
      <w:pPr>
        <w:rPr>
          <w:rFonts w:asciiTheme="majorHAnsi" w:hAnsiTheme="majorHAnsi" w:cstheme="majorHAnsi"/>
        </w:rPr>
      </w:pPr>
      <w:bookmarkStart w:id="0" w:name="_heading=h.tw3wrnr7mpw0" w:colFirst="0" w:colLast="0"/>
      <w:bookmarkEnd w:id="0"/>
    </w:p>
    <w:p w14:paraId="7F69443A" w14:textId="77777777" w:rsidR="0051147A" w:rsidRPr="00BE462B" w:rsidRDefault="0051147A">
      <w:pPr>
        <w:pStyle w:val="Title"/>
        <w:spacing w:after="300"/>
        <w:jc w:val="center"/>
        <w:rPr>
          <w:rFonts w:asciiTheme="majorHAnsi" w:hAnsiTheme="majorHAnsi" w:cstheme="majorHAnsi"/>
        </w:rPr>
      </w:pPr>
    </w:p>
    <w:p w14:paraId="266A0A46" w14:textId="3B211682" w:rsidR="00696738" w:rsidRPr="00BE462B" w:rsidRDefault="0036746E">
      <w:pPr>
        <w:pStyle w:val="Title"/>
        <w:spacing w:after="300"/>
        <w:jc w:val="center"/>
        <w:rPr>
          <w:rFonts w:asciiTheme="majorHAnsi" w:hAnsiTheme="majorHAnsi" w:cstheme="majorHAnsi"/>
        </w:rPr>
      </w:pPr>
      <w:r w:rsidRPr="00BE462B">
        <w:rPr>
          <w:rFonts w:asciiTheme="majorHAnsi" w:hAnsiTheme="majorHAnsi" w:cstheme="majorHAnsi"/>
          <w:noProof/>
        </w:rPr>
        <w:drawing>
          <wp:inline distT="0" distB="0" distL="0" distR="0" wp14:anchorId="1AE31303" wp14:editId="35A5926A">
            <wp:extent cx="3625313" cy="1983179"/>
            <wp:effectExtent l="0" t="0" r="0" b="0"/>
            <wp:docPr id="2140145776"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2046" cy="1992332"/>
                    </a:xfrm>
                    <a:prstGeom prst="rect">
                      <a:avLst/>
                    </a:prstGeom>
                    <a:noFill/>
                    <a:ln>
                      <a:noFill/>
                    </a:ln>
                  </pic:spPr>
                </pic:pic>
              </a:graphicData>
            </a:graphic>
          </wp:inline>
        </w:drawing>
      </w:r>
    </w:p>
    <w:p w14:paraId="031C4BEC" w14:textId="77777777" w:rsidR="0036746E" w:rsidRPr="00BE462B" w:rsidRDefault="0036746E" w:rsidP="0036746E">
      <w:pPr>
        <w:rPr>
          <w:rFonts w:asciiTheme="majorHAnsi" w:hAnsiTheme="majorHAnsi" w:cstheme="majorHAnsi"/>
        </w:rPr>
      </w:pPr>
    </w:p>
    <w:p w14:paraId="4D18E842" w14:textId="77777777" w:rsidR="00696738" w:rsidRPr="00BE462B" w:rsidRDefault="00000000">
      <w:pPr>
        <w:pStyle w:val="Title"/>
        <w:spacing w:after="300"/>
        <w:jc w:val="center"/>
        <w:rPr>
          <w:rFonts w:asciiTheme="majorHAnsi" w:hAnsiTheme="majorHAnsi" w:cstheme="majorHAnsi"/>
        </w:rPr>
      </w:pPr>
      <w:bookmarkStart w:id="1" w:name="_heading=h.kihqyobf45c6" w:colFirst="0" w:colLast="0"/>
      <w:bookmarkEnd w:id="1"/>
      <w:r w:rsidRPr="00BE462B">
        <w:rPr>
          <w:rFonts w:asciiTheme="majorHAnsi" w:hAnsiTheme="majorHAnsi" w:cstheme="majorHAnsi"/>
        </w:rPr>
        <w:t>Clue-Driven LLM-Assisted Reverse Engineering for Obfuscated Malware Analysis</w:t>
      </w:r>
    </w:p>
    <w:p w14:paraId="4F931B18" w14:textId="77777777" w:rsidR="00696738" w:rsidRPr="00BE462B" w:rsidRDefault="00000000">
      <w:pPr>
        <w:pStyle w:val="Heading1"/>
        <w:spacing w:after="160"/>
        <w:jc w:val="center"/>
        <w:rPr>
          <w:rFonts w:asciiTheme="majorHAnsi" w:hAnsiTheme="majorHAnsi" w:cstheme="majorHAnsi"/>
          <w:color w:val="000000"/>
        </w:rPr>
      </w:pPr>
      <w:bookmarkStart w:id="2" w:name="_heading=h.btx0078k6j00" w:colFirst="0" w:colLast="0"/>
      <w:bookmarkEnd w:id="2"/>
      <w:r w:rsidRPr="00BE462B">
        <w:rPr>
          <w:rFonts w:asciiTheme="majorHAnsi" w:hAnsiTheme="majorHAnsi" w:cstheme="majorHAnsi"/>
          <w:color w:val="000000"/>
        </w:rPr>
        <w:t>MSc Postgraduate Research Proposal</w:t>
      </w:r>
    </w:p>
    <w:p w14:paraId="59834FDE" w14:textId="77777777" w:rsidR="00696738" w:rsidRPr="00BE462B" w:rsidRDefault="00000000">
      <w:pPr>
        <w:pStyle w:val="Heading1"/>
        <w:spacing w:after="900"/>
        <w:jc w:val="center"/>
        <w:rPr>
          <w:rFonts w:asciiTheme="majorHAnsi" w:hAnsiTheme="majorHAnsi" w:cstheme="majorHAnsi"/>
          <w:color w:val="000000"/>
        </w:rPr>
      </w:pPr>
      <w:bookmarkStart w:id="3" w:name="_heading=h.2lpaic896ozq" w:colFirst="0" w:colLast="0"/>
      <w:bookmarkEnd w:id="3"/>
      <w:r w:rsidRPr="00BE462B">
        <w:rPr>
          <w:rFonts w:asciiTheme="majorHAnsi" w:hAnsiTheme="majorHAnsi" w:cstheme="majorHAnsi"/>
          <w:color w:val="000000"/>
        </w:rPr>
        <w:t>Assessment – Research Proposal</w:t>
      </w:r>
    </w:p>
    <w:p w14:paraId="1D9BE3EC" w14:textId="77777777" w:rsidR="00696738" w:rsidRPr="00BE462B" w:rsidRDefault="00000000">
      <w:pPr>
        <w:pStyle w:val="Title"/>
        <w:jc w:val="center"/>
        <w:rPr>
          <w:rFonts w:asciiTheme="majorHAnsi" w:hAnsiTheme="majorHAnsi" w:cstheme="majorHAnsi"/>
        </w:rPr>
      </w:pPr>
      <w:bookmarkStart w:id="4" w:name="_heading=h.zcwqa8c1rrrw" w:colFirst="0" w:colLast="0"/>
      <w:bookmarkEnd w:id="4"/>
      <w:r w:rsidRPr="00BE462B">
        <w:rPr>
          <w:rFonts w:asciiTheme="majorHAnsi" w:hAnsiTheme="majorHAnsi" w:cstheme="majorHAnsi"/>
        </w:rPr>
        <w:t>Name: Raj Bhatia</w:t>
      </w:r>
    </w:p>
    <w:p w14:paraId="00839A46" w14:textId="77777777" w:rsidR="00696738" w:rsidRPr="00BE462B" w:rsidRDefault="00000000">
      <w:pPr>
        <w:pStyle w:val="Title"/>
        <w:jc w:val="center"/>
        <w:rPr>
          <w:rFonts w:asciiTheme="majorHAnsi" w:hAnsiTheme="majorHAnsi" w:cstheme="majorHAnsi"/>
        </w:rPr>
      </w:pPr>
      <w:bookmarkStart w:id="5" w:name="_heading=h.rln7rl9x5ilc" w:colFirst="0" w:colLast="0"/>
      <w:bookmarkEnd w:id="5"/>
      <w:r w:rsidRPr="00BE462B">
        <w:rPr>
          <w:rFonts w:asciiTheme="majorHAnsi" w:hAnsiTheme="majorHAnsi" w:cstheme="majorHAnsi"/>
        </w:rPr>
        <w:t>Enrollment: 2522682</w:t>
      </w:r>
    </w:p>
    <w:p w14:paraId="53C2121F" w14:textId="77777777" w:rsidR="00696738" w:rsidRPr="00BE462B" w:rsidRDefault="00000000">
      <w:pPr>
        <w:rPr>
          <w:rFonts w:asciiTheme="majorHAnsi" w:hAnsiTheme="majorHAnsi" w:cstheme="majorHAnsi"/>
        </w:rPr>
      </w:pPr>
      <w:r w:rsidRPr="00BE462B">
        <w:rPr>
          <w:rFonts w:asciiTheme="majorHAnsi" w:hAnsiTheme="majorHAnsi" w:cstheme="majorHAnsi"/>
        </w:rPr>
        <w:br w:type="page"/>
      </w:r>
    </w:p>
    <w:p w14:paraId="0282A0FD" w14:textId="31103810" w:rsidR="00696738" w:rsidRPr="00BE462B" w:rsidRDefault="00000000" w:rsidP="001C0BBC">
      <w:pPr>
        <w:pStyle w:val="Heading1"/>
        <w:spacing w:before="300" w:after="140"/>
        <w:rPr>
          <w:rFonts w:asciiTheme="majorHAnsi" w:hAnsiTheme="majorHAnsi" w:cstheme="majorHAnsi"/>
          <w:color w:val="000000"/>
          <w:sz w:val="40"/>
          <w:szCs w:val="40"/>
        </w:rPr>
      </w:pPr>
      <w:r w:rsidRPr="00BE462B">
        <w:rPr>
          <w:rFonts w:asciiTheme="majorHAnsi" w:eastAsia="Calibri" w:hAnsiTheme="majorHAnsi" w:cstheme="majorHAnsi"/>
          <w:b/>
          <w:bCs/>
          <w:color w:val="000000"/>
        </w:rPr>
        <w:lastRenderedPageBreak/>
        <w:t>Table of Contents</w:t>
      </w:r>
    </w:p>
    <w:tbl>
      <w:tblPr>
        <w:tblStyle w:val="a"/>
        <w:tblW w:w="935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88"/>
        <w:gridCol w:w="7229"/>
        <w:gridCol w:w="1134"/>
      </w:tblGrid>
      <w:tr w:rsidR="00696738" w:rsidRPr="00BE462B" w14:paraId="6017FE0E" w14:textId="77777777" w:rsidTr="003F05F8">
        <w:trPr>
          <w:trHeight w:val="289"/>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6C8EC" w14:textId="77777777" w:rsidR="00696738" w:rsidRPr="00BE462B" w:rsidRDefault="00000000" w:rsidP="003F05F8">
            <w:pPr>
              <w:jc w:val="center"/>
              <w:rPr>
                <w:rFonts w:asciiTheme="majorHAnsi" w:hAnsiTheme="majorHAnsi" w:cstheme="majorHAnsi"/>
                <w:b/>
                <w:bCs/>
              </w:rPr>
            </w:pPr>
            <w:r w:rsidRPr="00BE462B">
              <w:rPr>
                <w:rFonts w:asciiTheme="majorHAnsi" w:hAnsiTheme="majorHAnsi" w:cstheme="majorHAnsi"/>
                <w:b/>
                <w:bCs/>
              </w:rPr>
              <w:t>Section</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36FCB9" w14:textId="77777777" w:rsidR="00696738" w:rsidRPr="00BE462B" w:rsidRDefault="00000000" w:rsidP="003F05F8">
            <w:pPr>
              <w:jc w:val="center"/>
              <w:rPr>
                <w:rFonts w:asciiTheme="majorHAnsi" w:hAnsiTheme="majorHAnsi" w:cstheme="majorHAnsi"/>
                <w:b/>
                <w:bCs/>
              </w:rPr>
            </w:pPr>
            <w:r w:rsidRPr="00BE462B">
              <w:rPr>
                <w:rFonts w:asciiTheme="majorHAnsi" w:hAnsiTheme="majorHAnsi" w:cstheme="majorHAnsi"/>
                <w:b/>
                <w:bCs/>
              </w:rPr>
              <w:t>Title</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8A20C5" w14:textId="77777777" w:rsidR="00696738" w:rsidRPr="00BE462B" w:rsidRDefault="00000000" w:rsidP="003F05F8">
            <w:pPr>
              <w:jc w:val="center"/>
              <w:rPr>
                <w:rFonts w:asciiTheme="majorHAnsi" w:hAnsiTheme="majorHAnsi" w:cstheme="majorHAnsi"/>
                <w:b/>
                <w:bCs/>
              </w:rPr>
            </w:pPr>
            <w:r w:rsidRPr="00BE462B">
              <w:rPr>
                <w:rFonts w:asciiTheme="majorHAnsi" w:hAnsiTheme="majorHAnsi" w:cstheme="majorHAnsi"/>
                <w:b/>
                <w:bCs/>
              </w:rPr>
              <w:t>Page No</w:t>
            </w:r>
          </w:p>
        </w:tc>
      </w:tr>
      <w:tr w:rsidR="00696738" w:rsidRPr="00BE462B" w14:paraId="255F85F7" w14:textId="77777777" w:rsidTr="003F05F8">
        <w:trPr>
          <w:trHeight w:val="44"/>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A4CC9"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1</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E06B7F" w14:textId="77777777" w:rsidR="00696738" w:rsidRPr="00BE462B" w:rsidRDefault="00000000">
            <w:pPr>
              <w:rPr>
                <w:rFonts w:asciiTheme="majorHAnsi" w:hAnsiTheme="majorHAnsi" w:cstheme="majorHAnsi"/>
              </w:rPr>
            </w:pPr>
            <w:r w:rsidRPr="00BE462B">
              <w:rPr>
                <w:rFonts w:asciiTheme="majorHAnsi" w:hAnsiTheme="majorHAnsi" w:cstheme="majorHAnsi"/>
                <w:b/>
                <w:bCs/>
              </w:rPr>
              <w:t>Introduction</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88D4FC"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3</w:t>
            </w:r>
          </w:p>
        </w:tc>
      </w:tr>
      <w:tr w:rsidR="00696738" w:rsidRPr="00BE462B" w14:paraId="4941FC9F" w14:textId="77777777" w:rsidTr="003F05F8">
        <w:trPr>
          <w:trHeight w:val="189"/>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313F8"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1.1</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41F69E" w14:textId="77777777" w:rsidR="00696738" w:rsidRPr="00BE462B" w:rsidRDefault="00000000">
            <w:pPr>
              <w:rPr>
                <w:rFonts w:asciiTheme="majorHAnsi" w:hAnsiTheme="majorHAnsi" w:cstheme="majorHAnsi"/>
              </w:rPr>
            </w:pPr>
            <w:r w:rsidRPr="00BE462B">
              <w:rPr>
                <w:rFonts w:asciiTheme="majorHAnsi" w:hAnsiTheme="majorHAnsi" w:cstheme="majorHAnsi"/>
              </w:rPr>
              <w:t>Context and Background</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F1052" w14:textId="33C2FFBE" w:rsidR="00696738" w:rsidRPr="00BE462B" w:rsidRDefault="004F2DB4">
            <w:pPr>
              <w:jc w:val="center"/>
              <w:rPr>
                <w:rFonts w:asciiTheme="majorHAnsi" w:hAnsiTheme="majorHAnsi" w:cstheme="majorHAnsi"/>
              </w:rPr>
            </w:pPr>
            <w:r>
              <w:rPr>
                <w:rFonts w:asciiTheme="majorHAnsi" w:hAnsiTheme="majorHAnsi" w:cstheme="majorHAnsi"/>
              </w:rPr>
              <w:t>3</w:t>
            </w:r>
          </w:p>
        </w:tc>
      </w:tr>
      <w:tr w:rsidR="00696738" w:rsidRPr="00BE462B" w14:paraId="7036F06B" w14:textId="77777777" w:rsidTr="003F05F8">
        <w:trPr>
          <w:trHeight w:val="181"/>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529A5"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1.2</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9B562A" w14:textId="77777777" w:rsidR="00696738" w:rsidRPr="00BE462B" w:rsidRDefault="00000000">
            <w:pPr>
              <w:rPr>
                <w:rFonts w:asciiTheme="majorHAnsi" w:hAnsiTheme="majorHAnsi" w:cstheme="majorHAnsi"/>
              </w:rPr>
            </w:pPr>
            <w:r w:rsidRPr="00BE462B">
              <w:rPr>
                <w:rFonts w:asciiTheme="majorHAnsi" w:hAnsiTheme="majorHAnsi" w:cstheme="majorHAnsi"/>
              </w:rPr>
              <w:t>Research Problem</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455E14" w14:textId="475B0FE5" w:rsidR="00696738" w:rsidRPr="00BE462B" w:rsidRDefault="004F2DB4">
            <w:pPr>
              <w:jc w:val="center"/>
              <w:rPr>
                <w:rFonts w:asciiTheme="majorHAnsi" w:hAnsiTheme="majorHAnsi" w:cstheme="majorHAnsi"/>
              </w:rPr>
            </w:pPr>
            <w:r>
              <w:rPr>
                <w:rFonts w:asciiTheme="majorHAnsi" w:hAnsiTheme="majorHAnsi" w:cstheme="majorHAnsi"/>
              </w:rPr>
              <w:t>4</w:t>
            </w:r>
          </w:p>
        </w:tc>
      </w:tr>
      <w:tr w:rsidR="00696738" w:rsidRPr="00BE462B" w14:paraId="2026605A" w14:textId="77777777" w:rsidTr="003F05F8">
        <w:trPr>
          <w:trHeight w:val="32"/>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B219D5"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1.3</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95B5A6" w14:textId="77777777" w:rsidR="00696738" w:rsidRPr="00BE462B" w:rsidRDefault="00000000">
            <w:pPr>
              <w:rPr>
                <w:rFonts w:asciiTheme="majorHAnsi" w:hAnsiTheme="majorHAnsi" w:cstheme="majorHAnsi"/>
              </w:rPr>
            </w:pPr>
            <w:r w:rsidRPr="00BE462B">
              <w:rPr>
                <w:rFonts w:asciiTheme="majorHAnsi" w:hAnsiTheme="majorHAnsi" w:cstheme="majorHAnsi"/>
              </w:rPr>
              <w:t>Research Aim and Objectives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66A720" w14:textId="5870A009" w:rsidR="00696738" w:rsidRPr="00BE462B" w:rsidRDefault="004F2DB4">
            <w:pPr>
              <w:jc w:val="center"/>
              <w:rPr>
                <w:rFonts w:asciiTheme="majorHAnsi" w:hAnsiTheme="majorHAnsi" w:cstheme="majorHAnsi"/>
              </w:rPr>
            </w:pPr>
            <w:r>
              <w:rPr>
                <w:rFonts w:asciiTheme="majorHAnsi" w:hAnsiTheme="majorHAnsi" w:cstheme="majorHAnsi"/>
              </w:rPr>
              <w:t>5</w:t>
            </w:r>
          </w:p>
        </w:tc>
      </w:tr>
      <w:tr w:rsidR="00696738" w:rsidRPr="00BE462B" w14:paraId="3CE04B06" w14:textId="77777777" w:rsidTr="003F05F8">
        <w:trPr>
          <w:trHeight w:val="151"/>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4B1B8F"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1.4</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D2601" w14:textId="77777777" w:rsidR="00696738" w:rsidRPr="00BE462B" w:rsidRDefault="00000000">
            <w:pPr>
              <w:rPr>
                <w:rFonts w:asciiTheme="majorHAnsi" w:hAnsiTheme="majorHAnsi" w:cstheme="majorHAnsi"/>
              </w:rPr>
            </w:pPr>
            <w:r w:rsidRPr="00BE462B">
              <w:rPr>
                <w:rFonts w:asciiTheme="majorHAnsi" w:hAnsiTheme="majorHAnsi" w:cstheme="majorHAnsi"/>
              </w:rPr>
              <w:t>Significance of the Research</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579AF3" w14:textId="1D7EE61C" w:rsidR="00696738" w:rsidRPr="00BE462B" w:rsidRDefault="004F2DB4">
            <w:pPr>
              <w:jc w:val="center"/>
              <w:rPr>
                <w:rFonts w:asciiTheme="majorHAnsi" w:hAnsiTheme="majorHAnsi" w:cstheme="majorHAnsi"/>
              </w:rPr>
            </w:pPr>
            <w:r>
              <w:rPr>
                <w:rFonts w:asciiTheme="majorHAnsi" w:hAnsiTheme="majorHAnsi" w:cstheme="majorHAnsi"/>
              </w:rPr>
              <w:t>5</w:t>
            </w:r>
          </w:p>
        </w:tc>
      </w:tr>
      <w:tr w:rsidR="00696738" w:rsidRPr="00BE462B" w14:paraId="6BC9E78B"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AAEAA4"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2</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F857AA" w14:textId="77777777" w:rsidR="00696738" w:rsidRPr="00BE462B" w:rsidRDefault="00000000">
            <w:pPr>
              <w:rPr>
                <w:rFonts w:asciiTheme="majorHAnsi" w:hAnsiTheme="majorHAnsi" w:cstheme="majorHAnsi"/>
              </w:rPr>
            </w:pPr>
            <w:r w:rsidRPr="00BE462B">
              <w:rPr>
                <w:rFonts w:asciiTheme="majorHAnsi" w:hAnsiTheme="majorHAnsi" w:cstheme="majorHAnsi"/>
                <w:b/>
                <w:bCs/>
              </w:rPr>
              <w:t>Literature Review</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7F68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6</w:t>
            </w:r>
          </w:p>
        </w:tc>
      </w:tr>
      <w:tr w:rsidR="00696738" w:rsidRPr="00BE462B" w14:paraId="68C8529F"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C4B06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2.1</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0A229" w14:textId="77777777" w:rsidR="00696738" w:rsidRPr="00BE462B" w:rsidRDefault="00000000">
            <w:pPr>
              <w:rPr>
                <w:rFonts w:asciiTheme="majorHAnsi" w:hAnsiTheme="majorHAnsi" w:cstheme="majorHAnsi"/>
              </w:rPr>
            </w:pPr>
            <w:r w:rsidRPr="00BE462B">
              <w:rPr>
                <w:rFonts w:asciiTheme="majorHAnsi" w:hAnsiTheme="majorHAnsi" w:cstheme="majorHAnsi"/>
              </w:rPr>
              <w:t>From Deep Learning to LLMs in Malware Analysis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49B598"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6</w:t>
            </w:r>
          </w:p>
        </w:tc>
      </w:tr>
      <w:tr w:rsidR="00696738" w:rsidRPr="00BE462B" w14:paraId="275317EF"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685C3"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2.2</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6682D" w14:textId="77777777" w:rsidR="00696738" w:rsidRPr="00BE462B" w:rsidRDefault="00000000">
            <w:pPr>
              <w:rPr>
                <w:rFonts w:asciiTheme="majorHAnsi" w:hAnsiTheme="majorHAnsi" w:cstheme="majorHAnsi"/>
              </w:rPr>
            </w:pPr>
            <w:r w:rsidRPr="00BE462B">
              <w:rPr>
                <w:rFonts w:asciiTheme="majorHAnsi" w:hAnsiTheme="majorHAnsi" w:cstheme="majorHAnsi"/>
              </w:rPr>
              <w:t>LLMs for Binary Decompilation and Function-Level Understanding</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A7541F"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6</w:t>
            </w:r>
          </w:p>
        </w:tc>
      </w:tr>
      <w:tr w:rsidR="00696738" w:rsidRPr="00BE462B" w14:paraId="34432D82"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9EA2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2.3</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92BE5" w14:textId="77777777" w:rsidR="00696738" w:rsidRPr="00BE462B" w:rsidRDefault="00000000">
            <w:pPr>
              <w:rPr>
                <w:rFonts w:asciiTheme="majorHAnsi" w:hAnsiTheme="majorHAnsi" w:cstheme="majorHAnsi"/>
              </w:rPr>
            </w:pPr>
            <w:r w:rsidRPr="00BE462B">
              <w:rPr>
                <w:rFonts w:asciiTheme="majorHAnsi" w:hAnsiTheme="majorHAnsi" w:cstheme="majorHAnsi"/>
              </w:rPr>
              <w:t>Obfuscation as a Persistent Challenge</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5B37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6</w:t>
            </w:r>
          </w:p>
        </w:tc>
      </w:tr>
      <w:tr w:rsidR="00696738" w:rsidRPr="00BE462B" w14:paraId="62C933B8"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359412"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2.4</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7E20B9" w14:textId="77777777" w:rsidR="00696738" w:rsidRPr="00BE462B" w:rsidRDefault="00000000">
            <w:pPr>
              <w:rPr>
                <w:rFonts w:asciiTheme="majorHAnsi" w:hAnsiTheme="majorHAnsi" w:cstheme="majorHAnsi"/>
              </w:rPr>
            </w:pPr>
            <w:r w:rsidRPr="00BE462B">
              <w:rPr>
                <w:rFonts w:asciiTheme="majorHAnsi" w:hAnsiTheme="majorHAnsi" w:cstheme="majorHAnsi"/>
              </w:rPr>
              <w:t>Context-Focused and Tool-Augmented Reverse Engineering</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BA3D29"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7</w:t>
            </w:r>
          </w:p>
        </w:tc>
      </w:tr>
      <w:tr w:rsidR="00696738" w:rsidRPr="00BE462B" w14:paraId="52DD4E6C"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2145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2.5</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6399DD" w14:textId="77777777" w:rsidR="00696738" w:rsidRPr="00BE462B" w:rsidRDefault="00000000">
            <w:pPr>
              <w:rPr>
                <w:rFonts w:asciiTheme="majorHAnsi" w:hAnsiTheme="majorHAnsi" w:cstheme="majorHAnsi"/>
              </w:rPr>
            </w:pPr>
            <w:r w:rsidRPr="00BE462B">
              <w:rPr>
                <w:rFonts w:asciiTheme="majorHAnsi" w:hAnsiTheme="majorHAnsi" w:cstheme="majorHAnsi"/>
              </w:rPr>
              <w:t>Theoretical and Technical Frameworks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126C9A"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7</w:t>
            </w:r>
          </w:p>
        </w:tc>
      </w:tr>
      <w:tr w:rsidR="00696738" w:rsidRPr="00BE462B" w14:paraId="618EAE4F"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167674"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2.6</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CB0539" w14:textId="77777777" w:rsidR="00696738" w:rsidRPr="00BE462B" w:rsidRDefault="00000000">
            <w:pPr>
              <w:rPr>
                <w:rFonts w:asciiTheme="majorHAnsi" w:hAnsiTheme="majorHAnsi" w:cstheme="majorHAnsi"/>
              </w:rPr>
            </w:pPr>
            <w:r w:rsidRPr="00BE462B">
              <w:rPr>
                <w:rFonts w:asciiTheme="majorHAnsi" w:hAnsiTheme="majorHAnsi" w:cstheme="majorHAnsi"/>
              </w:rPr>
              <w:t>Summary of Reviewed Studies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9447AD"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8</w:t>
            </w:r>
          </w:p>
        </w:tc>
      </w:tr>
      <w:tr w:rsidR="00696738" w:rsidRPr="00BE462B" w14:paraId="14586E58" w14:textId="77777777" w:rsidTr="003F05F8">
        <w:trPr>
          <w:trHeight w:val="46"/>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1ED35"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2.7</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5E24B" w14:textId="77777777" w:rsidR="00696738" w:rsidRPr="00BE462B" w:rsidRDefault="00000000">
            <w:pPr>
              <w:rPr>
                <w:rFonts w:asciiTheme="majorHAnsi" w:hAnsiTheme="majorHAnsi" w:cstheme="majorHAnsi"/>
              </w:rPr>
            </w:pPr>
            <w:r w:rsidRPr="00BE462B">
              <w:rPr>
                <w:rFonts w:asciiTheme="majorHAnsi" w:hAnsiTheme="majorHAnsi" w:cstheme="majorHAnsi"/>
              </w:rPr>
              <w:t>Position of the Present Study</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7417E" w14:textId="02927CC0" w:rsidR="00696738" w:rsidRPr="00BE462B" w:rsidRDefault="004F2DB4">
            <w:pPr>
              <w:jc w:val="center"/>
              <w:rPr>
                <w:rFonts w:asciiTheme="majorHAnsi" w:hAnsiTheme="majorHAnsi" w:cstheme="majorHAnsi"/>
              </w:rPr>
            </w:pPr>
            <w:r>
              <w:rPr>
                <w:rFonts w:asciiTheme="majorHAnsi" w:hAnsiTheme="majorHAnsi" w:cstheme="majorHAnsi"/>
              </w:rPr>
              <w:t>9</w:t>
            </w:r>
          </w:p>
        </w:tc>
      </w:tr>
      <w:tr w:rsidR="00696738" w:rsidRPr="00BE462B" w14:paraId="646FCAE1"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DEB34"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3</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84FD70" w14:textId="77777777" w:rsidR="00696738" w:rsidRPr="00BE462B" w:rsidRDefault="00000000">
            <w:pPr>
              <w:rPr>
                <w:rFonts w:asciiTheme="majorHAnsi" w:hAnsiTheme="majorHAnsi" w:cstheme="majorHAnsi"/>
              </w:rPr>
            </w:pPr>
            <w:r w:rsidRPr="00BE462B">
              <w:rPr>
                <w:rFonts w:asciiTheme="majorHAnsi" w:hAnsiTheme="majorHAnsi" w:cstheme="majorHAnsi"/>
                <w:b/>
                <w:bCs/>
              </w:rPr>
              <w:t>Research Design and Methodology</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B7978" w14:textId="61651163" w:rsidR="00696738" w:rsidRPr="00BE462B" w:rsidRDefault="00D35B16">
            <w:pPr>
              <w:jc w:val="center"/>
              <w:rPr>
                <w:rFonts w:asciiTheme="majorHAnsi" w:hAnsiTheme="majorHAnsi" w:cstheme="majorHAnsi"/>
              </w:rPr>
            </w:pPr>
            <w:r>
              <w:rPr>
                <w:rFonts w:asciiTheme="majorHAnsi" w:hAnsiTheme="majorHAnsi" w:cstheme="majorHAnsi"/>
              </w:rPr>
              <w:t>10</w:t>
            </w:r>
          </w:p>
        </w:tc>
      </w:tr>
      <w:tr w:rsidR="00696738" w:rsidRPr="00BE462B" w14:paraId="2F304889"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71539"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3.1</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5EC60" w14:textId="77777777" w:rsidR="00696738" w:rsidRPr="00BE462B" w:rsidRDefault="00000000">
            <w:pPr>
              <w:rPr>
                <w:rFonts w:asciiTheme="majorHAnsi" w:hAnsiTheme="majorHAnsi" w:cstheme="majorHAnsi"/>
              </w:rPr>
            </w:pPr>
            <w:r w:rsidRPr="00BE462B">
              <w:rPr>
                <w:rFonts w:asciiTheme="majorHAnsi" w:hAnsiTheme="majorHAnsi" w:cstheme="majorHAnsi"/>
              </w:rPr>
              <w:t>Research Design</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C9C8FC" w14:textId="4C83DB84" w:rsidR="00696738" w:rsidRPr="00BE462B" w:rsidRDefault="00D35B16">
            <w:pPr>
              <w:jc w:val="center"/>
              <w:rPr>
                <w:rFonts w:asciiTheme="majorHAnsi" w:hAnsiTheme="majorHAnsi" w:cstheme="majorHAnsi"/>
              </w:rPr>
            </w:pPr>
            <w:r>
              <w:rPr>
                <w:rFonts w:asciiTheme="majorHAnsi" w:hAnsiTheme="majorHAnsi" w:cstheme="majorHAnsi"/>
              </w:rPr>
              <w:t>10</w:t>
            </w:r>
          </w:p>
        </w:tc>
      </w:tr>
      <w:tr w:rsidR="00696738" w:rsidRPr="00BE462B" w14:paraId="4EEB1F05"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B7334"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3.2</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5F7E03" w14:textId="77777777" w:rsidR="00696738" w:rsidRPr="00BE462B" w:rsidRDefault="00000000">
            <w:pPr>
              <w:rPr>
                <w:rFonts w:asciiTheme="majorHAnsi" w:hAnsiTheme="majorHAnsi" w:cstheme="majorHAnsi"/>
              </w:rPr>
            </w:pPr>
            <w:r w:rsidRPr="00BE462B">
              <w:rPr>
                <w:rFonts w:asciiTheme="majorHAnsi" w:hAnsiTheme="majorHAnsi" w:cstheme="majorHAnsi"/>
              </w:rPr>
              <w:t>Research Methods and Materials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2170C" w14:textId="2690D3B5" w:rsidR="00696738" w:rsidRPr="00BE462B" w:rsidRDefault="00D35B16">
            <w:pPr>
              <w:jc w:val="center"/>
              <w:rPr>
                <w:rFonts w:asciiTheme="majorHAnsi" w:hAnsiTheme="majorHAnsi" w:cstheme="majorHAnsi"/>
              </w:rPr>
            </w:pPr>
            <w:r>
              <w:rPr>
                <w:rFonts w:asciiTheme="majorHAnsi" w:hAnsiTheme="majorHAnsi" w:cstheme="majorHAnsi"/>
              </w:rPr>
              <w:t>10</w:t>
            </w:r>
          </w:p>
        </w:tc>
      </w:tr>
      <w:tr w:rsidR="00696738" w:rsidRPr="00BE462B" w14:paraId="719AA331"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1DFBB"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4</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C0C567" w14:textId="77777777" w:rsidR="00696738" w:rsidRPr="00BE462B" w:rsidRDefault="00000000">
            <w:pPr>
              <w:rPr>
                <w:rFonts w:asciiTheme="majorHAnsi" w:hAnsiTheme="majorHAnsi" w:cstheme="majorHAnsi"/>
              </w:rPr>
            </w:pPr>
            <w:r w:rsidRPr="00BE462B">
              <w:rPr>
                <w:rFonts w:asciiTheme="majorHAnsi" w:hAnsiTheme="majorHAnsi" w:cstheme="majorHAnsi"/>
                <w:b/>
                <w:bCs/>
              </w:rPr>
              <w:t>Expected Outcomes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1CA4B" w14:textId="77777777" w:rsidR="00696738" w:rsidRPr="00BE462B" w:rsidRDefault="00000000">
            <w:pPr>
              <w:jc w:val="center"/>
              <w:rPr>
                <w:rFonts w:asciiTheme="majorHAnsi" w:hAnsiTheme="majorHAnsi" w:cstheme="majorHAnsi"/>
              </w:rPr>
            </w:pPr>
            <w:r w:rsidRPr="00BE462B">
              <w:rPr>
                <w:rFonts w:asciiTheme="majorHAnsi" w:hAnsiTheme="majorHAnsi" w:cstheme="majorHAnsi"/>
              </w:rPr>
              <w:t>12</w:t>
            </w:r>
          </w:p>
        </w:tc>
      </w:tr>
      <w:tr w:rsidR="00696738" w:rsidRPr="00BE462B" w14:paraId="42948B21"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38A0F"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5</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8433A5" w14:textId="77777777" w:rsidR="00696738" w:rsidRPr="00BE462B" w:rsidRDefault="00000000">
            <w:pPr>
              <w:rPr>
                <w:rFonts w:asciiTheme="majorHAnsi" w:hAnsiTheme="majorHAnsi" w:cstheme="majorHAnsi"/>
              </w:rPr>
            </w:pPr>
            <w:r w:rsidRPr="00BE462B">
              <w:rPr>
                <w:rFonts w:asciiTheme="majorHAnsi" w:hAnsiTheme="majorHAnsi" w:cstheme="majorHAnsi"/>
                <w:b/>
                <w:bCs/>
              </w:rPr>
              <w:t>Timeline</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BE24BF" w14:textId="6F7F9F67" w:rsidR="00696738" w:rsidRPr="00BE462B" w:rsidRDefault="00000000">
            <w:pPr>
              <w:jc w:val="center"/>
              <w:rPr>
                <w:rFonts w:asciiTheme="majorHAnsi" w:hAnsiTheme="majorHAnsi" w:cstheme="majorHAnsi"/>
              </w:rPr>
            </w:pPr>
            <w:r w:rsidRPr="00BE462B">
              <w:rPr>
                <w:rFonts w:asciiTheme="majorHAnsi" w:hAnsiTheme="majorHAnsi" w:cstheme="majorHAnsi"/>
              </w:rPr>
              <w:t>1</w:t>
            </w:r>
            <w:r w:rsidR="00D35B16">
              <w:rPr>
                <w:rFonts w:asciiTheme="majorHAnsi" w:hAnsiTheme="majorHAnsi" w:cstheme="majorHAnsi"/>
              </w:rPr>
              <w:t>3</w:t>
            </w:r>
          </w:p>
        </w:tc>
      </w:tr>
      <w:tr w:rsidR="00696738" w:rsidRPr="00BE462B" w14:paraId="3B1662B8"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A3F5D"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6</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4DAC7A" w14:textId="77777777" w:rsidR="00696738" w:rsidRPr="00BE462B" w:rsidRDefault="00000000">
            <w:pPr>
              <w:rPr>
                <w:rFonts w:asciiTheme="majorHAnsi" w:hAnsiTheme="majorHAnsi" w:cstheme="majorHAnsi"/>
              </w:rPr>
            </w:pPr>
            <w:r w:rsidRPr="00BE462B">
              <w:rPr>
                <w:rFonts w:asciiTheme="majorHAnsi" w:hAnsiTheme="majorHAnsi" w:cstheme="majorHAnsi"/>
                <w:b/>
                <w:bCs/>
              </w:rPr>
              <w:t>Overall Presentation of the Proposal</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DE880D" w14:textId="0E0BD7A8" w:rsidR="00696738" w:rsidRPr="00BE462B" w:rsidRDefault="00000000">
            <w:pPr>
              <w:jc w:val="center"/>
              <w:rPr>
                <w:rFonts w:asciiTheme="majorHAnsi" w:hAnsiTheme="majorHAnsi" w:cstheme="majorHAnsi"/>
              </w:rPr>
            </w:pPr>
            <w:r w:rsidRPr="00BE462B">
              <w:rPr>
                <w:rFonts w:asciiTheme="majorHAnsi" w:hAnsiTheme="majorHAnsi" w:cstheme="majorHAnsi"/>
              </w:rPr>
              <w:t>1</w:t>
            </w:r>
            <w:r w:rsidR="00D35B16">
              <w:rPr>
                <w:rFonts w:asciiTheme="majorHAnsi" w:hAnsiTheme="majorHAnsi" w:cstheme="majorHAnsi"/>
              </w:rPr>
              <w:t>4</w:t>
            </w:r>
          </w:p>
        </w:tc>
      </w:tr>
      <w:tr w:rsidR="00696738" w:rsidRPr="00BE462B" w14:paraId="1CEDB3D8" w14:textId="77777777" w:rsidTr="003F05F8">
        <w:trPr>
          <w:trHeight w:val="15"/>
        </w:trPr>
        <w:tc>
          <w:tcPr>
            <w:tcW w:w="9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D5FA65" w14:textId="77777777" w:rsidR="00696738" w:rsidRPr="00BE462B" w:rsidRDefault="00000000">
            <w:pPr>
              <w:jc w:val="center"/>
              <w:rPr>
                <w:rFonts w:asciiTheme="majorHAnsi" w:hAnsiTheme="majorHAnsi" w:cstheme="majorHAnsi"/>
              </w:rPr>
            </w:pPr>
            <w:r w:rsidRPr="00BE462B">
              <w:rPr>
                <w:rFonts w:asciiTheme="majorHAnsi" w:hAnsiTheme="majorHAnsi" w:cstheme="majorHAnsi"/>
                <w:b/>
                <w:bCs/>
              </w:rPr>
              <w:t>7</w:t>
            </w:r>
          </w:p>
        </w:tc>
        <w:tc>
          <w:tcPr>
            <w:tcW w:w="72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F3CE74" w14:textId="77777777" w:rsidR="00696738" w:rsidRPr="00BE462B" w:rsidRDefault="00000000">
            <w:pPr>
              <w:rPr>
                <w:rFonts w:asciiTheme="majorHAnsi" w:hAnsiTheme="majorHAnsi" w:cstheme="majorHAnsi"/>
              </w:rPr>
            </w:pPr>
            <w:r w:rsidRPr="00BE462B">
              <w:rPr>
                <w:rFonts w:asciiTheme="majorHAnsi" w:hAnsiTheme="majorHAnsi" w:cstheme="majorHAnsi"/>
                <w:b/>
                <w:bCs/>
              </w:rPr>
              <w:t>References</w:t>
            </w:r>
          </w:p>
        </w:tc>
        <w:tc>
          <w:tcPr>
            <w:tcW w:w="11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442935" w14:textId="477101A5" w:rsidR="00696738" w:rsidRPr="00BE462B" w:rsidRDefault="00000000">
            <w:pPr>
              <w:jc w:val="center"/>
              <w:rPr>
                <w:rFonts w:asciiTheme="majorHAnsi" w:hAnsiTheme="majorHAnsi" w:cstheme="majorHAnsi"/>
              </w:rPr>
            </w:pPr>
            <w:r w:rsidRPr="00BE462B">
              <w:rPr>
                <w:rFonts w:asciiTheme="majorHAnsi" w:hAnsiTheme="majorHAnsi" w:cstheme="majorHAnsi"/>
              </w:rPr>
              <w:t>1</w:t>
            </w:r>
            <w:r w:rsidR="00D35B16">
              <w:rPr>
                <w:rFonts w:asciiTheme="majorHAnsi" w:hAnsiTheme="majorHAnsi" w:cstheme="majorHAnsi"/>
              </w:rPr>
              <w:t>5</w:t>
            </w:r>
          </w:p>
        </w:tc>
      </w:tr>
    </w:tbl>
    <w:p w14:paraId="661913EC" w14:textId="77777777" w:rsidR="00696738" w:rsidRPr="00BE462B" w:rsidRDefault="00696738">
      <w:pPr>
        <w:rPr>
          <w:rFonts w:asciiTheme="majorHAnsi" w:eastAsia="Calibri" w:hAnsiTheme="majorHAnsi" w:cstheme="majorHAnsi"/>
          <w:b/>
          <w:bCs/>
          <w:sz w:val="22"/>
          <w:szCs w:val="22"/>
        </w:rPr>
      </w:pPr>
    </w:p>
    <w:p w14:paraId="6B1E3640" w14:textId="77777777" w:rsidR="00696738" w:rsidRPr="00BE462B" w:rsidRDefault="00000000" w:rsidP="0036746E">
      <w:pPr>
        <w:rPr>
          <w:rFonts w:asciiTheme="majorHAnsi" w:eastAsia="Calibri" w:hAnsiTheme="majorHAnsi" w:cstheme="majorHAnsi"/>
          <w:color w:val="000000"/>
          <w:sz w:val="27"/>
          <w:szCs w:val="27"/>
        </w:rPr>
      </w:pPr>
      <w:r w:rsidRPr="00BE462B">
        <w:rPr>
          <w:rFonts w:asciiTheme="majorHAnsi" w:hAnsiTheme="majorHAnsi" w:cstheme="majorHAnsi"/>
        </w:rPr>
        <w:br w:type="page"/>
      </w:r>
    </w:p>
    <w:p w14:paraId="01141636" w14:textId="77777777" w:rsidR="00696738" w:rsidRPr="00BE462B" w:rsidRDefault="0000000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1. Introduction</w:t>
      </w:r>
    </w:p>
    <w:p w14:paraId="7AA4CAE3"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1.1 Context and Background</w:t>
      </w:r>
    </w:p>
    <w:p w14:paraId="372526F9"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Reverse Engineering (RE) is typically the act of analysing a system to determine its different components and how they are connected and to re-create a representation of the system at a more abstract level that reflects its design and implementation [1]. In security, RE is used with compiled files not source code, as in most cases an analyst would not have access to any other. While the work has been made accessible through tools such as Ghidra [2] which is an extensible, free, disassembler and decompiler, its basic steps involve reading machine code and reconstructing intent, which require a great deal of human expertise, acquired over years of practice and following steps that haven't changed too much since they were first codified for general audiences [3].</w:t>
      </w:r>
    </w:p>
    <w:p w14:paraId="2754F91F"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What has changed in the recent times is the introduction of an almost viable tool to this process: Large Language Models (LLMs). Later applications recognize LLMs as an assistant which can help to decompile functions and give a plain language description of their operations, rather than having to reconstruct all their operations line-by-line [4]. To a certain extent, cases have been confirmed in the field: In 2025, a study revealing the state of Linux and IoT malware found that Claude 3.5/3.7 Sonnet provided analysis results of comparable (or even superior) quality when used in conjunction with the r2ai extension for Radare2, with a human analyst providing guidance throughout the process [5]. Tooling has caught up nicely with support for such mode – open-source Model Context Protocol (MCP) bridges enable an LLM to reside within IDA Pro and communicate with the decompiler, fetching cross-references as needed and the results of queries [6]. An entire presentation at Black Hat USA 2025 was devoted to this concept and the name they coined was “clue-driven” reverse engineering: the idea being that rather than asking a model to explain all of the binary, analysts can direct the model to the small number of regions that are suspicious – certain imports, high randomness segments, known packer signatures – and allow it to infer the rest [7].</w:t>
      </w:r>
    </w:p>
    <w:p w14:paraId="282A1A05" w14:textId="01E5EBDD" w:rsidR="00696738" w:rsidRPr="00BE462B" w:rsidRDefault="00FB7119" w:rsidP="00FB7119">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It's pretty clear that this does not hold true when the malware being analyzed is deliberately obfuscated, as that is where auto RE has always faltered the most, and where manual RE takes the longest. Depending on the difficulty of an obfuscated binary code, if an LLM could be pointed at the relevant portions of code and repeatedly trip some portion of it in this fashion, the time between first encountering a binary and having something relevant to say about it could be significantly reduced. The evidence so far is, however, underdeveloped: the clearest representations of ‘clue-driven' practice, although there are few examples, are in a conference talk and a few open-source projects, and do not involve the study being based on isolation of the effect and provision of a baseline for comparison; other than this, the literature relating to LLMs and binary RE is bare.</w:t>
      </w:r>
    </w:p>
    <w:p w14:paraId="6801F878" w14:textId="77777777" w:rsidR="001C0BBC" w:rsidRPr="00BE462B" w:rsidRDefault="001C0BBC">
      <w:pPr>
        <w:rPr>
          <w:rFonts w:asciiTheme="majorHAnsi" w:eastAsia="Calibri" w:hAnsiTheme="majorHAnsi" w:cstheme="majorHAnsi"/>
          <w:b/>
          <w:bCs/>
          <w:color w:val="000000"/>
          <w:sz w:val="23"/>
          <w:szCs w:val="23"/>
        </w:rPr>
      </w:pPr>
      <w:r w:rsidRPr="00BE462B">
        <w:rPr>
          <w:rFonts w:asciiTheme="majorHAnsi" w:eastAsia="Calibri" w:hAnsiTheme="majorHAnsi" w:cstheme="majorHAnsi"/>
          <w:b/>
          <w:bCs/>
          <w:color w:val="000000"/>
          <w:sz w:val="23"/>
          <w:szCs w:val="23"/>
        </w:rPr>
        <w:br w:type="page"/>
      </w:r>
    </w:p>
    <w:p w14:paraId="7235074F" w14:textId="01CB1C1B"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lastRenderedPageBreak/>
        <w:t>1.2 Research Problem</w:t>
      </w:r>
    </w:p>
    <w:p w14:paraId="0024F75A"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There are two hurdles to overcome before the LLM community can trust them to perform obfuscated-malware triage. The first is that in the case of an LLM simply being given a large piece of decompiled output, there is a significant cost for the interaction, might encounter the limitation of context length for any binary other than a small one and – more important – appears to open the floodgates for more hallucinated explanations than if fed from a smaller, more targeted query. Second, if an analyst does resort to focusing a model, they don't always document the rules for doing so in a way that is intuitively obvious to others; if they can do it in one analysts hands, why cannot it be done in the same sort of way with other analysts—the same model with a different malware family?</w:t>
      </w:r>
    </w:p>
    <w:p w14:paraId="2979BE20" w14:textId="5A6E1CFB" w:rsidR="00696738" w:rsidRPr="00BE462B" w:rsidRDefault="00FB7119" w:rsidP="00FB7119">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 xml:space="preserve">The concern about reliability is corroborated by the empirical picture. Pordanesh and Tan demonstrated the performance of GPT-4 on two stages of binary RE – general code interpretation and on a separate stage – malware analysis – and discovered that GPT-4 failed to correctly interpret 46.7% of stealth and anti-analysis techniques [8]. In a larger effort, over one and a half lakh samples of decompiled binary code, Manuel et al. created another benchmark and discovered that current LLMs are still semantically far from generalizing, due to the little support it can get during training from the decompiled-binary data space [9]. A 2025 systematisation of 44 papers and 18 open-source projects </w:t>
      </w:r>
      <w:r w:rsidR="00BE462B" w:rsidRPr="00BE462B">
        <w:rPr>
          <w:rFonts w:asciiTheme="majorHAnsi" w:eastAsia="Calibri" w:hAnsiTheme="majorHAnsi" w:cstheme="majorHAnsi"/>
          <w:sz w:val="22"/>
          <w:szCs w:val="22"/>
        </w:rPr>
        <w:t>identify</w:t>
      </w:r>
      <w:r w:rsidRPr="00BE462B">
        <w:rPr>
          <w:rFonts w:asciiTheme="majorHAnsi" w:eastAsia="Calibri" w:hAnsiTheme="majorHAnsi" w:cstheme="majorHAnsi"/>
          <w:sz w:val="22"/>
          <w:szCs w:val="22"/>
        </w:rPr>
        <w:t xml:space="preserve"> robustness to obfuscation and hallucination mitigation as two among the still more intractable open problems, while also noting that there are inconsistencies in the definition of the problems which makes comparing results difficult [10]. That's not to say another such demonstration of the potential for using LLM in RE isn't needed – it is – but it is not an explanation of how precisely a clue is defined, how it is weighed and how it should influence the back-and-forth dynamics between the LLM and the decompiler… and then test it against a baseline of unstructured input and commercial tooling.</w:t>
      </w:r>
    </w:p>
    <w:p w14:paraId="3E7F8A32"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1.3 Research Aim and Objectives</w:t>
      </w:r>
    </w:p>
    <w:p w14:paraId="0C17DEDC" w14:textId="77777777" w:rsidR="00FB7119" w:rsidRPr="00BE462B" w:rsidRDefault="00FB7119" w:rsidP="00BE462B">
      <w:pPr>
        <w:rPr>
          <w:rFonts w:eastAsia="Calibri"/>
        </w:rPr>
      </w:pPr>
      <w:r w:rsidRPr="00BE462B">
        <w:rPr>
          <w:rFonts w:eastAsia="Calibri"/>
        </w:rPr>
        <w:t>Objective: build and evaluate the validity of an LLM framework driven by the clues to reverse engineer the obfuscated malware and determine if having an explicit taxonomy of clues aids the accuracy, speed and reliability of the analysis compared with either unstructured LLM analysis or traditional automated tools.</w:t>
      </w:r>
    </w:p>
    <w:p w14:paraId="0ACD5021" w14:textId="77777777" w:rsidR="00FB7119" w:rsidRPr="00BE462B" w:rsidRDefault="00FB7119" w:rsidP="00FB7119">
      <w:pPr>
        <w:pStyle w:val="Heading2"/>
        <w:spacing w:before="200" w:after="110"/>
        <w:rPr>
          <w:rFonts w:asciiTheme="majorHAnsi" w:eastAsia="Calibri" w:hAnsiTheme="majorHAnsi" w:cstheme="majorHAnsi"/>
          <w:color w:val="auto"/>
          <w:sz w:val="22"/>
          <w:szCs w:val="22"/>
        </w:rPr>
      </w:pPr>
      <w:r w:rsidRPr="00BE462B">
        <w:rPr>
          <w:rFonts w:asciiTheme="majorHAnsi" w:eastAsia="Calibri" w:hAnsiTheme="majorHAnsi" w:cstheme="majorHAnsi"/>
          <w:color w:val="auto"/>
          <w:sz w:val="22"/>
          <w:szCs w:val="22"/>
        </w:rPr>
        <w:t>Objectives:</w:t>
      </w:r>
    </w:p>
    <w:p w14:paraId="0187A9EE" w14:textId="20ECF217" w:rsidR="00FB7119" w:rsidRPr="00BE462B" w:rsidRDefault="00FB7119" w:rsidP="00BE462B">
      <w:pPr>
        <w:pStyle w:val="ListParagraph"/>
        <w:numPr>
          <w:ilvl w:val="0"/>
          <w:numId w:val="3"/>
        </w:numPr>
        <w:rPr>
          <w:rFonts w:eastAsia="Calibri"/>
        </w:rPr>
      </w:pPr>
      <w:r w:rsidRPr="00BE462B">
        <w:rPr>
          <w:rFonts w:eastAsia="Calibri"/>
        </w:rPr>
        <w:t>O1. Specific &amp; Time-bound – By the end of Week 2 take the opportunity to read the literature on LLM-supported malware analysis and reverse engineering, which is currently very abundant and carefully, and get yourself a functional taxonomy of the clues – such as sections with small entropy, sequences of suspicious imports/APIs, packer signatures, strings, and control flow artefacts – that can automatically be extracted from a binary. Measurable: there must be at least 4 category descriptions of clues that can be extracted from the taxonomy. Achievable: leverages existing methods/technologies in static analysis (entropy analysis, import inspection). Connection: demonstrates how it gets the student ready for later objectives.</w:t>
      </w:r>
    </w:p>
    <w:p w14:paraId="4C8EBBD1" w14:textId="6D8AEE75" w:rsidR="00FB7119" w:rsidRPr="00BE462B" w:rsidRDefault="00FB7119" w:rsidP="00BE462B">
      <w:pPr>
        <w:pStyle w:val="ListParagraph"/>
        <w:numPr>
          <w:ilvl w:val="0"/>
          <w:numId w:val="3"/>
        </w:numPr>
        <w:rPr>
          <w:rFonts w:eastAsia="Calibri"/>
        </w:rPr>
      </w:pPr>
      <w:r w:rsidRPr="00BE462B">
        <w:rPr>
          <w:rFonts w:eastAsia="Calibri"/>
        </w:rPr>
        <w:t>O2. Specific &amp; Measurable: By Week 7, create an extraction pipeline that extracts clues and implements a combined analysis of suspicion of functions or regions in an obfuscated binary, with static and light dynamic analysis - and validate on a test set of at least 10 sample binaries. Achievable: Not using novel instrumentation, but rather using existing libraries (peek at pefile/lief). Relevant &amp; Time-bound: provides the input into triage that O3 needs in phase 3 (Weeks 5-7)</w:t>
      </w:r>
    </w:p>
    <w:p w14:paraId="1AC82F26" w14:textId="16F4C6CF" w:rsidR="00FB7119" w:rsidRPr="00BE462B" w:rsidRDefault="00FB7119" w:rsidP="00BE462B">
      <w:pPr>
        <w:pStyle w:val="ListParagraph"/>
        <w:numPr>
          <w:ilvl w:val="0"/>
          <w:numId w:val="3"/>
        </w:numPr>
        <w:rPr>
          <w:rFonts w:eastAsia="Calibri"/>
        </w:rPr>
      </w:pPr>
      <w:r w:rsidRPr="00BE462B">
        <w:rPr>
          <w:rFonts w:eastAsia="Calibri"/>
        </w:rPr>
        <w:t>O3. Specific: Develop an LLM Orchestration layer by Week 7 that interfaces with the decompiler via a tool-calling API to make intelligent and iterative queries based on a ranked list of clues provided by O2, different from the "one shot" approach of providing the code directly to the LLM. Measurable: success is when the layer is able to complete at least three iterative query–response cycles per sample without manual intervention. Achievable &amp; Relevant: The pattern the MCP based decompiler bridge is implemented and demonstrated in the literature [6] is re-used. Time-bound: can be done in collaboration with O2 in Phase 3.</w:t>
      </w:r>
    </w:p>
    <w:p w14:paraId="0CC58B2A" w14:textId="38402627" w:rsidR="00FB7119" w:rsidRPr="00BE462B" w:rsidRDefault="00FB7119" w:rsidP="00BE462B">
      <w:pPr>
        <w:pStyle w:val="ListParagraph"/>
        <w:numPr>
          <w:ilvl w:val="0"/>
          <w:numId w:val="3"/>
        </w:numPr>
        <w:rPr>
          <w:rFonts w:eastAsia="Calibri"/>
        </w:rPr>
      </w:pPr>
      <w:r w:rsidRPr="00BE462B">
        <w:rPr>
          <w:rFonts w:eastAsia="Calibri"/>
        </w:rPr>
        <w:lastRenderedPageBreak/>
        <w:t>O4. Specific &amp; Measurable: No later than Week 4, create an evaluation benchmark consisting of 60-80 obfuscated malware samples from a minimum of three different classes of obfuscation (generic packing, control-flow flattening, string/API crypting); each of the samples must be individually labellized by the researcher, based on public threat-intelligence sources. Achievable: Providing a scope for the sample volume which one researcher could label reliably in the 12 week period. Relevant: provides O5 with a dataset that allows statistics to be run on it. Time-bound: Data collection and data labelling finished before phase 4 piloting is started.</w:t>
      </w:r>
    </w:p>
    <w:p w14:paraId="1178933E" w14:textId="0B5EA221" w:rsidR="00FB7119" w:rsidRPr="00BE462B" w:rsidRDefault="00FB7119" w:rsidP="00BE462B">
      <w:pPr>
        <w:pStyle w:val="ListParagraph"/>
        <w:numPr>
          <w:ilvl w:val="0"/>
          <w:numId w:val="3"/>
        </w:numPr>
        <w:rPr>
          <w:rFonts w:eastAsia="Calibri"/>
        </w:rPr>
      </w:pPr>
      <w:r w:rsidRPr="00BE462B">
        <w:rPr>
          <w:rFonts w:eastAsia="Calibri"/>
        </w:rPr>
        <w:t>O5. Specific &amp; Measurable: Report the accuracy (F1 for each malware capability), the hallucination rate and the analyst time to insight per obfuscation class for the clue-driven framework, (i) the same LLM without clue prioritisation and (ii) conventional automated tooling. Achievable: This is because a repeated-measures design using the same sample set prevents an uncontrolled comparison. Relevant &amp; Time-bound: This is the fundamental: test of the research aim which is conducted during O5 post-pilot in the de-risked pipeline.</w:t>
      </w:r>
    </w:p>
    <w:p w14:paraId="7DF90216" w14:textId="09E8B83C" w:rsidR="00FB7119" w:rsidRPr="00BE462B" w:rsidRDefault="00FB7119" w:rsidP="00BE462B">
      <w:pPr>
        <w:pStyle w:val="ListParagraph"/>
        <w:numPr>
          <w:ilvl w:val="0"/>
          <w:numId w:val="3"/>
        </w:numPr>
        <w:rPr>
          <w:rFonts w:eastAsia="Calibri"/>
        </w:rPr>
      </w:pPr>
      <w:r w:rsidRPr="00BE462B">
        <w:rPr>
          <w:rFonts w:eastAsia="Calibri"/>
        </w:rPr>
        <w:t>O6. Specific: In Week 12, look at which obfuscation techniques are immune to the 1st person perspective of the clue-driven approach, and at the potential for adaption of a working taxonomy of such clues. Measurable: mapping failure modes into a given taxonomy of standardized recurring failure types from the reasoning-trace analysis process. Achievable &amp; Relevant: relies on data that is already collected within the umbrella of O5 – doesn't create any new data-collection burden. Time-bound: to be completed in the write up window for Phase 6.</w:t>
      </w:r>
    </w:p>
    <w:p w14:paraId="4C0DC9F0" w14:textId="094A2EFB" w:rsidR="00696738" w:rsidRPr="00BE462B" w:rsidRDefault="00000000" w:rsidP="00FB7119">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1.4 Significance of the Research</w:t>
      </w:r>
    </w:p>
    <w:p w14:paraId="17C8080B" w14:textId="4AE51CF9" w:rsidR="00696738" w:rsidRPr="00BE462B" w:rsidRDefault="00FB7119">
      <w:pPr>
        <w:rPr>
          <w:rFonts w:asciiTheme="majorHAnsi" w:hAnsiTheme="majorHAnsi" w:cstheme="majorHAnsi"/>
        </w:rPr>
      </w:pPr>
      <w:r w:rsidRPr="00BE462B">
        <w:rPr>
          <w:rFonts w:asciiTheme="majorHAnsi" w:eastAsia="Calibri" w:hAnsiTheme="majorHAnsi" w:cstheme="majorHAnsi"/>
          <w:sz w:val="22"/>
          <w:szCs w:val="22"/>
        </w:rPr>
        <w:t>The academic need may be extrapolated from the previously stated lack of a reproduceable documented benchmarked case of clue driven LLM reverse engineering – only a convincing demonstration of the concept exists [10]. The former is more "combidiscide" – as malware analysis teams deal with more samples than can be investigated by hand, a "clue" driven method, once validated, could be quicker from a new sample to a usable signature without sacrificing accuracy. In addition to the actual framework, reusable clue taxonomy, an evaluation benchmark that can be built upon by others and a better understanding of the still-untrusted frontier for unsupervised LLM assisted RE should NOT be left behind.</w:t>
      </w:r>
      <w:r w:rsidRPr="00BE462B">
        <w:rPr>
          <w:rFonts w:asciiTheme="majorHAnsi" w:hAnsiTheme="majorHAnsi" w:cstheme="majorHAnsi"/>
        </w:rPr>
        <w:br w:type="page"/>
      </w:r>
    </w:p>
    <w:p w14:paraId="6FE94A50" w14:textId="77777777" w:rsidR="00696738" w:rsidRPr="00BE462B" w:rsidRDefault="0000000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2. Literature Review</w:t>
      </w:r>
    </w:p>
    <w:p w14:paraId="447B612F" w14:textId="77777777" w:rsidR="00FB7119" w:rsidRPr="00BE462B" w:rsidRDefault="00FB7119" w:rsidP="00BE462B">
      <w:pPr>
        <w:rPr>
          <w:rFonts w:eastAsia="Calibri"/>
        </w:rPr>
      </w:pPr>
      <w:r w:rsidRPr="00BE462B">
        <w:rPr>
          <w:rFonts w:eastAsia="Calibri"/>
        </w:rPr>
        <w:t>This review is based on publications and pre-prints since about 2023 and up to 2026, on the subject of binary decompilation, malware classification, and tool-altered or “agentic” reverse engineering. Purposefully omits work that only ever examines source code, as the issue of obfuscation this proposal addresses are related to compiled binaries.</w:t>
      </w:r>
    </w:p>
    <w:p w14:paraId="740B18F9" w14:textId="5DF61473"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2.1 From Deep Learning to LLMs in Malware Analysis</w:t>
      </w:r>
    </w:p>
    <w:p w14:paraId="5D1FA833" w14:textId="070B8D77" w:rsidR="009F2E58" w:rsidRPr="00BE462B" w:rsidRDefault="00FB7119" w:rsidP="009F2E58">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Until LLMs, the majority of the feature engineering was for a hand-engineered feature set, downstream of which was a specialised transformer model that was trained with code or byte sequences. They were no too bad handling known families, but got a bit weaker with obfuscation and they also had a touchy tendency to not be able to describe themselves very well [4]. But the change in paradigm was by general-purpose LLMs that, rather than merely an answer to a classification problem, gives a natural-language justification for it, contributing to why the field has taken off in Android and Windows malware summarisation, and context-aware detection [16,17]. The shift is important and not only because of the changed analytical and practical implications, but also because it represents going from a closed to an open, inspectable classification problem: the reasoning of the model is not merely a "black box", but can actually be checked against the disassembly, which is a property the hallucination-rate metric described in the current article exploits directly.</w:t>
      </w:r>
    </w:p>
    <w:p w14:paraId="2284A22B" w14:textId="77777777" w:rsidR="009F2E58" w:rsidRPr="00BE462B" w:rsidRDefault="009F2E58" w:rsidP="009F2E58">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2.2 LLMs for Binary Decompilation and Function-Level Understanding</w:t>
      </w:r>
    </w:p>
    <w:p w14:paraId="451FD8DA" w14:textId="77777777" w:rsidR="00FB7119" w:rsidRPr="00BE462B" w:rsidRDefault="00FB7119" w:rsidP="00BE462B">
      <w:pPr>
        <w:jc w:val="both"/>
        <w:rPr>
          <w:rFonts w:eastAsia="Calibri"/>
        </w:rPr>
      </w:pPr>
      <w:r w:rsidRPr="00BE462B">
        <w:rPr>
          <w:rFonts w:eastAsia="Calibri"/>
        </w:rPr>
        <w:t>An additional line of study examines and questions LLMs directly on decompiled or disassembled code and not just a classification label by itself. A representative study of two phases produced good code interpretation results, but when anti-analysis or stealth was considered, it dropped off dramatically [8]. Using a 150,872-sample, across-architecture and optimisation, decompiled-binary dataset, we investigate the performance of both vulnerabilities detection and function-name recovery, and identify semantic gaps for both in majority related to their low exposure to decompiled-binary code during pretraining [9]. So far on the tooling side domain adapted decompilation models are starting to fill that gap: with one model trained on paired assembly and source code, outperforming both GPT-4o and Ghidra on re-executability benchmarks [12], and another model, trained via continued pretraining, supervised finetuning and preference optimisation, reporting a 13% average lift on function name recovery and variable type inference benchmarks over existing models and general LLMs [13]. None of this explicitly and prioritizes a “clue” which the model will look at first; all of this still judges by the entire function or binary. When read together, these results indicate that the limitation of the model is not its ability to reason broadly, but that it is actually the volume of text—whole text with no structure—that it is required to process simultaneously, when a clue is provided in this set of cases.When considered in light of the preceding results, this suggests that what is limiting the model is not the breadth of reasoning over a function, but more likely the sheer amount of simultaneously-provided text—meaning that the baseline was performed in exactly the same way in both cases.</w:t>
      </w:r>
    </w:p>
    <w:p w14:paraId="2D42E81E" w14:textId="260C68DE" w:rsidR="009F2E58" w:rsidRPr="00BE462B" w:rsidRDefault="009F2E58" w:rsidP="009F2E58">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2.3 Obfuscation as a Persistent Challenge</w:t>
      </w:r>
    </w:p>
    <w:p w14:paraId="675B876B" w14:textId="77777777" w:rsidR="00FB7119" w:rsidRPr="00BE462B" w:rsidRDefault="00FB7119" w:rsidP="00BE462B">
      <w:pPr>
        <w:rPr>
          <w:rFonts w:asciiTheme="majorHAnsi" w:eastAsia="Calibri" w:hAnsiTheme="majorHAnsi" w:cstheme="majorHAnsi"/>
        </w:rPr>
      </w:pPr>
      <w:r w:rsidRPr="00BE462B">
        <w:rPr>
          <w:rFonts w:asciiTheme="majorHAnsi" w:eastAsia="Calibri" w:hAnsiTheme="majorHAnsi" w:cstheme="majorHAnsi"/>
        </w:rPr>
        <w:t>Whether it's one aspect or another, obfuscation resistance is one of the more difficult to solve issues. One study compared the effectiveness of four popular LLMs in deobfuscating actual payloads from the Emotet campaign, and discovered that the rates of deobfuscated accuracy and LLM hallucination typically decreased as the level of obfuscation increased [14]. One study used the same question from the compiler perspective: precision, recall and F1 all declined precipitously with the use of transformations, and were mainly influenced by the model used, with GPT-4o outperforming Gemini Flash 2.5 and Claude Sonnet 4 [15]. The bottom lines of the messages are strikingly similar, namely that obfuscation robustness remains undecided [10] when these different kinds of obfuscation settings are used. The fact that this was found consistently across 4 different LLMs, the compiler level obfuscation suite, and a systematic study of 44 papers is evidence that the easier explanations given for this result – that (a) any particular model or prompt design has somehow quietly solved obfuscation – are a wrong one.</w:t>
      </w:r>
    </w:p>
    <w:p w14:paraId="29B408C6" w14:textId="77777777" w:rsidR="00BE462B" w:rsidRDefault="00BE462B">
      <w:pPr>
        <w:rPr>
          <w:rFonts w:asciiTheme="majorHAnsi" w:eastAsia="Calibri" w:hAnsiTheme="majorHAnsi" w:cstheme="majorHAnsi"/>
          <w:b/>
          <w:bCs/>
          <w:color w:val="000000"/>
          <w:sz w:val="23"/>
          <w:szCs w:val="23"/>
        </w:rPr>
      </w:pPr>
      <w:r>
        <w:rPr>
          <w:rFonts w:asciiTheme="majorHAnsi" w:eastAsia="Calibri" w:hAnsiTheme="majorHAnsi" w:cstheme="majorHAnsi"/>
          <w:b/>
          <w:bCs/>
          <w:color w:val="000000"/>
          <w:sz w:val="23"/>
          <w:szCs w:val="23"/>
        </w:rPr>
        <w:br w:type="page"/>
      </w:r>
    </w:p>
    <w:p w14:paraId="42D05878" w14:textId="4D5AA68B" w:rsidR="009F2E58" w:rsidRPr="00BE462B" w:rsidRDefault="009F2E58" w:rsidP="009F2E58">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lastRenderedPageBreak/>
        <w:t>2.4 Context-Focused and Tool-Augmented Reverse Engineering</w:t>
      </w:r>
    </w:p>
    <w:p w14:paraId="46595276" w14:textId="77777777" w:rsidR="00FB7119" w:rsidRPr="00BE462B" w:rsidRDefault="00FB7119" w:rsidP="009F2E58">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 xml:space="preserve">The project that this proposal would like to construct is similar to two projects already in existence. In Android, one framework composes given “rules” to detect suspicious API calls, then statically extracts the API’s calling functions and control-flow graph, and lastly backwards slices the graph to get rid of everything the LLM will not receive except the security-relevant code, thus a “rule, then slice, then reason” pipeline, analogous to “clue-driven” – but this time on a control-flow graph extracted from bytecode instead of native binaries. Another system – this one built using a vanilla prompting of GPT-4o-mini, but with hierarchical-tiered summarisation and malware-scoped prompting saw 77% categorisation accuracy compared to 49.5% when the vanilla prompt was used – this is not a particularly subtle demonstration that much of the improvement is attributable to how information is presented to the model as well as how it is presented to the prompt [17]. </w:t>
      </w:r>
    </w:p>
    <w:p w14:paraId="4DDEC078" w14:textId="0259B3F4" w:rsidR="009F2E58" w:rsidRPr="00BE462B" w:rsidRDefault="00FB7119" w:rsidP="009F2E58">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The MCP servers used with IDA pro above allow a model to examine the decompiled pseudocode and subsequently request additional disassembly as opposed to operating on a pre-capture snapshot [6] and, according to a study of this continuously-assisted approach to interacting with Radare2, the outcome is equal to – or better than – a model operating alone, with a clearly beneficial timesaving, but still misleads, exaggerates, dubs out aspects that need to be talked back into the true perspective of an experienced analyst [5]. That's the same interactive pattern that the Black Hat USA 2025 talk also falls into, and dubbed the clue driven approach [7]. These are all either single-domain (wide) [16] [17] or informally defined industry practice [5][7] without a formally specified taxonomy corroborated with multiple obfuscation classes and an appropriate baseline. Given the guidelines to books on this, the established models are this trend: all the identified attempts to improve the model involve changing the model representation before reasoning commences: all the identified attempts to improve the model are not stated as an explicit set of rules for reuse: and that is precisely what this proposal's clue taxonomy is trying to address: no explicit statement of a set of rules to be re-used.</w:t>
      </w:r>
    </w:p>
    <w:p w14:paraId="758AA35E" w14:textId="77777777" w:rsidR="009F2E58" w:rsidRPr="00BE462B" w:rsidRDefault="009F2E58" w:rsidP="009F2E58">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2.5 Theoretical and Technical Frameworks</w:t>
      </w:r>
    </w:p>
    <w:p w14:paraId="3489322F" w14:textId="048851B2" w:rsidR="00696738" w:rsidRPr="00BE462B" w:rsidRDefault="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The framework rests on two veteran concepts.</w:t>
      </w:r>
      <w:r w:rsidR="00BE462B" w:rsidRPr="00BE462B">
        <w:rPr>
          <w:rFonts w:asciiTheme="majorHAnsi" w:eastAsia="Calibri" w:hAnsiTheme="majorHAnsi" w:cstheme="majorHAnsi"/>
          <w:sz w:val="22"/>
          <w:szCs w:val="22"/>
        </w:rPr>
        <w:t xml:space="preserve"> </w:t>
      </w:r>
      <w:r w:rsidRPr="00BE462B">
        <w:rPr>
          <w:rFonts w:asciiTheme="majorHAnsi" w:eastAsia="Calibri" w:hAnsiTheme="majorHAnsi" w:cstheme="majorHAnsi"/>
          <w:sz w:val="22"/>
          <w:szCs w:val="22"/>
        </w:rPr>
        <w:t>Each of the two underlying concepts is not new. These are fairly well-known static malware analysis techniques: entropy measurement with the goal of detecting packing or encryption (formalised almost two decades ago [11] and still commonly used in most labs); analysing the import table with a view to identifying suspicious API calls; and string / constant analysis. None of this needs an LLM which is kinda the whole point, it provides a replicable, traceable level of basis for determining what is a clue prior to any model. The second one is the agentic-LLM pattern, which means that the LLM can only use external instruments when it is not sure, and return to the loop to ask, which is the working method of the above-mentioned MCP based decompiler [6]. Putting the two together – static heuristics doing the noticing, an agentic LLM doing the reasoning and tool-calling – is the basis for the architecture in Fig. 1. The combination of the two is not new: both static triages as well as agentic tools use have been already extensively studied; however, having an explicitly ranked pipeline of native – binary obfuscation is, to the best of the researcher's knowledge, not formally specified or benchmarked, this being a new addition, which is provided by Sections 3–5.</w:t>
      </w:r>
    </w:p>
    <w:p w14:paraId="6A5CBA08" w14:textId="77777777" w:rsidR="00FB7119" w:rsidRPr="00BE462B" w:rsidRDefault="00FB7119">
      <w:pPr>
        <w:spacing w:after="140" w:line="288" w:lineRule="auto"/>
        <w:jc w:val="both"/>
        <w:rPr>
          <w:rFonts w:asciiTheme="majorHAnsi" w:hAnsiTheme="majorHAnsi" w:cstheme="majorHAnsi"/>
        </w:rPr>
      </w:pPr>
    </w:p>
    <w:p w14:paraId="0E5716A2" w14:textId="77777777" w:rsidR="00696738" w:rsidRPr="00BE462B" w:rsidRDefault="00000000">
      <w:pPr>
        <w:spacing w:before="160" w:after="40"/>
        <w:jc w:val="center"/>
        <w:rPr>
          <w:rFonts w:asciiTheme="majorHAnsi" w:hAnsiTheme="majorHAnsi" w:cstheme="majorHAnsi"/>
        </w:rPr>
      </w:pPr>
      <w:r w:rsidRPr="00BE462B">
        <w:rPr>
          <w:rFonts w:asciiTheme="majorHAnsi" w:hAnsiTheme="majorHAnsi" w:cstheme="majorHAnsi"/>
          <w:noProof/>
        </w:rPr>
        <w:lastRenderedPageBreak/>
        <w:drawing>
          <wp:inline distT="114300" distB="114300" distL="114300" distR="114300" wp14:anchorId="52428012" wp14:editId="5C38107F">
            <wp:extent cx="4822173" cy="226538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22173" cy="2265387"/>
                    </a:xfrm>
                    <a:prstGeom prst="rect">
                      <a:avLst/>
                    </a:prstGeom>
                    <a:ln/>
                  </pic:spPr>
                </pic:pic>
              </a:graphicData>
            </a:graphic>
          </wp:inline>
        </w:drawing>
      </w:r>
    </w:p>
    <w:p w14:paraId="3E0C0B5C" w14:textId="77777777" w:rsidR="00696738" w:rsidRPr="00BE462B" w:rsidRDefault="00000000">
      <w:pPr>
        <w:spacing w:before="80" w:after="240"/>
        <w:jc w:val="center"/>
        <w:rPr>
          <w:rFonts w:asciiTheme="majorHAnsi" w:hAnsiTheme="majorHAnsi" w:cstheme="majorHAnsi"/>
        </w:rPr>
      </w:pPr>
      <w:r w:rsidRPr="00BE462B">
        <w:rPr>
          <w:rFonts w:asciiTheme="majorHAnsi" w:eastAsia="Calibri" w:hAnsiTheme="majorHAnsi" w:cstheme="majorHAnsi"/>
          <w:i/>
          <w:iCs/>
          <w:sz w:val="19"/>
          <w:szCs w:val="19"/>
        </w:rPr>
        <w:t>Fig. 1. Proposed clue-driven LLM reverse-engineering architecture.</w:t>
      </w:r>
    </w:p>
    <w:p w14:paraId="6F1C9F56"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2.6 Summary of Reviewed Studies</w:t>
      </w:r>
    </w:p>
    <w:p w14:paraId="38199B0E" w14:textId="77777777" w:rsidR="00696738" w:rsidRPr="00BE462B" w:rsidRDefault="00000000">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Table 1 collects the studies most directly relevant to the proposed framework, alongside the specific finding each contributes.</w:t>
      </w:r>
    </w:p>
    <w:tbl>
      <w:tblPr>
        <w:tblStyle w:val="a0"/>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2200"/>
        <w:gridCol w:w="5400"/>
      </w:tblGrid>
      <w:tr w:rsidR="00696738" w:rsidRPr="00BE462B" w14:paraId="0A497FE3" w14:textId="77777777">
        <w:trPr>
          <w:tblHeader/>
        </w:trPr>
        <w:tc>
          <w:tcPr>
            <w:tcW w:w="2000" w:type="dxa"/>
            <w:tcMar>
              <w:top w:w="90" w:type="dxa"/>
              <w:left w:w="100" w:type="dxa"/>
              <w:bottom w:w="90" w:type="dxa"/>
              <w:right w:w="100" w:type="dxa"/>
            </w:tcMar>
          </w:tcPr>
          <w:p w14:paraId="495E48D1" w14:textId="77777777" w:rsidR="00696738" w:rsidRPr="00BE462B" w:rsidRDefault="00000000">
            <w:pPr>
              <w:rPr>
                <w:rFonts w:asciiTheme="majorHAnsi" w:hAnsiTheme="majorHAnsi" w:cstheme="majorHAnsi"/>
              </w:rPr>
            </w:pPr>
            <w:r w:rsidRPr="00BE462B">
              <w:rPr>
                <w:rFonts w:asciiTheme="majorHAnsi" w:eastAsia="Calibri" w:hAnsiTheme="majorHAnsi" w:cstheme="majorHAnsi"/>
                <w:b/>
                <w:bCs/>
                <w:sz w:val="18"/>
                <w:szCs w:val="18"/>
              </w:rPr>
              <w:t>Study</w:t>
            </w:r>
          </w:p>
        </w:tc>
        <w:tc>
          <w:tcPr>
            <w:tcW w:w="2200" w:type="dxa"/>
            <w:tcMar>
              <w:top w:w="90" w:type="dxa"/>
              <w:left w:w="100" w:type="dxa"/>
              <w:bottom w:w="90" w:type="dxa"/>
              <w:right w:w="100" w:type="dxa"/>
            </w:tcMar>
          </w:tcPr>
          <w:p w14:paraId="411C66DF" w14:textId="77777777" w:rsidR="00696738" w:rsidRPr="00BE462B" w:rsidRDefault="00000000">
            <w:pPr>
              <w:rPr>
                <w:rFonts w:asciiTheme="majorHAnsi" w:hAnsiTheme="majorHAnsi" w:cstheme="majorHAnsi"/>
              </w:rPr>
            </w:pPr>
            <w:r w:rsidRPr="00BE462B">
              <w:rPr>
                <w:rFonts w:asciiTheme="majorHAnsi" w:eastAsia="Calibri" w:hAnsiTheme="majorHAnsi" w:cstheme="majorHAnsi"/>
                <w:b/>
                <w:bCs/>
                <w:sz w:val="18"/>
                <w:szCs w:val="18"/>
              </w:rPr>
              <w:t>Focus</w:t>
            </w:r>
          </w:p>
        </w:tc>
        <w:tc>
          <w:tcPr>
            <w:tcW w:w="5400" w:type="dxa"/>
            <w:tcMar>
              <w:top w:w="90" w:type="dxa"/>
              <w:left w:w="100" w:type="dxa"/>
              <w:bottom w:w="90" w:type="dxa"/>
              <w:right w:w="100" w:type="dxa"/>
            </w:tcMar>
          </w:tcPr>
          <w:p w14:paraId="79A356E5" w14:textId="77777777" w:rsidR="00696738" w:rsidRPr="00BE462B" w:rsidRDefault="00000000">
            <w:pPr>
              <w:rPr>
                <w:rFonts w:asciiTheme="majorHAnsi" w:hAnsiTheme="majorHAnsi" w:cstheme="majorHAnsi"/>
              </w:rPr>
            </w:pPr>
            <w:r w:rsidRPr="00BE462B">
              <w:rPr>
                <w:rFonts w:asciiTheme="majorHAnsi" w:eastAsia="Calibri" w:hAnsiTheme="majorHAnsi" w:cstheme="majorHAnsi"/>
                <w:b/>
                <w:bCs/>
                <w:sz w:val="18"/>
                <w:szCs w:val="18"/>
              </w:rPr>
              <w:t>Key finding relevant to this proposal</w:t>
            </w:r>
          </w:p>
        </w:tc>
      </w:tr>
      <w:tr w:rsidR="00696738" w:rsidRPr="00BE462B" w14:paraId="5A25DDC6" w14:textId="77777777">
        <w:tc>
          <w:tcPr>
            <w:tcW w:w="2000" w:type="dxa"/>
            <w:tcMar>
              <w:top w:w="90" w:type="dxa"/>
              <w:left w:w="100" w:type="dxa"/>
              <w:bottom w:w="90" w:type="dxa"/>
              <w:right w:w="100" w:type="dxa"/>
            </w:tcMar>
          </w:tcPr>
          <w:p w14:paraId="40BBE222"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Pordanesh &amp; Tan [8], 2024</w:t>
            </w:r>
          </w:p>
        </w:tc>
        <w:tc>
          <w:tcPr>
            <w:tcW w:w="2200" w:type="dxa"/>
            <w:tcMar>
              <w:top w:w="90" w:type="dxa"/>
              <w:left w:w="100" w:type="dxa"/>
              <w:bottom w:w="90" w:type="dxa"/>
              <w:right w:w="100" w:type="dxa"/>
            </w:tcMar>
          </w:tcPr>
          <w:p w14:paraId="02DF14D0"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GPT-4 on binary RE</w:t>
            </w:r>
          </w:p>
        </w:tc>
        <w:tc>
          <w:tcPr>
            <w:tcW w:w="5400" w:type="dxa"/>
            <w:tcMar>
              <w:top w:w="90" w:type="dxa"/>
              <w:left w:w="100" w:type="dxa"/>
              <w:bottom w:w="90" w:type="dxa"/>
              <w:right w:w="100" w:type="dxa"/>
            </w:tcMar>
          </w:tcPr>
          <w:p w14:paraId="432E169A"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46.7% error rate on stealth/anti-analysis techniques; no clue prioritisation used.</w:t>
            </w:r>
          </w:p>
        </w:tc>
      </w:tr>
      <w:tr w:rsidR="00696738" w:rsidRPr="00BE462B" w14:paraId="4DD168EA" w14:textId="77777777">
        <w:tc>
          <w:tcPr>
            <w:tcW w:w="2000" w:type="dxa"/>
            <w:tcMar>
              <w:top w:w="90" w:type="dxa"/>
              <w:left w:w="100" w:type="dxa"/>
              <w:bottom w:w="90" w:type="dxa"/>
              <w:right w:w="100" w:type="dxa"/>
            </w:tcMar>
          </w:tcPr>
          <w:p w14:paraId="79B9DEE0"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Manuel et al. [9], 2024</w:t>
            </w:r>
          </w:p>
        </w:tc>
        <w:tc>
          <w:tcPr>
            <w:tcW w:w="2200" w:type="dxa"/>
            <w:tcMar>
              <w:top w:w="90" w:type="dxa"/>
              <w:left w:w="100" w:type="dxa"/>
              <w:bottom w:w="90" w:type="dxa"/>
              <w:right w:w="100" w:type="dxa"/>
            </w:tcMar>
          </w:tcPr>
          <w:p w14:paraId="6AA8316E"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LLM vulnerability analysis on decompiled code</w:t>
            </w:r>
          </w:p>
        </w:tc>
        <w:tc>
          <w:tcPr>
            <w:tcW w:w="5400" w:type="dxa"/>
            <w:tcMar>
              <w:top w:w="90" w:type="dxa"/>
              <w:left w:w="100" w:type="dxa"/>
              <w:bottom w:w="90" w:type="dxa"/>
              <w:right w:w="100" w:type="dxa"/>
            </w:tcMar>
          </w:tcPr>
          <w:p w14:paraId="517D451E"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150,872-sample benchmark; semantic gaps traced to scarce decompiled-binary training data.</w:t>
            </w:r>
          </w:p>
        </w:tc>
      </w:tr>
      <w:tr w:rsidR="00696738" w:rsidRPr="00BE462B" w14:paraId="6F132BAE" w14:textId="77777777">
        <w:tc>
          <w:tcPr>
            <w:tcW w:w="2000" w:type="dxa"/>
            <w:tcMar>
              <w:top w:w="90" w:type="dxa"/>
              <w:left w:w="100" w:type="dxa"/>
              <w:bottom w:w="90" w:type="dxa"/>
              <w:right w:w="100" w:type="dxa"/>
            </w:tcMar>
          </w:tcPr>
          <w:p w14:paraId="75B2AAC0"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Lyda &amp; Hamrock [11], 2007</w:t>
            </w:r>
          </w:p>
        </w:tc>
        <w:tc>
          <w:tcPr>
            <w:tcW w:w="2200" w:type="dxa"/>
            <w:tcMar>
              <w:top w:w="90" w:type="dxa"/>
              <w:left w:w="100" w:type="dxa"/>
              <w:bottom w:w="90" w:type="dxa"/>
              <w:right w:w="100" w:type="dxa"/>
            </w:tcMar>
          </w:tcPr>
          <w:p w14:paraId="624D8E78"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Entropy-based packer/encryption detection</w:t>
            </w:r>
          </w:p>
        </w:tc>
        <w:tc>
          <w:tcPr>
            <w:tcW w:w="5400" w:type="dxa"/>
            <w:tcMar>
              <w:top w:w="90" w:type="dxa"/>
              <w:left w:w="100" w:type="dxa"/>
              <w:bottom w:w="90" w:type="dxa"/>
              <w:right w:w="100" w:type="dxa"/>
            </w:tcMar>
          </w:tcPr>
          <w:p w14:paraId="545F8236"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Established the entropy-analysis foundation this proposal reuses as one static clue.</w:t>
            </w:r>
          </w:p>
        </w:tc>
      </w:tr>
      <w:tr w:rsidR="00696738" w:rsidRPr="00BE462B" w14:paraId="28BFCC37" w14:textId="77777777">
        <w:tc>
          <w:tcPr>
            <w:tcW w:w="2000" w:type="dxa"/>
            <w:tcMar>
              <w:top w:w="90" w:type="dxa"/>
              <w:left w:w="100" w:type="dxa"/>
              <w:bottom w:w="90" w:type="dxa"/>
              <w:right w:w="100" w:type="dxa"/>
            </w:tcMar>
          </w:tcPr>
          <w:p w14:paraId="4D7F98CA"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Tan et al. [12], 2024</w:t>
            </w:r>
          </w:p>
        </w:tc>
        <w:tc>
          <w:tcPr>
            <w:tcW w:w="2200" w:type="dxa"/>
            <w:tcMar>
              <w:top w:w="90" w:type="dxa"/>
              <w:left w:w="100" w:type="dxa"/>
              <w:bottom w:w="90" w:type="dxa"/>
              <w:right w:w="100" w:type="dxa"/>
            </w:tcMar>
          </w:tcPr>
          <w:p w14:paraId="33154A7C"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LLM4Decompile</w:t>
            </w:r>
          </w:p>
        </w:tc>
        <w:tc>
          <w:tcPr>
            <w:tcW w:w="5400" w:type="dxa"/>
            <w:tcMar>
              <w:top w:w="90" w:type="dxa"/>
              <w:left w:w="100" w:type="dxa"/>
              <w:bottom w:w="90" w:type="dxa"/>
              <w:right w:w="100" w:type="dxa"/>
            </w:tcMar>
          </w:tcPr>
          <w:p w14:paraId="52D74D5D"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Domain-trained decompilation LLM outperforms Ghidra/GPT-4o on re-executability.</w:t>
            </w:r>
          </w:p>
        </w:tc>
      </w:tr>
      <w:tr w:rsidR="00696738" w:rsidRPr="00BE462B" w14:paraId="009C428F" w14:textId="77777777">
        <w:tc>
          <w:tcPr>
            <w:tcW w:w="2000" w:type="dxa"/>
            <w:tcMar>
              <w:top w:w="90" w:type="dxa"/>
              <w:left w:w="100" w:type="dxa"/>
              <w:bottom w:w="90" w:type="dxa"/>
              <w:right w:w="100" w:type="dxa"/>
            </w:tcMar>
          </w:tcPr>
          <w:p w14:paraId="610A353E"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Chen et al. [13], 2025</w:t>
            </w:r>
          </w:p>
        </w:tc>
        <w:tc>
          <w:tcPr>
            <w:tcW w:w="2200" w:type="dxa"/>
            <w:tcMar>
              <w:top w:w="90" w:type="dxa"/>
              <w:left w:w="100" w:type="dxa"/>
              <w:bottom w:w="90" w:type="dxa"/>
              <w:right w:w="100" w:type="dxa"/>
            </w:tcMar>
          </w:tcPr>
          <w:p w14:paraId="5FA96E81"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ReCopilot</w:t>
            </w:r>
          </w:p>
        </w:tc>
        <w:tc>
          <w:tcPr>
            <w:tcW w:w="5400" w:type="dxa"/>
            <w:tcMar>
              <w:top w:w="90" w:type="dxa"/>
              <w:left w:w="100" w:type="dxa"/>
              <w:bottom w:w="90" w:type="dxa"/>
              <w:right w:w="100" w:type="dxa"/>
            </w:tcMar>
          </w:tcPr>
          <w:p w14:paraId="020122AF"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Fine-tuned binary-analysis copilot; 13% average gain over general LLMs and tools.</w:t>
            </w:r>
          </w:p>
        </w:tc>
      </w:tr>
      <w:tr w:rsidR="00696738" w:rsidRPr="00BE462B" w14:paraId="48C198D9" w14:textId="77777777">
        <w:tc>
          <w:tcPr>
            <w:tcW w:w="2000" w:type="dxa"/>
            <w:tcMar>
              <w:top w:w="90" w:type="dxa"/>
              <w:left w:w="100" w:type="dxa"/>
              <w:bottom w:w="90" w:type="dxa"/>
              <w:right w:w="100" w:type="dxa"/>
            </w:tcMar>
          </w:tcPr>
          <w:p w14:paraId="05B21729"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Patsakis et al. [14], 2024</w:t>
            </w:r>
          </w:p>
        </w:tc>
        <w:tc>
          <w:tcPr>
            <w:tcW w:w="2200" w:type="dxa"/>
            <w:tcMar>
              <w:top w:w="90" w:type="dxa"/>
              <w:left w:w="100" w:type="dxa"/>
              <w:bottom w:w="90" w:type="dxa"/>
              <w:right w:w="100" w:type="dxa"/>
            </w:tcMar>
          </w:tcPr>
          <w:p w14:paraId="1C2F34A4"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LLM deobfuscation on real Emotet scripts</w:t>
            </w:r>
          </w:p>
        </w:tc>
        <w:tc>
          <w:tcPr>
            <w:tcW w:w="5400" w:type="dxa"/>
            <w:tcMar>
              <w:top w:w="90" w:type="dxa"/>
              <w:left w:w="100" w:type="dxa"/>
              <w:bottom w:w="90" w:type="dxa"/>
              <w:right w:w="100" w:type="dxa"/>
            </w:tcMar>
          </w:tcPr>
          <w:p w14:paraId="5A03397F"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Accuracy and hallucination both worsen as obfuscation complexity rises.</w:t>
            </w:r>
          </w:p>
        </w:tc>
      </w:tr>
      <w:tr w:rsidR="00696738" w:rsidRPr="00BE462B" w14:paraId="5C142F06" w14:textId="77777777">
        <w:tc>
          <w:tcPr>
            <w:tcW w:w="2000" w:type="dxa"/>
            <w:tcMar>
              <w:top w:w="90" w:type="dxa"/>
              <w:left w:w="100" w:type="dxa"/>
              <w:bottom w:w="90" w:type="dxa"/>
              <w:right w:w="100" w:type="dxa"/>
            </w:tcMar>
          </w:tcPr>
          <w:p w14:paraId="4611A342"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Böke &amp; Torka [15], 2025</w:t>
            </w:r>
          </w:p>
        </w:tc>
        <w:tc>
          <w:tcPr>
            <w:tcW w:w="2200" w:type="dxa"/>
            <w:tcMar>
              <w:top w:w="90" w:type="dxa"/>
              <w:left w:w="100" w:type="dxa"/>
              <w:bottom w:w="90" w:type="dxa"/>
              <w:right w:w="100" w:type="dxa"/>
            </w:tcMar>
          </w:tcPr>
          <w:p w14:paraId="2DB1006E"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LLVM-level obfuscation robustness</w:t>
            </w:r>
          </w:p>
        </w:tc>
        <w:tc>
          <w:tcPr>
            <w:tcW w:w="5400" w:type="dxa"/>
            <w:tcMar>
              <w:top w:w="90" w:type="dxa"/>
              <w:left w:w="100" w:type="dxa"/>
              <w:bottom w:w="90" w:type="dxa"/>
              <w:right w:w="100" w:type="dxa"/>
            </w:tcMar>
          </w:tcPr>
          <w:p w14:paraId="7A6A538D"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Precision/recall/F1 all drop sharply after control-flow flattening and similar passes.</w:t>
            </w:r>
          </w:p>
        </w:tc>
      </w:tr>
      <w:tr w:rsidR="00696738" w:rsidRPr="00BE462B" w14:paraId="2B2A1899" w14:textId="77777777">
        <w:tc>
          <w:tcPr>
            <w:tcW w:w="2000" w:type="dxa"/>
            <w:tcMar>
              <w:top w:w="90" w:type="dxa"/>
              <w:left w:w="100" w:type="dxa"/>
              <w:bottom w:w="90" w:type="dxa"/>
              <w:right w:w="100" w:type="dxa"/>
            </w:tcMar>
          </w:tcPr>
          <w:p w14:paraId="0D5CDB1D"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Qian et al. [16], 2025</w:t>
            </w:r>
          </w:p>
        </w:tc>
        <w:tc>
          <w:tcPr>
            <w:tcW w:w="2200" w:type="dxa"/>
            <w:tcMar>
              <w:top w:w="90" w:type="dxa"/>
              <w:left w:w="100" w:type="dxa"/>
              <w:bottom w:w="90" w:type="dxa"/>
              <w:right w:w="100" w:type="dxa"/>
            </w:tcMar>
          </w:tcPr>
          <w:p w14:paraId="3E4EAA85"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LAMD (Android)</w:t>
            </w:r>
          </w:p>
        </w:tc>
        <w:tc>
          <w:tcPr>
            <w:tcW w:w="5400" w:type="dxa"/>
            <w:tcMar>
              <w:top w:w="90" w:type="dxa"/>
              <w:left w:w="100" w:type="dxa"/>
              <w:bottom w:w="90" w:type="dxa"/>
              <w:right w:w="100" w:type="dxa"/>
            </w:tcMar>
          </w:tcPr>
          <w:p w14:paraId="6AF098FD"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Rule-then-slice context extraction before LLM reasoning – closest existing analogue to a ‘clue’ pipeline.</w:t>
            </w:r>
          </w:p>
        </w:tc>
      </w:tr>
      <w:tr w:rsidR="00696738" w:rsidRPr="00BE462B" w14:paraId="11C8FB84" w14:textId="77777777">
        <w:tc>
          <w:tcPr>
            <w:tcW w:w="2000" w:type="dxa"/>
            <w:tcMar>
              <w:top w:w="90" w:type="dxa"/>
              <w:left w:w="100" w:type="dxa"/>
              <w:bottom w:w="90" w:type="dxa"/>
              <w:right w:w="100" w:type="dxa"/>
            </w:tcMar>
          </w:tcPr>
          <w:p w14:paraId="08FE74A3"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Walton et al. [17], 2024</w:t>
            </w:r>
          </w:p>
        </w:tc>
        <w:tc>
          <w:tcPr>
            <w:tcW w:w="2200" w:type="dxa"/>
            <w:tcMar>
              <w:top w:w="90" w:type="dxa"/>
              <w:left w:w="100" w:type="dxa"/>
              <w:bottom w:w="90" w:type="dxa"/>
              <w:right w:w="100" w:type="dxa"/>
            </w:tcMar>
          </w:tcPr>
          <w:p w14:paraId="24CD3688"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MalParse (Android)</w:t>
            </w:r>
          </w:p>
        </w:tc>
        <w:tc>
          <w:tcPr>
            <w:tcW w:w="5400" w:type="dxa"/>
            <w:tcMar>
              <w:top w:w="90" w:type="dxa"/>
              <w:left w:w="100" w:type="dxa"/>
              <w:bottom w:w="90" w:type="dxa"/>
              <w:right w:w="100" w:type="dxa"/>
            </w:tcMar>
          </w:tcPr>
          <w:p w14:paraId="6FB1C46A" w14:textId="77777777" w:rsidR="00696738" w:rsidRPr="00BE462B" w:rsidRDefault="00000000">
            <w:pPr>
              <w:rPr>
                <w:rFonts w:asciiTheme="majorHAnsi" w:hAnsiTheme="majorHAnsi" w:cstheme="majorHAnsi"/>
              </w:rPr>
            </w:pPr>
            <w:r w:rsidRPr="00BE462B">
              <w:rPr>
                <w:rFonts w:asciiTheme="majorHAnsi" w:eastAsia="Calibri" w:hAnsiTheme="majorHAnsi" w:cstheme="majorHAnsi"/>
                <w:sz w:val="18"/>
                <w:szCs w:val="18"/>
              </w:rPr>
              <w:t>Scoped prompting reached 77% accuracy versus 49.5% for vanilla prompting.</w:t>
            </w:r>
          </w:p>
        </w:tc>
      </w:tr>
    </w:tbl>
    <w:p w14:paraId="6665A4BB" w14:textId="77777777" w:rsidR="00696738" w:rsidRPr="00BE462B" w:rsidRDefault="00000000">
      <w:pPr>
        <w:spacing w:before="100" w:after="160"/>
        <w:jc w:val="center"/>
        <w:rPr>
          <w:rFonts w:asciiTheme="majorHAnsi" w:hAnsiTheme="majorHAnsi" w:cstheme="majorHAnsi"/>
        </w:rPr>
      </w:pPr>
      <w:r w:rsidRPr="00BE462B">
        <w:rPr>
          <w:rFonts w:asciiTheme="majorHAnsi" w:eastAsia="Calibri" w:hAnsiTheme="majorHAnsi" w:cstheme="majorHAnsi"/>
          <w:i/>
          <w:iCs/>
          <w:sz w:val="19"/>
          <w:szCs w:val="19"/>
        </w:rPr>
        <w:t>Table 1. Summary of studies most directly relevant to the proposed clue-driven framework.</w:t>
      </w:r>
    </w:p>
    <w:p w14:paraId="16BA4F7E" w14:textId="77777777" w:rsidR="00BE462B" w:rsidRPr="00BE462B" w:rsidRDefault="00BE462B">
      <w:pPr>
        <w:rPr>
          <w:rFonts w:asciiTheme="majorHAnsi" w:eastAsia="Calibri" w:hAnsiTheme="majorHAnsi" w:cstheme="majorHAnsi"/>
          <w:b/>
          <w:bCs/>
          <w:color w:val="000000"/>
          <w:sz w:val="23"/>
          <w:szCs w:val="23"/>
        </w:rPr>
      </w:pPr>
      <w:r w:rsidRPr="00BE462B">
        <w:rPr>
          <w:rFonts w:asciiTheme="majorHAnsi" w:eastAsia="Calibri" w:hAnsiTheme="majorHAnsi" w:cstheme="majorHAnsi"/>
          <w:b/>
          <w:bCs/>
          <w:color w:val="000000"/>
          <w:sz w:val="23"/>
          <w:szCs w:val="23"/>
        </w:rPr>
        <w:br w:type="page"/>
      </w:r>
    </w:p>
    <w:p w14:paraId="646D9976" w14:textId="1BF8113F"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lastRenderedPageBreak/>
        <w:t>2.7 Position of the Present Study</w:t>
      </w:r>
    </w:p>
    <w:p w14:paraId="00C35E4C" w14:textId="64E937FD" w:rsidR="00E745E0" w:rsidRPr="00BE462B" w:rsidRDefault="00FB7119" w:rsidP="00E745E0">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There are three features of the literature that are distinguished after reading it as a whole. LLMs obviously make some parts of reverse engineering quicker [4] [5]! Whatever the obfuscation is [8, 14, 15] the acceleration stops at obfuscation! Reliable with slicing, summarized in tiers, or marked as tools to be invoked with demand, what is shown to be a model is – at best – a conference talk, not a peer-reviewed and benchmarked study [7]. In this project we're bold enough to take this "clue" concept seriously, to explain what it is, accurately test it in the presence of multiple obfuscation classes and not only against an unstructured LLM, but against the one that analysts already use.</w:t>
      </w:r>
    </w:p>
    <w:p w14:paraId="6951B056" w14:textId="77777777" w:rsidR="00696738" w:rsidRPr="00BE462B" w:rsidRDefault="00000000">
      <w:pPr>
        <w:rPr>
          <w:rFonts w:asciiTheme="majorHAnsi" w:hAnsiTheme="majorHAnsi" w:cstheme="majorHAnsi"/>
        </w:rPr>
      </w:pPr>
      <w:r w:rsidRPr="00BE462B">
        <w:rPr>
          <w:rFonts w:asciiTheme="majorHAnsi" w:hAnsiTheme="majorHAnsi" w:cstheme="majorHAnsi"/>
        </w:rPr>
        <w:br w:type="page"/>
      </w:r>
    </w:p>
    <w:p w14:paraId="7DE6C475" w14:textId="77777777" w:rsidR="00696738" w:rsidRPr="00BE462B" w:rsidRDefault="0000000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3. Research Design and Methodology</w:t>
      </w:r>
    </w:p>
    <w:p w14:paraId="190BA7F4"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3.1 Research Design</w:t>
      </w:r>
    </w:p>
    <w:p w14:paraId="68AA102E" w14:textId="7AC16B71" w:rsidR="00FB7119" w:rsidRPr="00BE462B" w:rsidRDefault="00FB7119" w:rsidP="00E745E0">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This project will be based on Design Science Research (DSR). The main contribution is an artefact the clue-driven orchestration framework and the question that is at stake is whether orchestration built in this way helps, or not; this is not a test of a pre-existing theory, but rather of building and testing simultaneously. The cycle includes problem identification (Section 1 &amp; 2), artefact design and development, demonstration on a small set of representative obfuscated samples, evaluation based on defined metrics and baselines, and a communication phase in which, the results are written up, as presented in Fig. 2. This is a controlled experiment that is embedded in the demonstration/evaluation phases so that quantitative data that is necessary for Objective O5 is indeed collected rather than the project ending in a working prototype and no quantitative result.</w:t>
      </w:r>
    </w:p>
    <w:p w14:paraId="2C3D8404" w14:textId="77777777" w:rsidR="00696738" w:rsidRPr="00BE462B" w:rsidRDefault="00000000">
      <w:pPr>
        <w:spacing w:before="160" w:after="40"/>
        <w:jc w:val="center"/>
        <w:rPr>
          <w:rFonts w:asciiTheme="majorHAnsi" w:hAnsiTheme="majorHAnsi" w:cstheme="majorHAnsi"/>
        </w:rPr>
      </w:pPr>
      <w:r w:rsidRPr="00BE462B">
        <w:rPr>
          <w:rFonts w:asciiTheme="majorHAnsi" w:hAnsiTheme="majorHAnsi" w:cstheme="majorHAnsi"/>
          <w:noProof/>
        </w:rPr>
        <w:drawing>
          <wp:inline distT="114300" distB="114300" distL="114300" distR="114300" wp14:anchorId="6DDDCFCB" wp14:editId="31A5EDB9">
            <wp:extent cx="4276725" cy="3524250"/>
            <wp:effectExtent l="0" t="0" r="9525"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4276968" cy="3524450"/>
                    </a:xfrm>
                    <a:prstGeom prst="rect">
                      <a:avLst/>
                    </a:prstGeom>
                    <a:ln/>
                  </pic:spPr>
                </pic:pic>
              </a:graphicData>
            </a:graphic>
          </wp:inline>
        </w:drawing>
      </w:r>
    </w:p>
    <w:p w14:paraId="4EFE5EE6" w14:textId="77777777" w:rsidR="00696738" w:rsidRPr="00BE462B" w:rsidRDefault="00000000">
      <w:pPr>
        <w:spacing w:before="80" w:after="240"/>
        <w:jc w:val="center"/>
        <w:rPr>
          <w:rFonts w:asciiTheme="majorHAnsi" w:hAnsiTheme="majorHAnsi" w:cstheme="majorHAnsi"/>
        </w:rPr>
      </w:pPr>
      <w:r w:rsidRPr="00BE462B">
        <w:rPr>
          <w:rFonts w:asciiTheme="majorHAnsi" w:eastAsia="Calibri" w:hAnsiTheme="majorHAnsi" w:cstheme="majorHAnsi"/>
          <w:i/>
          <w:iCs/>
          <w:sz w:val="19"/>
          <w:szCs w:val="19"/>
        </w:rPr>
        <w:t>Fig. 2. Design Science Research cycle applied to this study.</w:t>
      </w:r>
    </w:p>
    <w:p w14:paraId="0F8B8868"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3.2 Research Methods and Materials</w:t>
      </w:r>
    </w:p>
    <w:p w14:paraId="76FCB201" w14:textId="77777777" w:rsidR="00696738" w:rsidRPr="00BE462B" w:rsidRDefault="0000000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3.2.1 Methods</w:t>
      </w:r>
    </w:p>
    <w:p w14:paraId="4CE6ADDD"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The nature of the evaluation is of a mixed methods design. The quantitative half of the experiment is a controlled experiment in which three different experiments are conducted on the same samples: the clue-driven framework; a heuristic/statically-classified (YARA-inspired) conventional tooling baseline; and a conventional tooling framework without prioritizing the clues: the same LLM with the full decompiled output, which is an unstructured baseline. To isolate out the contribution of the clue-driven structuring (rather than the contribution of whatever the underlying LLM would have done anyway), repeated-measures comparison across these conditions is the only method available.</w:t>
      </w:r>
    </w:p>
    <w:p w14:paraId="48A8D7F1"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 xml:space="preserve">In addition to this, a quick glance over the reasoning the LLM used for the LLM call in the tool call log will be coded for one of the following: Misreading flattened control flow, inaccurate assumption of </w:t>
      </w:r>
      <w:r w:rsidRPr="00BE462B">
        <w:rPr>
          <w:rFonts w:asciiTheme="majorHAnsi" w:eastAsia="Calibri" w:hAnsiTheme="majorHAnsi" w:cstheme="majorHAnsi"/>
          <w:sz w:val="22"/>
          <w:szCs w:val="22"/>
        </w:rPr>
        <w:lastRenderedPageBreak/>
        <w:t>the message content in an encrypted string, incorrect assertion of information not supported by the disassembly. The answer to Objective O6 should all happen here — an overall figure of accuracy wouldn't convey much regarding how the framework performed on various obfuscation classes.</w:t>
      </w:r>
    </w:p>
    <w:p w14:paraId="10711E88" w14:textId="30C54BC2"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 xml:space="preserve">This system depicted in Fig.1 has three moving parts. A clue-extraction module implements static triage, which consists of Shannon-entropy calculation per section, pattern matching against imports, pattern matching against sequences of API calls, with an optional component for light-weight sandboxed execution, if necessary, based on behaviour indicators. The suspecting score and scoring achieved by </w:t>
      </w:r>
      <w:r w:rsidR="00BE462B" w:rsidRPr="00BE462B">
        <w:rPr>
          <w:rFonts w:asciiTheme="majorHAnsi" w:eastAsia="Calibri" w:hAnsiTheme="majorHAnsi" w:cstheme="majorHAnsi"/>
          <w:sz w:val="22"/>
          <w:szCs w:val="22"/>
        </w:rPr>
        <w:t>L</w:t>
      </w:r>
      <w:r w:rsidRPr="00BE462B">
        <w:rPr>
          <w:rFonts w:asciiTheme="majorHAnsi" w:eastAsia="Calibri" w:hAnsiTheme="majorHAnsi" w:cstheme="majorHAnsi"/>
          <w:sz w:val="22"/>
          <w:szCs w:val="22"/>
        </w:rPr>
        <w:t>LM is now calculated for the various candidate functions and arranged in the order of the same – analogous to the rule-then-slice logic used in Android bytecode in [16] – but for native binaries. Moreover, an LLM orchestration layer uses the ranked clues to directly pose to a decompiler via a tool-calling interface strategically crafted queries of “more disassembly” or “cross references,” based on the confidence level of the answer– the same approach has been already followed in the case of MCP-based bridging of IDA/Ghidra [6] and analyst-guided r2ai sessions [5].</w:t>
      </w:r>
    </w:p>
    <w:p w14:paraId="1918750D" w14:textId="5EAD030C" w:rsidR="00E745E0" w:rsidRPr="00BE462B" w:rsidRDefault="00FB7119" w:rsidP="00FB7119">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Three metrics will be measured: functional-identification accuracy, determined by an F1-score per malware capability (Persistence, Command &amp; Control, Exfiltration) and ground-truth assignments from analysts; hallucination rate, the percentage of claims for which the ground-truth, determined by both manual and semi-automated methods, does not match the underlying disassembly; and efficiency, wall-clock time and LLM/tool calls required to reach a stable conclusion. All three are given per obfuscation class as findings in [15] indicate any benefits would be expected to be non-uniform over the classes.</w:t>
      </w:r>
    </w:p>
    <w:p w14:paraId="5A4F319D" w14:textId="77777777" w:rsidR="00E745E0" w:rsidRPr="00BE462B" w:rsidRDefault="00E745E0" w:rsidP="00E745E0">
      <w:pPr>
        <w:pStyle w:val="Heading2"/>
        <w:spacing w:before="200" w:after="110"/>
        <w:rPr>
          <w:rFonts w:asciiTheme="majorHAnsi" w:hAnsiTheme="majorHAnsi" w:cstheme="majorHAnsi"/>
          <w:color w:val="000000"/>
        </w:rPr>
      </w:pPr>
      <w:r w:rsidRPr="00BE462B">
        <w:rPr>
          <w:rFonts w:asciiTheme="majorHAnsi" w:eastAsia="Calibri" w:hAnsiTheme="majorHAnsi" w:cstheme="majorHAnsi"/>
          <w:b/>
          <w:bCs/>
          <w:color w:val="000000"/>
          <w:sz w:val="23"/>
          <w:szCs w:val="23"/>
        </w:rPr>
        <w:t>3.2.2 Materials</w:t>
      </w:r>
    </w:p>
    <w:p w14:paraId="04E7E736"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b/>
          <w:bCs/>
          <w:sz w:val="22"/>
          <w:szCs w:val="22"/>
        </w:rPr>
        <w:t>Research data</w:t>
      </w:r>
      <w:r w:rsidRPr="00BE462B">
        <w:rPr>
          <w:rFonts w:asciiTheme="majorHAnsi" w:eastAsia="Calibri" w:hAnsiTheme="majorHAnsi" w:cstheme="majorHAnsi"/>
          <w:sz w:val="22"/>
          <w:szCs w:val="22"/>
        </w:rPr>
        <w:t>: there is access-controlled research data, notably from publicly available malware repositories MalwareBazaar or VirusShare. Their goal was that they would spread out the samples into three categories: generic-packing, control-flow-flattening, and string/API-encryption and then experiment with a 10-15 sample pilot to test out any problems that might arise in the course of the entire sample run. Labels are based on Ground truth and are derived from the write-up publicly available from threat intelligence sources, with some labs being recreated from different vendor reports, which may or may not be further verified from the threat intelligence researcher.</w:t>
      </w:r>
    </w:p>
    <w:p w14:paraId="4F9DBDBC" w14:textId="3D770288"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b/>
          <w:bCs/>
          <w:sz w:val="22"/>
          <w:szCs w:val="22"/>
        </w:rPr>
        <w:t>Ethics</w:t>
      </w:r>
      <w:r w:rsidRPr="00BE462B">
        <w:rPr>
          <w:rFonts w:asciiTheme="majorHAnsi" w:eastAsia="Calibri" w:hAnsiTheme="majorHAnsi" w:cstheme="majorHAnsi"/>
          <w:sz w:val="22"/>
          <w:szCs w:val="22"/>
        </w:rPr>
        <w:t xml:space="preserve">: </w:t>
      </w:r>
      <w:r w:rsidR="00BE462B" w:rsidRPr="00BE462B">
        <w:rPr>
          <w:rFonts w:asciiTheme="majorHAnsi" w:eastAsia="Calibri" w:hAnsiTheme="majorHAnsi" w:cstheme="majorHAnsi"/>
          <w:sz w:val="22"/>
          <w:szCs w:val="22"/>
        </w:rPr>
        <w:t>N</w:t>
      </w:r>
      <w:r w:rsidRPr="00BE462B">
        <w:rPr>
          <w:rFonts w:asciiTheme="majorHAnsi" w:eastAsia="Calibri" w:hAnsiTheme="majorHAnsi" w:cstheme="majorHAnsi"/>
          <w:sz w:val="22"/>
          <w:szCs w:val="22"/>
        </w:rPr>
        <w:t>o malware will be operated anywhere other than in an isolated, network-segmented sandbox and nothing will be run outside of the sandbox and shared beyond it, and terms of use will be reviewed beforehand with all sources of information. An accompanying institutional ethics and institutional data handling form has been completed which confirms that: A published list of clues is a potential "dual use" problem and the aim is to develop a defensive methodology not an offensive technique. There are no other participants than the researcher does the labelling work.</w:t>
      </w:r>
    </w:p>
    <w:p w14:paraId="7184BB32"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b/>
          <w:bCs/>
          <w:sz w:val="22"/>
          <w:szCs w:val="22"/>
        </w:rPr>
        <w:t>Software</w:t>
      </w:r>
      <w:r w:rsidRPr="00BE462B">
        <w:rPr>
          <w:rFonts w:asciiTheme="majorHAnsi" w:eastAsia="Calibri" w:hAnsiTheme="majorHAnsi" w:cstheme="majorHAnsi"/>
          <w:sz w:val="22"/>
          <w:szCs w:val="22"/>
        </w:rPr>
        <w:t>: Ghidra and/or IDA Free as the decompiler, one or more current LLMs (via API/mcp bridge) as the external core, Python (for pipeline implementation re: extracting clues, including pefile/lief for parsing pe and calculations of entropy), and pandas/scipy for statistical processing.</w:t>
      </w:r>
    </w:p>
    <w:p w14:paraId="14EDC4A1" w14:textId="0C0E6E92" w:rsidR="00E745E0" w:rsidRPr="00BE462B" w:rsidRDefault="00FB7119" w:rsidP="00FB7119">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Hardware: Any workstation or separate virtual machine with about 32GB of RAM and an individual SSD should be adequate for the sandboxing to be performed. No GPU or special cloud-compute should be expected—because although this is an API-based inference and not local training, then, at least a small budget should be allowed for the final evaluation phase.</w:t>
      </w:r>
    </w:p>
    <w:p w14:paraId="23306170" w14:textId="77777777" w:rsidR="00E745E0" w:rsidRPr="00BE462B" w:rsidRDefault="00E745E0" w:rsidP="00E745E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4. Expected Outcomes</w:t>
      </w:r>
    </w:p>
    <w:p w14:paraId="6DDDA400" w14:textId="347EBAE1"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The project should culminate in a functional prototype of a clue-driven approach, a labeled benchmark dataset of images and text, as well as a relatively well understood answer to the question of whether clue-driven structuring lessens LLM hallucination and improves the accuracy and/or time-to-insight when compared to an unstructured LLM and with conventional tooling. The best results are expected on moderately obfuscated samples; more aggressive and/or adversarial obfuscation may continue to cause the framework problems as seen in the degradation curves in [8] [14] [15].</w:t>
      </w:r>
    </w:p>
    <w:p w14:paraId="6AE97AB9" w14:textId="77777777" w:rsidR="00FB7119" w:rsidRPr="00BE462B" w:rsidRDefault="00FB7119" w:rsidP="00FB7119">
      <w:pPr>
        <w:spacing w:after="140" w:line="288" w:lineRule="auto"/>
        <w:jc w:val="both"/>
        <w:rPr>
          <w:rFonts w:asciiTheme="majorHAnsi" w:eastAsia="Calibri" w:hAnsiTheme="majorHAnsi" w:cstheme="majorHAnsi"/>
          <w:sz w:val="22"/>
          <w:szCs w:val="22"/>
        </w:rPr>
      </w:pPr>
      <w:r w:rsidRPr="00BE462B">
        <w:rPr>
          <w:rFonts w:asciiTheme="majorHAnsi" w:eastAsia="Calibri" w:hAnsiTheme="majorHAnsi" w:cstheme="majorHAnsi"/>
          <w:sz w:val="22"/>
          <w:szCs w:val="22"/>
        </w:rPr>
        <w:t>A confirmed improvement provides the security teams a solid foundation to work on when it comes to using the LLM copilot for malware triage, and leaves a clue to taxonomy and orchestration pattern that others can leverage. A null result is still worth obtaining – it would narrow the state of the art in structuring prompting – this is currently a live question in the literature [10].</w:t>
      </w:r>
    </w:p>
    <w:p w14:paraId="0677EC7C" w14:textId="1A160C9C" w:rsidR="00696738" w:rsidRPr="00BE462B" w:rsidRDefault="00FB7119" w:rsidP="00FB7119">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Things that should be noted here: while the base (60–80 samples) is relatively small compared to the number of malware samples out there, results may be slightly model-dependent; objective ground-truths in malware behaviour are less straightforward than they sound; and putting out a detailed write-up on how to extract clues from malware can have a genuine dual-use risk, which I have kept to a minimum by not explaining the methodology so detailed it can be replicated as a way to create exploits.</w:t>
      </w:r>
      <w:r w:rsidRPr="00BE462B">
        <w:rPr>
          <w:rFonts w:asciiTheme="majorHAnsi" w:hAnsiTheme="majorHAnsi" w:cstheme="majorHAnsi"/>
        </w:rPr>
        <w:br w:type="page"/>
      </w:r>
    </w:p>
    <w:p w14:paraId="41B8087E" w14:textId="77777777" w:rsidR="00696738" w:rsidRPr="00BE462B" w:rsidRDefault="0000000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5. Timeline</w:t>
      </w:r>
    </w:p>
    <w:p w14:paraId="30C1F77C" w14:textId="7D9847EF" w:rsidR="00E745E0" w:rsidRPr="00BE462B" w:rsidRDefault="00FB7119" w:rsidP="00E745E0">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The project can be arranged in six phases from the initial sand box setup, to defining the taxonomy, and down to completing the write up, and a small contingency span is allowed in Phases 3 and 5 so that, should there be a delay in the access to samples, or in the prototype working reliably, it will still be possible to complete the project.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0"/>
        <w:gridCol w:w="1500"/>
        <w:gridCol w:w="6409"/>
      </w:tblGrid>
      <w:tr w:rsidR="00E745E0" w:rsidRPr="00BE462B" w14:paraId="651148AA" w14:textId="77777777" w:rsidTr="00E745E0">
        <w:trPr>
          <w:tblHeader/>
        </w:trPr>
        <w:tc>
          <w:tcPr>
            <w:tcW w:w="1300" w:type="dxa"/>
            <w:tcMar>
              <w:top w:w="90" w:type="dxa"/>
              <w:left w:w="100" w:type="dxa"/>
              <w:bottom w:w="90" w:type="dxa"/>
              <w:right w:w="100" w:type="dxa"/>
            </w:tcMar>
          </w:tcPr>
          <w:p w14:paraId="1C402551"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w:t>
            </w:r>
          </w:p>
        </w:tc>
        <w:tc>
          <w:tcPr>
            <w:tcW w:w="1500" w:type="dxa"/>
            <w:tcMar>
              <w:top w:w="90" w:type="dxa"/>
              <w:left w:w="100" w:type="dxa"/>
              <w:bottom w:w="90" w:type="dxa"/>
              <w:right w:w="100" w:type="dxa"/>
            </w:tcMar>
          </w:tcPr>
          <w:p w14:paraId="63E46306"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Weeks</w:t>
            </w:r>
          </w:p>
        </w:tc>
        <w:tc>
          <w:tcPr>
            <w:tcW w:w="6409" w:type="dxa"/>
            <w:tcMar>
              <w:top w:w="90" w:type="dxa"/>
              <w:left w:w="100" w:type="dxa"/>
              <w:bottom w:w="90" w:type="dxa"/>
              <w:right w:w="100" w:type="dxa"/>
            </w:tcMar>
          </w:tcPr>
          <w:p w14:paraId="4BB7CBC6"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Milestone / Deliverable</w:t>
            </w:r>
          </w:p>
        </w:tc>
      </w:tr>
      <w:tr w:rsidR="00E745E0" w:rsidRPr="00BE462B" w14:paraId="61E475B7" w14:textId="77777777" w:rsidTr="00E745E0">
        <w:tc>
          <w:tcPr>
            <w:tcW w:w="1300" w:type="dxa"/>
            <w:tcMar>
              <w:top w:w="90" w:type="dxa"/>
              <w:left w:w="100" w:type="dxa"/>
              <w:bottom w:w="90" w:type="dxa"/>
              <w:right w:w="100" w:type="dxa"/>
            </w:tcMar>
          </w:tcPr>
          <w:p w14:paraId="631D8483"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1</w:t>
            </w:r>
          </w:p>
        </w:tc>
        <w:tc>
          <w:tcPr>
            <w:tcW w:w="1500" w:type="dxa"/>
            <w:tcMar>
              <w:top w:w="90" w:type="dxa"/>
              <w:left w:w="100" w:type="dxa"/>
              <w:bottom w:w="90" w:type="dxa"/>
              <w:right w:w="100" w:type="dxa"/>
            </w:tcMar>
          </w:tcPr>
          <w:p w14:paraId="7E717EDC"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Weeks 1–2</w:t>
            </w:r>
          </w:p>
        </w:tc>
        <w:tc>
          <w:tcPr>
            <w:tcW w:w="6409" w:type="dxa"/>
            <w:tcMar>
              <w:top w:w="90" w:type="dxa"/>
              <w:left w:w="100" w:type="dxa"/>
              <w:bottom w:w="90" w:type="dxa"/>
              <w:right w:w="100" w:type="dxa"/>
            </w:tcMar>
          </w:tcPr>
          <w:p w14:paraId="631CC5FD"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Consolidate the literature review; submit the ethics/data-handling form; confirm access to a malware corpus and begin sample labelling.</w:t>
            </w:r>
          </w:p>
        </w:tc>
      </w:tr>
      <w:tr w:rsidR="00E745E0" w:rsidRPr="00BE462B" w14:paraId="4648E9CE" w14:textId="77777777" w:rsidTr="00E745E0">
        <w:tc>
          <w:tcPr>
            <w:tcW w:w="1300" w:type="dxa"/>
            <w:tcMar>
              <w:top w:w="90" w:type="dxa"/>
              <w:left w:w="100" w:type="dxa"/>
              <w:bottom w:w="90" w:type="dxa"/>
              <w:right w:w="100" w:type="dxa"/>
            </w:tcMar>
          </w:tcPr>
          <w:p w14:paraId="1484E285"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2</w:t>
            </w:r>
          </w:p>
        </w:tc>
        <w:tc>
          <w:tcPr>
            <w:tcW w:w="1500" w:type="dxa"/>
            <w:tcMar>
              <w:top w:w="90" w:type="dxa"/>
              <w:left w:w="100" w:type="dxa"/>
              <w:bottom w:w="90" w:type="dxa"/>
              <w:right w:w="100" w:type="dxa"/>
            </w:tcMar>
          </w:tcPr>
          <w:p w14:paraId="48F2D784"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Weeks 3–4</w:t>
            </w:r>
          </w:p>
        </w:tc>
        <w:tc>
          <w:tcPr>
            <w:tcW w:w="6409" w:type="dxa"/>
            <w:tcMar>
              <w:top w:w="90" w:type="dxa"/>
              <w:left w:w="100" w:type="dxa"/>
              <w:bottom w:w="90" w:type="dxa"/>
              <w:right w:w="100" w:type="dxa"/>
            </w:tcMar>
          </w:tcPr>
          <w:p w14:paraId="2742BC92"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Build an isolated sandbox (Ghidra/IDA Free plus an MCP tool bridge); finalise the clue taxonomy; complete benchmark sample collection (60–80 samples).</w:t>
            </w:r>
          </w:p>
        </w:tc>
      </w:tr>
      <w:tr w:rsidR="00E745E0" w:rsidRPr="00BE462B" w14:paraId="3C93E817" w14:textId="77777777" w:rsidTr="00E745E0">
        <w:tc>
          <w:tcPr>
            <w:tcW w:w="1300" w:type="dxa"/>
            <w:tcMar>
              <w:top w:w="90" w:type="dxa"/>
              <w:left w:w="100" w:type="dxa"/>
              <w:bottom w:w="90" w:type="dxa"/>
              <w:right w:w="100" w:type="dxa"/>
            </w:tcMar>
          </w:tcPr>
          <w:p w14:paraId="763E6996"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3</w:t>
            </w:r>
          </w:p>
        </w:tc>
        <w:tc>
          <w:tcPr>
            <w:tcW w:w="1500" w:type="dxa"/>
            <w:tcMar>
              <w:top w:w="90" w:type="dxa"/>
              <w:left w:w="100" w:type="dxa"/>
              <w:bottom w:w="90" w:type="dxa"/>
              <w:right w:w="100" w:type="dxa"/>
            </w:tcMar>
          </w:tcPr>
          <w:p w14:paraId="536592F5"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Weeks 5–7</w:t>
            </w:r>
          </w:p>
        </w:tc>
        <w:tc>
          <w:tcPr>
            <w:tcW w:w="6409" w:type="dxa"/>
            <w:tcMar>
              <w:top w:w="90" w:type="dxa"/>
              <w:left w:w="100" w:type="dxa"/>
              <w:bottom w:w="90" w:type="dxa"/>
              <w:right w:w="100" w:type="dxa"/>
            </w:tcMar>
          </w:tcPr>
          <w:p w14:paraId="7AC39765"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Implement the clue-extraction pipeline and the LLM orchestration layer; add reasoning-trace logging for auditability.</w:t>
            </w:r>
          </w:p>
        </w:tc>
      </w:tr>
      <w:tr w:rsidR="00E745E0" w:rsidRPr="00BE462B" w14:paraId="3E98E947" w14:textId="77777777" w:rsidTr="00E745E0">
        <w:tc>
          <w:tcPr>
            <w:tcW w:w="1300" w:type="dxa"/>
            <w:tcMar>
              <w:top w:w="90" w:type="dxa"/>
              <w:left w:w="100" w:type="dxa"/>
              <w:bottom w:w="90" w:type="dxa"/>
              <w:right w:w="100" w:type="dxa"/>
            </w:tcMar>
          </w:tcPr>
          <w:p w14:paraId="113B9180"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4</w:t>
            </w:r>
          </w:p>
        </w:tc>
        <w:tc>
          <w:tcPr>
            <w:tcW w:w="1500" w:type="dxa"/>
            <w:tcMar>
              <w:top w:w="90" w:type="dxa"/>
              <w:left w:w="100" w:type="dxa"/>
              <w:bottom w:w="90" w:type="dxa"/>
              <w:right w:w="100" w:type="dxa"/>
            </w:tcMar>
          </w:tcPr>
          <w:p w14:paraId="3549987E"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 8</w:t>
            </w:r>
          </w:p>
        </w:tc>
        <w:tc>
          <w:tcPr>
            <w:tcW w:w="6409" w:type="dxa"/>
            <w:tcMar>
              <w:top w:w="90" w:type="dxa"/>
              <w:left w:w="100" w:type="dxa"/>
              <w:bottom w:w="90" w:type="dxa"/>
              <w:right w:w="100" w:type="dxa"/>
            </w:tcMar>
          </w:tcPr>
          <w:p w14:paraId="636BEE11"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Run a pilot evaluation on 10–15 obfuscated samples; refine prompts, clue weights and tool-call strategy.</w:t>
            </w:r>
          </w:p>
        </w:tc>
      </w:tr>
      <w:tr w:rsidR="00E745E0" w:rsidRPr="00BE462B" w14:paraId="335A7247" w14:textId="77777777" w:rsidTr="00E745E0">
        <w:tc>
          <w:tcPr>
            <w:tcW w:w="1300" w:type="dxa"/>
            <w:tcMar>
              <w:top w:w="90" w:type="dxa"/>
              <w:left w:w="100" w:type="dxa"/>
              <w:bottom w:w="90" w:type="dxa"/>
              <w:right w:w="100" w:type="dxa"/>
            </w:tcMar>
          </w:tcPr>
          <w:p w14:paraId="0B3A203D"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5</w:t>
            </w:r>
          </w:p>
        </w:tc>
        <w:tc>
          <w:tcPr>
            <w:tcW w:w="1500" w:type="dxa"/>
            <w:tcMar>
              <w:top w:w="90" w:type="dxa"/>
              <w:left w:w="100" w:type="dxa"/>
              <w:bottom w:w="90" w:type="dxa"/>
              <w:right w:w="100" w:type="dxa"/>
            </w:tcMar>
          </w:tcPr>
          <w:p w14:paraId="4FF376A9"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Weeks 9–11</w:t>
            </w:r>
          </w:p>
        </w:tc>
        <w:tc>
          <w:tcPr>
            <w:tcW w:w="6409" w:type="dxa"/>
            <w:tcMar>
              <w:top w:w="90" w:type="dxa"/>
              <w:left w:w="100" w:type="dxa"/>
              <w:bottom w:w="90" w:type="dxa"/>
              <w:right w:w="100" w:type="dxa"/>
            </w:tcMar>
          </w:tcPr>
          <w:p w14:paraId="4A1C1B91"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Run the full benchmark evaluation across obfuscation classes against the clue-free and tooling baselines.</w:t>
            </w:r>
          </w:p>
        </w:tc>
      </w:tr>
      <w:tr w:rsidR="00E745E0" w:rsidRPr="00BE462B" w14:paraId="176F6529" w14:textId="77777777" w:rsidTr="00E745E0">
        <w:tc>
          <w:tcPr>
            <w:tcW w:w="1300" w:type="dxa"/>
            <w:tcMar>
              <w:top w:w="90" w:type="dxa"/>
              <w:left w:w="100" w:type="dxa"/>
              <w:bottom w:w="90" w:type="dxa"/>
              <w:right w:w="100" w:type="dxa"/>
            </w:tcMar>
          </w:tcPr>
          <w:p w14:paraId="2FDED726"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b/>
                <w:bCs/>
                <w:sz w:val="19"/>
                <w:szCs w:val="19"/>
              </w:rPr>
              <w:t>Phase 6</w:t>
            </w:r>
          </w:p>
        </w:tc>
        <w:tc>
          <w:tcPr>
            <w:tcW w:w="1500" w:type="dxa"/>
            <w:tcMar>
              <w:top w:w="90" w:type="dxa"/>
              <w:left w:w="100" w:type="dxa"/>
              <w:bottom w:w="90" w:type="dxa"/>
              <w:right w:w="100" w:type="dxa"/>
            </w:tcMar>
          </w:tcPr>
          <w:p w14:paraId="12F09FFA"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Week 12</w:t>
            </w:r>
          </w:p>
        </w:tc>
        <w:tc>
          <w:tcPr>
            <w:tcW w:w="6409" w:type="dxa"/>
            <w:tcMar>
              <w:top w:w="90" w:type="dxa"/>
              <w:left w:w="100" w:type="dxa"/>
              <w:bottom w:w="90" w:type="dxa"/>
              <w:right w:w="100" w:type="dxa"/>
            </w:tcMar>
          </w:tcPr>
          <w:p w14:paraId="34360520" w14:textId="77777777" w:rsidR="00E745E0" w:rsidRPr="00BE462B" w:rsidRDefault="00E745E0" w:rsidP="008368E4">
            <w:pPr>
              <w:rPr>
                <w:rFonts w:asciiTheme="majorHAnsi" w:hAnsiTheme="majorHAnsi" w:cstheme="majorHAnsi"/>
              </w:rPr>
            </w:pPr>
            <w:r w:rsidRPr="00BE462B">
              <w:rPr>
                <w:rFonts w:asciiTheme="majorHAnsi" w:eastAsia="Calibri" w:hAnsiTheme="majorHAnsi" w:cstheme="majorHAnsi"/>
                <w:sz w:val="19"/>
                <w:szCs w:val="19"/>
              </w:rPr>
              <w:t>Analyse results statistically, write up findings, and prepare code/data for archiving.</w:t>
            </w:r>
          </w:p>
        </w:tc>
      </w:tr>
    </w:tbl>
    <w:p w14:paraId="278882C7" w14:textId="77777777" w:rsidR="00E745E0" w:rsidRPr="00BE462B" w:rsidRDefault="00E745E0" w:rsidP="00E745E0">
      <w:pPr>
        <w:spacing w:before="160" w:after="40"/>
        <w:jc w:val="center"/>
        <w:rPr>
          <w:rFonts w:asciiTheme="majorHAnsi" w:hAnsiTheme="majorHAnsi" w:cstheme="majorHAnsi"/>
        </w:rPr>
      </w:pPr>
    </w:p>
    <w:p w14:paraId="3B0DDE91" w14:textId="77777777" w:rsidR="00E745E0" w:rsidRPr="00BE462B" w:rsidRDefault="00E745E0" w:rsidP="00E745E0">
      <w:pPr>
        <w:spacing w:before="160" w:after="40"/>
        <w:jc w:val="center"/>
        <w:rPr>
          <w:rFonts w:asciiTheme="majorHAnsi" w:hAnsiTheme="majorHAnsi" w:cstheme="majorHAnsi"/>
        </w:rPr>
      </w:pPr>
      <w:r w:rsidRPr="00BE462B">
        <w:rPr>
          <w:rFonts w:asciiTheme="majorHAnsi" w:hAnsiTheme="majorHAnsi" w:cstheme="majorHAnsi"/>
          <w:noProof/>
        </w:rPr>
        <w:drawing>
          <wp:inline distT="114300" distB="114300" distL="114300" distR="114300" wp14:anchorId="523B909D" wp14:editId="375B1A61">
            <wp:extent cx="5730875" cy="2657475"/>
            <wp:effectExtent l="0" t="0" r="3175" b="9525"/>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731201" cy="2657626"/>
                    </a:xfrm>
                    <a:prstGeom prst="rect">
                      <a:avLst/>
                    </a:prstGeom>
                    <a:ln/>
                  </pic:spPr>
                </pic:pic>
              </a:graphicData>
            </a:graphic>
          </wp:inline>
        </w:drawing>
      </w:r>
    </w:p>
    <w:p w14:paraId="1E202516" w14:textId="77777777" w:rsidR="00E745E0" w:rsidRPr="00BE462B" w:rsidRDefault="00E745E0" w:rsidP="00E745E0">
      <w:pPr>
        <w:jc w:val="center"/>
        <w:rPr>
          <w:rFonts w:asciiTheme="majorHAnsi" w:hAnsiTheme="majorHAnsi" w:cstheme="majorHAnsi"/>
          <w:i/>
          <w:iCs/>
          <w:highlight w:val="yellow"/>
        </w:rPr>
      </w:pPr>
      <w:r w:rsidRPr="00BE462B">
        <w:rPr>
          <w:rFonts w:asciiTheme="majorHAnsi" w:hAnsiTheme="majorHAnsi" w:cstheme="majorHAnsi"/>
          <w:i/>
          <w:iCs/>
        </w:rPr>
        <w:t>Fig. 3. 12-Week Project Timeline Gantt Chart.</w:t>
      </w:r>
    </w:p>
    <w:p w14:paraId="3F0E2AE1" w14:textId="77777777" w:rsidR="00E745E0" w:rsidRPr="00BE462B" w:rsidRDefault="00E745E0">
      <w:pPr>
        <w:rPr>
          <w:rFonts w:asciiTheme="majorHAnsi" w:eastAsia="Calibri" w:hAnsiTheme="majorHAnsi" w:cstheme="majorHAnsi"/>
          <w:b/>
          <w:bCs/>
          <w:color w:val="000000"/>
          <w:sz w:val="27"/>
          <w:szCs w:val="27"/>
        </w:rPr>
      </w:pPr>
      <w:r w:rsidRPr="00BE462B">
        <w:rPr>
          <w:rFonts w:asciiTheme="majorHAnsi" w:eastAsia="Calibri" w:hAnsiTheme="majorHAnsi" w:cstheme="majorHAnsi"/>
          <w:b/>
          <w:bCs/>
          <w:color w:val="000000"/>
          <w:sz w:val="27"/>
          <w:szCs w:val="27"/>
        </w:rPr>
        <w:br w:type="page"/>
      </w:r>
    </w:p>
    <w:p w14:paraId="77877E2A" w14:textId="5F5584FB" w:rsidR="00696738" w:rsidRPr="00BE462B" w:rsidRDefault="00000000" w:rsidP="00E745E0">
      <w:pPr>
        <w:pStyle w:val="Heading1"/>
        <w:rPr>
          <w:rFonts w:asciiTheme="majorHAnsi" w:hAnsiTheme="majorHAnsi" w:cstheme="majorHAnsi"/>
          <w:color w:val="auto"/>
        </w:rPr>
      </w:pPr>
      <w:r w:rsidRPr="00BE462B">
        <w:rPr>
          <w:rFonts w:asciiTheme="majorHAnsi" w:hAnsiTheme="majorHAnsi" w:cstheme="majorHAnsi"/>
          <w:color w:val="auto"/>
        </w:rPr>
        <w:lastRenderedPageBreak/>
        <w:t>6.</w:t>
      </w:r>
      <w:r w:rsidR="00BE462B">
        <w:rPr>
          <w:rFonts w:asciiTheme="majorHAnsi" w:hAnsiTheme="majorHAnsi" w:cstheme="majorHAnsi"/>
          <w:color w:val="auto"/>
        </w:rPr>
        <w:t xml:space="preserve"> </w:t>
      </w:r>
      <w:r w:rsidRPr="00BE462B">
        <w:rPr>
          <w:rFonts w:asciiTheme="majorHAnsi" w:hAnsiTheme="majorHAnsi" w:cstheme="majorHAnsi"/>
          <w:color w:val="auto"/>
        </w:rPr>
        <w:t xml:space="preserve">Overall Presentation of the Proposal </w:t>
      </w:r>
    </w:p>
    <w:p w14:paraId="28DA7209" w14:textId="77777777" w:rsidR="00BE462B" w:rsidRDefault="00BE462B">
      <w:pPr>
        <w:spacing w:after="140" w:line="288" w:lineRule="auto"/>
        <w:jc w:val="both"/>
        <w:rPr>
          <w:rFonts w:asciiTheme="majorHAnsi" w:eastAsia="Calibri" w:hAnsiTheme="majorHAnsi" w:cstheme="majorHAnsi"/>
          <w:sz w:val="22"/>
          <w:szCs w:val="22"/>
        </w:rPr>
      </w:pPr>
    </w:p>
    <w:p w14:paraId="2F26CA96" w14:textId="3725D209" w:rsidR="00696738" w:rsidRPr="00BE462B" w:rsidRDefault="00FB7119" w:rsidP="00BE462B">
      <w:pPr>
        <w:spacing w:after="140" w:line="288" w:lineRule="auto"/>
        <w:jc w:val="both"/>
        <w:rPr>
          <w:rFonts w:asciiTheme="majorHAnsi" w:hAnsiTheme="majorHAnsi" w:cstheme="majorHAnsi"/>
        </w:rPr>
      </w:pPr>
      <w:r w:rsidRPr="00BE462B">
        <w:rPr>
          <w:rFonts w:asciiTheme="majorHAnsi" w:eastAsia="Calibri" w:hAnsiTheme="majorHAnsi" w:cstheme="majorHAnsi"/>
          <w:sz w:val="22"/>
          <w:szCs w:val="22"/>
        </w:rPr>
        <w:t>Proposal is grammatical and clearly follows the assessment criteria, consistent levels of headings throughout and IEEE in-text citations are numbered in the exact order that they are cited. To aid in grasping the architecture, the methodology and the schedule at a single glance, rather than by constructing the details out of prose only, three original figures and one summary table are included. All key terms (clue, obfuscation class, hallucination rate etc.) are carefully explained on the first time they are introduced and then used uniformly. Each of the entries in the following list has been independently verified by the checker before inclusion through contact with its official project web page, its publisher, or its arXiv web page, rather than on faith, following the guidelines of this citation style.</w:t>
      </w:r>
      <w:r w:rsidRPr="00BE462B">
        <w:br w:type="page"/>
      </w:r>
    </w:p>
    <w:p w14:paraId="7E3698E2" w14:textId="77777777" w:rsidR="00696738" w:rsidRPr="00BE462B" w:rsidRDefault="00000000">
      <w:pPr>
        <w:pStyle w:val="Heading1"/>
        <w:spacing w:before="300" w:after="140"/>
        <w:rPr>
          <w:rFonts w:asciiTheme="majorHAnsi" w:hAnsiTheme="majorHAnsi" w:cstheme="majorHAnsi"/>
          <w:color w:val="000000"/>
        </w:rPr>
      </w:pPr>
      <w:r w:rsidRPr="00BE462B">
        <w:rPr>
          <w:rFonts w:asciiTheme="majorHAnsi" w:eastAsia="Calibri" w:hAnsiTheme="majorHAnsi" w:cstheme="majorHAnsi"/>
          <w:b/>
          <w:bCs/>
          <w:color w:val="000000"/>
          <w:sz w:val="27"/>
          <w:szCs w:val="27"/>
        </w:rPr>
        <w:lastRenderedPageBreak/>
        <w:t>7. References</w:t>
      </w:r>
    </w:p>
    <w:p w14:paraId="0F93FF61"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  E. J. Chikofsky and J. H. Cross, “Reverse engineering and design recovery: A taxonomy,” IEEE Software, vol. 7, no. 1, pp. 13–17, Jan. 1990, doi: 10.1109/52.43044.</w:t>
      </w:r>
    </w:p>
    <w:p w14:paraId="3BB8E7A8"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[2]  National Security Agency, “Ghidra software reverse engineering framework,” 2019. [Online]. Available: https://ghidra-sre.org</w:t>
      </w:r>
    </w:p>
    <w:p w14:paraId="3F9BF372"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[3]  M. Sikorski and A. Honig, Practical Malware Analysis: The Hands-On Guide to Dissecting Malicious Software. San Francisco, CA, USA: No Starch Press, 2012.</w:t>
      </w:r>
    </w:p>
    <w:p w14:paraId="5CD726F7"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[4]  H. Jelodar, S. Bai, P. Hamedi, H. Mohammadian, R. Razavi-Far, and A. Ghorbani, “Large language model (LLM) for software security: Code analysis, malware analysis, reverse engineering,” arXiv preprint arXiv:2504.07137, 2025.</w:t>
      </w:r>
    </w:p>
    <w:p w14:paraId="44FEC7AB"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[5]  A. Apvrille and D. Nakov, “Malware analysis assisted by AI with R2AI,” arXiv preprint arXiv:2504.07574, 2025.</w:t>
      </w:r>
    </w:p>
    <w:p w14:paraId="7D3EC136"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[6]  F. Fiegel and F. Drechsler, “IDA Pro MCP server,” GitHub repository, 2025. [Online]. Available: https://github.com/fdrechsler/mcp-server-idapro</w:t>
      </w:r>
    </w:p>
    <w:p w14:paraId="6B872981"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[7]  Black Hat USA, “Clue-driven reverse engineering by LLM in real-world malware analysis,” conference presentation, Las Vegas, NV, USA, 2025. [Online]. Available: https://www.youtube.com/watch?v=Ofo2RRaqVwU</w:t>
      </w:r>
    </w:p>
    <w:p w14:paraId="3B50217D"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[8]  S. Pordanesh and B. Tan, “Exploring the efficacy of large language models (GPT-4) in binary reverse engineering,” arXiv preprint arXiv:2406.06637, 2024.</w:t>
      </w:r>
    </w:p>
    <w:p w14:paraId="0C219A58"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[9]  D. Manuel, N. T. Islam, J. Khoury, A. Nunez, E. Bou-Harb, and P. Najafirad, “Enhancing reverse engineering: Investigating and benchmarking large language models for vulnerability analysis in decompiled binaries,” arXiv preprint arXiv:2411.04981, 2024.</w:t>
      </w:r>
    </w:p>
    <w:p w14:paraId="002AE4F5"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[10]  X. Hu, Z. Fu, S. Xie, S. H. H. Ding, and P. Charland, “SoK: Potentials and challenges of large language models for reverse engineering,” arXiv preprint arXiv:2509.21821, 2025.</w:t>
      </w:r>
    </w:p>
    <w:p w14:paraId="089E4D52"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[11]  R. Lyda and J. Hamrock, “Using entropy analysis to find encrypted and packed malware,” IEEE Security &amp; Privacy, vol. 5, no. 2, pp. 40–45, Mar. 2007, doi: 10.1109/MSP.2007.48.</w:t>
      </w:r>
    </w:p>
    <w:p w14:paraId="3C08ECC0"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[12]  H. Tan, Q. Luo, J. Li, and Y. Zhang, “LLM4Decompile: Decompiling binary code with large language models,” in Proc. 2024 Conf. Empirical Methods in Natural Language Processing (EMNLP), Miami, FL, USA, 2024, pp. 3473–3487.</w:t>
      </w:r>
    </w:p>
    <w:p w14:paraId="3D6F5F2D"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[13]  G. Chen, H. Sun, D. Liu, Z. Wang, Q. Wang, B. Yin, L. Liu, and L. Ying, “ReCopilot: Reverse engineering copilot in binary analysis,” arXiv preprint arXiv:2505.16366, 2025.</w:t>
      </w:r>
    </w:p>
    <w:p w14:paraId="74A31F4E"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[14]  C. Patsakis, F. Casino, and N. Lykousas, “Assessing LLMs in malicious code deobfuscation of real-world malware campaigns,” Expert Systems with Applications, vol. 256, p. 124912, 2024, doi: 10.1016/j.eswa.2024.124912.</w:t>
      </w:r>
    </w:p>
    <w:p w14:paraId="30F4EAFF"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[15]  E. Böke and S. Torka, “‘Digital camouflage’: The LLVM challenge in LLM-based malware detection,” arXiv preprint arXiv:2509.16671, 2025.</w:t>
      </w:r>
    </w:p>
    <w:p w14:paraId="3EE815A0"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[16]  X. Qian, X. Zheng, Y. He, S. Yang, and L. Cavallaro, “LAMD: Context-driven Android malware detection and classification with LLMs,” arXiv preprint arXiv:2502.13055, 2025.</w:t>
      </w:r>
    </w:p>
    <w:p w14:paraId="68925E8F" w14:textId="77777777" w:rsidR="00696738" w:rsidRPr="00BE462B" w:rsidRDefault="00000000" w:rsidP="00BE462B">
      <w:pPr>
        <w:spacing w:after="120" w:line="264" w:lineRule="auto"/>
        <w:ind w:left="460" w:hanging="460"/>
        <w:jc w:val="both"/>
        <w:rPr>
          <w:rFonts w:asciiTheme="majorHAnsi" w:hAnsiTheme="majorHAnsi" w:cstheme="majorHAnsi"/>
        </w:rPr>
      </w:pPr>
      <w:r w:rsidRPr="00BE462B">
        <w:rPr>
          <w:rFonts w:asciiTheme="majorHAnsi" w:eastAsia="Calibri" w:hAnsiTheme="majorHAnsi" w:cstheme="majorHAnsi"/>
        </w:rPr>
        <w:t>[17]  B. J. Walton, M. E. Khatun, J. M. Ghawaly, and A. Ali-Gombe, “Exploring large language models for semantic analysis and categorization of Android malware,” in Proc. 2024 Annual Computer Security Applications Conf. Workshops (ACSAC Workshops), Honolulu, HI, USA, 2024, pp. 248–254, doi: 10.1109/ACSACW65225.2024.00035.</w:t>
      </w:r>
    </w:p>
    <w:sectPr w:rsidR="00696738" w:rsidRPr="00BE462B" w:rsidSect="0086475D">
      <w:headerReference w:type="default" r:id="rId12"/>
      <w:footerReference w:type="default" r:id="rId13"/>
      <w:pgSz w:w="11906" w:h="16838"/>
      <w:pgMar w:top="1350" w:right="1440" w:bottom="135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8C319" w14:textId="77777777" w:rsidR="00870AD8" w:rsidRDefault="00870AD8">
      <w:r>
        <w:separator/>
      </w:r>
    </w:p>
  </w:endnote>
  <w:endnote w:type="continuationSeparator" w:id="0">
    <w:p w14:paraId="7BB15A06" w14:textId="77777777" w:rsidR="00870AD8" w:rsidRDefault="00870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B5EEDA21-034D-4F84-AEFF-7323E1CB6834}"/>
  </w:font>
  <w:font w:name="Calibri">
    <w:panose1 w:val="020F0502020204030204"/>
    <w:charset w:val="00"/>
    <w:family w:val="swiss"/>
    <w:pitch w:val="variable"/>
    <w:sig w:usb0="E4002EFF" w:usb1="C200247B" w:usb2="00000009" w:usb3="00000000" w:csb0="000001FF" w:csb1="00000000"/>
    <w:embedRegular r:id="rId2" w:fontKey="{1ADF1A64-05FA-434F-921B-9A41FA32A55E}"/>
    <w:embedBold r:id="rId3" w:fontKey="{F4A423C9-C0EE-4787-929D-828A23FB5E07}"/>
    <w:embedItalic r:id="rId4" w:fontKey="{232CBE8D-34DD-4246-AC5C-F704C4A3449F}"/>
  </w:font>
  <w:font w:name="Cambria">
    <w:panose1 w:val="02040503050406030204"/>
    <w:charset w:val="00"/>
    <w:family w:val="roman"/>
    <w:pitch w:val="variable"/>
    <w:sig w:usb0="E00006FF" w:usb1="420024FF" w:usb2="02000000" w:usb3="00000000" w:csb0="0000019F" w:csb1="00000000"/>
    <w:embedRegular r:id="rId5" w:fontKey="{28FA6934-7F8F-4640-9A7E-7E6B916240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CD835" w14:textId="77777777" w:rsidR="00696738" w:rsidRDefault="00000000">
    <w:pPr>
      <w:jc w:val="cente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1C0BBC">
      <w:rPr>
        <w:rFonts w:ascii="Calibri" w:eastAsia="Calibri" w:hAnsi="Calibri" w:cs="Calibri"/>
        <w:noProof/>
        <w:sz w:val="18"/>
        <w:szCs w:val="18"/>
      </w:rPr>
      <w:t>2</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78988" w14:textId="77777777" w:rsidR="00870AD8" w:rsidRDefault="00870AD8">
      <w:r>
        <w:separator/>
      </w:r>
    </w:p>
  </w:footnote>
  <w:footnote w:type="continuationSeparator" w:id="0">
    <w:p w14:paraId="554CE21D" w14:textId="77777777" w:rsidR="00870AD8" w:rsidRDefault="00870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92787" w14:textId="5E51E1D1" w:rsidR="00696738" w:rsidRDefault="0069673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0E64E4"/>
    <w:multiLevelType w:val="multilevel"/>
    <w:tmpl w:val="229637B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65DF6B35"/>
    <w:multiLevelType w:val="hybridMultilevel"/>
    <w:tmpl w:val="333C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E4BF5"/>
    <w:multiLevelType w:val="hybridMultilevel"/>
    <w:tmpl w:val="55E6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829777">
    <w:abstractNumId w:val="0"/>
  </w:num>
  <w:num w:numId="2" w16cid:durableId="75906631">
    <w:abstractNumId w:val="2"/>
  </w:num>
  <w:num w:numId="3" w16cid:durableId="915240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38"/>
    <w:rsid w:val="000B7041"/>
    <w:rsid w:val="001C0BBC"/>
    <w:rsid w:val="001E4686"/>
    <w:rsid w:val="00202A87"/>
    <w:rsid w:val="002B6643"/>
    <w:rsid w:val="0036746E"/>
    <w:rsid w:val="003F05F8"/>
    <w:rsid w:val="003F06B1"/>
    <w:rsid w:val="00422E5B"/>
    <w:rsid w:val="004F2DB4"/>
    <w:rsid w:val="0051147A"/>
    <w:rsid w:val="00696738"/>
    <w:rsid w:val="007B1C39"/>
    <w:rsid w:val="0086475D"/>
    <w:rsid w:val="00870AD8"/>
    <w:rsid w:val="009F2E58"/>
    <w:rsid w:val="00A12114"/>
    <w:rsid w:val="00AF6F4E"/>
    <w:rsid w:val="00BE462B"/>
    <w:rsid w:val="00D35B16"/>
    <w:rsid w:val="00E745E0"/>
    <w:rsid w:val="00FB7119"/>
    <w:rsid w:val="00FC3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410F"/>
  <w15:docId w15:val="{6CE4C749-20F3-4A16-A56E-163EEA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link w:val="Heading2Char"/>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1C0BBC"/>
    <w:pPr>
      <w:ind w:left="720"/>
      <w:contextualSpacing/>
    </w:pPr>
  </w:style>
  <w:style w:type="paragraph" w:styleId="Header">
    <w:name w:val="header"/>
    <w:basedOn w:val="Normal"/>
    <w:link w:val="HeaderChar"/>
    <w:uiPriority w:val="99"/>
    <w:unhideWhenUsed/>
    <w:rsid w:val="0086475D"/>
    <w:pPr>
      <w:tabs>
        <w:tab w:val="center" w:pos="4680"/>
        <w:tab w:val="right" w:pos="9360"/>
      </w:tabs>
    </w:pPr>
  </w:style>
  <w:style w:type="character" w:customStyle="1" w:styleId="HeaderChar">
    <w:name w:val="Header Char"/>
    <w:basedOn w:val="DefaultParagraphFont"/>
    <w:link w:val="Header"/>
    <w:uiPriority w:val="99"/>
    <w:rsid w:val="0086475D"/>
  </w:style>
  <w:style w:type="paragraph" w:styleId="Footer">
    <w:name w:val="footer"/>
    <w:basedOn w:val="Normal"/>
    <w:link w:val="FooterChar"/>
    <w:uiPriority w:val="99"/>
    <w:unhideWhenUsed/>
    <w:rsid w:val="0086475D"/>
    <w:pPr>
      <w:tabs>
        <w:tab w:val="center" w:pos="4680"/>
        <w:tab w:val="right" w:pos="9360"/>
      </w:tabs>
    </w:pPr>
  </w:style>
  <w:style w:type="character" w:customStyle="1" w:styleId="FooterChar">
    <w:name w:val="Footer Char"/>
    <w:basedOn w:val="DefaultParagraphFont"/>
    <w:link w:val="Footer"/>
    <w:uiPriority w:val="99"/>
    <w:rsid w:val="0086475D"/>
  </w:style>
  <w:style w:type="character" w:customStyle="1" w:styleId="Heading2Char">
    <w:name w:val="Heading 2 Char"/>
    <w:basedOn w:val="DefaultParagraphFont"/>
    <w:link w:val="Heading2"/>
    <w:uiPriority w:val="9"/>
    <w:rsid w:val="009F2E58"/>
    <w:rPr>
      <w:color w:val="2E74B5"/>
      <w:sz w:val="26"/>
      <w:szCs w:val="26"/>
    </w:rPr>
  </w:style>
  <w:style w:type="character" w:customStyle="1" w:styleId="Heading1Char">
    <w:name w:val="Heading 1 Char"/>
    <w:basedOn w:val="DefaultParagraphFont"/>
    <w:link w:val="Heading1"/>
    <w:uiPriority w:val="9"/>
    <w:rsid w:val="00E745E0"/>
    <w:rPr>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L5V9XlffTuOlhhyAEYIsJ76Rg==">CgMxLjAyDmgudHczd3JucjdtcHcwMg5oLmtpaHF5b2JmNDVjNjIOaC5idHgwMDc4azZqMDAyDmguMmxwYWljODk2b3pxMg5oLnpjd3FhOGMxcnJydzIOaC5ybG43cmw5eDVpbGM4AHIhMW5LUC1DWlV2UnFHckRkT2VVTzVsanRDdG9WRTFQZUN1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15</Pages>
  <Words>5053</Words>
  <Characters>28805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 Bhatia</cp:lastModifiedBy>
  <cp:revision>16</cp:revision>
  <dcterms:created xsi:type="dcterms:W3CDTF">2026-07-27T18:33:00Z</dcterms:created>
  <dcterms:modified xsi:type="dcterms:W3CDTF">2026-08-12T12:35:00Z</dcterms:modified>
</cp:coreProperties>
</file>