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0"/>
      </w:pPr>
      <w:bookmarkStart w:name="_RefHeading___Toc82856599" w:id="0"/>
      <w:bookmarkEnd w:id="0"/>
    </w:p>
    <w:p>
      <w:pPr>
        <w:pStyle w:val="Normal.0"/>
      </w:pPr>
    </w:p>
    <w:p>
      <w:pPr>
        <w:pStyle w:val="Normal.0"/>
      </w:pPr>
    </w:p>
    <w:p>
      <w:pPr>
        <w:pStyle w:val="Normal.0"/>
      </w:pPr>
    </w:p>
    <w:p>
      <w:pPr>
        <w:pStyle w:val="Normal.0"/>
      </w:pPr>
    </w:p>
    <w:p>
      <w:pPr>
        <w:pStyle w:val="Normal.0"/>
      </w:pPr>
    </w:p>
    <w:p>
      <w:pPr>
        <w:pStyle w:val="Normal.0"/>
      </w:pPr>
    </w:p>
    <w:p>
      <w:pPr>
        <w:pStyle w:val="Normal.0"/>
      </w:pPr>
    </w:p>
    <w:p>
      <w:pPr>
        <w:pStyle w:val="Normal.0"/>
        <w:jc w:val="center"/>
        <w:rPr>
          <w:b w:val="1"/>
          <w:bCs w:val="1"/>
          <w:i w:val="1"/>
          <w:iCs w:val="1"/>
          <w:sz w:val="40"/>
          <w:szCs w:val="40"/>
        </w:rPr>
      </w:pPr>
      <w:r>
        <w:rPr>
          <w:b w:val="1"/>
          <w:bCs w:val="1"/>
          <w:i w:val="1"/>
          <w:iCs w:val="1"/>
          <w:sz w:val="40"/>
          <w:szCs w:val="40"/>
          <w:rtl w:val="0"/>
          <w:lang w:val="en-US"/>
        </w:rPr>
        <w:t xml:space="preserve">Student Name: Dominique Heath </w:t>
      </w:r>
    </w:p>
    <w:p>
      <w:pPr>
        <w:pStyle w:val="Normal.0"/>
        <w:jc w:val="center"/>
        <w:rPr>
          <w:b w:val="1"/>
          <w:bCs w:val="1"/>
          <w:i w:val="1"/>
          <w:iCs w:val="1"/>
          <w:sz w:val="40"/>
          <w:szCs w:val="40"/>
        </w:rPr>
      </w:pPr>
      <w:r>
        <w:rPr>
          <w:b w:val="1"/>
          <w:bCs w:val="1"/>
          <w:i w:val="1"/>
          <w:iCs w:val="1"/>
          <w:sz w:val="40"/>
          <w:szCs w:val="40"/>
          <w:rtl w:val="0"/>
          <w:lang w:val="en-US"/>
        </w:rPr>
        <w:t>Student Number: 2505637</w:t>
      </w:r>
    </w:p>
    <w:p>
      <w:pPr>
        <w:pStyle w:val="Normal.0"/>
        <w:jc w:val="center"/>
        <w:rPr>
          <w:b w:val="1"/>
          <w:bCs w:val="1"/>
          <w:i w:val="1"/>
          <w:iCs w:val="1"/>
          <w:sz w:val="40"/>
          <w:szCs w:val="40"/>
        </w:rPr>
      </w:pPr>
      <w:r>
        <w:rPr>
          <w:b w:val="1"/>
          <w:bCs w:val="1"/>
          <w:i w:val="1"/>
          <w:iCs w:val="1"/>
          <w:sz w:val="40"/>
          <w:szCs w:val="40"/>
          <w:rtl w:val="0"/>
          <w:lang w:val="en-US"/>
        </w:rPr>
        <w:t xml:space="preserve"> Lecturer: Neale Hadden</w:t>
      </w:r>
    </w:p>
    <w:p>
      <w:pPr>
        <w:pStyle w:val="Normal.0"/>
        <w:jc w:val="center"/>
        <w:rPr>
          <w:b w:val="1"/>
          <w:bCs w:val="1"/>
          <w:i w:val="1"/>
          <w:iCs w:val="1"/>
          <w:sz w:val="40"/>
          <w:szCs w:val="40"/>
        </w:rPr>
      </w:pPr>
      <w:r>
        <w:rPr>
          <w:b w:val="1"/>
          <w:bCs w:val="1"/>
          <w:i w:val="1"/>
          <w:iCs w:val="1"/>
          <w:sz w:val="40"/>
          <w:szCs w:val="40"/>
          <w:rtl w:val="0"/>
          <w:lang w:val="en-US"/>
        </w:rPr>
        <w:t>LCHS4010</w:t>
      </w:r>
    </w:p>
    <w:p>
      <w:pPr>
        <w:pStyle w:val="Normal.0"/>
        <w:jc w:val="center"/>
        <w:rPr>
          <w:b w:val="1"/>
          <w:bCs w:val="1"/>
          <w:i w:val="1"/>
          <w:iCs w:val="1"/>
          <w:sz w:val="40"/>
          <w:szCs w:val="40"/>
        </w:rPr>
      </w:pPr>
      <w:r>
        <w:rPr>
          <w:b w:val="1"/>
          <w:bCs w:val="1"/>
          <w:i w:val="1"/>
          <w:iCs w:val="1"/>
          <w:sz w:val="40"/>
          <w:szCs w:val="40"/>
          <w:rtl w:val="0"/>
          <w:lang w:val="en-US"/>
        </w:rPr>
        <w:t>Certificate of higher educational skills for the workplace (Health and Social care)</w:t>
      </w:r>
    </w:p>
    <w:p>
      <w:pPr>
        <w:pStyle w:val="Normal.0"/>
        <w:jc w:val="center"/>
        <w:rPr>
          <w:b w:val="1"/>
          <w:bCs w:val="1"/>
          <w:i w:val="1"/>
          <w:iCs w:val="1"/>
          <w:sz w:val="40"/>
          <w:szCs w:val="40"/>
        </w:rPr>
      </w:pPr>
      <w:r>
        <w:rPr>
          <w:b w:val="1"/>
          <w:bCs w:val="1"/>
          <w:i w:val="1"/>
          <w:iCs w:val="1"/>
          <w:sz w:val="40"/>
          <w:szCs w:val="40"/>
          <w:rtl w:val="0"/>
          <w:lang w:val="en-US"/>
        </w:rPr>
        <w:t xml:space="preserve">Psychology in Health and Social care </w:t>
      </w:r>
    </w:p>
    <w:p>
      <w:pPr>
        <w:pStyle w:val="Normal.0"/>
        <w:jc w:val="center"/>
        <w:rPr>
          <w:b w:val="1"/>
          <w:bCs w:val="1"/>
          <w:i w:val="1"/>
          <w:iCs w:val="1"/>
          <w:sz w:val="40"/>
          <w:szCs w:val="40"/>
        </w:rPr>
      </w:pPr>
      <w:r>
        <w:rPr>
          <w:b w:val="1"/>
          <w:bCs w:val="1"/>
          <w:i w:val="1"/>
          <w:iCs w:val="1"/>
          <w:sz w:val="40"/>
          <w:szCs w:val="40"/>
          <w:rtl w:val="0"/>
          <w:lang w:val="en-US"/>
        </w:rPr>
        <w:t>Assessment 2: Essay</w:t>
      </w:r>
    </w:p>
    <w:p>
      <w:pPr>
        <w:pStyle w:val="Normal.0"/>
        <w:jc w:val="center"/>
        <w:rPr>
          <w:b w:val="1"/>
          <w:bCs w:val="1"/>
          <w:i w:val="1"/>
          <w:iCs w:val="1"/>
          <w:sz w:val="40"/>
          <w:szCs w:val="40"/>
        </w:rPr>
      </w:pPr>
      <w:r>
        <w:rPr>
          <w:b w:val="1"/>
          <w:bCs w:val="1"/>
          <w:i w:val="1"/>
          <w:iCs w:val="1"/>
          <w:sz w:val="40"/>
          <w:szCs w:val="40"/>
          <w:rtl w:val="0"/>
          <w:lang w:val="en-US"/>
        </w:rPr>
        <w:t xml:space="preserve"> Discuss  Impact of Social Media on Mental Health in Adolescence </w:t>
      </w:r>
    </w:p>
    <w:p>
      <w:pPr>
        <w:pStyle w:val="Contents Heading"/>
      </w:pPr>
      <w:r>
        <w:rPr>
          <w:rFonts w:ascii="Arial Unicode MS" w:cs="Arial Unicode MS" w:hAnsi="Arial Unicode MS" w:eastAsia="Arial Unicode MS"/>
          <w:b w:val="0"/>
          <w:bCs w:val="0"/>
          <w:i w:val="0"/>
          <w:iCs w:val="0"/>
        </w:rPr>
        <w:br w:type="page"/>
      </w:r>
    </w:p>
    <w:p>
      <w:pPr>
        <w:pStyle w:val="Contents Heading"/>
        <w:rPr>
          <w:rFonts w:ascii="Arial" w:cs="Arial" w:hAnsi="Arial" w:eastAsia="Arial"/>
        </w:rPr>
      </w:pPr>
      <w:r>
        <w:rPr>
          <w:rFonts w:ascii="Arial" w:hAnsi="Arial"/>
          <w:rtl w:val="0"/>
          <w:lang w:val="en-US"/>
        </w:rPr>
        <w:t>Table of Contents</w:t>
      </w:r>
    </w:p>
    <w:p>
      <w:pPr>
        <w:pStyle w:val="Normal.0"/>
        <w:tabs>
          <w:tab w:val="right" w:pos="9340" w:leader="dot"/>
        </w:tabs>
      </w:pPr>
      <w:r>
        <w:rPr/>
        <w:fldChar w:fldCharType="begin" w:fldLock="0"/>
      </w:r>
      <w:r>
        <w:instrText xml:space="preserve"> TOC \o 1-1 </w:instrText>
      </w:r>
      <w:r>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Main Body</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Conclusion</w:t>
        <w:tab/>
      </w:r>
      <w:r>
        <w:rPr/>
        <w:fldChar w:fldCharType="begin" w:fldLock="0"/>
      </w:r>
      <w:r>
        <w:instrText xml:space="preserve"> PAGEREF _Toc2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References</w:t>
        <w:tab/>
      </w:r>
      <w:r>
        <w:rPr/>
        <w:fldChar w:fldCharType="begin" w:fldLock="0"/>
      </w:r>
      <w:r>
        <w:instrText xml:space="preserve"> PAGEREF _Toc3 \h </w:instrText>
      </w:r>
      <w:r>
        <w:rPr/>
        <w:fldChar w:fldCharType="separate" w:fldLock="0"/>
      </w:r>
      <w:r>
        <w:rPr>
          <w:rFonts w:cs="Arial Unicode MS" w:eastAsia="Arial Unicode MS"/>
          <w:rtl w:val="0"/>
        </w:rPr>
        <w:t>6</w:t>
      </w:r>
      <w:r>
        <w:rPr/>
        <w:fldChar w:fldCharType="end" w:fldLock="0"/>
      </w:r>
    </w:p>
    <w:p>
      <w:pPr>
        <w:tabs>
          <w:tab w:val="right" w:pos="9340" w:leader="dot"/>
        </w:tabs>
      </w:pPr>
      <w:r>
        <w:rPr/>
        <w:fldChar w:fldCharType="end" w:fldLock="0"/>
      </w:r>
    </w:p>
    <w:p>
      <w:pPr>
        <w:pStyle w:val="Normal.0"/>
      </w:pPr>
    </w:p>
    <w:p>
      <w:pPr>
        <w:pStyle w:val="Normal.0"/>
      </w:pPr>
    </w:p>
    <w:p>
      <w:pPr>
        <w:pStyle w:val="Normal.0"/>
      </w:pPr>
    </w:p>
    <w:p>
      <w:pPr>
        <w:pStyle w:val="Heading 1"/>
      </w:pPr>
      <w:r>
        <w:rPr>
          <w:rFonts w:ascii="Arial Unicode MS" w:cs="Arial Unicode MS" w:hAnsi="Arial Unicode MS" w:eastAsia="Arial Unicode MS"/>
          <w:b w:val="0"/>
          <w:bCs w:val="0"/>
          <w:i w:val="0"/>
          <w:iCs w:val="0"/>
        </w:rPr>
        <w:br w:type="page"/>
      </w:r>
    </w:p>
    <w:p>
      <w:pPr>
        <w:pStyle w:val="Heading 1"/>
      </w:pPr>
      <w:bookmarkStart w:name="_Toc" w:id="1"/>
      <w:r>
        <w:rPr>
          <w:rFonts w:cs="Arial Unicode MS" w:eastAsia="Arial Unicode MS"/>
          <w:rtl w:val="0"/>
          <w:lang w:val="en-US"/>
        </w:rPr>
        <w:t>Introduction</w:t>
      </w:r>
      <w:bookmarkEnd w:id="1"/>
    </w:p>
    <w:p>
      <w:pPr>
        <w:pStyle w:val="Normal.0"/>
      </w:pPr>
      <w:r>
        <w:rPr>
          <w:rtl w:val="0"/>
          <w:lang w:val="en-US"/>
        </w:rPr>
        <w:t>Adolescence is a critical time in a person's life in which there are several biological growth, emotional regulation changes and increased focus on social relationships and identity development. Social media has emerged as an influential place for communication, self-expression and social networking for young people during this time period. However, as they are increasingly identified, their impact on adolescent mental health such as anxiety, depressive symptoms, self-esteem, and psychological wellbeing have been discussed. However, recent evidence suggests there is a link between social media and the patterns of interaction with others, individual vulnerability, and the nature of online and offline relationships (Yue and Rich 2023). Previous studies have identified social media as having psychological risks and opportunities, for example, the social comparison or peer support/ identity exploration that can take place (Weigle and Shafi, 2023). These influences are examined in this essay and critically analysed against the background of theories of psychosocial development by Erikson and attachment theory by Bowlby.</w:t>
      </w:r>
    </w:p>
    <w:p>
      <w:pPr>
        <w:pStyle w:val="Heading 1"/>
      </w:pPr>
      <w:bookmarkStart w:name="_Toc1" w:id="2"/>
      <w:r>
        <w:rPr>
          <w:rFonts w:cs="Arial Unicode MS" w:eastAsia="Arial Unicode MS"/>
          <w:rtl w:val="0"/>
          <w:lang w:val="en-US"/>
        </w:rPr>
        <w:t>Main Body</w:t>
      </w:r>
      <w:bookmarkEnd w:id="2"/>
    </w:p>
    <w:p>
      <w:pPr>
        <w:pStyle w:val="Normal.0"/>
      </w:pPr>
      <w:r>
        <w:rPr>
          <w:rtl w:val="0"/>
          <w:lang w:val="en-US"/>
        </w:rPr>
        <w:t>Social media has been an integral part of adolescents' lives, and has impacted their emotional lives, social interactions and sense of self. The benefits of highly visual media are offset by the potential for social comparison whereby adolescents make comparisons between their appearance, lifestyle, and achievements with ideas and images on social media they view as ideal (Yue and Rich, 2023). Research on adolescent identity construction is based on the concept of social media as a digital space in which adolescents build themselves, receive feedback on their identity, and compare themselves to others, which can impact their construction of identity (Mann and Blumberg, 2022).</w:t>
      </w:r>
    </w:p>
    <w:p>
      <w:pPr>
        <w:pStyle w:val="Normal.0"/>
        <w:ind w:firstLine="720"/>
      </w:pPr>
      <w:r>
        <w:rPr>
          <w:rtl w:val="0"/>
          <w:lang w:val="en-US"/>
        </w:rPr>
        <w:t>Furthermore, high involvement in and cyberbullying has been associated with poorer mental health including anxiety and depression symptoms and a need for online feedback and approval (Mulisa, Kejela and Dido, 2025). However, with a thorough look at all the evidence, it would appear there is no direct relationship between mental health and social media. Systematic reviews indicate that there are links between social media use and internalising symptoms that are mediated by other factors such as family environment, social factors and individual differences (Sala, Porcaro and G</w:t>
      </w:r>
      <w:r>
        <w:rPr>
          <w:rtl w:val="0"/>
          <w:lang w:val="en-US"/>
        </w:rPr>
        <w:t>ó</w:t>
      </w:r>
      <w:r>
        <w:rPr>
          <w:rtl w:val="0"/>
          <w:lang w:val="en-US"/>
        </w:rPr>
        <w:t>mez, 2024). Therefore, social media should not be considered as the sole cause of adolescent mental health issues, but rather as a context. Platforms can also provide emotional support, as well as information and communities to help reduce feelings of isolation, demonstrating the difference platforms can make when used by adolescents in digital space (Popat and Tarrant, 2022).</w:t>
      </w:r>
    </w:p>
    <w:p>
      <w:pPr>
        <w:pStyle w:val="Normal.0"/>
        <w:ind w:firstLine="720"/>
      </w:pPr>
      <w:r>
        <w:rPr>
          <w:rtl w:val="0"/>
          <w:lang w:val="en-US"/>
        </w:rPr>
        <w:t>The psychosocial development theory by Erik Erikson is a valuable framework for examining the interplay between social media and adolescents' mental health. According to Erikson, the developmental crisis of adolescence is Identity versus Role Confusion, wherein adolescents are seeking to develop a unified sense of self, values and determining their social roles. Problems can create uncertainty and confusion regarding personal identity, and Adventure 1: Resolution is a stage to help attain identity.</w:t>
      </w:r>
    </w:p>
    <w:p>
      <w:pPr>
        <w:pStyle w:val="Normal.0"/>
        <w:ind w:firstLine="720"/>
      </w:pPr>
      <w:r>
        <w:rPr>
          <w:rtl w:val="0"/>
          <w:lang w:val="en-US"/>
        </w:rPr>
        <w:t>Social media can be a valuable tool to support this process of development as it provides adolescent opportunities to share their perspective, try things out and experiment with their identity. Digital platforms enable youth to showcase various aspects of themselves, connect with peers and communities who share a common interest, and get feedback from peers. Recently, social media has been recognized as another space where adolescents are creating their identities as they share, negotiate and formulate their identities with others (Avci, Baams and Kretschmer, 2024). This can be a valuable option for teens who are looking for communities that offer support and/or belonging that are not found in their local community (Elvira-Zorzo and Bayona G</w:t>
      </w:r>
      <w:r>
        <w:rPr>
          <w:rtl w:val="0"/>
          <w:lang w:val="en-US"/>
        </w:rPr>
        <w:t>ó</w:t>
      </w:r>
      <w:r>
        <w:rPr>
          <w:rtl w:val="0"/>
          <w:lang w:val="en-US"/>
        </w:rPr>
        <w:t>mez, 2025).</w:t>
      </w:r>
    </w:p>
    <w:p>
      <w:pPr>
        <w:pStyle w:val="Normal.0"/>
        <w:ind w:firstLine="720"/>
      </w:pPr>
      <w:r>
        <w:rPr>
          <w:rtl w:val="0"/>
          <w:lang w:val="en-US"/>
        </w:rPr>
        <w:t xml:space="preserve">However, social media can be a drag when it comes to identity development in its quest for outside validation. Social indicators, including likes, comments, and followers, might help adolescents to build social identity rather than personal identity. Furthermore, the online identity is well-manicured, and these idealised images can contribute to confusing or making the young person feel insecure about their true identity, as it should match their </w:t>
      </w:r>
      <w:r>
        <w:rPr>
          <w:rtl w:val="0"/>
          <w:lang w:val="en-US"/>
        </w:rPr>
        <w:t>‘</w:t>
      </w:r>
      <w:r>
        <w:rPr>
          <w:rtl w:val="0"/>
          <w:lang w:val="en-US"/>
        </w:rPr>
        <w:t>online self' (P</w:t>
      </w:r>
      <w:r>
        <w:rPr>
          <w:rtl w:val="0"/>
          <w:lang w:val="en-US"/>
        </w:rPr>
        <w:t>é</w:t>
      </w:r>
      <w:r>
        <w:rPr>
          <w:rtl w:val="0"/>
          <w:lang w:val="en-US"/>
        </w:rPr>
        <w:t>rez-Torres, 2024).</w:t>
      </w:r>
    </w:p>
    <w:p>
      <w:pPr>
        <w:pStyle w:val="Normal.0"/>
        <w:ind w:firstLine="720"/>
      </w:pPr>
      <w:r>
        <w:rPr>
          <w:rtl w:val="0"/>
          <w:lang w:val="en-US"/>
        </w:rPr>
        <w:t>The value of Erikson's theory is that it directly relates to the developmental struggles that take place during adolescence as well as why peer feedback is psychologically salient during this time. It does have a weakness, however, in that it was created before the advent of digital technology has revolutionized the social life of adolescents. Thus, the theory can't fully account for influences in the current context like algorithmic influence or personalised online information, and influencer culture (Avci, Baams and Kretschmer, 2024). However, Erikson is still relevant, as the development of identity is still a major task among adolescents, but the digital environments should be seen as an additional social context influencing identity development (Branje, 2022).</w:t>
      </w:r>
    </w:p>
    <w:p>
      <w:pPr>
        <w:pStyle w:val="Normal.0"/>
        <w:ind w:firstLine="720"/>
      </w:pPr>
      <w:r>
        <w:rPr>
          <w:rtl w:val="0"/>
          <w:lang w:val="en-US"/>
        </w:rPr>
        <w:t>The theory of attachment developed by Bowlby offers a critical psychological framework to explain the relationships between social relationships and the emotional wellbeing and social media behaviours of adolescents. Bowlby believed that the early interactions with a caregiver would form internal working models, which would affect what the child would expect from a relationship, how the child would regulate their emotions and how they would seek support (Garrett, 2022). Secure attachment is formed through consistency of care and responsiveness while insecure attachment can lead to problems with trust, emotional regulation and security of relationships. Originally considered for understanding the relationship between infants and their caregivers, attachment theory has been expanded to adolescence because close relationships play a vital role in the development of psychosocial functioning.</w:t>
      </w:r>
    </w:p>
    <w:p>
      <w:pPr>
        <w:pStyle w:val="Normal.0"/>
        <w:ind w:firstLine="720"/>
      </w:pPr>
      <w:r>
        <w:rPr>
          <w:rtl w:val="0"/>
          <w:lang w:val="en-US"/>
        </w:rPr>
        <w:t>Secure attachment can foster more positive interactions in the digital world as well, since having a positive relationship with others might give adolescents a sense of security on social media platforms, find guidance and help from others, and keep up friendships online. This can lead to greater risk of overuse of social media, seeking reassurance behaviours and negative experiences of social media. Studies have shown links between attachment patterns and behaviorally problematic social media use, indicating that attachment security may impact adolescents' interactions with social media (Marino et al., 2019).</w:t>
      </w:r>
    </w:p>
    <w:p>
      <w:pPr>
        <w:pStyle w:val="Normal.0"/>
        <w:ind w:firstLine="720"/>
      </w:pPr>
      <w:r>
        <w:rPr>
          <w:rtl w:val="0"/>
          <w:lang w:val="en-US"/>
        </w:rPr>
        <w:t>The theory of Bowlby is useful in the field of health and social care because it emphasises the significance of relationships as protective factors for mental health. However, its drawback is that it is unable to account for contemporary digital behaviours due to the presence of technology influences on social media other than the traditional attachment relationship (Eichenberg, Schneider and Rumpl, 2024). Thus, it is important to understand emotional vulnerability in the light of the attachment theory but it is necessary to consider the modern digital or social explanations in tandem.</w:t>
      </w:r>
    </w:p>
    <w:p>
      <w:pPr>
        <w:pStyle w:val="Normal.0"/>
        <w:ind w:firstLine="720"/>
      </w:pPr>
      <w:r>
        <w:rPr>
          <w:rtl w:val="0"/>
          <w:lang w:val="en-US"/>
        </w:rPr>
        <w:t>Social media and adolescent mental health can be understood by the interplay of nature or biological development and nurture or environmental experiences. In the biological sense, adolescence is characterized by a number of changes in the nervous system, including the continued development of regions related to impulse control, emotional regulation, and decision-making. Concurrently, adolescents become more aware of peer evaluation and social acceptance, potentially increasing their reactions to feedback, likes and social comparisons online. Social media effects have been correlated with developmental changes and the interactions between digital environments and adolescent vulnerabilities, it is suggested (Orben et al., 2024).</w:t>
      </w:r>
    </w:p>
    <w:p>
      <w:pPr>
        <w:pStyle w:val="Normal.0"/>
        <w:ind w:firstLine="720"/>
      </w:pPr>
      <w:r>
        <w:rPr>
          <w:rtl w:val="0"/>
          <w:lang w:val="en-US"/>
        </w:rPr>
        <w:t>In shaping outcomes, environmental influences are also important. Adolescents who experience supportive family relationships, effective communication and positive peer relationships, could be less likely to have negative experiences online, while those who lack these in their lives or are exposed to cyberbullying could be more likely to have psychological risk factors. Furthermore, the design of platforms, algorithms and norms of internet culture have an impact on behaviour (Sala, Porcaro and G</w:t>
      </w:r>
      <w:r>
        <w:rPr>
          <w:rtl w:val="0"/>
          <w:lang w:val="en-US"/>
        </w:rPr>
        <w:t>ó</w:t>
      </w:r>
      <w:r>
        <w:rPr>
          <w:rtl w:val="0"/>
          <w:lang w:val="en-US"/>
        </w:rPr>
        <w:t>mez, 2024). Therefore, the effects of social media on mental health outcomes among adolescents are not only related to the exposure to social media, but also to the interaction between interpersonal and broader social contexts with the developing biology (Perlmutter, Dwyer and Torous, 2024).</w:t>
      </w:r>
    </w:p>
    <w:p>
      <w:pPr>
        <w:pStyle w:val="Normal.0"/>
        <w:ind w:firstLine="720"/>
      </w:pPr>
      <w:r>
        <w:rPr>
          <w:rtl w:val="0"/>
          <w:lang w:val="en-US"/>
        </w:rPr>
        <w:t xml:space="preserve">There is an important relationship between social media and the mental health of young people that is important to health and social care. Based on Erikson's psychosocial development theory, it is important for professionals to support adolescents in positively developing their identity through encouragement of self-esteem, realistic self-perceptions and critical evaluations of online portrayals. Digital literacy programmes and School based wellbeing interventions have the potential to raise awareness of social comparison, social media and online dangers and responsible use of social media. Research shows that youth digital resilience programs help foster healthy youth online relationships (Cowling et al., 2024). </w:t>
      </w:r>
    </w:p>
    <w:p>
      <w:pPr>
        <w:pStyle w:val="Normal.0"/>
        <w:ind w:firstLine="720"/>
      </w:pPr>
      <w:r>
        <w:rPr>
          <w:rtl w:val="0"/>
          <w:lang w:val="en-US"/>
        </w:rPr>
        <w:t>The Bowlby attachment perspective is important because: Practitioners need to know about the importance of secure relationships and encourage positive communication in the family, support peer networks and recognise signs of loneliness or social isolation in the teenage years early. Social media should be a part of the mental health assessment questions, both if the person has been bullied or experienced pressures from social media and if not, to enable timely intervention (Khalaf et al., 2023). Theory-informed approaches demonstrate how knowledge in psychology can be used to guide the provision of preventive and/or supportive care.</w:t>
      </w:r>
    </w:p>
    <w:p>
      <w:pPr>
        <w:pStyle w:val="Heading 1"/>
      </w:pPr>
      <w:bookmarkStart w:name="_Toc2" w:id="3"/>
      <w:r>
        <w:rPr>
          <w:rFonts w:cs="Arial Unicode MS" w:eastAsia="Arial Unicode MS"/>
          <w:rtl w:val="0"/>
          <w:lang w:val="en-US"/>
        </w:rPr>
        <w:t xml:space="preserve">Conclusion </w:t>
      </w:r>
      <w:bookmarkEnd w:id="3"/>
    </w:p>
    <w:p>
      <w:pPr>
        <w:pStyle w:val="Normal.0"/>
      </w:pPr>
      <w:r>
        <w:rPr>
          <w:rtl w:val="0"/>
          <w:lang w:val="en-US"/>
        </w:rPr>
        <w:t>Adolescent mental health seems to be a double-edged sword when it comes to social media, as there are both positive and negative aspects. Negative experiences can happen through social comparison, cyberbullying or excessive reliance on online validation, and positive experiences can be through peer connection, emotional support, and identity exploration. Erikson's psychosocial development theory contributes to understanding how social media affects the development of adolescents' identity while Bowlby's attachment theory provides insight into the role of relationships and emotional security. Both theories, however, do not fully account for the current digital behaviours as they are influenced by technological, social and individual factors. These theories offer health and social care professional</w:t>
      </w:r>
      <w:r>
        <w:rPr>
          <w:rtl w:val="0"/>
          <w:lang w:val="en-US"/>
        </w:rPr>
        <w:t>’</w:t>
      </w:r>
      <w:r>
        <w:rPr>
          <w:rtl w:val="0"/>
          <w:lang w:val="en-US"/>
        </w:rPr>
        <w:t>s useful frameworks for their understanding of adolescent wellbeing, and the development of effective preventative interventions.</w:t>
      </w:r>
    </w:p>
    <w:p>
      <w:pPr>
        <w:pStyle w:val="Heading 1"/>
        <w:ind w:left="0" w:firstLine="0"/>
      </w:pPr>
      <w:bookmarkStart w:name="_Toc3" w:id="4"/>
      <w:r>
        <w:rPr>
          <w:rtl w:val="0"/>
          <w:lang w:val="en-US"/>
        </w:rPr>
        <w:t>References</w:t>
      </w:r>
      <w:bookmarkEnd w:id="4"/>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 xml:space="preserve">Avci, H., Baams, L. and Kretschmer, T. (2024). A Systematic Review of Social Media Use and Adolescent Identity Development. </w:t>
      </w:r>
      <w:r>
        <w:rPr>
          <w:rFonts w:ascii="Arial" w:hAnsi="Arial"/>
          <w:i w:val="1"/>
          <w:iCs w:val="1"/>
          <w:sz w:val="22"/>
          <w:szCs w:val="22"/>
          <w:rtl w:val="0"/>
          <w:lang w:val="en-US"/>
        </w:rPr>
        <w:t>Adolescent Research Review</w:t>
      </w:r>
      <w:r>
        <w:rPr>
          <w:rFonts w:ascii="Arial" w:hAnsi="Arial"/>
          <w:sz w:val="22"/>
          <w:szCs w:val="22"/>
          <w:rtl w:val="0"/>
          <w:lang w:val="en-US"/>
        </w:rPr>
        <w:t>, [online] 10(2), pp.219</w:t>
      </w:r>
      <w:r>
        <w:rPr>
          <w:rFonts w:ascii="Arial" w:hAnsi="Arial" w:hint="default"/>
          <w:sz w:val="22"/>
          <w:szCs w:val="22"/>
          <w:rtl w:val="0"/>
          <w:lang w:val="en-US"/>
        </w:rPr>
        <w:t>–</w:t>
      </w:r>
      <w:r>
        <w:rPr>
          <w:rFonts w:ascii="Arial" w:hAnsi="Arial"/>
          <w:sz w:val="22"/>
          <w:szCs w:val="22"/>
          <w:rtl w:val="0"/>
          <w:lang w:val="en-US"/>
        </w:rPr>
        <w:t xml:space="preserve">236. </w:t>
      </w:r>
      <w:r>
        <w:rPr>
          <w:rFonts w:ascii="Arial" w:hAnsi="Arial"/>
          <w:outline w:val="0"/>
          <w:color w:val="000080"/>
          <w:sz w:val="22"/>
          <w:szCs w:val="22"/>
          <w:u w:val="single" w:color="000080"/>
          <w:rtl w:val="0"/>
          <w:lang w:val="en-US"/>
          <w14:textFill>
            <w14:solidFill>
              <w14:srgbClr w14:val="000080"/>
            </w14:solidFill>
          </w14:textFill>
        </w:rPr>
        <w:t>https://doi:10.1007/s40894-024-00251-1</w:t>
      </w:r>
      <w:r>
        <w:rPr>
          <w:rFonts w:ascii="Arial" w:hAnsi="Arial"/>
          <w:sz w:val="22"/>
          <w:szCs w:val="22"/>
          <w:rtl w:val="0"/>
          <w:lang w:val="en-US"/>
        </w:rPr>
        <w:t>.</w:t>
      </w:r>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 xml:space="preserve">Branje, S. (2022). Adolescent Identity Development in Context. </w:t>
      </w:r>
      <w:r>
        <w:rPr>
          <w:rFonts w:ascii="Arial" w:hAnsi="Arial"/>
          <w:i w:val="1"/>
          <w:iCs w:val="1"/>
          <w:sz w:val="22"/>
          <w:szCs w:val="22"/>
          <w:rtl w:val="0"/>
          <w:lang w:val="en-US"/>
        </w:rPr>
        <w:t>Current Opinion in Psychology</w:t>
      </w:r>
      <w:r>
        <w:rPr>
          <w:rFonts w:ascii="Arial" w:hAnsi="Arial"/>
          <w:sz w:val="22"/>
          <w:szCs w:val="22"/>
          <w:rtl w:val="0"/>
          <w:lang w:val="en-US"/>
        </w:rPr>
        <w:t xml:space="preserve">, [online] 45(45). </w:t>
      </w:r>
      <w:r>
        <w:rPr>
          <w:rFonts w:ascii="Arial" w:hAnsi="Arial"/>
          <w:outline w:val="0"/>
          <w:color w:val="000080"/>
          <w:sz w:val="22"/>
          <w:szCs w:val="22"/>
          <w:u w:val="single" w:color="000080"/>
          <w:rtl w:val="0"/>
          <w:lang w:val="en-US"/>
          <w14:textFill>
            <w14:solidFill>
              <w14:srgbClr w14:val="000080"/>
            </w14:solidFill>
          </w14:textFill>
        </w:rPr>
        <w:t>https://doi:10.1016/j.copsyc.2021.11.006</w:t>
      </w:r>
      <w:r>
        <w:rPr>
          <w:rFonts w:ascii="Arial" w:hAnsi="Arial"/>
          <w:sz w:val="22"/>
          <w:szCs w:val="22"/>
          <w:rtl w:val="0"/>
          <w:lang w:val="en-US"/>
        </w:rPr>
        <w:t>.</w:t>
      </w:r>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 xml:space="preserve">Cowling, M., Sim, K.N., Orlando, J. and Hamra, J. (2024). Untangling Digital Safety, literacy, and Wellbeing in School activities for 10 to 13 Year Old Students. </w:t>
      </w:r>
      <w:r>
        <w:rPr>
          <w:rFonts w:ascii="Arial" w:hAnsi="Arial"/>
          <w:i w:val="1"/>
          <w:iCs w:val="1"/>
          <w:sz w:val="22"/>
          <w:szCs w:val="22"/>
          <w:rtl w:val="0"/>
          <w:lang w:val="en-US"/>
        </w:rPr>
        <w:t>Education and Information Technologies</w:t>
      </w:r>
      <w:r>
        <w:rPr>
          <w:rFonts w:ascii="Arial" w:hAnsi="Arial"/>
          <w:sz w:val="22"/>
          <w:szCs w:val="22"/>
          <w:rtl w:val="0"/>
          <w:lang w:val="en-US"/>
        </w:rPr>
        <w:t xml:space="preserve">, 30. </w:t>
      </w:r>
      <w:r>
        <w:rPr>
          <w:rFonts w:ascii="Arial" w:hAnsi="Arial"/>
          <w:outline w:val="0"/>
          <w:color w:val="000080"/>
          <w:sz w:val="22"/>
          <w:szCs w:val="22"/>
          <w:u w:val="single" w:color="000080"/>
          <w:rtl w:val="0"/>
          <w:lang w:val="en-US"/>
          <w14:textFill>
            <w14:solidFill>
              <w14:srgbClr w14:val="000080"/>
            </w14:solidFill>
          </w14:textFill>
        </w:rPr>
        <w:t>https://doi:10.1007/s10639-024-13183-z</w:t>
      </w:r>
      <w:r>
        <w:rPr>
          <w:rFonts w:ascii="Arial" w:hAnsi="Arial"/>
          <w:sz w:val="22"/>
          <w:szCs w:val="22"/>
          <w:rtl w:val="0"/>
          <w:lang w:val="en-US"/>
        </w:rPr>
        <w:t>.</w:t>
      </w:r>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 xml:space="preserve">Eichenberg, C., Schneider, R. and Rumpl, H. (2024). Social media addiction: Associations with attachment style, mental distress, and personality. </w:t>
      </w:r>
      <w:r>
        <w:rPr>
          <w:rFonts w:ascii="Arial" w:hAnsi="Arial"/>
          <w:i w:val="1"/>
          <w:iCs w:val="1"/>
          <w:sz w:val="22"/>
          <w:szCs w:val="22"/>
          <w:rtl w:val="0"/>
          <w:lang w:val="en-US"/>
        </w:rPr>
        <w:t>BMC psychiatry</w:t>
      </w:r>
      <w:r>
        <w:rPr>
          <w:rFonts w:ascii="Arial" w:hAnsi="Arial"/>
          <w:sz w:val="22"/>
          <w:szCs w:val="22"/>
          <w:rtl w:val="0"/>
          <w:lang w:val="en-US"/>
        </w:rPr>
        <w:t xml:space="preserve">, 24(1). </w:t>
      </w:r>
      <w:r>
        <w:rPr>
          <w:rFonts w:ascii="Arial" w:hAnsi="Arial"/>
          <w:outline w:val="0"/>
          <w:color w:val="000080"/>
          <w:sz w:val="22"/>
          <w:szCs w:val="22"/>
          <w:u w:val="single" w:color="000080"/>
          <w:rtl w:val="0"/>
          <w:lang w:val="en-US"/>
          <w14:textFill>
            <w14:solidFill>
              <w14:srgbClr w14:val="000080"/>
            </w14:solidFill>
          </w14:textFill>
        </w:rPr>
        <w:t>https://doi:10.1186/s12888-024-05709-z</w:t>
      </w:r>
      <w:r>
        <w:rPr>
          <w:rFonts w:ascii="Arial" w:hAnsi="Arial"/>
          <w:sz w:val="22"/>
          <w:szCs w:val="22"/>
          <w:rtl w:val="0"/>
          <w:lang w:val="en-US"/>
        </w:rPr>
        <w:t>.</w:t>
      </w:r>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Elvira-Zorzo, M.N. and Bayona G</w:t>
      </w:r>
      <w:r>
        <w:rPr>
          <w:rFonts w:ascii="Arial" w:hAnsi="Arial" w:hint="default"/>
          <w:sz w:val="22"/>
          <w:szCs w:val="22"/>
          <w:rtl w:val="0"/>
          <w:lang w:val="en-US"/>
        </w:rPr>
        <w:t>ó</w:t>
      </w:r>
      <w:r>
        <w:rPr>
          <w:rFonts w:ascii="Arial" w:hAnsi="Arial"/>
          <w:sz w:val="22"/>
          <w:szCs w:val="22"/>
          <w:rtl w:val="0"/>
          <w:lang w:val="en-US"/>
        </w:rPr>
        <w:t xml:space="preserve">mez, P. (2025). Identity Construction and Digital Vulnerability in Adolescents: Psychosocial Implications and Implications for Social Work. </w:t>
      </w:r>
      <w:r>
        <w:rPr>
          <w:rFonts w:ascii="Arial" w:hAnsi="Arial"/>
          <w:i w:val="1"/>
          <w:iCs w:val="1"/>
          <w:sz w:val="22"/>
          <w:szCs w:val="22"/>
          <w:rtl w:val="0"/>
          <w:lang w:val="en-US"/>
        </w:rPr>
        <w:t>Youth</w:t>
      </w:r>
      <w:r>
        <w:rPr>
          <w:rFonts w:ascii="Arial" w:hAnsi="Arial"/>
          <w:sz w:val="22"/>
          <w:szCs w:val="22"/>
          <w:rtl w:val="0"/>
          <w:lang w:val="en-US"/>
        </w:rPr>
        <w:t xml:space="preserve">, [online] 5(4), p.119. </w:t>
      </w:r>
      <w:r>
        <w:rPr>
          <w:rFonts w:ascii="Arial" w:hAnsi="Arial"/>
          <w:outline w:val="0"/>
          <w:color w:val="000080"/>
          <w:sz w:val="22"/>
          <w:szCs w:val="22"/>
          <w:u w:val="single" w:color="000080"/>
          <w:rtl w:val="0"/>
          <w:lang w:val="en-US"/>
          <w14:textFill>
            <w14:solidFill>
              <w14:srgbClr w14:val="000080"/>
            </w14:solidFill>
          </w14:textFill>
        </w:rPr>
        <w:t>https://doi:10.3390/youth5040119</w:t>
      </w:r>
      <w:r>
        <w:rPr>
          <w:rFonts w:ascii="Arial" w:hAnsi="Arial"/>
          <w:sz w:val="22"/>
          <w:szCs w:val="22"/>
          <w:rtl w:val="0"/>
          <w:lang w:val="en-US"/>
        </w:rPr>
        <w:t>.</w:t>
      </w:r>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 xml:space="preserve">Garrett, P.M. (2022). Bowlby, Attachment and the Potency of a </w:t>
      </w:r>
      <w:r>
        <w:rPr>
          <w:rFonts w:ascii="Arial" w:hAnsi="Arial" w:hint="default"/>
          <w:sz w:val="22"/>
          <w:szCs w:val="22"/>
          <w:rtl w:val="0"/>
          <w:lang w:val="en-US"/>
        </w:rPr>
        <w:t>‘</w:t>
      </w:r>
      <w:r>
        <w:rPr>
          <w:rFonts w:ascii="Arial" w:hAnsi="Arial"/>
          <w:sz w:val="22"/>
          <w:szCs w:val="22"/>
          <w:rtl w:val="0"/>
          <w:lang w:val="en-US"/>
        </w:rPr>
        <w:t>Received Idea.</w:t>
      </w:r>
      <w:r>
        <w:rPr>
          <w:rFonts w:ascii="Arial" w:hAnsi="Arial" w:hint="default"/>
          <w:sz w:val="22"/>
          <w:szCs w:val="22"/>
          <w:rtl w:val="0"/>
          <w:lang w:val="en-US"/>
        </w:rPr>
        <w:t xml:space="preserve">’ </w:t>
      </w:r>
      <w:r>
        <w:rPr>
          <w:rFonts w:ascii="Arial" w:hAnsi="Arial"/>
          <w:i w:val="1"/>
          <w:iCs w:val="1"/>
          <w:sz w:val="22"/>
          <w:szCs w:val="22"/>
          <w:rtl w:val="0"/>
          <w:lang w:val="en-US"/>
        </w:rPr>
        <w:t>The British Journal Of Social Work</w:t>
      </w:r>
      <w:r>
        <w:rPr>
          <w:rFonts w:ascii="Arial" w:hAnsi="Arial"/>
          <w:sz w:val="22"/>
          <w:szCs w:val="22"/>
          <w:rtl w:val="0"/>
          <w:lang w:val="en-US"/>
        </w:rPr>
        <w:t xml:space="preserve">, [online] 53(1). </w:t>
      </w:r>
      <w:r>
        <w:rPr>
          <w:rFonts w:ascii="Arial" w:hAnsi="Arial"/>
          <w:outline w:val="0"/>
          <w:color w:val="000080"/>
          <w:sz w:val="22"/>
          <w:szCs w:val="22"/>
          <w:u w:val="single" w:color="000080"/>
          <w:rtl w:val="0"/>
          <w:lang w:val="en-US"/>
          <w14:textFill>
            <w14:solidFill>
              <w14:srgbClr w14:val="000080"/>
            </w14:solidFill>
          </w14:textFill>
        </w:rPr>
        <w:t>https://doi:10.1093/bjsw/bcac091</w:t>
      </w:r>
      <w:r>
        <w:rPr>
          <w:rFonts w:ascii="Arial" w:hAnsi="Arial"/>
          <w:sz w:val="22"/>
          <w:szCs w:val="22"/>
          <w:rtl w:val="0"/>
          <w:lang w:val="en-US"/>
        </w:rPr>
        <w:t>.</w:t>
      </w:r>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 xml:space="preserve">Khalaf, A.M., Alubied, A.A., Khalaf, A.M. and Rifaey, A.A. (2023). The impact of social media on the mental health of adolescents and young adults: A systematic review. </w:t>
      </w:r>
      <w:r>
        <w:rPr>
          <w:rFonts w:ascii="Arial" w:hAnsi="Arial"/>
          <w:i w:val="1"/>
          <w:iCs w:val="1"/>
          <w:sz w:val="22"/>
          <w:szCs w:val="22"/>
          <w:rtl w:val="0"/>
          <w:lang w:val="en-US"/>
        </w:rPr>
        <w:t>Cureus</w:t>
      </w:r>
      <w:r>
        <w:rPr>
          <w:rFonts w:ascii="Arial" w:hAnsi="Arial"/>
          <w:sz w:val="22"/>
          <w:szCs w:val="22"/>
          <w:rtl w:val="0"/>
          <w:lang w:val="en-US"/>
        </w:rPr>
        <w:t>, [online] 15(8), pp.1</w:t>
      </w:r>
      <w:r>
        <w:rPr>
          <w:rFonts w:ascii="Arial" w:hAnsi="Arial" w:hint="default"/>
          <w:sz w:val="22"/>
          <w:szCs w:val="22"/>
          <w:rtl w:val="0"/>
          <w:lang w:val="en-US"/>
        </w:rPr>
        <w:t>–</w:t>
      </w:r>
      <w:r>
        <w:rPr>
          <w:rFonts w:ascii="Arial" w:hAnsi="Arial"/>
          <w:sz w:val="22"/>
          <w:szCs w:val="22"/>
          <w:rtl w:val="0"/>
          <w:lang w:val="en-US"/>
        </w:rPr>
        <w:t xml:space="preserve">10. </w:t>
      </w:r>
      <w:r>
        <w:rPr>
          <w:rFonts w:ascii="Arial" w:hAnsi="Arial"/>
          <w:outline w:val="0"/>
          <w:color w:val="000080"/>
          <w:sz w:val="22"/>
          <w:szCs w:val="22"/>
          <w:u w:val="single" w:color="000080"/>
          <w:rtl w:val="0"/>
          <w:lang w:val="en-US"/>
          <w14:textFill>
            <w14:solidFill>
              <w14:srgbClr w14:val="000080"/>
            </w14:solidFill>
          </w14:textFill>
        </w:rPr>
        <w:t>https://doi:10.7759/cureus.42990</w:t>
      </w:r>
      <w:r>
        <w:rPr>
          <w:rFonts w:ascii="Arial" w:hAnsi="Arial"/>
          <w:sz w:val="22"/>
          <w:szCs w:val="22"/>
          <w:rtl w:val="0"/>
          <w:lang w:val="en-US"/>
        </w:rPr>
        <w:t>.</w:t>
      </w:r>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 xml:space="preserve">Mann, R.B. and Blumberg, F. (2022). Adolescents and social media: The effects of frequency of use, self-presentation, social comparison, and self esteem on possible self imagery. </w:t>
      </w:r>
      <w:r>
        <w:rPr>
          <w:rFonts w:ascii="Arial" w:hAnsi="Arial"/>
          <w:i w:val="1"/>
          <w:iCs w:val="1"/>
          <w:sz w:val="22"/>
          <w:szCs w:val="22"/>
          <w:rtl w:val="0"/>
          <w:lang w:val="en-US"/>
        </w:rPr>
        <w:t>Acta Psychologica</w:t>
      </w:r>
      <w:r>
        <w:rPr>
          <w:rFonts w:ascii="Arial" w:hAnsi="Arial"/>
          <w:sz w:val="22"/>
          <w:szCs w:val="22"/>
          <w:rtl w:val="0"/>
          <w:lang w:val="en-US"/>
        </w:rPr>
        <w:t xml:space="preserve">, [online] 228(103629), p.103629. </w:t>
      </w:r>
      <w:r>
        <w:rPr>
          <w:rFonts w:ascii="Arial" w:hAnsi="Arial"/>
          <w:outline w:val="0"/>
          <w:color w:val="000080"/>
          <w:sz w:val="22"/>
          <w:szCs w:val="22"/>
          <w:u w:val="single" w:color="000080"/>
          <w:rtl w:val="0"/>
          <w:lang w:val="en-US"/>
          <w14:textFill>
            <w14:solidFill>
              <w14:srgbClr w14:val="000080"/>
            </w14:solidFill>
          </w14:textFill>
        </w:rPr>
        <w:t>https://doi:10.1016/j.actpsy.2022.103629</w:t>
      </w:r>
      <w:r>
        <w:rPr>
          <w:rFonts w:ascii="Arial" w:hAnsi="Arial"/>
          <w:sz w:val="22"/>
          <w:szCs w:val="22"/>
          <w:rtl w:val="0"/>
          <w:lang w:val="en-US"/>
        </w:rPr>
        <w:t>.</w:t>
      </w:r>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Marino, C., Marci, T., Ferrante, L., Alto</w:t>
      </w:r>
      <w:r>
        <w:rPr>
          <w:rFonts w:ascii="Arial" w:hAnsi="Arial" w:hint="default"/>
          <w:sz w:val="22"/>
          <w:szCs w:val="22"/>
          <w:rtl w:val="0"/>
          <w:lang w:val="en-US"/>
        </w:rPr>
        <w:t>è</w:t>
      </w:r>
      <w:r>
        <w:rPr>
          <w:rFonts w:ascii="Arial" w:hAnsi="Arial"/>
          <w:sz w:val="22"/>
          <w:szCs w:val="22"/>
          <w:rtl w:val="0"/>
          <w:lang w:val="en-US"/>
        </w:rPr>
        <w:t xml:space="preserve">, G., Vieno, A., Simonelli, A., Caselli, G. and Spada, M.M. (2019). Attachment and problematic Facebook use in adolescents: The mediating role of metacognitions. </w:t>
      </w:r>
      <w:r>
        <w:rPr>
          <w:rFonts w:ascii="Arial" w:hAnsi="Arial"/>
          <w:i w:val="1"/>
          <w:iCs w:val="1"/>
          <w:sz w:val="22"/>
          <w:szCs w:val="22"/>
          <w:rtl w:val="0"/>
          <w:lang w:val="en-US"/>
        </w:rPr>
        <w:t>Journal of Behavioral Addictions</w:t>
      </w:r>
      <w:r>
        <w:rPr>
          <w:rFonts w:ascii="Arial" w:hAnsi="Arial"/>
          <w:sz w:val="22"/>
          <w:szCs w:val="22"/>
          <w:rtl w:val="0"/>
          <w:lang w:val="en-US"/>
        </w:rPr>
        <w:t>, 8(1), pp.63</w:t>
      </w:r>
      <w:r>
        <w:rPr>
          <w:rFonts w:ascii="Arial" w:hAnsi="Arial" w:hint="default"/>
          <w:sz w:val="22"/>
          <w:szCs w:val="22"/>
          <w:rtl w:val="0"/>
          <w:lang w:val="en-US"/>
        </w:rPr>
        <w:t>–</w:t>
      </w:r>
      <w:r>
        <w:rPr>
          <w:rFonts w:ascii="Arial" w:hAnsi="Arial"/>
          <w:sz w:val="22"/>
          <w:szCs w:val="22"/>
          <w:rtl w:val="0"/>
          <w:lang w:val="en-US"/>
        </w:rPr>
        <w:t xml:space="preserve">78. </w:t>
      </w:r>
      <w:r>
        <w:rPr>
          <w:rFonts w:ascii="Arial" w:hAnsi="Arial"/>
          <w:outline w:val="0"/>
          <w:color w:val="000080"/>
          <w:sz w:val="22"/>
          <w:szCs w:val="22"/>
          <w:u w:val="single" w:color="000080"/>
          <w:rtl w:val="0"/>
          <w:lang w:val="en-US"/>
          <w14:textFill>
            <w14:solidFill>
              <w14:srgbClr w14:val="000080"/>
            </w14:solidFill>
          </w14:textFill>
        </w:rPr>
        <w:t>https://doi:10.1556/2006.8.2019.07</w:t>
      </w:r>
      <w:r>
        <w:rPr>
          <w:rFonts w:ascii="Arial" w:hAnsi="Arial"/>
          <w:sz w:val="22"/>
          <w:szCs w:val="22"/>
          <w:rtl w:val="0"/>
          <w:lang w:val="en-US"/>
        </w:rPr>
        <w:t>.</w:t>
      </w:r>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Mulisa, F., Kejela, M. and Dido, J.S. (2025). Social Media Trap: A Systematic Review of the Content and Pathways that Affect Adolescents</w:t>
      </w:r>
      <w:r>
        <w:rPr>
          <w:rFonts w:ascii="Arial" w:hAnsi="Arial" w:hint="default"/>
          <w:sz w:val="22"/>
          <w:szCs w:val="22"/>
          <w:rtl w:val="0"/>
          <w:lang w:val="en-US"/>
        </w:rPr>
        <w:t xml:space="preserve">’ </w:t>
      </w:r>
      <w:r>
        <w:rPr>
          <w:rFonts w:ascii="Arial" w:hAnsi="Arial"/>
          <w:sz w:val="22"/>
          <w:szCs w:val="22"/>
          <w:rtl w:val="0"/>
          <w:lang w:val="en-US"/>
        </w:rPr>
        <w:t xml:space="preserve">Mental Health. </w:t>
      </w:r>
      <w:r>
        <w:rPr>
          <w:rFonts w:ascii="Arial" w:hAnsi="Arial"/>
          <w:i w:val="1"/>
          <w:iCs w:val="1"/>
          <w:sz w:val="22"/>
          <w:szCs w:val="22"/>
          <w:rtl w:val="0"/>
          <w:lang w:val="en-US"/>
        </w:rPr>
        <w:t>Journal of Technology in Behavioral Science</w:t>
      </w:r>
      <w:r>
        <w:rPr>
          <w:rFonts w:ascii="Arial" w:hAnsi="Arial"/>
          <w:sz w:val="22"/>
          <w:szCs w:val="22"/>
          <w:rtl w:val="0"/>
          <w:lang w:val="en-US"/>
        </w:rPr>
        <w:t xml:space="preserve">. </w:t>
      </w:r>
      <w:r>
        <w:rPr>
          <w:rFonts w:ascii="Arial" w:hAnsi="Arial"/>
          <w:outline w:val="0"/>
          <w:color w:val="000080"/>
          <w:sz w:val="22"/>
          <w:szCs w:val="22"/>
          <w:u w:val="single" w:color="000080"/>
          <w:rtl w:val="0"/>
          <w:lang w:val="en-US"/>
          <w14:textFill>
            <w14:solidFill>
              <w14:srgbClr w14:val="000080"/>
            </w14:solidFill>
          </w14:textFill>
        </w:rPr>
        <w:t>https://doi:10.1007/s41347-025-00502-5</w:t>
      </w:r>
      <w:r>
        <w:rPr>
          <w:rFonts w:ascii="Arial" w:hAnsi="Arial"/>
          <w:sz w:val="22"/>
          <w:szCs w:val="22"/>
          <w:rtl w:val="0"/>
          <w:lang w:val="en-US"/>
        </w:rPr>
        <w:t>.</w:t>
      </w:r>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 xml:space="preserve">Orben, A., Meier, A., Dalgleish, T. and Blakemore, S.-J. (2024). Mechanisms linking social media use to adolescent mental health vulnerability. </w:t>
      </w:r>
      <w:r>
        <w:rPr>
          <w:rFonts w:ascii="Arial" w:hAnsi="Arial"/>
          <w:i w:val="1"/>
          <w:iCs w:val="1"/>
          <w:sz w:val="22"/>
          <w:szCs w:val="22"/>
          <w:rtl w:val="0"/>
          <w:lang w:val="en-US"/>
        </w:rPr>
        <w:t>Nature Reviews Psychology</w:t>
      </w:r>
      <w:r>
        <w:rPr>
          <w:rFonts w:ascii="Arial" w:hAnsi="Arial"/>
          <w:sz w:val="22"/>
          <w:szCs w:val="22"/>
          <w:rtl w:val="0"/>
          <w:lang w:val="en-US"/>
        </w:rPr>
        <w:t>, [online] 3(2731</w:t>
      </w:r>
      <w:r>
        <w:rPr>
          <w:rFonts w:ascii="Arial" w:hAnsi="Arial" w:hint="default"/>
          <w:sz w:val="22"/>
          <w:szCs w:val="22"/>
          <w:rtl w:val="0"/>
          <w:lang w:val="en-US"/>
        </w:rPr>
        <w:t>–</w:t>
      </w:r>
      <w:r>
        <w:rPr>
          <w:rFonts w:ascii="Arial" w:hAnsi="Arial"/>
          <w:sz w:val="22"/>
          <w:szCs w:val="22"/>
          <w:rtl w:val="0"/>
          <w:lang w:val="en-US"/>
        </w:rPr>
        <w:t>0574), pp.1</w:t>
      </w:r>
      <w:r>
        <w:rPr>
          <w:rFonts w:ascii="Arial" w:hAnsi="Arial" w:hint="default"/>
          <w:sz w:val="22"/>
          <w:szCs w:val="22"/>
          <w:rtl w:val="0"/>
          <w:lang w:val="en-US"/>
        </w:rPr>
        <w:t>–</w:t>
      </w:r>
      <w:r>
        <w:rPr>
          <w:rFonts w:ascii="Arial" w:hAnsi="Arial"/>
          <w:sz w:val="22"/>
          <w:szCs w:val="22"/>
          <w:rtl w:val="0"/>
          <w:lang w:val="en-US"/>
        </w:rPr>
        <w:t xml:space="preserve">17. </w:t>
      </w:r>
      <w:r>
        <w:rPr>
          <w:rFonts w:ascii="Arial" w:hAnsi="Arial"/>
          <w:outline w:val="0"/>
          <w:color w:val="000080"/>
          <w:sz w:val="22"/>
          <w:szCs w:val="22"/>
          <w:u w:val="single" w:color="000080"/>
          <w:rtl w:val="0"/>
          <w:lang w:val="en-US"/>
          <w14:textFill>
            <w14:solidFill>
              <w14:srgbClr w14:val="000080"/>
            </w14:solidFill>
          </w14:textFill>
        </w:rPr>
        <w:t>https://doi:10.1038/s44159-024-00307-y</w:t>
      </w:r>
      <w:r>
        <w:rPr>
          <w:rFonts w:ascii="Arial" w:hAnsi="Arial"/>
          <w:sz w:val="22"/>
          <w:szCs w:val="22"/>
          <w:rtl w:val="0"/>
          <w:lang w:val="en-US"/>
        </w:rPr>
        <w:t>.</w:t>
      </w:r>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 xml:space="preserve">Perlmutter, E., Dwyer, B. and Torous, J. (2024). Social Media and Youth Mental Health: Assessing the Impact Through Current and Novel Digital Phenotyping Methods. </w:t>
      </w:r>
      <w:r>
        <w:rPr>
          <w:rFonts w:ascii="Arial" w:hAnsi="Arial"/>
          <w:i w:val="1"/>
          <w:iCs w:val="1"/>
          <w:sz w:val="22"/>
          <w:szCs w:val="22"/>
          <w:rtl w:val="0"/>
          <w:lang w:val="en-US"/>
        </w:rPr>
        <w:t>Current Treatment Options in Psychiatry</w:t>
      </w:r>
      <w:r>
        <w:rPr>
          <w:rFonts w:ascii="Arial" w:hAnsi="Arial"/>
          <w:sz w:val="22"/>
          <w:szCs w:val="22"/>
          <w:rtl w:val="0"/>
          <w:lang w:val="en-US"/>
        </w:rPr>
        <w:t xml:space="preserve">, 11. </w:t>
      </w:r>
      <w:r>
        <w:rPr>
          <w:rFonts w:ascii="Arial" w:hAnsi="Arial"/>
          <w:outline w:val="0"/>
          <w:color w:val="000080"/>
          <w:sz w:val="22"/>
          <w:szCs w:val="22"/>
          <w:u w:val="single" w:color="000080"/>
          <w:rtl w:val="0"/>
          <w:lang w:val="en-US"/>
          <w14:textFill>
            <w14:solidFill>
              <w14:srgbClr w14:val="000080"/>
            </w14:solidFill>
          </w14:textFill>
        </w:rPr>
        <w:t>https://doi:10.1007/s40501-024-00312-1</w:t>
      </w:r>
      <w:r>
        <w:rPr>
          <w:rFonts w:ascii="Arial" w:hAnsi="Arial"/>
          <w:sz w:val="22"/>
          <w:szCs w:val="22"/>
          <w:rtl w:val="0"/>
          <w:lang w:val="en-US"/>
        </w:rPr>
        <w:t>.</w:t>
      </w:r>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Popat, A. and Tarrant, C. (2022). Exploring adolescents</w:t>
      </w:r>
      <w:r>
        <w:rPr>
          <w:rFonts w:ascii="Arial" w:hAnsi="Arial" w:hint="default"/>
          <w:sz w:val="22"/>
          <w:szCs w:val="22"/>
          <w:rtl w:val="0"/>
          <w:lang w:val="en-US"/>
        </w:rPr>
        <w:t xml:space="preserve">’ </w:t>
      </w:r>
      <w:r>
        <w:rPr>
          <w:rFonts w:ascii="Arial" w:hAnsi="Arial"/>
          <w:sz w:val="22"/>
          <w:szCs w:val="22"/>
          <w:rtl w:val="0"/>
          <w:lang w:val="en-US"/>
        </w:rPr>
        <w:t xml:space="preserve">perspectives on social media and mental health and well-being </w:t>
      </w:r>
      <w:r>
        <w:rPr>
          <w:rFonts w:ascii="Arial" w:hAnsi="Arial" w:hint="default"/>
          <w:sz w:val="22"/>
          <w:szCs w:val="22"/>
          <w:rtl w:val="0"/>
          <w:lang w:val="en-US"/>
        </w:rPr>
        <w:t xml:space="preserve">– </w:t>
      </w:r>
      <w:r>
        <w:rPr>
          <w:rFonts w:ascii="Arial" w:hAnsi="Arial"/>
          <w:sz w:val="22"/>
          <w:szCs w:val="22"/>
          <w:rtl w:val="0"/>
          <w:lang w:val="en-US"/>
        </w:rPr>
        <w:t xml:space="preserve">A qualitative literature review. </w:t>
      </w:r>
      <w:r>
        <w:rPr>
          <w:rFonts w:ascii="Arial" w:hAnsi="Arial"/>
          <w:i w:val="1"/>
          <w:iCs w:val="1"/>
          <w:sz w:val="22"/>
          <w:szCs w:val="22"/>
          <w:rtl w:val="0"/>
          <w:lang w:val="en-US"/>
        </w:rPr>
        <w:t>Clinical Child Psychology and Psychiatry</w:t>
      </w:r>
      <w:r>
        <w:rPr>
          <w:rFonts w:ascii="Arial" w:hAnsi="Arial"/>
          <w:sz w:val="22"/>
          <w:szCs w:val="22"/>
          <w:rtl w:val="0"/>
          <w:lang w:val="en-US"/>
        </w:rPr>
        <w:t>, 28(1), pp.323</w:t>
      </w:r>
      <w:r>
        <w:rPr>
          <w:rFonts w:ascii="Arial" w:hAnsi="Arial" w:hint="default"/>
          <w:sz w:val="22"/>
          <w:szCs w:val="22"/>
          <w:rtl w:val="0"/>
          <w:lang w:val="en-US"/>
        </w:rPr>
        <w:t>–</w:t>
      </w:r>
      <w:r>
        <w:rPr>
          <w:rFonts w:ascii="Arial" w:hAnsi="Arial"/>
          <w:sz w:val="22"/>
          <w:szCs w:val="22"/>
          <w:rtl w:val="0"/>
          <w:lang w:val="en-US"/>
        </w:rPr>
        <w:t xml:space="preserve">337. </w:t>
      </w:r>
      <w:r>
        <w:rPr>
          <w:rFonts w:ascii="Arial" w:hAnsi="Arial"/>
          <w:outline w:val="0"/>
          <w:color w:val="000080"/>
          <w:sz w:val="22"/>
          <w:szCs w:val="22"/>
          <w:u w:val="single" w:color="000080"/>
          <w:rtl w:val="0"/>
          <w:lang w:val="en-US"/>
          <w14:textFill>
            <w14:solidFill>
              <w14:srgbClr w14:val="000080"/>
            </w14:solidFill>
          </w14:textFill>
        </w:rPr>
        <w:t>https://doi:10.1177/13591045221092884</w:t>
      </w:r>
      <w:r>
        <w:rPr>
          <w:rFonts w:ascii="Arial" w:hAnsi="Arial"/>
          <w:sz w:val="22"/>
          <w:szCs w:val="22"/>
          <w:rtl w:val="0"/>
          <w:lang w:val="en-US"/>
        </w:rPr>
        <w:t>.</w:t>
      </w:r>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P</w:t>
      </w:r>
      <w:r>
        <w:rPr>
          <w:rFonts w:ascii="Arial" w:hAnsi="Arial" w:hint="default"/>
          <w:sz w:val="22"/>
          <w:szCs w:val="22"/>
          <w:rtl w:val="0"/>
          <w:lang w:val="en-US"/>
        </w:rPr>
        <w:t>é</w:t>
      </w:r>
      <w:r>
        <w:rPr>
          <w:rFonts w:ascii="Arial" w:hAnsi="Arial"/>
          <w:sz w:val="22"/>
          <w:szCs w:val="22"/>
          <w:rtl w:val="0"/>
          <w:lang w:val="en-US"/>
        </w:rPr>
        <w:t xml:space="preserve">rez-Torres, V. (2024). Social media: A digital social mirror for identity development during adolescence. </w:t>
      </w:r>
      <w:r>
        <w:rPr>
          <w:rFonts w:ascii="Arial" w:hAnsi="Arial"/>
          <w:i w:val="1"/>
          <w:iCs w:val="1"/>
          <w:sz w:val="22"/>
          <w:szCs w:val="22"/>
          <w:rtl w:val="0"/>
          <w:lang w:val="en-US"/>
        </w:rPr>
        <w:t>Current Psychology</w:t>
      </w:r>
      <w:r>
        <w:rPr>
          <w:rFonts w:ascii="Arial" w:hAnsi="Arial"/>
          <w:sz w:val="22"/>
          <w:szCs w:val="22"/>
          <w:rtl w:val="0"/>
          <w:lang w:val="en-US"/>
        </w:rPr>
        <w:t>, [online] 43(26), pp.22170</w:t>
      </w:r>
      <w:r>
        <w:rPr>
          <w:rFonts w:ascii="Arial" w:hAnsi="Arial" w:hint="default"/>
          <w:sz w:val="22"/>
          <w:szCs w:val="22"/>
          <w:rtl w:val="0"/>
          <w:lang w:val="en-US"/>
        </w:rPr>
        <w:t>–</w:t>
      </w:r>
      <w:r>
        <w:rPr>
          <w:rFonts w:ascii="Arial" w:hAnsi="Arial"/>
          <w:sz w:val="22"/>
          <w:szCs w:val="22"/>
          <w:rtl w:val="0"/>
          <w:lang w:val="en-US"/>
        </w:rPr>
        <w:t xml:space="preserve">22180. </w:t>
      </w:r>
      <w:r>
        <w:rPr>
          <w:rFonts w:ascii="Arial" w:hAnsi="Arial"/>
          <w:outline w:val="0"/>
          <w:color w:val="000080"/>
          <w:sz w:val="22"/>
          <w:szCs w:val="22"/>
          <w:u w:val="single" w:color="000080"/>
          <w:rtl w:val="0"/>
          <w:lang w:val="en-US"/>
          <w14:textFill>
            <w14:solidFill>
              <w14:srgbClr w14:val="000080"/>
            </w14:solidFill>
          </w14:textFill>
        </w:rPr>
        <w:t>https://doi:10.1007/s12144-024-05980-z</w:t>
      </w:r>
      <w:r>
        <w:rPr>
          <w:rFonts w:ascii="Arial" w:hAnsi="Arial"/>
          <w:sz w:val="22"/>
          <w:szCs w:val="22"/>
          <w:rtl w:val="0"/>
          <w:lang w:val="en-US"/>
        </w:rPr>
        <w:t>.</w:t>
      </w:r>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Sala, A., Porcaro, L. and G</w:t>
      </w:r>
      <w:r>
        <w:rPr>
          <w:rFonts w:ascii="Arial" w:hAnsi="Arial" w:hint="default"/>
          <w:sz w:val="22"/>
          <w:szCs w:val="22"/>
          <w:rtl w:val="0"/>
          <w:lang w:val="en-US"/>
        </w:rPr>
        <w:t>ó</w:t>
      </w:r>
      <w:r>
        <w:rPr>
          <w:rFonts w:ascii="Arial" w:hAnsi="Arial"/>
          <w:sz w:val="22"/>
          <w:szCs w:val="22"/>
          <w:rtl w:val="0"/>
          <w:lang w:val="en-US"/>
        </w:rPr>
        <w:t>mez, E. (2024). Social Media Use and adolescents</w:t>
      </w:r>
      <w:r>
        <w:rPr>
          <w:rFonts w:ascii="Arial" w:hAnsi="Arial" w:hint="default"/>
          <w:sz w:val="22"/>
          <w:szCs w:val="22"/>
          <w:rtl w:val="0"/>
          <w:lang w:val="en-US"/>
        </w:rPr>
        <w:t xml:space="preserve">” </w:t>
      </w:r>
      <w:r>
        <w:rPr>
          <w:rFonts w:ascii="Arial" w:hAnsi="Arial"/>
          <w:sz w:val="22"/>
          <w:szCs w:val="22"/>
          <w:rtl w:val="0"/>
          <w:lang w:val="en-US"/>
        </w:rPr>
        <w:t xml:space="preserve">mental health and well-being: An umbrella review. </w:t>
      </w:r>
      <w:r>
        <w:rPr>
          <w:rFonts w:ascii="Arial" w:hAnsi="Arial"/>
          <w:i w:val="1"/>
          <w:iCs w:val="1"/>
          <w:sz w:val="22"/>
          <w:szCs w:val="22"/>
          <w:rtl w:val="0"/>
          <w:lang w:val="en-US"/>
        </w:rPr>
        <w:t>Computers in Human Behavior Reports</w:t>
      </w:r>
      <w:r>
        <w:rPr>
          <w:rFonts w:ascii="Arial" w:hAnsi="Arial"/>
          <w:sz w:val="22"/>
          <w:szCs w:val="22"/>
          <w:rtl w:val="0"/>
          <w:lang w:val="en-US"/>
        </w:rPr>
        <w:t>, [online] 14(14), pp.100404</w:t>
      </w:r>
      <w:r>
        <w:rPr>
          <w:rFonts w:ascii="Arial" w:hAnsi="Arial" w:hint="default"/>
          <w:sz w:val="22"/>
          <w:szCs w:val="22"/>
          <w:rtl w:val="0"/>
          <w:lang w:val="en-US"/>
        </w:rPr>
        <w:t>–</w:t>
      </w:r>
      <w:r>
        <w:rPr>
          <w:rFonts w:ascii="Arial" w:hAnsi="Arial"/>
          <w:sz w:val="22"/>
          <w:szCs w:val="22"/>
          <w:rtl w:val="0"/>
          <w:lang w:val="en-US"/>
        </w:rPr>
        <w:t xml:space="preserve">100404. </w:t>
      </w:r>
      <w:r>
        <w:rPr>
          <w:rFonts w:ascii="Arial" w:hAnsi="Arial"/>
          <w:outline w:val="0"/>
          <w:color w:val="000080"/>
          <w:sz w:val="22"/>
          <w:szCs w:val="22"/>
          <w:u w:val="single" w:color="000080"/>
          <w:rtl w:val="0"/>
          <w:lang w:val="en-US"/>
          <w14:textFill>
            <w14:solidFill>
              <w14:srgbClr w14:val="000080"/>
            </w14:solidFill>
          </w14:textFill>
        </w:rPr>
        <w:t>https://doi:10.1016/j.chbr.2024.100404</w:t>
      </w:r>
      <w:r>
        <w:rPr>
          <w:rFonts w:ascii="Arial" w:hAnsi="Arial"/>
          <w:sz w:val="22"/>
          <w:szCs w:val="22"/>
          <w:rtl w:val="0"/>
          <w:lang w:val="en-US"/>
        </w:rPr>
        <w:t>.</w:t>
      </w:r>
    </w:p>
    <w:p>
      <w:pPr>
        <w:pStyle w:val="Normal (Web)"/>
        <w:spacing w:after="240" w:line="240" w:lineRule="auto"/>
        <w:ind w:left="720" w:hanging="720"/>
        <w:rPr>
          <w:rFonts w:ascii="Arial" w:cs="Arial" w:hAnsi="Arial" w:eastAsia="Arial"/>
          <w:sz w:val="22"/>
          <w:szCs w:val="22"/>
        </w:rPr>
      </w:pPr>
      <w:r>
        <w:rPr>
          <w:rFonts w:ascii="Arial" w:hAnsi="Arial"/>
          <w:sz w:val="22"/>
          <w:szCs w:val="22"/>
          <w:rtl w:val="0"/>
          <w:lang w:val="en-US"/>
        </w:rPr>
        <w:t xml:space="preserve">Weigle, P.E. and Shafi, R.M.A. (2023). Social Media and Youth Mental Health. </w:t>
      </w:r>
      <w:r>
        <w:rPr>
          <w:rFonts w:ascii="Arial" w:hAnsi="Arial"/>
          <w:i w:val="1"/>
          <w:iCs w:val="1"/>
          <w:sz w:val="22"/>
          <w:szCs w:val="22"/>
          <w:rtl w:val="0"/>
          <w:lang w:val="en-US"/>
        </w:rPr>
        <w:t>Current Psychiatry Reports</w:t>
      </w:r>
      <w:r>
        <w:rPr>
          <w:rFonts w:ascii="Arial" w:hAnsi="Arial"/>
          <w:sz w:val="22"/>
          <w:szCs w:val="22"/>
          <w:rtl w:val="0"/>
          <w:lang w:val="en-US"/>
        </w:rPr>
        <w:t xml:space="preserve">, [online] 26(26). </w:t>
      </w:r>
      <w:r>
        <w:rPr>
          <w:rFonts w:ascii="Arial" w:hAnsi="Arial"/>
          <w:outline w:val="0"/>
          <w:color w:val="000080"/>
          <w:sz w:val="22"/>
          <w:szCs w:val="22"/>
          <w:u w:val="single" w:color="000080"/>
          <w:rtl w:val="0"/>
          <w:lang w:val="en-US"/>
          <w14:textFill>
            <w14:solidFill>
              <w14:srgbClr w14:val="000080"/>
            </w14:solidFill>
          </w14:textFill>
        </w:rPr>
        <w:t>https://doi:10.1007/s11920-023-01478-w</w:t>
      </w:r>
      <w:r>
        <w:rPr>
          <w:rFonts w:ascii="Arial" w:hAnsi="Arial"/>
          <w:sz w:val="22"/>
          <w:szCs w:val="22"/>
          <w:rtl w:val="0"/>
          <w:lang w:val="en-US"/>
        </w:rPr>
        <w:t>.</w:t>
      </w:r>
    </w:p>
    <w:p>
      <w:pPr>
        <w:pStyle w:val="Normal (Web)"/>
        <w:spacing w:after="240" w:line="240" w:lineRule="auto"/>
        <w:ind w:left="720" w:hanging="720"/>
      </w:pPr>
      <w:r>
        <w:rPr>
          <w:rFonts w:ascii="Arial" w:hAnsi="Arial"/>
          <w:sz w:val="22"/>
          <w:szCs w:val="22"/>
          <w:rtl w:val="0"/>
          <w:lang w:val="en-US"/>
        </w:rPr>
        <w:t xml:space="preserve">Yue, Z. and Rich, M. (2023). Social Media and Adolescent Mental Health. </w:t>
      </w:r>
      <w:r>
        <w:rPr>
          <w:rFonts w:ascii="Arial" w:hAnsi="Arial"/>
          <w:i w:val="1"/>
          <w:iCs w:val="1"/>
          <w:sz w:val="22"/>
          <w:szCs w:val="22"/>
          <w:rtl w:val="0"/>
          <w:lang w:val="en-US"/>
        </w:rPr>
        <w:t>Current Pediatrics Reports</w:t>
      </w:r>
      <w:r>
        <w:rPr>
          <w:rFonts w:ascii="Arial" w:hAnsi="Arial"/>
          <w:sz w:val="22"/>
          <w:szCs w:val="22"/>
          <w:rtl w:val="0"/>
          <w:lang w:val="en-US"/>
        </w:rPr>
        <w:t>, 11, pp.157</w:t>
      </w:r>
      <w:r>
        <w:rPr>
          <w:rFonts w:ascii="Arial" w:hAnsi="Arial" w:hint="default"/>
          <w:sz w:val="22"/>
          <w:szCs w:val="22"/>
          <w:rtl w:val="0"/>
          <w:lang w:val="en-US"/>
        </w:rPr>
        <w:t>–</w:t>
      </w:r>
      <w:r>
        <w:rPr>
          <w:rFonts w:ascii="Arial" w:hAnsi="Arial"/>
          <w:sz w:val="22"/>
          <w:szCs w:val="22"/>
          <w:rtl w:val="0"/>
          <w:lang w:val="en-US"/>
        </w:rPr>
        <w:t xml:space="preserve">166. </w:t>
      </w:r>
      <w:r>
        <w:rPr>
          <w:rFonts w:ascii="Arial" w:hAnsi="Arial"/>
          <w:outline w:val="0"/>
          <w:color w:val="000080"/>
          <w:sz w:val="22"/>
          <w:szCs w:val="22"/>
          <w:u w:val="single" w:color="000080"/>
          <w:rtl w:val="0"/>
          <w:lang w:val="en-US"/>
          <w14:textFill>
            <w14:solidFill>
              <w14:srgbClr w14:val="000080"/>
            </w14:solidFill>
          </w14:textFill>
        </w:rPr>
        <w:t>https://doi:10.1007/s40124-023-00298-z</w:t>
      </w:r>
      <w:r>
        <w:rPr>
          <w:rFonts w:ascii="Arial" w:hAnsi="Arial"/>
          <w:sz w:val="22"/>
          <w:szCs w:val="22"/>
          <w:rtl w:val="0"/>
          <w:lang w:val="en-US"/>
        </w:rPr>
        <w:t>.</w:t>
      </w:r>
    </w:p>
    <w:sectPr>
      <w:headerReference w:type="default" r:id="rId4"/>
      <w:footerReference w:type="default" r:id="rId5"/>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772400" cy="10058400"/>
              <wp:effectExtent l="0" t="0" r="0" b="0"/>
              <wp:wrapNone/>
              <wp:docPr id="1073741825" name="officeArt object" descr="Rectangle"/>
              <wp:cNvGraphicFramePr/>
              <a:graphic xmlns:a="http://schemas.openxmlformats.org/drawingml/2006/main">
                <a:graphicData uri="http://schemas.microsoft.com/office/word/2010/wordprocessingShape">
                  <wps:wsp>
                    <wps:cNvSpPr/>
                    <wps:spPr>
                      <a:xfrm>
                        <a:off x="0" y="0"/>
                        <a:ext cx="7772400" cy="10058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_x0000_s1026" style="visibility:visible;position:absolute;margin-left:0.0pt;margin-top:0.0pt;width:612.0pt;height:792.0pt;z-index:-251658240;mso-position-horizontal:absolute;mso-position-horizontal-relative:page;mso-position-vertical:absolute;mso-position-vertical-relative:page;mso-wrap-distance-left:12.0pt;mso-wrap-distance-top:12.0pt;mso-wrap-distance-right:12.0pt;mso-wrap-distance-bottom:12.0pt;" adj="0">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oundrect>
          </w:pict>
        </mc:Fallback>
      </mc:AlternateContent>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1"/>
      <w:bidi w:val="0"/>
      <w:spacing w:before="0" w:after="0" w:line="240" w:lineRule="auto"/>
      <w:ind w:left="0" w:right="0" w:firstLine="0"/>
      <w:jc w:val="both"/>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1"/>
      <w:bidi w:val="0"/>
      <w:spacing w:before="0" w:after="0" w:line="360" w:lineRule="auto"/>
      <w:ind w:left="0" w:right="0" w:firstLine="0"/>
      <w:jc w:val="both"/>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Contents Heading">
    <w:name w:val="Contents Heading"/>
    <w:next w:val="Contents Heading"/>
    <w:pPr>
      <w:keepNext w:val="1"/>
      <w:keepLines w:val="0"/>
      <w:pageBreakBefore w:val="0"/>
      <w:widowControl w:val="1"/>
      <w:shd w:val="clear" w:color="auto" w:fill="auto"/>
      <w:suppressAutoHyphens w:val="1"/>
      <w:bidi w:val="0"/>
      <w:spacing w:before="240" w:after="120" w:line="360" w:lineRule="auto"/>
      <w:ind w:left="0" w:right="0" w:firstLine="0"/>
      <w:jc w:val="center"/>
      <w:outlineLvl w:val="9"/>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en-US"/>
      <w14:textFill>
        <w14:solidFill>
          <w14:srgbClr w14:val="000000"/>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1"/>
      <w:bidi w:val="0"/>
      <w:spacing w:before="0" w:after="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1">
    <w:name w:val="Heading 1"/>
    <w:next w:val="Normal.0"/>
    <w:pPr>
      <w:keepNext w:val="1"/>
      <w:keepLines w:val="1"/>
      <w:pageBreakBefore w:val="0"/>
      <w:widowControl w:val="1"/>
      <w:shd w:val="clear" w:color="auto" w:fill="auto"/>
      <w:suppressAutoHyphens w:val="1"/>
      <w:bidi w:val="0"/>
      <w:spacing w:before="113" w:after="0" w:line="360" w:lineRule="auto"/>
      <w:ind w:left="432" w:right="0" w:hanging="432"/>
      <w:jc w:val="both"/>
      <w:outlineLvl w:val="0"/>
    </w:pPr>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1"/>
      <w:bidi w:val="0"/>
      <w:spacing w:before="0" w:after="0" w:line="100" w:lineRule="atLeast"/>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