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356F77" w14:textId="77777777" w:rsidR="005045F0" w:rsidRPr="00E52DCC" w:rsidRDefault="005045F0" w:rsidP="005045F0">
      <w:pPr>
        <w:pStyle w:val="ListParagraph"/>
        <w:numPr>
          <w:ilvl w:val="0"/>
          <w:numId w:val="1"/>
        </w:numPr>
        <w:ind w:left="567" w:hanging="567"/>
        <w:rPr>
          <w:rFonts w:ascii="Arial" w:hAnsi="Arial" w:cs="Arial"/>
        </w:rPr>
      </w:pPr>
      <w:r w:rsidRPr="00E52DCC">
        <w:rPr>
          <w:rFonts w:ascii="Arial" w:hAnsi="Arial" w:cs="Arial"/>
        </w:rPr>
        <w:t xml:space="preserve">Impairment applies to non-current assets – both tangible and intangible. It does not apply to current assets. Impairment will arise where the recoverable amount of an asset is lower than </w:t>
      </w:r>
      <w:proofErr w:type="gramStart"/>
      <w:r w:rsidRPr="00E52DCC">
        <w:rPr>
          <w:rFonts w:ascii="Arial" w:hAnsi="Arial" w:cs="Arial"/>
        </w:rPr>
        <w:t>its</w:t>
      </w:r>
      <w:proofErr w:type="gramEnd"/>
      <w:r w:rsidRPr="00E52DCC">
        <w:rPr>
          <w:rFonts w:ascii="Arial" w:hAnsi="Arial" w:cs="Arial"/>
        </w:rPr>
        <w:t xml:space="preserve"> carrying value. Recoverable amount is defined as the </w:t>
      </w:r>
      <w:r w:rsidRPr="00E52DCC">
        <w:rPr>
          <w:rFonts w:ascii="Arial" w:hAnsi="Arial" w:cs="Arial"/>
          <w:b/>
        </w:rPr>
        <w:t>higher</w:t>
      </w:r>
      <w:r w:rsidRPr="00E52DCC">
        <w:rPr>
          <w:rFonts w:ascii="Arial" w:hAnsi="Arial" w:cs="Arial"/>
        </w:rPr>
        <w:t xml:space="preserve"> of its fair value (less costs to sell) and its value in use. Fair value is based on market value where there is an active market in the asset or, where there is no active market, on an estimate of what the net selling price would be between willing parties on an arm’s length basis. Value in use is measured as the present value of estimated future cash flows arising from the asset in its current condition.</w:t>
      </w:r>
    </w:p>
    <w:p w14:paraId="5501E1D9" w14:textId="77777777" w:rsidR="005045F0" w:rsidRPr="00E52DCC" w:rsidRDefault="005045F0" w:rsidP="005045F0">
      <w:pPr>
        <w:ind w:left="567"/>
        <w:rPr>
          <w:rFonts w:ascii="Arial" w:hAnsi="Arial" w:cs="Arial"/>
        </w:rPr>
      </w:pPr>
    </w:p>
    <w:p w14:paraId="444235D2" w14:textId="77777777" w:rsidR="005045F0" w:rsidRPr="00E52DCC" w:rsidRDefault="005045F0" w:rsidP="005045F0">
      <w:pPr>
        <w:ind w:left="567"/>
        <w:rPr>
          <w:rFonts w:ascii="Arial" w:hAnsi="Arial" w:cs="Arial"/>
        </w:rPr>
      </w:pPr>
      <w:r w:rsidRPr="00E52DCC">
        <w:rPr>
          <w:rFonts w:ascii="Arial" w:hAnsi="Arial" w:cs="Arial"/>
        </w:rPr>
        <w:t>Impairment reviews should be carried out at each year end.</w:t>
      </w:r>
    </w:p>
    <w:p w14:paraId="3B179A06" w14:textId="77777777" w:rsidR="005045F0" w:rsidRPr="00E52DCC" w:rsidRDefault="005045F0" w:rsidP="005045F0">
      <w:pPr>
        <w:ind w:left="567"/>
        <w:rPr>
          <w:rFonts w:ascii="Arial" w:hAnsi="Arial" w:cs="Arial"/>
        </w:rPr>
      </w:pPr>
    </w:p>
    <w:p w14:paraId="137C9EC4" w14:textId="77777777" w:rsidR="005045F0" w:rsidRPr="00E52DCC" w:rsidRDefault="005045F0" w:rsidP="005045F0">
      <w:pPr>
        <w:ind w:left="567"/>
        <w:rPr>
          <w:rFonts w:ascii="Arial" w:hAnsi="Arial" w:cs="Arial"/>
        </w:rPr>
      </w:pPr>
      <w:r w:rsidRPr="00E52DCC">
        <w:rPr>
          <w:rFonts w:ascii="Arial" w:hAnsi="Arial" w:cs="Arial"/>
        </w:rPr>
        <w:t>Impairment reviews should be applied against individual assets except that, where cash flows cannot be identified with individual assets, impairment should be applied to cash generating units (CGUs) representing the smallest group of individual assets for which cash flows can be identified. Any impairment arising in respect of a CGU should first be applied against any specific asset impaired, then against goodwill and then on a pro-rata basis against the remaining assets.</w:t>
      </w:r>
    </w:p>
    <w:p w14:paraId="6834B5E6" w14:textId="2DCDC8F0" w:rsidR="005045F0" w:rsidRDefault="005045F0" w:rsidP="005045F0">
      <w:pPr>
        <w:rPr>
          <w:rFonts w:ascii="Arial" w:hAnsi="Arial" w:cs="Arial"/>
          <w:b/>
          <w:i/>
        </w:rPr>
      </w:pPr>
    </w:p>
    <w:p w14:paraId="4AA27D4C" w14:textId="77777777" w:rsidR="005045F0" w:rsidRPr="00E52DCC" w:rsidRDefault="005045F0" w:rsidP="005045F0">
      <w:pPr>
        <w:rPr>
          <w:rFonts w:ascii="Arial" w:hAnsi="Arial" w:cs="Arial"/>
        </w:rPr>
      </w:pPr>
    </w:p>
    <w:p w14:paraId="49331996" w14:textId="77777777" w:rsidR="005045F0" w:rsidRPr="00E52DCC" w:rsidRDefault="005045F0" w:rsidP="005045F0">
      <w:pPr>
        <w:pStyle w:val="ListParagraph"/>
        <w:numPr>
          <w:ilvl w:val="0"/>
          <w:numId w:val="1"/>
        </w:numPr>
        <w:ind w:left="567" w:hanging="567"/>
        <w:rPr>
          <w:rFonts w:ascii="Arial" w:hAnsi="Arial" w:cs="Arial"/>
        </w:rPr>
      </w:pPr>
      <w:r w:rsidRPr="00E52DCC">
        <w:rPr>
          <w:rFonts w:ascii="Arial" w:hAnsi="Arial" w:cs="Arial"/>
        </w:rPr>
        <w:t>Before the impairment review the carrying value of the asset is £390,000. Two years depreciation has been charged to date. Annual depreciation is £650k /5 = £130</w:t>
      </w:r>
      <w:r>
        <w:rPr>
          <w:rFonts w:ascii="Arial" w:hAnsi="Arial" w:cs="Arial"/>
        </w:rPr>
        <w:t>,000.</w:t>
      </w:r>
    </w:p>
    <w:p w14:paraId="104544AE" w14:textId="77777777" w:rsidR="005045F0" w:rsidRPr="00E52DCC" w:rsidRDefault="005045F0" w:rsidP="005045F0">
      <w:pPr>
        <w:ind w:left="720" w:hanging="720"/>
        <w:rPr>
          <w:rFonts w:ascii="Arial" w:hAnsi="Arial" w:cs="Arial"/>
        </w:rPr>
      </w:pPr>
    </w:p>
    <w:p w14:paraId="4C68930A" w14:textId="77777777" w:rsidR="005045F0" w:rsidRDefault="005045F0" w:rsidP="005045F0">
      <w:pPr>
        <w:rPr>
          <w:rFonts w:ascii="Arial" w:hAnsi="Arial" w:cs="Arial"/>
        </w:rPr>
      </w:pPr>
      <w:r>
        <w:rPr>
          <w:rFonts w:ascii="Arial" w:hAnsi="Arial" w:cs="Arial"/>
        </w:rPr>
        <w:br w:type="page"/>
      </w:r>
    </w:p>
    <w:p w14:paraId="62DDB994" w14:textId="77777777" w:rsidR="005045F0" w:rsidRPr="00E52DCC" w:rsidRDefault="005045F0" w:rsidP="005045F0">
      <w:pPr>
        <w:ind w:left="567"/>
        <w:rPr>
          <w:rFonts w:ascii="Arial" w:hAnsi="Arial" w:cs="Arial"/>
        </w:rPr>
      </w:pPr>
      <w:r w:rsidRPr="00E52DCC">
        <w:rPr>
          <w:rFonts w:ascii="Arial" w:hAnsi="Arial" w:cs="Arial"/>
        </w:rPr>
        <w:lastRenderedPageBreak/>
        <w:t>The fair value represents its current residual value which amounts to £80,000.</w:t>
      </w:r>
    </w:p>
    <w:p w14:paraId="6F253F86" w14:textId="77777777" w:rsidR="005045F0" w:rsidRPr="00E52DCC" w:rsidRDefault="005045F0" w:rsidP="005045F0">
      <w:pPr>
        <w:ind w:left="567"/>
        <w:rPr>
          <w:rFonts w:ascii="Arial" w:hAnsi="Arial" w:cs="Arial"/>
        </w:rPr>
      </w:pPr>
      <w:r w:rsidRPr="00E52DCC">
        <w:rPr>
          <w:rFonts w:ascii="Arial" w:hAnsi="Arial" w:cs="Arial"/>
        </w:rPr>
        <w:t>Value in use is:</w:t>
      </w:r>
    </w:p>
    <w:p w14:paraId="0302F2F1" w14:textId="77777777" w:rsidR="005045F0" w:rsidRPr="00E52DCC" w:rsidRDefault="005045F0" w:rsidP="005045F0">
      <w:pPr>
        <w:ind w:left="567"/>
        <w:rPr>
          <w:rFonts w:ascii="Arial" w:hAnsi="Arial" w:cs="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699"/>
        <w:gridCol w:w="1362"/>
        <w:gridCol w:w="2038"/>
        <w:gridCol w:w="910"/>
      </w:tblGrid>
      <w:tr w:rsidR="005045F0" w:rsidRPr="00E52DCC" w14:paraId="427FC447" w14:textId="77777777" w:rsidTr="006B7B07">
        <w:tc>
          <w:tcPr>
            <w:tcW w:w="1838" w:type="dxa"/>
          </w:tcPr>
          <w:p w14:paraId="232EB363" w14:textId="77777777" w:rsidR="005045F0" w:rsidRPr="00E52DCC" w:rsidRDefault="005045F0" w:rsidP="006B7B07">
            <w:pPr>
              <w:jc w:val="center"/>
              <w:rPr>
                <w:rFonts w:ascii="Arial" w:hAnsi="Arial" w:cs="Arial"/>
                <w:b/>
              </w:rPr>
            </w:pPr>
            <w:r w:rsidRPr="00E52DCC">
              <w:rPr>
                <w:rFonts w:ascii="Arial" w:hAnsi="Arial" w:cs="Arial"/>
                <w:b/>
              </w:rPr>
              <w:t>Year ended</w:t>
            </w:r>
          </w:p>
        </w:tc>
        <w:tc>
          <w:tcPr>
            <w:tcW w:w="1699" w:type="dxa"/>
          </w:tcPr>
          <w:p w14:paraId="51A49A68" w14:textId="77777777" w:rsidR="005045F0" w:rsidRPr="00E52DCC" w:rsidRDefault="005045F0" w:rsidP="006B7B07">
            <w:pPr>
              <w:jc w:val="center"/>
              <w:rPr>
                <w:rFonts w:ascii="Arial" w:hAnsi="Arial" w:cs="Arial"/>
                <w:b/>
              </w:rPr>
            </w:pPr>
            <w:r w:rsidRPr="00E52DCC">
              <w:rPr>
                <w:rFonts w:ascii="Arial" w:hAnsi="Arial" w:cs="Arial"/>
                <w:b/>
              </w:rPr>
              <w:t>Cash flow</w:t>
            </w:r>
          </w:p>
        </w:tc>
        <w:tc>
          <w:tcPr>
            <w:tcW w:w="1362" w:type="dxa"/>
          </w:tcPr>
          <w:p w14:paraId="32C47687" w14:textId="77777777" w:rsidR="005045F0" w:rsidRPr="00E52DCC" w:rsidRDefault="005045F0" w:rsidP="006B7B07">
            <w:pPr>
              <w:jc w:val="center"/>
              <w:rPr>
                <w:rFonts w:ascii="Arial" w:hAnsi="Arial" w:cs="Arial"/>
                <w:b/>
              </w:rPr>
            </w:pPr>
            <w:r w:rsidRPr="00E52DCC">
              <w:rPr>
                <w:rFonts w:ascii="Arial" w:hAnsi="Arial" w:cs="Arial"/>
                <w:b/>
              </w:rPr>
              <w:t>Discount factor</w:t>
            </w:r>
          </w:p>
        </w:tc>
        <w:tc>
          <w:tcPr>
            <w:tcW w:w="2038" w:type="dxa"/>
          </w:tcPr>
          <w:p w14:paraId="3603DE5A" w14:textId="77777777" w:rsidR="005045F0" w:rsidRPr="00E52DCC" w:rsidRDefault="005045F0" w:rsidP="006B7B07">
            <w:pPr>
              <w:jc w:val="center"/>
              <w:rPr>
                <w:rFonts w:ascii="Arial" w:hAnsi="Arial" w:cs="Arial"/>
                <w:b/>
              </w:rPr>
            </w:pPr>
            <w:r w:rsidRPr="00E52DCC">
              <w:rPr>
                <w:rFonts w:ascii="Arial" w:hAnsi="Arial" w:cs="Arial"/>
                <w:b/>
              </w:rPr>
              <w:t>Present value</w:t>
            </w:r>
          </w:p>
        </w:tc>
        <w:tc>
          <w:tcPr>
            <w:tcW w:w="910" w:type="dxa"/>
          </w:tcPr>
          <w:p w14:paraId="4D75FD35" w14:textId="77777777" w:rsidR="005045F0" w:rsidRPr="00E52DCC" w:rsidRDefault="005045F0" w:rsidP="006B7B07">
            <w:pPr>
              <w:jc w:val="center"/>
              <w:rPr>
                <w:rFonts w:ascii="Arial" w:hAnsi="Arial" w:cs="Arial"/>
                <w:b/>
              </w:rPr>
            </w:pPr>
            <w:r w:rsidRPr="00E52DCC">
              <w:rPr>
                <w:rFonts w:ascii="Arial" w:hAnsi="Arial" w:cs="Arial"/>
                <w:b/>
              </w:rPr>
              <w:t>Marks</w:t>
            </w:r>
          </w:p>
        </w:tc>
      </w:tr>
      <w:tr w:rsidR="005045F0" w:rsidRPr="00E52DCC" w14:paraId="76993FF3" w14:textId="77777777" w:rsidTr="006B7B07">
        <w:tc>
          <w:tcPr>
            <w:tcW w:w="1838" w:type="dxa"/>
          </w:tcPr>
          <w:p w14:paraId="3A99B275" w14:textId="77777777" w:rsidR="005045F0" w:rsidRPr="00E52DCC" w:rsidRDefault="005045F0" w:rsidP="006B7B07">
            <w:pPr>
              <w:jc w:val="center"/>
              <w:rPr>
                <w:rFonts w:ascii="Arial" w:hAnsi="Arial" w:cs="Arial"/>
                <w:b/>
              </w:rPr>
            </w:pPr>
          </w:p>
        </w:tc>
        <w:tc>
          <w:tcPr>
            <w:tcW w:w="1699" w:type="dxa"/>
          </w:tcPr>
          <w:p w14:paraId="3560041A" w14:textId="77777777" w:rsidR="005045F0" w:rsidRPr="00E52DCC" w:rsidRDefault="005045F0" w:rsidP="006B7B07">
            <w:pPr>
              <w:jc w:val="right"/>
              <w:rPr>
                <w:rFonts w:ascii="Arial" w:hAnsi="Arial" w:cs="Arial"/>
                <w:b/>
              </w:rPr>
            </w:pPr>
            <w:r w:rsidRPr="00E52DCC">
              <w:rPr>
                <w:rFonts w:ascii="Arial" w:hAnsi="Arial" w:cs="Arial"/>
                <w:b/>
              </w:rPr>
              <w:t>£000</w:t>
            </w:r>
          </w:p>
        </w:tc>
        <w:tc>
          <w:tcPr>
            <w:tcW w:w="1362" w:type="dxa"/>
          </w:tcPr>
          <w:p w14:paraId="3F8A2BDE" w14:textId="77777777" w:rsidR="005045F0" w:rsidRPr="00E52DCC" w:rsidRDefault="005045F0" w:rsidP="006B7B07">
            <w:pPr>
              <w:jc w:val="right"/>
              <w:rPr>
                <w:rFonts w:ascii="Arial" w:hAnsi="Arial" w:cs="Arial"/>
                <w:b/>
              </w:rPr>
            </w:pPr>
          </w:p>
        </w:tc>
        <w:tc>
          <w:tcPr>
            <w:tcW w:w="2038" w:type="dxa"/>
          </w:tcPr>
          <w:p w14:paraId="32C1B5FF" w14:textId="77777777" w:rsidR="005045F0" w:rsidRPr="00E52DCC" w:rsidRDefault="005045F0" w:rsidP="006B7B07">
            <w:pPr>
              <w:jc w:val="right"/>
              <w:rPr>
                <w:rFonts w:ascii="Arial" w:hAnsi="Arial" w:cs="Arial"/>
                <w:b/>
              </w:rPr>
            </w:pPr>
            <w:r w:rsidRPr="00E52DCC">
              <w:rPr>
                <w:rFonts w:ascii="Arial" w:hAnsi="Arial" w:cs="Arial"/>
                <w:b/>
              </w:rPr>
              <w:t>£000</w:t>
            </w:r>
          </w:p>
        </w:tc>
        <w:tc>
          <w:tcPr>
            <w:tcW w:w="910" w:type="dxa"/>
          </w:tcPr>
          <w:p w14:paraId="4C6FC304" w14:textId="77777777" w:rsidR="005045F0" w:rsidRPr="00E842E7" w:rsidRDefault="005045F0" w:rsidP="006B7B07">
            <w:pPr>
              <w:jc w:val="center"/>
              <w:rPr>
                <w:rFonts w:ascii="Arial" w:hAnsi="Arial" w:cs="Arial"/>
                <w:b/>
              </w:rPr>
            </w:pPr>
          </w:p>
        </w:tc>
      </w:tr>
      <w:tr w:rsidR="005045F0" w:rsidRPr="00E52DCC" w14:paraId="543BF475" w14:textId="77777777" w:rsidTr="006B7B07">
        <w:tc>
          <w:tcPr>
            <w:tcW w:w="1838" w:type="dxa"/>
          </w:tcPr>
          <w:p w14:paraId="703742C3" w14:textId="77777777" w:rsidR="005045F0" w:rsidRPr="00E52DCC" w:rsidRDefault="005045F0" w:rsidP="006B7B07">
            <w:pPr>
              <w:rPr>
                <w:rFonts w:ascii="Arial" w:hAnsi="Arial" w:cs="Arial"/>
              </w:rPr>
            </w:pPr>
            <w:r w:rsidRPr="00E52DCC">
              <w:rPr>
                <w:rFonts w:ascii="Arial" w:hAnsi="Arial" w:cs="Arial"/>
              </w:rPr>
              <w:t>30 April 2019</w:t>
            </w:r>
          </w:p>
        </w:tc>
        <w:tc>
          <w:tcPr>
            <w:tcW w:w="1699" w:type="dxa"/>
          </w:tcPr>
          <w:p w14:paraId="13092BDA" w14:textId="77777777" w:rsidR="005045F0" w:rsidRPr="00E52DCC" w:rsidRDefault="005045F0" w:rsidP="006B7B07">
            <w:pPr>
              <w:jc w:val="right"/>
              <w:rPr>
                <w:rFonts w:ascii="Arial" w:hAnsi="Arial" w:cs="Arial"/>
              </w:rPr>
            </w:pPr>
            <w:r w:rsidRPr="00E52DCC">
              <w:rPr>
                <w:rFonts w:ascii="Arial" w:hAnsi="Arial" w:cs="Arial"/>
              </w:rPr>
              <w:t>180</w:t>
            </w:r>
          </w:p>
        </w:tc>
        <w:tc>
          <w:tcPr>
            <w:tcW w:w="1362" w:type="dxa"/>
          </w:tcPr>
          <w:p w14:paraId="61E40B28" w14:textId="77777777" w:rsidR="005045F0" w:rsidRPr="00E52DCC" w:rsidRDefault="005045F0" w:rsidP="006B7B07">
            <w:pPr>
              <w:jc w:val="right"/>
              <w:rPr>
                <w:rFonts w:ascii="Arial" w:hAnsi="Arial" w:cs="Arial"/>
              </w:rPr>
            </w:pPr>
            <w:r w:rsidRPr="00E52DCC">
              <w:rPr>
                <w:rFonts w:ascii="Arial" w:hAnsi="Arial" w:cs="Arial"/>
              </w:rPr>
              <w:t>0.91</w:t>
            </w:r>
          </w:p>
        </w:tc>
        <w:tc>
          <w:tcPr>
            <w:tcW w:w="2038" w:type="dxa"/>
          </w:tcPr>
          <w:p w14:paraId="048CE9E2" w14:textId="77777777" w:rsidR="005045F0" w:rsidRPr="00E52DCC" w:rsidRDefault="005045F0" w:rsidP="006B7B07">
            <w:pPr>
              <w:jc w:val="right"/>
              <w:rPr>
                <w:rFonts w:ascii="Arial" w:hAnsi="Arial" w:cs="Arial"/>
              </w:rPr>
            </w:pPr>
            <w:r w:rsidRPr="00E52DCC">
              <w:rPr>
                <w:rFonts w:ascii="Arial" w:hAnsi="Arial" w:cs="Arial"/>
              </w:rPr>
              <w:t>163.8</w:t>
            </w:r>
          </w:p>
        </w:tc>
        <w:tc>
          <w:tcPr>
            <w:tcW w:w="910" w:type="dxa"/>
          </w:tcPr>
          <w:p w14:paraId="2CF5293E" w14:textId="77777777" w:rsidR="005045F0" w:rsidRPr="00E52DCC" w:rsidRDefault="005045F0" w:rsidP="006B7B07">
            <w:pPr>
              <w:jc w:val="right"/>
              <w:rPr>
                <w:rFonts w:ascii="Arial" w:hAnsi="Arial" w:cs="Arial"/>
              </w:rPr>
            </w:pPr>
            <w:r w:rsidRPr="00E52DCC">
              <w:rPr>
                <w:rFonts w:ascii="Arial" w:hAnsi="Arial" w:cs="Arial"/>
              </w:rPr>
              <w:t>0.5</w:t>
            </w:r>
          </w:p>
        </w:tc>
      </w:tr>
      <w:tr w:rsidR="005045F0" w:rsidRPr="00E52DCC" w14:paraId="02FF173D" w14:textId="77777777" w:rsidTr="006B7B07">
        <w:tc>
          <w:tcPr>
            <w:tcW w:w="1838" w:type="dxa"/>
          </w:tcPr>
          <w:p w14:paraId="1B1E0A8B" w14:textId="77777777" w:rsidR="005045F0" w:rsidRPr="00E52DCC" w:rsidRDefault="005045F0" w:rsidP="006B7B07">
            <w:pPr>
              <w:rPr>
                <w:rFonts w:ascii="Arial" w:hAnsi="Arial" w:cs="Arial"/>
              </w:rPr>
            </w:pPr>
            <w:r w:rsidRPr="00E52DCC">
              <w:rPr>
                <w:rFonts w:ascii="Arial" w:hAnsi="Arial" w:cs="Arial"/>
              </w:rPr>
              <w:t>30 April 2020</w:t>
            </w:r>
          </w:p>
        </w:tc>
        <w:tc>
          <w:tcPr>
            <w:tcW w:w="1699" w:type="dxa"/>
          </w:tcPr>
          <w:p w14:paraId="6A872865" w14:textId="77777777" w:rsidR="005045F0" w:rsidRPr="00E52DCC" w:rsidRDefault="005045F0" w:rsidP="006B7B07">
            <w:pPr>
              <w:jc w:val="right"/>
              <w:rPr>
                <w:rFonts w:ascii="Arial" w:hAnsi="Arial" w:cs="Arial"/>
              </w:rPr>
            </w:pPr>
            <w:r w:rsidRPr="00E52DCC">
              <w:rPr>
                <w:rFonts w:ascii="Arial" w:hAnsi="Arial" w:cs="Arial"/>
              </w:rPr>
              <w:t>150</w:t>
            </w:r>
          </w:p>
        </w:tc>
        <w:tc>
          <w:tcPr>
            <w:tcW w:w="1362" w:type="dxa"/>
          </w:tcPr>
          <w:p w14:paraId="5E25A9D8" w14:textId="77777777" w:rsidR="005045F0" w:rsidRPr="00E52DCC" w:rsidRDefault="005045F0" w:rsidP="006B7B07">
            <w:pPr>
              <w:jc w:val="right"/>
              <w:rPr>
                <w:rFonts w:ascii="Arial" w:hAnsi="Arial" w:cs="Arial"/>
              </w:rPr>
            </w:pPr>
            <w:r w:rsidRPr="00E52DCC">
              <w:rPr>
                <w:rFonts w:ascii="Arial" w:hAnsi="Arial" w:cs="Arial"/>
              </w:rPr>
              <w:t>0.83</w:t>
            </w:r>
          </w:p>
        </w:tc>
        <w:tc>
          <w:tcPr>
            <w:tcW w:w="2038" w:type="dxa"/>
          </w:tcPr>
          <w:p w14:paraId="65F1A6AC" w14:textId="77777777" w:rsidR="005045F0" w:rsidRPr="00E52DCC" w:rsidRDefault="005045F0" w:rsidP="006B7B07">
            <w:pPr>
              <w:jc w:val="right"/>
              <w:rPr>
                <w:rFonts w:ascii="Arial" w:hAnsi="Arial" w:cs="Arial"/>
              </w:rPr>
            </w:pPr>
            <w:r w:rsidRPr="00E52DCC">
              <w:rPr>
                <w:rFonts w:ascii="Arial" w:hAnsi="Arial" w:cs="Arial"/>
              </w:rPr>
              <w:t>124.5</w:t>
            </w:r>
          </w:p>
        </w:tc>
        <w:tc>
          <w:tcPr>
            <w:tcW w:w="910" w:type="dxa"/>
          </w:tcPr>
          <w:p w14:paraId="02940136" w14:textId="77777777" w:rsidR="005045F0" w:rsidRPr="00E52DCC" w:rsidRDefault="005045F0" w:rsidP="006B7B07">
            <w:pPr>
              <w:jc w:val="right"/>
              <w:rPr>
                <w:rFonts w:ascii="Arial" w:hAnsi="Arial" w:cs="Arial"/>
              </w:rPr>
            </w:pPr>
            <w:r w:rsidRPr="00E52DCC">
              <w:rPr>
                <w:rFonts w:ascii="Arial" w:hAnsi="Arial" w:cs="Arial"/>
              </w:rPr>
              <w:t>0.5</w:t>
            </w:r>
          </w:p>
        </w:tc>
      </w:tr>
      <w:tr w:rsidR="005045F0" w:rsidRPr="00E52DCC" w14:paraId="39398DBA" w14:textId="77777777" w:rsidTr="006B7B07">
        <w:tc>
          <w:tcPr>
            <w:tcW w:w="1838" w:type="dxa"/>
          </w:tcPr>
          <w:p w14:paraId="0F2B2F7F" w14:textId="77777777" w:rsidR="005045F0" w:rsidRPr="00E52DCC" w:rsidRDefault="005045F0" w:rsidP="006B7B07">
            <w:pPr>
              <w:rPr>
                <w:rFonts w:ascii="Arial" w:hAnsi="Arial" w:cs="Arial"/>
              </w:rPr>
            </w:pPr>
            <w:r w:rsidRPr="00E52DCC">
              <w:rPr>
                <w:rFonts w:ascii="Arial" w:hAnsi="Arial" w:cs="Arial"/>
              </w:rPr>
              <w:t>30 April 2021</w:t>
            </w:r>
          </w:p>
        </w:tc>
        <w:tc>
          <w:tcPr>
            <w:tcW w:w="1699" w:type="dxa"/>
          </w:tcPr>
          <w:p w14:paraId="06C9C552" w14:textId="77777777" w:rsidR="005045F0" w:rsidRPr="00E52DCC" w:rsidRDefault="005045F0" w:rsidP="006B7B07">
            <w:pPr>
              <w:jc w:val="right"/>
              <w:rPr>
                <w:rFonts w:ascii="Arial" w:hAnsi="Arial" w:cs="Arial"/>
              </w:rPr>
            </w:pPr>
            <w:r w:rsidRPr="00E52DCC">
              <w:rPr>
                <w:rFonts w:ascii="Arial" w:hAnsi="Arial" w:cs="Arial"/>
              </w:rPr>
              <w:t>120</w:t>
            </w:r>
          </w:p>
        </w:tc>
        <w:tc>
          <w:tcPr>
            <w:tcW w:w="1362" w:type="dxa"/>
          </w:tcPr>
          <w:p w14:paraId="05A390C3" w14:textId="77777777" w:rsidR="005045F0" w:rsidRPr="00E52DCC" w:rsidRDefault="005045F0" w:rsidP="006B7B07">
            <w:pPr>
              <w:jc w:val="right"/>
              <w:rPr>
                <w:rFonts w:ascii="Arial" w:hAnsi="Arial" w:cs="Arial"/>
              </w:rPr>
            </w:pPr>
            <w:r w:rsidRPr="00E52DCC">
              <w:rPr>
                <w:rFonts w:ascii="Arial" w:hAnsi="Arial" w:cs="Arial"/>
              </w:rPr>
              <w:t>0.75</w:t>
            </w:r>
          </w:p>
        </w:tc>
        <w:tc>
          <w:tcPr>
            <w:tcW w:w="2038" w:type="dxa"/>
          </w:tcPr>
          <w:p w14:paraId="6EF52C13" w14:textId="77777777" w:rsidR="005045F0" w:rsidRPr="00E52DCC" w:rsidRDefault="005045F0" w:rsidP="006B7B07">
            <w:pPr>
              <w:jc w:val="right"/>
              <w:rPr>
                <w:rFonts w:ascii="Arial" w:hAnsi="Arial" w:cs="Arial"/>
                <w:u w:val="single"/>
              </w:rPr>
            </w:pPr>
            <w:r w:rsidRPr="00E52DCC">
              <w:rPr>
                <w:rFonts w:ascii="Arial" w:hAnsi="Arial" w:cs="Arial"/>
                <w:u w:val="single"/>
              </w:rPr>
              <w:t>90.0</w:t>
            </w:r>
          </w:p>
        </w:tc>
        <w:tc>
          <w:tcPr>
            <w:tcW w:w="910" w:type="dxa"/>
          </w:tcPr>
          <w:p w14:paraId="4EA8B521" w14:textId="77777777" w:rsidR="005045F0" w:rsidRPr="00E52DCC" w:rsidRDefault="005045F0" w:rsidP="006B7B07">
            <w:pPr>
              <w:jc w:val="right"/>
              <w:rPr>
                <w:rFonts w:ascii="Arial" w:hAnsi="Arial" w:cs="Arial"/>
              </w:rPr>
            </w:pPr>
            <w:r w:rsidRPr="00E52DCC">
              <w:rPr>
                <w:rFonts w:ascii="Arial" w:hAnsi="Arial" w:cs="Arial"/>
              </w:rPr>
              <w:t>0.5</w:t>
            </w:r>
          </w:p>
        </w:tc>
      </w:tr>
      <w:tr w:rsidR="005045F0" w:rsidRPr="00E52DCC" w14:paraId="67475B01" w14:textId="77777777" w:rsidTr="006B7B07">
        <w:tc>
          <w:tcPr>
            <w:tcW w:w="1838" w:type="dxa"/>
          </w:tcPr>
          <w:p w14:paraId="6FFEF122" w14:textId="77777777" w:rsidR="005045F0" w:rsidRPr="00E52DCC" w:rsidRDefault="005045F0" w:rsidP="006B7B07">
            <w:pPr>
              <w:jc w:val="both"/>
              <w:rPr>
                <w:rFonts w:ascii="Arial" w:hAnsi="Arial" w:cs="Arial"/>
              </w:rPr>
            </w:pPr>
          </w:p>
        </w:tc>
        <w:tc>
          <w:tcPr>
            <w:tcW w:w="1699" w:type="dxa"/>
          </w:tcPr>
          <w:p w14:paraId="22759A04" w14:textId="77777777" w:rsidR="005045F0" w:rsidRPr="00E52DCC" w:rsidRDefault="005045F0" w:rsidP="006B7B07">
            <w:pPr>
              <w:jc w:val="right"/>
              <w:rPr>
                <w:rFonts w:ascii="Arial" w:hAnsi="Arial" w:cs="Arial"/>
              </w:rPr>
            </w:pPr>
          </w:p>
        </w:tc>
        <w:tc>
          <w:tcPr>
            <w:tcW w:w="1362" w:type="dxa"/>
          </w:tcPr>
          <w:p w14:paraId="14A25E40" w14:textId="77777777" w:rsidR="005045F0" w:rsidRPr="00E52DCC" w:rsidRDefault="005045F0" w:rsidP="006B7B07">
            <w:pPr>
              <w:jc w:val="right"/>
              <w:rPr>
                <w:rFonts w:ascii="Arial" w:hAnsi="Arial" w:cs="Arial"/>
              </w:rPr>
            </w:pPr>
          </w:p>
        </w:tc>
        <w:tc>
          <w:tcPr>
            <w:tcW w:w="2038" w:type="dxa"/>
          </w:tcPr>
          <w:p w14:paraId="34068C13" w14:textId="77777777" w:rsidR="005045F0" w:rsidRPr="00E52DCC" w:rsidRDefault="005045F0" w:rsidP="006B7B07">
            <w:pPr>
              <w:jc w:val="right"/>
              <w:rPr>
                <w:rFonts w:ascii="Arial" w:hAnsi="Arial" w:cs="Arial"/>
                <w:u w:val="single"/>
              </w:rPr>
            </w:pPr>
            <w:r w:rsidRPr="00E52DCC">
              <w:rPr>
                <w:rFonts w:ascii="Arial" w:hAnsi="Arial" w:cs="Arial"/>
                <w:u w:val="single"/>
              </w:rPr>
              <w:t>378.3</w:t>
            </w:r>
          </w:p>
        </w:tc>
        <w:tc>
          <w:tcPr>
            <w:tcW w:w="910" w:type="dxa"/>
          </w:tcPr>
          <w:p w14:paraId="7A389209" w14:textId="77777777" w:rsidR="005045F0" w:rsidRPr="00E52DCC" w:rsidRDefault="005045F0" w:rsidP="006B7B07">
            <w:pPr>
              <w:jc w:val="right"/>
              <w:rPr>
                <w:rFonts w:ascii="Arial" w:hAnsi="Arial" w:cs="Arial"/>
                <w:u w:val="single"/>
              </w:rPr>
            </w:pPr>
            <w:r w:rsidRPr="00E52DCC">
              <w:rPr>
                <w:rFonts w:ascii="Arial" w:hAnsi="Arial" w:cs="Arial"/>
                <w:u w:val="single"/>
              </w:rPr>
              <w:t>0.5</w:t>
            </w:r>
          </w:p>
        </w:tc>
      </w:tr>
      <w:tr w:rsidR="005045F0" w:rsidRPr="00E52DCC" w14:paraId="191EC36D" w14:textId="77777777" w:rsidTr="006B7B07">
        <w:tc>
          <w:tcPr>
            <w:tcW w:w="1838" w:type="dxa"/>
          </w:tcPr>
          <w:p w14:paraId="377B1965" w14:textId="77777777" w:rsidR="005045F0" w:rsidRPr="00E52DCC" w:rsidRDefault="005045F0" w:rsidP="006B7B07">
            <w:pPr>
              <w:jc w:val="both"/>
              <w:rPr>
                <w:rFonts w:ascii="Arial" w:hAnsi="Arial" w:cs="Arial"/>
              </w:rPr>
            </w:pPr>
          </w:p>
        </w:tc>
        <w:tc>
          <w:tcPr>
            <w:tcW w:w="1699" w:type="dxa"/>
          </w:tcPr>
          <w:p w14:paraId="0889FDFA" w14:textId="77777777" w:rsidR="005045F0" w:rsidRPr="00E52DCC" w:rsidRDefault="005045F0" w:rsidP="006B7B07">
            <w:pPr>
              <w:jc w:val="right"/>
              <w:rPr>
                <w:rFonts w:ascii="Arial" w:hAnsi="Arial" w:cs="Arial"/>
              </w:rPr>
            </w:pPr>
          </w:p>
        </w:tc>
        <w:tc>
          <w:tcPr>
            <w:tcW w:w="1362" w:type="dxa"/>
          </w:tcPr>
          <w:p w14:paraId="30E121D5" w14:textId="77777777" w:rsidR="005045F0" w:rsidRPr="00E52DCC" w:rsidRDefault="005045F0" w:rsidP="006B7B07">
            <w:pPr>
              <w:jc w:val="right"/>
              <w:rPr>
                <w:rFonts w:ascii="Arial" w:hAnsi="Arial" w:cs="Arial"/>
              </w:rPr>
            </w:pPr>
          </w:p>
        </w:tc>
        <w:tc>
          <w:tcPr>
            <w:tcW w:w="2038" w:type="dxa"/>
          </w:tcPr>
          <w:p w14:paraId="47DBC331" w14:textId="77777777" w:rsidR="005045F0" w:rsidRPr="00E52DCC" w:rsidRDefault="005045F0" w:rsidP="006B7B07">
            <w:pPr>
              <w:jc w:val="right"/>
              <w:rPr>
                <w:rFonts w:ascii="Arial" w:hAnsi="Arial" w:cs="Arial"/>
                <w:b/>
              </w:rPr>
            </w:pPr>
          </w:p>
        </w:tc>
        <w:tc>
          <w:tcPr>
            <w:tcW w:w="910" w:type="dxa"/>
          </w:tcPr>
          <w:p w14:paraId="54DC0E55" w14:textId="77777777" w:rsidR="005045F0" w:rsidRPr="00E52DCC" w:rsidRDefault="005045F0" w:rsidP="006B7B07">
            <w:pPr>
              <w:jc w:val="right"/>
              <w:rPr>
                <w:rFonts w:ascii="Arial" w:hAnsi="Arial" w:cs="Arial"/>
                <w:u w:val="single"/>
              </w:rPr>
            </w:pPr>
            <w:r w:rsidRPr="00E52DCC">
              <w:rPr>
                <w:rFonts w:ascii="Arial" w:hAnsi="Arial" w:cs="Arial"/>
                <w:u w:val="single"/>
              </w:rPr>
              <w:t>2</w:t>
            </w:r>
          </w:p>
        </w:tc>
      </w:tr>
    </w:tbl>
    <w:p w14:paraId="4C3BD954" w14:textId="77777777" w:rsidR="005045F0" w:rsidRPr="00E52DCC" w:rsidRDefault="005045F0" w:rsidP="005045F0">
      <w:pPr>
        <w:ind w:left="567"/>
        <w:rPr>
          <w:rFonts w:ascii="Arial" w:hAnsi="Arial" w:cs="Arial"/>
        </w:rPr>
      </w:pPr>
    </w:p>
    <w:p w14:paraId="2F0D5637" w14:textId="77777777" w:rsidR="005045F0" w:rsidRPr="00E52DCC" w:rsidRDefault="005045F0" w:rsidP="005045F0">
      <w:pPr>
        <w:ind w:left="567"/>
        <w:rPr>
          <w:rFonts w:ascii="Arial" w:hAnsi="Arial" w:cs="Arial"/>
        </w:rPr>
      </w:pPr>
      <w:r w:rsidRPr="00E52DCC">
        <w:rPr>
          <w:rFonts w:ascii="Arial" w:hAnsi="Arial" w:cs="Arial"/>
        </w:rPr>
        <w:t xml:space="preserve">The recoverable amounts </w:t>
      </w:r>
      <w:proofErr w:type="gramStart"/>
      <w:r w:rsidRPr="00E52DCC">
        <w:rPr>
          <w:rFonts w:ascii="Arial" w:hAnsi="Arial" w:cs="Arial"/>
        </w:rPr>
        <w:t>represents</w:t>
      </w:r>
      <w:proofErr w:type="gramEnd"/>
      <w:r w:rsidRPr="00E52DCC">
        <w:rPr>
          <w:rFonts w:ascii="Arial" w:hAnsi="Arial" w:cs="Arial"/>
        </w:rPr>
        <w:t xml:space="preserve"> the higher of fair value and value in use, which in this case is £378.3k</w:t>
      </w:r>
      <w:r>
        <w:rPr>
          <w:rFonts w:ascii="Arial" w:hAnsi="Arial" w:cs="Arial"/>
        </w:rPr>
        <w:t>.</w:t>
      </w:r>
    </w:p>
    <w:p w14:paraId="2DB148A2" w14:textId="0E38A2E4" w:rsidR="005045F0" w:rsidRPr="00E52DCC" w:rsidRDefault="005045F0" w:rsidP="005045F0">
      <w:pPr>
        <w:ind w:left="720" w:hanging="720"/>
        <w:jc w:val="right"/>
        <w:rPr>
          <w:rFonts w:ascii="Arial" w:hAnsi="Arial" w:cs="Arial"/>
          <w:b/>
        </w:rPr>
      </w:pPr>
    </w:p>
    <w:p w14:paraId="053C41BA" w14:textId="77777777" w:rsidR="005045F0" w:rsidRPr="00E52DCC" w:rsidRDefault="005045F0" w:rsidP="005045F0">
      <w:pPr>
        <w:ind w:left="567"/>
        <w:rPr>
          <w:rFonts w:ascii="Arial" w:hAnsi="Arial" w:cs="Arial"/>
        </w:rPr>
      </w:pPr>
    </w:p>
    <w:p w14:paraId="73B22BFF" w14:textId="77777777" w:rsidR="005045F0" w:rsidRPr="00E52DCC" w:rsidRDefault="005045F0" w:rsidP="005045F0">
      <w:pPr>
        <w:ind w:left="567"/>
        <w:rPr>
          <w:rFonts w:ascii="Arial" w:hAnsi="Arial" w:cs="Arial"/>
        </w:rPr>
      </w:pPr>
      <w:r w:rsidRPr="00E52DCC">
        <w:rPr>
          <w:rFonts w:ascii="Arial" w:hAnsi="Arial" w:cs="Arial"/>
        </w:rPr>
        <w:t>The impairment amounts to £11.7k (378.3-390.0) and the carrying value should be reduced to £378.3k.</w:t>
      </w:r>
    </w:p>
    <w:p w14:paraId="4F0D4ADE"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AD7DF4"/>
    <w:multiLevelType w:val="hybridMultilevel"/>
    <w:tmpl w:val="D8BE8B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F0"/>
    <w:rsid w:val="005045F0"/>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4C415"/>
  <w15:chartTrackingRefBased/>
  <w15:docId w15:val="{8009C572-AF95-4F31-9FCC-4C88ED2A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5F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045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2021-03-11T11:55:00Z</dcterms:created>
  <dcterms:modified xsi:type="dcterms:W3CDTF">2021-03-11T11:55:00Z</dcterms:modified>
</cp:coreProperties>
</file>