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3DA6D"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t>Health and Fitness Assessment Design</w:t>
      </w:r>
    </w:p>
    <w:p w14:paraId="737F6D92" w14:textId="4DECE224" w:rsidR="00551992" w:rsidRPr="00551992" w:rsidRDefault="00183609" w:rsidP="00551992">
      <w:pPr>
        <w:spacing w:before="100" w:beforeAutospacing="1" w:after="100" w:afterAutospacing="1"/>
        <w:rPr>
          <w:rFonts w:ascii="Arial" w:hAnsi="Arial" w:cs="Arial"/>
          <w:sz w:val="24"/>
          <w:szCs w:val="24"/>
        </w:rPr>
      </w:pPr>
      <w:r>
        <w:rPr>
          <w:rFonts w:ascii="Arial" w:hAnsi="Arial" w:cs="Arial"/>
          <w:sz w:val="24"/>
          <w:szCs w:val="24"/>
        </w:rPr>
        <w:t>T</w:t>
      </w:r>
      <w:r w:rsidR="00551992" w:rsidRPr="00551992">
        <w:rPr>
          <w:rFonts w:ascii="Arial" w:hAnsi="Arial" w:cs="Arial"/>
          <w:sz w:val="24"/>
          <w:szCs w:val="24"/>
        </w:rPr>
        <w:t>he health and fitness assessment described below aims to evaluate key components of physical fitness, which include body composition, cardiovascular fitness, muscular strength, endurance, and flexibility</w:t>
      </w:r>
      <w:r w:rsidR="00C04E9B">
        <w:rPr>
          <w:rFonts w:ascii="Arial" w:hAnsi="Arial" w:cs="Arial"/>
          <w:sz w:val="24"/>
          <w:szCs w:val="24"/>
        </w:rPr>
        <w:t>/mobility</w:t>
      </w:r>
      <w:r w:rsidR="00551992" w:rsidRPr="00551992">
        <w:rPr>
          <w:rFonts w:ascii="Arial" w:hAnsi="Arial" w:cs="Arial"/>
          <w:sz w:val="24"/>
          <w:szCs w:val="24"/>
        </w:rPr>
        <w:t>. These assessments are essential tools for understanding an individual’s fitness level and can help identify areas of improvement for better health outcomes. The selection of these tests is</w:t>
      </w:r>
      <w:r w:rsidR="00097953">
        <w:rPr>
          <w:rFonts w:ascii="Arial" w:hAnsi="Arial" w:cs="Arial"/>
          <w:sz w:val="24"/>
          <w:szCs w:val="24"/>
        </w:rPr>
        <w:t xml:space="preserve"> decided</w:t>
      </w:r>
      <w:r w:rsidR="00551992" w:rsidRPr="00551992">
        <w:rPr>
          <w:rFonts w:ascii="Arial" w:hAnsi="Arial" w:cs="Arial"/>
          <w:sz w:val="24"/>
          <w:szCs w:val="24"/>
        </w:rPr>
        <w:t xml:space="preserve"> based on their relevance, practicality, and ability to provide meaningful results.</w:t>
      </w:r>
    </w:p>
    <w:p w14:paraId="7A9B8268"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t>1. Waist to Hip Ratio (WHR)</w:t>
      </w:r>
    </w:p>
    <w:p w14:paraId="3AE6C019" w14:textId="7AEC417B"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The Waist to Hip Ratio (WHR) is a straightforward measure used to assess the distribution of body fat. It is a valuable indicator of potential health risks, particularly cardiovascular diseases and metabolic disorders. Research has shown that abdominal fat, measured </w:t>
      </w:r>
      <w:r w:rsidR="00630C95">
        <w:rPr>
          <w:rFonts w:ascii="Arial" w:hAnsi="Arial" w:cs="Arial"/>
          <w:sz w:val="24"/>
          <w:szCs w:val="24"/>
        </w:rPr>
        <w:t>using</w:t>
      </w:r>
      <w:r w:rsidRPr="00551992">
        <w:rPr>
          <w:rFonts w:ascii="Arial" w:hAnsi="Arial" w:cs="Arial"/>
          <w:sz w:val="24"/>
          <w:szCs w:val="24"/>
        </w:rPr>
        <w:t xml:space="preserve"> WHR, is associated with a higher risk of chronic diseases, as fat in the abdominal area is considered more hazardous</w:t>
      </w:r>
      <w:r w:rsidR="00212947">
        <w:rPr>
          <w:rFonts w:ascii="Arial" w:hAnsi="Arial" w:cs="Arial"/>
          <w:sz w:val="24"/>
          <w:szCs w:val="24"/>
        </w:rPr>
        <w:t xml:space="preserve"> to health</w:t>
      </w:r>
      <w:r w:rsidRPr="00551992">
        <w:rPr>
          <w:rFonts w:ascii="Arial" w:hAnsi="Arial" w:cs="Arial"/>
          <w:sz w:val="24"/>
          <w:szCs w:val="24"/>
        </w:rPr>
        <w:t xml:space="preserve"> than fat stored in other parts of the body (Ashwell, Gunn &amp; Gibson, 2012). A WHR higher than 0.90 for men or 0.85 for women suggests an increased risk of these conditions, making it an important assessment tool for evaluating an individual’s health risks.</w:t>
      </w:r>
    </w:p>
    <w:p w14:paraId="416463B6"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t>2. Body Mass Index (BMI)</w:t>
      </w:r>
    </w:p>
    <w:p w14:paraId="435214C9" w14:textId="7439F945"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Body Mass Index (BMI) is commonly used to classify individuals into weight categories based on their height and weight. While BMI does not directly measure body fat, it </w:t>
      </w:r>
      <w:r w:rsidR="00DF499F">
        <w:rPr>
          <w:rFonts w:ascii="Arial" w:hAnsi="Arial" w:cs="Arial"/>
          <w:sz w:val="24"/>
          <w:szCs w:val="24"/>
        </w:rPr>
        <w:t>helps to</w:t>
      </w:r>
      <w:r w:rsidRPr="00551992">
        <w:rPr>
          <w:rFonts w:ascii="Arial" w:hAnsi="Arial" w:cs="Arial"/>
          <w:sz w:val="24"/>
          <w:szCs w:val="24"/>
        </w:rPr>
        <w:t xml:space="preserve"> estimate body composition and identify potential health risks related to weight. A BMI in the overweight or obese range (≥25) is linked to an increased risk of various health problems, including cardiovascular disease, type 2 diabetes, and hypertension (National Institutes of Health, 1998). Although BMI has limitations, such as not distinguishing between fat and lean tissue, it remains a practical and inexpensive tool for initial screening.</w:t>
      </w:r>
    </w:p>
    <w:p w14:paraId="3EF42A6D"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t>3. Grip Strength (Muscular Strength)</w:t>
      </w:r>
    </w:p>
    <w:p w14:paraId="380C7569"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Grip strength is an indicator of overall muscular strength, particularly in the upper body. It has been shown to correlate with general physical health and functional capacity, providing insights into the individual’s ability to perform daily activities. The handgrip dynamometer, used to measure grip strength, is simple to administer and effective in providing data on muscular health. Studies have suggested that lower grip strength is associated with increased risk of disability and mortality (Topp, Sides &amp; McFarlane, 2013). Therefore, it is an essential test for assessing the individual’s muscular strength.</w:t>
      </w:r>
    </w:p>
    <w:p w14:paraId="51010081"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t>4. Press-Up Test (Muscular Endurance)</w:t>
      </w:r>
    </w:p>
    <w:p w14:paraId="2E7D3A05" w14:textId="36C2EE78"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The press-up test is a practical measure of muscular endurance in the upper body. Muscular endurance refers to the ability of muscles to sustain repeated contractions over an extended period. It plays an essential role in functional activities such as lifting, carrying, and overall physical performance. The press-up test involves performing as many repetitions as possible while maintaining proper form. This test </w:t>
      </w:r>
      <w:r w:rsidRPr="00551992">
        <w:rPr>
          <w:rFonts w:ascii="Arial" w:hAnsi="Arial" w:cs="Arial"/>
          <w:sz w:val="24"/>
          <w:szCs w:val="24"/>
        </w:rPr>
        <w:lastRenderedPageBreak/>
        <w:t>is widely used because of its simplicity and its ability to evaluate endurance effectively (</w:t>
      </w:r>
      <w:proofErr w:type="spellStart"/>
      <w:r w:rsidRPr="00551992">
        <w:rPr>
          <w:rFonts w:ascii="Arial" w:hAnsi="Arial" w:cs="Arial"/>
          <w:sz w:val="24"/>
          <w:szCs w:val="24"/>
        </w:rPr>
        <w:t>Vikmoen</w:t>
      </w:r>
      <w:proofErr w:type="spellEnd"/>
      <w:r w:rsidRPr="00551992">
        <w:rPr>
          <w:rFonts w:ascii="Arial" w:hAnsi="Arial" w:cs="Arial"/>
          <w:sz w:val="24"/>
          <w:szCs w:val="24"/>
        </w:rPr>
        <w:t xml:space="preserve">, Nilsen &amp; Helgerud, 2015). The test provides a </w:t>
      </w:r>
      <w:r w:rsidR="00C72028">
        <w:rPr>
          <w:rFonts w:ascii="Arial" w:hAnsi="Arial" w:cs="Arial"/>
          <w:sz w:val="24"/>
          <w:szCs w:val="24"/>
        </w:rPr>
        <w:t xml:space="preserve">practical </w:t>
      </w:r>
      <w:r w:rsidRPr="00551992">
        <w:rPr>
          <w:rFonts w:ascii="Arial" w:hAnsi="Arial" w:cs="Arial"/>
          <w:sz w:val="24"/>
          <w:szCs w:val="24"/>
        </w:rPr>
        <w:t>benchmark for assessing how well an individual’s muscles can handle repeated stress.</w:t>
      </w:r>
    </w:p>
    <w:p w14:paraId="15278D8A"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t>5. Astrand Bike Test (Cardiovascular Fitness)</w:t>
      </w:r>
    </w:p>
    <w:p w14:paraId="296D91B2"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Cardiovascular fitness refers to the ability of the heart, lungs, and blood vessels to supply oxygen to muscles during sustained physical activity. The Astrand bike test is a widely used submaximal test for estimating cardiovascular fitness by measuring heart rate responses during moderate cycling exercise. The test involves cycling at a steady pace for six minutes while monitoring the participant’s heart rate (Astrand &amp; Rodahl, 2013). It is a reliable method for assessing cardiovascular endurance and provides important insights into heart health and overall fitness.</w:t>
      </w:r>
    </w:p>
    <w:p w14:paraId="6B7B13BB"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t>6. Sit and Reach Test (Flexibility)</w:t>
      </w:r>
    </w:p>
    <w:p w14:paraId="6BB0E45E" w14:textId="7ECB50FF"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Flexibility is a crucial component of physical fitness that helps maintain mobility, reduce the risk of injury, and improve posture. The sit and reach test </w:t>
      </w:r>
      <w:proofErr w:type="gramStart"/>
      <w:r w:rsidRPr="00551992">
        <w:rPr>
          <w:rFonts w:ascii="Arial" w:hAnsi="Arial" w:cs="Arial"/>
          <w:sz w:val="24"/>
          <w:szCs w:val="24"/>
        </w:rPr>
        <w:t>is</w:t>
      </w:r>
      <w:proofErr w:type="gramEnd"/>
      <w:r w:rsidRPr="00551992">
        <w:rPr>
          <w:rFonts w:ascii="Arial" w:hAnsi="Arial" w:cs="Arial"/>
          <w:sz w:val="24"/>
          <w:szCs w:val="24"/>
        </w:rPr>
        <w:t xml:space="preserve"> commonly used to assess the flexibility of the lower back and hamstrings. It involves sitting on the floor with legs extended and reaching forward to </w:t>
      </w:r>
      <w:r w:rsidR="005F3A1B">
        <w:rPr>
          <w:rFonts w:ascii="Arial" w:hAnsi="Arial" w:cs="Arial"/>
          <w:sz w:val="24"/>
          <w:szCs w:val="24"/>
        </w:rPr>
        <w:t>reach</w:t>
      </w:r>
      <w:r w:rsidRPr="00551992">
        <w:rPr>
          <w:rFonts w:ascii="Arial" w:hAnsi="Arial" w:cs="Arial"/>
          <w:sz w:val="24"/>
          <w:szCs w:val="24"/>
        </w:rPr>
        <w:t xml:space="preserve"> the toes or beyond. This test is simple, quick, and non-invasive, providing a good measure of an individual’s flexibility (Kisner &amp; Colby, 2017). Regular stretching exercises that improve flexibility can lead to better movement efficiency and overall physical performance.</w:t>
      </w:r>
    </w:p>
    <w:p w14:paraId="7C35D8AA"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t>Assessment Procedures and Data Collection</w:t>
      </w:r>
    </w:p>
    <w:p w14:paraId="38C5EEF7" w14:textId="2CFC87FD"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To ensure accuracy and consistency in the health and fitness assessments, it is essential to follow specific procedures for each test. Consistent practices and equipment calibration help ensure valid data collection, </w:t>
      </w:r>
      <w:r w:rsidR="00C17B64">
        <w:rPr>
          <w:rFonts w:ascii="Arial" w:hAnsi="Arial" w:cs="Arial"/>
          <w:sz w:val="24"/>
          <w:szCs w:val="24"/>
        </w:rPr>
        <w:t>minimising</w:t>
      </w:r>
      <w:r w:rsidRPr="00551992">
        <w:rPr>
          <w:rFonts w:ascii="Arial" w:hAnsi="Arial" w:cs="Arial"/>
          <w:sz w:val="24"/>
          <w:szCs w:val="24"/>
        </w:rPr>
        <w:t xml:space="preserve"> potential errors that could affect results. The procedures for each test</w:t>
      </w:r>
      <w:r w:rsidR="00F1103B">
        <w:rPr>
          <w:rFonts w:ascii="Arial" w:hAnsi="Arial" w:cs="Arial"/>
          <w:sz w:val="24"/>
          <w:szCs w:val="24"/>
        </w:rPr>
        <w:t xml:space="preserve"> are outlined in the following</w:t>
      </w:r>
      <w:r w:rsidRPr="00551992">
        <w:rPr>
          <w:rFonts w:ascii="Arial" w:hAnsi="Arial" w:cs="Arial"/>
          <w:sz w:val="24"/>
          <w:szCs w:val="24"/>
        </w:rPr>
        <w:t>.</w:t>
      </w:r>
    </w:p>
    <w:p w14:paraId="1C6D414A"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t>1. Waist to Hip Ratio (WHR)</w:t>
      </w:r>
    </w:p>
    <w:p w14:paraId="266E7945" w14:textId="426AE255"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Equipment: Flexible measuring tape. Procedure: Measure the waist circumference at the narrowest point (usually just above the navel</w:t>
      </w:r>
      <w:r w:rsidR="00FD23FF">
        <w:rPr>
          <w:rFonts w:ascii="Arial" w:hAnsi="Arial" w:cs="Arial"/>
          <w:sz w:val="24"/>
          <w:szCs w:val="24"/>
        </w:rPr>
        <w:t>/belly button</w:t>
      </w:r>
      <w:r w:rsidRPr="00551992">
        <w:rPr>
          <w:rFonts w:ascii="Arial" w:hAnsi="Arial" w:cs="Arial"/>
          <w:sz w:val="24"/>
          <w:szCs w:val="24"/>
        </w:rPr>
        <w:t xml:space="preserve">) and the hip circumference at the widest part of the hips. To calculate WHR, divide the waist measurement by the hip measurement. It is essential to ensure the tape is snug against the skin without compressing it. Participants should stand upright and </w:t>
      </w:r>
      <w:r w:rsidR="0032081F">
        <w:rPr>
          <w:rFonts w:ascii="Arial" w:hAnsi="Arial" w:cs="Arial"/>
          <w:sz w:val="24"/>
          <w:szCs w:val="24"/>
        </w:rPr>
        <w:t xml:space="preserve">remain </w:t>
      </w:r>
      <w:r w:rsidRPr="00551992">
        <w:rPr>
          <w:rFonts w:ascii="Arial" w:hAnsi="Arial" w:cs="Arial"/>
          <w:sz w:val="24"/>
          <w:szCs w:val="24"/>
        </w:rPr>
        <w:t>relaxed during the measurement (Ashwell, Gunn &amp; Gibson, 2012).</w:t>
      </w:r>
    </w:p>
    <w:p w14:paraId="772F072F"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t>2. Body Mass Index (BMI)</w:t>
      </w:r>
    </w:p>
    <w:p w14:paraId="62337BFA"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Equipment: Stadiometer for height and weighing scales for weight. Procedure: Measure the participant’s height to the nearest </w:t>
      </w:r>
      <w:proofErr w:type="spellStart"/>
      <w:r w:rsidRPr="00551992">
        <w:rPr>
          <w:rFonts w:ascii="Arial" w:hAnsi="Arial" w:cs="Arial"/>
          <w:sz w:val="24"/>
          <w:szCs w:val="24"/>
        </w:rPr>
        <w:t>centimeter</w:t>
      </w:r>
      <w:proofErr w:type="spellEnd"/>
      <w:r w:rsidRPr="00551992">
        <w:rPr>
          <w:rFonts w:ascii="Arial" w:hAnsi="Arial" w:cs="Arial"/>
          <w:sz w:val="24"/>
          <w:szCs w:val="24"/>
        </w:rPr>
        <w:t xml:space="preserve"> and weight to the nearest kilogram. BMI is calculated using the formula: BMI = weight (kg) / height (m)^2. It is important that the participant stands barefoot with feet together during height measurement and is weighed in minimal clothing to ensure accuracy (Guerreiro et al., 2020).</w:t>
      </w:r>
    </w:p>
    <w:p w14:paraId="6C2800DB"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lastRenderedPageBreak/>
        <w:t>3. Grip Strength (Muscular Strength)</w:t>
      </w:r>
    </w:p>
    <w:p w14:paraId="55B5C5FF" w14:textId="135C6C7D"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Equipment: Handgrip dynamometer. Procedure: The participant grips the dynamometer with maximum force using their dominant hand</w:t>
      </w:r>
      <w:r w:rsidR="00EB5F97">
        <w:rPr>
          <w:rFonts w:ascii="Arial" w:hAnsi="Arial" w:cs="Arial"/>
          <w:sz w:val="24"/>
          <w:szCs w:val="24"/>
        </w:rPr>
        <w:t xml:space="preserve"> (although in this </w:t>
      </w:r>
      <w:proofErr w:type="gramStart"/>
      <w:r w:rsidR="00EB5F97">
        <w:rPr>
          <w:rFonts w:ascii="Arial" w:hAnsi="Arial" w:cs="Arial"/>
          <w:sz w:val="24"/>
          <w:szCs w:val="24"/>
        </w:rPr>
        <w:t xml:space="preserve">particular </w:t>
      </w:r>
      <w:r w:rsidR="00C62437">
        <w:rPr>
          <w:rFonts w:ascii="Arial" w:hAnsi="Arial" w:cs="Arial"/>
          <w:sz w:val="24"/>
          <w:szCs w:val="24"/>
        </w:rPr>
        <w:t>assessment</w:t>
      </w:r>
      <w:proofErr w:type="gramEnd"/>
      <w:r w:rsidR="00EB5F97">
        <w:rPr>
          <w:rFonts w:ascii="Arial" w:hAnsi="Arial" w:cs="Arial"/>
          <w:sz w:val="24"/>
          <w:szCs w:val="24"/>
        </w:rPr>
        <w:t xml:space="preserve"> a measurement was taken from both sides</w:t>
      </w:r>
      <w:r w:rsidRPr="00551992">
        <w:rPr>
          <w:rFonts w:ascii="Arial" w:hAnsi="Arial" w:cs="Arial"/>
          <w:sz w:val="24"/>
          <w:szCs w:val="24"/>
        </w:rPr>
        <w:t>. Three trials should be conducted, and the highest</w:t>
      </w:r>
      <w:r w:rsidR="003826F0">
        <w:rPr>
          <w:rFonts w:ascii="Arial" w:hAnsi="Arial" w:cs="Arial"/>
          <w:sz w:val="24"/>
          <w:szCs w:val="24"/>
        </w:rPr>
        <w:t xml:space="preserve"> recorded</w:t>
      </w:r>
      <w:r w:rsidRPr="00551992">
        <w:rPr>
          <w:rFonts w:ascii="Arial" w:hAnsi="Arial" w:cs="Arial"/>
          <w:sz w:val="24"/>
          <w:szCs w:val="24"/>
        </w:rPr>
        <w:t xml:space="preserve"> value</w:t>
      </w:r>
      <w:r w:rsidR="00EB5F97">
        <w:rPr>
          <w:rFonts w:ascii="Arial" w:hAnsi="Arial" w:cs="Arial"/>
          <w:sz w:val="24"/>
          <w:szCs w:val="24"/>
        </w:rPr>
        <w:t xml:space="preserve"> should be used for comparison</w:t>
      </w:r>
      <w:r w:rsidRPr="00551992">
        <w:rPr>
          <w:rFonts w:ascii="Arial" w:hAnsi="Arial" w:cs="Arial"/>
          <w:sz w:val="24"/>
          <w:szCs w:val="24"/>
        </w:rPr>
        <w:t>. The test should be performed with the arm at a right angle and the wrist straight (Topp, Sides &amp; McFarlane, 2013).</w:t>
      </w:r>
    </w:p>
    <w:p w14:paraId="3979ABF7"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t>4. Press-Up Test (Muscular Endurance)</w:t>
      </w:r>
    </w:p>
    <w:p w14:paraId="0BC704E4"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Equipment: Mat or soft surface. Procedure: The participant performs as many press-ups as possible with correct form, until they can no longer maintain proper technique. Females may use knee push-ups as a modified version (</w:t>
      </w:r>
      <w:proofErr w:type="spellStart"/>
      <w:r w:rsidRPr="00551992">
        <w:rPr>
          <w:rFonts w:ascii="Arial" w:hAnsi="Arial" w:cs="Arial"/>
          <w:sz w:val="24"/>
          <w:szCs w:val="24"/>
        </w:rPr>
        <w:t>Vikmoen</w:t>
      </w:r>
      <w:proofErr w:type="spellEnd"/>
      <w:r w:rsidRPr="00551992">
        <w:rPr>
          <w:rFonts w:ascii="Arial" w:hAnsi="Arial" w:cs="Arial"/>
          <w:sz w:val="24"/>
          <w:szCs w:val="24"/>
        </w:rPr>
        <w:t>, Nilsen &amp; Helgerud, 2015).</w:t>
      </w:r>
    </w:p>
    <w:p w14:paraId="6D13505A"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t>5. Astrand Bike Test (Cardiovascular Fitness)</w:t>
      </w:r>
    </w:p>
    <w:p w14:paraId="18FE8F5F"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Equipment: Stationary bike, heart rate monitor. Procedure: The participant cycles at a predetermined workload for six minutes while heart rate is monitored. After the test, cardiovascular fitness is estimated based on heart rate response (Astrand &amp; Rodahl, 2013).</w:t>
      </w:r>
    </w:p>
    <w:p w14:paraId="78CF00F5"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t>6. Sit and Reach Test (Flexibility)</w:t>
      </w:r>
    </w:p>
    <w:p w14:paraId="3864A1DA"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Equipment: Sit-and-reach box. Procedure: The participant sits with legs extended and feet flat against the box, then reaches forward as far as possible. The distance reached is recorded, with the knees remaining straight throughout the test (Kisner &amp; Colby, 2017).</w:t>
      </w:r>
    </w:p>
    <w:p w14:paraId="0EA4DF5A" w14:textId="2F7A352C" w:rsidR="003863DD" w:rsidRPr="003863DD" w:rsidRDefault="003863DD" w:rsidP="003863DD">
      <w:pPr>
        <w:spacing w:before="100" w:beforeAutospacing="1" w:after="100" w:afterAutospacing="1"/>
        <w:rPr>
          <w:rFonts w:ascii="Arial" w:hAnsi="Arial" w:cs="Arial"/>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64"/>
        <w:gridCol w:w="1916"/>
        <w:gridCol w:w="2147"/>
        <w:gridCol w:w="1242"/>
        <w:gridCol w:w="2147"/>
      </w:tblGrid>
      <w:tr w:rsidR="003863DD" w:rsidRPr="00551992" w14:paraId="3FE28230" w14:textId="77777777" w:rsidTr="00095640">
        <w:trPr>
          <w:tblHeader/>
          <w:tblCellSpacing w:w="15" w:type="dxa"/>
        </w:trPr>
        <w:tc>
          <w:tcPr>
            <w:tcW w:w="0" w:type="auto"/>
            <w:shd w:val="clear" w:color="auto" w:fill="FFFFFF" w:themeFill="background1"/>
            <w:vAlign w:val="center"/>
            <w:hideMark/>
          </w:tcPr>
          <w:p w14:paraId="661949F2" w14:textId="77777777" w:rsidR="003863DD" w:rsidRPr="003863DD" w:rsidRDefault="003863DD" w:rsidP="003863DD">
            <w:pPr>
              <w:spacing w:before="100" w:beforeAutospacing="1" w:after="100" w:afterAutospacing="1"/>
              <w:rPr>
                <w:rFonts w:ascii="Arial" w:hAnsi="Arial" w:cs="Arial"/>
                <w:b/>
                <w:bCs/>
                <w:sz w:val="24"/>
                <w:szCs w:val="24"/>
              </w:rPr>
            </w:pPr>
            <w:r w:rsidRPr="003863DD">
              <w:rPr>
                <w:rFonts w:ascii="Arial" w:hAnsi="Arial" w:cs="Arial"/>
                <w:b/>
                <w:bCs/>
                <w:sz w:val="24"/>
                <w:szCs w:val="24"/>
              </w:rPr>
              <w:t>Assessment</w:t>
            </w:r>
          </w:p>
        </w:tc>
        <w:tc>
          <w:tcPr>
            <w:tcW w:w="0" w:type="auto"/>
            <w:shd w:val="clear" w:color="auto" w:fill="FFFFFF" w:themeFill="background1"/>
            <w:vAlign w:val="center"/>
            <w:hideMark/>
          </w:tcPr>
          <w:p w14:paraId="7336C957" w14:textId="77777777" w:rsidR="003863DD" w:rsidRPr="003863DD" w:rsidRDefault="003863DD" w:rsidP="003863DD">
            <w:pPr>
              <w:spacing w:before="100" w:beforeAutospacing="1" w:after="100" w:afterAutospacing="1"/>
              <w:rPr>
                <w:rFonts w:ascii="Arial" w:hAnsi="Arial" w:cs="Arial"/>
                <w:b/>
                <w:bCs/>
                <w:sz w:val="24"/>
                <w:szCs w:val="24"/>
              </w:rPr>
            </w:pPr>
            <w:r w:rsidRPr="003863DD">
              <w:rPr>
                <w:rFonts w:ascii="Arial" w:hAnsi="Arial" w:cs="Arial"/>
                <w:b/>
                <w:bCs/>
                <w:sz w:val="24"/>
                <w:szCs w:val="24"/>
              </w:rPr>
              <w:t>Measurement</w:t>
            </w:r>
          </w:p>
        </w:tc>
        <w:tc>
          <w:tcPr>
            <w:tcW w:w="0" w:type="auto"/>
            <w:shd w:val="clear" w:color="auto" w:fill="FFFFFF" w:themeFill="background1"/>
            <w:vAlign w:val="center"/>
            <w:hideMark/>
          </w:tcPr>
          <w:p w14:paraId="17D6F52F" w14:textId="77777777" w:rsidR="003863DD" w:rsidRPr="003863DD" w:rsidRDefault="003863DD" w:rsidP="003863DD">
            <w:pPr>
              <w:spacing w:before="100" w:beforeAutospacing="1" w:after="100" w:afterAutospacing="1"/>
              <w:rPr>
                <w:rFonts w:ascii="Arial" w:hAnsi="Arial" w:cs="Arial"/>
                <w:b/>
                <w:bCs/>
                <w:sz w:val="24"/>
                <w:szCs w:val="24"/>
              </w:rPr>
            </w:pPr>
            <w:r w:rsidRPr="003863DD">
              <w:rPr>
                <w:rFonts w:ascii="Arial" w:hAnsi="Arial" w:cs="Arial"/>
                <w:b/>
                <w:bCs/>
                <w:sz w:val="24"/>
                <w:szCs w:val="24"/>
              </w:rPr>
              <w:t>Norms/Reference Values</w:t>
            </w:r>
          </w:p>
        </w:tc>
        <w:tc>
          <w:tcPr>
            <w:tcW w:w="0" w:type="auto"/>
            <w:shd w:val="clear" w:color="auto" w:fill="FFFFFF" w:themeFill="background1"/>
            <w:vAlign w:val="center"/>
            <w:hideMark/>
          </w:tcPr>
          <w:p w14:paraId="2C88D92D" w14:textId="77777777" w:rsidR="003863DD" w:rsidRPr="003863DD" w:rsidRDefault="003863DD" w:rsidP="003863DD">
            <w:pPr>
              <w:spacing w:before="100" w:beforeAutospacing="1" w:after="100" w:afterAutospacing="1"/>
              <w:rPr>
                <w:rFonts w:ascii="Arial" w:hAnsi="Arial" w:cs="Arial"/>
                <w:b/>
                <w:bCs/>
                <w:sz w:val="24"/>
                <w:szCs w:val="24"/>
              </w:rPr>
            </w:pPr>
            <w:r w:rsidRPr="003863DD">
              <w:rPr>
                <w:rFonts w:ascii="Arial" w:hAnsi="Arial" w:cs="Arial"/>
                <w:b/>
                <w:bCs/>
                <w:sz w:val="24"/>
                <w:szCs w:val="24"/>
              </w:rPr>
              <w:t>Result</w:t>
            </w:r>
          </w:p>
        </w:tc>
        <w:tc>
          <w:tcPr>
            <w:tcW w:w="0" w:type="auto"/>
            <w:shd w:val="clear" w:color="auto" w:fill="FFFFFF" w:themeFill="background1"/>
            <w:vAlign w:val="center"/>
            <w:hideMark/>
          </w:tcPr>
          <w:p w14:paraId="190069AB" w14:textId="77777777" w:rsidR="003863DD" w:rsidRPr="003863DD" w:rsidRDefault="003863DD" w:rsidP="003863DD">
            <w:pPr>
              <w:spacing w:before="100" w:beforeAutospacing="1" w:after="100" w:afterAutospacing="1"/>
              <w:rPr>
                <w:rFonts w:ascii="Arial" w:hAnsi="Arial" w:cs="Arial"/>
                <w:b/>
                <w:bCs/>
                <w:sz w:val="24"/>
                <w:szCs w:val="24"/>
              </w:rPr>
            </w:pPr>
            <w:r w:rsidRPr="003863DD">
              <w:rPr>
                <w:rFonts w:ascii="Arial" w:hAnsi="Arial" w:cs="Arial"/>
                <w:b/>
                <w:bCs/>
                <w:sz w:val="24"/>
                <w:szCs w:val="24"/>
              </w:rPr>
              <w:t>Interpretation</w:t>
            </w:r>
          </w:p>
        </w:tc>
      </w:tr>
      <w:tr w:rsidR="003863DD" w:rsidRPr="00551992" w14:paraId="0C16833D" w14:textId="77777777" w:rsidTr="00095640">
        <w:trPr>
          <w:tblCellSpacing w:w="15" w:type="dxa"/>
        </w:trPr>
        <w:tc>
          <w:tcPr>
            <w:tcW w:w="0" w:type="auto"/>
            <w:shd w:val="clear" w:color="auto" w:fill="FFFFFF" w:themeFill="background1"/>
            <w:vAlign w:val="center"/>
            <w:hideMark/>
          </w:tcPr>
          <w:p w14:paraId="6FA946B3"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b/>
                <w:bCs/>
                <w:sz w:val="24"/>
                <w:szCs w:val="24"/>
              </w:rPr>
              <w:t>Waist to Hip Ratio (WHR)</w:t>
            </w:r>
          </w:p>
        </w:tc>
        <w:tc>
          <w:tcPr>
            <w:tcW w:w="0" w:type="auto"/>
            <w:shd w:val="clear" w:color="auto" w:fill="FFFFFF" w:themeFill="background1"/>
            <w:vAlign w:val="center"/>
            <w:hideMark/>
          </w:tcPr>
          <w:p w14:paraId="4C0A2402"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Waist: 96 cm, Hip: 107 cm</w:t>
            </w:r>
          </w:p>
        </w:tc>
        <w:tc>
          <w:tcPr>
            <w:tcW w:w="0" w:type="auto"/>
            <w:shd w:val="clear" w:color="auto" w:fill="FFFFFF" w:themeFill="background1"/>
            <w:vAlign w:val="center"/>
            <w:hideMark/>
          </w:tcPr>
          <w:p w14:paraId="3C14389E"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Male: &lt;0.90 (low risk)</w:t>
            </w:r>
          </w:p>
        </w:tc>
        <w:tc>
          <w:tcPr>
            <w:tcW w:w="0" w:type="auto"/>
            <w:shd w:val="clear" w:color="auto" w:fill="FFFFFF" w:themeFill="background1"/>
            <w:vAlign w:val="center"/>
            <w:hideMark/>
          </w:tcPr>
          <w:p w14:paraId="6ECCE1B5"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0.90</w:t>
            </w:r>
          </w:p>
        </w:tc>
        <w:tc>
          <w:tcPr>
            <w:tcW w:w="0" w:type="auto"/>
            <w:shd w:val="clear" w:color="auto" w:fill="FFFFFF" w:themeFill="background1"/>
            <w:vAlign w:val="center"/>
            <w:hideMark/>
          </w:tcPr>
          <w:p w14:paraId="44FBD490"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At the threshold of high risk, suggesting increased cardiovascular and metabolic risks (World Health Organization, 2000).</w:t>
            </w:r>
          </w:p>
        </w:tc>
      </w:tr>
      <w:tr w:rsidR="003863DD" w:rsidRPr="00551992" w14:paraId="1784E138" w14:textId="77777777" w:rsidTr="00095640">
        <w:trPr>
          <w:tblCellSpacing w:w="15" w:type="dxa"/>
        </w:trPr>
        <w:tc>
          <w:tcPr>
            <w:tcW w:w="0" w:type="auto"/>
            <w:shd w:val="clear" w:color="auto" w:fill="FFFFFF" w:themeFill="background1"/>
            <w:vAlign w:val="center"/>
            <w:hideMark/>
          </w:tcPr>
          <w:p w14:paraId="56B5765A"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b/>
                <w:bCs/>
                <w:sz w:val="24"/>
                <w:szCs w:val="24"/>
              </w:rPr>
              <w:t>BMI</w:t>
            </w:r>
          </w:p>
        </w:tc>
        <w:tc>
          <w:tcPr>
            <w:tcW w:w="0" w:type="auto"/>
            <w:shd w:val="clear" w:color="auto" w:fill="FFFFFF" w:themeFill="background1"/>
            <w:vAlign w:val="center"/>
            <w:hideMark/>
          </w:tcPr>
          <w:p w14:paraId="0A8A4792"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92 kg, 175.5 cm height</w:t>
            </w:r>
          </w:p>
        </w:tc>
        <w:tc>
          <w:tcPr>
            <w:tcW w:w="0" w:type="auto"/>
            <w:shd w:val="clear" w:color="auto" w:fill="FFFFFF" w:themeFill="background1"/>
            <w:vAlign w:val="center"/>
            <w:hideMark/>
          </w:tcPr>
          <w:p w14:paraId="75E85C97"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Normal weight: 18.5–24.9</w:t>
            </w:r>
          </w:p>
        </w:tc>
        <w:tc>
          <w:tcPr>
            <w:tcW w:w="0" w:type="auto"/>
            <w:shd w:val="clear" w:color="auto" w:fill="FFFFFF" w:themeFill="background1"/>
            <w:vAlign w:val="center"/>
            <w:hideMark/>
          </w:tcPr>
          <w:p w14:paraId="6E3501AB"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29.9</w:t>
            </w:r>
          </w:p>
        </w:tc>
        <w:tc>
          <w:tcPr>
            <w:tcW w:w="0" w:type="auto"/>
            <w:shd w:val="clear" w:color="auto" w:fill="FFFFFF" w:themeFill="background1"/>
            <w:vAlign w:val="center"/>
            <w:hideMark/>
          </w:tcPr>
          <w:p w14:paraId="028DDDDC"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 xml:space="preserve">Overweight category (BMI ≥ 25), indicating risk for obesity-related health issues </w:t>
            </w:r>
            <w:r w:rsidRPr="003863DD">
              <w:rPr>
                <w:rFonts w:ascii="Arial" w:hAnsi="Arial" w:cs="Arial"/>
                <w:sz w:val="24"/>
                <w:szCs w:val="24"/>
              </w:rPr>
              <w:lastRenderedPageBreak/>
              <w:t>(National Institutes of Health, 1998).</w:t>
            </w:r>
          </w:p>
        </w:tc>
      </w:tr>
      <w:tr w:rsidR="003863DD" w:rsidRPr="00551992" w14:paraId="1D81E4F3" w14:textId="77777777" w:rsidTr="00095640">
        <w:trPr>
          <w:tblCellSpacing w:w="15" w:type="dxa"/>
        </w:trPr>
        <w:tc>
          <w:tcPr>
            <w:tcW w:w="0" w:type="auto"/>
            <w:shd w:val="clear" w:color="auto" w:fill="FFFFFF" w:themeFill="background1"/>
            <w:vAlign w:val="center"/>
            <w:hideMark/>
          </w:tcPr>
          <w:p w14:paraId="5FC0DFD6"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b/>
                <w:bCs/>
                <w:sz w:val="24"/>
                <w:szCs w:val="24"/>
              </w:rPr>
              <w:lastRenderedPageBreak/>
              <w:t>Grip Strength</w:t>
            </w:r>
          </w:p>
        </w:tc>
        <w:tc>
          <w:tcPr>
            <w:tcW w:w="0" w:type="auto"/>
            <w:shd w:val="clear" w:color="auto" w:fill="FFFFFF" w:themeFill="background1"/>
            <w:vAlign w:val="center"/>
            <w:hideMark/>
          </w:tcPr>
          <w:p w14:paraId="0557F1F5"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 xml:space="preserve">Left: 51 kg, </w:t>
            </w:r>
            <w:proofErr w:type="gramStart"/>
            <w:r w:rsidRPr="003863DD">
              <w:rPr>
                <w:rFonts w:ascii="Arial" w:hAnsi="Arial" w:cs="Arial"/>
                <w:sz w:val="24"/>
                <w:szCs w:val="24"/>
              </w:rPr>
              <w:t>Right</w:t>
            </w:r>
            <w:proofErr w:type="gramEnd"/>
            <w:r w:rsidRPr="003863DD">
              <w:rPr>
                <w:rFonts w:ascii="Arial" w:hAnsi="Arial" w:cs="Arial"/>
                <w:sz w:val="24"/>
                <w:szCs w:val="24"/>
              </w:rPr>
              <w:t>: 55 kg</w:t>
            </w:r>
          </w:p>
        </w:tc>
        <w:tc>
          <w:tcPr>
            <w:tcW w:w="0" w:type="auto"/>
            <w:shd w:val="clear" w:color="auto" w:fill="FFFFFF" w:themeFill="background1"/>
            <w:vAlign w:val="center"/>
            <w:hideMark/>
          </w:tcPr>
          <w:p w14:paraId="19E9F5FC"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Male (age 20-29): 45–55 kg</w:t>
            </w:r>
          </w:p>
        </w:tc>
        <w:tc>
          <w:tcPr>
            <w:tcW w:w="0" w:type="auto"/>
            <w:shd w:val="clear" w:color="auto" w:fill="FFFFFF" w:themeFill="background1"/>
            <w:vAlign w:val="center"/>
            <w:hideMark/>
          </w:tcPr>
          <w:p w14:paraId="3F8E7DF1"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 xml:space="preserve">Left: 51 kg, </w:t>
            </w:r>
            <w:proofErr w:type="gramStart"/>
            <w:r w:rsidRPr="003863DD">
              <w:rPr>
                <w:rFonts w:ascii="Arial" w:hAnsi="Arial" w:cs="Arial"/>
                <w:sz w:val="24"/>
                <w:szCs w:val="24"/>
              </w:rPr>
              <w:t>Right</w:t>
            </w:r>
            <w:proofErr w:type="gramEnd"/>
            <w:r w:rsidRPr="003863DD">
              <w:rPr>
                <w:rFonts w:ascii="Arial" w:hAnsi="Arial" w:cs="Arial"/>
                <w:sz w:val="24"/>
                <w:szCs w:val="24"/>
              </w:rPr>
              <w:t>: 55 kg</w:t>
            </w:r>
          </w:p>
        </w:tc>
        <w:tc>
          <w:tcPr>
            <w:tcW w:w="0" w:type="auto"/>
            <w:shd w:val="clear" w:color="auto" w:fill="FFFFFF" w:themeFill="background1"/>
            <w:vAlign w:val="center"/>
            <w:hideMark/>
          </w:tcPr>
          <w:p w14:paraId="588265A2"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Within normal range, suggesting healthy upper body strength (American College of Sports Medicine, 2017).</w:t>
            </w:r>
          </w:p>
        </w:tc>
      </w:tr>
      <w:tr w:rsidR="003863DD" w:rsidRPr="00551992" w14:paraId="02F0A41F" w14:textId="77777777" w:rsidTr="00095640">
        <w:trPr>
          <w:tblCellSpacing w:w="15" w:type="dxa"/>
        </w:trPr>
        <w:tc>
          <w:tcPr>
            <w:tcW w:w="0" w:type="auto"/>
            <w:shd w:val="clear" w:color="auto" w:fill="FFFFFF" w:themeFill="background1"/>
            <w:vAlign w:val="center"/>
            <w:hideMark/>
          </w:tcPr>
          <w:p w14:paraId="1B3903BD"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b/>
                <w:bCs/>
                <w:sz w:val="24"/>
                <w:szCs w:val="24"/>
              </w:rPr>
              <w:t>Press-Up Test</w:t>
            </w:r>
          </w:p>
        </w:tc>
        <w:tc>
          <w:tcPr>
            <w:tcW w:w="0" w:type="auto"/>
            <w:shd w:val="clear" w:color="auto" w:fill="FFFFFF" w:themeFill="background1"/>
            <w:vAlign w:val="center"/>
            <w:hideMark/>
          </w:tcPr>
          <w:p w14:paraId="75512BBE"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20 repetitions</w:t>
            </w:r>
          </w:p>
        </w:tc>
        <w:tc>
          <w:tcPr>
            <w:tcW w:w="0" w:type="auto"/>
            <w:shd w:val="clear" w:color="auto" w:fill="FFFFFF" w:themeFill="background1"/>
            <w:vAlign w:val="center"/>
            <w:hideMark/>
          </w:tcPr>
          <w:p w14:paraId="4608202B"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Male: 20–30 reps (average)</w:t>
            </w:r>
          </w:p>
        </w:tc>
        <w:tc>
          <w:tcPr>
            <w:tcW w:w="0" w:type="auto"/>
            <w:shd w:val="clear" w:color="auto" w:fill="FFFFFF" w:themeFill="background1"/>
            <w:vAlign w:val="center"/>
            <w:hideMark/>
          </w:tcPr>
          <w:p w14:paraId="40C6ED1C"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20 repetitions</w:t>
            </w:r>
          </w:p>
        </w:tc>
        <w:tc>
          <w:tcPr>
            <w:tcW w:w="0" w:type="auto"/>
            <w:shd w:val="clear" w:color="auto" w:fill="FFFFFF" w:themeFill="background1"/>
            <w:vAlign w:val="center"/>
            <w:hideMark/>
          </w:tcPr>
          <w:p w14:paraId="2A831CB2"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Lower end of average, indicating room for improvement in upper body muscular endurance (Nieman, 2011).</w:t>
            </w:r>
          </w:p>
        </w:tc>
      </w:tr>
      <w:tr w:rsidR="003863DD" w:rsidRPr="00551992" w14:paraId="34565770" w14:textId="77777777" w:rsidTr="00095640">
        <w:trPr>
          <w:tblCellSpacing w:w="15" w:type="dxa"/>
        </w:trPr>
        <w:tc>
          <w:tcPr>
            <w:tcW w:w="0" w:type="auto"/>
            <w:shd w:val="clear" w:color="auto" w:fill="FFFFFF" w:themeFill="background1"/>
            <w:vAlign w:val="center"/>
            <w:hideMark/>
          </w:tcPr>
          <w:p w14:paraId="64D4E95D"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b/>
                <w:bCs/>
                <w:sz w:val="24"/>
                <w:szCs w:val="24"/>
              </w:rPr>
              <w:t>Astrand Bike Test</w:t>
            </w:r>
          </w:p>
        </w:tc>
        <w:tc>
          <w:tcPr>
            <w:tcW w:w="0" w:type="auto"/>
            <w:shd w:val="clear" w:color="auto" w:fill="FFFFFF" w:themeFill="background1"/>
            <w:vAlign w:val="center"/>
            <w:hideMark/>
          </w:tcPr>
          <w:p w14:paraId="57098627"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125 bpm (2 minutes), 125 bpm (3 minutes), 130 bpm (4 minutes), 133 bpm (5 minutes)</w:t>
            </w:r>
          </w:p>
        </w:tc>
        <w:tc>
          <w:tcPr>
            <w:tcW w:w="0" w:type="auto"/>
            <w:shd w:val="clear" w:color="auto" w:fill="FFFFFF" w:themeFill="background1"/>
            <w:vAlign w:val="center"/>
            <w:hideMark/>
          </w:tcPr>
          <w:p w14:paraId="236C7032"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Average VO2 max (mL/kg/min): 40–50</w:t>
            </w:r>
          </w:p>
        </w:tc>
        <w:tc>
          <w:tcPr>
            <w:tcW w:w="0" w:type="auto"/>
            <w:shd w:val="clear" w:color="auto" w:fill="FFFFFF" w:themeFill="background1"/>
            <w:vAlign w:val="center"/>
            <w:hideMark/>
          </w:tcPr>
          <w:p w14:paraId="1218E278"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Estimated VO2 max: 40</w:t>
            </w:r>
          </w:p>
        </w:tc>
        <w:tc>
          <w:tcPr>
            <w:tcW w:w="0" w:type="auto"/>
            <w:shd w:val="clear" w:color="auto" w:fill="FFFFFF" w:themeFill="background1"/>
            <w:vAlign w:val="center"/>
            <w:hideMark/>
          </w:tcPr>
          <w:p w14:paraId="5FB4C0D3"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Within normal range, indicating average cardiovascular fitness (McArdle et al., 2014).</w:t>
            </w:r>
          </w:p>
        </w:tc>
      </w:tr>
      <w:tr w:rsidR="003863DD" w:rsidRPr="00551992" w14:paraId="2EADA3C0" w14:textId="77777777" w:rsidTr="00095640">
        <w:trPr>
          <w:tblCellSpacing w:w="15" w:type="dxa"/>
        </w:trPr>
        <w:tc>
          <w:tcPr>
            <w:tcW w:w="0" w:type="auto"/>
            <w:shd w:val="clear" w:color="auto" w:fill="FFFFFF" w:themeFill="background1"/>
            <w:vAlign w:val="center"/>
            <w:hideMark/>
          </w:tcPr>
          <w:p w14:paraId="6F653608"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b/>
                <w:bCs/>
                <w:sz w:val="24"/>
                <w:szCs w:val="24"/>
              </w:rPr>
              <w:t>Sit and Reach Test</w:t>
            </w:r>
          </w:p>
        </w:tc>
        <w:tc>
          <w:tcPr>
            <w:tcW w:w="0" w:type="auto"/>
            <w:shd w:val="clear" w:color="auto" w:fill="FFFFFF" w:themeFill="background1"/>
            <w:vAlign w:val="center"/>
            <w:hideMark/>
          </w:tcPr>
          <w:p w14:paraId="18D6C2A6"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33 cm</w:t>
            </w:r>
          </w:p>
        </w:tc>
        <w:tc>
          <w:tcPr>
            <w:tcW w:w="0" w:type="auto"/>
            <w:shd w:val="clear" w:color="auto" w:fill="FFFFFF" w:themeFill="background1"/>
            <w:vAlign w:val="center"/>
            <w:hideMark/>
          </w:tcPr>
          <w:p w14:paraId="01F629F5"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Male (20-29 years): 10–25 cm</w:t>
            </w:r>
          </w:p>
        </w:tc>
        <w:tc>
          <w:tcPr>
            <w:tcW w:w="0" w:type="auto"/>
            <w:shd w:val="clear" w:color="auto" w:fill="FFFFFF" w:themeFill="background1"/>
            <w:vAlign w:val="center"/>
            <w:hideMark/>
          </w:tcPr>
          <w:p w14:paraId="5BB452B3"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33 cm</w:t>
            </w:r>
          </w:p>
        </w:tc>
        <w:tc>
          <w:tcPr>
            <w:tcW w:w="0" w:type="auto"/>
            <w:shd w:val="clear" w:color="auto" w:fill="FFFFFF" w:themeFill="background1"/>
            <w:vAlign w:val="center"/>
            <w:hideMark/>
          </w:tcPr>
          <w:p w14:paraId="2FD58DCC" w14:textId="77777777" w:rsidR="003863DD" w:rsidRPr="003863DD" w:rsidRDefault="003863DD" w:rsidP="003863DD">
            <w:pPr>
              <w:spacing w:before="100" w:beforeAutospacing="1" w:after="100" w:afterAutospacing="1"/>
              <w:rPr>
                <w:rFonts w:ascii="Arial" w:hAnsi="Arial" w:cs="Arial"/>
                <w:sz w:val="24"/>
                <w:szCs w:val="24"/>
              </w:rPr>
            </w:pPr>
            <w:r w:rsidRPr="003863DD">
              <w:rPr>
                <w:rFonts w:ascii="Arial" w:hAnsi="Arial" w:cs="Arial"/>
                <w:sz w:val="24"/>
                <w:szCs w:val="24"/>
              </w:rPr>
              <w:t>Above average flexibility, indicating excellent range of motion in the hamstrings and lower back (American College of Sports Medicine, 2017).</w:t>
            </w:r>
          </w:p>
        </w:tc>
      </w:tr>
    </w:tbl>
    <w:p w14:paraId="298ACCFC"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t>Data Interpretation</w:t>
      </w:r>
    </w:p>
    <w:p w14:paraId="4CE6AC93"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The results from each test provide valuable information about the participant’s physical fitness. Below is a sample interpretation of the data:</w:t>
      </w:r>
    </w:p>
    <w:p w14:paraId="487752C0" w14:textId="77777777" w:rsidR="00551992" w:rsidRPr="00551992" w:rsidRDefault="00551992" w:rsidP="00551992">
      <w:pPr>
        <w:numPr>
          <w:ilvl w:val="0"/>
          <w:numId w:val="23"/>
        </w:numPr>
        <w:spacing w:before="100" w:beforeAutospacing="1" w:after="100" w:afterAutospacing="1"/>
        <w:rPr>
          <w:rFonts w:ascii="Arial" w:hAnsi="Arial" w:cs="Arial"/>
          <w:sz w:val="24"/>
          <w:szCs w:val="24"/>
        </w:rPr>
      </w:pPr>
      <w:r w:rsidRPr="00551992">
        <w:rPr>
          <w:rFonts w:ascii="Arial" w:hAnsi="Arial" w:cs="Arial"/>
          <w:b/>
          <w:bCs/>
          <w:sz w:val="24"/>
          <w:szCs w:val="24"/>
        </w:rPr>
        <w:t>Waist to Hip Ratio (WHR):</w:t>
      </w:r>
      <w:r w:rsidRPr="00551992">
        <w:rPr>
          <w:rFonts w:ascii="Arial" w:hAnsi="Arial" w:cs="Arial"/>
          <w:sz w:val="24"/>
          <w:szCs w:val="24"/>
        </w:rPr>
        <w:t xml:space="preserve"> A WHR of 0.90 suggests a high risk of cardiovascular diseases. Reducing abdominal fat through exercise and dietary changes could significantly lower this risk (Ashwell, Gunn &amp; Gibson, 2012).</w:t>
      </w:r>
    </w:p>
    <w:p w14:paraId="24AE774E" w14:textId="77777777" w:rsidR="00551992" w:rsidRPr="00551992" w:rsidRDefault="00551992" w:rsidP="00551992">
      <w:pPr>
        <w:numPr>
          <w:ilvl w:val="0"/>
          <w:numId w:val="23"/>
        </w:numPr>
        <w:spacing w:before="100" w:beforeAutospacing="1" w:after="100" w:afterAutospacing="1"/>
        <w:rPr>
          <w:rFonts w:ascii="Arial" w:hAnsi="Arial" w:cs="Arial"/>
          <w:sz w:val="24"/>
          <w:szCs w:val="24"/>
        </w:rPr>
      </w:pPr>
      <w:r w:rsidRPr="00551992">
        <w:rPr>
          <w:rFonts w:ascii="Arial" w:hAnsi="Arial" w:cs="Arial"/>
          <w:b/>
          <w:bCs/>
          <w:sz w:val="24"/>
          <w:szCs w:val="24"/>
        </w:rPr>
        <w:t>BMI:</w:t>
      </w:r>
      <w:r w:rsidRPr="00551992">
        <w:rPr>
          <w:rFonts w:ascii="Arial" w:hAnsi="Arial" w:cs="Arial"/>
          <w:sz w:val="24"/>
          <w:szCs w:val="24"/>
        </w:rPr>
        <w:t xml:space="preserve"> A BMI of 29.9 places the participant in the overweight category, which is associated with an increased risk of chronic diseases such as hypertension, type 2 diabetes, and heart disease (National Institutes of Health, 1998). A combination of cardiovascular exercise and strength training is recommended for weight management.</w:t>
      </w:r>
    </w:p>
    <w:p w14:paraId="54239FDC" w14:textId="77777777" w:rsidR="00551992" w:rsidRPr="00551992" w:rsidRDefault="00551992" w:rsidP="00551992">
      <w:pPr>
        <w:numPr>
          <w:ilvl w:val="0"/>
          <w:numId w:val="23"/>
        </w:numPr>
        <w:spacing w:before="100" w:beforeAutospacing="1" w:after="100" w:afterAutospacing="1"/>
        <w:rPr>
          <w:rFonts w:ascii="Arial" w:hAnsi="Arial" w:cs="Arial"/>
          <w:sz w:val="24"/>
          <w:szCs w:val="24"/>
        </w:rPr>
      </w:pPr>
      <w:r w:rsidRPr="00551992">
        <w:rPr>
          <w:rFonts w:ascii="Arial" w:hAnsi="Arial" w:cs="Arial"/>
          <w:b/>
          <w:bCs/>
          <w:sz w:val="24"/>
          <w:szCs w:val="24"/>
        </w:rPr>
        <w:lastRenderedPageBreak/>
        <w:t>Grip Strength:</w:t>
      </w:r>
      <w:r w:rsidRPr="00551992">
        <w:rPr>
          <w:rFonts w:ascii="Arial" w:hAnsi="Arial" w:cs="Arial"/>
          <w:sz w:val="24"/>
          <w:szCs w:val="24"/>
        </w:rPr>
        <w:t xml:space="preserve"> A left grip strength of 51 kg and right grip strength of 55 kg are within the average range for men aged 20-29, indicating good upper body strength (American College of Sports Medicine, 2017).</w:t>
      </w:r>
    </w:p>
    <w:p w14:paraId="75B8A16C" w14:textId="77777777" w:rsidR="00551992" w:rsidRPr="00551992" w:rsidRDefault="00551992" w:rsidP="00551992">
      <w:pPr>
        <w:numPr>
          <w:ilvl w:val="0"/>
          <w:numId w:val="23"/>
        </w:numPr>
        <w:spacing w:before="100" w:beforeAutospacing="1" w:after="100" w:afterAutospacing="1"/>
        <w:rPr>
          <w:rFonts w:ascii="Arial" w:hAnsi="Arial" w:cs="Arial"/>
          <w:sz w:val="24"/>
          <w:szCs w:val="24"/>
        </w:rPr>
      </w:pPr>
      <w:r w:rsidRPr="00551992">
        <w:rPr>
          <w:rFonts w:ascii="Arial" w:hAnsi="Arial" w:cs="Arial"/>
          <w:b/>
          <w:bCs/>
          <w:sz w:val="24"/>
          <w:szCs w:val="24"/>
        </w:rPr>
        <w:t>Press-Up Test:</w:t>
      </w:r>
      <w:r w:rsidRPr="00551992">
        <w:rPr>
          <w:rFonts w:ascii="Arial" w:hAnsi="Arial" w:cs="Arial"/>
          <w:sz w:val="24"/>
          <w:szCs w:val="24"/>
        </w:rPr>
        <w:t xml:space="preserve"> The participant performed 20 press-ups, which is within the average range for males. However, consistent training could increase upper body endurance (Nieman, 2011).</w:t>
      </w:r>
    </w:p>
    <w:p w14:paraId="471598A8" w14:textId="77777777" w:rsidR="00551992" w:rsidRPr="00551992" w:rsidRDefault="00551992" w:rsidP="00551992">
      <w:pPr>
        <w:numPr>
          <w:ilvl w:val="0"/>
          <w:numId w:val="23"/>
        </w:numPr>
        <w:spacing w:before="100" w:beforeAutospacing="1" w:after="100" w:afterAutospacing="1"/>
        <w:rPr>
          <w:rFonts w:ascii="Arial" w:hAnsi="Arial" w:cs="Arial"/>
          <w:sz w:val="24"/>
          <w:szCs w:val="24"/>
        </w:rPr>
      </w:pPr>
      <w:r w:rsidRPr="00551992">
        <w:rPr>
          <w:rFonts w:ascii="Arial" w:hAnsi="Arial" w:cs="Arial"/>
          <w:b/>
          <w:bCs/>
          <w:sz w:val="24"/>
          <w:szCs w:val="24"/>
        </w:rPr>
        <w:t>Astrand Bike Test:</w:t>
      </w:r>
      <w:r w:rsidRPr="00551992">
        <w:rPr>
          <w:rFonts w:ascii="Arial" w:hAnsi="Arial" w:cs="Arial"/>
          <w:sz w:val="24"/>
          <w:szCs w:val="24"/>
        </w:rPr>
        <w:t xml:space="preserve"> The participant’s estimated VO2 max of 40 mL/kg/min indicates average cardiovascular fitness. Increasing aerobic exercise intensity could improve cardiovascular health (McArdle et al., 2014).</w:t>
      </w:r>
    </w:p>
    <w:p w14:paraId="228E3894" w14:textId="77777777" w:rsidR="00551992" w:rsidRPr="00551992" w:rsidRDefault="00551992" w:rsidP="00551992">
      <w:pPr>
        <w:numPr>
          <w:ilvl w:val="0"/>
          <w:numId w:val="23"/>
        </w:numPr>
        <w:spacing w:before="100" w:beforeAutospacing="1" w:after="100" w:afterAutospacing="1"/>
        <w:rPr>
          <w:rFonts w:ascii="Arial" w:hAnsi="Arial" w:cs="Arial"/>
          <w:sz w:val="24"/>
          <w:szCs w:val="24"/>
        </w:rPr>
      </w:pPr>
      <w:r w:rsidRPr="00551992">
        <w:rPr>
          <w:rFonts w:ascii="Arial" w:hAnsi="Arial" w:cs="Arial"/>
          <w:b/>
          <w:bCs/>
          <w:sz w:val="24"/>
          <w:szCs w:val="24"/>
        </w:rPr>
        <w:t>Sit and Reach Test:</w:t>
      </w:r>
      <w:r w:rsidRPr="00551992">
        <w:rPr>
          <w:rFonts w:ascii="Arial" w:hAnsi="Arial" w:cs="Arial"/>
          <w:sz w:val="24"/>
          <w:szCs w:val="24"/>
        </w:rPr>
        <w:t xml:space="preserve"> The participant achieved 33 cm on the sit and reach test, indicating above-average flexibility, particularly in the hamstrings and lower back (American College of Sports Medicine, 2017).</w:t>
      </w:r>
    </w:p>
    <w:p w14:paraId="451D4D8C"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b/>
          <w:bCs/>
          <w:sz w:val="24"/>
          <w:szCs w:val="24"/>
        </w:rPr>
        <w:t>Recommendations for Improvement</w:t>
      </w:r>
    </w:p>
    <w:p w14:paraId="1034CE27"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Based on the results, the following recommendations can help improve the participant’s overall health and fitness:</w:t>
      </w:r>
    </w:p>
    <w:p w14:paraId="54D55CEC" w14:textId="77777777" w:rsidR="00551992" w:rsidRPr="00551992" w:rsidRDefault="00551992" w:rsidP="00551992">
      <w:pPr>
        <w:numPr>
          <w:ilvl w:val="0"/>
          <w:numId w:val="24"/>
        </w:numPr>
        <w:spacing w:before="100" w:beforeAutospacing="1" w:after="100" w:afterAutospacing="1"/>
        <w:rPr>
          <w:rFonts w:ascii="Arial" w:hAnsi="Arial" w:cs="Arial"/>
          <w:sz w:val="24"/>
          <w:szCs w:val="24"/>
        </w:rPr>
      </w:pPr>
      <w:r w:rsidRPr="00551992">
        <w:rPr>
          <w:rFonts w:ascii="Arial" w:hAnsi="Arial" w:cs="Arial"/>
          <w:b/>
          <w:bCs/>
          <w:sz w:val="24"/>
          <w:szCs w:val="24"/>
        </w:rPr>
        <w:t>Weight Management:</w:t>
      </w:r>
      <w:r w:rsidRPr="00551992">
        <w:rPr>
          <w:rFonts w:ascii="Arial" w:hAnsi="Arial" w:cs="Arial"/>
          <w:sz w:val="24"/>
          <w:szCs w:val="24"/>
        </w:rPr>
        <w:t xml:space="preserve"> To reduce the risk of chronic diseases, it is recommended that the participant engage in regular cardiovascular exercise (e.g., jogging, cycling) for at least 150 minutes per week, as well as resistance training 2-3 times per week (National Institutes of Health, 1998).</w:t>
      </w:r>
    </w:p>
    <w:p w14:paraId="185AB0C3" w14:textId="77777777" w:rsidR="00551992" w:rsidRPr="00551992" w:rsidRDefault="00551992" w:rsidP="00551992">
      <w:pPr>
        <w:numPr>
          <w:ilvl w:val="0"/>
          <w:numId w:val="24"/>
        </w:numPr>
        <w:spacing w:before="100" w:beforeAutospacing="1" w:after="100" w:afterAutospacing="1"/>
        <w:rPr>
          <w:rFonts w:ascii="Arial" w:hAnsi="Arial" w:cs="Arial"/>
          <w:sz w:val="24"/>
          <w:szCs w:val="24"/>
        </w:rPr>
      </w:pPr>
      <w:r w:rsidRPr="00551992">
        <w:rPr>
          <w:rFonts w:ascii="Arial" w:hAnsi="Arial" w:cs="Arial"/>
          <w:b/>
          <w:bCs/>
          <w:sz w:val="24"/>
          <w:szCs w:val="24"/>
        </w:rPr>
        <w:t>Abdominal Fat Reduction:</w:t>
      </w:r>
      <w:r w:rsidRPr="00551992">
        <w:rPr>
          <w:rFonts w:ascii="Arial" w:hAnsi="Arial" w:cs="Arial"/>
          <w:sz w:val="24"/>
          <w:szCs w:val="24"/>
        </w:rPr>
        <w:t xml:space="preserve"> Incorporating a balanced diet and core-strengthening exercises, such as planks and crunches, can help reduce abdominal fat and improve WHR (Ashwell, Gunn &amp; Gibson, 2012).</w:t>
      </w:r>
    </w:p>
    <w:p w14:paraId="6A3BF950" w14:textId="77777777" w:rsidR="00551992" w:rsidRPr="00551992" w:rsidRDefault="00551992" w:rsidP="00551992">
      <w:pPr>
        <w:numPr>
          <w:ilvl w:val="0"/>
          <w:numId w:val="24"/>
        </w:numPr>
        <w:spacing w:before="100" w:beforeAutospacing="1" w:after="100" w:afterAutospacing="1"/>
        <w:rPr>
          <w:rFonts w:ascii="Arial" w:hAnsi="Arial" w:cs="Arial"/>
          <w:sz w:val="24"/>
          <w:szCs w:val="24"/>
        </w:rPr>
      </w:pPr>
      <w:r w:rsidRPr="00551992">
        <w:rPr>
          <w:rFonts w:ascii="Arial" w:hAnsi="Arial" w:cs="Arial"/>
          <w:b/>
          <w:bCs/>
          <w:sz w:val="24"/>
          <w:szCs w:val="24"/>
        </w:rPr>
        <w:t>Muscular Endurance:</w:t>
      </w:r>
      <w:r w:rsidRPr="00551992">
        <w:rPr>
          <w:rFonts w:ascii="Arial" w:hAnsi="Arial" w:cs="Arial"/>
          <w:sz w:val="24"/>
          <w:szCs w:val="24"/>
        </w:rPr>
        <w:t xml:space="preserve"> Increasing the number of press-ups and incorporating other exercises, such as dips and pull-ups, will enhance upper body endurance (</w:t>
      </w:r>
      <w:proofErr w:type="spellStart"/>
      <w:r w:rsidRPr="00551992">
        <w:rPr>
          <w:rFonts w:ascii="Arial" w:hAnsi="Arial" w:cs="Arial"/>
          <w:sz w:val="24"/>
          <w:szCs w:val="24"/>
        </w:rPr>
        <w:t>Vikmoen</w:t>
      </w:r>
      <w:proofErr w:type="spellEnd"/>
      <w:r w:rsidRPr="00551992">
        <w:rPr>
          <w:rFonts w:ascii="Arial" w:hAnsi="Arial" w:cs="Arial"/>
          <w:sz w:val="24"/>
          <w:szCs w:val="24"/>
        </w:rPr>
        <w:t>, Nilsen &amp; Helgerud, 2015).</w:t>
      </w:r>
    </w:p>
    <w:p w14:paraId="19D84F0D" w14:textId="77777777" w:rsidR="00551992" w:rsidRPr="00551992" w:rsidRDefault="00551992" w:rsidP="00551992">
      <w:pPr>
        <w:numPr>
          <w:ilvl w:val="0"/>
          <w:numId w:val="24"/>
        </w:numPr>
        <w:spacing w:before="100" w:beforeAutospacing="1" w:after="100" w:afterAutospacing="1"/>
        <w:rPr>
          <w:rFonts w:ascii="Arial" w:hAnsi="Arial" w:cs="Arial"/>
          <w:sz w:val="24"/>
          <w:szCs w:val="24"/>
        </w:rPr>
      </w:pPr>
      <w:r w:rsidRPr="00551992">
        <w:rPr>
          <w:rFonts w:ascii="Arial" w:hAnsi="Arial" w:cs="Arial"/>
          <w:b/>
          <w:bCs/>
          <w:sz w:val="24"/>
          <w:szCs w:val="24"/>
        </w:rPr>
        <w:t>Flexibility:</w:t>
      </w:r>
      <w:r w:rsidRPr="00551992">
        <w:rPr>
          <w:rFonts w:ascii="Arial" w:hAnsi="Arial" w:cs="Arial"/>
          <w:sz w:val="24"/>
          <w:szCs w:val="24"/>
        </w:rPr>
        <w:t xml:space="preserve"> Continuing with flexibility training, including yoga or Pilates, will help maintain and improve overall flexibility (Kisner &amp; Colby, 2017).</w:t>
      </w:r>
    </w:p>
    <w:p w14:paraId="08DCDB0A" w14:textId="2A058361" w:rsidR="00EB5F97" w:rsidRDefault="00551992" w:rsidP="00EB5F97">
      <w:pPr>
        <w:spacing w:before="100" w:beforeAutospacing="1" w:after="100" w:afterAutospacing="1"/>
        <w:rPr>
          <w:rFonts w:ascii="Arial" w:hAnsi="Arial" w:cs="Arial"/>
          <w:sz w:val="24"/>
          <w:szCs w:val="24"/>
        </w:rPr>
      </w:pPr>
      <w:r w:rsidRPr="00551992">
        <w:rPr>
          <w:rFonts w:ascii="Arial" w:hAnsi="Arial" w:cs="Arial"/>
          <w:sz w:val="24"/>
          <w:szCs w:val="24"/>
        </w:rPr>
        <w:t>By following these recommendations and regularly monitoring progress, the participant will improve their overall health and fitness.</w:t>
      </w:r>
    </w:p>
    <w:p w14:paraId="3F0B54AC" w14:textId="77777777" w:rsidR="00A21BDD" w:rsidRDefault="00A21BDD" w:rsidP="00551992">
      <w:pPr>
        <w:rPr>
          <w:rFonts w:ascii="Arial" w:hAnsi="Arial" w:cs="Arial"/>
          <w:sz w:val="24"/>
          <w:szCs w:val="24"/>
        </w:rPr>
      </w:pPr>
    </w:p>
    <w:p w14:paraId="3C6E59F7" w14:textId="77777777" w:rsidR="00A21BDD" w:rsidRDefault="00A21BDD" w:rsidP="00551992">
      <w:pPr>
        <w:rPr>
          <w:rFonts w:ascii="Arial" w:hAnsi="Arial" w:cs="Arial"/>
          <w:sz w:val="24"/>
          <w:szCs w:val="24"/>
        </w:rPr>
      </w:pPr>
    </w:p>
    <w:p w14:paraId="3119C2BC" w14:textId="77777777" w:rsidR="00A21BDD" w:rsidRDefault="00A21BDD" w:rsidP="00551992">
      <w:pPr>
        <w:rPr>
          <w:rFonts w:ascii="Arial" w:hAnsi="Arial" w:cs="Arial"/>
          <w:sz w:val="24"/>
          <w:szCs w:val="24"/>
        </w:rPr>
      </w:pPr>
    </w:p>
    <w:p w14:paraId="2A4A1E78" w14:textId="77777777" w:rsidR="00F41B16" w:rsidRDefault="00F41B16" w:rsidP="00551992">
      <w:pPr>
        <w:spacing w:before="100" w:beforeAutospacing="1" w:after="100" w:afterAutospacing="1"/>
        <w:outlineLvl w:val="2"/>
        <w:rPr>
          <w:rFonts w:ascii="Arial" w:hAnsi="Arial" w:cs="Arial"/>
          <w:b/>
          <w:bCs/>
          <w:sz w:val="24"/>
          <w:szCs w:val="24"/>
        </w:rPr>
      </w:pPr>
    </w:p>
    <w:p w14:paraId="4E83C82F" w14:textId="24162321" w:rsidR="00EB5F97" w:rsidRPr="00F41B16" w:rsidRDefault="00EB5F97" w:rsidP="00551992">
      <w:pPr>
        <w:spacing w:before="100" w:beforeAutospacing="1" w:after="100" w:afterAutospacing="1"/>
        <w:outlineLvl w:val="2"/>
        <w:rPr>
          <w:rFonts w:ascii="Arial" w:hAnsi="Arial" w:cs="Arial"/>
          <w:i/>
          <w:iCs/>
          <w:sz w:val="24"/>
          <w:szCs w:val="24"/>
        </w:rPr>
      </w:pPr>
      <w:r w:rsidRPr="00F41B16">
        <w:rPr>
          <w:rFonts w:ascii="Arial" w:hAnsi="Arial" w:cs="Arial"/>
          <w:i/>
          <w:iCs/>
          <w:sz w:val="24"/>
          <w:szCs w:val="24"/>
        </w:rPr>
        <w:t>I confirm that I have not used any AI tools in the research and creation of this assignment</w:t>
      </w:r>
      <w:r w:rsidR="00F41B16" w:rsidRPr="00F41B16">
        <w:rPr>
          <w:rFonts w:ascii="Arial" w:hAnsi="Arial" w:cs="Arial"/>
          <w:i/>
          <w:iCs/>
          <w:sz w:val="24"/>
          <w:szCs w:val="24"/>
        </w:rPr>
        <w:t>. I confirm that I have not present any AI generated materials as my own work. I confirm I have copies of my drafts, notes, and other resources I used, which I may be asked to provide in evidence.</w:t>
      </w:r>
    </w:p>
    <w:p w14:paraId="41923DB5" w14:textId="77777777" w:rsidR="00F41B16" w:rsidRDefault="00F41B16" w:rsidP="00551992">
      <w:pPr>
        <w:spacing w:before="100" w:beforeAutospacing="1" w:after="100" w:afterAutospacing="1"/>
        <w:outlineLvl w:val="2"/>
        <w:rPr>
          <w:rFonts w:ascii="Arial" w:hAnsi="Arial" w:cs="Arial"/>
          <w:b/>
          <w:bCs/>
          <w:sz w:val="24"/>
          <w:szCs w:val="24"/>
        </w:rPr>
      </w:pPr>
    </w:p>
    <w:p w14:paraId="5FE3F715" w14:textId="77777777" w:rsidR="00F41B16" w:rsidRDefault="00F41B16" w:rsidP="00551992">
      <w:pPr>
        <w:spacing w:before="100" w:beforeAutospacing="1" w:after="100" w:afterAutospacing="1"/>
        <w:outlineLvl w:val="2"/>
        <w:rPr>
          <w:rFonts w:ascii="Arial" w:hAnsi="Arial" w:cs="Arial"/>
          <w:b/>
          <w:bCs/>
          <w:sz w:val="24"/>
          <w:szCs w:val="24"/>
        </w:rPr>
      </w:pPr>
    </w:p>
    <w:p w14:paraId="3542042A" w14:textId="77777777" w:rsidR="00F41B16" w:rsidRDefault="00F41B16" w:rsidP="00551992">
      <w:pPr>
        <w:spacing w:before="100" w:beforeAutospacing="1" w:after="100" w:afterAutospacing="1"/>
        <w:outlineLvl w:val="2"/>
        <w:rPr>
          <w:rFonts w:ascii="Arial" w:hAnsi="Arial" w:cs="Arial"/>
          <w:b/>
          <w:bCs/>
          <w:sz w:val="24"/>
          <w:szCs w:val="24"/>
        </w:rPr>
      </w:pPr>
    </w:p>
    <w:p w14:paraId="409D57A1" w14:textId="478ADCB6" w:rsidR="00551992" w:rsidRPr="00551992" w:rsidRDefault="00551992" w:rsidP="00551992">
      <w:pPr>
        <w:spacing w:before="100" w:beforeAutospacing="1" w:after="100" w:afterAutospacing="1"/>
        <w:outlineLvl w:val="2"/>
        <w:rPr>
          <w:rFonts w:ascii="Arial" w:hAnsi="Arial" w:cs="Arial"/>
          <w:b/>
          <w:bCs/>
          <w:sz w:val="24"/>
          <w:szCs w:val="24"/>
        </w:rPr>
      </w:pPr>
      <w:r w:rsidRPr="00551992">
        <w:rPr>
          <w:rFonts w:ascii="Arial" w:hAnsi="Arial" w:cs="Arial"/>
          <w:b/>
          <w:bCs/>
          <w:sz w:val="24"/>
          <w:szCs w:val="24"/>
        </w:rPr>
        <w:lastRenderedPageBreak/>
        <w:t>References</w:t>
      </w:r>
    </w:p>
    <w:p w14:paraId="6F378CC8"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American College of Sports Medicine, </w:t>
      </w:r>
      <w:r w:rsidRPr="00551992">
        <w:rPr>
          <w:rFonts w:ascii="Arial" w:hAnsi="Arial" w:cs="Arial"/>
          <w:i/>
          <w:iCs/>
          <w:sz w:val="24"/>
          <w:szCs w:val="24"/>
        </w:rPr>
        <w:t>ACSM's Guidelines for Exercise Testing and Prescription</w:t>
      </w:r>
      <w:r w:rsidRPr="00551992">
        <w:rPr>
          <w:rFonts w:ascii="Arial" w:hAnsi="Arial" w:cs="Arial"/>
          <w:sz w:val="24"/>
          <w:szCs w:val="24"/>
        </w:rPr>
        <w:t>, 10th ed., Wolters Kluwer, 2017.</w:t>
      </w:r>
    </w:p>
    <w:p w14:paraId="4120D7EE"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Astrand, P.-O. &amp; Rodahl, K., </w:t>
      </w:r>
      <w:r w:rsidRPr="00551992">
        <w:rPr>
          <w:rFonts w:ascii="Arial" w:hAnsi="Arial" w:cs="Arial"/>
          <w:i/>
          <w:iCs/>
          <w:sz w:val="24"/>
          <w:szCs w:val="24"/>
        </w:rPr>
        <w:t>Textbook of Work Physiology: Physiological Bases of Exercise</w:t>
      </w:r>
      <w:r w:rsidRPr="00551992">
        <w:rPr>
          <w:rFonts w:ascii="Arial" w:hAnsi="Arial" w:cs="Arial"/>
          <w:sz w:val="24"/>
          <w:szCs w:val="24"/>
        </w:rPr>
        <w:t>, 4th ed., McGraw-Hill, 2013.</w:t>
      </w:r>
    </w:p>
    <w:p w14:paraId="2408A84B"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Ashwell, M., Gunn, P. &amp; Gibson, S., 'Waist-to-Height Ratio is a Better Screen for Obesity than Waist Circumference or BMI in Adults of Asian, Mediterranean, Black, and White Ethnicities', </w:t>
      </w:r>
      <w:r w:rsidRPr="00551992">
        <w:rPr>
          <w:rFonts w:ascii="Arial" w:hAnsi="Arial" w:cs="Arial"/>
          <w:i/>
          <w:iCs/>
          <w:sz w:val="24"/>
          <w:szCs w:val="24"/>
        </w:rPr>
        <w:t>Nutrition Research</w:t>
      </w:r>
      <w:r w:rsidRPr="00551992">
        <w:rPr>
          <w:rFonts w:ascii="Arial" w:hAnsi="Arial" w:cs="Arial"/>
          <w:sz w:val="24"/>
          <w:szCs w:val="24"/>
        </w:rPr>
        <w:t>, 32(4), 2012, pp. 207-211.</w:t>
      </w:r>
    </w:p>
    <w:p w14:paraId="7B2D0F1F"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Guerreiro, J., Ekelund, U., Nilsson, J., et al., 'Body Mass Index as a Measure of Body Fat in Adults: Comparison of Dual-Energy X-Ray Absorptiometry and Bioelectrical Impedance', </w:t>
      </w:r>
      <w:r w:rsidRPr="00551992">
        <w:rPr>
          <w:rFonts w:ascii="Arial" w:hAnsi="Arial" w:cs="Arial"/>
          <w:i/>
          <w:iCs/>
          <w:sz w:val="24"/>
          <w:szCs w:val="24"/>
        </w:rPr>
        <w:t>Obesity Research</w:t>
      </w:r>
      <w:r w:rsidRPr="00551992">
        <w:rPr>
          <w:rFonts w:ascii="Arial" w:hAnsi="Arial" w:cs="Arial"/>
          <w:sz w:val="24"/>
          <w:szCs w:val="24"/>
        </w:rPr>
        <w:t>, 28(4), 2020, pp. 776-783.</w:t>
      </w:r>
    </w:p>
    <w:p w14:paraId="0AAA1C37"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Kisner, C. &amp; Colby, L., </w:t>
      </w:r>
      <w:r w:rsidRPr="00551992">
        <w:rPr>
          <w:rFonts w:ascii="Arial" w:hAnsi="Arial" w:cs="Arial"/>
          <w:i/>
          <w:iCs/>
          <w:sz w:val="24"/>
          <w:szCs w:val="24"/>
        </w:rPr>
        <w:t>Therapeutic Exercise: Foundations and Techniques</w:t>
      </w:r>
      <w:r w:rsidRPr="00551992">
        <w:rPr>
          <w:rFonts w:ascii="Arial" w:hAnsi="Arial" w:cs="Arial"/>
          <w:sz w:val="24"/>
          <w:szCs w:val="24"/>
        </w:rPr>
        <w:t>, 7th ed., F.A. Davis Company, 2017.</w:t>
      </w:r>
    </w:p>
    <w:p w14:paraId="3B091883"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McArdle, W.D., Katch, F.I. &amp; Katch, V.L., </w:t>
      </w:r>
      <w:r w:rsidRPr="00551992">
        <w:rPr>
          <w:rFonts w:ascii="Arial" w:hAnsi="Arial" w:cs="Arial"/>
          <w:i/>
          <w:iCs/>
          <w:sz w:val="24"/>
          <w:szCs w:val="24"/>
        </w:rPr>
        <w:t>Exercise Physiology: Nutrition, Energy, and Human Performance</w:t>
      </w:r>
      <w:r w:rsidRPr="00551992">
        <w:rPr>
          <w:rFonts w:ascii="Arial" w:hAnsi="Arial" w:cs="Arial"/>
          <w:sz w:val="24"/>
          <w:szCs w:val="24"/>
        </w:rPr>
        <w:t>, 9th ed., Wolters Kluwer, 2014.</w:t>
      </w:r>
    </w:p>
    <w:p w14:paraId="66FE2BB6"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National Institutes of Health (NIH), </w:t>
      </w:r>
      <w:r w:rsidRPr="00551992">
        <w:rPr>
          <w:rFonts w:ascii="Arial" w:hAnsi="Arial" w:cs="Arial"/>
          <w:i/>
          <w:iCs/>
          <w:sz w:val="24"/>
          <w:szCs w:val="24"/>
        </w:rPr>
        <w:t>Clinical Guidelines on the Identification, Evaluation, and Treatment of Overweight and Obesity in Adults: The Evidence Report</w:t>
      </w:r>
      <w:r w:rsidRPr="00551992">
        <w:rPr>
          <w:rFonts w:ascii="Arial" w:hAnsi="Arial" w:cs="Arial"/>
          <w:sz w:val="24"/>
          <w:szCs w:val="24"/>
        </w:rPr>
        <w:t>, Obesity Research, 1998, 6(S2), pp. 51S-209S.</w:t>
      </w:r>
    </w:p>
    <w:p w14:paraId="3FDFC1F4"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Nieman, D., </w:t>
      </w:r>
      <w:r w:rsidRPr="00551992">
        <w:rPr>
          <w:rFonts w:ascii="Arial" w:hAnsi="Arial" w:cs="Arial"/>
          <w:i/>
          <w:iCs/>
          <w:sz w:val="24"/>
          <w:szCs w:val="24"/>
        </w:rPr>
        <w:t>Fitness and Physical Performance</w:t>
      </w:r>
      <w:r w:rsidRPr="00551992">
        <w:rPr>
          <w:rFonts w:ascii="Arial" w:hAnsi="Arial" w:cs="Arial"/>
          <w:sz w:val="24"/>
          <w:szCs w:val="24"/>
        </w:rPr>
        <w:t>, Human Kinetics, 2011.</w:t>
      </w:r>
    </w:p>
    <w:p w14:paraId="06208982"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Topp, R., Sides, L. &amp; McFarlane, E., 'Grip Strength and Its Relationship to Functional Movement in Older Adults', </w:t>
      </w:r>
      <w:r w:rsidRPr="00551992">
        <w:rPr>
          <w:rFonts w:ascii="Arial" w:hAnsi="Arial" w:cs="Arial"/>
          <w:i/>
          <w:iCs/>
          <w:sz w:val="24"/>
          <w:szCs w:val="24"/>
        </w:rPr>
        <w:t>The Journal of Geriatric Physical Therapy</w:t>
      </w:r>
      <w:r w:rsidRPr="00551992">
        <w:rPr>
          <w:rFonts w:ascii="Arial" w:hAnsi="Arial" w:cs="Arial"/>
          <w:sz w:val="24"/>
          <w:szCs w:val="24"/>
        </w:rPr>
        <w:t>, 36(3), 2013, pp. 145-151.</w:t>
      </w:r>
    </w:p>
    <w:p w14:paraId="2947E7DE" w14:textId="77777777" w:rsidR="00551992" w:rsidRPr="00551992" w:rsidRDefault="00551992" w:rsidP="00551992">
      <w:pPr>
        <w:spacing w:before="100" w:beforeAutospacing="1" w:after="100" w:afterAutospacing="1"/>
        <w:rPr>
          <w:rFonts w:ascii="Arial" w:hAnsi="Arial" w:cs="Arial"/>
          <w:sz w:val="24"/>
          <w:szCs w:val="24"/>
        </w:rPr>
      </w:pPr>
      <w:proofErr w:type="spellStart"/>
      <w:r w:rsidRPr="00551992">
        <w:rPr>
          <w:rFonts w:ascii="Arial" w:hAnsi="Arial" w:cs="Arial"/>
          <w:sz w:val="24"/>
          <w:szCs w:val="24"/>
        </w:rPr>
        <w:t>Vikmoen</w:t>
      </w:r>
      <w:proofErr w:type="spellEnd"/>
      <w:r w:rsidRPr="00551992">
        <w:rPr>
          <w:rFonts w:ascii="Arial" w:hAnsi="Arial" w:cs="Arial"/>
          <w:sz w:val="24"/>
          <w:szCs w:val="24"/>
        </w:rPr>
        <w:t xml:space="preserve">, O., Nilsen, T. &amp; Helgerud, J., 'Effects of High-Intensity Training on Upper-Body Muscular Endurance in Adults', </w:t>
      </w:r>
      <w:r w:rsidRPr="00551992">
        <w:rPr>
          <w:rFonts w:ascii="Arial" w:hAnsi="Arial" w:cs="Arial"/>
          <w:i/>
          <w:iCs/>
          <w:sz w:val="24"/>
          <w:szCs w:val="24"/>
        </w:rPr>
        <w:t>Scandinavian Journal of Medicine &amp; Science in Sports</w:t>
      </w:r>
      <w:r w:rsidRPr="00551992">
        <w:rPr>
          <w:rFonts w:ascii="Arial" w:hAnsi="Arial" w:cs="Arial"/>
          <w:sz w:val="24"/>
          <w:szCs w:val="24"/>
        </w:rPr>
        <w:t>, 25(6), 2015, pp. 731-738.</w:t>
      </w:r>
    </w:p>
    <w:p w14:paraId="4696E67F" w14:textId="77777777" w:rsidR="00551992" w:rsidRPr="00551992" w:rsidRDefault="00551992" w:rsidP="00551992">
      <w:pPr>
        <w:spacing w:before="100" w:beforeAutospacing="1" w:after="100" w:afterAutospacing="1"/>
        <w:rPr>
          <w:rFonts w:ascii="Arial" w:hAnsi="Arial" w:cs="Arial"/>
          <w:sz w:val="24"/>
          <w:szCs w:val="24"/>
        </w:rPr>
      </w:pPr>
      <w:r w:rsidRPr="00551992">
        <w:rPr>
          <w:rFonts w:ascii="Arial" w:hAnsi="Arial" w:cs="Arial"/>
          <w:sz w:val="24"/>
          <w:szCs w:val="24"/>
        </w:rPr>
        <w:t xml:space="preserve">World Health Organization (WHO), </w:t>
      </w:r>
      <w:r w:rsidRPr="00551992">
        <w:rPr>
          <w:rFonts w:ascii="Arial" w:hAnsi="Arial" w:cs="Arial"/>
          <w:i/>
          <w:iCs/>
          <w:sz w:val="24"/>
          <w:szCs w:val="24"/>
        </w:rPr>
        <w:t>Obesity: Preventing and Managing the Global Epidemic</w:t>
      </w:r>
      <w:r w:rsidRPr="00551992">
        <w:rPr>
          <w:rFonts w:ascii="Arial" w:hAnsi="Arial" w:cs="Arial"/>
          <w:sz w:val="24"/>
          <w:szCs w:val="24"/>
        </w:rPr>
        <w:t>, WHO Technical Report Series 894, Geneva, 2000.</w:t>
      </w:r>
    </w:p>
    <w:p w14:paraId="660B7A8C" w14:textId="77777777" w:rsidR="008E4951" w:rsidRPr="008F6717" w:rsidRDefault="008E4951">
      <w:pPr>
        <w:rPr>
          <w:rFonts w:ascii="Arial" w:hAnsi="Arial" w:cs="Arial"/>
          <w:sz w:val="24"/>
          <w:szCs w:val="24"/>
        </w:rPr>
      </w:pPr>
    </w:p>
    <w:sectPr w:rsidR="008E4951" w:rsidRPr="008F671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49AB5" w14:textId="77777777" w:rsidR="002F46CA" w:rsidRDefault="002F46CA" w:rsidP="006430F3">
      <w:r>
        <w:separator/>
      </w:r>
    </w:p>
  </w:endnote>
  <w:endnote w:type="continuationSeparator" w:id="0">
    <w:p w14:paraId="36E7A6F7" w14:textId="77777777" w:rsidR="002F46CA" w:rsidRDefault="002F46CA" w:rsidP="00643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FBB8C" w14:textId="77777777" w:rsidR="00F41B16" w:rsidRDefault="00F41B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F555D" w14:textId="77777777" w:rsidR="00F41B16" w:rsidRDefault="00F41B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76423" w14:textId="77777777" w:rsidR="00F41B16" w:rsidRDefault="00F41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68580" w14:textId="77777777" w:rsidR="002F46CA" w:rsidRDefault="002F46CA" w:rsidP="006430F3">
      <w:r>
        <w:separator/>
      </w:r>
    </w:p>
  </w:footnote>
  <w:footnote w:type="continuationSeparator" w:id="0">
    <w:p w14:paraId="25E26826" w14:textId="77777777" w:rsidR="002F46CA" w:rsidRDefault="002F46CA" w:rsidP="006430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3E1C2" w14:textId="77777777" w:rsidR="00F41B16" w:rsidRDefault="00F41B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51E29" w14:textId="77777777" w:rsidR="00F41B16" w:rsidRPr="00F04BC8" w:rsidRDefault="00F41B16" w:rsidP="00F41B16">
    <w:pPr>
      <w:pStyle w:val="Header"/>
      <w:rPr>
        <w:sz w:val="18"/>
        <w:szCs w:val="18"/>
      </w:rPr>
    </w:pPr>
    <w:r w:rsidRPr="00F04BC8">
      <w:rPr>
        <w:sz w:val="18"/>
        <w:szCs w:val="18"/>
      </w:rPr>
      <w:t>Zac Ashburner, 2407497</w:t>
    </w:r>
  </w:p>
  <w:p w14:paraId="6EA2EABA" w14:textId="56B43714" w:rsidR="00F41B16" w:rsidRPr="00F04BC8" w:rsidRDefault="00F41B16" w:rsidP="00F41B16">
    <w:pPr>
      <w:pStyle w:val="Header"/>
      <w:rPr>
        <w:sz w:val="18"/>
        <w:szCs w:val="18"/>
      </w:rPr>
    </w:pPr>
    <w:r w:rsidRPr="00F04BC8">
      <w:rPr>
        <w:sz w:val="18"/>
        <w:szCs w:val="18"/>
      </w:rPr>
      <w:t>BSc Sport and Exercise</w:t>
    </w:r>
    <w:r>
      <w:rPr>
        <w:sz w:val="18"/>
        <w:szCs w:val="18"/>
      </w:rPr>
      <w:t xml:space="preserve"> Science</w:t>
    </w:r>
  </w:p>
  <w:p w14:paraId="7BD26894" w14:textId="66A98B13" w:rsidR="00F41B16" w:rsidRDefault="00F41B16">
    <w:pPr>
      <w:pStyle w:val="Header"/>
    </w:pPr>
    <w:r>
      <w:t>BMSS4007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B4007" w14:textId="77777777" w:rsidR="00F41B16" w:rsidRDefault="00F41B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43D53"/>
    <w:multiLevelType w:val="multilevel"/>
    <w:tmpl w:val="AB509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52712C"/>
    <w:multiLevelType w:val="multilevel"/>
    <w:tmpl w:val="CB90E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8E1187"/>
    <w:multiLevelType w:val="multilevel"/>
    <w:tmpl w:val="25A44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9036B7"/>
    <w:multiLevelType w:val="multilevel"/>
    <w:tmpl w:val="84481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7B6C3D"/>
    <w:multiLevelType w:val="multilevel"/>
    <w:tmpl w:val="398A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5E6B4C"/>
    <w:multiLevelType w:val="multilevel"/>
    <w:tmpl w:val="2C144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1B3120"/>
    <w:multiLevelType w:val="multilevel"/>
    <w:tmpl w:val="CB9E1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073645"/>
    <w:multiLevelType w:val="multilevel"/>
    <w:tmpl w:val="848C5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1FFFED"/>
    <w:multiLevelType w:val="hybridMultilevel"/>
    <w:tmpl w:val="FFFFFFFF"/>
    <w:lvl w:ilvl="0" w:tplc="29C6D8A8">
      <w:start w:val="1"/>
      <w:numFmt w:val="decimal"/>
      <w:lvlText w:val="%1."/>
      <w:lvlJc w:val="left"/>
      <w:pPr>
        <w:ind w:left="720" w:hanging="360"/>
      </w:pPr>
    </w:lvl>
    <w:lvl w:ilvl="1" w:tplc="FFFFFFFF">
      <w:start w:val="1"/>
      <w:numFmt w:val="bullet"/>
      <w:lvlText w:val=""/>
      <w:lvlJc w:val="left"/>
      <w:pPr>
        <w:ind w:left="1440" w:hanging="360"/>
      </w:pPr>
    </w:lvl>
    <w:lvl w:ilvl="2" w:tplc="96BC127C">
      <w:start w:val="1"/>
      <w:numFmt w:val="lowerRoman"/>
      <w:lvlText w:val="%3."/>
      <w:lvlJc w:val="right"/>
      <w:pPr>
        <w:ind w:left="2160" w:hanging="180"/>
      </w:pPr>
    </w:lvl>
    <w:lvl w:ilvl="3" w:tplc="9CA4BA9C">
      <w:start w:val="1"/>
      <w:numFmt w:val="decimal"/>
      <w:lvlText w:val="%4."/>
      <w:lvlJc w:val="left"/>
      <w:pPr>
        <w:ind w:left="2880" w:hanging="360"/>
      </w:pPr>
    </w:lvl>
    <w:lvl w:ilvl="4" w:tplc="90A6A544">
      <w:start w:val="1"/>
      <w:numFmt w:val="lowerLetter"/>
      <w:lvlText w:val="%5."/>
      <w:lvlJc w:val="left"/>
      <w:pPr>
        <w:ind w:left="3600" w:hanging="360"/>
      </w:pPr>
    </w:lvl>
    <w:lvl w:ilvl="5" w:tplc="A3C09646">
      <w:start w:val="1"/>
      <w:numFmt w:val="lowerRoman"/>
      <w:lvlText w:val="%6."/>
      <w:lvlJc w:val="right"/>
      <w:pPr>
        <w:ind w:left="4320" w:hanging="180"/>
      </w:pPr>
    </w:lvl>
    <w:lvl w:ilvl="6" w:tplc="99280458">
      <w:start w:val="1"/>
      <w:numFmt w:val="decimal"/>
      <w:lvlText w:val="%7."/>
      <w:lvlJc w:val="left"/>
      <w:pPr>
        <w:ind w:left="5040" w:hanging="360"/>
      </w:pPr>
    </w:lvl>
    <w:lvl w:ilvl="7" w:tplc="189C7CE4">
      <w:start w:val="1"/>
      <w:numFmt w:val="lowerLetter"/>
      <w:lvlText w:val="%8."/>
      <w:lvlJc w:val="left"/>
      <w:pPr>
        <w:ind w:left="5760" w:hanging="360"/>
      </w:pPr>
    </w:lvl>
    <w:lvl w:ilvl="8" w:tplc="AEBC18AA">
      <w:start w:val="1"/>
      <w:numFmt w:val="lowerRoman"/>
      <w:lvlText w:val="%9."/>
      <w:lvlJc w:val="right"/>
      <w:pPr>
        <w:ind w:left="6480" w:hanging="180"/>
      </w:pPr>
    </w:lvl>
  </w:abstractNum>
  <w:abstractNum w:abstractNumId="9" w15:restartNumberingAfterBreak="0">
    <w:nsid w:val="38ADB49A"/>
    <w:multiLevelType w:val="hybridMultilevel"/>
    <w:tmpl w:val="FFFFFFFF"/>
    <w:lvl w:ilvl="0" w:tplc="1BFE1DFC">
      <w:start w:val="1"/>
      <w:numFmt w:val="decimal"/>
      <w:lvlText w:val="%1."/>
      <w:lvlJc w:val="left"/>
      <w:pPr>
        <w:ind w:left="720" w:hanging="360"/>
      </w:pPr>
    </w:lvl>
    <w:lvl w:ilvl="1" w:tplc="FFFFFFFF">
      <w:start w:val="1"/>
      <w:numFmt w:val="bullet"/>
      <w:lvlText w:val=""/>
      <w:lvlJc w:val="left"/>
      <w:pPr>
        <w:ind w:left="1440" w:hanging="360"/>
      </w:pPr>
    </w:lvl>
    <w:lvl w:ilvl="2" w:tplc="6C8E0B8A">
      <w:start w:val="1"/>
      <w:numFmt w:val="lowerRoman"/>
      <w:lvlText w:val="%3."/>
      <w:lvlJc w:val="right"/>
      <w:pPr>
        <w:ind w:left="2160" w:hanging="180"/>
      </w:pPr>
    </w:lvl>
    <w:lvl w:ilvl="3" w:tplc="EB920006">
      <w:start w:val="1"/>
      <w:numFmt w:val="decimal"/>
      <w:lvlText w:val="%4."/>
      <w:lvlJc w:val="left"/>
      <w:pPr>
        <w:ind w:left="2880" w:hanging="360"/>
      </w:pPr>
    </w:lvl>
    <w:lvl w:ilvl="4" w:tplc="4C280F80">
      <w:start w:val="1"/>
      <w:numFmt w:val="lowerLetter"/>
      <w:lvlText w:val="%5."/>
      <w:lvlJc w:val="left"/>
      <w:pPr>
        <w:ind w:left="3600" w:hanging="360"/>
      </w:pPr>
    </w:lvl>
    <w:lvl w:ilvl="5" w:tplc="14ECF100">
      <w:start w:val="1"/>
      <w:numFmt w:val="lowerRoman"/>
      <w:lvlText w:val="%6."/>
      <w:lvlJc w:val="right"/>
      <w:pPr>
        <w:ind w:left="4320" w:hanging="180"/>
      </w:pPr>
    </w:lvl>
    <w:lvl w:ilvl="6" w:tplc="2E46831E">
      <w:start w:val="1"/>
      <w:numFmt w:val="decimal"/>
      <w:lvlText w:val="%7."/>
      <w:lvlJc w:val="left"/>
      <w:pPr>
        <w:ind w:left="5040" w:hanging="360"/>
      </w:pPr>
    </w:lvl>
    <w:lvl w:ilvl="7" w:tplc="8728847A">
      <w:start w:val="1"/>
      <w:numFmt w:val="lowerLetter"/>
      <w:lvlText w:val="%8."/>
      <w:lvlJc w:val="left"/>
      <w:pPr>
        <w:ind w:left="5760" w:hanging="360"/>
      </w:pPr>
    </w:lvl>
    <w:lvl w:ilvl="8" w:tplc="A852CF34">
      <w:start w:val="1"/>
      <w:numFmt w:val="lowerRoman"/>
      <w:lvlText w:val="%9."/>
      <w:lvlJc w:val="right"/>
      <w:pPr>
        <w:ind w:left="6480" w:hanging="180"/>
      </w:pPr>
    </w:lvl>
  </w:abstractNum>
  <w:abstractNum w:abstractNumId="10" w15:restartNumberingAfterBreak="0">
    <w:nsid w:val="39541350"/>
    <w:multiLevelType w:val="multilevel"/>
    <w:tmpl w:val="52449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911CB3"/>
    <w:multiLevelType w:val="multilevel"/>
    <w:tmpl w:val="8A068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1F08A0"/>
    <w:multiLevelType w:val="multilevel"/>
    <w:tmpl w:val="32DE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974ACA"/>
    <w:multiLevelType w:val="multilevel"/>
    <w:tmpl w:val="E76A6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842421"/>
    <w:multiLevelType w:val="multilevel"/>
    <w:tmpl w:val="93DE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6E59FD"/>
    <w:multiLevelType w:val="multilevel"/>
    <w:tmpl w:val="15862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432E90"/>
    <w:multiLevelType w:val="multilevel"/>
    <w:tmpl w:val="17FA1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2008CA"/>
    <w:multiLevelType w:val="multilevel"/>
    <w:tmpl w:val="D774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4B0B83"/>
    <w:multiLevelType w:val="multilevel"/>
    <w:tmpl w:val="94AE3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3F27F7A"/>
    <w:multiLevelType w:val="multilevel"/>
    <w:tmpl w:val="8EB07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EC84DF"/>
    <w:multiLevelType w:val="hybridMultilevel"/>
    <w:tmpl w:val="FFFFFFFF"/>
    <w:lvl w:ilvl="0" w:tplc="84C4C7BC">
      <w:start w:val="1"/>
      <w:numFmt w:val="decimal"/>
      <w:lvlText w:val="%1."/>
      <w:lvlJc w:val="left"/>
      <w:pPr>
        <w:ind w:left="720" w:hanging="360"/>
      </w:pPr>
    </w:lvl>
    <w:lvl w:ilvl="1" w:tplc="FFFFFFFF">
      <w:start w:val="1"/>
      <w:numFmt w:val="bullet"/>
      <w:lvlText w:val=""/>
      <w:lvlJc w:val="left"/>
      <w:pPr>
        <w:ind w:left="1440" w:hanging="360"/>
      </w:pPr>
    </w:lvl>
    <w:lvl w:ilvl="2" w:tplc="257A21BE">
      <w:start w:val="1"/>
      <w:numFmt w:val="lowerRoman"/>
      <w:lvlText w:val="%3."/>
      <w:lvlJc w:val="right"/>
      <w:pPr>
        <w:ind w:left="2160" w:hanging="180"/>
      </w:pPr>
    </w:lvl>
    <w:lvl w:ilvl="3" w:tplc="EEBE79C4">
      <w:start w:val="1"/>
      <w:numFmt w:val="decimal"/>
      <w:lvlText w:val="%4."/>
      <w:lvlJc w:val="left"/>
      <w:pPr>
        <w:ind w:left="2880" w:hanging="360"/>
      </w:pPr>
    </w:lvl>
    <w:lvl w:ilvl="4" w:tplc="F572CAA8">
      <w:start w:val="1"/>
      <w:numFmt w:val="lowerLetter"/>
      <w:lvlText w:val="%5."/>
      <w:lvlJc w:val="left"/>
      <w:pPr>
        <w:ind w:left="3600" w:hanging="360"/>
      </w:pPr>
    </w:lvl>
    <w:lvl w:ilvl="5" w:tplc="3652591A">
      <w:start w:val="1"/>
      <w:numFmt w:val="lowerRoman"/>
      <w:lvlText w:val="%6."/>
      <w:lvlJc w:val="right"/>
      <w:pPr>
        <w:ind w:left="4320" w:hanging="180"/>
      </w:pPr>
    </w:lvl>
    <w:lvl w:ilvl="6" w:tplc="9B8E3C10">
      <w:start w:val="1"/>
      <w:numFmt w:val="decimal"/>
      <w:lvlText w:val="%7."/>
      <w:lvlJc w:val="left"/>
      <w:pPr>
        <w:ind w:left="5040" w:hanging="360"/>
      </w:pPr>
    </w:lvl>
    <w:lvl w:ilvl="7" w:tplc="A1B07E5A">
      <w:start w:val="1"/>
      <w:numFmt w:val="lowerLetter"/>
      <w:lvlText w:val="%8."/>
      <w:lvlJc w:val="left"/>
      <w:pPr>
        <w:ind w:left="5760" w:hanging="360"/>
      </w:pPr>
    </w:lvl>
    <w:lvl w:ilvl="8" w:tplc="E90E62B8">
      <w:start w:val="1"/>
      <w:numFmt w:val="lowerRoman"/>
      <w:lvlText w:val="%9."/>
      <w:lvlJc w:val="right"/>
      <w:pPr>
        <w:ind w:left="6480" w:hanging="180"/>
      </w:pPr>
    </w:lvl>
  </w:abstractNum>
  <w:abstractNum w:abstractNumId="21" w15:restartNumberingAfterBreak="0">
    <w:nsid w:val="6E3A041E"/>
    <w:multiLevelType w:val="multilevel"/>
    <w:tmpl w:val="5DCCE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0838A0"/>
    <w:multiLevelType w:val="multilevel"/>
    <w:tmpl w:val="3AAEA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DBCC0F"/>
    <w:multiLevelType w:val="hybridMultilevel"/>
    <w:tmpl w:val="FFFFFFFF"/>
    <w:lvl w:ilvl="0" w:tplc="55B0D7CC">
      <w:start w:val="1"/>
      <w:numFmt w:val="decimal"/>
      <w:lvlText w:val="%1."/>
      <w:lvlJc w:val="left"/>
      <w:pPr>
        <w:ind w:left="720" w:hanging="360"/>
      </w:pPr>
    </w:lvl>
    <w:lvl w:ilvl="1" w:tplc="FFFFFFFF">
      <w:start w:val="1"/>
      <w:numFmt w:val="bullet"/>
      <w:lvlText w:val=""/>
      <w:lvlJc w:val="left"/>
      <w:pPr>
        <w:ind w:left="1440" w:hanging="360"/>
      </w:pPr>
    </w:lvl>
    <w:lvl w:ilvl="2" w:tplc="22464DCE">
      <w:start w:val="1"/>
      <w:numFmt w:val="lowerRoman"/>
      <w:lvlText w:val="%3."/>
      <w:lvlJc w:val="right"/>
      <w:pPr>
        <w:ind w:left="2160" w:hanging="180"/>
      </w:pPr>
    </w:lvl>
    <w:lvl w:ilvl="3" w:tplc="64EC1922">
      <w:start w:val="1"/>
      <w:numFmt w:val="decimal"/>
      <w:lvlText w:val="%4."/>
      <w:lvlJc w:val="left"/>
      <w:pPr>
        <w:ind w:left="2880" w:hanging="360"/>
      </w:pPr>
    </w:lvl>
    <w:lvl w:ilvl="4" w:tplc="9516ED2E">
      <w:start w:val="1"/>
      <w:numFmt w:val="lowerLetter"/>
      <w:lvlText w:val="%5."/>
      <w:lvlJc w:val="left"/>
      <w:pPr>
        <w:ind w:left="3600" w:hanging="360"/>
      </w:pPr>
    </w:lvl>
    <w:lvl w:ilvl="5" w:tplc="BFA81AC8">
      <w:start w:val="1"/>
      <w:numFmt w:val="lowerRoman"/>
      <w:lvlText w:val="%6."/>
      <w:lvlJc w:val="right"/>
      <w:pPr>
        <w:ind w:left="4320" w:hanging="180"/>
      </w:pPr>
    </w:lvl>
    <w:lvl w:ilvl="6" w:tplc="B546C0A2">
      <w:start w:val="1"/>
      <w:numFmt w:val="decimal"/>
      <w:lvlText w:val="%7."/>
      <w:lvlJc w:val="left"/>
      <w:pPr>
        <w:ind w:left="5040" w:hanging="360"/>
      </w:pPr>
    </w:lvl>
    <w:lvl w:ilvl="7" w:tplc="8E70C38A">
      <w:start w:val="1"/>
      <w:numFmt w:val="lowerLetter"/>
      <w:lvlText w:val="%8."/>
      <w:lvlJc w:val="left"/>
      <w:pPr>
        <w:ind w:left="5760" w:hanging="360"/>
      </w:pPr>
    </w:lvl>
    <w:lvl w:ilvl="8" w:tplc="F8FC7A92">
      <w:start w:val="1"/>
      <w:numFmt w:val="lowerRoman"/>
      <w:lvlText w:val="%9."/>
      <w:lvlJc w:val="right"/>
      <w:pPr>
        <w:ind w:left="6480" w:hanging="180"/>
      </w:pPr>
    </w:lvl>
  </w:abstractNum>
  <w:num w:numId="1" w16cid:durableId="258175434">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12449280">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3562647">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0819176">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46264187">
    <w:abstractNumId w:val="13"/>
  </w:num>
  <w:num w:numId="6" w16cid:durableId="1980761221">
    <w:abstractNumId w:val="12"/>
  </w:num>
  <w:num w:numId="7" w16cid:durableId="360518205">
    <w:abstractNumId w:val="22"/>
  </w:num>
  <w:num w:numId="8" w16cid:durableId="667828188">
    <w:abstractNumId w:val="17"/>
  </w:num>
  <w:num w:numId="9" w16cid:durableId="2067754033">
    <w:abstractNumId w:val="0"/>
  </w:num>
  <w:num w:numId="10" w16cid:durableId="334768043">
    <w:abstractNumId w:val="14"/>
  </w:num>
  <w:num w:numId="11" w16cid:durableId="864173833">
    <w:abstractNumId w:val="1"/>
  </w:num>
  <w:num w:numId="12" w16cid:durableId="649753052">
    <w:abstractNumId w:val="4"/>
  </w:num>
  <w:num w:numId="13" w16cid:durableId="378601604">
    <w:abstractNumId w:val="3"/>
  </w:num>
  <w:num w:numId="14" w16cid:durableId="1678774406">
    <w:abstractNumId w:val="21"/>
  </w:num>
  <w:num w:numId="15" w16cid:durableId="727073400">
    <w:abstractNumId w:val="10"/>
  </w:num>
  <w:num w:numId="16" w16cid:durableId="1061707650">
    <w:abstractNumId w:val="2"/>
  </w:num>
  <w:num w:numId="17" w16cid:durableId="740761323">
    <w:abstractNumId w:val="7"/>
  </w:num>
  <w:num w:numId="18" w16cid:durableId="26293813">
    <w:abstractNumId w:val="19"/>
  </w:num>
  <w:num w:numId="19" w16cid:durableId="1710521788">
    <w:abstractNumId w:val="16"/>
  </w:num>
  <w:num w:numId="20" w16cid:durableId="1011104817">
    <w:abstractNumId w:val="15"/>
  </w:num>
  <w:num w:numId="21" w16cid:durableId="1074428803">
    <w:abstractNumId w:val="18"/>
  </w:num>
  <w:num w:numId="22" w16cid:durableId="1228492472">
    <w:abstractNumId w:val="6"/>
  </w:num>
  <w:num w:numId="23" w16cid:durableId="1259562158">
    <w:abstractNumId w:val="5"/>
  </w:num>
  <w:num w:numId="24" w16cid:durableId="42607917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82F"/>
    <w:rsid w:val="000306EF"/>
    <w:rsid w:val="00095640"/>
    <w:rsid w:val="00097953"/>
    <w:rsid w:val="00183609"/>
    <w:rsid w:val="001D5304"/>
    <w:rsid w:val="00212947"/>
    <w:rsid w:val="0023282D"/>
    <w:rsid w:val="0025585D"/>
    <w:rsid w:val="002F46CA"/>
    <w:rsid w:val="0030000E"/>
    <w:rsid w:val="00305603"/>
    <w:rsid w:val="00312AB6"/>
    <w:rsid w:val="0032081F"/>
    <w:rsid w:val="003826F0"/>
    <w:rsid w:val="003863DD"/>
    <w:rsid w:val="00551992"/>
    <w:rsid w:val="00570CA8"/>
    <w:rsid w:val="005804E8"/>
    <w:rsid w:val="00585A29"/>
    <w:rsid w:val="0058782B"/>
    <w:rsid w:val="005F26A1"/>
    <w:rsid w:val="005F3A1B"/>
    <w:rsid w:val="00630C95"/>
    <w:rsid w:val="006430F3"/>
    <w:rsid w:val="00756705"/>
    <w:rsid w:val="008C5DB4"/>
    <w:rsid w:val="008E4951"/>
    <w:rsid w:val="008F6717"/>
    <w:rsid w:val="00A21BDD"/>
    <w:rsid w:val="00A915CE"/>
    <w:rsid w:val="00BD2C03"/>
    <w:rsid w:val="00C04E9B"/>
    <w:rsid w:val="00C17B64"/>
    <w:rsid w:val="00C62437"/>
    <w:rsid w:val="00C72028"/>
    <w:rsid w:val="00C8482F"/>
    <w:rsid w:val="00CB79F5"/>
    <w:rsid w:val="00CE4DE1"/>
    <w:rsid w:val="00D52C78"/>
    <w:rsid w:val="00DF499F"/>
    <w:rsid w:val="00EB5F97"/>
    <w:rsid w:val="00EE50FA"/>
    <w:rsid w:val="00F1103B"/>
    <w:rsid w:val="00F41B16"/>
    <w:rsid w:val="00F73D07"/>
    <w:rsid w:val="00FD2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C832CD"/>
  <w15:chartTrackingRefBased/>
  <w15:docId w15:val="{27ABA68B-7892-45F3-8D88-D1F027863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82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C848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48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48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48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48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482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82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82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82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8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48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48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48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48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48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8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8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82F"/>
    <w:rPr>
      <w:rFonts w:eastAsiaTheme="majorEastAsia" w:cstheme="majorBidi"/>
      <w:color w:val="272727" w:themeColor="text1" w:themeTint="D8"/>
    </w:rPr>
  </w:style>
  <w:style w:type="paragraph" w:styleId="Title">
    <w:name w:val="Title"/>
    <w:basedOn w:val="Normal"/>
    <w:next w:val="Normal"/>
    <w:link w:val="TitleChar"/>
    <w:uiPriority w:val="10"/>
    <w:qFormat/>
    <w:rsid w:val="00C8482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8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48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8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482F"/>
    <w:pPr>
      <w:spacing w:before="160"/>
      <w:jc w:val="center"/>
    </w:pPr>
    <w:rPr>
      <w:i/>
      <w:iCs/>
      <w:color w:val="404040" w:themeColor="text1" w:themeTint="BF"/>
    </w:rPr>
  </w:style>
  <w:style w:type="character" w:customStyle="1" w:styleId="QuoteChar">
    <w:name w:val="Quote Char"/>
    <w:basedOn w:val="DefaultParagraphFont"/>
    <w:link w:val="Quote"/>
    <w:uiPriority w:val="29"/>
    <w:rsid w:val="00C8482F"/>
    <w:rPr>
      <w:i/>
      <w:iCs/>
      <w:color w:val="404040" w:themeColor="text1" w:themeTint="BF"/>
    </w:rPr>
  </w:style>
  <w:style w:type="paragraph" w:styleId="ListParagraph">
    <w:name w:val="List Paragraph"/>
    <w:basedOn w:val="Normal"/>
    <w:uiPriority w:val="34"/>
    <w:qFormat/>
    <w:rsid w:val="00C8482F"/>
    <w:pPr>
      <w:ind w:left="720"/>
      <w:contextualSpacing/>
    </w:pPr>
  </w:style>
  <w:style w:type="character" w:styleId="IntenseEmphasis">
    <w:name w:val="Intense Emphasis"/>
    <w:basedOn w:val="DefaultParagraphFont"/>
    <w:uiPriority w:val="21"/>
    <w:qFormat/>
    <w:rsid w:val="00C8482F"/>
    <w:rPr>
      <w:i/>
      <w:iCs/>
      <w:color w:val="0F4761" w:themeColor="accent1" w:themeShade="BF"/>
    </w:rPr>
  </w:style>
  <w:style w:type="paragraph" w:styleId="IntenseQuote">
    <w:name w:val="Intense Quote"/>
    <w:basedOn w:val="Normal"/>
    <w:next w:val="Normal"/>
    <w:link w:val="IntenseQuoteChar"/>
    <w:uiPriority w:val="30"/>
    <w:qFormat/>
    <w:rsid w:val="00C848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482F"/>
    <w:rPr>
      <w:i/>
      <w:iCs/>
      <w:color w:val="0F4761" w:themeColor="accent1" w:themeShade="BF"/>
    </w:rPr>
  </w:style>
  <w:style w:type="character" w:styleId="IntenseReference">
    <w:name w:val="Intense Reference"/>
    <w:basedOn w:val="DefaultParagraphFont"/>
    <w:uiPriority w:val="32"/>
    <w:qFormat/>
    <w:rsid w:val="00C8482F"/>
    <w:rPr>
      <w:b/>
      <w:bCs/>
      <w:smallCaps/>
      <w:color w:val="0F4761" w:themeColor="accent1" w:themeShade="BF"/>
      <w:spacing w:val="5"/>
    </w:rPr>
  </w:style>
  <w:style w:type="paragraph" w:styleId="Header">
    <w:name w:val="header"/>
    <w:basedOn w:val="Normal"/>
    <w:link w:val="HeaderChar"/>
    <w:uiPriority w:val="99"/>
    <w:unhideWhenUsed/>
    <w:rsid w:val="006430F3"/>
    <w:pPr>
      <w:tabs>
        <w:tab w:val="center" w:pos="4513"/>
        <w:tab w:val="right" w:pos="9026"/>
      </w:tabs>
    </w:pPr>
  </w:style>
  <w:style w:type="character" w:customStyle="1" w:styleId="HeaderChar">
    <w:name w:val="Header Char"/>
    <w:basedOn w:val="DefaultParagraphFont"/>
    <w:link w:val="Header"/>
    <w:uiPriority w:val="99"/>
    <w:rsid w:val="006430F3"/>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6430F3"/>
    <w:pPr>
      <w:tabs>
        <w:tab w:val="center" w:pos="4513"/>
        <w:tab w:val="right" w:pos="9026"/>
      </w:tabs>
    </w:pPr>
  </w:style>
  <w:style w:type="character" w:customStyle="1" w:styleId="FooterChar">
    <w:name w:val="Footer Char"/>
    <w:basedOn w:val="DefaultParagraphFont"/>
    <w:link w:val="Footer"/>
    <w:uiPriority w:val="99"/>
    <w:rsid w:val="006430F3"/>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6430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925232">
      <w:bodyDiv w:val="1"/>
      <w:marLeft w:val="0"/>
      <w:marRight w:val="0"/>
      <w:marTop w:val="0"/>
      <w:marBottom w:val="0"/>
      <w:divBdr>
        <w:top w:val="none" w:sz="0" w:space="0" w:color="auto"/>
        <w:left w:val="none" w:sz="0" w:space="0" w:color="auto"/>
        <w:bottom w:val="none" w:sz="0" w:space="0" w:color="auto"/>
        <w:right w:val="none" w:sz="0" w:space="0" w:color="auto"/>
      </w:divBdr>
      <w:divsChild>
        <w:div w:id="1551720892">
          <w:marLeft w:val="0"/>
          <w:marRight w:val="0"/>
          <w:marTop w:val="0"/>
          <w:marBottom w:val="0"/>
          <w:divBdr>
            <w:top w:val="none" w:sz="0" w:space="0" w:color="auto"/>
            <w:left w:val="none" w:sz="0" w:space="0" w:color="auto"/>
            <w:bottom w:val="none" w:sz="0" w:space="0" w:color="auto"/>
            <w:right w:val="none" w:sz="0" w:space="0" w:color="auto"/>
          </w:divBdr>
        </w:div>
      </w:divsChild>
    </w:div>
    <w:div w:id="279648469">
      <w:bodyDiv w:val="1"/>
      <w:marLeft w:val="0"/>
      <w:marRight w:val="0"/>
      <w:marTop w:val="0"/>
      <w:marBottom w:val="0"/>
      <w:divBdr>
        <w:top w:val="none" w:sz="0" w:space="0" w:color="auto"/>
        <w:left w:val="none" w:sz="0" w:space="0" w:color="auto"/>
        <w:bottom w:val="none" w:sz="0" w:space="0" w:color="auto"/>
        <w:right w:val="none" w:sz="0" w:space="0" w:color="auto"/>
      </w:divBdr>
    </w:div>
    <w:div w:id="324013086">
      <w:bodyDiv w:val="1"/>
      <w:marLeft w:val="0"/>
      <w:marRight w:val="0"/>
      <w:marTop w:val="0"/>
      <w:marBottom w:val="0"/>
      <w:divBdr>
        <w:top w:val="none" w:sz="0" w:space="0" w:color="auto"/>
        <w:left w:val="none" w:sz="0" w:space="0" w:color="auto"/>
        <w:bottom w:val="none" w:sz="0" w:space="0" w:color="auto"/>
        <w:right w:val="none" w:sz="0" w:space="0" w:color="auto"/>
      </w:divBdr>
    </w:div>
    <w:div w:id="423302783">
      <w:bodyDiv w:val="1"/>
      <w:marLeft w:val="0"/>
      <w:marRight w:val="0"/>
      <w:marTop w:val="0"/>
      <w:marBottom w:val="0"/>
      <w:divBdr>
        <w:top w:val="none" w:sz="0" w:space="0" w:color="auto"/>
        <w:left w:val="none" w:sz="0" w:space="0" w:color="auto"/>
        <w:bottom w:val="none" w:sz="0" w:space="0" w:color="auto"/>
        <w:right w:val="none" w:sz="0" w:space="0" w:color="auto"/>
      </w:divBdr>
      <w:divsChild>
        <w:div w:id="1083835237">
          <w:marLeft w:val="0"/>
          <w:marRight w:val="0"/>
          <w:marTop w:val="0"/>
          <w:marBottom w:val="0"/>
          <w:divBdr>
            <w:top w:val="none" w:sz="0" w:space="0" w:color="auto"/>
            <w:left w:val="none" w:sz="0" w:space="0" w:color="auto"/>
            <w:bottom w:val="none" w:sz="0" w:space="0" w:color="auto"/>
            <w:right w:val="none" w:sz="0" w:space="0" w:color="auto"/>
          </w:divBdr>
          <w:divsChild>
            <w:div w:id="755445711">
              <w:marLeft w:val="0"/>
              <w:marRight w:val="0"/>
              <w:marTop w:val="0"/>
              <w:marBottom w:val="0"/>
              <w:divBdr>
                <w:top w:val="none" w:sz="0" w:space="0" w:color="auto"/>
                <w:left w:val="none" w:sz="0" w:space="0" w:color="auto"/>
                <w:bottom w:val="none" w:sz="0" w:space="0" w:color="auto"/>
                <w:right w:val="none" w:sz="0" w:space="0" w:color="auto"/>
              </w:divBdr>
              <w:divsChild>
                <w:div w:id="1574509871">
                  <w:marLeft w:val="0"/>
                  <w:marRight w:val="0"/>
                  <w:marTop w:val="0"/>
                  <w:marBottom w:val="0"/>
                  <w:divBdr>
                    <w:top w:val="none" w:sz="0" w:space="0" w:color="auto"/>
                    <w:left w:val="none" w:sz="0" w:space="0" w:color="auto"/>
                    <w:bottom w:val="none" w:sz="0" w:space="0" w:color="auto"/>
                    <w:right w:val="none" w:sz="0" w:space="0" w:color="auto"/>
                  </w:divBdr>
                  <w:divsChild>
                    <w:div w:id="556667898">
                      <w:marLeft w:val="0"/>
                      <w:marRight w:val="0"/>
                      <w:marTop w:val="0"/>
                      <w:marBottom w:val="0"/>
                      <w:divBdr>
                        <w:top w:val="none" w:sz="0" w:space="0" w:color="auto"/>
                        <w:left w:val="none" w:sz="0" w:space="0" w:color="auto"/>
                        <w:bottom w:val="none" w:sz="0" w:space="0" w:color="auto"/>
                        <w:right w:val="none" w:sz="0" w:space="0" w:color="auto"/>
                      </w:divBdr>
                      <w:divsChild>
                        <w:div w:id="277562674">
                          <w:marLeft w:val="0"/>
                          <w:marRight w:val="0"/>
                          <w:marTop w:val="0"/>
                          <w:marBottom w:val="0"/>
                          <w:divBdr>
                            <w:top w:val="none" w:sz="0" w:space="0" w:color="auto"/>
                            <w:left w:val="none" w:sz="0" w:space="0" w:color="auto"/>
                            <w:bottom w:val="none" w:sz="0" w:space="0" w:color="auto"/>
                            <w:right w:val="none" w:sz="0" w:space="0" w:color="auto"/>
                          </w:divBdr>
                          <w:divsChild>
                            <w:div w:id="1209218172">
                              <w:marLeft w:val="0"/>
                              <w:marRight w:val="0"/>
                              <w:marTop w:val="0"/>
                              <w:marBottom w:val="0"/>
                              <w:divBdr>
                                <w:top w:val="none" w:sz="0" w:space="0" w:color="auto"/>
                                <w:left w:val="none" w:sz="0" w:space="0" w:color="auto"/>
                                <w:bottom w:val="none" w:sz="0" w:space="0" w:color="auto"/>
                                <w:right w:val="none" w:sz="0" w:space="0" w:color="auto"/>
                              </w:divBdr>
                              <w:divsChild>
                                <w:div w:id="1652639140">
                                  <w:marLeft w:val="0"/>
                                  <w:marRight w:val="0"/>
                                  <w:marTop w:val="0"/>
                                  <w:marBottom w:val="0"/>
                                  <w:divBdr>
                                    <w:top w:val="none" w:sz="0" w:space="0" w:color="auto"/>
                                    <w:left w:val="none" w:sz="0" w:space="0" w:color="auto"/>
                                    <w:bottom w:val="none" w:sz="0" w:space="0" w:color="auto"/>
                                    <w:right w:val="none" w:sz="0" w:space="0" w:color="auto"/>
                                  </w:divBdr>
                                  <w:divsChild>
                                    <w:div w:id="25159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7711179">
          <w:marLeft w:val="0"/>
          <w:marRight w:val="0"/>
          <w:marTop w:val="0"/>
          <w:marBottom w:val="0"/>
          <w:divBdr>
            <w:top w:val="none" w:sz="0" w:space="0" w:color="auto"/>
            <w:left w:val="none" w:sz="0" w:space="0" w:color="auto"/>
            <w:bottom w:val="none" w:sz="0" w:space="0" w:color="auto"/>
            <w:right w:val="none" w:sz="0" w:space="0" w:color="auto"/>
          </w:divBdr>
          <w:divsChild>
            <w:div w:id="1277250354">
              <w:marLeft w:val="0"/>
              <w:marRight w:val="0"/>
              <w:marTop w:val="0"/>
              <w:marBottom w:val="0"/>
              <w:divBdr>
                <w:top w:val="none" w:sz="0" w:space="0" w:color="auto"/>
                <w:left w:val="none" w:sz="0" w:space="0" w:color="auto"/>
                <w:bottom w:val="none" w:sz="0" w:space="0" w:color="auto"/>
                <w:right w:val="none" w:sz="0" w:space="0" w:color="auto"/>
              </w:divBdr>
              <w:divsChild>
                <w:div w:id="1074622370">
                  <w:marLeft w:val="0"/>
                  <w:marRight w:val="0"/>
                  <w:marTop w:val="0"/>
                  <w:marBottom w:val="0"/>
                  <w:divBdr>
                    <w:top w:val="none" w:sz="0" w:space="0" w:color="auto"/>
                    <w:left w:val="none" w:sz="0" w:space="0" w:color="auto"/>
                    <w:bottom w:val="none" w:sz="0" w:space="0" w:color="auto"/>
                    <w:right w:val="none" w:sz="0" w:space="0" w:color="auto"/>
                  </w:divBdr>
                  <w:divsChild>
                    <w:div w:id="1394113229">
                      <w:marLeft w:val="0"/>
                      <w:marRight w:val="0"/>
                      <w:marTop w:val="0"/>
                      <w:marBottom w:val="0"/>
                      <w:divBdr>
                        <w:top w:val="none" w:sz="0" w:space="0" w:color="auto"/>
                        <w:left w:val="none" w:sz="0" w:space="0" w:color="auto"/>
                        <w:bottom w:val="none" w:sz="0" w:space="0" w:color="auto"/>
                        <w:right w:val="none" w:sz="0" w:space="0" w:color="auto"/>
                      </w:divBdr>
                      <w:divsChild>
                        <w:div w:id="1330209384">
                          <w:marLeft w:val="0"/>
                          <w:marRight w:val="0"/>
                          <w:marTop w:val="0"/>
                          <w:marBottom w:val="0"/>
                          <w:divBdr>
                            <w:top w:val="none" w:sz="0" w:space="0" w:color="auto"/>
                            <w:left w:val="none" w:sz="0" w:space="0" w:color="auto"/>
                            <w:bottom w:val="none" w:sz="0" w:space="0" w:color="auto"/>
                            <w:right w:val="none" w:sz="0" w:space="0" w:color="auto"/>
                          </w:divBdr>
                          <w:divsChild>
                            <w:div w:id="327558862">
                              <w:marLeft w:val="0"/>
                              <w:marRight w:val="0"/>
                              <w:marTop w:val="0"/>
                              <w:marBottom w:val="0"/>
                              <w:divBdr>
                                <w:top w:val="none" w:sz="0" w:space="0" w:color="auto"/>
                                <w:left w:val="none" w:sz="0" w:space="0" w:color="auto"/>
                                <w:bottom w:val="none" w:sz="0" w:space="0" w:color="auto"/>
                                <w:right w:val="none" w:sz="0" w:space="0" w:color="auto"/>
                              </w:divBdr>
                              <w:divsChild>
                                <w:div w:id="359864746">
                                  <w:marLeft w:val="0"/>
                                  <w:marRight w:val="0"/>
                                  <w:marTop w:val="0"/>
                                  <w:marBottom w:val="0"/>
                                  <w:divBdr>
                                    <w:top w:val="none" w:sz="0" w:space="0" w:color="auto"/>
                                    <w:left w:val="none" w:sz="0" w:space="0" w:color="auto"/>
                                    <w:bottom w:val="none" w:sz="0" w:space="0" w:color="auto"/>
                                    <w:right w:val="none" w:sz="0" w:space="0" w:color="auto"/>
                                  </w:divBdr>
                                  <w:divsChild>
                                    <w:div w:id="748115200">
                                      <w:marLeft w:val="0"/>
                                      <w:marRight w:val="0"/>
                                      <w:marTop w:val="0"/>
                                      <w:marBottom w:val="0"/>
                                      <w:divBdr>
                                        <w:top w:val="none" w:sz="0" w:space="0" w:color="auto"/>
                                        <w:left w:val="none" w:sz="0" w:space="0" w:color="auto"/>
                                        <w:bottom w:val="none" w:sz="0" w:space="0" w:color="auto"/>
                                        <w:right w:val="none" w:sz="0" w:space="0" w:color="auto"/>
                                      </w:divBdr>
                                      <w:divsChild>
                                        <w:div w:id="1765564180">
                                          <w:marLeft w:val="0"/>
                                          <w:marRight w:val="0"/>
                                          <w:marTop w:val="0"/>
                                          <w:marBottom w:val="0"/>
                                          <w:divBdr>
                                            <w:top w:val="none" w:sz="0" w:space="0" w:color="auto"/>
                                            <w:left w:val="none" w:sz="0" w:space="0" w:color="auto"/>
                                            <w:bottom w:val="none" w:sz="0" w:space="0" w:color="auto"/>
                                            <w:right w:val="none" w:sz="0" w:space="0" w:color="auto"/>
                                          </w:divBdr>
                                          <w:divsChild>
                                            <w:div w:id="141728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9869051">
          <w:marLeft w:val="0"/>
          <w:marRight w:val="0"/>
          <w:marTop w:val="0"/>
          <w:marBottom w:val="0"/>
          <w:divBdr>
            <w:top w:val="none" w:sz="0" w:space="0" w:color="auto"/>
            <w:left w:val="none" w:sz="0" w:space="0" w:color="auto"/>
            <w:bottom w:val="none" w:sz="0" w:space="0" w:color="auto"/>
            <w:right w:val="none" w:sz="0" w:space="0" w:color="auto"/>
          </w:divBdr>
          <w:divsChild>
            <w:div w:id="576285683">
              <w:marLeft w:val="0"/>
              <w:marRight w:val="0"/>
              <w:marTop w:val="0"/>
              <w:marBottom w:val="0"/>
              <w:divBdr>
                <w:top w:val="none" w:sz="0" w:space="0" w:color="auto"/>
                <w:left w:val="none" w:sz="0" w:space="0" w:color="auto"/>
                <w:bottom w:val="none" w:sz="0" w:space="0" w:color="auto"/>
                <w:right w:val="none" w:sz="0" w:space="0" w:color="auto"/>
              </w:divBdr>
              <w:divsChild>
                <w:div w:id="1580675787">
                  <w:marLeft w:val="0"/>
                  <w:marRight w:val="0"/>
                  <w:marTop w:val="0"/>
                  <w:marBottom w:val="0"/>
                  <w:divBdr>
                    <w:top w:val="none" w:sz="0" w:space="0" w:color="auto"/>
                    <w:left w:val="none" w:sz="0" w:space="0" w:color="auto"/>
                    <w:bottom w:val="none" w:sz="0" w:space="0" w:color="auto"/>
                    <w:right w:val="none" w:sz="0" w:space="0" w:color="auto"/>
                  </w:divBdr>
                  <w:divsChild>
                    <w:div w:id="699667743">
                      <w:marLeft w:val="0"/>
                      <w:marRight w:val="0"/>
                      <w:marTop w:val="0"/>
                      <w:marBottom w:val="0"/>
                      <w:divBdr>
                        <w:top w:val="none" w:sz="0" w:space="0" w:color="auto"/>
                        <w:left w:val="none" w:sz="0" w:space="0" w:color="auto"/>
                        <w:bottom w:val="none" w:sz="0" w:space="0" w:color="auto"/>
                        <w:right w:val="none" w:sz="0" w:space="0" w:color="auto"/>
                      </w:divBdr>
                      <w:divsChild>
                        <w:div w:id="1577780836">
                          <w:marLeft w:val="0"/>
                          <w:marRight w:val="0"/>
                          <w:marTop w:val="0"/>
                          <w:marBottom w:val="0"/>
                          <w:divBdr>
                            <w:top w:val="none" w:sz="0" w:space="0" w:color="auto"/>
                            <w:left w:val="none" w:sz="0" w:space="0" w:color="auto"/>
                            <w:bottom w:val="none" w:sz="0" w:space="0" w:color="auto"/>
                            <w:right w:val="none" w:sz="0" w:space="0" w:color="auto"/>
                          </w:divBdr>
                          <w:divsChild>
                            <w:div w:id="53354164">
                              <w:marLeft w:val="0"/>
                              <w:marRight w:val="0"/>
                              <w:marTop w:val="0"/>
                              <w:marBottom w:val="0"/>
                              <w:divBdr>
                                <w:top w:val="none" w:sz="0" w:space="0" w:color="auto"/>
                                <w:left w:val="none" w:sz="0" w:space="0" w:color="auto"/>
                                <w:bottom w:val="none" w:sz="0" w:space="0" w:color="auto"/>
                                <w:right w:val="none" w:sz="0" w:space="0" w:color="auto"/>
                              </w:divBdr>
                              <w:divsChild>
                                <w:div w:id="1127434375">
                                  <w:marLeft w:val="0"/>
                                  <w:marRight w:val="0"/>
                                  <w:marTop w:val="0"/>
                                  <w:marBottom w:val="0"/>
                                  <w:divBdr>
                                    <w:top w:val="none" w:sz="0" w:space="0" w:color="auto"/>
                                    <w:left w:val="none" w:sz="0" w:space="0" w:color="auto"/>
                                    <w:bottom w:val="none" w:sz="0" w:space="0" w:color="auto"/>
                                    <w:right w:val="none" w:sz="0" w:space="0" w:color="auto"/>
                                  </w:divBdr>
                                  <w:divsChild>
                                    <w:div w:id="69003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41502">
      <w:bodyDiv w:val="1"/>
      <w:marLeft w:val="0"/>
      <w:marRight w:val="0"/>
      <w:marTop w:val="0"/>
      <w:marBottom w:val="0"/>
      <w:divBdr>
        <w:top w:val="none" w:sz="0" w:space="0" w:color="auto"/>
        <w:left w:val="none" w:sz="0" w:space="0" w:color="auto"/>
        <w:bottom w:val="none" w:sz="0" w:space="0" w:color="auto"/>
        <w:right w:val="none" w:sz="0" w:space="0" w:color="auto"/>
      </w:divBdr>
    </w:div>
    <w:div w:id="576326601">
      <w:bodyDiv w:val="1"/>
      <w:marLeft w:val="0"/>
      <w:marRight w:val="0"/>
      <w:marTop w:val="0"/>
      <w:marBottom w:val="0"/>
      <w:divBdr>
        <w:top w:val="none" w:sz="0" w:space="0" w:color="auto"/>
        <w:left w:val="none" w:sz="0" w:space="0" w:color="auto"/>
        <w:bottom w:val="none" w:sz="0" w:space="0" w:color="auto"/>
        <w:right w:val="none" w:sz="0" w:space="0" w:color="auto"/>
      </w:divBdr>
      <w:divsChild>
        <w:div w:id="1524318693">
          <w:marLeft w:val="0"/>
          <w:marRight w:val="0"/>
          <w:marTop w:val="0"/>
          <w:marBottom w:val="0"/>
          <w:divBdr>
            <w:top w:val="none" w:sz="0" w:space="0" w:color="auto"/>
            <w:left w:val="none" w:sz="0" w:space="0" w:color="auto"/>
            <w:bottom w:val="none" w:sz="0" w:space="0" w:color="auto"/>
            <w:right w:val="none" w:sz="0" w:space="0" w:color="auto"/>
          </w:divBdr>
        </w:div>
      </w:divsChild>
    </w:div>
    <w:div w:id="807623391">
      <w:bodyDiv w:val="1"/>
      <w:marLeft w:val="0"/>
      <w:marRight w:val="0"/>
      <w:marTop w:val="0"/>
      <w:marBottom w:val="0"/>
      <w:divBdr>
        <w:top w:val="none" w:sz="0" w:space="0" w:color="auto"/>
        <w:left w:val="none" w:sz="0" w:space="0" w:color="auto"/>
        <w:bottom w:val="none" w:sz="0" w:space="0" w:color="auto"/>
        <w:right w:val="none" w:sz="0" w:space="0" w:color="auto"/>
      </w:divBdr>
    </w:div>
    <w:div w:id="957418126">
      <w:bodyDiv w:val="1"/>
      <w:marLeft w:val="0"/>
      <w:marRight w:val="0"/>
      <w:marTop w:val="0"/>
      <w:marBottom w:val="0"/>
      <w:divBdr>
        <w:top w:val="none" w:sz="0" w:space="0" w:color="auto"/>
        <w:left w:val="none" w:sz="0" w:space="0" w:color="auto"/>
        <w:bottom w:val="none" w:sz="0" w:space="0" w:color="auto"/>
        <w:right w:val="none" w:sz="0" w:space="0" w:color="auto"/>
      </w:divBdr>
    </w:div>
    <w:div w:id="1037003755">
      <w:bodyDiv w:val="1"/>
      <w:marLeft w:val="0"/>
      <w:marRight w:val="0"/>
      <w:marTop w:val="0"/>
      <w:marBottom w:val="0"/>
      <w:divBdr>
        <w:top w:val="none" w:sz="0" w:space="0" w:color="auto"/>
        <w:left w:val="none" w:sz="0" w:space="0" w:color="auto"/>
        <w:bottom w:val="none" w:sz="0" w:space="0" w:color="auto"/>
        <w:right w:val="none" w:sz="0" w:space="0" w:color="auto"/>
      </w:divBdr>
      <w:divsChild>
        <w:div w:id="862477919">
          <w:marLeft w:val="0"/>
          <w:marRight w:val="0"/>
          <w:marTop w:val="0"/>
          <w:marBottom w:val="0"/>
          <w:divBdr>
            <w:top w:val="none" w:sz="0" w:space="0" w:color="auto"/>
            <w:left w:val="none" w:sz="0" w:space="0" w:color="auto"/>
            <w:bottom w:val="none" w:sz="0" w:space="0" w:color="auto"/>
            <w:right w:val="none" w:sz="0" w:space="0" w:color="auto"/>
          </w:divBdr>
        </w:div>
      </w:divsChild>
    </w:div>
    <w:div w:id="1118377165">
      <w:bodyDiv w:val="1"/>
      <w:marLeft w:val="0"/>
      <w:marRight w:val="0"/>
      <w:marTop w:val="0"/>
      <w:marBottom w:val="0"/>
      <w:divBdr>
        <w:top w:val="none" w:sz="0" w:space="0" w:color="auto"/>
        <w:left w:val="none" w:sz="0" w:space="0" w:color="auto"/>
        <w:bottom w:val="none" w:sz="0" w:space="0" w:color="auto"/>
        <w:right w:val="none" w:sz="0" w:space="0" w:color="auto"/>
      </w:divBdr>
    </w:div>
    <w:div w:id="1167985559">
      <w:bodyDiv w:val="1"/>
      <w:marLeft w:val="0"/>
      <w:marRight w:val="0"/>
      <w:marTop w:val="0"/>
      <w:marBottom w:val="0"/>
      <w:divBdr>
        <w:top w:val="none" w:sz="0" w:space="0" w:color="auto"/>
        <w:left w:val="none" w:sz="0" w:space="0" w:color="auto"/>
        <w:bottom w:val="none" w:sz="0" w:space="0" w:color="auto"/>
        <w:right w:val="none" w:sz="0" w:space="0" w:color="auto"/>
      </w:divBdr>
      <w:divsChild>
        <w:div w:id="1204950496">
          <w:marLeft w:val="0"/>
          <w:marRight w:val="0"/>
          <w:marTop w:val="0"/>
          <w:marBottom w:val="0"/>
          <w:divBdr>
            <w:top w:val="none" w:sz="0" w:space="0" w:color="auto"/>
            <w:left w:val="none" w:sz="0" w:space="0" w:color="auto"/>
            <w:bottom w:val="none" w:sz="0" w:space="0" w:color="auto"/>
            <w:right w:val="none" w:sz="0" w:space="0" w:color="auto"/>
          </w:divBdr>
        </w:div>
      </w:divsChild>
    </w:div>
    <w:div w:id="1317419540">
      <w:bodyDiv w:val="1"/>
      <w:marLeft w:val="0"/>
      <w:marRight w:val="0"/>
      <w:marTop w:val="0"/>
      <w:marBottom w:val="0"/>
      <w:divBdr>
        <w:top w:val="none" w:sz="0" w:space="0" w:color="auto"/>
        <w:left w:val="none" w:sz="0" w:space="0" w:color="auto"/>
        <w:bottom w:val="none" w:sz="0" w:space="0" w:color="auto"/>
        <w:right w:val="none" w:sz="0" w:space="0" w:color="auto"/>
      </w:divBdr>
    </w:div>
    <w:div w:id="1331981210">
      <w:bodyDiv w:val="1"/>
      <w:marLeft w:val="0"/>
      <w:marRight w:val="0"/>
      <w:marTop w:val="0"/>
      <w:marBottom w:val="0"/>
      <w:divBdr>
        <w:top w:val="none" w:sz="0" w:space="0" w:color="auto"/>
        <w:left w:val="none" w:sz="0" w:space="0" w:color="auto"/>
        <w:bottom w:val="none" w:sz="0" w:space="0" w:color="auto"/>
        <w:right w:val="none" w:sz="0" w:space="0" w:color="auto"/>
      </w:divBdr>
    </w:div>
    <w:div w:id="1428623033">
      <w:bodyDiv w:val="1"/>
      <w:marLeft w:val="0"/>
      <w:marRight w:val="0"/>
      <w:marTop w:val="0"/>
      <w:marBottom w:val="0"/>
      <w:divBdr>
        <w:top w:val="none" w:sz="0" w:space="0" w:color="auto"/>
        <w:left w:val="none" w:sz="0" w:space="0" w:color="auto"/>
        <w:bottom w:val="none" w:sz="0" w:space="0" w:color="auto"/>
        <w:right w:val="none" w:sz="0" w:space="0" w:color="auto"/>
      </w:divBdr>
    </w:div>
    <w:div w:id="1449860475">
      <w:bodyDiv w:val="1"/>
      <w:marLeft w:val="0"/>
      <w:marRight w:val="0"/>
      <w:marTop w:val="0"/>
      <w:marBottom w:val="0"/>
      <w:divBdr>
        <w:top w:val="none" w:sz="0" w:space="0" w:color="auto"/>
        <w:left w:val="none" w:sz="0" w:space="0" w:color="auto"/>
        <w:bottom w:val="none" w:sz="0" w:space="0" w:color="auto"/>
        <w:right w:val="none" w:sz="0" w:space="0" w:color="auto"/>
      </w:divBdr>
      <w:divsChild>
        <w:div w:id="1995258896">
          <w:marLeft w:val="0"/>
          <w:marRight w:val="0"/>
          <w:marTop w:val="0"/>
          <w:marBottom w:val="0"/>
          <w:divBdr>
            <w:top w:val="none" w:sz="0" w:space="0" w:color="auto"/>
            <w:left w:val="none" w:sz="0" w:space="0" w:color="auto"/>
            <w:bottom w:val="none" w:sz="0" w:space="0" w:color="auto"/>
            <w:right w:val="none" w:sz="0" w:space="0" w:color="auto"/>
          </w:divBdr>
        </w:div>
      </w:divsChild>
    </w:div>
    <w:div w:id="1456287165">
      <w:bodyDiv w:val="1"/>
      <w:marLeft w:val="0"/>
      <w:marRight w:val="0"/>
      <w:marTop w:val="0"/>
      <w:marBottom w:val="0"/>
      <w:divBdr>
        <w:top w:val="none" w:sz="0" w:space="0" w:color="auto"/>
        <w:left w:val="none" w:sz="0" w:space="0" w:color="auto"/>
        <w:bottom w:val="none" w:sz="0" w:space="0" w:color="auto"/>
        <w:right w:val="none" w:sz="0" w:space="0" w:color="auto"/>
      </w:divBdr>
    </w:div>
    <w:div w:id="1674335052">
      <w:bodyDiv w:val="1"/>
      <w:marLeft w:val="0"/>
      <w:marRight w:val="0"/>
      <w:marTop w:val="0"/>
      <w:marBottom w:val="0"/>
      <w:divBdr>
        <w:top w:val="none" w:sz="0" w:space="0" w:color="auto"/>
        <w:left w:val="none" w:sz="0" w:space="0" w:color="auto"/>
        <w:bottom w:val="none" w:sz="0" w:space="0" w:color="auto"/>
        <w:right w:val="none" w:sz="0" w:space="0" w:color="auto"/>
      </w:divBdr>
    </w:div>
    <w:div w:id="1804274780">
      <w:bodyDiv w:val="1"/>
      <w:marLeft w:val="0"/>
      <w:marRight w:val="0"/>
      <w:marTop w:val="0"/>
      <w:marBottom w:val="0"/>
      <w:divBdr>
        <w:top w:val="none" w:sz="0" w:space="0" w:color="auto"/>
        <w:left w:val="none" w:sz="0" w:space="0" w:color="auto"/>
        <w:bottom w:val="none" w:sz="0" w:space="0" w:color="auto"/>
        <w:right w:val="none" w:sz="0" w:space="0" w:color="auto"/>
      </w:divBdr>
    </w:div>
    <w:div w:id="188933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1966</Words>
  <Characters>11114</Characters>
  <Application>Microsoft Office Word</Application>
  <DocSecurity>0</DocSecurity>
  <Lines>284</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 Ashburner</dc:creator>
  <cp:keywords/>
  <dc:description/>
  <cp:lastModifiedBy>Zac Ashburner</cp:lastModifiedBy>
  <cp:revision>2</cp:revision>
  <dcterms:created xsi:type="dcterms:W3CDTF">2025-03-28T10:41:00Z</dcterms:created>
  <dcterms:modified xsi:type="dcterms:W3CDTF">2025-03-28T10:41:00Z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dc47289e-b474-4416-8506-68d2c6748248</vt:lpwstr>
  </property>
</Properties>
</file>