
<file path=[Content_Types].xml><?xml version="1.0" encoding="utf-8"?>
<Types xmlns="http://schemas.openxmlformats.org/package/2006/content-types">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192D" w:rsidRPr="0038192D" w:rsidRDefault="0038192D" w:rsidP="0038192D">
      <w:pPr>
        <w:spacing w:line="360" w:lineRule="auto"/>
        <w:jc w:val="center"/>
        <w:rPr>
          <w:rFonts w:ascii="Arial" w:hAnsi="Arial" w:cs="Arial"/>
          <w:sz w:val="24"/>
          <w:szCs w:val="24"/>
          <w:u w:val="single"/>
        </w:rPr>
      </w:pPr>
      <w:r w:rsidRPr="0038192D">
        <w:rPr>
          <w:rFonts w:ascii="Arial" w:hAnsi="Arial" w:cs="Arial"/>
          <w:sz w:val="24"/>
          <w:szCs w:val="24"/>
          <w:u w:val="single"/>
        </w:rPr>
        <w:t>The Link Between Mental Health and Physical Health</w:t>
      </w:r>
    </w:p>
    <w:p w:rsidR="0038192D" w:rsidRPr="0038192D" w:rsidRDefault="0038192D" w:rsidP="0038192D">
      <w:pPr>
        <w:spacing w:line="360" w:lineRule="auto"/>
        <w:jc w:val="center"/>
        <w:rPr>
          <w:rFonts w:ascii="Arial" w:hAnsi="Arial" w:cs="Arial"/>
          <w:sz w:val="24"/>
          <w:szCs w:val="24"/>
          <w:u w:val="single"/>
        </w:rPr>
      </w:pPr>
    </w:p>
    <w:p w:rsidR="0038192D" w:rsidRPr="0038192D" w:rsidRDefault="0038192D" w:rsidP="0038192D">
      <w:pPr>
        <w:spacing w:line="360" w:lineRule="auto"/>
        <w:rPr>
          <w:rFonts w:ascii="Arial" w:hAnsi="Arial" w:cs="Arial"/>
          <w:sz w:val="24"/>
          <w:szCs w:val="24"/>
          <w:u w:val="single"/>
        </w:rPr>
      </w:pPr>
      <w:r w:rsidRPr="0038192D">
        <w:rPr>
          <w:rFonts w:ascii="Arial" w:hAnsi="Arial" w:cs="Arial"/>
          <w:sz w:val="24"/>
          <w:szCs w:val="24"/>
          <w:u w:val="single"/>
        </w:rPr>
        <w:t>Introduction</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Between 12 and 18 per cent of the entirety of NHS spending on long term illness is connected to poor mental health, worsening physical disease and increasing the price of treatment if not cared for and this affects 4.5 million people throughout England, who suffer poorer health as a result (Naylor, </w:t>
      </w:r>
      <w:r w:rsidRPr="0038192D">
        <w:rPr>
          <w:rFonts w:ascii="Arial" w:hAnsi="Arial" w:cs="Arial"/>
          <w:i/>
          <w:sz w:val="24"/>
          <w:szCs w:val="24"/>
        </w:rPr>
        <w:t>et al.</w:t>
      </w:r>
      <w:r w:rsidRPr="0038192D">
        <w:rPr>
          <w:rFonts w:ascii="Arial" w:hAnsi="Arial" w:cs="Arial"/>
          <w:sz w:val="24"/>
          <w:szCs w:val="24"/>
        </w:rPr>
        <w:t xml:space="preserve"> 2016).  Zomorrodi, et al. (2015) talk about Irritable Bowel Syndrome (IBS) being defined by changes to bowel behaviours with pain and abdominal upset, devoid of any discovered anatomical anomalies. They go on to state that, 'dysfunctional thoughts and the cognitive process act through establishing neural connection between the brain and the bowel in biological systems, disrupting emotions as well as bowel functions and leading to IBS symptoms' (Zomorrodi, et al. 2015).Groenwold, Nynke A, et al. (2013) state that dysfunction of the heart and dysfunction of emotion are closely related, similarly to Kiecolt-Glaser, et al. (2006) discussing the link between stress and ones' immune function. Manipulating gut bacteria in the microbiome, through the use of probiotics and prebiotics, has been found to have an influence on both physical and emotional wellbeing (Lawrence and Hyde, 2017, pg. 1) and the parasympathetic nervous system endorses the reinstatement of health following stressful periods of time and might be pivotal in the effects of stress (Barry, et al. 2015, pg. 97). These examples of research confirm the connection between our physical health and emotion, giving evidence of the ways in which it manifests physically in our bodies. This research is seeking to discover the ways in which emotion affects the body physically by looking deeper into emotion; questioning what emotions actually are and how they are constructed.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Lisa Feldman Barrett (2017) talks about emotions being constructed through a concept called simulation; where your brain alters the firing of sensory neurons due to a lack of incoming sensory information (pg. 26). She argues that simulation is where your brain is guessing what is going on through remembering previous experiences to create a theory, likening it to the information arriving via ones senses (Lisa Feldman Barrett, 2017, pg. 27). Paul Ekman (2003) discusses emotions within different cultures and questions whether our cultural context means our emotions, </w:t>
      </w:r>
      <w:r w:rsidRPr="0038192D">
        <w:rPr>
          <w:rFonts w:ascii="Arial" w:hAnsi="Arial" w:cs="Arial"/>
          <w:sz w:val="24"/>
          <w:szCs w:val="24"/>
        </w:rPr>
        <w:lastRenderedPageBreak/>
        <w:t>and subsequently our expression of emotion, differs or whether Darwin was correct in believing that expressions are inborn, therefore being universal (pg. 2). This leads to a debate as to whether emotions are a phenomenon of the mind only or whether they also have a physical effect on the body.</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Existing research examined thus far explores links between different areas of the body; this research aims to explore these connections holistically, as currently there is a gap in knowledge as the mind and body are placed into different categories. The overall aim of my research is to discover the link between mind and </w:t>
      </w:r>
      <w:commentRangeStart w:id="0"/>
      <w:r w:rsidRPr="0038192D">
        <w:rPr>
          <w:rFonts w:ascii="Arial" w:hAnsi="Arial" w:cs="Arial"/>
          <w:sz w:val="24"/>
          <w:szCs w:val="24"/>
        </w:rPr>
        <w:t>body</w:t>
      </w:r>
      <w:commentRangeEnd w:id="0"/>
      <w:r w:rsidRPr="0038192D">
        <w:rPr>
          <w:rStyle w:val="CommentReference"/>
        </w:rPr>
        <w:commentReference w:id="0"/>
      </w:r>
      <w:r w:rsidRPr="0038192D">
        <w:rPr>
          <w:rFonts w:ascii="Arial" w:hAnsi="Arial" w:cs="Arial"/>
          <w:sz w:val="24"/>
          <w:szCs w:val="24"/>
        </w:rPr>
        <w:t xml:space="preserve">; exploring how certain thoughts or thought processes represent themselves in the physical state. This research will be carried out by conducting a meta-analysis of current and extant literature found in journals, articles, research papers and books using various databases such as Emotion Review, Medline, ProQuest Central, PsychArticles, Science Direct and Oxford Scholarship Online. The material found will be unpicked from these </w:t>
      </w:r>
      <w:commentRangeStart w:id="1"/>
      <w:r w:rsidRPr="0038192D">
        <w:rPr>
          <w:rFonts w:ascii="Arial" w:hAnsi="Arial" w:cs="Arial"/>
          <w:sz w:val="24"/>
          <w:szCs w:val="24"/>
        </w:rPr>
        <w:t>sources</w:t>
      </w:r>
      <w:commentRangeEnd w:id="1"/>
      <w:r w:rsidRPr="0038192D">
        <w:rPr>
          <w:rStyle w:val="CommentReference"/>
        </w:rPr>
        <w:commentReference w:id="1"/>
      </w:r>
      <w:r w:rsidRPr="0038192D">
        <w:rPr>
          <w:rFonts w:ascii="Arial" w:hAnsi="Arial" w:cs="Arial"/>
          <w:sz w:val="24"/>
          <w:szCs w:val="24"/>
        </w:rPr>
        <w:t xml:space="preserve"> and pieced together in a coherent script, in order to display, compare and contrast the uncovered research. In order to meet this aim, my objectives are:</w:t>
      </w:r>
    </w:p>
    <w:p w:rsidR="0038192D" w:rsidRPr="0038192D" w:rsidRDefault="0038192D" w:rsidP="0038192D">
      <w:pPr>
        <w:pStyle w:val="ListParagraph"/>
        <w:numPr>
          <w:ilvl w:val="0"/>
          <w:numId w:val="1"/>
        </w:numPr>
        <w:spacing w:line="360" w:lineRule="auto"/>
        <w:rPr>
          <w:rFonts w:ascii="Arial" w:hAnsi="Arial" w:cs="Arial"/>
          <w:sz w:val="24"/>
          <w:szCs w:val="24"/>
        </w:rPr>
      </w:pPr>
      <w:r w:rsidRPr="0038192D">
        <w:rPr>
          <w:rFonts w:ascii="Arial" w:hAnsi="Arial" w:cs="Arial"/>
          <w:sz w:val="24"/>
          <w:szCs w:val="24"/>
        </w:rPr>
        <w:t xml:space="preserve">To explore the essence of emotion; </w:t>
      </w:r>
    </w:p>
    <w:p w:rsidR="0038192D" w:rsidRPr="0038192D" w:rsidRDefault="0038192D" w:rsidP="0038192D">
      <w:pPr>
        <w:pStyle w:val="ListParagraph"/>
        <w:numPr>
          <w:ilvl w:val="0"/>
          <w:numId w:val="1"/>
        </w:numPr>
        <w:spacing w:line="360" w:lineRule="auto"/>
        <w:rPr>
          <w:rFonts w:ascii="Arial" w:hAnsi="Arial" w:cs="Arial"/>
          <w:sz w:val="24"/>
          <w:szCs w:val="24"/>
        </w:rPr>
      </w:pPr>
      <w:r w:rsidRPr="0038192D">
        <w:rPr>
          <w:rFonts w:ascii="Arial" w:hAnsi="Arial" w:cs="Arial"/>
          <w:sz w:val="24"/>
          <w:szCs w:val="24"/>
        </w:rPr>
        <w:t xml:space="preserve">To understand the purpose of emotion and its origin; </w:t>
      </w:r>
    </w:p>
    <w:p w:rsidR="0038192D" w:rsidRPr="0038192D" w:rsidRDefault="0038192D" w:rsidP="0038192D">
      <w:pPr>
        <w:pStyle w:val="ListParagraph"/>
        <w:numPr>
          <w:ilvl w:val="0"/>
          <w:numId w:val="1"/>
        </w:numPr>
        <w:spacing w:line="360" w:lineRule="auto"/>
        <w:rPr>
          <w:rFonts w:ascii="Arial" w:hAnsi="Arial" w:cs="Arial"/>
          <w:sz w:val="24"/>
          <w:szCs w:val="24"/>
        </w:rPr>
      </w:pPr>
      <w:r w:rsidRPr="0038192D">
        <w:rPr>
          <w:rFonts w:ascii="Arial" w:hAnsi="Arial" w:cs="Arial"/>
          <w:sz w:val="24"/>
          <w:szCs w:val="24"/>
        </w:rPr>
        <w:t>To review the beliefs of early medicine, seeking to discover where and how human behaviour and philosophy altered through time</w:t>
      </w:r>
    </w:p>
    <w:p w:rsidR="0038192D" w:rsidRPr="0038192D" w:rsidRDefault="0038192D" w:rsidP="0038192D">
      <w:pPr>
        <w:pStyle w:val="ListParagraph"/>
        <w:numPr>
          <w:ilvl w:val="0"/>
          <w:numId w:val="1"/>
        </w:numPr>
        <w:spacing w:line="360" w:lineRule="auto"/>
        <w:rPr>
          <w:rFonts w:ascii="Arial" w:hAnsi="Arial" w:cs="Arial"/>
          <w:sz w:val="24"/>
          <w:szCs w:val="24"/>
        </w:rPr>
      </w:pPr>
      <w:r w:rsidRPr="0038192D">
        <w:rPr>
          <w:rFonts w:ascii="Arial" w:hAnsi="Arial" w:cs="Arial"/>
          <w:sz w:val="24"/>
          <w:szCs w:val="24"/>
        </w:rPr>
        <w:t xml:space="preserve">To critique current research on the effects of emotion on the body physically. </w:t>
      </w:r>
    </w:p>
    <w:p w:rsidR="0038192D" w:rsidRPr="0038192D" w:rsidRDefault="0038192D" w:rsidP="0038192D">
      <w:pPr>
        <w:spacing w:line="360" w:lineRule="auto"/>
        <w:ind w:left="360"/>
        <w:rPr>
          <w:rFonts w:ascii="Arial" w:hAnsi="Arial" w:cs="Arial"/>
          <w:sz w:val="24"/>
          <w:szCs w:val="24"/>
        </w:rPr>
      </w:pPr>
    </w:p>
    <w:p w:rsidR="0038192D" w:rsidRPr="0038192D" w:rsidRDefault="0038192D" w:rsidP="0038192D">
      <w:pPr>
        <w:spacing w:line="360" w:lineRule="auto"/>
        <w:ind w:left="360"/>
        <w:rPr>
          <w:rFonts w:ascii="Arial" w:hAnsi="Arial" w:cs="Arial"/>
          <w:sz w:val="24"/>
          <w:szCs w:val="24"/>
        </w:rPr>
      </w:pPr>
      <w:r w:rsidRPr="0038192D">
        <w:rPr>
          <w:rFonts w:ascii="Arial" w:hAnsi="Arial" w:cs="Arial"/>
          <w:sz w:val="24"/>
          <w:szCs w:val="24"/>
        </w:rPr>
        <w:t xml:space="preserve">In addressing these objectives, my overall research question is ”How is our mental health linked to our physical health and why are they viewed </w:t>
      </w:r>
      <w:commentRangeStart w:id="2"/>
      <w:r w:rsidRPr="0038192D">
        <w:rPr>
          <w:rFonts w:ascii="Arial" w:hAnsi="Arial" w:cs="Arial"/>
          <w:sz w:val="24"/>
          <w:szCs w:val="24"/>
        </w:rPr>
        <w:t>separately</w:t>
      </w:r>
      <w:commentRangeEnd w:id="2"/>
      <w:r w:rsidRPr="0038192D">
        <w:rPr>
          <w:rStyle w:val="CommentReference"/>
        </w:rPr>
        <w:commentReference w:id="2"/>
      </w:r>
      <w:r w:rsidRPr="0038192D">
        <w:rPr>
          <w:rFonts w:ascii="Arial" w:hAnsi="Arial" w:cs="Arial"/>
          <w:sz w:val="24"/>
          <w:szCs w:val="24"/>
        </w:rPr>
        <w:t>?</w:t>
      </w:r>
      <w:r w:rsidRPr="0038192D">
        <w:rPr>
          <w:rFonts w:ascii="Arial" w:hAnsi="Arial" w:cs="Arial"/>
          <w:sz w:val="24"/>
          <w:szCs w:val="24"/>
        </w:rPr>
        <w:br/>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In today's society, where poor mental health seems ever increasing and our awareness of maintaining and nurturing our wellbeing is at the forefront, it is important to seek new knowledge and make connections, striving to understand and implement as much as possible, in order to identify and aid in supporting others and ourselves within society and our local communities. Personal experiences of </w:t>
      </w:r>
      <w:r w:rsidRPr="0038192D">
        <w:rPr>
          <w:rFonts w:ascii="Arial" w:hAnsi="Arial" w:cs="Arial"/>
          <w:sz w:val="24"/>
          <w:szCs w:val="24"/>
        </w:rPr>
        <w:lastRenderedPageBreak/>
        <w:t>witnessing highly emotional states of living affecting ones health awakens a strong desire to seek out information and learn more of the holistic links between mind and body. Curiosity raises the question of how machines, companies and workforces are habitually known for having vital sections, crucially working together to support one whole system so as not to fail, yet the body is compartmentalised into separate areas and viewed from a totally different perspective. Has this always been the case or was there a shift in perspective where this outlook was lost? If so, where did this influence come from and will anything change societies opinion back to the original belief?</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This chapter has laid out the subject of interest, the stimulus for this research and the ways in which this will be carried out. A gap in knowledge has been identified and the research question has been clearly stated. </w:t>
      </w:r>
    </w:p>
    <w:p w:rsidR="0038192D" w:rsidRPr="0038192D" w:rsidRDefault="0038192D" w:rsidP="0038192D">
      <w:pPr>
        <w:spacing w:line="360" w:lineRule="auto"/>
        <w:rPr>
          <w:rFonts w:ascii="Arial" w:hAnsi="Arial" w:cs="Arial"/>
          <w:sz w:val="24"/>
          <w:szCs w:val="24"/>
        </w:rPr>
      </w:pPr>
    </w:p>
    <w:p w:rsidR="0038192D" w:rsidRPr="0038192D" w:rsidRDefault="0038192D" w:rsidP="0038192D">
      <w:pPr>
        <w:spacing w:line="360" w:lineRule="auto"/>
        <w:rPr>
          <w:rFonts w:ascii="Arial" w:hAnsi="Arial" w:cs="Arial"/>
          <w:sz w:val="24"/>
          <w:szCs w:val="24"/>
          <w:u w:val="single"/>
        </w:rPr>
      </w:pP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u w:val="single"/>
        </w:rPr>
        <w:t>Chapter Two</w:t>
      </w:r>
    </w:p>
    <w:p w:rsidR="0038192D" w:rsidRPr="0038192D" w:rsidRDefault="0038192D" w:rsidP="0038192D">
      <w:pPr>
        <w:spacing w:line="360" w:lineRule="auto"/>
        <w:rPr>
          <w:rFonts w:ascii="Arial" w:hAnsi="Arial" w:cs="Arial"/>
          <w:sz w:val="24"/>
          <w:szCs w:val="24"/>
          <w:u w:val="single"/>
        </w:rPr>
      </w:pPr>
      <w:r w:rsidRPr="0038192D">
        <w:rPr>
          <w:rFonts w:ascii="Arial" w:hAnsi="Arial" w:cs="Arial"/>
          <w:sz w:val="24"/>
          <w:szCs w:val="24"/>
        </w:rPr>
        <w:t>This chapter addresses the phenomena of emotion by analysing and critiquing current and extant literature on the definition of emotion, looking at what emotion is, where it comes from and what its purpose is. Chapter two also considers the early modern medicinal view of emotions and the belief of their link to diseases within the body, humoral medicine and the language around emotions</w:t>
      </w:r>
      <w:r>
        <w:rPr>
          <w:rFonts w:ascii="Arial" w:hAnsi="Arial" w:cs="Arial"/>
          <w:sz w:val="24"/>
          <w:szCs w:val="24"/>
        </w:rPr>
        <w:t xml:space="preserve">, in addition to </w:t>
      </w:r>
      <w:r w:rsidRPr="0038192D">
        <w:rPr>
          <w:rFonts w:ascii="Arial" w:hAnsi="Arial" w:cs="Arial"/>
          <w:sz w:val="24"/>
          <w:szCs w:val="24"/>
        </w:rPr>
        <w:t>contemplat</w:t>
      </w:r>
      <w:r>
        <w:rPr>
          <w:rFonts w:ascii="Arial" w:hAnsi="Arial" w:cs="Arial"/>
          <w:sz w:val="24"/>
          <w:szCs w:val="24"/>
        </w:rPr>
        <w:t>ing</w:t>
      </w:r>
      <w:r w:rsidRPr="0038192D">
        <w:rPr>
          <w:rFonts w:ascii="Arial" w:hAnsi="Arial" w:cs="Arial"/>
          <w:sz w:val="24"/>
          <w:szCs w:val="24"/>
        </w:rPr>
        <w:t xml:space="preserve"> the parasympathetic nervous system, looking at other links between mind and body</w:t>
      </w:r>
      <w:r>
        <w:rPr>
          <w:rFonts w:ascii="Arial" w:hAnsi="Arial" w:cs="Arial"/>
          <w:sz w:val="24"/>
          <w:szCs w:val="24"/>
        </w:rPr>
        <w:t xml:space="preserve"> health, and examining</w:t>
      </w:r>
      <w:r w:rsidRPr="0038192D">
        <w:rPr>
          <w:rFonts w:ascii="Arial" w:hAnsi="Arial" w:cs="Arial"/>
          <w:sz w:val="24"/>
          <w:szCs w:val="24"/>
        </w:rPr>
        <w:t xml:space="preserve"> the changes in human philosophy over time</w:t>
      </w:r>
      <w:r>
        <w:rPr>
          <w:rFonts w:ascii="Arial" w:hAnsi="Arial" w:cs="Arial"/>
          <w:sz w:val="24"/>
          <w:szCs w:val="24"/>
        </w:rPr>
        <w:t>.</w:t>
      </w:r>
      <w:r w:rsidRPr="0038192D">
        <w:rPr>
          <w:rFonts w:ascii="Arial" w:hAnsi="Arial" w:cs="Arial"/>
          <w:sz w:val="24"/>
          <w:szCs w:val="24"/>
        </w:rPr>
        <w:t xml:space="preserve">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u w:val="single"/>
        </w:rPr>
        <w:br/>
      </w:r>
      <w:r w:rsidRPr="0038192D">
        <w:rPr>
          <w:rFonts w:ascii="Arial" w:hAnsi="Arial" w:cs="Arial"/>
          <w:sz w:val="24"/>
          <w:szCs w:val="24"/>
        </w:rPr>
        <w:t xml:space="preserve">The scientific definition of emotion has been a battle for the lifespan of the field of psychology (Gendron, 2010, pg. 371). There is no generally assented definition throughout the many disciplines that examine emotion, inducing everlasting deliberation and hindering the accruing advancement of research (Mulligan and Scherer, 2012, pg. 345) and although psychological scientists and behavioural neuroscientists assert that emotion has an influence on reasoning, decision making, behaviour, well being and both physical and mental health, emotion is yet to be defined as an individual concept (Izard, 2010, pg. 363). </w:t>
      </w:r>
      <w:r w:rsidRPr="0038192D">
        <w:rPr>
          <w:rFonts w:ascii="Arial" w:hAnsi="Arial" w:cs="Arial"/>
          <w:sz w:val="24"/>
          <w:szCs w:val="24"/>
        </w:rPr>
        <w:br/>
      </w:r>
      <w:r w:rsidRPr="0038192D">
        <w:rPr>
          <w:rFonts w:ascii="Arial" w:hAnsi="Arial" w:cs="Arial"/>
          <w:sz w:val="24"/>
          <w:szCs w:val="24"/>
        </w:rPr>
        <w:lastRenderedPageBreak/>
        <w:t xml:space="preserve">Charles Darwin, William James and Sigmund Freud granted emotion its entitled position within scientific discourse due to their extensive writing of the different facets of emotion in the nineteenth century (Damasio, 2000, pg. 38) however, an important discovery in Izard's survey (2010) is that the noun emotion needs to be contextualised within scientific discourse due to its ambiguity (Gendron, 2010, pg. 371). Gendron (2010) questions how contextualising emotion will progress the field of psychology and proposes that the lack of an agreeable definition within psychology may continue to be a  challenge going forward (pg. 371)perhaps due to the fact that theorists and researches use the term emotion in different contexts which reveal variable connotations and functions (Izard, 2010, pg. 363). Gendron (2010) suggests that Izard's survey could possibly be particular to a modest set of Western individuals and that the actual word 'emotion' may have originated from the West (pg. 371). If the term emotion originated from the West, this may have an impact on the translation of the concept of emotion culturally. Conversely, Frijda (2016) suggests that it was Descartes who initiated the term 'emotion' in 1649, which previously held the translation of 'uproar' or 'riot' in the French language (pg. 610). Even though a number of languages do not possess a distinct word or term that is comparable to the word emotion, with few having a lack of individual words for precise emotions, it is a phenomenon that is identifiable across almost all languages (Mulligan and Scherer, 2012, pg. 345). This suggests that history is unsure of exactly who or where this term came from and proves that there is an awareness and understanding of the term cross-culturally however, knowing its true origins would make a difference in the quest to solidify a single definition of the phenomenon of emotion. </w:t>
      </w:r>
      <w:r w:rsidRPr="0038192D">
        <w:rPr>
          <w:rFonts w:ascii="Arial" w:hAnsi="Arial" w:cs="Arial"/>
          <w:sz w:val="24"/>
          <w:szCs w:val="24"/>
        </w:rPr>
        <w:br/>
        <w:t xml:space="preserve">Mulligan and Scherer (2012) suggest that the deficit of a final definition brings an unremitting cause of plentiful misconceptions and a sequence of mainly futile discussions (pg. 345). If a single noun is so versatile that it is able to be used in many different contexts, attempting one single definition is futile. Moreover, if there are currently many misunderstandings and seemingly pointless debates that aren't moving the task forward, there is a tendency to merely be circling in a whirlwind of questions that need not be answered in the first </w:t>
      </w:r>
      <w:commentRangeStart w:id="3"/>
      <w:r w:rsidRPr="0038192D">
        <w:rPr>
          <w:rFonts w:ascii="Arial" w:hAnsi="Arial" w:cs="Arial"/>
          <w:sz w:val="24"/>
          <w:szCs w:val="24"/>
        </w:rPr>
        <w:t>place</w:t>
      </w:r>
      <w:commentRangeEnd w:id="3"/>
      <w:r w:rsidRPr="0038192D">
        <w:rPr>
          <w:rStyle w:val="CommentReference"/>
        </w:rPr>
        <w:commentReference w:id="3"/>
      </w:r>
      <w:r w:rsidRPr="0038192D">
        <w:rPr>
          <w:rFonts w:ascii="Arial" w:hAnsi="Arial" w:cs="Arial"/>
          <w:sz w:val="24"/>
          <w:szCs w:val="24"/>
        </w:rPr>
        <w:t xml:space="preserve">. From a different viewpoint, Frijda (2016) interestingly suggests that there is a legitimate explanation as to why there is a lack of definition, arguing that there is an absence of nucleus that is </w:t>
      </w:r>
      <w:r w:rsidRPr="0038192D">
        <w:rPr>
          <w:rFonts w:ascii="Arial" w:hAnsi="Arial" w:cs="Arial"/>
          <w:sz w:val="24"/>
          <w:szCs w:val="24"/>
        </w:rPr>
        <w:lastRenderedPageBreak/>
        <w:t>universal to all comportment and sensation patterns that are titled 'emotions'. Frijda (2016) talks about emotion being a substance concept where the margins are unclear and how substance concepts, the same as emotions, are not a great fit for explanatory science, due to science requiring something that is able to be more explanatory through fundamental systems such as function concepts. Frijda (2016) also likens the idea of emotion to the idea of the soul, combining numerous individual actions together. Frijda (2016) argues that the word emotion and words for specific emotions, such as fear and anger, represent a set of phenomena however they do not indicate a firm group of behavioural phenomena which can become a reliable indication for certain emotions and they are not located in a specific area of the brain. Many groups of systems and processes that perform freely, with the ability to transpire remotely, are the result of phenomena that guided the application of the word emotion (Frijda, 2016). Frijda (2016) concludes by suggesting that emotion is not an essential utilitarian category and emotions do not demonstrate an individual job, usually activating the whole brain as opposed to specific areas. Izard (2010) believes differently however, stating that there is ample concurrence amongst scientists that emotions possess a far reaching assortment of particular and broad roles, having numerous and rather critical roles in stimulating and concentrating distinctive aims, social interplay and the advancement of positive and negative behaviour. More convincingly, Turner (2009) states that a great deal of the issue comes from the fact that emotions perform at numerous different levels of actuality - biological and neurological, observable, educational, anatomical and circumstantial; and whichever features or elements are pertinent to the individual looking to define, a divergent definition will arrive (pg. 341). Does emotion need to be defined or would it prove more productive, in this instance, to understand where emotions come from?</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br/>
        <w:t xml:space="preserve">There is much debate about which occurs first: a somatic experience inducing a mental or cognitive experience of emotion, or the somatic experiencing of emotion being the result of a cognitive experience however, a physiological element and a psychological element are part of the complete encounter (Harre, 2009, pg. 300). Gendron and Barrett (2009) tell us that it was Darwin in 1872 who was the main encouragement for what we now frequently call the 'basic emotion', with his belief that emotions are cerebral conditions that generate archetypal somatic </w:t>
      </w:r>
      <w:r w:rsidRPr="0038192D">
        <w:rPr>
          <w:rFonts w:ascii="Arial" w:hAnsi="Arial" w:cs="Arial"/>
          <w:sz w:val="24"/>
          <w:szCs w:val="24"/>
        </w:rPr>
        <w:lastRenderedPageBreak/>
        <w:t>representations however, it was James' belief in 1884 that the somatic activity is what generates emotion (pg. 316), as echoed by Reddy (2009) who states that since primitive times, emotions have been implicit in beginning with the body and subsequently not being psychological in nature (pg. 311). Conversely, in 1927, Cannon lead with the belief that the body is unable to generate emotion due to the fact that visceral adjustments aren't fast enough or distinct enough to sense and also that visceral adjustments take place in emotional and emotionless states (Gendron and Barrett, 2009, pg. 316). If visceral changes take place in both emotion and emotionless states, then this suggests that it isn't imperative to scrutinise these physical changes as an important element when determining where emotion comes from, and further suggests that Cannon is telling us that even though they are a large part of the experience, and they may feel like the most significant element when experiencing emotion, they are simply secondary to what is actually happening within our bodies.</w:t>
      </w:r>
      <w:r>
        <w:rPr>
          <w:rFonts w:ascii="Arial" w:hAnsi="Arial" w:cs="Arial"/>
          <w:sz w:val="24"/>
          <w:szCs w:val="24"/>
        </w:rPr>
        <w:t xml:space="preserve"> </w:t>
      </w:r>
      <w:r w:rsidRPr="0038192D">
        <w:rPr>
          <w:rFonts w:ascii="Arial" w:hAnsi="Arial" w:cs="Arial"/>
          <w:sz w:val="24"/>
          <w:szCs w:val="24"/>
        </w:rPr>
        <w:t>When one so often relates to the physical changes in ones' body such as shaking, sweating or heart palpitations, this somatic familiarity becomes a default and this is due to the fact that connecting with ones' physical awareness is easier and more accessible for most people than connecting with ones' emotional awareness. Stolberg (2019) supposes that the language used in contemporary Western societies is moulded by phrases and descriptions that attribute themselves with physical bodily qualities, feelings and alterations (pg. 113). Metaphors for these sensations are often used, such as burning with ambition; feeling light-hearted; having a troubled heart; acting in cold blood; fear making our blood freeze and having high spirits or a dark mood (Stolberg, 2019, pg. 113). Stolberg (2019) notes that many metaphorical phrases such as these exist in various European languages and are frequently recognised as simply metaphors, possibly linked to physical expressions or effects of emotion, however emotion historians have highlighted that several of these words have developed into metaphors over time (pg. 113). As this view began to change from belief to metaphor, this indicates that the authenticity of the phenomena became diluted and therefore reduced the faith of the concept of emotion being factual.</w:t>
      </w:r>
    </w:p>
    <w:p w:rsidR="0038192D" w:rsidRPr="0038192D" w:rsidRDefault="0038192D" w:rsidP="0038192D">
      <w:pPr>
        <w:spacing w:before="240" w:line="360" w:lineRule="auto"/>
        <w:rPr>
          <w:rFonts w:ascii="Arial" w:hAnsi="Arial" w:cs="Arial"/>
          <w:sz w:val="24"/>
          <w:szCs w:val="24"/>
        </w:rPr>
      </w:pPr>
      <w:r w:rsidRPr="0038192D">
        <w:rPr>
          <w:rFonts w:ascii="Arial" w:hAnsi="Arial" w:cs="Arial"/>
          <w:sz w:val="24"/>
          <w:szCs w:val="24"/>
        </w:rPr>
        <w:t xml:space="preserve">Niedenthal, </w:t>
      </w:r>
      <w:r w:rsidRPr="0038192D">
        <w:rPr>
          <w:rFonts w:ascii="Arial" w:hAnsi="Arial" w:cs="Arial"/>
          <w:i/>
          <w:sz w:val="24"/>
          <w:szCs w:val="24"/>
        </w:rPr>
        <w:t xml:space="preserve">et al. </w:t>
      </w:r>
      <w:r w:rsidRPr="0038192D">
        <w:rPr>
          <w:rFonts w:ascii="Arial" w:hAnsi="Arial" w:cs="Arial"/>
          <w:sz w:val="24"/>
          <w:szCs w:val="24"/>
        </w:rPr>
        <w:t xml:space="preserve">(2010) discuss facial expression, or facial efference, suggesting that the expressions we display on our faces are automatic, devoid of any former cognisant experience (pg. 342). The process of experiencing emotion would be </w:t>
      </w:r>
      <w:r w:rsidRPr="0038192D">
        <w:rPr>
          <w:rFonts w:ascii="Arial" w:hAnsi="Arial" w:cs="Arial"/>
          <w:sz w:val="24"/>
          <w:szCs w:val="24"/>
        </w:rPr>
        <w:lastRenderedPageBreak/>
        <w:t xml:space="preserve">activated by an interior sensory or psychological incident which then brings about peripheral activity (facial expressions) which sequentially alters the subjective feeling (Niedenthal, </w:t>
      </w:r>
      <w:r w:rsidRPr="0038192D">
        <w:rPr>
          <w:rFonts w:ascii="Arial" w:hAnsi="Arial" w:cs="Arial"/>
          <w:i/>
          <w:sz w:val="24"/>
          <w:szCs w:val="24"/>
        </w:rPr>
        <w:t>et al.</w:t>
      </w:r>
      <w:r w:rsidRPr="0038192D">
        <w:rPr>
          <w:rFonts w:ascii="Arial" w:hAnsi="Arial" w:cs="Arial"/>
          <w:sz w:val="24"/>
          <w:szCs w:val="24"/>
        </w:rPr>
        <w:t>, 2010, pg. 342). This postulation of facial efference suggests that it can be either a somatic or a psychological trigger that begins the whole incident of experiencing an emotion however, takes it a little deeper through not just observing an emotional symptom, but discovering a somatic reaction that occurs instantaneously without needing any form of back story to welcome it and furthermore, suggesting that this then modifies the subjective feeling. Does this denote that feelings can be changed through the facial expressions that present themselves without our instigation? If so, why do they change and should they not correspond with the emotional circuit that is live and happening in the moment? Regardless of whether they are chosen or automatic, where do they come from?</w:t>
      </w:r>
      <w:r w:rsidRPr="0038192D">
        <w:rPr>
          <w:rFonts w:ascii="Arial" w:hAnsi="Arial" w:cs="Arial"/>
          <w:sz w:val="24"/>
          <w:szCs w:val="24"/>
        </w:rPr>
        <w:br/>
        <w:t xml:space="preserve"> After emotional arousal and cognizant handling, the journey of emotions might alter when other people's responses are evident, as applicable societal structural circumstances are applied or as emotional vocabularies, learnt through culture, are implemented (Turner, 2009, pg. 342). Importantly, this raises questions about the authenticity, acceptance and awareness of our emotions. This research postulates that facial expressions occur without conscious control, defaulting consciously or subconsciously to a conformity of what have been learnt as acceptable reactions or behaviours to situations and suggests that true feelings aren't being acknowledged, therefore resulting in not living authentically and listening to our </w:t>
      </w:r>
      <w:commentRangeStart w:id="4"/>
      <w:r w:rsidRPr="0038192D">
        <w:rPr>
          <w:rFonts w:ascii="Arial" w:hAnsi="Arial" w:cs="Arial"/>
          <w:sz w:val="24"/>
          <w:szCs w:val="24"/>
        </w:rPr>
        <w:t>needs</w:t>
      </w:r>
      <w:commentRangeEnd w:id="4"/>
      <w:r w:rsidRPr="0038192D">
        <w:rPr>
          <w:rStyle w:val="CommentReference"/>
        </w:rPr>
        <w:commentReference w:id="4"/>
      </w:r>
      <w:r w:rsidRPr="0038192D">
        <w:rPr>
          <w:rFonts w:ascii="Arial" w:hAnsi="Arial" w:cs="Arial"/>
          <w:sz w:val="24"/>
          <w:szCs w:val="24"/>
        </w:rPr>
        <w:t xml:space="preserve">. </w:t>
      </w:r>
    </w:p>
    <w:p w:rsidR="0038192D" w:rsidRPr="0038192D" w:rsidRDefault="0038192D" w:rsidP="0038192D">
      <w:pPr>
        <w:spacing w:before="240" w:line="360" w:lineRule="auto"/>
        <w:rPr>
          <w:rFonts w:ascii="Arial" w:hAnsi="Arial" w:cs="Arial"/>
          <w:sz w:val="24"/>
          <w:szCs w:val="24"/>
        </w:rPr>
      </w:pPr>
      <w:r w:rsidRPr="0038192D">
        <w:rPr>
          <w:rFonts w:ascii="Arial" w:hAnsi="Arial" w:cs="Arial"/>
          <w:sz w:val="24"/>
          <w:szCs w:val="24"/>
        </w:rPr>
        <w:t xml:space="preserve">Paul Ekman (2003) studied facial expressions across different cultures to discover whether they were universal or whether different cultures understood and expressed different facial expressions for different emotions. Ekman (2003) reported his findings in 1969 that facial expressions are in fact universal (pg. 11-14), supporting Darwin's postulation of the same opinion and his belief that they are also a result of our evolution (pg.14). Ekman (2003) also highlights the situation of those who are congenitally blind, informing us that sixty years worth of research discovered that those born without sight display comparable facial expressions, especially impulsively, to those without any visual impairment (pg. 14) further supporting his research. It is not possible to teach a blind person a facial expression, something that doesn't boast any auditory aspect, simply through audio description, if there is no previous knowledge, experience or understanding of what the subject matter </w:t>
      </w:r>
      <w:r w:rsidRPr="0038192D">
        <w:rPr>
          <w:rFonts w:ascii="Arial" w:hAnsi="Arial" w:cs="Arial"/>
          <w:sz w:val="24"/>
          <w:szCs w:val="24"/>
        </w:rPr>
        <w:lastRenderedPageBreak/>
        <w:t xml:space="preserve">actually is. If facial expressions are universal, cross-cultural and spontaneous, is there a reason that we have them? </w:t>
      </w:r>
      <w:r w:rsidRPr="0038192D">
        <w:rPr>
          <w:rFonts w:ascii="Arial" w:hAnsi="Arial" w:cs="Arial"/>
          <w:sz w:val="24"/>
          <w:szCs w:val="24"/>
        </w:rPr>
        <w:br/>
        <w:t xml:space="preserve">Waynbaum's book entitled, 'La Physiologie Humaine: Son Mecanisme et son Role Social' (1907) talks about facial expressions and the physiology behind them (Niedenthal, </w:t>
      </w:r>
      <w:r w:rsidRPr="0038192D">
        <w:rPr>
          <w:rFonts w:ascii="Arial" w:hAnsi="Arial" w:cs="Arial"/>
          <w:i/>
          <w:sz w:val="24"/>
          <w:szCs w:val="24"/>
        </w:rPr>
        <w:t>et al.</w:t>
      </w:r>
      <w:r w:rsidRPr="0038192D">
        <w:rPr>
          <w:rFonts w:ascii="Arial" w:hAnsi="Arial" w:cs="Arial"/>
          <w:sz w:val="24"/>
          <w:szCs w:val="24"/>
        </w:rPr>
        <w:t xml:space="preserve"> 2010, pg. 342). Waynbaum informs us of three points: the face and brain receive their blood supply from the carotid artery; there should be a steady supply of cerebral blood; and there are numerous facial muscles, particularly in the surrounding areas of arteries (Niedenthal, </w:t>
      </w:r>
      <w:r w:rsidRPr="0038192D">
        <w:rPr>
          <w:rFonts w:ascii="Arial" w:hAnsi="Arial" w:cs="Arial"/>
          <w:i/>
          <w:sz w:val="24"/>
          <w:szCs w:val="24"/>
        </w:rPr>
        <w:t>et al.</w:t>
      </w:r>
      <w:r w:rsidRPr="0038192D">
        <w:rPr>
          <w:rFonts w:ascii="Arial" w:hAnsi="Arial" w:cs="Arial"/>
          <w:sz w:val="24"/>
          <w:szCs w:val="24"/>
        </w:rPr>
        <w:t xml:space="preserve"> 2010, pg. 342). Due to the fact that the facial and cerebral carotid come from the same place, a balance of the blood flow can be sustained through blood flowing to either the face or the brain however, all emotional experiences cause distress to the circuit and therefore, facial expressions manipulate the arteries and veins against the hard surface of the skull, controlling the blood flow (Niedenthal, </w:t>
      </w:r>
      <w:r w:rsidRPr="0038192D">
        <w:rPr>
          <w:rFonts w:ascii="Arial" w:hAnsi="Arial" w:cs="Arial"/>
          <w:i/>
          <w:sz w:val="24"/>
          <w:szCs w:val="24"/>
        </w:rPr>
        <w:t>et al.</w:t>
      </w:r>
      <w:r w:rsidRPr="0038192D">
        <w:rPr>
          <w:rFonts w:ascii="Arial" w:hAnsi="Arial" w:cs="Arial"/>
          <w:sz w:val="24"/>
          <w:szCs w:val="24"/>
        </w:rPr>
        <w:t xml:space="preserve"> 2010, pg. 342). Furthermore, Waynbaum's theory posits that every facial expression holds a specific biological purpose, giving examples such as frowning in concentration, where the facial muscles compress the external carotid and veins in the face, sending an increase of blood to the brain, supporting its work (Niedenthal, </w:t>
      </w:r>
      <w:r w:rsidRPr="0038192D">
        <w:rPr>
          <w:rFonts w:ascii="Arial" w:hAnsi="Arial" w:cs="Arial"/>
          <w:i/>
          <w:sz w:val="24"/>
          <w:szCs w:val="24"/>
        </w:rPr>
        <w:t>et al.</w:t>
      </w:r>
      <w:r w:rsidRPr="0038192D">
        <w:rPr>
          <w:rFonts w:ascii="Arial" w:hAnsi="Arial" w:cs="Arial"/>
          <w:sz w:val="24"/>
          <w:szCs w:val="24"/>
        </w:rPr>
        <w:t xml:space="preserve"> 2010, pg. 342).In opposition, Niedenthal, </w:t>
      </w:r>
      <w:r w:rsidRPr="0038192D">
        <w:rPr>
          <w:rFonts w:ascii="Arial" w:hAnsi="Arial" w:cs="Arial"/>
          <w:i/>
          <w:sz w:val="24"/>
          <w:szCs w:val="24"/>
        </w:rPr>
        <w:t>et al.</w:t>
      </w:r>
      <w:r w:rsidRPr="0038192D">
        <w:rPr>
          <w:rFonts w:ascii="Arial" w:hAnsi="Arial" w:cs="Arial"/>
          <w:sz w:val="24"/>
          <w:szCs w:val="24"/>
        </w:rPr>
        <w:t xml:space="preserve"> (2010) talk about emotion and brain temperature being a more accurate standpoint for exploration, suggesting that cerebral blood flow is able to be sustained in many ways, not just as Waynbaum suggests, and claim that temperature possibly prompts the dispensation and combining of different neurotransmitters, resulting in the creation of various internally felt states (pg. 342).</w:t>
      </w:r>
      <w:r w:rsidRPr="0038192D">
        <w:rPr>
          <w:rFonts w:ascii="Arial" w:hAnsi="Arial" w:cs="Arial"/>
          <w:sz w:val="24"/>
          <w:szCs w:val="24"/>
        </w:rPr>
        <w:br/>
        <w:t xml:space="preserve">They also argue that although some facial expressions are displayed purposely, others like fear at someone unfamiliar, may be set and automatic action patterns (Niedenthal, </w:t>
      </w:r>
      <w:r w:rsidRPr="0038192D">
        <w:rPr>
          <w:rFonts w:ascii="Arial" w:hAnsi="Arial" w:cs="Arial"/>
          <w:i/>
          <w:sz w:val="24"/>
          <w:szCs w:val="24"/>
        </w:rPr>
        <w:t>et al.</w:t>
      </w:r>
      <w:r w:rsidRPr="0038192D">
        <w:rPr>
          <w:rFonts w:ascii="Arial" w:hAnsi="Arial" w:cs="Arial"/>
          <w:sz w:val="24"/>
          <w:szCs w:val="24"/>
        </w:rPr>
        <w:t xml:space="preserve"> 2010, pg. 342). They can be trained reactions obtained previously through reinforcement such as receiving a positive reaction like affection from a parent after smiling, which will encourage this display in the future (Niedenthal, </w:t>
      </w:r>
      <w:r w:rsidRPr="0038192D">
        <w:rPr>
          <w:rFonts w:ascii="Arial" w:hAnsi="Arial" w:cs="Arial"/>
          <w:i/>
          <w:sz w:val="24"/>
          <w:szCs w:val="24"/>
        </w:rPr>
        <w:t>et al.</w:t>
      </w:r>
      <w:r w:rsidRPr="0038192D">
        <w:rPr>
          <w:rFonts w:ascii="Arial" w:hAnsi="Arial" w:cs="Arial"/>
          <w:sz w:val="24"/>
          <w:szCs w:val="24"/>
        </w:rPr>
        <w:t xml:space="preserve"> 2010, pg. 342). This suggests that facial expressions are socially constructed, almost in a way of approval or acceptance within society, or as a means of receiving what is needed, such as a child needing affection and learning that smiling elicits the affection that they are craving. If facial expressions are connected to emotions, and manage to modify our subjective experience of emotion, this makes one wonder whether emotions are also socially constructed. Emotions have numerous and </w:t>
      </w:r>
      <w:r w:rsidRPr="0038192D">
        <w:rPr>
          <w:rFonts w:ascii="Arial" w:hAnsi="Arial" w:cs="Arial"/>
          <w:sz w:val="24"/>
          <w:szCs w:val="24"/>
        </w:rPr>
        <w:lastRenderedPageBreak/>
        <w:t>important roles in stimulating and directing attention to particular events, communal connections, and the evolution of adaptive and maladaptive behaviour (Izard, 2010, pg. 368), so in that sense, implies that we have unwittingly learnt, perhaps through evolution, to react in ways that will help us gain what we need for our wellbeing. This indicates that our emotions are not just automatic reactions to events that we don't really have any control over but that we have formulated or sculptured them to suit our needs for survival or personal maintenance in whatever context we find ourselves to be in.</w:t>
      </w:r>
    </w:p>
    <w:p w:rsidR="0038192D" w:rsidRPr="0038192D" w:rsidRDefault="0038192D" w:rsidP="0038192D">
      <w:pPr>
        <w:spacing w:before="240" w:line="360" w:lineRule="auto"/>
        <w:rPr>
          <w:rFonts w:ascii="Arial" w:hAnsi="Arial" w:cs="Arial"/>
          <w:sz w:val="24"/>
          <w:szCs w:val="24"/>
        </w:rPr>
      </w:pPr>
      <w:r w:rsidRPr="0038192D">
        <w:rPr>
          <w:rFonts w:ascii="Arial" w:hAnsi="Arial" w:cs="Arial"/>
          <w:sz w:val="24"/>
          <w:szCs w:val="24"/>
        </w:rPr>
        <w:t xml:space="preserve">Lisa Feldman-Barrett (2017) believes that our emotions are constructed through a process she calls simulation, where the brain alters the detonation of its own sensory neurons due to the lack of inward bound sensory information, piecing together fragments of previous information to build a psychological instance of the currently occurring concept(Feldman-Barrett, 2017, pg. 26-27). A simulation is your brain speculating what's happening in the world and can take place with any of the senses, not just visually, occurring as rapidly and unwittingly as a heartbeat(Feldman-Barrett, 2017, pg. 27). Every time your brain simulates incoming sensory information, it organizes spontaneous changes within your body that possess the probability to alter your feeling and your brain appoints meaning, connecting these patterns in contrasting manners in order to discern and direct your action flexibly in fresh circumstances (Feldman-Barrett, 2017, pg. 28). Concepts are a main tool for the brain to estimate the definition of sensory information that is inward bound and the brain utilises concepts in order to constantly simulate the world around us, and with these concepts comes a process that happens so naturally and imperceptibly that it creates the illusion that all of our senses are reflexes, as opposed to constructions  (Feldman-Barrett, 2017, pg. 29). </w:t>
      </w:r>
      <w:r w:rsidRPr="0038192D">
        <w:rPr>
          <w:rFonts w:ascii="Arial" w:hAnsi="Arial" w:cs="Arial"/>
          <w:sz w:val="24"/>
          <w:szCs w:val="24"/>
        </w:rPr>
        <w:br/>
        <w:t xml:space="preserve">Feldman-Barrett (2017)tells us that the next step to this theory and understanding of how emotions are constructed is adding in the subjective experience from inside the body (Feldman-Barrett, 2017, pg. 29). The brain views the body merely as an additional supplier of sensory information and the physical feelings and perceptions the body experiences, such as the heartbeat, do not hold any cognitive connotation until concepts are interjected, whereby these physical perceptions can assume supplementary significance (Feldman-Barrett, 2017, pg. 29). A physical sensation such as a stomach ache can be linked to many concepts, for example disgust at </w:t>
      </w:r>
      <w:r w:rsidRPr="0038192D">
        <w:rPr>
          <w:rFonts w:ascii="Arial" w:hAnsi="Arial" w:cs="Arial"/>
          <w:sz w:val="24"/>
          <w:szCs w:val="24"/>
        </w:rPr>
        <w:lastRenderedPageBreak/>
        <w:t xml:space="preserve">something unpleasant, longing for something or someone, or possible anxiety such as waiting for results and in these instances the concept that is operating in the brain is an emotion concept (Feldman-Barrett, 2017, pg. 30). An emotion is the brain constructing meaning of physical feelings in the context of the surrounding situation (Feldman-Barrett, 2017, pg. 30). Dalgleish, et al. (2009) echo this, stating that comparable sequences of physical stimulation can be understood as anger or happiness contingent upon the social and cognitive context (pg. 356). </w:t>
      </w:r>
      <w:r w:rsidRPr="0038192D">
        <w:rPr>
          <w:rFonts w:ascii="Arial" w:hAnsi="Arial" w:cs="Arial"/>
          <w:sz w:val="24"/>
          <w:szCs w:val="24"/>
        </w:rPr>
        <w:br/>
        <w:t xml:space="preserve">This suggests that emotions are automatic reactions that we involuntarily experience and display however, this explanation does not support the proposal that they are formulated subconsciously to suit our needs and support our wellbeing. Instead this proves to merely make sense of what is physiologically happening. Therefore, the theory that emotion begins in the body is superseded when we understand that these physical sensations hold no psychological meaning without the input of the brain and its concepts, emotional or otherwise. Moreover, this suggests that the dispute over whether emotion begins in the body or the mind is irrelevant due to one needing the other to exist and function as an entire experience. Feldman-Barrett (2017) argues that neuroscience now demonstrates to us that this method happens in the brain to make an emotion there and then, which she has named the 'theory of constructed emotion'  (Feldman-Barrett, 2017, pg. 30). Emotions are not responses to our surroundings because we are not inactive receivers of sensory information, we are functioning assemblers of our emotions and by means of concepts, the brain creates meaning  (Feldman-Barrett, 2017, pg. 31). </w:t>
      </w:r>
    </w:p>
    <w:p w:rsidR="0038192D" w:rsidRPr="0038192D" w:rsidRDefault="0038192D" w:rsidP="0038192D">
      <w:pPr>
        <w:spacing w:before="240" w:line="360" w:lineRule="auto"/>
        <w:rPr>
          <w:rFonts w:ascii="Arial" w:hAnsi="Arial" w:cs="Arial"/>
          <w:sz w:val="24"/>
          <w:szCs w:val="24"/>
        </w:rPr>
      </w:pPr>
      <w:r w:rsidRPr="0038192D">
        <w:rPr>
          <w:rFonts w:ascii="Arial" w:hAnsi="Arial" w:cs="Arial"/>
          <w:sz w:val="24"/>
          <w:szCs w:val="24"/>
        </w:rPr>
        <w:t xml:space="preserve">Turner (2009) also believes that emotions are constructed, though not through simulation, but socially through culture (pg. 341). This reasoning comes from the argument that the organic foundations of emotions are disperse and indistinct therefore surmising that all emotions are culturally assembled, by means of acquiring an emotional vocabulary, specifically semantic markers for articulate mannerisms, autonomic nervous system reactions and examples of public relationships (Turner, 2009, pg. 341). Turner (2009) suggests that emotions are therefore innately social and hold meaning only when allocated a marker supplied by culture (Turner, 2009, pg. 341).  The awakening of emotion is not through a method of marking or labelling however, alternatively, a method where anatomical arrangements are initiated in order to produce all emotions (Turner, 2009, pg. 341). He discusses the nature of </w:t>
      </w:r>
      <w:r w:rsidRPr="0038192D">
        <w:rPr>
          <w:rFonts w:ascii="Arial" w:hAnsi="Arial" w:cs="Arial"/>
          <w:sz w:val="24"/>
          <w:szCs w:val="24"/>
        </w:rPr>
        <w:lastRenderedPageBreak/>
        <w:t>culture placing a constraint on the emotions we are seemingly defaulted to experience and communicate but that communication, occurrence and stimulation of emotions are linked to the body (Turner, 2009, pg. 341).</w:t>
      </w:r>
    </w:p>
    <w:p w:rsidR="0038192D" w:rsidRPr="0038192D" w:rsidRDefault="0038192D" w:rsidP="0038192D">
      <w:pPr>
        <w:spacing w:before="240" w:line="360" w:lineRule="auto"/>
        <w:rPr>
          <w:rFonts w:ascii="Arial" w:hAnsi="Arial" w:cs="Arial"/>
          <w:sz w:val="24"/>
          <w:szCs w:val="24"/>
        </w:rPr>
      </w:pPr>
      <w:r w:rsidRPr="0038192D">
        <w:rPr>
          <w:rFonts w:ascii="Arial" w:hAnsi="Arial" w:cs="Arial"/>
          <w:sz w:val="24"/>
          <w:szCs w:val="24"/>
        </w:rPr>
        <w:t>If emotions are constructed through simulation as suggested by Feldman-Barrett (2017), this alludes to a process that doesn't offer any element of control. If these simulations occur as speedily and subconsciously as a heartbeat, the idea of controlling the assembling of one's emotional vocabulary is an unreasonable thought unless there is an element we are not considering here. If emotions are socially constructed through physical systems established in the body, as suggested by Turner (2009), this proposes a lack of control but does not allude to the notion that this could be a subconscious process that we are unable to hold power over. Perhaps we subconsciously place ourselves in certain social contexts in order to obtain or acquire what we need. Conversely, perhaps we subconsciously avoid certain social contexts or situations in order to avoid emotional arousal, to support our wellbeing or possibly to shape, mould or strengthen alternative emotions. This is certainly the case of the conscious mind with many of us, at different times, nevertheless this could occur intuitively at the stage where our emotional language is forming. It could be that we build or obtain our emotional vocabulary all at one stage of our lives or it could be that this is a continual learning development, from infancy through to adulthood.</w:t>
      </w:r>
      <w:r w:rsidRPr="0038192D">
        <w:rPr>
          <w:rFonts w:ascii="Arial" w:hAnsi="Arial" w:cs="Arial"/>
          <w:sz w:val="24"/>
          <w:szCs w:val="24"/>
        </w:rPr>
        <w:br/>
      </w:r>
      <w:r w:rsidRPr="0038192D">
        <w:rPr>
          <w:rFonts w:ascii="Arial" w:hAnsi="Arial" w:cs="Arial"/>
          <w:sz w:val="24"/>
          <w:szCs w:val="24"/>
        </w:rPr>
        <w:br/>
        <w:t xml:space="preserve">Gendron (2010) discusses how Spencer (1855) comprised perceptual and cognitive methods within the definition of emotion, going on to quote, 'Memory, Reason, and Feeling, are different sides of the same psychical phenomena' (p. 585), so that 'no act of cognition can be </w:t>
      </w:r>
      <w:r w:rsidRPr="0038192D">
        <w:rPr>
          <w:rFonts w:ascii="Arial" w:hAnsi="Arial" w:cs="Arial"/>
          <w:i/>
          <w:sz w:val="24"/>
          <w:szCs w:val="24"/>
        </w:rPr>
        <w:t>absolutely</w:t>
      </w:r>
      <w:r w:rsidRPr="0038192D">
        <w:rPr>
          <w:rFonts w:ascii="Arial" w:hAnsi="Arial" w:cs="Arial"/>
          <w:sz w:val="24"/>
          <w:szCs w:val="24"/>
        </w:rPr>
        <w:t xml:space="preserve"> free from emotion ... no emotion can be </w:t>
      </w:r>
      <w:r w:rsidRPr="0038192D">
        <w:rPr>
          <w:rFonts w:ascii="Arial" w:hAnsi="Arial" w:cs="Arial"/>
          <w:i/>
          <w:sz w:val="24"/>
          <w:szCs w:val="24"/>
        </w:rPr>
        <w:t xml:space="preserve">absolutely </w:t>
      </w:r>
      <w:r w:rsidRPr="0038192D">
        <w:rPr>
          <w:rFonts w:ascii="Arial" w:hAnsi="Arial" w:cs="Arial"/>
          <w:sz w:val="24"/>
          <w:szCs w:val="24"/>
        </w:rPr>
        <w:t xml:space="preserve">free from cognition (p. 586) (Spencer, 1855, </w:t>
      </w:r>
      <w:r w:rsidRPr="0038192D">
        <w:rPr>
          <w:rFonts w:ascii="Arial" w:hAnsi="Arial" w:cs="Arial"/>
          <w:i/>
          <w:sz w:val="24"/>
          <w:szCs w:val="24"/>
        </w:rPr>
        <w:t>cited in</w:t>
      </w:r>
      <w:r w:rsidRPr="0038192D">
        <w:rPr>
          <w:rFonts w:ascii="Arial" w:hAnsi="Arial" w:cs="Arial"/>
          <w:sz w:val="24"/>
          <w:szCs w:val="24"/>
        </w:rPr>
        <w:t xml:space="preserve"> Gendron, 2010, pg. 371). If consciousness is abeyant, emotion is also usually abeyant, implying that even though emotion and consciousness are separate phenomena, their foundations may be connected (Damasio, 2000, pg. 38). Damasio (2000) talks about consciousness having a direct link with emotion, giving an example of an experiment he conducted with someone called David (pg. 43). David had considerable damage to both of his temporal lobes which involves injury to the hippocampus (an area linked with memory) and the amygdala</w:t>
      </w:r>
      <w:r>
        <w:rPr>
          <w:rFonts w:ascii="Arial" w:hAnsi="Arial" w:cs="Arial"/>
          <w:sz w:val="24"/>
          <w:szCs w:val="24"/>
        </w:rPr>
        <w:t xml:space="preserve"> </w:t>
      </w:r>
      <w:r w:rsidRPr="0038192D">
        <w:rPr>
          <w:rFonts w:ascii="Arial" w:hAnsi="Arial" w:cs="Arial"/>
          <w:sz w:val="24"/>
          <w:szCs w:val="24"/>
        </w:rPr>
        <w:t xml:space="preserve">(an area responsible for emotion), therefore resulting in </w:t>
      </w:r>
      <w:r w:rsidRPr="0038192D">
        <w:rPr>
          <w:rFonts w:ascii="Arial" w:hAnsi="Arial" w:cs="Arial"/>
          <w:sz w:val="24"/>
          <w:szCs w:val="24"/>
        </w:rPr>
        <w:lastRenderedPageBreak/>
        <w:t>David being unable to learn new things and remember things that have already  happened (pg. 43-44). Due to the lack of ability to learn, David could not remember the faces of three people he saw regularly over one week, instructed with different tasks for him to do and entitled 'the good guy, the bad guy and the neutral guy', however when David was being escorted towards 'the bad guy' he flinched upon initially seeing them, although subsequently stating he was fine and didn't recognise this person (Damasio, 2000, pg. 46). Damasio (2000) argues that the reason for this physical reaction of flinching is that the vision of this person brought about a fleeting emotional reaction and a momentary feeling in present time; a confined awareness of emotion lacking a specific reason to support it (pg. 46). There is no requisite for us to be cognisant of what brings about an emotion, which is often the case, and we are unable to be knowingly in charge of our emotions therefore, we find ourselves in different emotional states without understanding the reason for them (Damasio, 2000, pg. 47). This might be due to a transitory alteration in the synthetic characterisation of one's internal milieu, induced by many aspects as varied as the condition of your health, your daily intake of food, the weather, your hormones, the amount of exercise undertaken that day, or the amount of worry carried out over a specific topic (Damasio, 2000, pg. 47). Therefore, emotions can be brought about without conscious awareness and consequently seem to the conscious person to hold no reasoning (Damasio, 2000, pg. 47). If this link between emotion and consciousness can cause a physical reaction that is instantaneous and uncontrollable, what does this suggest about other links between emotion and the body? Is this merely a cognitive affective issue or does this extend further, to other parts of the body?</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Barker (2004) writes of the 17th century belief, within the medical community, of psychological turmoil being the cause of physiological disease (pg. 660). In Mascardi's letter to Achillini in 1630, he describes the horrors of the plague in Italy clearing out communities with images of cadavers being taken to rest and screams of the anguished left behind (Barker, 2004, pg. 659). Barker (2004) describes how through the psychosomatic models of medicine, Mascardi's macabre letter would have been linked with a variety of health issues, including plague and sudden death (pg. 660). At a time when the physiology of humans was still largely unexplained, once images of diseases such as the plague captured the imagination and the </w:t>
      </w:r>
      <w:r w:rsidRPr="0038192D">
        <w:rPr>
          <w:rFonts w:ascii="Arial" w:hAnsi="Arial" w:cs="Arial"/>
          <w:sz w:val="24"/>
          <w:szCs w:val="24"/>
        </w:rPr>
        <w:lastRenderedPageBreak/>
        <w:t xml:space="preserve">emotions, it was regarded that such thoughts would be a large attributing factor in the origin of the disease itself (Barker, 2004, pg. 660) also echoed by Stolberg (2019) when discussing Fay Bound Alberti's claims that conventionally, emotions were seen as efficient in generating profound anatomical alterations in the body (pg. 114).  </w:t>
      </w:r>
    </w:p>
    <w:p w:rsidR="0038192D" w:rsidRPr="0038192D" w:rsidRDefault="0038192D" w:rsidP="0038192D">
      <w:pPr>
        <w:tabs>
          <w:tab w:val="left" w:pos="6011"/>
        </w:tabs>
        <w:spacing w:line="360" w:lineRule="auto"/>
        <w:rPr>
          <w:rFonts w:ascii="Arial" w:hAnsi="Arial" w:cs="Arial"/>
          <w:sz w:val="24"/>
          <w:szCs w:val="24"/>
        </w:rPr>
      </w:pPr>
      <w:r w:rsidRPr="0038192D">
        <w:rPr>
          <w:rFonts w:ascii="Arial" w:hAnsi="Arial" w:cs="Arial"/>
          <w:sz w:val="24"/>
          <w:szCs w:val="24"/>
        </w:rPr>
        <w:t xml:space="preserve">Emotion historians have repeatedly highlighted humoral medicine as a key basis of emotional concepts and expressions in the early contemporary period however, seldom work has been explored on the facts (Stolberg, 2019, pg. 113). The Ancient Greek depicted four humours that filtered through the body: phlegm (linked with phlegmatic disposition), black bile (dysphoric), yellow bile (irritable), and blood (optimistic) (Markham and de Lemos, 2005, pg. 2220). It was believed that an inequality or 'dyskrasia' of these four humours would lead to a variety of diseases, whereas someone who was healthy was seen as having 'eukrasia', an appropriate quantity of each of the four humours (Markham and de Lemos, 2005, pg. 2220). Clearly, in ancient times there was a lack of resources to provide accurate quantifiable indicators to analyse these inequalities and therefore, they utilised bodily surveillance and backward looking reflective examination in order to come to a decision as to how and why individual patients developed an illness (Markham and de Lemos, 2005, pg. 2220). In early modern medicine, the focal point in studying emotions or the 'passions of the mind' was through looking at the circumstances and incidents that instigated one's emotions, as opposed to one's emotional response and physical feelings (Stolberg, 2019, pg. 118). Periodically, lay writers mentioned physiological ideas, for example a retraction of blood and spirits in the direction of the heart and this term was often used to suggest feelings of shock or fear (Stolberg, 2019, pg. 118). During this time, the heart took a lead part as the location or home of emotions in numerous written accounts from lay writers and patients, which were informed by the physical comprehension of emotions (Stolberg, 2019, pg. 118). The German word, 'angst', emanating from the Latin word 'angustus' which meant 'narrow' or 'tight', appears to have been used as quite a factual descriptive word for the experiencing of tautness or oppression in the region of the heart and in today's view, this would be acknowledged as the emotional condition of fear or anxiety (Stolberg, 2019, pg. 118). From time to time, a somatic feeling of tautness alone was the main meaning of the word 'angst' and descriptions of somatic sensations such as </w:t>
      </w:r>
      <w:r w:rsidRPr="0038192D">
        <w:rPr>
          <w:rFonts w:ascii="Arial" w:hAnsi="Arial" w:cs="Arial"/>
          <w:sz w:val="24"/>
          <w:szCs w:val="24"/>
        </w:rPr>
        <w:lastRenderedPageBreak/>
        <w:t>feeling anxiety along with a considerable amount of pain in the chest and back, anxiety in the direction of the heart and ribs, and pain that travelled down from the head and established its place in the region of the heart, generating persistent 'angst' and physical suffering were being used (Stolberg, 2019, pg. 118). Patients seemed to emphasise the physical features of emotions in particular when they assigned the source of physical diseases and illnesses to a powerful pessimistic emotion (Stolberg, 2019, pg. 118).During the early modern view of nutrition, emotions were ranked within the six most important elements along with 'food, drink, air, sleep and physical exercise' due to the assumption that they wield a strong authority over health and disease however, the belief was not about emotions themselves, but the concentration of one's emotions (Stolberg, 2019,pg . 115) as supported by Purnis (2010) highlighting these elements as the 'Galenic scheme of six "nonnaturals" (pg. 805).</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Stolberg (2019) gives us some examples such as Simon Roter who endured huge sadness and grief after an unforeseen death, resulting in his left thigh becoming diseased in the late hours of the night, following on with a feeling of tearing in his leg and being unable to walk without the aid of a stick from the next morning (pg. 118). Persons who were already poorly were thought to be specifically susceptible to experiencing the adverse physical effects of powerful emotions such as Hermann von Weinsberg who reported feeling terrified when being uncouthly awoken by his landlady to relay gossip that the enemy had occupied the neighbouring town of Emmerich (Stolberg, 2019, pg. 118). After previously being unwell, he took a turn for the worse and within the same hour, was in a state of high temperature, coldness on his neck and was uncontrollably shaking (Stolberg, 2019, pg. 118). Furthermore, Stolberg (2019) suggests that not only were negative emotions detrimental to ones physical health, but reports that the emotional state of fright was even established as being fatal (pg. 118). He tells us the account of Klara Staiger who stated in 1632 that the Mother Superior of the convent she attended discovered that one of their farms had been ravaged by the military and the fright travelled through her body resulting in, that night, her feeling incredibly chilly and falling gravely unwell (Stolberg, 2019, pg. 118). Her breathing became very difficult and she became unconscious for quite a while, narrowly receiving the last sacraments before passing away (Stolberg, 2019, pg. 118).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lastRenderedPageBreak/>
        <w:t>These accounts of negative emotions having a physical effect on the body were believed to be true in ancient times, where there was a distinct lack of resources to measure experience and levels of the different humours. In modern medicine, there seems to be a structure in place of compartmentalising different areas of the body and viewing it as having separate entities that do not communicate with each other or work holistically. This leads to a curiosity about what has changed between then and now to separate one from the other and a quest to critique current research that suggests that mental health has an impact on physical health.</w:t>
      </w:r>
    </w:p>
    <w:p w:rsidR="0038192D" w:rsidRPr="0038192D" w:rsidRDefault="0038192D" w:rsidP="0038192D">
      <w:pPr>
        <w:spacing w:line="360" w:lineRule="auto"/>
        <w:rPr>
          <w:rFonts w:ascii="Arial" w:hAnsi="Arial" w:cs="Arial"/>
          <w:sz w:val="24"/>
          <w:szCs w:val="24"/>
        </w:rPr>
      </w:pPr>
    </w:p>
    <w:p w:rsidR="0038192D" w:rsidRPr="0038192D" w:rsidRDefault="0038192D" w:rsidP="0038192D">
      <w:pPr>
        <w:spacing w:line="360" w:lineRule="auto"/>
        <w:rPr>
          <w:rFonts w:ascii="Arial" w:hAnsi="Arial" w:cs="Arial"/>
          <w:sz w:val="24"/>
          <w:szCs w:val="24"/>
        </w:rPr>
      </w:pPr>
      <w:bookmarkStart w:id="5" w:name="_GoBack"/>
      <w:bookmarkEnd w:id="5"/>
      <w:r w:rsidRPr="0038192D">
        <w:rPr>
          <w:rFonts w:ascii="Arial" w:hAnsi="Arial" w:cs="Arial"/>
          <w:sz w:val="24"/>
          <w:szCs w:val="24"/>
        </w:rPr>
        <w:br/>
        <w:t xml:space="preserve">In current decennium, the understanding that psychological strain has a detrimental influence on numerous elements of the immune system has been appropriately acknowledged (Graham, </w:t>
      </w:r>
      <w:r w:rsidRPr="0038192D">
        <w:rPr>
          <w:rFonts w:ascii="Arial" w:hAnsi="Arial" w:cs="Arial"/>
          <w:i/>
          <w:sz w:val="24"/>
          <w:szCs w:val="24"/>
        </w:rPr>
        <w:t>et al.</w:t>
      </w:r>
      <w:r w:rsidRPr="0038192D">
        <w:rPr>
          <w:rFonts w:ascii="Arial" w:hAnsi="Arial" w:cs="Arial"/>
          <w:sz w:val="24"/>
          <w:szCs w:val="24"/>
        </w:rPr>
        <w:t xml:space="preserve"> 2006). Stress throughout the early stages of growth and advancement is able to generate a permanent consequence on the receptivity of both the nervous system and the immune system, and the results of stress in those in later life might have considerably been affected before birth, when still in the womb, and during initial life encounters creating a blueprint for susceptibility in years to come (Graham, </w:t>
      </w:r>
      <w:r w:rsidRPr="0038192D">
        <w:rPr>
          <w:rFonts w:ascii="Arial" w:hAnsi="Arial" w:cs="Arial"/>
          <w:i/>
          <w:sz w:val="24"/>
          <w:szCs w:val="24"/>
        </w:rPr>
        <w:t>et al.</w:t>
      </w:r>
      <w:r w:rsidRPr="0038192D">
        <w:rPr>
          <w:rFonts w:ascii="Arial" w:hAnsi="Arial" w:cs="Arial"/>
          <w:sz w:val="24"/>
          <w:szCs w:val="24"/>
        </w:rPr>
        <w:t xml:space="preserve"> 2006). Children of mothers who experienced frequent stress during pregnancy display a decrease in the functioning of their immune system in contrast to children of mothers who did not experience frequent stress during pregnancy (Graham, </w:t>
      </w:r>
      <w:r w:rsidRPr="0038192D">
        <w:rPr>
          <w:rFonts w:ascii="Arial" w:hAnsi="Arial" w:cs="Arial"/>
          <w:i/>
          <w:sz w:val="24"/>
          <w:szCs w:val="24"/>
        </w:rPr>
        <w:t>et al.</w:t>
      </w:r>
      <w:r w:rsidRPr="0038192D">
        <w:rPr>
          <w:rFonts w:ascii="Arial" w:hAnsi="Arial" w:cs="Arial"/>
          <w:sz w:val="24"/>
          <w:szCs w:val="24"/>
        </w:rPr>
        <w:t xml:space="preserve"> 2006). Poor nourishment during gestation, a deficiency of oxygen during labour or an inadequate amount of emotional support during childhood can all result in having an astounding effect on the construction and development of an individual however, initial attention in fact forms the growing nervous system and establishes the way in which stress is elucidated and acknowledged in the future (Gerhardt, 2015). A mothers levels of stress during pregnancy also influences the transference of placental antibodies between mother and child and abate levels of transference of antibodies have the ability to influence the unborn child's aptitude to attack infection (Graham, </w:t>
      </w:r>
      <w:r w:rsidRPr="0038192D">
        <w:rPr>
          <w:rFonts w:ascii="Arial" w:hAnsi="Arial" w:cs="Arial"/>
          <w:i/>
          <w:sz w:val="24"/>
          <w:szCs w:val="24"/>
        </w:rPr>
        <w:t>et al.</w:t>
      </w:r>
      <w:r w:rsidRPr="0038192D">
        <w:rPr>
          <w:rFonts w:ascii="Arial" w:hAnsi="Arial" w:cs="Arial"/>
          <w:sz w:val="24"/>
          <w:szCs w:val="24"/>
        </w:rPr>
        <w:t xml:space="preserve"> 2006). Infancy is the stage within an individual's life when organising behaviours are shaped and it is during this time that our routine emotional and physiological reactions are assembled in the brain (Gerhardt, 2015) however stress in infancy might influence the </w:t>
      </w:r>
      <w:r w:rsidRPr="0038192D">
        <w:rPr>
          <w:rFonts w:ascii="Arial" w:hAnsi="Arial" w:cs="Arial"/>
          <w:sz w:val="24"/>
          <w:szCs w:val="24"/>
        </w:rPr>
        <w:lastRenderedPageBreak/>
        <w:t xml:space="preserve">rearrangement of the immune system's established position which stands firm in opposition to subsequent change (Graham, </w:t>
      </w:r>
      <w:r w:rsidRPr="0038192D">
        <w:rPr>
          <w:rFonts w:ascii="Arial" w:hAnsi="Arial" w:cs="Arial"/>
          <w:i/>
          <w:sz w:val="24"/>
          <w:szCs w:val="24"/>
        </w:rPr>
        <w:t>et al.</w:t>
      </w:r>
      <w:r w:rsidRPr="0038192D">
        <w:rPr>
          <w:rFonts w:ascii="Arial" w:hAnsi="Arial" w:cs="Arial"/>
          <w:sz w:val="24"/>
          <w:szCs w:val="24"/>
        </w:rPr>
        <w:t xml:space="preserve"> 2006).</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Major depression and post traumatic stress disorder are two examples of psychological illnesses that are linked with an inflated chance of developing coronary artery disease (CAD) (Bremner, </w:t>
      </w:r>
      <w:r w:rsidRPr="0038192D">
        <w:rPr>
          <w:rFonts w:ascii="Arial" w:hAnsi="Arial" w:cs="Arial"/>
          <w:i/>
          <w:sz w:val="24"/>
          <w:szCs w:val="24"/>
        </w:rPr>
        <w:t>et al.</w:t>
      </w:r>
      <w:r w:rsidRPr="0038192D">
        <w:rPr>
          <w:rFonts w:ascii="Arial" w:hAnsi="Arial" w:cs="Arial"/>
          <w:sz w:val="24"/>
          <w:szCs w:val="24"/>
        </w:rPr>
        <w:t xml:space="preserve"> 2019). Modifications in psychological and neurohormonal systems in those suffering with depression depict a probable device whereby affliction and depression can bring about and/or sustain coronary artery disease and evidence suggests that those who are depressed have an added susceptibility to myocardial ischemia brought on through stress (Bremner, </w:t>
      </w:r>
      <w:r w:rsidRPr="0038192D">
        <w:rPr>
          <w:rFonts w:ascii="Arial" w:hAnsi="Arial" w:cs="Arial"/>
          <w:i/>
          <w:sz w:val="24"/>
          <w:szCs w:val="24"/>
        </w:rPr>
        <w:t>et al.</w:t>
      </w:r>
      <w:r w:rsidRPr="0038192D">
        <w:rPr>
          <w:rFonts w:ascii="Arial" w:hAnsi="Arial" w:cs="Arial"/>
          <w:sz w:val="24"/>
          <w:szCs w:val="24"/>
        </w:rPr>
        <w:t xml:space="preserve"> 2019). Investigation on myocardial infarction (MI) illustrates that there is a close connection between a dysfunctional heart and dysfunction of emotion and that depression contributes to the threat of the commencement and advancement of cardiovascular disease (Groenwold, </w:t>
      </w:r>
      <w:r w:rsidRPr="0038192D">
        <w:rPr>
          <w:rFonts w:ascii="Arial" w:hAnsi="Arial" w:cs="Arial"/>
          <w:i/>
          <w:sz w:val="24"/>
          <w:szCs w:val="24"/>
        </w:rPr>
        <w:t xml:space="preserve">et al. </w:t>
      </w:r>
      <w:r w:rsidRPr="0038192D">
        <w:rPr>
          <w:rFonts w:ascii="Arial" w:hAnsi="Arial" w:cs="Arial"/>
          <w:sz w:val="24"/>
          <w:szCs w:val="24"/>
        </w:rPr>
        <w:t xml:space="preserve">2013). There is a 12 month predominance of major depression which for those who have suffered MI is estimated to be roughly two to four times increased than for those of the general public who have not experienced MI (Groenwold, </w:t>
      </w:r>
      <w:r w:rsidRPr="0038192D">
        <w:rPr>
          <w:rFonts w:ascii="Arial" w:hAnsi="Arial" w:cs="Arial"/>
          <w:i/>
          <w:sz w:val="24"/>
          <w:szCs w:val="24"/>
        </w:rPr>
        <w:t xml:space="preserve">et al. </w:t>
      </w:r>
      <w:r w:rsidRPr="0038192D">
        <w:rPr>
          <w:rFonts w:ascii="Arial" w:hAnsi="Arial" w:cs="Arial"/>
          <w:sz w:val="24"/>
          <w:szCs w:val="24"/>
        </w:rPr>
        <w:t xml:space="preserve">2013). A likely justification for this is that physical afflictions, as a result of the MI, confuse depression scores (Groenwold, </w:t>
      </w:r>
      <w:r w:rsidRPr="0038192D">
        <w:rPr>
          <w:rFonts w:ascii="Arial" w:hAnsi="Arial" w:cs="Arial"/>
          <w:i/>
          <w:sz w:val="24"/>
          <w:szCs w:val="24"/>
        </w:rPr>
        <w:t xml:space="preserve">et al. </w:t>
      </w:r>
      <w:r w:rsidRPr="0038192D">
        <w:rPr>
          <w:rFonts w:ascii="Arial" w:hAnsi="Arial" w:cs="Arial"/>
          <w:sz w:val="24"/>
          <w:szCs w:val="24"/>
        </w:rPr>
        <w:t xml:space="preserve">2013). On the other hand, symptoms of depression might be overlooked and misconstrued as the cardiac illness (Groenwold, </w:t>
      </w:r>
      <w:r w:rsidRPr="0038192D">
        <w:rPr>
          <w:rFonts w:ascii="Arial" w:hAnsi="Arial" w:cs="Arial"/>
          <w:i/>
          <w:sz w:val="24"/>
          <w:szCs w:val="24"/>
        </w:rPr>
        <w:t xml:space="preserve">et al. </w:t>
      </w:r>
      <w:r w:rsidRPr="0038192D">
        <w:rPr>
          <w:rFonts w:ascii="Arial" w:hAnsi="Arial" w:cs="Arial"/>
          <w:sz w:val="24"/>
          <w:szCs w:val="24"/>
        </w:rPr>
        <w:t xml:space="preserve">2013). </w:t>
      </w:r>
      <w:r w:rsidRPr="0038192D">
        <w:rPr>
          <w:rFonts w:ascii="Arial" w:hAnsi="Arial" w:cs="Arial"/>
          <w:sz w:val="24"/>
          <w:szCs w:val="24"/>
        </w:rPr>
        <w:br/>
        <w:t xml:space="preserve">There are two main hormonal systems leading the stress reaction; the sympathetic-adrenomedullary (SAM) and the hypothalamic-pituary-adrenocorticol (HPA) axes (Graham, </w:t>
      </w:r>
      <w:r w:rsidRPr="0038192D">
        <w:rPr>
          <w:rFonts w:ascii="Arial" w:hAnsi="Arial" w:cs="Arial"/>
          <w:i/>
          <w:sz w:val="24"/>
          <w:szCs w:val="24"/>
        </w:rPr>
        <w:t>et al.</w:t>
      </w:r>
      <w:r w:rsidRPr="0038192D">
        <w:rPr>
          <w:rFonts w:ascii="Arial" w:hAnsi="Arial" w:cs="Arial"/>
          <w:sz w:val="24"/>
          <w:szCs w:val="24"/>
        </w:rPr>
        <w:t xml:space="preserve"> 2006) which perform significant duties along with the noradrenergic system (Bremner, </w:t>
      </w:r>
      <w:r w:rsidRPr="0038192D">
        <w:rPr>
          <w:rFonts w:ascii="Arial" w:hAnsi="Arial" w:cs="Arial"/>
          <w:i/>
          <w:sz w:val="24"/>
          <w:szCs w:val="24"/>
        </w:rPr>
        <w:t>et al.</w:t>
      </w:r>
      <w:r w:rsidRPr="0038192D">
        <w:rPr>
          <w:rFonts w:ascii="Arial" w:hAnsi="Arial" w:cs="Arial"/>
          <w:sz w:val="24"/>
          <w:szCs w:val="24"/>
        </w:rPr>
        <w:t xml:space="preserve"> 2019). Stress correlates with the awakening of the HPA axis discharging cortisol and accelerating noradrenergic action (Bremner, </w:t>
      </w:r>
      <w:r w:rsidRPr="0038192D">
        <w:rPr>
          <w:rFonts w:ascii="Arial" w:hAnsi="Arial" w:cs="Arial"/>
          <w:i/>
          <w:sz w:val="24"/>
          <w:szCs w:val="24"/>
        </w:rPr>
        <w:t>et al.</w:t>
      </w:r>
      <w:r w:rsidRPr="0038192D">
        <w:rPr>
          <w:rFonts w:ascii="Arial" w:hAnsi="Arial" w:cs="Arial"/>
          <w:sz w:val="24"/>
          <w:szCs w:val="24"/>
        </w:rPr>
        <w:t xml:space="preserve"> 2019). Depression is linked with a boost in cortisol and norepinephrine and is also linked with transformed capacity in brain regions that are impressionable to stress and bear undeviating production to neurohormonal and cardiovascular systems, which also contains the medial prefrontal cortex (Bremner, </w:t>
      </w:r>
      <w:r w:rsidRPr="0038192D">
        <w:rPr>
          <w:rFonts w:ascii="Arial" w:hAnsi="Arial" w:cs="Arial"/>
          <w:i/>
          <w:sz w:val="24"/>
          <w:szCs w:val="24"/>
        </w:rPr>
        <w:t>et al.</w:t>
      </w:r>
      <w:r w:rsidRPr="0038192D">
        <w:rPr>
          <w:rFonts w:ascii="Arial" w:hAnsi="Arial" w:cs="Arial"/>
          <w:sz w:val="24"/>
          <w:szCs w:val="24"/>
        </w:rPr>
        <w:t xml:space="preserve"> 2019). This clearly exhibits that there is a link between stress and the immune system and demonstrates the importance of emotional support in the form of physical care and attention during the early stages of development and maturation of the nervous system in children. Highlighting details such as proper nutrition, ensuring a constant supply of oxygen during birth and sufficient emotional support in the early stages of life seem to be </w:t>
      </w:r>
      <w:r w:rsidRPr="0038192D">
        <w:rPr>
          <w:rFonts w:ascii="Arial" w:hAnsi="Arial" w:cs="Arial"/>
          <w:sz w:val="24"/>
          <w:szCs w:val="24"/>
        </w:rPr>
        <w:lastRenderedPageBreak/>
        <w:t xml:space="preserve">insignificant details when considering the development of one's' immune system however, this demonstrates the depth of complexity of the function of the human body's physiological and emotional systems, mirroring earlier findings of how the cognitive and somatic elements both need to be present in order for the holistic function to be realised. Furthermore, the postulation of depression having a negative impact on the areas of the brain that deal with stress demonstrates a cycle whereby emotion (in this case, depression) has a physical effect on a particular region of the body (the sections of the brain that have a higher susceptibility to stress) which leads on to an increase of emotion (higher levels of stress experienced) further leading on to a physical reaction (effecting the neurohormonal and cardiovascular systems), suggesting a downward spiral where both elements seem to affect each other. This hypothesis is supported by Pennisi (1997) who states that the information exchange between the immune system and the brain goes both ways: the brain recognises the stress and then initiates specific immune couriers which sequentially initiate the brain to generate the body to respond. Eventually, these responses contain decommissioning the immune couriers, producing a composite feedback (Pennisi, 1997). This is also reminiscent of earlier findings around emotion and the debate of whether a cognitive experience or a somatic experience happens first, initiating an experience of emotion, raising speculation over whether an emotion affects the body first, vice versa or whether this process is fluid.  </w:t>
      </w:r>
      <w:r w:rsidRPr="0038192D">
        <w:rPr>
          <w:rFonts w:ascii="Arial" w:hAnsi="Arial" w:cs="Arial"/>
          <w:sz w:val="24"/>
          <w:szCs w:val="24"/>
        </w:rPr>
        <w:br/>
        <w:t xml:space="preserve">Graham </w:t>
      </w:r>
      <w:r w:rsidRPr="0038192D">
        <w:rPr>
          <w:rFonts w:ascii="Arial" w:hAnsi="Arial" w:cs="Arial"/>
          <w:i/>
          <w:sz w:val="24"/>
          <w:szCs w:val="24"/>
        </w:rPr>
        <w:t xml:space="preserve">et al. </w:t>
      </w:r>
      <w:r w:rsidRPr="0038192D">
        <w:rPr>
          <w:rFonts w:ascii="Arial" w:hAnsi="Arial" w:cs="Arial"/>
          <w:sz w:val="24"/>
          <w:szCs w:val="24"/>
        </w:rPr>
        <w:t xml:space="preserve">(2006) also discuss how incessant stress might increase the speed of standard immune dysregulation related to age and that age and stress act together in affecting the function of the immune system, as well as causing premature aging. Graham </w:t>
      </w:r>
      <w:r w:rsidRPr="0038192D">
        <w:rPr>
          <w:rFonts w:ascii="Arial" w:hAnsi="Arial" w:cs="Arial"/>
          <w:i/>
          <w:sz w:val="24"/>
          <w:szCs w:val="24"/>
        </w:rPr>
        <w:t xml:space="preserve">et al. </w:t>
      </w:r>
      <w:r w:rsidRPr="0038192D">
        <w:rPr>
          <w:rFonts w:ascii="Arial" w:hAnsi="Arial" w:cs="Arial"/>
          <w:sz w:val="24"/>
          <w:szCs w:val="24"/>
        </w:rPr>
        <w:t xml:space="preserve">(2006) disclose that analysis of stress and its effect on the immune system has concentrated, for the most part, on healthy persons. Elder persons may well be exposed to individual aggravations for extended periods of time therefore presenting the most remarkable reactions which could possibly strengthen this theory (Graham, </w:t>
      </w:r>
      <w:r w:rsidRPr="0038192D">
        <w:rPr>
          <w:rFonts w:ascii="Arial" w:hAnsi="Arial" w:cs="Arial"/>
          <w:i/>
          <w:sz w:val="24"/>
          <w:szCs w:val="24"/>
        </w:rPr>
        <w:t>et al.</w:t>
      </w:r>
      <w:r w:rsidRPr="0038192D">
        <w:rPr>
          <w:rFonts w:ascii="Arial" w:hAnsi="Arial" w:cs="Arial"/>
          <w:sz w:val="24"/>
          <w:szCs w:val="24"/>
        </w:rPr>
        <w:t xml:space="preserve"> 2006) however, this could also weaken the theory due to other factors affecting ones physical and emotional health, including age in itself. Supplementary studies are required with elder persons including persons that cover a spectrum of ages in order to further authorise and seek out bilateral effects of psychological stress and becoming older (Graham </w:t>
      </w:r>
      <w:r w:rsidRPr="0038192D">
        <w:rPr>
          <w:rFonts w:ascii="Arial" w:hAnsi="Arial" w:cs="Arial"/>
          <w:i/>
          <w:sz w:val="24"/>
          <w:szCs w:val="24"/>
        </w:rPr>
        <w:t xml:space="preserve">et al. </w:t>
      </w:r>
      <w:r w:rsidRPr="0038192D">
        <w:rPr>
          <w:rFonts w:ascii="Arial" w:hAnsi="Arial" w:cs="Arial"/>
          <w:sz w:val="24"/>
          <w:szCs w:val="24"/>
        </w:rPr>
        <w:t xml:space="preserve">2006). </w:t>
      </w:r>
      <w:r w:rsidRPr="0038192D">
        <w:rPr>
          <w:rFonts w:ascii="Arial" w:hAnsi="Arial" w:cs="Arial"/>
          <w:sz w:val="24"/>
          <w:szCs w:val="24"/>
        </w:rPr>
        <w:br/>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lastRenderedPageBreak/>
        <w:t xml:space="preserve">In pre-Cartesian early modern society, it was believed that the stomach played a much more important role in ones thoughts and feelings compared to current culture (Purnis, 2010). Queen Elizabeth I made a speech in 1588 to gather the English military at Tilbury in opposition to the attacking Spanish Armada stating, 'I know I have the body of a weak and feeble woman, but I have the heart and stomach of a king, and a king of England too' (Purnis, 2010, pg. 800). In doing so, Queen Elizabeth brings awareness to the significance of interior physical organs in relation to understanding ones individuality and identity, without mentioning the brain, appointing equivalent worth to each organ through her use of the word 'and' (Purnis, 2010). The names or titles of these organs held communal figurative connotations during the early modern period with one being 'courage', however although such language and connotations of the heart still circulate in modern language, those of the stomach have become seemingly out of date and foreign (Purnis, 2010). These metaphors and phrases alike reflected the belief of the significance held in the link between the stomach and ones emotions, with some examples being, 'to utter (the bottom) of one's stomach' along with 'to fish out the bottom of a person's stomach' (Purnis, 2010, pg. 803). There were a range of phrases and expressions used around the stomach in different contexts such as 'to pierce one's stomach' relating to an arduous enduring mental influence, the phrase 'to stomach' was spoken in the context of disapproving or being offended and acting 'upon stomach' or 'out of stomach' implied that someone had acted out of a state of being mad or spiteful (Purnis, 2010, pg. 803). This language of phrases and expressions is also associated with the stomachs corporeal capacity, due to the juxtaposed role of this vessel not only being for nourishment and sustenance, which is then disseminated throughout the entire body, but also in relation to the nerves encircling the organ, providing it with a beautiful perception of awareness, gifted with a fast insight and an understanding of when it is empty which is an individual trait to the stomach alone; a quality not present in any other organ (Purnis, 2010). This literature highlights the significance of the stomach and how it used to be viewed in high regard in early modern society. Within today's society, the stomach is still used in metaphorical and suggestive language however, Purnis (2010) observes this has become diluted over time as it is no longer seen as a bold statement or a metaphor for courage; more so that of a physiological machine that aids the body's upkeep with absorption of vital </w:t>
      </w:r>
      <w:r w:rsidRPr="0038192D">
        <w:rPr>
          <w:rFonts w:ascii="Arial" w:hAnsi="Arial" w:cs="Arial"/>
          <w:sz w:val="24"/>
          <w:szCs w:val="24"/>
        </w:rPr>
        <w:lastRenderedPageBreak/>
        <w:t xml:space="preserve">nutrients. The strength and the honour of the stomach is no longer present and is not something that a member of the royal family would refer to in a speech in today's society. </w:t>
      </w:r>
      <w:r w:rsidRPr="0038192D">
        <w:rPr>
          <w:rFonts w:ascii="Arial" w:hAnsi="Arial" w:cs="Arial"/>
          <w:sz w:val="24"/>
          <w:szCs w:val="24"/>
        </w:rPr>
        <w:br/>
        <w:t xml:space="preserve">Purnis (2010) talks about digestion and how its view was affected by William Harvey's unearthing of the concept of blood flow in the seventeenth century. It was accepted that digestion was concerned with the metamorphosis of food so that the body was capable of absorbing it and also with the manufacturing of the four humours however, both the stomach and digestion held a significant position in deciding a persons' emotional experience and their somatic and psychological reaction not just via the four humours but also via spirits; fine substances created from the blood (Purnis, 2010). The spirit is the apparatus of the soul to carry out his conduct, and is an intermediate link between the body and soul, also suggested as a fourth soul per se (Purnis, 2010). There were believed to be three types of spirits equivalent to the three most important parts of the body which were 'the natural, the vital and the animal (from </w:t>
      </w:r>
      <w:r w:rsidRPr="0038192D">
        <w:rPr>
          <w:rFonts w:ascii="Arial" w:hAnsi="Arial" w:cs="Arial"/>
          <w:i/>
          <w:sz w:val="24"/>
          <w:szCs w:val="24"/>
        </w:rPr>
        <w:t>anima</w:t>
      </w:r>
      <w:r w:rsidRPr="0038192D">
        <w:rPr>
          <w:rFonts w:ascii="Arial" w:hAnsi="Arial" w:cs="Arial"/>
          <w:sz w:val="24"/>
          <w:szCs w:val="24"/>
        </w:rPr>
        <w:t>, 'soul') (Purnis, 2010, pg. 806). The natural spirits were created in the liver and distributed through the veins in order to carry out natural behaviours, which was inclusive of providing nutrition; the vital spirits were created in the heart arising out of the natural spirits and carried by the arteries right through the body with the belief that if they stop, life would also stop; the animal spirits were created in the brain from the vital spirits and circulated via the nerves to the supplementary members in order to give them logic and action (Purnis, 2010). If the creation of the humours was not appropriately accomplished in the stomach, injurious vapours were created that would be capable of rising to the head, disquieting and harming the brain and mind but furthermore, could also create tainted spirits which would in addition modify the condition of the mind and body alike, in an adverse manner, often inciting altercation and controversy (Purnis, 2010). Equitably significant, the spirits also played an important role in conveying intelligence from the faculties of the soul situated in the brain to the remainder of the body in the context of emotional responses (Purnis, 2010). The vital spirits move around the entire body taking guidance from the reasonable soul, staying connected with the imagination and performing as the way the soul executes its physical affairs (Purnis, 2010).</w:t>
      </w:r>
      <w:r w:rsidRPr="0038192D">
        <w:rPr>
          <w:rFonts w:ascii="Arial" w:hAnsi="Arial" w:cs="Arial"/>
          <w:sz w:val="24"/>
          <w:szCs w:val="24"/>
        </w:rPr>
        <w:br/>
        <w:t xml:space="preserve">There are many elements in this section that derive from one single organ alone. </w:t>
      </w:r>
      <w:r w:rsidRPr="0038192D">
        <w:rPr>
          <w:rFonts w:ascii="Arial" w:hAnsi="Arial" w:cs="Arial"/>
          <w:sz w:val="24"/>
          <w:szCs w:val="24"/>
        </w:rPr>
        <w:lastRenderedPageBreak/>
        <w:t xml:space="preserve">The stomach is positioned in the centre of the body and disseminates nutrition throughout the whole body which signifies its importance to the healthy functioning and maintenance of the body as a whole organism. When thinking about modern medicine and the ways in which different organs and body parts can be removed and replaced with either alternative materials from other parts of the physique or manmade materials, speculation occurs around what might happen if one's stomach was replaced. If it holds as much significance as Purnis (2010) suggests, it would have a detrimental effect to many aspects of one's life. </w:t>
      </w:r>
      <w:r w:rsidRPr="0038192D">
        <w:rPr>
          <w:rFonts w:ascii="Arial" w:hAnsi="Arial" w:cs="Arial"/>
          <w:sz w:val="24"/>
          <w:szCs w:val="24"/>
        </w:rPr>
        <w:br/>
        <w:t>The well known phrase of 'trust your gut' is a metaphor widely used within contemporary society and it is clear from the literature above where this comes from. It is also often said in retrospect that one should have 'trusted their gut', when noticing a strong feeling about a certain situation but deciding to act in a different manner, and the stomach is widely known as the second brain (Gershon, 1999).</w:t>
      </w:r>
      <w:r w:rsidRPr="0038192D">
        <w:rPr>
          <w:rFonts w:ascii="Arial" w:hAnsi="Arial" w:cs="Arial"/>
          <w:b/>
          <w:sz w:val="24"/>
          <w:szCs w:val="24"/>
        </w:rPr>
        <w:t xml:space="preserve"> </w:t>
      </w:r>
      <w:r w:rsidRPr="0038192D">
        <w:rPr>
          <w:rFonts w:ascii="Arial" w:hAnsi="Arial" w:cs="Arial"/>
          <w:sz w:val="24"/>
          <w:szCs w:val="24"/>
        </w:rPr>
        <w:t>This gives rise to wondering if there is a specific reason for the abundance of nerves within this organ and whether the brain and the stomach are physically connected.</w:t>
      </w:r>
    </w:p>
    <w:p w:rsidR="0038192D" w:rsidRPr="0038192D" w:rsidRDefault="0038192D" w:rsidP="0038192D">
      <w:pPr>
        <w:spacing w:line="360" w:lineRule="auto"/>
        <w:rPr>
          <w:rFonts w:ascii="Arial" w:hAnsi="Arial" w:cs="Arial"/>
          <w:sz w:val="24"/>
          <w:szCs w:val="24"/>
        </w:rPr>
      </w:pP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There is an autonomous system of more than 100 billion neurons within the stomach which indicate stress to the body and bring about poor physical health (Gershon, 1999). 95 per cent of the entirety of serotonin produced in the body is produced in the stomach generating digestion and it is also utilised by nerve cells in order to send messages back to the brain (Gershon, 1999). Dysfunctional thinking and the psychological methods such as thoughts, recollection and concentration, take action via setting up or organizing neural links between the brain and the bowel within biological arrangements, disturbing emotions along with the functions of the bowel which leads to symptoms of Irritable Bowel Syndrome (IBS) (Zomorrodi, </w:t>
      </w:r>
      <w:r w:rsidRPr="0038192D">
        <w:rPr>
          <w:rFonts w:ascii="Arial" w:hAnsi="Arial" w:cs="Arial"/>
          <w:i/>
          <w:sz w:val="24"/>
          <w:szCs w:val="24"/>
        </w:rPr>
        <w:t>et al.</w:t>
      </w:r>
      <w:r w:rsidRPr="0038192D">
        <w:rPr>
          <w:rFonts w:ascii="Arial" w:hAnsi="Arial" w:cs="Arial"/>
          <w:sz w:val="24"/>
          <w:szCs w:val="24"/>
        </w:rPr>
        <w:t xml:space="preserve"> 2015). There are twenty five recognized utilitarian gastrointestinal afflictions however IBS is known to be the most common, holds the highest expense for treatment and is also identified as the most incapacitating (Zomorrodi, </w:t>
      </w:r>
      <w:r w:rsidRPr="0038192D">
        <w:rPr>
          <w:rFonts w:ascii="Arial" w:hAnsi="Arial" w:cs="Arial"/>
          <w:i/>
          <w:sz w:val="24"/>
          <w:szCs w:val="24"/>
        </w:rPr>
        <w:t>et al.</w:t>
      </w:r>
      <w:r w:rsidRPr="0038192D">
        <w:rPr>
          <w:rFonts w:ascii="Arial" w:hAnsi="Arial" w:cs="Arial"/>
          <w:sz w:val="24"/>
          <w:szCs w:val="24"/>
        </w:rPr>
        <w:t xml:space="preserve"> 2015). IBS is defined through symptoms of modifications in bowel behaviours and physical suffering, including irritation in the stomach devoid of any anatomical abnormalities (Zomorrodi, </w:t>
      </w:r>
      <w:r w:rsidRPr="0038192D">
        <w:rPr>
          <w:rFonts w:ascii="Arial" w:hAnsi="Arial" w:cs="Arial"/>
          <w:i/>
          <w:sz w:val="24"/>
          <w:szCs w:val="24"/>
        </w:rPr>
        <w:t xml:space="preserve">et al. </w:t>
      </w:r>
      <w:r w:rsidRPr="0038192D">
        <w:rPr>
          <w:rFonts w:ascii="Arial" w:hAnsi="Arial" w:cs="Arial"/>
          <w:sz w:val="24"/>
          <w:szCs w:val="24"/>
        </w:rPr>
        <w:t xml:space="preserve">2015). Due to this ailment lacking any apparent problem solving indicators, it is identified through logical exhibitions (Zomorrodi, </w:t>
      </w:r>
      <w:r w:rsidRPr="0038192D">
        <w:rPr>
          <w:rFonts w:ascii="Arial" w:hAnsi="Arial" w:cs="Arial"/>
          <w:i/>
          <w:sz w:val="24"/>
          <w:szCs w:val="24"/>
        </w:rPr>
        <w:t xml:space="preserve">et al. </w:t>
      </w:r>
      <w:r w:rsidRPr="0038192D">
        <w:rPr>
          <w:rFonts w:ascii="Arial" w:hAnsi="Arial" w:cs="Arial"/>
          <w:sz w:val="24"/>
          <w:szCs w:val="24"/>
        </w:rPr>
        <w:t xml:space="preserve">2015). As a result of the symptoms of IBS intermittently ceasing and later reappearing they can frequently be </w:t>
      </w:r>
      <w:r w:rsidRPr="0038192D">
        <w:rPr>
          <w:rFonts w:ascii="Arial" w:hAnsi="Arial" w:cs="Arial"/>
          <w:sz w:val="24"/>
          <w:szCs w:val="24"/>
        </w:rPr>
        <w:lastRenderedPageBreak/>
        <w:t xml:space="preserve">confused for other illnesses such as 'fibromyalgia, headache, backache, and urinary-reproductive symptoms' (Zomorrodi, </w:t>
      </w:r>
      <w:r w:rsidRPr="0038192D">
        <w:rPr>
          <w:rFonts w:ascii="Arial" w:hAnsi="Arial" w:cs="Arial"/>
          <w:i/>
          <w:sz w:val="24"/>
          <w:szCs w:val="24"/>
        </w:rPr>
        <w:t>et al.</w:t>
      </w:r>
      <w:r w:rsidRPr="0038192D">
        <w:rPr>
          <w:rFonts w:ascii="Arial" w:hAnsi="Arial" w:cs="Arial"/>
          <w:sz w:val="24"/>
          <w:szCs w:val="24"/>
        </w:rPr>
        <w:t xml:space="preserve"> 2015, pg. 100). No cause or origin of this disease has been discovered however some suggestions such as anomalous gastrointestinal motor and neural actions, CNS flaws, cognitive illnesses and stress have been quoted in literature (Zomorrodi, </w:t>
      </w:r>
      <w:r w:rsidRPr="0038192D">
        <w:rPr>
          <w:rFonts w:ascii="Arial" w:hAnsi="Arial" w:cs="Arial"/>
          <w:i/>
          <w:sz w:val="24"/>
          <w:szCs w:val="24"/>
        </w:rPr>
        <w:t>et al.</w:t>
      </w:r>
      <w:r w:rsidRPr="0038192D">
        <w:rPr>
          <w:rFonts w:ascii="Arial" w:hAnsi="Arial" w:cs="Arial"/>
          <w:sz w:val="24"/>
          <w:szCs w:val="24"/>
        </w:rPr>
        <w:t xml:space="preserve"> 2015). In roughly 80 per cent of those suffering with IBS, aberrant cognitive symptoms have been documented nevertheless, there has not been any discovery of a solitary prevailing mental conclusion (Zomorrodi, </w:t>
      </w:r>
      <w:r w:rsidRPr="0038192D">
        <w:rPr>
          <w:rFonts w:ascii="Arial" w:hAnsi="Arial" w:cs="Arial"/>
          <w:i/>
          <w:sz w:val="24"/>
          <w:szCs w:val="24"/>
        </w:rPr>
        <w:t>et al.</w:t>
      </w:r>
      <w:r w:rsidRPr="0038192D">
        <w:rPr>
          <w:rFonts w:ascii="Arial" w:hAnsi="Arial" w:cs="Arial"/>
          <w:sz w:val="24"/>
          <w:szCs w:val="24"/>
        </w:rPr>
        <w:t xml:space="preserve"> 2015). This literature proves that there is a direct link between the bowel and the brain, highlighting, in the case of IBS, that a lack of physical abnormalities or clear physical dysfunction need not determine a lack of predicament. Interestingly, in opposition, it postulates that this link between the brain and bowel is the exact cause of the somatic manifestations although, even though the brain is being held responsible, there could be a possibility that a piece of the puzzle is missing due to not being able to pinpoint any psychological illness in direct link with IBS, inciting one to speculate whether dysfunctional thoughts alone are powerful enough to generate this process, which leads on to additional speculation that further research might be beneficial.  </w:t>
      </w:r>
      <w:r w:rsidRPr="0038192D">
        <w:rPr>
          <w:rFonts w:ascii="Arial" w:hAnsi="Arial" w:cs="Arial"/>
          <w:sz w:val="24"/>
          <w:szCs w:val="24"/>
        </w:rPr>
        <w:br/>
      </w:r>
      <w:r w:rsidRPr="0038192D">
        <w:rPr>
          <w:rFonts w:ascii="Arial" w:hAnsi="Arial" w:cs="Arial"/>
          <w:sz w:val="24"/>
          <w:szCs w:val="24"/>
        </w:rPr>
        <w:br/>
        <w:t xml:space="preserve">The wellness of the microbiome, in terms of the type of variety and diversification of the bacteria in the stomach, has been linked with problems with digestion like an unsettled stomach, bloating, dysentery and Irritable Bowel Syndrome (Lawrence and Hyde, 2017). A typical person accommodates trillions of stomach bacteria, with the assortment and different types of bacteria differing considerably from person to person, and research demonstrates that if the bacteria is lower than the optimal level, it can have a serious effect on one's health with Crohn's disease, obesity and type 2 diabetes being some of the diseases to report low level bacterial variety (Lawrence and Hyde, 2017). Having a high body mass index has been connected with having little bacterial abundance and vice versa with little bacterial abundance being connected to a low body mass index (Lawrence and Hyde, 2017). Reduced variety of bacteria in faeces has been categorically linked with visceral fat and visceral fat is connected with a larger chance of developing cardiovascular disease and type 2 diabetes (Lawrence and Hyde, 2017). Bacteria in the gut have been speculated to have an effect on weight through indicating satiation to the brain and </w:t>
      </w:r>
      <w:r w:rsidRPr="0038192D">
        <w:rPr>
          <w:rFonts w:ascii="Arial" w:hAnsi="Arial" w:cs="Arial"/>
          <w:sz w:val="24"/>
          <w:szCs w:val="24"/>
        </w:rPr>
        <w:lastRenderedPageBreak/>
        <w:t xml:space="preserve">by affecting caloric removal from food (Lawrence and Hyde, 2017).  </w:t>
      </w:r>
      <w:r w:rsidRPr="0038192D">
        <w:rPr>
          <w:rFonts w:ascii="Arial" w:hAnsi="Arial" w:cs="Arial"/>
          <w:sz w:val="24"/>
          <w:szCs w:val="24"/>
        </w:rPr>
        <w:br/>
        <w:t xml:space="preserve">The architecture of the bacteria in the gut does not automatically stay constant right the way through life and is able to be affected by aspects like parasites, illness and the environment in which one lives however, the most influential and substantial affect on the microbiome comes from nutrition, which can swiftly affect the abundance of bacteria having penalties on one's health (Lawrence and Hyde, 2017). However, research demonstrates that the bacteria in the gut is able to be influenced in a number of days through adjustments to one's diet, for instance, adjusting the quantity of vegetable based or animal based food one consumes, on top of amending consumption of carbohydrate can all affect the structure of the microbiome (Lawrence and Hyde, 2017). A study called </w:t>
      </w:r>
      <w:r w:rsidRPr="0038192D">
        <w:rPr>
          <w:rFonts w:ascii="Arial" w:hAnsi="Arial" w:cs="Arial"/>
          <w:i/>
          <w:sz w:val="24"/>
          <w:szCs w:val="24"/>
        </w:rPr>
        <w:t>The Gut Makeover</w:t>
      </w:r>
      <w:r w:rsidRPr="0038192D">
        <w:rPr>
          <w:rFonts w:ascii="Arial" w:hAnsi="Arial" w:cs="Arial"/>
          <w:sz w:val="24"/>
          <w:szCs w:val="24"/>
        </w:rPr>
        <w:t xml:space="preserve"> was undertaken by Lawrence and Hyde (2017) with the aim of restoring gut bacteria over a period of four weeks, through 'restricting processed high grain carbohydrate foods, sugar, and artificial sweeteners, which may cause dysbiosis', as well as advancing the intake of vegetables and fermented foods which endorse helpful bacteria (Lawrence and Hyde, 2017, pg. 2). The eating plan was mainly created in order to encourage weight loss and improve the digestive symptom however, subjective information of those who took part in the program propose additional enhancements in their somatic and cognitive wellbeing (Lawrence and Hyde, 2017). Nevertheless, the influence of the eating plan that was created for </w:t>
      </w:r>
      <w:r w:rsidRPr="0038192D">
        <w:rPr>
          <w:rFonts w:ascii="Arial" w:hAnsi="Arial" w:cs="Arial"/>
          <w:i/>
          <w:sz w:val="24"/>
          <w:szCs w:val="24"/>
        </w:rPr>
        <w:t>The Gut Makeover</w:t>
      </w:r>
      <w:r w:rsidRPr="0038192D">
        <w:rPr>
          <w:rFonts w:ascii="Arial" w:hAnsi="Arial" w:cs="Arial"/>
          <w:sz w:val="24"/>
          <w:szCs w:val="24"/>
        </w:rPr>
        <w:t xml:space="preserve"> program was not solely tested on the multiplicity and healthiness of the microbiome (Lawrence and Hyde, 2017). The discovery that </w:t>
      </w:r>
      <w:r w:rsidRPr="0038192D">
        <w:rPr>
          <w:rFonts w:ascii="Arial" w:hAnsi="Arial" w:cs="Arial"/>
          <w:i/>
          <w:sz w:val="24"/>
          <w:szCs w:val="24"/>
        </w:rPr>
        <w:t>The Gut Makeover</w:t>
      </w:r>
      <w:r w:rsidRPr="0038192D">
        <w:rPr>
          <w:rFonts w:ascii="Arial" w:hAnsi="Arial" w:cs="Arial"/>
          <w:sz w:val="24"/>
          <w:szCs w:val="24"/>
        </w:rPr>
        <w:t xml:space="preserve"> had a positive impact on physical and psychological wellbeing, as a side effect of what was actually being tested, is an inspiring discovery however, the lack of direct testing on whether this diet would positively influence the diversity and wellbeing of the microbiome has cause to weaken this theory. Worryingly, after this article was published, concerns were highlighted with regards to the accuracy of the arrangement of the study and its findings and the article was retracted (The </w:t>
      </w:r>
      <w:r w:rsidRPr="0038192D">
        <w:rPr>
          <w:rFonts w:ascii="Arial" w:hAnsi="Arial" w:cs="Arial"/>
          <w:i/>
          <w:sz w:val="24"/>
          <w:szCs w:val="24"/>
        </w:rPr>
        <w:t xml:space="preserve">PLOS ONE </w:t>
      </w:r>
      <w:r w:rsidRPr="0038192D">
        <w:rPr>
          <w:rFonts w:ascii="Arial" w:hAnsi="Arial" w:cs="Arial"/>
          <w:sz w:val="24"/>
          <w:szCs w:val="24"/>
        </w:rPr>
        <w:t xml:space="preserve">Editors, 2018). Among the reasons for retraction were data that were measured and reported by the participants themselves, including their weight and signs of illness, of which were not checked nor authenticated by the researchers, along with a lack of system to measure obedience to the eating plan; Lawrence and Hyde (2017) did not include any information around whether any of the participants were or had taken any medication </w:t>
      </w:r>
      <w:r w:rsidRPr="0038192D">
        <w:rPr>
          <w:rFonts w:ascii="Arial" w:hAnsi="Arial" w:cs="Arial"/>
          <w:sz w:val="24"/>
          <w:szCs w:val="24"/>
        </w:rPr>
        <w:lastRenderedPageBreak/>
        <w:t xml:space="preserve">throughout or prior to the program; there was an absence of information around the quantities of food and the variety of items ingested for each individual and the structure of the participants microbiome was not examined therefore, the remark that the mediation was a "microbiome restoration" is not upheld (The </w:t>
      </w:r>
      <w:r w:rsidRPr="0038192D">
        <w:rPr>
          <w:rFonts w:ascii="Arial" w:hAnsi="Arial" w:cs="Arial"/>
          <w:i/>
          <w:sz w:val="24"/>
          <w:szCs w:val="24"/>
        </w:rPr>
        <w:t xml:space="preserve">PLOS ONE </w:t>
      </w:r>
      <w:r w:rsidRPr="0038192D">
        <w:rPr>
          <w:rFonts w:ascii="Arial" w:hAnsi="Arial" w:cs="Arial"/>
          <w:sz w:val="24"/>
          <w:szCs w:val="24"/>
        </w:rPr>
        <w:t xml:space="preserve">Editors, 2018, pg. 1). Nonetheless, the many reasons for the lack of validation and retraction of this study does not extrapolate the scientific facts around the bowel, brain and gut bacteria; only that the eating plan created may or may not have an impact on the diversification of the microbiome therefore improving both somatic and psychological wellbeing. This is supported by Cotta, </w:t>
      </w:r>
      <w:r w:rsidRPr="0038192D">
        <w:rPr>
          <w:rFonts w:ascii="Arial" w:hAnsi="Arial" w:cs="Arial"/>
          <w:i/>
          <w:sz w:val="24"/>
          <w:szCs w:val="24"/>
        </w:rPr>
        <w:t>et al.</w:t>
      </w:r>
      <w:r w:rsidRPr="0038192D">
        <w:rPr>
          <w:rFonts w:ascii="Arial" w:hAnsi="Arial" w:cs="Arial"/>
          <w:sz w:val="24"/>
          <w:szCs w:val="24"/>
        </w:rPr>
        <w:t xml:space="preserve">, (2016) who declare that evidence of the significance of nutrition with regards to psychological ill health is expanding. The microbiota within the gut, affected by aspects within one's environment such as food consumption and stress, has been suggested as one of the elements within what is known as the gut-brain axis, which is proposed to directly affect ones manner and psychological well being (Cotta, </w:t>
      </w:r>
      <w:r w:rsidRPr="0038192D">
        <w:rPr>
          <w:rFonts w:ascii="Arial" w:hAnsi="Arial" w:cs="Arial"/>
          <w:i/>
          <w:sz w:val="24"/>
          <w:szCs w:val="24"/>
        </w:rPr>
        <w:t xml:space="preserve">et al., </w:t>
      </w:r>
      <w:r w:rsidRPr="0038192D">
        <w:rPr>
          <w:rFonts w:ascii="Arial" w:hAnsi="Arial" w:cs="Arial"/>
          <w:sz w:val="24"/>
          <w:szCs w:val="24"/>
        </w:rPr>
        <w:t xml:space="preserve">2016). Microbiota in the gut has been revealed to have a positive effect on the growth of the brain itself (Cotta, </w:t>
      </w:r>
      <w:r w:rsidRPr="0038192D">
        <w:rPr>
          <w:rFonts w:ascii="Arial" w:hAnsi="Arial" w:cs="Arial"/>
          <w:i/>
          <w:sz w:val="24"/>
          <w:szCs w:val="24"/>
        </w:rPr>
        <w:t xml:space="preserve">et al., </w:t>
      </w:r>
      <w:r w:rsidRPr="0038192D">
        <w:rPr>
          <w:rFonts w:ascii="Arial" w:hAnsi="Arial" w:cs="Arial"/>
          <w:sz w:val="24"/>
          <w:szCs w:val="24"/>
        </w:rPr>
        <w:t xml:space="preserve">2016). Investigations show that the structure of the microbiota has an effect on conduct via neuroendocrine and additional neuroactive couriers creation via the bacteria inside the gut lumen (Cotta, </w:t>
      </w:r>
      <w:r w:rsidRPr="0038192D">
        <w:rPr>
          <w:rFonts w:ascii="Arial" w:hAnsi="Arial" w:cs="Arial"/>
          <w:i/>
          <w:sz w:val="24"/>
          <w:szCs w:val="24"/>
        </w:rPr>
        <w:t xml:space="preserve">et al., </w:t>
      </w:r>
      <w:r w:rsidRPr="0038192D">
        <w:rPr>
          <w:rFonts w:ascii="Arial" w:hAnsi="Arial" w:cs="Arial"/>
          <w:sz w:val="24"/>
          <w:szCs w:val="24"/>
        </w:rPr>
        <w:t xml:space="preserve">2016). Research in healthy animals, those bared to bacterial diseases, probiotic additives or antibiotic medicine propose a position for the microbiota in the stomach, in regulating anxiety, frame of mind, understanding and physical suffering (Cotta, </w:t>
      </w:r>
      <w:r w:rsidRPr="0038192D">
        <w:rPr>
          <w:rFonts w:ascii="Arial" w:hAnsi="Arial" w:cs="Arial"/>
          <w:i/>
          <w:sz w:val="24"/>
          <w:szCs w:val="24"/>
        </w:rPr>
        <w:t xml:space="preserve">et al., </w:t>
      </w:r>
      <w:r w:rsidRPr="0038192D">
        <w:rPr>
          <w:rFonts w:ascii="Arial" w:hAnsi="Arial" w:cs="Arial"/>
          <w:sz w:val="24"/>
          <w:szCs w:val="24"/>
        </w:rPr>
        <w:t xml:space="preserve">2016). Psychological disorders that have been associated with the gut microbiome include 'anxiety and depression, multiple sclerosis, Alzheimer's disease, Parkinson's disease and autism (Cotta, </w:t>
      </w:r>
      <w:r w:rsidRPr="0038192D">
        <w:rPr>
          <w:rFonts w:ascii="Arial" w:hAnsi="Arial" w:cs="Arial"/>
          <w:i/>
          <w:sz w:val="24"/>
          <w:szCs w:val="24"/>
        </w:rPr>
        <w:t xml:space="preserve">et al., </w:t>
      </w:r>
      <w:r w:rsidRPr="0038192D">
        <w:rPr>
          <w:rFonts w:ascii="Arial" w:hAnsi="Arial" w:cs="Arial"/>
          <w:sz w:val="24"/>
          <w:szCs w:val="24"/>
        </w:rPr>
        <w:t xml:space="preserve">2016, pg. S504). Managing psychological illness normally involves pharmacological and psychotherapeutic mediation with a modest amount of consideration applied to nutritional mediations (Cotta, </w:t>
      </w:r>
      <w:r w:rsidRPr="0038192D">
        <w:rPr>
          <w:rFonts w:ascii="Arial" w:hAnsi="Arial" w:cs="Arial"/>
          <w:i/>
          <w:sz w:val="24"/>
          <w:szCs w:val="24"/>
        </w:rPr>
        <w:t xml:space="preserve">et al., </w:t>
      </w:r>
      <w:r w:rsidRPr="0038192D">
        <w:rPr>
          <w:rFonts w:ascii="Arial" w:hAnsi="Arial" w:cs="Arial"/>
          <w:sz w:val="24"/>
          <w:szCs w:val="24"/>
        </w:rPr>
        <w:t xml:space="preserve">2016). Cotta, </w:t>
      </w:r>
      <w:r w:rsidRPr="0038192D">
        <w:rPr>
          <w:rFonts w:ascii="Arial" w:hAnsi="Arial" w:cs="Arial"/>
          <w:i/>
          <w:sz w:val="24"/>
          <w:szCs w:val="24"/>
        </w:rPr>
        <w:t xml:space="preserve">et al., </w:t>
      </w:r>
      <w:r w:rsidRPr="0038192D">
        <w:rPr>
          <w:rFonts w:ascii="Arial" w:hAnsi="Arial" w:cs="Arial"/>
          <w:sz w:val="24"/>
          <w:szCs w:val="24"/>
        </w:rPr>
        <w:t xml:space="preserve">(2016) suggest the rising area of study focussing on the human microbiome proposes a significant function for the gut microbiota in affecting the advancement of the brain, conduct and temperament in persons and highlights new plans for advancing innovative therapeutic interventions for psychological illnesses. This information is very significant in adding an extra dimension to the holistic view of one's health. The fact that the microbiome of the gut has a significant effect on one's health yet one's diet can have a significant impact on the microbiome in a very short </w:t>
      </w:r>
      <w:r w:rsidRPr="0038192D">
        <w:rPr>
          <w:rFonts w:ascii="Arial" w:hAnsi="Arial" w:cs="Arial"/>
          <w:sz w:val="24"/>
          <w:szCs w:val="24"/>
        </w:rPr>
        <w:lastRenderedPageBreak/>
        <w:t xml:space="preserve">space of time introduces the element of one's behaviour and environment. Surrounding oneself with positive influences will naturally have a positive impact on ones temperament and emotional wellbeing however, this will then feed through to the way in which one behaves, which can include what food is consumed. Comfort eating is a well known activity where individuals eat less nutritious food that tends to be higher in fat and glucose and seemingly more appetizing, especially when individuals are under stress (Tomiyama, </w:t>
      </w:r>
      <w:r w:rsidRPr="0038192D">
        <w:rPr>
          <w:rFonts w:ascii="Arial" w:hAnsi="Arial" w:cs="Arial"/>
          <w:i/>
          <w:sz w:val="24"/>
          <w:szCs w:val="24"/>
        </w:rPr>
        <w:t>et al.</w:t>
      </w:r>
      <w:r w:rsidRPr="0038192D">
        <w:rPr>
          <w:rFonts w:ascii="Arial" w:hAnsi="Arial" w:cs="Arial"/>
          <w:sz w:val="24"/>
          <w:szCs w:val="24"/>
        </w:rPr>
        <w:t xml:space="preserve"> 2011). Therefore, when an individual is feeling stressed and low and they choose less nutritious food, this also creates a spiral of influences as the physiological side will be affected which will then affect the mind, continuing to influence each other as the link between the two upholds the communication back and forth. Interestingly, in opposition, the microbiota having an optimistic influence on the growth of the brain and the information collected about diet positively affecting the microbiome proves that many aspects and dimensions to ones overall health have to be considered as important factors.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br/>
        <w:t xml:space="preserve">There is mounting confirmation within research for the duty of the autonomic nervous system (ANS) in a vast variety of physical and psychological disorders (Thayer and Brosschot, 2005). It is understood that the ANS comprises of two main arms - the sympathetic system which is linked with the movement of energy and the parasympathetic system which is linked with vegetative and healing purposes (Thayer and Brosschot, 2005). The standard level usually sits with an equal balance between each arm however, when this alters into a fixed imbalance for instance, due to pressures from a persons' surroundings, the individual becomes susceptible to pathology (Thayer and Brosschot, 2005). Having an imbalance in the ANS, where one arm is dominating over the other, is connected with having a deficit of active adaptability and health (Thayer and Brosschot, 2005). The ANS is an automatic system that first and foremost governs and adjusts the roles of the visceral organs (Svorc, 2018). The ANS motivates the 'smooth muscles of vessels, digestive system, bladder and urethra, lower airways, cardiac muscle, sweat and lacrimal glands, and adrenal medulla' (Svorc, 2018, pg.2) The enteric, also known as intrinsic, nervous system is another main partition of the ANS and is made up of an arrangement of neurons that control the duties of the gastrointestinal tract (Svorc, 2018). It has the ability to perform separately from the sympathetic and parasympathetic nervous </w:t>
      </w:r>
      <w:r w:rsidRPr="0038192D">
        <w:rPr>
          <w:rFonts w:ascii="Arial" w:hAnsi="Arial" w:cs="Arial"/>
          <w:sz w:val="24"/>
          <w:szCs w:val="24"/>
        </w:rPr>
        <w:lastRenderedPageBreak/>
        <w:t xml:space="preserve">systems nonetheless, it might be inflected by sympathetic and parasympathetic enterprise and has been previously mentioned as the 'second brain' (Svorc, 2018).There is much empirical evidence to support the theory that an imbalance in the ANS, where normally the sympathetic system is excessively active and the parasympathetic system is underactive, is linked with a range of medical disorders (Thayer and Brosschot, 2005). </w:t>
      </w:r>
      <w:r w:rsidRPr="0038192D">
        <w:rPr>
          <w:rFonts w:ascii="Arial" w:hAnsi="Arial" w:cs="Arial"/>
          <w:sz w:val="24"/>
          <w:szCs w:val="24"/>
        </w:rPr>
        <w:br/>
        <w:t xml:space="preserve">The vagus nerve is the longest cranial nerve and is thought to hold an essential function with regards to psychological and emotional processes (Womelsdorf, 2016). It is the vagus nerve that joins a large variety of organs, together with the heart, to the brainstem where it then has an influence on the different brain regions responsible for understanding and emotion (Womelsdorf, 2016). </w:t>
      </w:r>
      <w:r w:rsidRPr="0038192D">
        <w:rPr>
          <w:rFonts w:ascii="Arial" w:hAnsi="Arial" w:cs="Arial"/>
          <w:sz w:val="24"/>
          <w:szCs w:val="24"/>
        </w:rPr>
        <w:br/>
        <w:t xml:space="preserve">The vagus nerve is distinguished by its inquisitive course that supplies a wide ranging distribution of nerves to tissues in areas such as the neck, chest and abdomen (Chang, 2019). The vagus nerve is a crucial connection between the body and the brain that passes on varied sensory information 'from visceral tissues important for metabolism, respiration, inflammation, and cardiovascular functions, including stomach, duodenum, ileum, heart, aorta, liver, lung, trachea, and pancreas' and organises many fundamental autonomic roles of the 'respiratory, cardiovascular, digestive and immune systems' (Chang, 2019, pg. 209). It accommodates a variety of 'sensory afferent fibres and motor efferent fibres that have distinct morphological, pharmacological, electrical, and genetic properties' (Chang, 2019, pg. 209). Afferent neurons within the vagus nerve are pseudo-unipolar, with far reaching projections on to visceral organs including brainstem and central collections of cells that inhabit in twos of adjoining vagal ganglia at the bottom of the skull, the bigger nodose and the lesser sized jugular ganglia (nodose/jugular complex) (Chang, 2019, pg. 209). In the centre, vagal sensory axons aim for the nucleus of solitary tract (NTS) within the brainstem, which sequentially sends afferent data to deep seated brain frameworks and downward moving motor nuclei (Chang, 2019).'Surgical, electrical, or pharmacological control' of the vagus nerve action has an effect on a variety of illnesses, some of which include epilepsy, swelling and disorders of the heart (Chang, 2019). This literature clearly presents the link between the brain and the body, telling us that the vagus nerve is the key to communication between the mind and the body. Since this communication is so imperative in an individual's overall </w:t>
      </w:r>
      <w:r w:rsidRPr="0038192D">
        <w:rPr>
          <w:rFonts w:ascii="Arial" w:hAnsi="Arial" w:cs="Arial"/>
          <w:sz w:val="24"/>
          <w:szCs w:val="24"/>
        </w:rPr>
        <w:lastRenderedPageBreak/>
        <w:t>health, it creates a wonder over the maintenance of one's vagus nerve and how one might preserve its function or maintain its health.</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There are many ways in which the activity of the vagus nerve can be calculated (Thayer and Brosschot, 2005). Assessing ones resting heart rate is a straightforward, low cost, and non intrusive gauge of vagal function and autonomic equilibrium (Thayer and Brosschot, 2005). Calculating heart rate variability (HRV) both in terms of time and regularity have also been utilised as a favourable method for indexing vagal activity, as has measuring the responsiveness of baroreflex (Thayer and Brosschot, 2005). The agreement is that lesser amounts of these indices of vagal duty are linked with future fatality and disability, with thorough literature on the subject matter (Thayer and Brosschot, 2005). Thayer and Brosschot (2005) state that the inequality of the autonomic nervous system and HRV are connected to alternative afflictions with existing connections however this might not be as evident and as an example, reduced HRV has been revealed to have links with diabetes mellitus (Thayer and Brosschot, 2005). The calculation of heart rate variability suggests that a physically fit individual has a healthier vagus nerve than that of an unfit individual, leading onto a more sufficiently functioning vagus nerve and therefore supporting the hypothesis that overall health is required with an integrated outlook on the different chapters that feature within a holistic view. Nonetheless, if one changes their lifestyle and decides to adapt a healthier and overarching view of their wellbeing, one can wonder as to whether this will have a positive impact or whether the damage caused through experiencing significant or prolonged negative emotion is irreversible.</w:t>
      </w:r>
    </w:p>
    <w:p w:rsidR="0038192D" w:rsidRPr="0038192D" w:rsidRDefault="0038192D" w:rsidP="0038192D">
      <w:pPr>
        <w:spacing w:line="360" w:lineRule="auto"/>
        <w:rPr>
          <w:rFonts w:ascii="Arial" w:hAnsi="Arial" w:cs="Arial"/>
          <w:sz w:val="24"/>
          <w:szCs w:val="24"/>
        </w:rPr>
      </w:pP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The word 'affect' is a commonly accepted word purporting to depict optimistic or pessimistic subjective encounters transpiring at specific stages (Moneta, </w:t>
      </w:r>
      <w:r w:rsidRPr="0038192D">
        <w:rPr>
          <w:rFonts w:ascii="Arial" w:hAnsi="Arial" w:cs="Arial"/>
          <w:i/>
          <w:sz w:val="24"/>
          <w:szCs w:val="24"/>
        </w:rPr>
        <w:t xml:space="preserve">et al. </w:t>
      </w:r>
      <w:r w:rsidRPr="0038192D">
        <w:rPr>
          <w:rFonts w:ascii="Arial" w:hAnsi="Arial" w:cs="Arial"/>
          <w:sz w:val="24"/>
          <w:szCs w:val="24"/>
        </w:rPr>
        <w:t xml:space="preserve">2012). Affect is an overarching theoretical phrase that covers emotions and different states of mind, arranging them onto a continuum from one end (positive) to the other (negative) and making a distinction between them, depending on how high or low their levels are (Moneta, </w:t>
      </w:r>
      <w:r w:rsidRPr="0038192D">
        <w:rPr>
          <w:rFonts w:ascii="Arial" w:hAnsi="Arial" w:cs="Arial"/>
          <w:i/>
          <w:sz w:val="24"/>
          <w:szCs w:val="24"/>
        </w:rPr>
        <w:t xml:space="preserve">et al. </w:t>
      </w:r>
      <w:r w:rsidRPr="0038192D">
        <w:rPr>
          <w:rFonts w:ascii="Arial" w:hAnsi="Arial" w:cs="Arial"/>
          <w:sz w:val="24"/>
          <w:szCs w:val="24"/>
        </w:rPr>
        <w:t xml:space="preserve">2012). Emotion and affect have been under close examination within scientific discourses for many years with regards to their position in relation to mental and physical health (Cavanagh and Larkin, 2018). Negative </w:t>
      </w:r>
      <w:r w:rsidRPr="0038192D">
        <w:rPr>
          <w:rFonts w:ascii="Arial" w:hAnsi="Arial" w:cs="Arial"/>
          <w:sz w:val="24"/>
          <w:szCs w:val="24"/>
        </w:rPr>
        <w:lastRenderedPageBreak/>
        <w:t xml:space="preserve">affect (NA) and positive affect (PA) are two expansive measures of affect which can be considered as 'a general trait or as a transient state factor' (Cavanagh and Larkin, 2018, pg.259). Negative affect and positive affect were originally looked upon as more or less separate constructs (Moneta, </w:t>
      </w:r>
      <w:r w:rsidRPr="0038192D">
        <w:rPr>
          <w:rFonts w:ascii="Arial" w:hAnsi="Arial" w:cs="Arial"/>
          <w:i/>
          <w:sz w:val="24"/>
          <w:szCs w:val="24"/>
        </w:rPr>
        <w:t xml:space="preserve">et al. </w:t>
      </w:r>
      <w:r w:rsidRPr="0038192D">
        <w:rPr>
          <w:rFonts w:ascii="Arial" w:hAnsi="Arial" w:cs="Arial"/>
          <w:sz w:val="24"/>
          <w:szCs w:val="24"/>
        </w:rPr>
        <w:t xml:space="preserve">2012).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Research has demonstrated how positive emotions hold an imperative function in the regulation of negative emotions and safeguard the unsympathetic effects of stress and therefore due to this, the curiosity in the link between each state has developed (Moneta, </w:t>
      </w:r>
      <w:r w:rsidRPr="0038192D">
        <w:rPr>
          <w:rFonts w:ascii="Arial" w:hAnsi="Arial" w:cs="Arial"/>
          <w:i/>
          <w:sz w:val="24"/>
          <w:szCs w:val="24"/>
        </w:rPr>
        <w:t xml:space="preserve">et al. </w:t>
      </w:r>
      <w:r w:rsidRPr="0038192D">
        <w:rPr>
          <w:rFonts w:ascii="Arial" w:hAnsi="Arial" w:cs="Arial"/>
          <w:sz w:val="24"/>
          <w:szCs w:val="24"/>
        </w:rPr>
        <w:t xml:space="preserve">2012). The Broaden and Build Model of Positive Emotions is the central academic approach that gives an explanation of the association between positive and negative emotions (Moneta, </w:t>
      </w:r>
      <w:r w:rsidRPr="0038192D">
        <w:rPr>
          <w:rFonts w:ascii="Arial" w:hAnsi="Arial" w:cs="Arial"/>
          <w:i/>
          <w:sz w:val="24"/>
          <w:szCs w:val="24"/>
        </w:rPr>
        <w:t xml:space="preserve">et al. </w:t>
      </w:r>
      <w:r w:rsidRPr="0038192D">
        <w:rPr>
          <w:rFonts w:ascii="Arial" w:hAnsi="Arial" w:cs="Arial"/>
          <w:sz w:val="24"/>
          <w:szCs w:val="24"/>
        </w:rPr>
        <w:t xml:space="preserve">2012). It declares that pessimistic emotions constrict a person's understanding and demeanour, explaining how this is a positive factor, although only in the instance of being faced with true and imminent danger (Moneta, </w:t>
      </w:r>
      <w:r w:rsidRPr="0038192D">
        <w:rPr>
          <w:rFonts w:ascii="Arial" w:hAnsi="Arial" w:cs="Arial"/>
          <w:i/>
          <w:sz w:val="24"/>
          <w:szCs w:val="24"/>
        </w:rPr>
        <w:t xml:space="preserve">et al. </w:t>
      </w:r>
      <w:r w:rsidRPr="0038192D">
        <w:rPr>
          <w:rFonts w:ascii="Arial" w:hAnsi="Arial" w:cs="Arial"/>
          <w:sz w:val="24"/>
          <w:szCs w:val="24"/>
        </w:rPr>
        <w:t xml:space="preserve">2012). The Broaden and Build Model proposes three theories: the broaden theory, which claims that optimistic emotions increase a person's concentration and behavioural range; the build theory, which supports the notion that optimistic emotions might have lasting effects, even if they are fleeting, through improving somatic, mental, cognitive and social resources; and the undoing hypothesis, which argues that optimistic emotions operate as a counter measurement for pessimistic emotions through adjusting or reducing their damaging affect (Moneta, </w:t>
      </w:r>
      <w:r w:rsidRPr="0038192D">
        <w:rPr>
          <w:rFonts w:ascii="Arial" w:hAnsi="Arial" w:cs="Arial"/>
          <w:i/>
          <w:sz w:val="24"/>
          <w:szCs w:val="24"/>
        </w:rPr>
        <w:t xml:space="preserve">et al. </w:t>
      </w:r>
      <w:r w:rsidRPr="0038192D">
        <w:rPr>
          <w:rFonts w:ascii="Arial" w:hAnsi="Arial" w:cs="Arial"/>
          <w:sz w:val="24"/>
          <w:szCs w:val="24"/>
        </w:rPr>
        <w:t xml:space="preserve">2012). Fredrickson and Levenson (1998) coined the phrase the 'undoing effect', also known as the 'undoing hypothesis' and 'physiological down-regulation', through which optimistic emotions have a positive effect on the swiftness of cardiovascular improvement or rehabilitation from stress (Cavanagh and Larkin, 2018). In due course, this brings about improved cardiovascular health and more recently, this work has expanded to consist of additional indicators of physical healing (Cavanagh and Larkin, 2018). Thorough studies have been undertaken of the undoing effect, which have consisted of numerous indicators of somatic recovery which allows an all-inclusive examination of how positive emotions affect biological arrangements and methods (Cavanagh and Larkin, 2018).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Unpleasant states of mind such as feeling angry, fearful, anxious, depressed or disgusted are linked with negative affect (NA) and demonstrate a wide reaching measurement of subjective suffering and initial research laid emphasis on the link between negative affect and inferior cardiovascular health, along with outcomes of </w:t>
      </w:r>
      <w:r w:rsidRPr="0038192D">
        <w:rPr>
          <w:rFonts w:ascii="Arial" w:hAnsi="Arial" w:cs="Arial"/>
          <w:sz w:val="24"/>
          <w:szCs w:val="24"/>
        </w:rPr>
        <w:lastRenderedPageBreak/>
        <w:t xml:space="preserve">psychological wellbeing (Cavanagh and Larkin, 2018). Agreeable emotions such as feeling happy, joyful, excited, enthusiastic and contented are experienced under what is known as positive affect (PA) and, in opposition to negative affect, this seems to diminish the threat of illness (Cavanagh and Larkin, 2018). Research shows that optimistic psychological health is linked with a diminished hazard of acquiring cardiovascular disease and provides protection against the advancement of cardiovascular disease (Cavanagh and Larkin, 2018) and Cavanagh and Larkin (2018) suggest that there are potentially numerous devices that give reason for the link between ones physical health and positive affect.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Preceding research has shown how precise individual distinctive characteristics within positive affect are linked with improved cardiovascular health yet furthermore, compelling evidence exists that suggests different precise individual characteristics for example, negative affect, display conclusions linked with inferior cardiovascular quality (Cavanagh and Larkin, 2018). Optimistic emotions might save the cardiovascular system from harm, due to one of their adaptive capacities being to increase the speed of the restoration from alterations induced by negative affect in both the psychological circle and somatic systems (Kaczmarek, 2009).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Positive affect that is induced has a precise effect on cardiovascular activity and defends the person from powerful stress reactions (Kaczmarek, 2009). Moneta, </w:t>
      </w:r>
      <w:r w:rsidRPr="0038192D">
        <w:rPr>
          <w:rFonts w:ascii="Arial" w:hAnsi="Arial" w:cs="Arial"/>
          <w:i/>
          <w:sz w:val="24"/>
          <w:szCs w:val="24"/>
        </w:rPr>
        <w:t xml:space="preserve">et al. </w:t>
      </w:r>
      <w:r w:rsidRPr="0038192D">
        <w:rPr>
          <w:rFonts w:ascii="Arial" w:hAnsi="Arial" w:cs="Arial"/>
          <w:sz w:val="24"/>
          <w:szCs w:val="24"/>
        </w:rPr>
        <w:t xml:space="preserve">(2012) studied the undoing hypothesis, or undoing effect, through examining the somatic impression of pessimistic emotions in investigations. The investigations brought on negative emotions as a means of raising cardiovascular reaction through utilising a speech arrangement activity that was time sensitive (Moneta, </w:t>
      </w:r>
      <w:r w:rsidRPr="0038192D">
        <w:rPr>
          <w:rFonts w:ascii="Arial" w:hAnsi="Arial" w:cs="Arial"/>
          <w:i/>
          <w:sz w:val="24"/>
          <w:szCs w:val="24"/>
        </w:rPr>
        <w:t xml:space="preserve">et al. </w:t>
      </w:r>
      <w:r w:rsidRPr="0038192D">
        <w:rPr>
          <w:rFonts w:ascii="Arial" w:hAnsi="Arial" w:cs="Arial"/>
          <w:sz w:val="24"/>
          <w:szCs w:val="24"/>
        </w:rPr>
        <w:t xml:space="preserve">2012). Following this activity, the individuals involved were indiscriminately dispersed into four different groups to watch one of four films (one per group) with the aim of bringing forth unhappiness, enjoyment, satisfaction or impartiality (Moneta, </w:t>
      </w:r>
      <w:r w:rsidRPr="0038192D">
        <w:rPr>
          <w:rFonts w:ascii="Arial" w:hAnsi="Arial" w:cs="Arial"/>
          <w:i/>
          <w:sz w:val="24"/>
          <w:szCs w:val="24"/>
        </w:rPr>
        <w:t xml:space="preserve">et al. </w:t>
      </w:r>
      <w:r w:rsidRPr="0038192D">
        <w:rPr>
          <w:rFonts w:ascii="Arial" w:hAnsi="Arial" w:cs="Arial"/>
          <w:sz w:val="24"/>
          <w:szCs w:val="24"/>
        </w:rPr>
        <w:t xml:space="preserve">2012). The results of the test were compatible with the undoing hypothesis in that the films that were aimed to bring about satisfaction and enjoyment generated a more speedy cardiovascular improvement as opposed to the films aimed at bringing about unhappiness and impartiality (Moneta, </w:t>
      </w:r>
      <w:r w:rsidRPr="0038192D">
        <w:rPr>
          <w:rFonts w:ascii="Arial" w:hAnsi="Arial" w:cs="Arial"/>
          <w:i/>
          <w:sz w:val="24"/>
          <w:szCs w:val="24"/>
        </w:rPr>
        <w:t xml:space="preserve">et al. </w:t>
      </w:r>
      <w:r w:rsidRPr="0038192D">
        <w:rPr>
          <w:rFonts w:ascii="Arial" w:hAnsi="Arial" w:cs="Arial"/>
          <w:sz w:val="24"/>
          <w:szCs w:val="24"/>
        </w:rPr>
        <w:t xml:space="preserve">2012). The title of the 'undoing hypothesis' almost speaks for itself, and this literature around it supports the notion that adaptive emotions have a positive influence on one's health yet takes it further through postulating that the power of positive emotions can disengage harm done </w:t>
      </w:r>
      <w:r w:rsidRPr="0038192D">
        <w:rPr>
          <w:rFonts w:ascii="Arial" w:hAnsi="Arial" w:cs="Arial"/>
          <w:sz w:val="24"/>
          <w:szCs w:val="24"/>
        </w:rPr>
        <w:lastRenderedPageBreak/>
        <w:t xml:space="preserve">previously via negative emotions. This suggests that therapy and counselling has the potential to have a much stronger impact than is likely realised, or acknowledged, and raises a query around whether the stigma around mental health and attending therapy would be improved if the knowledge that the generation of positive emotions can have a healthy and beneficial impact on an individual's physical health.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Research studying cardiovascular reactivity (CVR) has shown in the past that components such as frequency, intensity and duration of the somatic reactions to stressful situations has an influence on the results of a persons' health and in the same way, it is highly plausible that these components will have an effect on the undoing hypothesis (Cavanagh and Larkin, 2018). Worryingly, there seems to be a contrast of results on studies undertaken around the undoing hypothesis in Cavanagh and Larkin's (2018) critical literature review as they report a contradictory set of findings (Cavanagh and Larkin, 2018). Contradictions are evident when scrutinising the different sorts of activities utilised in order to generate positive emotions, for instance, as many investigations utilised optimistic films, imagery or music in order to bring about positive emotions yet the undoing hypothesis was backed through only three of these studies (Cavanagh and Larkin, 2018).There were eight studies that used a speech arrangement activity that was time sensitive and within the eight, just four studies were able to back the undoing hypothesis with the other four finding incomplete support, or failing to back the undoing hypothesis at all (Cavanagh and Larkin, 2018). In order to compare, other studies examined by Cavanagh and Larkin (2018) looked at alternative tasks utilized to bring about positive emotions such as the use of active assignments for example, manoeuvring facial muscles in order to generate a smile, discussions held between two people, or remembering optimistic occurrences and simply one of these studies revealed complete backing for the undoing hypothesis (Cavanagh and Larkin, 2018). The variation in results continues within investigations that used alternative methods as opposed to those that trialled generating positive emotions and of the eight that did this, only four were able to back the undoing hypothesis, leaving the other half of the investigations unable to support the theory (Cavanagh and Larkin, 2018). It is possible that this suggests that the capacity of speeding up somatic recovery via positive affect necessitates that the positive emotion being used and the instigator for causing stress be comparatively equal in their force (Cavanagh and Larkin, </w:t>
      </w:r>
      <w:r w:rsidRPr="0038192D">
        <w:rPr>
          <w:rFonts w:ascii="Arial" w:hAnsi="Arial" w:cs="Arial"/>
          <w:sz w:val="24"/>
          <w:szCs w:val="24"/>
        </w:rPr>
        <w:lastRenderedPageBreak/>
        <w:t xml:space="preserve">2018). Cavanagh and Larkin (2018) also go on to state that research has discovered disparities in physical reactions depending on which positive emotions were brought about. Earlier research has discovered a raise in sympathetic reactions in relation to optimistic emotions and suggest that this reaction might mirror an emotion that has a more stirring nature for instance, excitement (Cavanagh and Larkin, 2018). Consequently, it is probable that the contradictory findings may be due to the dissimilar kinds of stressor and positive emotions initiation activities undertaken, which proposes that the undoing hypothesis could possibly be restricted to precise situations (Cavanagh and Larkin, 2018). In this instance, it seems a much more complex setting would be necessary in order to obtain the desired outcome. This adds a complex layer of needing to understand the level of intensity that is required to meet the negative impact however this seems to be an unrealistic goal. It could be that one needs to adopt a holistic agency to their health with an optimistic outlook for their future health, knowing that positive change will occur at some point. It seems that even though some evidence exists to support the 'undoing hypothesis', being able to pinpoint exactly how to demonstrate or facilitate it is not a straightforward task. Other findings around the undoing hypothesis consist of Martinez, </w:t>
      </w:r>
      <w:r w:rsidRPr="0038192D">
        <w:rPr>
          <w:rFonts w:ascii="Arial" w:hAnsi="Arial" w:cs="Arial"/>
          <w:i/>
          <w:sz w:val="24"/>
          <w:szCs w:val="24"/>
        </w:rPr>
        <w:t xml:space="preserve">et al. </w:t>
      </w:r>
      <w:r w:rsidRPr="0038192D">
        <w:rPr>
          <w:rFonts w:ascii="Arial" w:hAnsi="Arial" w:cs="Arial"/>
          <w:sz w:val="24"/>
          <w:szCs w:val="24"/>
        </w:rPr>
        <w:t xml:space="preserve">(2017) who discuss Folkman and Moskowitz (2000) proposal that a possible function of the undoing hypothesis is to assist in the process of positive coping. Concentrating on the finer features of one's previous or present circumstances has been acknowledged as a potential coping mechanism whereby optimistic emotions wield their undoing effect (Martinez, </w:t>
      </w:r>
      <w:r w:rsidRPr="0038192D">
        <w:rPr>
          <w:rFonts w:ascii="Arial" w:hAnsi="Arial" w:cs="Arial"/>
          <w:i/>
          <w:sz w:val="24"/>
          <w:szCs w:val="24"/>
        </w:rPr>
        <w:t>et al.</w:t>
      </w:r>
      <w:r w:rsidRPr="0038192D">
        <w:rPr>
          <w:rFonts w:ascii="Arial" w:hAnsi="Arial" w:cs="Arial"/>
          <w:sz w:val="24"/>
          <w:szCs w:val="24"/>
        </w:rPr>
        <w:t xml:space="preserve"> 2017). They found that stress on a daily basis is lessened in persons that encounter more positive affect (Martinez, </w:t>
      </w:r>
      <w:r w:rsidRPr="0038192D">
        <w:rPr>
          <w:rFonts w:ascii="Arial" w:hAnsi="Arial" w:cs="Arial"/>
          <w:i/>
          <w:sz w:val="24"/>
          <w:szCs w:val="24"/>
        </w:rPr>
        <w:t>et al.</w:t>
      </w:r>
      <w:r w:rsidRPr="0038192D">
        <w:rPr>
          <w:rFonts w:ascii="Arial" w:hAnsi="Arial" w:cs="Arial"/>
          <w:sz w:val="24"/>
          <w:szCs w:val="24"/>
        </w:rPr>
        <w:t xml:space="preserve"> 2017).</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Riskind, </w:t>
      </w:r>
      <w:r w:rsidRPr="0038192D">
        <w:rPr>
          <w:rFonts w:ascii="Arial" w:hAnsi="Arial" w:cs="Arial"/>
          <w:i/>
          <w:sz w:val="24"/>
          <w:szCs w:val="24"/>
        </w:rPr>
        <w:t>et al.</w:t>
      </w:r>
      <w:r w:rsidRPr="0038192D">
        <w:rPr>
          <w:rFonts w:ascii="Arial" w:hAnsi="Arial" w:cs="Arial"/>
          <w:sz w:val="24"/>
          <w:szCs w:val="24"/>
        </w:rPr>
        <w:t xml:space="preserve"> (2013) examined the undoing hypothesis in relation to depression as they state that previous to their study, there were none examining the effects of the impact of the undoing hypothesis on depression. Through their study they discovered that trait positive affect cushions persons from the effects of trait negative affect on alterations in signs and symptoms of depression in due course and more specifically, trait negative affect anticipated signs and symptoms of depression to increase when trait positive affect was moderate however, demonstrated a small impression on signs of depression when it was elevated (Riskind, </w:t>
      </w:r>
      <w:r w:rsidRPr="0038192D">
        <w:rPr>
          <w:rFonts w:ascii="Arial" w:hAnsi="Arial" w:cs="Arial"/>
          <w:i/>
          <w:sz w:val="24"/>
          <w:szCs w:val="24"/>
        </w:rPr>
        <w:t xml:space="preserve">et al. </w:t>
      </w:r>
      <w:r w:rsidRPr="0038192D">
        <w:rPr>
          <w:rFonts w:ascii="Arial" w:hAnsi="Arial" w:cs="Arial"/>
          <w:sz w:val="24"/>
          <w:szCs w:val="24"/>
        </w:rPr>
        <w:t xml:space="preserve">2013). Furthermore, they discovered that first and foremost, positive affect had an advantageous outcome in safeguarding the effects of negative effect but that positive </w:t>
      </w:r>
      <w:r w:rsidRPr="0038192D">
        <w:rPr>
          <w:rFonts w:ascii="Arial" w:hAnsi="Arial" w:cs="Arial"/>
          <w:sz w:val="24"/>
          <w:szCs w:val="24"/>
        </w:rPr>
        <w:lastRenderedPageBreak/>
        <w:t xml:space="preserve">affect did not show any value to one's physical health alone (Riskind, </w:t>
      </w:r>
      <w:r w:rsidRPr="0038192D">
        <w:rPr>
          <w:rFonts w:ascii="Arial" w:hAnsi="Arial" w:cs="Arial"/>
          <w:i/>
          <w:sz w:val="24"/>
          <w:szCs w:val="24"/>
        </w:rPr>
        <w:t xml:space="preserve">et al. </w:t>
      </w:r>
      <w:r w:rsidRPr="0038192D">
        <w:rPr>
          <w:rFonts w:ascii="Arial" w:hAnsi="Arial" w:cs="Arial"/>
          <w:sz w:val="24"/>
          <w:szCs w:val="24"/>
        </w:rPr>
        <w:t xml:space="preserve">2013). This supports the earlier consideration of the impact and intensity of emotions yet  interestingly does not discuss any level, or attempted level, of intensity when looking at the undoing hypothesis in connection with depression. A compelling discovery is that positive emotion does not yield any positive solitary affect on one's health. These discoveries contradict the idea that therapy might have a beneficial effect on one's health if positive affect were the only player in the field however, it is very rare to find only one player in the field; especially in modern society. With the knowledge that there is a mirroring, spiral effect of one thing affecting another and continuing to do so, it is to be expected that there is more than might be meeting the eye however, this does not suggest that therapy is then redundant in these circumstances.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Interestingly, Zomorrodi, </w:t>
      </w:r>
      <w:r w:rsidRPr="0038192D">
        <w:rPr>
          <w:rFonts w:ascii="Arial" w:hAnsi="Arial" w:cs="Arial"/>
          <w:i/>
          <w:sz w:val="24"/>
          <w:szCs w:val="24"/>
        </w:rPr>
        <w:t>et al.</w:t>
      </w:r>
      <w:r w:rsidRPr="0038192D">
        <w:rPr>
          <w:rFonts w:ascii="Arial" w:hAnsi="Arial" w:cs="Arial"/>
          <w:sz w:val="24"/>
          <w:szCs w:val="24"/>
        </w:rPr>
        <w:t xml:space="preserve">(2015) link IBS with therapy, stating that the comprehension of IBS and therapy has been changed completely in the last three decades from a simplistic reductionist outlook to a complicated biological-psychological-social condition where mental and physical factors are taken into consideration, including the communication between the two, as well as hereditary and somatic understanding of the digestive system. They deduce that psychological action should be utilised to enhance the capacity of life on top of diminishing symptoms, due to the impact IBS has on cognitive aspects (Zomorrodi, </w:t>
      </w:r>
      <w:r w:rsidRPr="0038192D">
        <w:rPr>
          <w:rFonts w:ascii="Arial" w:hAnsi="Arial" w:cs="Arial"/>
          <w:i/>
          <w:sz w:val="24"/>
          <w:szCs w:val="24"/>
        </w:rPr>
        <w:t>et al.</w:t>
      </w:r>
      <w:r w:rsidRPr="0038192D">
        <w:rPr>
          <w:rFonts w:ascii="Arial" w:hAnsi="Arial" w:cs="Arial"/>
          <w:sz w:val="24"/>
          <w:szCs w:val="24"/>
        </w:rPr>
        <w:t xml:space="preserve"> 2015). A broad variety of psychological remedies have been applied for IBS however, for a number of years, on the whole it was Cognitive Behavioural Therapy (CBT) that proved to be the most successful (Zomorrodi, </w:t>
      </w:r>
      <w:r w:rsidRPr="0038192D">
        <w:rPr>
          <w:rFonts w:ascii="Arial" w:hAnsi="Arial" w:cs="Arial"/>
          <w:i/>
          <w:sz w:val="24"/>
          <w:szCs w:val="24"/>
        </w:rPr>
        <w:t>et al.</w:t>
      </w:r>
      <w:r w:rsidRPr="0038192D">
        <w:rPr>
          <w:rFonts w:ascii="Arial" w:hAnsi="Arial" w:cs="Arial"/>
          <w:sz w:val="24"/>
          <w:szCs w:val="24"/>
        </w:rPr>
        <w:t xml:space="preserve"> 2015). Disappointingly, however, CBT has only shown short-term impact on IBS (Zomorrodi, </w:t>
      </w:r>
      <w:r w:rsidRPr="0038192D">
        <w:rPr>
          <w:rFonts w:ascii="Arial" w:hAnsi="Arial" w:cs="Arial"/>
          <w:i/>
          <w:sz w:val="24"/>
          <w:szCs w:val="24"/>
        </w:rPr>
        <w:t>et al.</w:t>
      </w:r>
      <w:r w:rsidRPr="0038192D">
        <w:rPr>
          <w:rFonts w:ascii="Arial" w:hAnsi="Arial" w:cs="Arial"/>
          <w:sz w:val="24"/>
          <w:szCs w:val="24"/>
        </w:rPr>
        <w:t xml:space="preserve"> 2015). Compellingly, Zomorrodi, </w:t>
      </w:r>
      <w:r w:rsidRPr="0038192D">
        <w:rPr>
          <w:rFonts w:ascii="Arial" w:hAnsi="Arial" w:cs="Arial"/>
          <w:i/>
          <w:sz w:val="24"/>
          <w:szCs w:val="24"/>
        </w:rPr>
        <w:t>et al.</w:t>
      </w:r>
      <w:r w:rsidRPr="0038192D">
        <w:rPr>
          <w:rFonts w:ascii="Arial" w:hAnsi="Arial" w:cs="Arial"/>
          <w:sz w:val="24"/>
          <w:szCs w:val="24"/>
        </w:rPr>
        <w:t xml:space="preserve"> (2015) state that two broad studies demonstrated that CBT in general was unsuccessful in generating any optimistic outcomes in the treatment of IBS and furthermore, they suggest that the use of CBT is due to the fact that it has been the leading choice of therapy in current decennium. On the other hand, a more current approach for IBS therapy is Mindfulness-based therapy (MFT) (Zomorrodi, </w:t>
      </w:r>
      <w:r w:rsidRPr="0038192D">
        <w:rPr>
          <w:rFonts w:ascii="Arial" w:hAnsi="Arial" w:cs="Arial"/>
          <w:i/>
          <w:sz w:val="24"/>
          <w:szCs w:val="24"/>
        </w:rPr>
        <w:t>et al.</w:t>
      </w:r>
      <w:r w:rsidRPr="0038192D">
        <w:rPr>
          <w:rFonts w:ascii="Arial" w:hAnsi="Arial" w:cs="Arial"/>
          <w:sz w:val="24"/>
          <w:szCs w:val="24"/>
        </w:rPr>
        <w:t xml:space="preserve"> 2015). Mindfulness in associated with cognitive health and wellbeing and is characterized as the immediate, unbiased consciousness and acceptance shown by an individual and can take action against general forms of mental distress (Zomorrodi, </w:t>
      </w:r>
      <w:r w:rsidRPr="0038192D">
        <w:rPr>
          <w:rFonts w:ascii="Arial" w:hAnsi="Arial" w:cs="Arial"/>
          <w:i/>
          <w:sz w:val="24"/>
          <w:szCs w:val="24"/>
        </w:rPr>
        <w:t>et al.</w:t>
      </w:r>
      <w:r w:rsidRPr="0038192D">
        <w:rPr>
          <w:rFonts w:ascii="Arial" w:hAnsi="Arial" w:cs="Arial"/>
          <w:sz w:val="24"/>
          <w:szCs w:val="24"/>
        </w:rPr>
        <w:t xml:space="preserve"> 2015). Mediations established on mindfulness significantly decrease instantaneous negative thoughts and raise the capacity of the </w:t>
      </w:r>
      <w:r w:rsidRPr="0038192D">
        <w:rPr>
          <w:rFonts w:ascii="Arial" w:hAnsi="Arial" w:cs="Arial"/>
          <w:sz w:val="24"/>
          <w:szCs w:val="24"/>
        </w:rPr>
        <w:lastRenderedPageBreak/>
        <w:t xml:space="preserve">individual to conquer these negative thoughts, promoting cognitive health and therefore, MFT alleges to boast an ongoing impact on treatment of those who suffer with IBS (Zomorrodi, </w:t>
      </w:r>
      <w:r w:rsidRPr="0038192D">
        <w:rPr>
          <w:rFonts w:ascii="Arial" w:hAnsi="Arial" w:cs="Arial"/>
          <w:i/>
          <w:sz w:val="24"/>
          <w:szCs w:val="24"/>
        </w:rPr>
        <w:t>et al.</w:t>
      </w:r>
      <w:r w:rsidRPr="0038192D">
        <w:rPr>
          <w:rFonts w:ascii="Arial" w:hAnsi="Arial" w:cs="Arial"/>
          <w:sz w:val="24"/>
          <w:szCs w:val="24"/>
        </w:rPr>
        <w:t xml:space="preserve"> 2015). It seems that in the instance of IBS, a positive influence of therapy does have an effect therefore supporting the notion of adopting an optimistic outlook of hope in a seemingly complex dimension, leading one to wonder whether new research will emerge to deepen understanding and knowledge of the power and detail needed to support such a theory as the 'undoing hypothesis'.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This leaves the last section of where the shift in perspective came from and why the early modern medicinal view is in such contrast with the contemporary view in today's medical field.</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Mind and body dualism is the philosophical position that the mind and the body are two separate matters, with both having an individual fundamental disposition (Mehta, 2011). This theory was conceptualised by the French philosopher Rene Descartes during the 16th century (Ventriglio and Bhugra, 2015). Descartes believed that human beings were made up of two dissimilar elements which were unable to live in wholeness (Mehta, 2011), arguing that he was able to acquire some information of himself, exclusive of any information of the body (Ventriglio and Bhugra, 2015). He supposed that the mind was 'unextended', implying it is not physical in form but a matter which thinks and the body was 'extended', being physical in form yet a matter which does not think (Mehta, 2011). The body was under the influence of automated rules, unlike that of the mind (Mehta, 2011). After cautious deliberation, Descartes clearly distinguished the notion of the mind from the notion of the body, including physical movement, stating that he was very assured that he held a clear concept of mind though, fascinatingly, the soul is unified synchronously to the body as a whole (Ventriglio and Bhugra, 2015). Descartes stated that the body is a complete unit which in some way is undividable, due to the composition of its organs and their relation to each other and therefore, the subtraction of any organ results in the body being flawed (Ventriglio and Bhugra, 2015). Interestingly, the brain, being the organ that we know it is in modern science, must not have been viewed by Descartes as an organ, or this theory of organ subtraction itself would be flawed. This is a poignant statement as it is drawing on not only the links between each organ but their relationship to each other which suggests that, on some level, Descartes was on the precipice of an ambivalent decision of which way to choose or perhaps which way to </w:t>
      </w:r>
      <w:r w:rsidRPr="0038192D">
        <w:rPr>
          <w:rFonts w:ascii="Arial" w:hAnsi="Arial" w:cs="Arial"/>
          <w:sz w:val="24"/>
          <w:szCs w:val="24"/>
        </w:rPr>
        <w:lastRenderedPageBreak/>
        <w:t xml:space="preserve">believe, which in hindsight we now know would have resulted in an extensively different view of modern science and an individuals' health. </w:t>
      </w:r>
      <w:r w:rsidRPr="0038192D">
        <w:rPr>
          <w:rFonts w:ascii="Arial" w:hAnsi="Arial" w:cs="Arial"/>
          <w:sz w:val="24"/>
          <w:szCs w:val="24"/>
        </w:rPr>
        <w:br/>
        <w:t>He viewed the soul as having a disposition that was unrelated to extension or any other parts of the subject of which makes up the body, singularly connecting with the organs of the body as one ensemble and therefore, distinguishing further between mind, body and soul (Ventriglio and Bhugra, 2015). The well known Latin phrase that derived from Descartes, 'cogito ergo sum', meaning 'I think therefore I am', implies that the act of thinking and having an awareness of thinking are the true matters of being therefore, because Descartes viewed the act of thinking as a section of the brain, the body in contrast was non-thinking, having an automated non-cognitive role and pieces (Ventriglio and Bhugra, 2015).</w:t>
      </w:r>
      <w:r w:rsidRPr="0038192D">
        <w:rPr>
          <w:rFonts w:ascii="Arial" w:hAnsi="Arial" w:cs="Arial"/>
          <w:sz w:val="24"/>
          <w:szCs w:val="24"/>
        </w:rPr>
        <w:br/>
        <w:t xml:space="preserve">Previous to the introduction of dualism, the well known conventional Christian views of the relationship between mind and body had strong hindrance on the advancement of medical science (Mehta, 2011). In accordance with their outlook, humans were spiritual beings with body and soul being one entity, and illnesses were credited to immaterial powers for instance, private or communal erroneous activity (Mehta, 2011). The belief that the body needed to stay whole and be preserved in order for the soul to rise to heaven also had an influence, resulting in there being a religious exclusion on dissecting the body in order to study human anatomy (Mehta, 2011). The concept of mind body dualism changed the view of the body and paved the way for medicinal study by effectively giving permission through dichotomising it (Mehta, 2011). Through this act, medicinal science was able to evolve via studying the anatomy of the body which, consequently and simultaneously, confined the mind, renouncing its importance in one's health (Mehta, 2011). Ventriglio and Bhugra (2015) support this religious dimension, stating that it can be contended that Descartes advanced his hypothesis due to prompting coming from the church, upholding the theory that the mind and soul were property of the church meanwhile, permission was granted for the body to be gifted to the doctors however, there is no clear evidence of this. Interestingly, this suggests a governing body holding influence over decisions that were not necessarily for the good of the community, though this might be the way they would be described, but ultimately for the good of the governing body themselves for reasons of image and control. This alters the theory from not just being research, philosophical discovery and science </w:t>
      </w:r>
      <w:r w:rsidRPr="0038192D">
        <w:rPr>
          <w:rFonts w:ascii="Arial" w:hAnsi="Arial" w:cs="Arial"/>
          <w:sz w:val="24"/>
          <w:szCs w:val="24"/>
        </w:rPr>
        <w:lastRenderedPageBreak/>
        <w:t xml:space="preserve">but adding in a political dimension. Arguably, it can be said that politics is inherent in all aspects of life however, this suggests that politics is clouding the view and results of pure scientific fact which merely adds to the dilution of the belief in the mind body connection. This is supported by Ventriglio and Bhugra (2015) who talk about Harrington (2008) questioning if the church were implicated in any way with regards to control and postulating that, by some means, one could debate whether the church wanted to retain control of the mind and soul, surrendering the body to the care of the doctors. </w:t>
      </w:r>
      <w:r w:rsidRPr="0038192D">
        <w:rPr>
          <w:rFonts w:ascii="Arial" w:hAnsi="Arial" w:cs="Arial"/>
          <w:sz w:val="24"/>
          <w:szCs w:val="24"/>
        </w:rPr>
        <w:br/>
        <w:t xml:space="preserve">Human nature and investigative process, from the dualistic point of view, set forth the biomedical model within medicine (Mehta, 2011). Respectively, humans were seen as biological creatures and were only understood through analyzing their basic components via the conventions of 'anatomy, physiology, biochemistry and physics' (Mehta, 2011, pg. 204). Ailments such as diseases were viewed as a divergence from the normal biological standpoint, believed to be induced through a traceable somatic or chemical happening and mediation resulted in presenting a remedial somatic or chemical component (Mehta, 2011). As a result of this, the understanding of health became known as not having any form of disease and an alliance was formed with the actions of doctors to a degree where the general consensus was that medicine was one and the same with health (Mehta, 2011). </w:t>
      </w:r>
      <w:r w:rsidRPr="0038192D">
        <w:rPr>
          <w:rFonts w:ascii="Arial" w:hAnsi="Arial" w:cs="Arial"/>
          <w:sz w:val="24"/>
          <w:szCs w:val="24"/>
        </w:rPr>
        <w:br/>
        <w:t xml:space="preserve">Shelton (2013) discusses the need for an overall view and understanding of the whole being, stating that when looking at individual reflexes and certain reactions, relegating them to merely physical events lacking emotional or cognitive value, human behaviour evolves into one element of these parts resulting in the mind being detached from behaviour, thus becoming fictional. When this narrowly concentrated scientific viewpoint is taken on its own it severs the mind from the individual, therefore severing the environment from the behaviour due to viewing the environment as merely an external event whence behaviour originates (Shelton, 2013). Interestingly, Mehta (2011) talks of the World Health Organisation in 1947 defining health as 'a state of complete physical, mental and social well-being' (pg. 204). If dualism created a dichotomy of mind and body, science and medicine only look at the body in its physical state to determine ones health, or lack thereof, and the disconnection of mind severs environment and behaviour, this definition, or perhaps aspiration of health is unattainable. This is reminiscent of the four humours </w:t>
      </w:r>
      <w:r w:rsidRPr="0038192D">
        <w:rPr>
          <w:rFonts w:ascii="Arial" w:hAnsi="Arial" w:cs="Arial"/>
          <w:sz w:val="24"/>
          <w:szCs w:val="24"/>
        </w:rPr>
        <w:lastRenderedPageBreak/>
        <w:t>in the sense that if one element is off balance, the others will be effected however, the belief and understanding with the four humours was that they should be in equilibrium whereas in this instance, the structure of the medical world views them as separate and unrelated sections, even though the World Health Organisation believe they should be in balance. Herein lies the issue of the atomistic approach to health and the effect Descartes mind body dualism has had on modern medicine.</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Descartes mind body dualism has generated considerable difficulties for Western medicine, including the field of psychiatry, creating fundamental and practical challenges (Ventriglio and Bhugra, 2015). Mental health care and physical health care services are separate and there is a supposition that the likes of doctors and surgeons work in a field that has no need of the knowledge of the mind or cognitive purpose, due to them falling under a separate department (Ventriglio and Bhugra, 2015). On the other hand, those working in mental health, such as psychiatrists, pay little attention to somatic factors of patient care, despite the fact that they are primarily doctors themselves (Ventriglio and Bhugra, 2015). All of these elements are existing exclusively however this division is further exacerbated through a lack of resources for mental health services (Ventriglio and Bhugra, 2015) and a need for the reconciliation of physical health with mental health (Naylor, </w:t>
      </w:r>
      <w:r w:rsidRPr="0038192D">
        <w:rPr>
          <w:rFonts w:ascii="Arial" w:hAnsi="Arial" w:cs="Arial"/>
          <w:i/>
          <w:sz w:val="24"/>
          <w:szCs w:val="24"/>
        </w:rPr>
        <w:t xml:space="preserve">et al., </w:t>
      </w:r>
      <w:r w:rsidRPr="0038192D">
        <w:rPr>
          <w:rFonts w:ascii="Arial" w:hAnsi="Arial" w:cs="Arial"/>
          <w:sz w:val="24"/>
          <w:szCs w:val="24"/>
        </w:rPr>
        <w:t>2016). This shows the negative impact that mind body dualism has had on the treatment of patients, and the effect it has had on practitioners individual practice, honing in on individual sections of the body and not even considering the influence of other aspects of the human organism. This raises questions as to how this tunnel vision of diagnosing and treating patients has ever been acceptable or been seen as a positive movement.</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br/>
        <w:t xml:space="preserve">In a more controversial stance, Maung (2018) argues that there is a place for dualism. Biological psychiatry is a certain type of psychiatry that looks to elucidate and develop understanding of cognitive illnesses as biological systems within the brain (Maung, 2018). In accordance with biological psychiatry, cognitive illnesses are seen as moderately steady, archetypal, flawed arrangements of knowledge and manner that are understood by defective neural patterns at a variety of levels (Maung, 2018). Maung (2018) argues that although some with opposing views dispute that it overlooks the significant function of the social environment in </w:t>
      </w:r>
      <w:r w:rsidRPr="0038192D">
        <w:rPr>
          <w:rFonts w:ascii="Arial" w:hAnsi="Arial" w:cs="Arial"/>
          <w:sz w:val="24"/>
          <w:szCs w:val="24"/>
        </w:rPr>
        <w:lastRenderedPageBreak/>
        <w:t xml:space="preserve">establishing cognitive affliction, biological psychiatry continues to be a strong framework in the modern psychiatric profession and study thereof. There are debates within sections of biological psychiatric writings around the lack of obligation to look to the mind in order to understand cognitive illnesses, due to biological systems within the brain being able to clarify them (Maung, 2018). Nonetheless Maung (2018) argues that the standpoint of dualism changes when looking at how the link between the somatic and the cognitive parts are defined (Maung, 2018).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Maung (2018) discusses Rene Descartes view of dualism and also introduces a contemporary view suggested by David Chalmers in 1996. Descartes view of dualism postulates informal communication flanked by two substances that are metaphysically separate and although Chalmers view of dualism acknowledges this difference between the somatic and the cognitive elements, Chalmers centre of attraction is expressly on the phenomenal notion of the mind (Maung, 2018). Chalmers argues that consciousness is an essential characteristic and is existentially independent from the corporeal qualities of the world (Maung, 2018). Maung (2018) shares that Chalmers dualism states the connection between physical and phenomenal proceedings is due to psychosocial rules and acknowledges that physical features follow phenomenal features however, Descartes dualism approves informal communications between the somatic and the cognitive but declines any link of nomological activity following, therefore suggesting a weaker link between the physical and the phenomenal. Therefore, Maung (2018) postulates that Chalmers dualism argues that one's subjective experience is an extra feature to consider in isolation to the somatic features even though it is connected to somatic systems and that the cognitive systems concerned with the explanation of behaviour are explicable through somatic systems in a biological system and subsequently, is in harmony with the notion that psychiatric illnesses are based in biological systems. This proposes that a holistic view is not needed when looking at understanding and explaining psychiatric disorders but only applies this theory to the brain and does not extend this further to any somatic ailments. Therefore, whilst there may be a place for Chalmers view of dualism, it does not negate the need for a holistic view on health and well being and does not comment on the negative impact that Descartes mind body dualism has created.</w:t>
      </w:r>
    </w:p>
    <w:p w:rsidR="0038192D" w:rsidRPr="0038192D" w:rsidRDefault="0038192D" w:rsidP="0038192D">
      <w:pPr>
        <w:spacing w:line="360" w:lineRule="auto"/>
        <w:rPr>
          <w:rFonts w:ascii="Arial" w:hAnsi="Arial" w:cs="Arial"/>
          <w:sz w:val="24"/>
          <w:szCs w:val="24"/>
          <w:u w:val="single"/>
        </w:rPr>
      </w:pPr>
    </w:p>
    <w:p w:rsidR="0038192D" w:rsidRPr="0038192D" w:rsidRDefault="0038192D" w:rsidP="0038192D">
      <w:pPr>
        <w:spacing w:line="360" w:lineRule="auto"/>
        <w:rPr>
          <w:rFonts w:ascii="Arial" w:hAnsi="Arial" w:cs="Arial"/>
          <w:sz w:val="24"/>
          <w:szCs w:val="24"/>
          <w:u w:val="single"/>
        </w:rPr>
      </w:pPr>
      <w:r w:rsidRPr="0038192D">
        <w:rPr>
          <w:rFonts w:ascii="Arial" w:hAnsi="Arial" w:cs="Arial"/>
          <w:sz w:val="24"/>
          <w:szCs w:val="24"/>
          <w:u w:val="single"/>
        </w:rPr>
        <w:lastRenderedPageBreak/>
        <w:t>Conclusion</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In this meta-analysis of current and extant literature, research was conducted through the study of journals, articles, research papers and books from various databases such as ProQuest Central, PsychArticles and Emotion Review in order to examine the link between mind and body and how emotion is represented and displayed somatically in the body. There is a current gap in knowledge as to why the mind and body are categorised and viewed separately and this research has assembled all of the information found and displayed it in a comprehensible form. This has been done through examining emotion in order to understand its function and where it originates from; reviewing the beliefs of early medicine looking to find an answer to the alterations in human demeanour and philosophy and critiquing current research and studies on the somatic effects that emotion has on the body. </w:t>
      </w:r>
    </w:p>
    <w:p w:rsidR="0038192D" w:rsidRPr="0038192D" w:rsidRDefault="0038192D" w:rsidP="0038192D">
      <w:pPr>
        <w:spacing w:line="360" w:lineRule="auto"/>
        <w:rPr>
          <w:rFonts w:ascii="Arial" w:hAnsi="Arial" w:cs="Arial"/>
          <w:sz w:val="24"/>
          <w:szCs w:val="24"/>
        </w:rPr>
      </w:pPr>
      <w:r w:rsidRPr="0038192D">
        <w:rPr>
          <w:rFonts w:ascii="Arial" w:hAnsi="Arial" w:cs="Arial"/>
          <w:sz w:val="24"/>
          <w:szCs w:val="24"/>
        </w:rPr>
        <w:t xml:space="preserve">The answer to the question, 'How is our mental health linked to our physical health and why are they viewed separately?' largely comes down to the connection between the bowel, the brain and the vagus nerve. There are 100 billion neurons in the stomach and the generation of serotonin is employed via nerve cells with the purpose of sending information to the brain (Gershon 1999). Dysfunctional thoughts and cognitive systems such as recollection and concentration arrange neural connections between the brain and the bowel subsequently disturbing emotions and the function of the bowel (Zomorrodi, </w:t>
      </w:r>
      <w:r w:rsidRPr="0038192D">
        <w:rPr>
          <w:rFonts w:ascii="Arial" w:hAnsi="Arial" w:cs="Arial"/>
          <w:i/>
          <w:sz w:val="24"/>
          <w:szCs w:val="24"/>
        </w:rPr>
        <w:t>et al.</w:t>
      </w:r>
      <w:r w:rsidRPr="0038192D">
        <w:rPr>
          <w:rFonts w:ascii="Arial" w:hAnsi="Arial" w:cs="Arial"/>
          <w:sz w:val="24"/>
          <w:szCs w:val="24"/>
        </w:rPr>
        <w:t xml:space="preserve"> 2015). Dysfunction of the bowel is not represented through physical abnormalities and for example, in the case of Irritable Bowel Syndrome, there is no found origin of the disease however, this does not denote a lack of predicament (Zomorrodi, </w:t>
      </w:r>
      <w:r w:rsidRPr="0038192D">
        <w:rPr>
          <w:rFonts w:ascii="Arial" w:hAnsi="Arial" w:cs="Arial"/>
          <w:i/>
          <w:sz w:val="24"/>
          <w:szCs w:val="24"/>
        </w:rPr>
        <w:t>et al.</w:t>
      </w:r>
      <w:r w:rsidRPr="0038192D">
        <w:rPr>
          <w:rFonts w:ascii="Arial" w:hAnsi="Arial" w:cs="Arial"/>
          <w:sz w:val="24"/>
          <w:szCs w:val="24"/>
        </w:rPr>
        <w:t xml:space="preserve"> 2015). The vagus nerve is the longest cranial nerve and is believed to have a crucial role in relation to psychological and emotional processes, joining many organs together to the brainstem where its affect is present on the many areas of the brain that are accountable for understanding and emotion (Womelsdorf, 2016). </w:t>
      </w:r>
      <w:r w:rsidRPr="0038192D">
        <w:rPr>
          <w:rFonts w:ascii="Arial" w:hAnsi="Arial" w:cs="Arial"/>
          <w:sz w:val="24"/>
          <w:szCs w:val="24"/>
        </w:rPr>
        <w:br/>
        <w:t xml:space="preserve">Feldman-Barrett (2017) suggests that the brain creates meaning through emotion concepts as a result of simulation, where emotions are constructed through the brain assembling sections of previous information to make sense of incoming sensory information. Feldman-Barrett (2017) also states that the advancement of neuroscience suggests that this is a system that occurs in the brain however, both the physiological symptoms and the cognitive information need to be present as one </w:t>
      </w:r>
      <w:r w:rsidRPr="0038192D">
        <w:rPr>
          <w:rFonts w:ascii="Arial" w:hAnsi="Arial" w:cs="Arial"/>
          <w:sz w:val="24"/>
          <w:szCs w:val="24"/>
        </w:rPr>
        <w:lastRenderedPageBreak/>
        <w:t xml:space="preserve">would not exist without the other. There is much debate around the function of emotions and a general acknowledgement amongst scientists that emotions have a wide range of functions (Izard, 2010) however emotion is yet to be defined as a single concept that covers all bases and Turner (2009) suggests that this is due to the many levels of actuality on which emotions perform; biological, anatomical and circumstantial to name but a few. </w:t>
      </w:r>
      <w:r w:rsidRPr="0038192D">
        <w:rPr>
          <w:rFonts w:ascii="Arial" w:hAnsi="Arial" w:cs="Arial"/>
          <w:sz w:val="24"/>
          <w:szCs w:val="24"/>
        </w:rPr>
        <w:br/>
        <w:t xml:space="preserve">There is plentiful research on the physical effect of emotion on the body linking stress with the immune system (Graham, </w:t>
      </w:r>
      <w:r w:rsidRPr="0038192D">
        <w:rPr>
          <w:rFonts w:ascii="Arial" w:hAnsi="Arial" w:cs="Arial"/>
          <w:i/>
          <w:sz w:val="24"/>
          <w:szCs w:val="24"/>
        </w:rPr>
        <w:t>et al.</w:t>
      </w:r>
      <w:r w:rsidRPr="0038192D">
        <w:rPr>
          <w:rFonts w:ascii="Arial" w:hAnsi="Arial" w:cs="Arial"/>
          <w:sz w:val="24"/>
          <w:szCs w:val="24"/>
        </w:rPr>
        <w:t xml:space="preserve"> 2006), with a lack of emotional support in childhood also having a detrimental effect on the immune system (Gerhardt, 2015), a link between coronary heart disease, major depression and post traumatic stress disorder (Bremner, </w:t>
      </w:r>
      <w:r w:rsidRPr="0038192D">
        <w:rPr>
          <w:rFonts w:ascii="Arial" w:hAnsi="Arial" w:cs="Arial"/>
          <w:i/>
          <w:sz w:val="24"/>
          <w:szCs w:val="24"/>
        </w:rPr>
        <w:t>et al.</w:t>
      </w:r>
      <w:r w:rsidRPr="0038192D">
        <w:rPr>
          <w:rFonts w:ascii="Arial" w:hAnsi="Arial" w:cs="Arial"/>
          <w:sz w:val="24"/>
          <w:szCs w:val="24"/>
        </w:rPr>
        <w:t xml:space="preserve"> 2019), dysfunction of the heart in connection with dysfunctional emotion and cardiovascular disease (Groenwold, </w:t>
      </w:r>
      <w:r w:rsidRPr="0038192D">
        <w:rPr>
          <w:rFonts w:ascii="Arial" w:hAnsi="Arial" w:cs="Arial"/>
          <w:i/>
          <w:sz w:val="24"/>
          <w:szCs w:val="24"/>
        </w:rPr>
        <w:t>et al.</w:t>
      </w:r>
      <w:r w:rsidRPr="0038192D">
        <w:rPr>
          <w:rFonts w:ascii="Arial" w:hAnsi="Arial" w:cs="Arial"/>
          <w:sz w:val="24"/>
          <w:szCs w:val="24"/>
        </w:rPr>
        <w:t xml:space="preserve"> 2013), the stomach and bowel in relation to Irritable Bowel Syndrome (Gershon, 1999 and Zomorrodi, </w:t>
      </w:r>
      <w:r w:rsidRPr="0038192D">
        <w:rPr>
          <w:rFonts w:ascii="Arial" w:hAnsi="Arial" w:cs="Arial"/>
          <w:i/>
          <w:sz w:val="24"/>
          <w:szCs w:val="24"/>
        </w:rPr>
        <w:t>et al.</w:t>
      </w:r>
      <w:r w:rsidRPr="0038192D">
        <w:rPr>
          <w:rFonts w:ascii="Arial" w:hAnsi="Arial" w:cs="Arial"/>
          <w:sz w:val="24"/>
          <w:szCs w:val="24"/>
        </w:rPr>
        <w:t xml:space="preserve"> 2015) and the microbiome in the stomach having an effect on wellbeing (Lawrence and Hyde, 2017). In early modern medicine the belief was that mental affliction was the cause of somatic disease and that as soon as the mind was involved with negative thoughts around illness, the body would follow suit and the thought would be considered as the origin (Barker, 2004). The four humours were the way in which any ailments were considered, with the belief that a balance of all four equalled optimum health (Markham and de Lemos, 2005). If the generation of the humours was not achieved in the stomach, harmful fumes would be produced that could travel to the head injuring the brain and the mind and furthermore, affecting ones behaviour (Purnis, 2010) however, it was Rene Descartes who introduced the theory of mind body dualism which changed the outlook, separating the mind from the body (Ventriglio and Bhugra, 2015). Descartes believed that the mind was not a physical figure but a substance that thinks and the body was a physical form but a substance which does not think (Mehta, 2011). This belief, which is suggested to have been influenced by the Church, paved the way for a change in medical science through allowing the study of anatomy through dissection, and as a result, isolating the mind and dampening its significance and prominence in one's health (Mehta, 2011). Therefore, a new biomedical view emerged whereby diseases were seen as deviation from the normal position and resulted in treatment for diseases involving a counteractive physical or chemical element (Mehta, 2011). The </w:t>
      </w:r>
      <w:r w:rsidRPr="0038192D">
        <w:rPr>
          <w:rFonts w:ascii="Arial" w:hAnsi="Arial" w:cs="Arial"/>
          <w:sz w:val="24"/>
          <w:szCs w:val="24"/>
        </w:rPr>
        <w:lastRenderedPageBreak/>
        <w:t>World Health Organisation have a definition of health being a condition of total somatic, cognitive and social wellbeing (Mehta, 2011) which contradicts the current medical view as the mind and body are categorised separately.</w:t>
      </w:r>
      <w:r w:rsidRPr="0038192D">
        <w:rPr>
          <w:rFonts w:ascii="Arial" w:hAnsi="Arial" w:cs="Arial"/>
          <w:sz w:val="24"/>
          <w:szCs w:val="24"/>
        </w:rPr>
        <w:br/>
        <w:t xml:space="preserve">An interesting finding within this research discovered the 'undoing hypothesis'; the idea that positive emotions can have a positive effect on the somatic health of individuals, undoing the negative effects that negative emotion has created (Moneta, </w:t>
      </w:r>
      <w:r w:rsidRPr="0038192D">
        <w:rPr>
          <w:rFonts w:ascii="Arial" w:hAnsi="Arial" w:cs="Arial"/>
          <w:i/>
          <w:sz w:val="24"/>
          <w:szCs w:val="24"/>
        </w:rPr>
        <w:t>et al.</w:t>
      </w:r>
      <w:r w:rsidRPr="0038192D">
        <w:rPr>
          <w:rFonts w:ascii="Arial" w:hAnsi="Arial" w:cs="Arial"/>
          <w:sz w:val="24"/>
          <w:szCs w:val="24"/>
        </w:rPr>
        <w:t xml:space="preserve"> 2012). Evidence shows roughly half of the studies undertaken thus far support this hypothesis with the other half showing little or no support however a conclusion on the topic suggests that the intensity and frequency of positive affect needs to be considered, and that the undoing hypothesis is restricted to specific circumstances (Cavanagh and Larkin, 2018). </w:t>
      </w:r>
      <w:r w:rsidRPr="0038192D">
        <w:rPr>
          <w:rFonts w:ascii="Arial" w:hAnsi="Arial" w:cs="Arial"/>
          <w:sz w:val="24"/>
          <w:szCs w:val="24"/>
        </w:rPr>
        <w:br/>
        <w:t xml:space="preserve">A main thread throughout this research suggests that the mental and the physical cannot occur alone and need each other to exist however, the social environment has a part to play in ones overall health (Feldman-Barrett, 2017 and Dalgleish, </w:t>
      </w:r>
      <w:r w:rsidRPr="0038192D">
        <w:rPr>
          <w:rFonts w:ascii="Arial" w:hAnsi="Arial" w:cs="Arial"/>
          <w:i/>
          <w:sz w:val="24"/>
          <w:szCs w:val="24"/>
        </w:rPr>
        <w:t>et al.</w:t>
      </w:r>
      <w:r w:rsidRPr="0038192D">
        <w:rPr>
          <w:rFonts w:ascii="Arial" w:hAnsi="Arial" w:cs="Arial"/>
          <w:sz w:val="24"/>
          <w:szCs w:val="24"/>
        </w:rPr>
        <w:t xml:space="preserve">2009). As a psychotherapist, this research has implications for practice through not just looking at emotions and emotional wellbeing but remembering physical elements and working phenomenologically to support ones practice and aiding the therapy in reaching a deeper level. A broader range of knowledge adds a holistic approach to practice which, when presented with such research, supports the need for the general populate in receiving care and attention from practitioners who are not confined to a set mode of diagnosis or boundaries that prove to restrict as opposed to encourage. </w:t>
      </w:r>
      <w:r w:rsidRPr="0038192D">
        <w:rPr>
          <w:rFonts w:ascii="Arial" w:hAnsi="Arial" w:cs="Arial"/>
          <w:sz w:val="24"/>
          <w:szCs w:val="24"/>
        </w:rPr>
        <w:br/>
        <w:t xml:space="preserve">From this research it can be seen that an area for future research is around negative emotions and whether they alone are powerful enough to generate such intense physical ailments like those included in the symptoms of IBS. This is supported by Zomorrodi, </w:t>
      </w:r>
      <w:r w:rsidRPr="0038192D">
        <w:rPr>
          <w:rFonts w:ascii="Arial" w:hAnsi="Arial" w:cs="Arial"/>
          <w:i/>
          <w:sz w:val="24"/>
          <w:szCs w:val="24"/>
        </w:rPr>
        <w:t>et al.</w:t>
      </w:r>
      <w:r w:rsidRPr="0038192D">
        <w:rPr>
          <w:rFonts w:ascii="Arial" w:hAnsi="Arial" w:cs="Arial"/>
          <w:sz w:val="24"/>
          <w:szCs w:val="24"/>
        </w:rPr>
        <w:t xml:space="preserve"> (2015) who state that 4 out of 5 individuals who are diagnosed with IBS experience unusual psychological symptoms however, there has been no finding of any single dominating cognitive conclusion (Zomorrodi, </w:t>
      </w:r>
      <w:r w:rsidRPr="0038192D">
        <w:rPr>
          <w:rFonts w:ascii="Arial" w:hAnsi="Arial" w:cs="Arial"/>
          <w:i/>
          <w:sz w:val="24"/>
          <w:szCs w:val="24"/>
        </w:rPr>
        <w:t>et al.</w:t>
      </w:r>
      <w:r w:rsidRPr="0038192D">
        <w:rPr>
          <w:rFonts w:ascii="Arial" w:hAnsi="Arial" w:cs="Arial"/>
          <w:sz w:val="24"/>
          <w:szCs w:val="24"/>
        </w:rPr>
        <w:t xml:space="preserve"> 2015). This creates a wondering around whether negative emotions are strong enough to generate such symptoms if no other mental affliction is present. </w:t>
      </w:r>
    </w:p>
    <w:p w:rsidR="0038192D" w:rsidRPr="0038192D" w:rsidRDefault="0038192D" w:rsidP="0038192D">
      <w:pPr>
        <w:spacing w:line="360" w:lineRule="auto"/>
        <w:rPr>
          <w:rFonts w:ascii="Arial" w:hAnsi="Arial" w:cs="Arial"/>
          <w:sz w:val="24"/>
          <w:szCs w:val="24"/>
        </w:rPr>
      </w:pPr>
    </w:p>
    <w:p w:rsidR="0038192D" w:rsidRPr="0038192D" w:rsidRDefault="0038192D" w:rsidP="0038192D">
      <w:pPr>
        <w:spacing w:line="360" w:lineRule="auto"/>
        <w:rPr>
          <w:rFonts w:ascii="Arial" w:hAnsi="Arial" w:cs="Arial"/>
          <w:sz w:val="24"/>
          <w:szCs w:val="24"/>
        </w:rPr>
      </w:pPr>
    </w:p>
    <w:p w:rsidR="0038192D" w:rsidRPr="0038192D" w:rsidRDefault="0038192D" w:rsidP="0038192D">
      <w:pPr>
        <w:spacing w:line="360" w:lineRule="auto"/>
        <w:rPr>
          <w:rFonts w:ascii="Arial" w:hAnsi="Arial" w:cs="Arial"/>
          <w:sz w:val="24"/>
          <w:szCs w:val="24"/>
          <w:u w:val="single"/>
        </w:rPr>
      </w:pPr>
      <w:r w:rsidRPr="0038192D">
        <w:rPr>
          <w:rFonts w:ascii="Arial" w:hAnsi="Arial" w:cs="Arial"/>
          <w:sz w:val="24"/>
          <w:szCs w:val="24"/>
          <w:u w:val="single"/>
        </w:rPr>
        <w:lastRenderedPageBreak/>
        <w:t>References</w:t>
      </w:r>
    </w:p>
    <w:p w:rsidR="0038192D" w:rsidRPr="0038192D" w:rsidRDefault="0038192D" w:rsidP="0038192D">
      <w:pPr>
        <w:spacing w:line="360" w:lineRule="auto"/>
        <w:rPr>
          <w:rFonts w:ascii="Arial" w:hAnsi="Arial" w:cs="Arial"/>
          <w:sz w:val="24"/>
          <w:szCs w:val="24"/>
        </w:rPr>
      </w:pPr>
    </w:p>
    <w:p w:rsidR="00B521F4" w:rsidRPr="0038192D" w:rsidRDefault="0038192D"/>
    <w:sectPr w:rsidR="00B521F4" w:rsidRPr="0038192D" w:rsidSect="00896729">
      <w:headerReference w:type="default" r:id="rId7"/>
      <w:footerReference w:type="default" r:id="rId8"/>
      <w:pgSz w:w="11906" w:h="16838"/>
      <w:pgMar w:top="1440" w:right="1440" w:bottom="1440" w:left="1440" w:header="708"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0" w:author="Beverly Cole" w:date="2019-12-18T22:40:00Z" w:initials="BC">
    <w:p w:rsidR="0038192D" w:rsidRDefault="0038192D" w:rsidP="0038192D">
      <w:pPr>
        <w:pStyle w:val="CommentText"/>
      </w:pPr>
      <w:r>
        <w:rPr>
          <w:rStyle w:val="CommentReference"/>
        </w:rPr>
        <w:annotationRef/>
      </w:r>
      <w:r>
        <w:t>Good</w:t>
      </w:r>
    </w:p>
  </w:comment>
  <w:comment w:id="1" w:author="Beverly Cole" w:date="2019-12-18T22:40:00Z" w:initials="BC">
    <w:p w:rsidR="0038192D" w:rsidRDefault="0038192D" w:rsidP="0038192D">
      <w:pPr>
        <w:pStyle w:val="CommentText"/>
      </w:pPr>
      <w:r>
        <w:rPr>
          <w:rStyle w:val="CommentReference"/>
        </w:rPr>
        <w:annotationRef/>
      </w:r>
      <w:r>
        <w:t>Good</w:t>
      </w:r>
    </w:p>
  </w:comment>
  <w:comment w:id="2" w:author="Beverly Cole" w:date="2019-12-18T22:40:00Z" w:initials="BC">
    <w:p w:rsidR="0038192D" w:rsidRDefault="0038192D" w:rsidP="0038192D">
      <w:pPr>
        <w:pStyle w:val="CommentText"/>
      </w:pPr>
      <w:r>
        <w:rPr>
          <w:rStyle w:val="CommentReference"/>
        </w:rPr>
        <w:annotationRef/>
      </w:r>
      <w:r>
        <w:t>Much clearer.  Be sure though that you can address each objective and that each objective adds something towards answering you main research question</w:t>
      </w:r>
    </w:p>
  </w:comment>
  <w:comment w:id="3" w:author="Beverly Cole" w:date="2019-12-18T22:40:00Z" w:initials="BC">
    <w:p w:rsidR="0038192D" w:rsidRDefault="0038192D" w:rsidP="0038192D">
      <w:pPr>
        <w:pStyle w:val="CommentText"/>
      </w:pPr>
      <w:r>
        <w:rPr>
          <w:rStyle w:val="CommentReference"/>
        </w:rPr>
        <w:annotationRef/>
      </w:r>
      <w:r>
        <w:t>Good</w:t>
      </w:r>
    </w:p>
  </w:comment>
  <w:comment w:id="4" w:author="Beverly Cole" w:date="2019-12-18T22:40:00Z" w:initials="BC">
    <w:p w:rsidR="0038192D" w:rsidRDefault="0038192D" w:rsidP="0038192D">
      <w:pPr>
        <w:pStyle w:val="CommentText"/>
      </w:pPr>
      <w:r>
        <w:rPr>
          <w:rStyle w:val="CommentReference"/>
        </w:rPr>
        <w:annotationRef/>
      </w:r>
      <w:r>
        <w:t>Support for this?</w:t>
      </w:r>
    </w:p>
  </w:comment>
</w:comment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F5A" w:rsidRDefault="0038192D">
    <w:pPr>
      <w:pStyle w:val="Footer"/>
    </w:pPr>
    <w:r>
      <w:t>Luisa Davies</w:t>
    </w:r>
    <w:r>
      <w:br/>
      <w:t>P148370</w:t>
    </w:r>
  </w:p>
  <w:p w:rsidR="009B7F5A" w:rsidRDefault="0038192D">
    <w:pPr>
      <w:pStyle w:val="Footer"/>
    </w:pP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2001"/>
      <w:docPartObj>
        <w:docPartGallery w:val="Page Numbers (Top of Page)"/>
        <w:docPartUnique/>
      </w:docPartObj>
    </w:sdtPr>
    <w:sdtEndPr/>
    <w:sdtContent>
      <w:p w:rsidR="009B7F5A" w:rsidRDefault="0038192D">
        <w:pPr>
          <w:pStyle w:val="Header"/>
          <w:jc w:val="right"/>
        </w:pPr>
        <w:r>
          <w:fldChar w:fldCharType="begin"/>
        </w:r>
        <w:r>
          <w:instrText xml:space="preserve"> PAGE   \* MERGEFORMAT </w:instrText>
        </w:r>
        <w:r>
          <w:fldChar w:fldCharType="separate"/>
        </w:r>
        <w:r>
          <w:rPr>
            <w:noProof/>
          </w:rPr>
          <w:t>1</w:t>
        </w:r>
        <w:r>
          <w:fldChar w:fldCharType="end"/>
        </w:r>
      </w:p>
    </w:sdtContent>
  </w:sdt>
  <w:p w:rsidR="009B7F5A" w:rsidRDefault="0038192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BD0D07"/>
    <w:multiLevelType w:val="hybridMultilevel"/>
    <w:tmpl w:val="8A0A173E"/>
    <w:lvl w:ilvl="0" w:tplc="944809D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38192D"/>
    <w:rsid w:val="0038192D"/>
    <w:rsid w:val="0059771C"/>
    <w:rsid w:val="00711E88"/>
    <w:rsid w:val="0096741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192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92D"/>
  </w:style>
  <w:style w:type="paragraph" w:styleId="Footer">
    <w:name w:val="footer"/>
    <w:basedOn w:val="Normal"/>
    <w:link w:val="FooterChar"/>
    <w:uiPriority w:val="99"/>
    <w:unhideWhenUsed/>
    <w:rsid w:val="00381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92D"/>
  </w:style>
  <w:style w:type="paragraph" w:styleId="BalloonText">
    <w:name w:val="Balloon Text"/>
    <w:basedOn w:val="Normal"/>
    <w:link w:val="BalloonTextChar"/>
    <w:uiPriority w:val="99"/>
    <w:semiHidden/>
    <w:unhideWhenUsed/>
    <w:rsid w:val="003819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92D"/>
    <w:rPr>
      <w:rFonts w:ascii="Tahoma" w:hAnsi="Tahoma" w:cs="Tahoma"/>
      <w:sz w:val="16"/>
      <w:szCs w:val="16"/>
    </w:rPr>
  </w:style>
  <w:style w:type="character" w:styleId="CommentReference">
    <w:name w:val="annotation reference"/>
    <w:basedOn w:val="DefaultParagraphFont"/>
    <w:uiPriority w:val="99"/>
    <w:semiHidden/>
    <w:unhideWhenUsed/>
    <w:rsid w:val="0038192D"/>
    <w:rPr>
      <w:sz w:val="16"/>
      <w:szCs w:val="16"/>
    </w:rPr>
  </w:style>
  <w:style w:type="paragraph" w:styleId="CommentText">
    <w:name w:val="annotation text"/>
    <w:basedOn w:val="Normal"/>
    <w:link w:val="CommentTextChar"/>
    <w:uiPriority w:val="99"/>
    <w:semiHidden/>
    <w:unhideWhenUsed/>
    <w:rsid w:val="0038192D"/>
    <w:pPr>
      <w:spacing w:line="240" w:lineRule="auto"/>
    </w:pPr>
    <w:rPr>
      <w:sz w:val="20"/>
      <w:szCs w:val="20"/>
    </w:rPr>
  </w:style>
  <w:style w:type="character" w:customStyle="1" w:styleId="CommentTextChar">
    <w:name w:val="Comment Text Char"/>
    <w:basedOn w:val="DefaultParagraphFont"/>
    <w:link w:val="CommentText"/>
    <w:uiPriority w:val="99"/>
    <w:semiHidden/>
    <w:rsid w:val="0038192D"/>
    <w:rPr>
      <w:sz w:val="20"/>
      <w:szCs w:val="20"/>
    </w:rPr>
  </w:style>
  <w:style w:type="paragraph" w:styleId="CommentSubject">
    <w:name w:val="annotation subject"/>
    <w:basedOn w:val="CommentText"/>
    <w:next w:val="CommentText"/>
    <w:link w:val="CommentSubjectChar"/>
    <w:uiPriority w:val="99"/>
    <w:semiHidden/>
    <w:unhideWhenUsed/>
    <w:rsid w:val="0038192D"/>
    <w:rPr>
      <w:b/>
      <w:bCs/>
    </w:rPr>
  </w:style>
  <w:style w:type="character" w:customStyle="1" w:styleId="CommentSubjectChar">
    <w:name w:val="Comment Subject Char"/>
    <w:basedOn w:val="CommentTextChar"/>
    <w:link w:val="CommentSubject"/>
    <w:uiPriority w:val="99"/>
    <w:semiHidden/>
    <w:rsid w:val="0038192D"/>
    <w:rPr>
      <w:b/>
      <w:bCs/>
    </w:rPr>
  </w:style>
  <w:style w:type="paragraph" w:styleId="ListParagraph">
    <w:name w:val="List Paragraph"/>
    <w:basedOn w:val="Normal"/>
    <w:uiPriority w:val="34"/>
    <w:qFormat/>
    <w:rsid w:val="0038192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7EBF1C-6E43-421C-A11F-217C6EFDF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40</Pages>
  <Words>15041</Words>
  <Characters>85740</Characters>
  <Application>Microsoft Office Word</Application>
  <DocSecurity>0</DocSecurity>
  <Lines>714</Lines>
  <Paragraphs>201</Paragraphs>
  <ScaleCrop>false</ScaleCrop>
  <Company/>
  <LinksUpToDate>false</LinksUpToDate>
  <CharactersWithSpaces>100580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Luisa</dc:creator>
  <cp:lastModifiedBy>Luisa</cp:lastModifiedBy>
  <cp:revision>1</cp:revision>
  <dcterms:created xsi:type="dcterms:W3CDTF">2019-12-18T22:40:00Z</dcterms:created>
  <dcterms:modified xsi:type="dcterms:W3CDTF">2019-12-18T22:53:00Z</dcterms:modified>
</cp:coreProperties>
</file>