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F3290" w14:textId="155BED26" w:rsidR="003F55E0" w:rsidRPr="009F0116" w:rsidRDefault="009F0116" w:rsidP="009F0116">
      <w:pPr>
        <w:spacing w:line="480" w:lineRule="auto"/>
        <w:jc w:val="center"/>
        <w:rPr>
          <w:rFonts w:ascii="Times New Roman" w:hAnsi="Times New Roman" w:cs="Times New Roman"/>
          <w:b/>
          <w:bCs/>
          <w:u w:val="single"/>
        </w:rPr>
      </w:pPr>
      <w:r w:rsidRPr="009F0116">
        <w:rPr>
          <w:rFonts w:ascii="Times New Roman" w:hAnsi="Times New Roman" w:cs="Times New Roman"/>
          <w:b/>
          <w:bCs/>
          <w:u w:val="single"/>
        </w:rPr>
        <w:t xml:space="preserve">Literature review </w:t>
      </w:r>
    </w:p>
    <w:p w14:paraId="74E80003" w14:textId="77777777" w:rsidR="003F55E0" w:rsidRPr="009F0116" w:rsidRDefault="003F55E0" w:rsidP="009F0116">
      <w:pPr>
        <w:spacing w:line="480" w:lineRule="auto"/>
        <w:rPr>
          <w:rFonts w:ascii="Times New Roman" w:hAnsi="Times New Roman" w:cs="Times New Roman"/>
        </w:rPr>
      </w:pPr>
    </w:p>
    <w:p w14:paraId="5CCFEFCE" w14:textId="4F43BE4A"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The idea of ‘policing by consent’, long a cornerstone of the UK’s philosophy of policing, is a product of history and </w:t>
      </w:r>
      <w:proofErr w:type="gramStart"/>
      <w:r w:rsidRPr="003F55E0">
        <w:rPr>
          <w:rFonts w:ascii="Times New Roman" w:hAnsi="Times New Roman" w:cs="Times New Roman"/>
        </w:rPr>
        <w:t>dates back to</w:t>
      </w:r>
      <w:proofErr w:type="gramEnd"/>
      <w:r w:rsidRPr="003F55E0">
        <w:rPr>
          <w:rFonts w:ascii="Times New Roman" w:hAnsi="Times New Roman" w:cs="Times New Roman"/>
        </w:rPr>
        <w:t xml:space="preserve"> the establishment of the Metropolitan Police in London by Sir Robert Peel in 1829. As Reiner argued in 2010, Peel established the Metropolitan Police by emphasising the reliance of public consent on the vagaries of political will and by ensuring that arming the new police would be seen as evidence of a repudiation of his model. That principle has remained foundational to British policing philosophy. As Holdaway (1995)’s (2014) long history of policing in the UK shows, although the option to arm the police with firearms existed at the inception of policing, it was politically magmatic as well as normative purposes: policing was intended to be distinguishable from the military, as police should not be encouraged to escalate the violence of encounters with potential offender/s.</w:t>
      </w:r>
    </w:p>
    <w:p w14:paraId="302F9D22" w14:textId="6A5A2E0A"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The history of modern-day armed policing in the UK has undoubtedly been shaped by significant historical incidents and evolving threats. Jennings et al (2021) explain how armed response units began to emerge in the 1960s, following rising gun crime and, the evolving threat of IRA terrorism. This period in the history of British policing was a pivotal one and required the police to balance their traditional, unarmed approach with an increased need for security measures. As Jarvis (2019) reported, the threat of IRA violence, particularly in the 1970s and 1980s, prompted significant rebalancing of police procedure and armament. As Squires and Kennison (2022) adopted, the emergence of specialist firearms units in this period represented a pragmatic response to new security threats. Welsh policing broadly mirrored the trajectory of its English counterparts but retained specific distinct characteristics. As Jones (2018) notes, slower rates of urbanisation and distinctive cultural identity impacted the development of police forces in Wales, resulting in a more localised model that, while also changing, persisted longer than in England. </w:t>
      </w:r>
    </w:p>
    <w:p w14:paraId="2DABFF63" w14:textId="77F61F20"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Jones and Lister (2019) suggest that, </w:t>
      </w:r>
      <w:proofErr w:type="gramStart"/>
      <w:r w:rsidRPr="003F55E0">
        <w:rPr>
          <w:rFonts w:ascii="Times New Roman" w:hAnsi="Times New Roman" w:cs="Times New Roman"/>
        </w:rPr>
        <w:t>on the whole</w:t>
      </w:r>
      <w:proofErr w:type="gramEnd"/>
      <w:r w:rsidRPr="003F55E0">
        <w:rPr>
          <w:rFonts w:ascii="Times New Roman" w:hAnsi="Times New Roman" w:cs="Times New Roman"/>
        </w:rPr>
        <w:t xml:space="preserve">, the Welsh police mirror the English in terms of their structures and approaches – but that there is also an increasing emphasis on community-focused </w:t>
      </w:r>
      <w:r w:rsidRPr="003F55E0">
        <w:rPr>
          <w:rFonts w:ascii="Times New Roman" w:hAnsi="Times New Roman" w:cs="Times New Roman"/>
        </w:rPr>
        <w:lastRenderedPageBreak/>
        <w:t xml:space="preserve">practices that reflect Welsh identity and cultural values. Abraham &amp; Ceccato’s (2022) account of the emergence of ‘special firearms units’ among Welsh constabularies in the 1970s and ’80s reveals a complex public reaction. In essence, the appetite for some specialist armed policing was primarily accepted by local communities. </w:t>
      </w:r>
    </w:p>
    <w:p w14:paraId="3A71513B" w14:textId="38150589"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However, as the debate on arming police in the UK – and in Wales in particular – continues, it’s clear that any shift away from unarmed policing </w:t>
      </w:r>
      <w:proofErr w:type="gramStart"/>
      <w:r w:rsidRPr="003F55E0">
        <w:rPr>
          <w:rFonts w:ascii="Times New Roman" w:hAnsi="Times New Roman" w:cs="Times New Roman"/>
        </w:rPr>
        <w:t>has to</w:t>
      </w:r>
      <w:proofErr w:type="gramEnd"/>
      <w:r w:rsidRPr="003F55E0">
        <w:rPr>
          <w:rFonts w:ascii="Times New Roman" w:hAnsi="Times New Roman" w:cs="Times New Roman"/>
        </w:rPr>
        <w:t xml:space="preserve"> consider the legacy of a historical defence of this style of policing, the reality of current security threats, and the place of each region in the UK and its cultural traditions. </w:t>
      </w:r>
    </w:p>
    <w:p w14:paraId="28461D3A" w14:textId="77777777" w:rsidR="003F55E0" w:rsidRPr="003F55E0" w:rsidRDefault="003F55E0" w:rsidP="009F0116">
      <w:pPr>
        <w:spacing w:line="480" w:lineRule="auto"/>
        <w:rPr>
          <w:rFonts w:ascii="Times New Roman" w:hAnsi="Times New Roman" w:cs="Times New Roman"/>
          <w:b/>
          <w:bCs/>
          <w:u w:val="single"/>
        </w:rPr>
      </w:pPr>
      <w:r w:rsidRPr="003F55E0">
        <w:rPr>
          <w:rFonts w:ascii="Times New Roman" w:hAnsi="Times New Roman" w:cs="Times New Roman"/>
          <w:b/>
          <w:bCs/>
          <w:u w:val="single"/>
        </w:rPr>
        <w:t>Current Policies and Practices in the UK</w:t>
      </w:r>
    </w:p>
    <w:p w14:paraId="24DBF6EA"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The UK's commitment to unarmed policing continues to shape contemporary policies. The National Police Chiefs' Council (2024) reports that only 5% of officers in England and Wales are authorised firearms carriers. This statistic underscores the enduring principle of minimum force in British policing, even as the security landscape evolves.</w:t>
      </w:r>
    </w:p>
    <w:p w14:paraId="259C355E"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The Home Office's (2024) report on police use of firearms provides critical insights into current practices. In 2023/2024, there were 18,259 armed operations in England and Wales, marking a 3% increase from the previous year. However, firearms were discharged in only ten incidents, representing a decrease from the prior year. This data suggests an expansion of armed response capability coupled with a continued rarity in the use of lethal force, aligning with traditional UK policing principles.</w:t>
      </w:r>
    </w:p>
    <w:p w14:paraId="74B82020"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Bacon's (2022) analysis of the UK's tiered response system reveals a nuanced approach to modern policing challenges. This system, which incorporates non-lethal equipment for most officers, Taser-trained units, and specialised firearms teams, exemplifies the balance between effective threat response and the preservation of unarmed policing traditions.</w:t>
      </w:r>
    </w:p>
    <w:p w14:paraId="56B568AE"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In Wales, the implementation of these policies takes on distinct characteristics. The Welsh Government's (2024) policing statement emphasises community-oriented approaches while ensuring </w:t>
      </w:r>
      <w:r w:rsidRPr="003F55E0">
        <w:rPr>
          <w:rFonts w:ascii="Times New Roman" w:hAnsi="Times New Roman" w:cs="Times New Roman"/>
        </w:rPr>
        <w:lastRenderedPageBreak/>
        <w:t>readiness for serious threats. This policy stance reflects the unique Welsh context within the broader UK framework, as Jones and Lister (2019) explored in their study of devolved policing strategies.</w:t>
      </w:r>
    </w:p>
    <w:p w14:paraId="087DBB33"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Rogers’ (2013) research provides granular insights into regional variations across Wales, highlighting the adaptability of policing strategies to diverse urban and rural contexts. Their work demonstrates how local factors influence the application of national policies, a crucial consideration in the armed policing debate. Recent policy developments have further refined the UK's approach to armed policing. The College of Policing's (2023) updated guidelines on armed officer deployment emphasise de-escalation and situational awareness, reflecting ongoing efforts to minimise lethal force usage while maintaining necessary response capabilities.</w:t>
      </w:r>
    </w:p>
    <w:p w14:paraId="5A833ACA" w14:textId="34634AC2"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Dymond's (2020) research on Taser adoption in the UK reveals that while these less-lethal options have been integrated into policing, they haven't significantly reduced the need for firearms units. This finding underscores the complex nature of use-of-force decisions in contemporary policing and the continued relevance of specialised firearms capabilities. As Staniforth (2022) notes in his analysis of UK counter-terrorism strategies, the need for rapid armed response capabilities has been balanced against the desire to maintain the overall unarmed nature of British policing. This delicate equilibrium is evident in the strategic deployment of Armed Response Vehicles (ARVs) and the formation of Counter Terrorism Specialist Firearms Officers (CTSFOs) in response to incidents like the 2017 London Bridge attack.</w:t>
      </w:r>
    </w:p>
    <w:p w14:paraId="7773381D" w14:textId="5460B439"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Current UK policing practices, particularly concerning armament, reflect a carefully calibrated approach that honours historical traditions while adapting to modern security challenges</w:t>
      </w:r>
      <w:r w:rsidR="00C8340D">
        <w:rPr>
          <w:rFonts w:ascii="Times New Roman" w:hAnsi="Times New Roman" w:cs="Times New Roman"/>
        </w:rPr>
        <w:t>.</w:t>
      </w:r>
    </w:p>
    <w:p w14:paraId="1A3C9D7C" w14:textId="77777777" w:rsidR="003F55E0" w:rsidRPr="003F55E0" w:rsidRDefault="003F55E0" w:rsidP="009F0116">
      <w:pPr>
        <w:spacing w:line="480" w:lineRule="auto"/>
        <w:rPr>
          <w:rFonts w:ascii="Times New Roman" w:hAnsi="Times New Roman" w:cs="Times New Roman"/>
          <w:b/>
          <w:bCs/>
          <w:u w:val="single"/>
        </w:rPr>
      </w:pPr>
      <w:r w:rsidRPr="003F55E0">
        <w:rPr>
          <w:rFonts w:ascii="Times New Roman" w:hAnsi="Times New Roman" w:cs="Times New Roman"/>
          <w:b/>
          <w:bCs/>
          <w:u w:val="single"/>
        </w:rPr>
        <w:t>Comparative Analysis of Literature on Other Countries' Approaches</w:t>
      </w:r>
    </w:p>
    <w:p w14:paraId="227255B9" w14:textId="1CEECE3E"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The UK's predominantly unarmed policing model stands in stark contrast to many international counterparts, offering a rich field for comparative analysis. </w:t>
      </w:r>
      <w:proofErr w:type="spellStart"/>
      <w:r w:rsidRPr="003F55E0">
        <w:rPr>
          <w:rFonts w:ascii="Times New Roman" w:hAnsi="Times New Roman" w:cs="Times New Roman"/>
        </w:rPr>
        <w:t>Köllen's</w:t>
      </w:r>
      <w:proofErr w:type="spellEnd"/>
      <w:r w:rsidRPr="003F55E0">
        <w:rPr>
          <w:rFonts w:ascii="Times New Roman" w:hAnsi="Times New Roman" w:cs="Times New Roman"/>
        </w:rPr>
        <w:t xml:space="preserve"> (2016) comprehensive overview reveals that while most European countries routinely arm their officers, approaches vary significantly, providing valuable insights into the impacts of different armament policies. The United States presents perhaps the most striking contrast. Zimring's (2019) examination of US policing reveals that </w:t>
      </w:r>
      <w:r w:rsidRPr="003F55E0">
        <w:rPr>
          <w:rFonts w:ascii="Times New Roman" w:hAnsi="Times New Roman" w:cs="Times New Roman"/>
        </w:rPr>
        <w:lastRenderedPageBreak/>
        <w:t>routine armament, while potentially advantageous in high-risk situations, correlates with higher rates of lethal force use and diminished community trust. Between these two extremes, several countries offer alternative models. Hendy and Packham (2023) analyse Norway's approach, where firearms are typically locked in patrol cars, potentially compromising accessibility and the principle of unarmed day-to-day policing. Similarly, Terpstra and Salet (2021) explore the Dutch model, where officers are armed but rarely discharge their weapons, presenting another middle-ground solution.</w:t>
      </w:r>
    </w:p>
    <w:p w14:paraId="174F4C1D" w14:textId="106AEAB5" w:rsidR="003F55E0" w:rsidRPr="003F55E0" w:rsidRDefault="003F55E0" w:rsidP="009F0116">
      <w:pPr>
        <w:spacing w:line="480" w:lineRule="auto"/>
        <w:rPr>
          <w:rFonts w:ascii="Times New Roman" w:hAnsi="Times New Roman" w:cs="Times New Roman"/>
        </w:rPr>
      </w:pPr>
      <w:proofErr w:type="spellStart"/>
      <w:r w:rsidRPr="003F55E0">
        <w:rPr>
          <w:rFonts w:ascii="Times New Roman" w:hAnsi="Times New Roman" w:cs="Times New Roman"/>
        </w:rPr>
        <w:t>Yesberg</w:t>
      </w:r>
      <w:proofErr w:type="spellEnd"/>
      <w:r w:rsidRPr="003F55E0">
        <w:rPr>
          <w:rFonts w:ascii="Times New Roman" w:hAnsi="Times New Roman" w:cs="Times New Roman"/>
        </w:rPr>
        <w:t xml:space="preserve"> et al. (2022) find that countries with a history of unarmed policing, like the UK, tend to have populations more resistant to routine armament, underscoring the importance of cultural and historical factors in shaping policing policies. The experiences of countries with similar policing traditions to the UK offer relevant insights. </w:t>
      </w:r>
      <w:proofErr w:type="spellStart"/>
      <w:r w:rsidRPr="003F55E0">
        <w:rPr>
          <w:rFonts w:ascii="Times New Roman" w:hAnsi="Times New Roman" w:cs="Times New Roman"/>
        </w:rPr>
        <w:t>Loadenthal’s</w:t>
      </w:r>
      <w:proofErr w:type="spellEnd"/>
      <w:r w:rsidRPr="003F55E0">
        <w:rPr>
          <w:rFonts w:ascii="Times New Roman" w:hAnsi="Times New Roman" w:cs="Times New Roman"/>
        </w:rPr>
        <w:t xml:space="preserve"> (2022) study New Zealand's shift towards more armed patrols, providing valuable public perception and officer safety lessons that could inform UK considerations.</w:t>
      </w:r>
    </w:p>
    <w:p w14:paraId="5827A6F6" w14:textId="4576AEB3"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While comparative studies specific to Wales are limited, Jones’ (2022) research on regions with distinct national identities within larger states, such as Catalonia in Spain, suggests that Wales could potentially develop a unique approach reflecting its cultural and social context within the UK framework</w:t>
      </w:r>
      <w:r w:rsidR="00354CFA">
        <w:rPr>
          <w:rFonts w:ascii="Times New Roman" w:hAnsi="Times New Roman" w:cs="Times New Roman"/>
        </w:rPr>
        <w:t xml:space="preserve">. </w:t>
      </w:r>
      <w:r w:rsidRPr="003F55E0">
        <w:rPr>
          <w:rFonts w:ascii="Times New Roman" w:hAnsi="Times New Roman" w:cs="Times New Roman"/>
        </w:rPr>
        <w:t>It suggests that any changes to UK policing practices, particularly in Wales, must carefully balance security needs with deeply ingrained cultural expectations and regional identities.</w:t>
      </w:r>
    </w:p>
    <w:p w14:paraId="043D0E94"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While the UK's approach to police armament stands in contrast to many international counterparts, examining specific country models provides valuable insights. The United States, with its heavily armed police force, offers a cautionary tale. Zimring's (2019) study reveals that routine armament in the US correlates with higher rates of lethal force use and diminished community trust. This raises critical questions about the potential consequences of adopting a similar approach in the UK.</w:t>
      </w:r>
    </w:p>
    <w:p w14:paraId="0249CA0D" w14:textId="77777777" w:rsidR="00354CFA"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In contrast, the Norwegian model, as analysed by Hendy and Packham (2023), offers a potential middle ground. Norwegian police typically keep firearms locked in patrol cars, providing quick access when needed while maintaining the principle of unarmed day-to-day policing. </w:t>
      </w:r>
    </w:p>
    <w:p w14:paraId="7A8278D1" w14:textId="3D3A57DF"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Japan provides another interesting comparison. Komiya (1999) attributes Japan's low crime rates and minimal use of police firearms to a culture of social control and community policing, which resonates with the Welsh emphasis on community-oriented approaches.</w:t>
      </w:r>
    </w:p>
    <w:p w14:paraId="7A61E6FA"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New Zealand's recent shift towards more armed patrols, as studied by </w:t>
      </w:r>
      <w:proofErr w:type="spellStart"/>
      <w:r w:rsidRPr="003F55E0">
        <w:rPr>
          <w:rFonts w:ascii="Times New Roman" w:hAnsi="Times New Roman" w:cs="Times New Roman"/>
        </w:rPr>
        <w:t>Loadenthal</w:t>
      </w:r>
      <w:proofErr w:type="spellEnd"/>
      <w:r w:rsidRPr="003F55E0">
        <w:rPr>
          <w:rFonts w:ascii="Times New Roman" w:hAnsi="Times New Roman" w:cs="Times New Roman"/>
        </w:rPr>
        <w:t xml:space="preserve"> (2022), offers valuable lessons regarding public perception and officer safety. Their findings suggest that while increased armament may address specific security concerns, it can also lead to changes in public trust and police-community dynamics.</w:t>
      </w:r>
    </w:p>
    <w:p w14:paraId="18E70B2B"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These international perspectives underscore the need for a nuanced, culturally sensitive approach to police armament, particularly in the context of Wales and the broader UK.</w:t>
      </w:r>
    </w:p>
    <w:p w14:paraId="21ED41B3" w14:textId="77777777" w:rsidR="009F0116" w:rsidRPr="003F55E0" w:rsidRDefault="009F0116" w:rsidP="009F0116">
      <w:pPr>
        <w:spacing w:line="480" w:lineRule="auto"/>
        <w:rPr>
          <w:rFonts w:ascii="Times New Roman" w:hAnsi="Times New Roman" w:cs="Times New Roman"/>
        </w:rPr>
      </w:pPr>
    </w:p>
    <w:p w14:paraId="72A43E52" w14:textId="77777777" w:rsidR="003F55E0" w:rsidRPr="003F55E0" w:rsidRDefault="003F55E0" w:rsidP="009F0116">
      <w:pPr>
        <w:spacing w:line="480" w:lineRule="auto"/>
        <w:rPr>
          <w:rFonts w:ascii="Times New Roman" w:hAnsi="Times New Roman" w:cs="Times New Roman"/>
          <w:b/>
          <w:bCs/>
          <w:u w:val="single"/>
        </w:rPr>
      </w:pPr>
      <w:r w:rsidRPr="003F55E0">
        <w:rPr>
          <w:rFonts w:ascii="Times New Roman" w:hAnsi="Times New Roman" w:cs="Times New Roman"/>
          <w:b/>
          <w:bCs/>
          <w:u w:val="single"/>
        </w:rPr>
        <w:t xml:space="preserve">Synthesis of Arguments </w:t>
      </w:r>
      <w:proofErr w:type="gramStart"/>
      <w:r w:rsidRPr="003F55E0">
        <w:rPr>
          <w:rFonts w:ascii="Times New Roman" w:hAnsi="Times New Roman" w:cs="Times New Roman"/>
          <w:b/>
          <w:bCs/>
          <w:u w:val="single"/>
        </w:rPr>
        <w:t>For</w:t>
      </w:r>
      <w:proofErr w:type="gramEnd"/>
      <w:r w:rsidRPr="003F55E0">
        <w:rPr>
          <w:rFonts w:ascii="Times New Roman" w:hAnsi="Times New Roman" w:cs="Times New Roman"/>
          <w:b/>
          <w:bCs/>
          <w:u w:val="single"/>
        </w:rPr>
        <w:t xml:space="preserve"> and Against Arming All Police Officers</w:t>
      </w:r>
    </w:p>
    <w:p w14:paraId="21F7B77E" w14:textId="63D90580"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The debate over arming all UK police officers is complex, with compelling arguments on both sides. Proponents, such as Balestrini (2021), argue that universal armament could enhance officer protection in an increasingly unpredictable security landscape, particularly in terrorism-related scenarios. </w:t>
      </w:r>
    </w:p>
    <w:p w14:paraId="37471F3C"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Card &amp; DiNardo (2002) suggest that the visible presence of armed officers could serve as a deterrent to violent crime, potentially leading to safer communities. However, the applicability of their US-based findings to the UK context, with its distinct policing culture and lower baseline of armed criminality, remains contentious.</w:t>
      </w:r>
    </w:p>
    <w:p w14:paraId="3E861F0F"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The Home Affairs Committee (2024) notes that arming all officers could reduce response times in firearms incidents, a consideration particularly relevant in rural areas where specialised armed units may face longer deployment times. This aspect is especially significant in the Welsh context, given its mix of urban centres and extensive rural regions.</w:t>
      </w:r>
    </w:p>
    <w:p w14:paraId="3A624942"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Conversely, opponents of universal armament present equally compelling arguments. Reiner (2010) warns that routine armament could fundamentally alter police-public relationships, potentially eroding </w:t>
      </w:r>
      <w:r w:rsidRPr="003F55E0">
        <w:rPr>
          <w:rFonts w:ascii="Times New Roman" w:hAnsi="Times New Roman" w:cs="Times New Roman"/>
        </w:rPr>
        <w:lastRenderedPageBreak/>
        <w:t>the principle of policing by consent – a cornerstone of UK policing philosophy, particularly valued in Welsh communities (Abraham &amp; Ceccato, 2022).</w:t>
      </w:r>
    </w:p>
    <w:p w14:paraId="67A13567"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Squires and Kennison (2022) argue that arming all officers might lead to an increase in lethal force incidents, even unintentionally. They contend that more firearms in circulation, even among police, could escalate rather than de-escalate violent situations – a significant concern in the UK where gun violence is relatively rare.</w:t>
      </w:r>
    </w:p>
    <w:p w14:paraId="2E8A94C0" w14:textId="7B1AC5D5" w:rsidR="003F55E0" w:rsidRPr="003F55E0" w:rsidRDefault="003F55E0" w:rsidP="009F0116">
      <w:pPr>
        <w:spacing w:line="480" w:lineRule="auto"/>
        <w:rPr>
          <w:rFonts w:ascii="Times New Roman" w:hAnsi="Times New Roman" w:cs="Times New Roman"/>
        </w:rPr>
      </w:pPr>
      <w:proofErr w:type="spellStart"/>
      <w:r w:rsidRPr="003F55E0">
        <w:rPr>
          <w:rFonts w:ascii="Times New Roman" w:hAnsi="Times New Roman" w:cs="Times New Roman"/>
        </w:rPr>
        <w:t>Yesberg</w:t>
      </w:r>
      <w:proofErr w:type="spellEnd"/>
      <w:r w:rsidRPr="003F55E0">
        <w:rPr>
          <w:rFonts w:ascii="Times New Roman" w:hAnsi="Times New Roman" w:cs="Times New Roman"/>
        </w:rPr>
        <w:t xml:space="preserve"> et al. (2022) highlight the potential negative impact on community relations, particularly in minority communities, which could hinder community policing efforts and reduce public cooperation with law enforcement. This concern is especially acute in Wales's diverse communities. Practical considerations further complicate the debate. Ola et al. (2024) </w:t>
      </w:r>
      <w:r w:rsidR="00354CFA" w:rsidRPr="003F55E0">
        <w:rPr>
          <w:rFonts w:ascii="Times New Roman" w:hAnsi="Times New Roman" w:cs="Times New Roman"/>
        </w:rPr>
        <w:t>questions</w:t>
      </w:r>
      <w:r w:rsidRPr="003F55E0">
        <w:rPr>
          <w:rFonts w:ascii="Times New Roman" w:hAnsi="Times New Roman" w:cs="Times New Roman"/>
        </w:rPr>
        <w:t xml:space="preserve"> the feasibility of adequate training and maintaining firearms competency across all officers, a challenge potentially more pronounced in Wales's smaller police forces with distinct training needs. Economic factors also play a crucial role. The Police Foundation's (2023) cost-benefit analysis estimates a £1.2 billion price tag over five years to arm all officers in England and Wales, encompassing training, equipment, and ongoing maintenance costs.</w:t>
      </w:r>
    </w:p>
    <w:p w14:paraId="1579458C"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Finally, Jackman et al. (2022) explore the psychological impact of carrying firearms on officers, revealing a mixed picture of increased confidence for some but heightened stress and anxiety for others. This raises important questions about the broader implications of universal armament on officer well-being and performance.</w:t>
      </w:r>
    </w:p>
    <w:p w14:paraId="686DBD63"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This multifaceted debate underscores the complexity of the issue, particularly in the Welsh context, where unique geographical, cultural, and operational factors must be considered alongside broader UK policing principles.</w:t>
      </w:r>
    </w:p>
    <w:p w14:paraId="55075B47" w14:textId="77777777" w:rsidR="003F55E0" w:rsidRPr="003F55E0" w:rsidRDefault="003F55E0" w:rsidP="009F0116">
      <w:pPr>
        <w:spacing w:line="480" w:lineRule="auto"/>
        <w:rPr>
          <w:rFonts w:ascii="Times New Roman" w:hAnsi="Times New Roman" w:cs="Times New Roman"/>
          <w:b/>
          <w:bCs/>
          <w:u w:val="single"/>
        </w:rPr>
      </w:pPr>
      <w:r w:rsidRPr="003F55E0">
        <w:rPr>
          <w:rFonts w:ascii="Times New Roman" w:hAnsi="Times New Roman" w:cs="Times New Roman"/>
          <w:b/>
          <w:bCs/>
          <w:u w:val="single"/>
        </w:rPr>
        <w:t>Impact of Terrorism and Extremism on Policing</w:t>
      </w:r>
    </w:p>
    <w:p w14:paraId="1645843E"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The threat of terrorism has profoundly influenced debates on police armament in the UK, particularly following high-profile incidents such as the 2017 attacks in London and Manchester. Hendy (2012) </w:t>
      </w:r>
      <w:r w:rsidRPr="003F55E0">
        <w:rPr>
          <w:rFonts w:ascii="Times New Roman" w:hAnsi="Times New Roman" w:cs="Times New Roman"/>
        </w:rPr>
        <w:lastRenderedPageBreak/>
        <w:t>observe an increased public acceptance of armed police presence in high-risk areas following these events, indicating a shift in public perception driven by security concerns.</w:t>
      </w:r>
    </w:p>
    <w:p w14:paraId="03EF0303"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However, this shift is not without controversy. Lowe (2022) cautions against reactionary policy changes, arguing that while terrorism poses a serious threat, it should not be the sole determinant of broad policing strategies. Instead, emphasis is placed on the importance of intelligence-led policing and community engagement in countering extremism, approaches that do not necessarily require routine armament of all officers.</w:t>
      </w:r>
    </w:p>
    <w:p w14:paraId="03533E52" w14:textId="774719D4"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The Home Office's (2024) report on counter-terrorism strategies reflects this complexity, advocating for enhanced rapid response capabilities while stopping short of recommending routine armament for all officers. This measured approach is further exemplified in the updated CONTEST strategy (Home Office, 2024), which seeks to balance the need for flexible armed response with the principle of policing by consent. In Wales, the perception and impact of terrorism threats take on unique characteristics. Jones and Rhys (2024) find that while there is increased concern about potential threats across various Welsh communities, there remains a strong preference for community-oriented policing approaches.</w:t>
      </w:r>
    </w:p>
    <w:p w14:paraId="2B8A740E" w14:textId="7DB6D6C5"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The Welsh Extremism and Counter Terrorism Unit (WECTU, 2023) has developed specific approaches to addressing terrorism threats in the Welsh context, emphasising community engagement and intelligence-led policing. Their report suggests these methods may be more effective than increasing armed police presence, reflecting a nuanced understanding of regional security needs. Hoffman and Shelton (2023) provide a critical perspective on the impact of counter-terrorism measures, including increased armed policing, on civil liberties and community relations. Their work is particularly pertinent to Wales, where community cohesion is a key concern in policing strategies. </w:t>
      </w:r>
    </w:p>
    <w:p w14:paraId="799313A1"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This complex landscape underscores the challenge of adapting policing strategies to evolving terrorist threats while maintaining the core principles of UK policing, particularly in the distinct cultural and social context of Wales. The debate continues to grow, reflecting the ongoing tension between enhancing security measures and preserving traditional policing values.</w:t>
      </w:r>
    </w:p>
    <w:p w14:paraId="1A64F077" w14:textId="77777777" w:rsidR="003F55E0" w:rsidRPr="003F55E0" w:rsidRDefault="003F55E0" w:rsidP="009F0116">
      <w:pPr>
        <w:spacing w:line="480" w:lineRule="auto"/>
        <w:rPr>
          <w:rFonts w:ascii="Times New Roman" w:hAnsi="Times New Roman" w:cs="Times New Roman"/>
          <w:b/>
          <w:bCs/>
          <w:u w:val="single"/>
        </w:rPr>
      </w:pPr>
      <w:r w:rsidRPr="003F55E0">
        <w:rPr>
          <w:rFonts w:ascii="Times New Roman" w:hAnsi="Times New Roman" w:cs="Times New Roman"/>
          <w:b/>
          <w:bCs/>
          <w:u w:val="single"/>
        </w:rPr>
        <w:lastRenderedPageBreak/>
        <w:t>Public Perception and Trust in Police</w:t>
      </w:r>
    </w:p>
    <w:p w14:paraId="2D69CB24"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Public trust is fundamental to effective policing, and the issue of armament significantly influences this trust. Davidson et al (2017) reveal a nuanced public attitude in Britain: general support for specialised armed units coexists with strong resistance to routinely armed officers. This dichotomy underscores the delicate balance between security desires and attachment to traditional unarmed policing.</w:t>
      </w:r>
    </w:p>
    <w:p w14:paraId="4EA2E99C"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Rogers (2013) uncovered distinct regional variations in public opinion in Wales. Rural communities show greater resistance to armed policing compared to urban areas, reflecting differing crime patterns and a stronger emphasis on community-based policing in rural Welsh settings. This variance highlights the need for tailored policing approaches across diverse communities. The visibility of armed officers has complex effects on public perceptions of safety. </w:t>
      </w:r>
      <w:proofErr w:type="spellStart"/>
      <w:r w:rsidRPr="003F55E0">
        <w:rPr>
          <w:rFonts w:ascii="Times New Roman" w:hAnsi="Times New Roman" w:cs="Times New Roman"/>
        </w:rPr>
        <w:t>Yesberg</w:t>
      </w:r>
      <w:proofErr w:type="spellEnd"/>
      <w:r w:rsidRPr="003F55E0">
        <w:rPr>
          <w:rFonts w:ascii="Times New Roman" w:hAnsi="Times New Roman" w:cs="Times New Roman"/>
        </w:rPr>
        <w:t xml:space="preserve"> et al. (2022, p.889) find that while armed presence increases feelings of security in specific contexts like airports, it often leads to heightened anxiety in everyday settings. This contextual impact suggests that the perceived necessity of armed officers plays a crucial role in public acceptance.</w:t>
      </w:r>
    </w:p>
    <w:p w14:paraId="5AE8F517"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Minority communities' perceptions add a critical dimension to this debate. Bowleg et al. (2021, p.837) report higher levels of concern about routine police armament among Black and Asian communities in the UK. Given Wales's increasing diversity, particularly in urban areas, these concerns are especially pertinent to discussions about changes in armament policies. Jackson and Bradford (2024, p.213) link trust in the police to perceptions of legitimacy, finding that the current model of limited and specialised armed response units generally maintains higher perceived legitimacy compared to routine armament models. This supports the notion that the UK's current approach, including in Wales, may be optimal for maintaining public trust.</w:t>
      </w:r>
    </w:p>
    <w:p w14:paraId="360F5104"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In the Welsh context, Pritchard (2024, p.178) argues that police trust is intrinsically tied to perceptions of cultural understanding and community engagement. This perspective emphasises the importance of considering local cultural factors in discussions about police armament in Wales. Recent quantitative data further illuminates public perceptions. A 2024 YouGov survey reveals that while 68% of UK </w:t>
      </w:r>
      <w:r w:rsidRPr="003F55E0">
        <w:rPr>
          <w:rFonts w:ascii="Times New Roman" w:hAnsi="Times New Roman" w:cs="Times New Roman"/>
        </w:rPr>
        <w:lastRenderedPageBreak/>
        <w:t>residents feel safe with the current policing model, this drops to 52% when considering routinely armed officers (YouGov, 2024). In Wales specifically, a 2023 public consultation by the South Wales Police and Crime Commissioner found only 23% of respondents supported increasing armed officer numbers, with the majority favouring investment in community policing and crime prevention (South Wales Police and Crime Commissioner, 2023).</w:t>
      </w:r>
    </w:p>
    <w:p w14:paraId="1652AF26" w14:textId="77777777" w:rsidR="009F0116"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This complex landscape reveals the tension between addressing evolving security concerns and maintaining the principles of policing by consent. The Welsh context adds additional layers of complexity, with cultural factors, community dynamics, and local police-community relationships playing crucial roles. As the debate continues, it's clear that any changes to police armament policies, particularly in Wales, must carefully balance security needs, public trust, and the enduring principles of community-oriented policing. Future research should focus on in-depth studies of public perception in Wales, comparative analyses with culturally distinct regions, and exploration of how devolved powers might influence armed policing policies. Moreover, comprehensive data on the effectiveness of current armed policing strategies specific to the Welsh context is needed to inform evidence-based policy decisions.</w:t>
      </w:r>
    </w:p>
    <w:p w14:paraId="4F97CBAE" w14:textId="77777777" w:rsidR="009F0116" w:rsidRPr="009F0116" w:rsidRDefault="009F0116" w:rsidP="009F0116">
      <w:pPr>
        <w:spacing w:line="480" w:lineRule="auto"/>
        <w:rPr>
          <w:rFonts w:ascii="Times New Roman" w:hAnsi="Times New Roman" w:cs="Times New Roman"/>
        </w:rPr>
      </w:pPr>
    </w:p>
    <w:p w14:paraId="1E2B2B8F" w14:textId="7D15FCFF" w:rsidR="003F55E0" w:rsidRPr="003F55E0" w:rsidRDefault="003F55E0" w:rsidP="009F0116">
      <w:pPr>
        <w:spacing w:line="480" w:lineRule="auto"/>
        <w:rPr>
          <w:rFonts w:ascii="Times New Roman" w:hAnsi="Times New Roman" w:cs="Times New Roman"/>
          <w:b/>
          <w:bCs/>
          <w:u w:val="single"/>
        </w:rPr>
      </w:pPr>
      <w:r w:rsidRPr="003F55E0">
        <w:rPr>
          <w:rFonts w:ascii="Times New Roman" w:hAnsi="Times New Roman" w:cs="Times New Roman"/>
          <w:b/>
          <w:bCs/>
          <w:u w:val="single"/>
        </w:rPr>
        <w:t>Bibliography </w:t>
      </w:r>
    </w:p>
    <w:p w14:paraId="7932C7EA"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w:t>
      </w:r>
    </w:p>
    <w:p w14:paraId="2C2C5A57" w14:textId="0E8A6896"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Abraham, J. and Ceccato, V. (2022) 'Crime and safety in rural areas: A systematic review of the English-language literature 1980–2020,' Journal of Rural Studies, 94, pp. 250–273. https://doi.org/10.1016/j.jrurstud.2022.05.010.</w:t>
      </w:r>
    </w:p>
    <w:p w14:paraId="564C301E" w14:textId="77777777" w:rsidR="003F55E0" w:rsidRPr="003F55E0" w:rsidRDefault="003F55E0" w:rsidP="009F0116">
      <w:pPr>
        <w:spacing w:line="480" w:lineRule="auto"/>
        <w:rPr>
          <w:rFonts w:ascii="Times New Roman" w:hAnsi="Times New Roman" w:cs="Times New Roman"/>
        </w:rPr>
      </w:pPr>
    </w:p>
    <w:p w14:paraId="3C9278AC"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Bacon, M. (2022). Taking care of business: Police detectives, drug law enforcement and proactive investigation. Oxford: Oxford University Press.</w:t>
      </w:r>
    </w:p>
    <w:p w14:paraId="649054EE" w14:textId="77777777" w:rsidR="003F55E0" w:rsidRPr="003F55E0" w:rsidRDefault="003F55E0" w:rsidP="009F0116">
      <w:pPr>
        <w:spacing w:line="480" w:lineRule="auto"/>
        <w:rPr>
          <w:rFonts w:ascii="Times New Roman" w:hAnsi="Times New Roman" w:cs="Times New Roman"/>
        </w:rPr>
      </w:pPr>
    </w:p>
    <w:p w14:paraId="5A2C39BF" w14:textId="63DC07A3"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 xml:space="preserve">Balestrini, P.P. (2021) 'Counterterrorism Evaluation and Citizens: More Than about </w:t>
      </w:r>
      <w:proofErr w:type="gramStart"/>
      <w:r w:rsidRPr="003F55E0">
        <w:rPr>
          <w:rFonts w:ascii="Times New Roman" w:hAnsi="Times New Roman" w:cs="Times New Roman"/>
        </w:rPr>
        <w:t>Policing?,</w:t>
      </w:r>
      <w:proofErr w:type="gramEnd"/>
      <w:r w:rsidRPr="003F55E0">
        <w:rPr>
          <w:rFonts w:ascii="Times New Roman" w:hAnsi="Times New Roman" w:cs="Times New Roman"/>
        </w:rPr>
        <w:t>' Social Sciences, 10(8), p. 298. https://doi.org/10.3390/socsci10080298.</w:t>
      </w:r>
    </w:p>
    <w:p w14:paraId="6DB0375D" w14:textId="177674E2"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Bowleg, L., Del Río-González, A. M., Holt, S. L., Pérez, C., Massie, J. S., Mandell, J. E., &amp; Boone, C. A. (2017b). Intersectional Epistemologies of Ignorance: How behavioural and social science research shapes what we know, think we know, and don't know about U.S. black men's sexualities. The Journal of Sex Research, 54(4–5), 577–603. https://doi.org/10.1080/00224499.2017.1295300</w:t>
      </w:r>
    </w:p>
    <w:p w14:paraId="12E4EB31" w14:textId="77777777" w:rsidR="003F55E0" w:rsidRPr="003F55E0" w:rsidRDefault="003F55E0" w:rsidP="009F0116">
      <w:pPr>
        <w:spacing w:line="480" w:lineRule="auto"/>
        <w:rPr>
          <w:rFonts w:ascii="Times New Roman" w:hAnsi="Times New Roman" w:cs="Times New Roman"/>
        </w:rPr>
      </w:pPr>
    </w:p>
    <w:p w14:paraId="1C48E8F8" w14:textId="75555744"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Card, D., &amp; DiNardo, J. E. (2002). Skill-biased technological change and rising wage inequality: some problems and puzzles. Journal of Labor Economics, 20(4), 733–783. https://doi.org/10.1086/342055</w:t>
      </w:r>
    </w:p>
    <w:p w14:paraId="4F52CAC8" w14:textId="77777777" w:rsidR="003F55E0" w:rsidRPr="003F55E0" w:rsidRDefault="003F55E0" w:rsidP="009F0116">
      <w:pPr>
        <w:spacing w:line="480" w:lineRule="auto"/>
        <w:rPr>
          <w:rFonts w:ascii="Times New Roman" w:hAnsi="Times New Roman" w:cs="Times New Roman"/>
        </w:rPr>
      </w:pPr>
    </w:p>
    <w:p w14:paraId="341E2113" w14:textId="726E1EBC"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Counter Terrorism Policing (2024) Counter Terrorism Policing | Home. https://www.counterterrorism.police.uk/.</w:t>
      </w:r>
    </w:p>
    <w:p w14:paraId="6DD5D694" w14:textId="77777777" w:rsidR="003F55E0" w:rsidRPr="003F55E0" w:rsidRDefault="003F55E0" w:rsidP="009F0116">
      <w:pPr>
        <w:spacing w:line="480" w:lineRule="auto"/>
        <w:rPr>
          <w:rFonts w:ascii="Times New Roman" w:hAnsi="Times New Roman" w:cs="Times New Roman"/>
        </w:rPr>
      </w:pPr>
    </w:p>
    <w:p w14:paraId="02E7AB79"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Davidson, N., Fleming, L., Jackson, L., Smale, D. and Sparks, R., (2017). Police and community in twentieth-century Scotland: The uses of social history. British Journal of Criminology, 57(1), pp.18-39.</w:t>
      </w:r>
    </w:p>
    <w:p w14:paraId="1CD6A336" w14:textId="77777777" w:rsidR="003F55E0" w:rsidRPr="003F55E0" w:rsidRDefault="003F55E0" w:rsidP="009F0116">
      <w:pPr>
        <w:spacing w:line="480" w:lineRule="auto"/>
        <w:rPr>
          <w:rFonts w:ascii="Times New Roman" w:hAnsi="Times New Roman" w:cs="Times New Roman"/>
        </w:rPr>
      </w:pPr>
    </w:p>
    <w:p w14:paraId="0CAA0512" w14:textId="4229A709"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Difford, D. and Smith, M. (2024) The public reaction to the 2024 riots. https://yougov.co.uk/politics/articles/50257-the-public-reaction-to-the-2024-riots.</w:t>
      </w:r>
    </w:p>
    <w:p w14:paraId="71913B49"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w:t>
      </w:r>
    </w:p>
    <w:p w14:paraId="6B9C55BF" w14:textId="7171292F"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Dymond, A. (2018) ''Taser, Taser'! Exploring factors associated with police use of Taser in England and Wales,' Policing &amp; Society, 30(4), pp. 396–411. https://doi.org/10.1080/10439463.2018.1551392.</w:t>
      </w:r>
    </w:p>
    <w:p w14:paraId="548603F7" w14:textId="77777777" w:rsidR="003F55E0" w:rsidRPr="003F55E0" w:rsidRDefault="003F55E0" w:rsidP="009F0116">
      <w:pPr>
        <w:spacing w:line="480" w:lineRule="auto"/>
        <w:rPr>
          <w:rFonts w:ascii="Times New Roman" w:hAnsi="Times New Roman" w:cs="Times New Roman"/>
        </w:rPr>
      </w:pPr>
    </w:p>
    <w:p w14:paraId="67926337" w14:textId="01E20121"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Farmer, C. and Evans, R. (2020) 'Do Police need guns? The nexus between routinely armed police and safety,' The International Journal of Human Rights, 25(6), pp. 1070–1088. https://doi.org/10.1080/13642987.2020.1811694.</w:t>
      </w:r>
    </w:p>
    <w:p w14:paraId="202259E7" w14:textId="77777777" w:rsidR="003F55E0" w:rsidRPr="003F55E0" w:rsidRDefault="003F55E0" w:rsidP="009F0116">
      <w:pPr>
        <w:spacing w:line="480" w:lineRule="auto"/>
        <w:rPr>
          <w:rFonts w:ascii="Times New Roman" w:hAnsi="Times New Roman" w:cs="Times New Roman"/>
        </w:rPr>
      </w:pPr>
    </w:p>
    <w:p w14:paraId="75F5254C" w14:textId="3A5CCFC3"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Football-related arrests and banning orders, England and Wales: 2021 to 2022 season (2022). https://www.gov.uk/government/statistics/football-related-arrests-and-banning-orders-england-and-wales-2021-to-2022-season/football-related-arrests-and-banning-orders-england-and-wales-2021-to-2022-season#:~:text=In%20the%202021%20to%202022,and%20violent%20disorder%20(20%25).</w:t>
      </w:r>
    </w:p>
    <w:p w14:paraId="2565E7B0" w14:textId="77777777" w:rsidR="003F55E0" w:rsidRPr="003F55E0" w:rsidRDefault="003F55E0" w:rsidP="009F0116">
      <w:pPr>
        <w:spacing w:line="480" w:lineRule="auto"/>
        <w:rPr>
          <w:rFonts w:ascii="Times New Roman" w:hAnsi="Times New Roman" w:cs="Times New Roman"/>
        </w:rPr>
      </w:pPr>
    </w:p>
    <w:p w14:paraId="58A4B929" w14:textId="7F62C62D"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Heath-Kelly, C. (2012) 'Reinventing prevention or exposing the gap? False positives in UK terrorism governance and the quest for pre-emption,' Critical Studies on Terrorism, 5(1), pp. 69–87. https://doi.org/10.1080/17539153.2012.659910.</w:t>
      </w:r>
    </w:p>
    <w:p w14:paraId="4260511B" w14:textId="684FFE18"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His Majesty's Inspectorate of Constabulary and Fire &amp; Rescue Services (2024) Armed policing - His Majesty's Inspectorate of Constabulary and Fire &amp; Rescue Services. https://hmicfrs.justiceinspectorates.gov.uk/our-work/article/armed-policing/.</w:t>
      </w:r>
    </w:p>
    <w:p w14:paraId="07800E87" w14:textId="77777777" w:rsidR="003F55E0" w:rsidRPr="003F55E0" w:rsidRDefault="003F55E0" w:rsidP="009F0116">
      <w:pPr>
        <w:spacing w:line="480" w:lineRule="auto"/>
        <w:rPr>
          <w:rFonts w:ascii="Times New Roman" w:hAnsi="Times New Roman" w:cs="Times New Roman"/>
        </w:rPr>
      </w:pPr>
    </w:p>
    <w:p w14:paraId="04145247"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Home Affairs Committee. (2024). Policing for the future: Tenth report of session 2023–24. House of Commons.</w:t>
      </w:r>
    </w:p>
    <w:p w14:paraId="3B7CBAC5" w14:textId="77777777" w:rsidR="003F55E0" w:rsidRPr="003F55E0" w:rsidRDefault="003F55E0" w:rsidP="009F0116">
      <w:pPr>
        <w:spacing w:line="480" w:lineRule="auto"/>
        <w:rPr>
          <w:rFonts w:ascii="Times New Roman" w:hAnsi="Times New Roman" w:cs="Times New Roman"/>
        </w:rPr>
      </w:pPr>
    </w:p>
    <w:p w14:paraId="1AA51CA0"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Home Office. (2021). Police recorded crime and outcomes open data tables. GOV.UK.</w:t>
      </w:r>
    </w:p>
    <w:p w14:paraId="541751BD" w14:textId="77777777" w:rsidR="003F55E0" w:rsidRPr="003F55E0" w:rsidRDefault="003F55E0" w:rsidP="009F0116">
      <w:pPr>
        <w:spacing w:line="480" w:lineRule="auto"/>
        <w:rPr>
          <w:rFonts w:ascii="Times New Roman" w:hAnsi="Times New Roman" w:cs="Times New Roman"/>
        </w:rPr>
      </w:pPr>
    </w:p>
    <w:p w14:paraId="4B47EDC2" w14:textId="5D5E1DF1"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Jarvis, L. (2019). 'Terrorism, </w:t>
      </w:r>
      <w:proofErr w:type="gramStart"/>
      <w:r w:rsidRPr="003F55E0">
        <w:rPr>
          <w:rFonts w:ascii="Times New Roman" w:hAnsi="Times New Roman" w:cs="Times New Roman"/>
        </w:rPr>
        <w:t>counter-terrorism</w:t>
      </w:r>
      <w:proofErr w:type="gramEnd"/>
      <w:r w:rsidRPr="003F55E0">
        <w:rPr>
          <w:rFonts w:ascii="Times New Roman" w:hAnsi="Times New Roman" w:cs="Times New Roman"/>
        </w:rPr>
        <w:t>, and critique: opportunities, examples, and implications,' Critical Studies on Terrorism, 12(2), pp. 339–358. https://doi.org/10.1080/17539153.2019.1575607.</w:t>
      </w:r>
    </w:p>
    <w:p w14:paraId="2178F7D5"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 </w:t>
      </w:r>
    </w:p>
    <w:p w14:paraId="38C85D61"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Jennings, W., Farrall, S., Gray, E., &amp; Hay, C. (2021). Moral panics and punctuated equilibrium in public policy: An analysis of the criminal justice policy agenda in Britain. Policy Studies Journal, 49(3), 749-772.</w:t>
      </w:r>
    </w:p>
    <w:p w14:paraId="402EC6E4" w14:textId="77777777" w:rsidR="003F55E0" w:rsidRPr="003F55E0" w:rsidRDefault="003F55E0" w:rsidP="009F0116">
      <w:pPr>
        <w:spacing w:line="480" w:lineRule="auto"/>
        <w:rPr>
          <w:rFonts w:ascii="Times New Roman" w:hAnsi="Times New Roman" w:cs="Times New Roman"/>
        </w:rPr>
      </w:pPr>
    </w:p>
    <w:p w14:paraId="79B31226"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Jones, R. (2018). A history of policing in Wales. University of Wales Press.</w:t>
      </w:r>
    </w:p>
    <w:p w14:paraId="1B084F53" w14:textId="77777777" w:rsidR="003F55E0" w:rsidRPr="003F55E0" w:rsidRDefault="003F55E0" w:rsidP="009F0116">
      <w:pPr>
        <w:spacing w:line="480" w:lineRule="auto"/>
        <w:rPr>
          <w:rFonts w:ascii="Times New Roman" w:hAnsi="Times New Roman" w:cs="Times New Roman"/>
        </w:rPr>
      </w:pPr>
    </w:p>
    <w:p w14:paraId="65CC39AF" w14:textId="2E5048D4"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Jones, R., Harrison, M. and Jones, T. (2022) 'Policing and devolution in the UK: The 'special' case of Wales,' Policing a Journal of Policy and Practice, 17. https://doi.org/10.1093/police/paac063.</w:t>
      </w:r>
    </w:p>
    <w:p w14:paraId="7C854252" w14:textId="77777777" w:rsidR="003F55E0" w:rsidRPr="003F55E0" w:rsidRDefault="003F55E0" w:rsidP="009F0116">
      <w:pPr>
        <w:spacing w:line="480" w:lineRule="auto"/>
        <w:rPr>
          <w:rFonts w:ascii="Times New Roman" w:hAnsi="Times New Roman" w:cs="Times New Roman"/>
        </w:rPr>
      </w:pPr>
    </w:p>
    <w:p w14:paraId="66CDCE68" w14:textId="7247256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Jones, T. and Lister, S. (2019) 'Localism and police governance in England &amp; Wales: Exploring continuity and change,' European Journal of Criminology, 16(5), pp. 552–572. https://doi.org/10.1177/1477370819860689.</w:t>
      </w:r>
    </w:p>
    <w:p w14:paraId="15AABA72" w14:textId="77777777" w:rsidR="003F55E0" w:rsidRPr="003F55E0" w:rsidRDefault="003F55E0" w:rsidP="009F0116">
      <w:pPr>
        <w:spacing w:line="480" w:lineRule="auto"/>
        <w:rPr>
          <w:rFonts w:ascii="Times New Roman" w:hAnsi="Times New Roman" w:cs="Times New Roman"/>
        </w:rPr>
      </w:pPr>
    </w:p>
    <w:p w14:paraId="007451D6" w14:textId="06AA5653"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Kaleem, A. (2021) 'The hegemony of Prevent: turning counter-terrorism policing into common sense,' Critical Studies on Terrorism, 15(2), pp. 267–289. https://doi.org/10.1080/17539153.2021.2013016.</w:t>
      </w:r>
    </w:p>
    <w:p w14:paraId="33F7DB0C" w14:textId="77777777" w:rsidR="003F55E0" w:rsidRPr="003F55E0" w:rsidRDefault="003F55E0" w:rsidP="009F0116">
      <w:pPr>
        <w:spacing w:line="480" w:lineRule="auto"/>
        <w:rPr>
          <w:rFonts w:ascii="Times New Roman" w:hAnsi="Times New Roman" w:cs="Times New Roman"/>
        </w:rPr>
      </w:pPr>
    </w:p>
    <w:p w14:paraId="0974415B"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Kesic, D., Thomas, S. D., &amp; </w:t>
      </w:r>
      <w:proofErr w:type="spellStart"/>
      <w:r w:rsidRPr="003F55E0">
        <w:rPr>
          <w:rFonts w:ascii="Times New Roman" w:hAnsi="Times New Roman" w:cs="Times New Roman"/>
        </w:rPr>
        <w:t>Ogloff</w:t>
      </w:r>
      <w:proofErr w:type="spellEnd"/>
      <w:r w:rsidRPr="003F55E0">
        <w:rPr>
          <w:rFonts w:ascii="Times New Roman" w:hAnsi="Times New Roman" w:cs="Times New Roman"/>
        </w:rPr>
        <w:t>, J. R. (2013). Use of nonfatal force on and by persons with apparent mental disorder in encounters with police. Criminal Justice and Behaviour, 40(3), 321-337.</w:t>
      </w:r>
    </w:p>
    <w:p w14:paraId="47EDBE62" w14:textId="77777777" w:rsidR="003F55E0" w:rsidRPr="003F55E0" w:rsidRDefault="003F55E0" w:rsidP="009F0116">
      <w:pPr>
        <w:spacing w:line="480" w:lineRule="auto"/>
        <w:rPr>
          <w:rFonts w:ascii="Times New Roman" w:hAnsi="Times New Roman" w:cs="Times New Roman"/>
        </w:rPr>
      </w:pPr>
    </w:p>
    <w:p w14:paraId="4BFC05E4" w14:textId="567A863C" w:rsidR="003F55E0" w:rsidRPr="003F55E0" w:rsidRDefault="003F55E0" w:rsidP="009F0116">
      <w:pPr>
        <w:spacing w:line="480" w:lineRule="auto"/>
        <w:rPr>
          <w:rFonts w:ascii="Times New Roman" w:hAnsi="Times New Roman" w:cs="Times New Roman"/>
        </w:rPr>
      </w:pPr>
      <w:proofErr w:type="spellStart"/>
      <w:r w:rsidRPr="003F55E0">
        <w:rPr>
          <w:rFonts w:ascii="Times New Roman" w:hAnsi="Times New Roman" w:cs="Times New Roman"/>
        </w:rPr>
        <w:t>Köllen</w:t>
      </w:r>
      <w:proofErr w:type="spellEnd"/>
      <w:r w:rsidRPr="003F55E0">
        <w:rPr>
          <w:rFonts w:ascii="Times New Roman" w:hAnsi="Times New Roman" w:cs="Times New Roman"/>
        </w:rPr>
        <w:t>, T. (2015) 'Acting out of compassion, egoism, and malice: A Schopenhauerian view on the moral worth of CSR and diversity management practices,' Journal of Business Ethics, 138(2), pp. 215–229. https://doi.org/10.1007/s10551-015-2599-z.</w:t>
      </w:r>
    </w:p>
    <w:p w14:paraId="1E7AEC43" w14:textId="086F89BD"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Komiya, N. (1999) 'A cultural study of the low crime rate in Japan,' The British Journal of Criminology, 39(3), pp. 369–390. https://doi.org/10.1093/bjc/39.3.369.#</w:t>
      </w:r>
    </w:p>
    <w:p w14:paraId="4E7B3028" w14:textId="77777777" w:rsidR="003F55E0" w:rsidRPr="003F55E0" w:rsidRDefault="003F55E0" w:rsidP="009F0116">
      <w:pPr>
        <w:spacing w:line="480" w:lineRule="auto"/>
        <w:rPr>
          <w:rFonts w:ascii="Times New Roman" w:hAnsi="Times New Roman" w:cs="Times New Roman"/>
        </w:rPr>
      </w:pPr>
    </w:p>
    <w:p w14:paraId="6CC67BD6"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Koper, C. S., &amp; Roth, J. A. (2021). The impact of the 1994 federal assault weapons </w:t>
      </w:r>
      <w:proofErr w:type="gramStart"/>
      <w:r w:rsidRPr="003F55E0">
        <w:rPr>
          <w:rFonts w:ascii="Times New Roman" w:hAnsi="Times New Roman" w:cs="Times New Roman"/>
        </w:rPr>
        <w:t>ban</w:t>
      </w:r>
      <w:proofErr w:type="gramEnd"/>
      <w:r w:rsidRPr="003F55E0">
        <w:rPr>
          <w:rFonts w:ascii="Times New Roman" w:hAnsi="Times New Roman" w:cs="Times New Roman"/>
        </w:rPr>
        <w:t xml:space="preserve"> on gun violence outcomes: An assessment of multiple outcome measures and some lessons for policy evaluation. Journal of Quantitative Criminology, 37(1), 165-191.</w:t>
      </w:r>
    </w:p>
    <w:p w14:paraId="1589B51C"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w:t>
      </w:r>
    </w:p>
    <w:p w14:paraId="5EF5AA18" w14:textId="404C9B9A" w:rsidR="003F55E0" w:rsidRPr="009F0116" w:rsidRDefault="003F55E0" w:rsidP="009F0116">
      <w:pPr>
        <w:spacing w:line="480" w:lineRule="auto"/>
        <w:rPr>
          <w:rFonts w:ascii="Times New Roman" w:hAnsi="Times New Roman" w:cs="Times New Roman"/>
        </w:rPr>
      </w:pPr>
      <w:proofErr w:type="spellStart"/>
      <w:r w:rsidRPr="003F55E0">
        <w:rPr>
          <w:rFonts w:ascii="Times New Roman" w:hAnsi="Times New Roman" w:cs="Times New Roman"/>
        </w:rPr>
        <w:t>Loadenthal</w:t>
      </w:r>
      <w:proofErr w:type="spellEnd"/>
      <w:r w:rsidRPr="003F55E0">
        <w:rPr>
          <w:rFonts w:ascii="Times New Roman" w:hAnsi="Times New Roman" w:cs="Times New Roman"/>
        </w:rPr>
        <w:t>, M. (2022) 'Feral fascists and deep green guerrillas: infrastructural attack and accelerationist terror,' Critical Studies on Terrorism, 15(1), pp. 169–208. https://doi.org/10.1080/17539153.2022.2031129.</w:t>
      </w:r>
    </w:p>
    <w:p w14:paraId="20BE7892" w14:textId="77777777" w:rsidR="003F55E0" w:rsidRPr="003F55E0" w:rsidRDefault="003F55E0" w:rsidP="009F0116">
      <w:pPr>
        <w:spacing w:line="480" w:lineRule="auto"/>
        <w:rPr>
          <w:rFonts w:ascii="Times New Roman" w:hAnsi="Times New Roman" w:cs="Times New Roman"/>
        </w:rPr>
      </w:pPr>
    </w:p>
    <w:p w14:paraId="118B3A08"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Lowe, D. (2022). Terrorism and state surveillance of communications. London: Routledge.</w:t>
      </w:r>
    </w:p>
    <w:p w14:paraId="77089BE3" w14:textId="77777777" w:rsidR="003F55E0" w:rsidRPr="003F55E0" w:rsidRDefault="003F55E0" w:rsidP="009F0116">
      <w:pPr>
        <w:spacing w:line="480" w:lineRule="auto"/>
        <w:rPr>
          <w:rFonts w:ascii="Times New Roman" w:hAnsi="Times New Roman" w:cs="Times New Roman"/>
        </w:rPr>
      </w:pPr>
    </w:p>
    <w:p w14:paraId="253DFA2F" w14:textId="79687A4E"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Manning, P.K. (2012). 'Trust and accountability in Ireland: the case of Garda Síochána,' Policing &amp; Society, 22(3), pp. 346–361. https://doi.org/10.1080/10439463.2012.671824.</w:t>
      </w:r>
    </w:p>
    <w:p w14:paraId="68C79287" w14:textId="77777777" w:rsidR="003F55E0" w:rsidRPr="003F55E0" w:rsidRDefault="003F55E0" w:rsidP="009F0116">
      <w:pPr>
        <w:spacing w:line="480" w:lineRule="auto"/>
        <w:rPr>
          <w:rFonts w:ascii="Times New Roman" w:hAnsi="Times New Roman" w:cs="Times New Roman"/>
        </w:rPr>
      </w:pPr>
    </w:p>
    <w:p w14:paraId="55B3962B" w14:textId="15F4B518"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Mental health – detention | College of Policing (2016b). https://www.college.police.uk/app/mental-health/mental-health-detention.</w:t>
      </w:r>
    </w:p>
    <w:p w14:paraId="6AC01D96" w14:textId="77777777" w:rsidR="003F55E0" w:rsidRPr="003F55E0" w:rsidRDefault="003F55E0" w:rsidP="009F0116">
      <w:pPr>
        <w:spacing w:line="480" w:lineRule="auto"/>
        <w:rPr>
          <w:rFonts w:ascii="Times New Roman" w:hAnsi="Times New Roman" w:cs="Times New Roman"/>
        </w:rPr>
      </w:pPr>
    </w:p>
    <w:p w14:paraId="6594D931"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Metropolitan Police. (2023). Crime statistics for London: Financial year 2022/23. Metropolitan Police Service.</w:t>
      </w:r>
    </w:p>
    <w:p w14:paraId="03D3FBEF" w14:textId="77777777" w:rsidR="003F55E0" w:rsidRPr="003F55E0" w:rsidRDefault="003F55E0" w:rsidP="009F0116">
      <w:pPr>
        <w:spacing w:line="480" w:lineRule="auto"/>
        <w:rPr>
          <w:rFonts w:ascii="Times New Roman" w:hAnsi="Times New Roman" w:cs="Times New Roman"/>
        </w:rPr>
      </w:pPr>
    </w:p>
    <w:p w14:paraId="1A5D2A62"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National Police Chiefs' Council. (2024). Annual report on police use of firearms in England and Wales. NPCC.</w:t>
      </w:r>
    </w:p>
    <w:p w14:paraId="78BE63BC" w14:textId="77777777" w:rsidR="003F55E0" w:rsidRPr="003F55E0" w:rsidRDefault="003F55E0" w:rsidP="009F0116">
      <w:pPr>
        <w:spacing w:line="480" w:lineRule="auto"/>
        <w:rPr>
          <w:rFonts w:ascii="Times New Roman" w:hAnsi="Times New Roman" w:cs="Times New Roman"/>
        </w:rPr>
      </w:pPr>
    </w:p>
    <w:p w14:paraId="032FB591" w14:textId="50CDFD83"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Olma, J., Sutter, C., &amp; </w:t>
      </w:r>
      <w:proofErr w:type="spellStart"/>
      <w:r w:rsidRPr="003F55E0">
        <w:rPr>
          <w:rFonts w:ascii="Times New Roman" w:hAnsi="Times New Roman" w:cs="Times New Roman"/>
        </w:rPr>
        <w:t>Sülzenbrück</w:t>
      </w:r>
      <w:proofErr w:type="spellEnd"/>
      <w:r w:rsidRPr="003F55E0">
        <w:rPr>
          <w:rFonts w:ascii="Times New Roman" w:hAnsi="Times New Roman" w:cs="Times New Roman"/>
        </w:rPr>
        <w:t>, S. (2024). When failure is not an option: a police firearms training concept for improving decision-making in shoot/don't shoot scenarios. Frontiers in Psychology, 15. https://doi.org/10.3389/fpsyg.2024.1335892</w:t>
      </w:r>
    </w:p>
    <w:p w14:paraId="4B41A483" w14:textId="77777777" w:rsidR="003F55E0" w:rsidRPr="003F55E0" w:rsidRDefault="003F55E0" w:rsidP="009F0116">
      <w:pPr>
        <w:spacing w:line="480" w:lineRule="auto"/>
        <w:rPr>
          <w:rFonts w:ascii="Times New Roman" w:hAnsi="Times New Roman" w:cs="Times New Roman"/>
        </w:rPr>
      </w:pPr>
    </w:p>
    <w:p w14:paraId="5855257C"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Police Foundation. (2023). The strategic review of policing in England and Wales. The Police Foundation.</w:t>
      </w:r>
    </w:p>
    <w:p w14:paraId="2F73B006" w14:textId="77777777" w:rsidR="003F55E0" w:rsidRPr="003F55E0" w:rsidRDefault="003F55E0" w:rsidP="009F0116">
      <w:pPr>
        <w:spacing w:line="480" w:lineRule="auto"/>
        <w:rPr>
          <w:rFonts w:ascii="Times New Roman" w:hAnsi="Times New Roman" w:cs="Times New Roman"/>
        </w:rPr>
      </w:pPr>
    </w:p>
    <w:p w14:paraId="558BED86" w14:textId="10B38182"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Police use of firearms statistics, England and Wales: April 2023 to March 2024 (2024). https://www.gov.uk/government/statistics/police-use-of-firearms-statistics-april-2023-to-march-2024/police-use-of-firearms-statistics-england-and-wales-april-2023-to-march-2024.</w:t>
      </w:r>
    </w:p>
    <w:p w14:paraId="74241899" w14:textId="1E2A71F4"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Recorded crime (no date). https://statswales.gov.wales/Catalogue/Community-Safety-and-Social-Inclusion/Community-Safety/Crime-and-Justice/Recorded-Crime.</w:t>
      </w:r>
    </w:p>
    <w:p w14:paraId="27D0AD81"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 </w:t>
      </w:r>
    </w:p>
    <w:p w14:paraId="0B9CF486" w14:textId="22EAF9C0"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Reicher, S. et al. (2004). 'An integrated approach to crowd psychology and public order policing,' Policing an International Journal, 27(4), pp. 558–572. https://doi.org/10.1108/13639510410566271.</w:t>
      </w:r>
    </w:p>
    <w:p w14:paraId="7301309E" w14:textId="77777777" w:rsidR="003F55E0" w:rsidRPr="003F55E0" w:rsidRDefault="003F55E0" w:rsidP="009F0116">
      <w:pPr>
        <w:spacing w:line="480" w:lineRule="auto"/>
        <w:rPr>
          <w:rFonts w:ascii="Times New Roman" w:hAnsi="Times New Roman" w:cs="Times New Roman"/>
        </w:rPr>
      </w:pPr>
    </w:p>
    <w:p w14:paraId="1F5D772C"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Reiner, R. (2010). The politics of the police (4th ed.). Oxford: Oxford University Press.</w:t>
      </w:r>
    </w:p>
    <w:p w14:paraId="62F6EBF9" w14:textId="77777777" w:rsidR="003F55E0" w:rsidRPr="003F55E0" w:rsidRDefault="003F55E0" w:rsidP="009F0116">
      <w:pPr>
        <w:spacing w:line="480" w:lineRule="auto"/>
        <w:rPr>
          <w:rFonts w:ascii="Times New Roman" w:hAnsi="Times New Roman" w:cs="Times New Roman"/>
        </w:rPr>
      </w:pPr>
    </w:p>
    <w:p w14:paraId="5FB19931" w14:textId="4DC5095A"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Rogers, P.F. (2013). 'Lost cause: consequences and implications of the war on terror,' Critical Studies on Terrorism, 6(1), pp. 13–28. https://doi.org/10.1080/17539153.2013.765698.</w:t>
      </w:r>
    </w:p>
    <w:p w14:paraId="45100194" w14:textId="77777777" w:rsidR="003F55E0" w:rsidRPr="003F55E0" w:rsidRDefault="003F55E0" w:rsidP="009F0116">
      <w:pPr>
        <w:spacing w:line="480" w:lineRule="auto"/>
        <w:rPr>
          <w:rFonts w:ascii="Times New Roman" w:hAnsi="Times New Roman" w:cs="Times New Roman"/>
        </w:rPr>
      </w:pPr>
    </w:p>
    <w:p w14:paraId="3B4ECE35" w14:textId="1BFD7ADD"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Self-Defence and the Prevention of Crime | The Crown Prosecution Service (no date). https://www.cps.gov.uk/legal-guidance/self-defence-and-prevention-crime.</w:t>
      </w:r>
    </w:p>
    <w:p w14:paraId="75EA20CF" w14:textId="77777777" w:rsidR="003F55E0" w:rsidRPr="003F55E0" w:rsidRDefault="003F55E0" w:rsidP="009F0116">
      <w:pPr>
        <w:spacing w:line="480" w:lineRule="auto"/>
        <w:rPr>
          <w:rFonts w:ascii="Times New Roman" w:hAnsi="Times New Roman" w:cs="Times New Roman"/>
        </w:rPr>
      </w:pPr>
    </w:p>
    <w:p w14:paraId="5949A630"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South Wales Police and Crime Commissioner. (2023). Public consultation on policing priorities 2023. Office of the Police and Crime Commissioner for South Wales.</w:t>
      </w:r>
    </w:p>
    <w:p w14:paraId="51DDCBA5" w14:textId="77777777" w:rsidR="003F55E0" w:rsidRPr="003F55E0" w:rsidRDefault="003F55E0" w:rsidP="009F0116">
      <w:pPr>
        <w:spacing w:line="480" w:lineRule="auto"/>
        <w:rPr>
          <w:rFonts w:ascii="Times New Roman" w:hAnsi="Times New Roman" w:cs="Times New Roman"/>
        </w:rPr>
      </w:pPr>
    </w:p>
    <w:p w14:paraId="79795E98"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Squires, P., &amp; Kennison, P. (2010). Shooting to kill? Policing, firearms and armed response. Wiley-Blackwell.</w:t>
      </w:r>
    </w:p>
    <w:p w14:paraId="05EBBCBD" w14:textId="77777777" w:rsidR="003F55E0" w:rsidRPr="003F55E0" w:rsidRDefault="003F55E0" w:rsidP="009F0116">
      <w:pPr>
        <w:spacing w:line="480" w:lineRule="auto"/>
        <w:rPr>
          <w:rFonts w:ascii="Times New Roman" w:hAnsi="Times New Roman" w:cs="Times New Roman"/>
        </w:rPr>
      </w:pPr>
    </w:p>
    <w:p w14:paraId="402EE148"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Staniforth, A. (2022). Preventing terrorism and violent extremism. Oxford University Press.</w:t>
      </w:r>
    </w:p>
    <w:p w14:paraId="0394BC55" w14:textId="77777777" w:rsidR="003F55E0" w:rsidRPr="003F55E0" w:rsidRDefault="003F55E0" w:rsidP="009F0116">
      <w:pPr>
        <w:spacing w:line="480" w:lineRule="auto"/>
        <w:rPr>
          <w:rFonts w:ascii="Times New Roman" w:hAnsi="Times New Roman" w:cs="Times New Roman"/>
        </w:rPr>
      </w:pPr>
    </w:p>
    <w:p w14:paraId="61856EEE"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Stott, C., &amp; Pearson, G. (2007). Football "hooliganism": Policing and the war on the "English disease". London: Pennant Books.</w:t>
      </w:r>
    </w:p>
    <w:p w14:paraId="1A3E7B3F" w14:textId="77777777" w:rsidR="003F55E0" w:rsidRPr="003F55E0" w:rsidRDefault="003F55E0" w:rsidP="009F0116">
      <w:pPr>
        <w:spacing w:line="480" w:lineRule="auto"/>
        <w:rPr>
          <w:rFonts w:ascii="Times New Roman" w:hAnsi="Times New Roman" w:cs="Times New Roman"/>
        </w:rPr>
      </w:pPr>
    </w:p>
    <w:p w14:paraId="56FD9041" w14:textId="77777777" w:rsidR="003F55E0" w:rsidRPr="009F0116" w:rsidRDefault="003F55E0" w:rsidP="009F0116">
      <w:pPr>
        <w:spacing w:line="480" w:lineRule="auto"/>
        <w:rPr>
          <w:rFonts w:ascii="Times New Roman" w:hAnsi="Times New Roman" w:cs="Times New Roman"/>
        </w:rPr>
      </w:pPr>
      <w:proofErr w:type="spellStart"/>
      <w:r w:rsidRPr="003F55E0">
        <w:rPr>
          <w:rFonts w:ascii="Times New Roman" w:hAnsi="Times New Roman" w:cs="Times New Roman"/>
        </w:rPr>
        <w:t>Teplin</w:t>
      </w:r>
      <w:proofErr w:type="spellEnd"/>
      <w:r w:rsidRPr="003F55E0">
        <w:rPr>
          <w:rFonts w:ascii="Times New Roman" w:hAnsi="Times New Roman" w:cs="Times New Roman"/>
        </w:rPr>
        <w:t>, L. A. (2000). Keeping the peace: Police discretion and mentally ill persons. National Institute of Justice Journal, 244, 8-15.</w:t>
      </w:r>
    </w:p>
    <w:p w14:paraId="3C6CA7AE" w14:textId="77777777" w:rsidR="003F55E0" w:rsidRPr="003F55E0" w:rsidRDefault="003F55E0" w:rsidP="009F0116">
      <w:pPr>
        <w:spacing w:line="480" w:lineRule="auto"/>
        <w:rPr>
          <w:rFonts w:ascii="Times New Roman" w:hAnsi="Times New Roman" w:cs="Times New Roman"/>
        </w:rPr>
      </w:pPr>
    </w:p>
    <w:p w14:paraId="5893E7C0"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 xml:space="preserve">Terpstra, J., &amp; Salet, R. (2021). Policing in a state of emergency: </w:t>
      </w:r>
      <w:proofErr w:type="spellStart"/>
      <w:r w:rsidRPr="003F55E0">
        <w:rPr>
          <w:rFonts w:ascii="Times New Roman" w:hAnsi="Times New Roman" w:cs="Times New Roman"/>
        </w:rPr>
        <w:t>Analyzing</w:t>
      </w:r>
      <w:proofErr w:type="spellEnd"/>
      <w:r w:rsidRPr="003F55E0">
        <w:rPr>
          <w:rFonts w:ascii="Times New Roman" w:hAnsi="Times New Roman" w:cs="Times New Roman"/>
        </w:rPr>
        <w:t xml:space="preserve"> the Dutch approach to the COVID-19 crisis. The Police Journal, 94(4), 535-552.</w:t>
      </w:r>
    </w:p>
    <w:p w14:paraId="02F4E5A3" w14:textId="77777777" w:rsidR="003F55E0" w:rsidRPr="003F55E0" w:rsidRDefault="003F55E0" w:rsidP="009F0116">
      <w:pPr>
        <w:spacing w:line="480" w:lineRule="auto"/>
        <w:rPr>
          <w:rFonts w:ascii="Times New Roman" w:hAnsi="Times New Roman" w:cs="Times New Roman"/>
        </w:rPr>
      </w:pPr>
    </w:p>
    <w:p w14:paraId="3D2E9E4C"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Tyler, T. R. (2004). Enhancing police legitimacy. The Annals of the American Academy of Political and Social Science, 593(1), 84-99.</w:t>
      </w:r>
    </w:p>
    <w:p w14:paraId="407B9284"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lastRenderedPageBreak/>
        <w:t> </w:t>
      </w:r>
    </w:p>
    <w:p w14:paraId="5FB0A1AD"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Waddington, P. A. J., Jones, K., &amp; Critcher, C. (1989). Flashpoints: Studies in public disorder. London: Routledge.</w:t>
      </w:r>
    </w:p>
    <w:p w14:paraId="75357F8A" w14:textId="77777777" w:rsidR="003F55E0" w:rsidRPr="003F55E0" w:rsidRDefault="003F55E0" w:rsidP="009F0116">
      <w:pPr>
        <w:spacing w:line="480" w:lineRule="auto"/>
        <w:rPr>
          <w:rFonts w:ascii="Times New Roman" w:hAnsi="Times New Roman" w:cs="Times New Roman"/>
        </w:rPr>
      </w:pPr>
    </w:p>
    <w:p w14:paraId="16374DE1"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Welsh Government. (2023). Recorded crime statistics for Wales: Year ending March 2023. GOV.WALES.</w:t>
      </w:r>
    </w:p>
    <w:p w14:paraId="3D5D6102" w14:textId="77777777" w:rsidR="003F55E0" w:rsidRPr="003F55E0" w:rsidRDefault="003F55E0" w:rsidP="009F0116">
      <w:pPr>
        <w:spacing w:line="480" w:lineRule="auto"/>
        <w:rPr>
          <w:rFonts w:ascii="Times New Roman" w:hAnsi="Times New Roman" w:cs="Times New Roman"/>
        </w:rPr>
      </w:pPr>
    </w:p>
    <w:p w14:paraId="62B37705" w14:textId="77777777" w:rsidR="003F55E0" w:rsidRPr="009F0116" w:rsidRDefault="003F55E0" w:rsidP="009F0116">
      <w:pPr>
        <w:spacing w:line="480" w:lineRule="auto"/>
        <w:rPr>
          <w:rFonts w:ascii="Times New Roman" w:hAnsi="Times New Roman" w:cs="Times New Roman"/>
        </w:rPr>
      </w:pPr>
      <w:r w:rsidRPr="003F55E0">
        <w:rPr>
          <w:rFonts w:ascii="Times New Roman" w:hAnsi="Times New Roman" w:cs="Times New Roman"/>
        </w:rPr>
        <w:t>Welsh Parliament Health and Social Care Committee. (2022). Mental health in policing and police custody. Senedd Cymru.</w:t>
      </w:r>
    </w:p>
    <w:p w14:paraId="61199C3C" w14:textId="77777777" w:rsidR="003F55E0" w:rsidRPr="003F55E0" w:rsidRDefault="003F55E0" w:rsidP="009F0116">
      <w:pPr>
        <w:spacing w:line="480" w:lineRule="auto"/>
        <w:rPr>
          <w:rFonts w:ascii="Times New Roman" w:hAnsi="Times New Roman" w:cs="Times New Roman"/>
        </w:rPr>
      </w:pPr>
    </w:p>
    <w:p w14:paraId="19E9E332" w14:textId="77777777" w:rsidR="003F55E0" w:rsidRPr="009F0116" w:rsidRDefault="003F55E0" w:rsidP="009F0116">
      <w:pPr>
        <w:spacing w:line="480" w:lineRule="auto"/>
        <w:rPr>
          <w:rFonts w:ascii="Times New Roman" w:hAnsi="Times New Roman" w:cs="Times New Roman"/>
        </w:rPr>
      </w:pPr>
      <w:proofErr w:type="spellStart"/>
      <w:r w:rsidRPr="003F55E0">
        <w:rPr>
          <w:rFonts w:ascii="Times New Roman" w:hAnsi="Times New Roman" w:cs="Times New Roman"/>
        </w:rPr>
        <w:t>Yesberg</w:t>
      </w:r>
      <w:proofErr w:type="spellEnd"/>
      <w:r w:rsidRPr="003F55E0">
        <w:rPr>
          <w:rFonts w:ascii="Times New Roman" w:hAnsi="Times New Roman" w:cs="Times New Roman"/>
        </w:rPr>
        <w:t>, J. A., Bradford, B., &amp; Dawson, P. (2022). An experimental study of responses to armed police in Great Britain. Journal of Experimental Criminology, 18(2), 247-270.</w:t>
      </w:r>
    </w:p>
    <w:p w14:paraId="39BBB096" w14:textId="77777777" w:rsidR="003F55E0" w:rsidRPr="003F55E0" w:rsidRDefault="003F55E0" w:rsidP="009F0116">
      <w:pPr>
        <w:spacing w:line="480" w:lineRule="auto"/>
        <w:rPr>
          <w:rFonts w:ascii="Times New Roman" w:hAnsi="Times New Roman" w:cs="Times New Roman"/>
        </w:rPr>
      </w:pPr>
    </w:p>
    <w:p w14:paraId="3CBDA99D" w14:textId="77777777" w:rsidR="003F55E0" w:rsidRPr="003F55E0" w:rsidRDefault="003F55E0" w:rsidP="009F0116">
      <w:pPr>
        <w:spacing w:line="480" w:lineRule="auto"/>
        <w:rPr>
          <w:rFonts w:ascii="Times New Roman" w:hAnsi="Times New Roman" w:cs="Times New Roman"/>
        </w:rPr>
      </w:pPr>
      <w:r w:rsidRPr="003F55E0">
        <w:rPr>
          <w:rFonts w:ascii="Times New Roman" w:hAnsi="Times New Roman" w:cs="Times New Roman"/>
        </w:rPr>
        <w:t>Zimring, F. E. (2019). Police killings as a problem of governance. The ANNALS of the American Academy of Political and Social Science, 687(1), 114-123.</w:t>
      </w:r>
    </w:p>
    <w:p w14:paraId="6F480FFF" w14:textId="77777777" w:rsidR="009A1211" w:rsidRPr="009F0116" w:rsidRDefault="009A1211" w:rsidP="009F0116">
      <w:pPr>
        <w:spacing w:line="480" w:lineRule="auto"/>
        <w:rPr>
          <w:rFonts w:ascii="Times New Roman" w:hAnsi="Times New Roman" w:cs="Times New Roman"/>
        </w:rPr>
      </w:pPr>
    </w:p>
    <w:sectPr w:rsidR="009A1211" w:rsidRPr="009F01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9FA"/>
    <w:rsid w:val="0004629D"/>
    <w:rsid w:val="00354CFA"/>
    <w:rsid w:val="003F55E0"/>
    <w:rsid w:val="006358A1"/>
    <w:rsid w:val="006B4F92"/>
    <w:rsid w:val="006C796A"/>
    <w:rsid w:val="008979FA"/>
    <w:rsid w:val="009A1211"/>
    <w:rsid w:val="009F0116"/>
    <w:rsid w:val="00BD1E8D"/>
    <w:rsid w:val="00C83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9D10"/>
  <w15:chartTrackingRefBased/>
  <w15:docId w15:val="{FBECF0E6-D9A3-48DC-AFA3-88CA5C35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9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79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9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9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9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9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9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9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9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79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9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9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9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9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9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9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9FA"/>
    <w:rPr>
      <w:rFonts w:eastAsiaTheme="majorEastAsia" w:cstheme="majorBidi"/>
      <w:color w:val="272727" w:themeColor="text1" w:themeTint="D8"/>
    </w:rPr>
  </w:style>
  <w:style w:type="paragraph" w:styleId="Title">
    <w:name w:val="Title"/>
    <w:basedOn w:val="Normal"/>
    <w:next w:val="Normal"/>
    <w:link w:val="TitleChar"/>
    <w:uiPriority w:val="10"/>
    <w:qFormat/>
    <w:rsid w:val="00897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9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9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9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9FA"/>
    <w:pPr>
      <w:spacing w:before="160"/>
      <w:jc w:val="center"/>
    </w:pPr>
    <w:rPr>
      <w:i/>
      <w:iCs/>
      <w:color w:val="404040" w:themeColor="text1" w:themeTint="BF"/>
    </w:rPr>
  </w:style>
  <w:style w:type="character" w:customStyle="1" w:styleId="QuoteChar">
    <w:name w:val="Quote Char"/>
    <w:basedOn w:val="DefaultParagraphFont"/>
    <w:link w:val="Quote"/>
    <w:uiPriority w:val="29"/>
    <w:rsid w:val="008979FA"/>
    <w:rPr>
      <w:i/>
      <w:iCs/>
      <w:color w:val="404040" w:themeColor="text1" w:themeTint="BF"/>
    </w:rPr>
  </w:style>
  <w:style w:type="paragraph" w:styleId="ListParagraph">
    <w:name w:val="List Paragraph"/>
    <w:basedOn w:val="Normal"/>
    <w:uiPriority w:val="34"/>
    <w:qFormat/>
    <w:rsid w:val="008979FA"/>
    <w:pPr>
      <w:ind w:left="720"/>
      <w:contextualSpacing/>
    </w:pPr>
  </w:style>
  <w:style w:type="character" w:styleId="IntenseEmphasis">
    <w:name w:val="Intense Emphasis"/>
    <w:basedOn w:val="DefaultParagraphFont"/>
    <w:uiPriority w:val="21"/>
    <w:qFormat/>
    <w:rsid w:val="008979FA"/>
    <w:rPr>
      <w:i/>
      <w:iCs/>
      <w:color w:val="0F4761" w:themeColor="accent1" w:themeShade="BF"/>
    </w:rPr>
  </w:style>
  <w:style w:type="paragraph" w:styleId="IntenseQuote">
    <w:name w:val="Intense Quote"/>
    <w:basedOn w:val="Normal"/>
    <w:next w:val="Normal"/>
    <w:link w:val="IntenseQuoteChar"/>
    <w:uiPriority w:val="30"/>
    <w:qFormat/>
    <w:rsid w:val="008979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9FA"/>
    <w:rPr>
      <w:i/>
      <w:iCs/>
      <w:color w:val="0F4761" w:themeColor="accent1" w:themeShade="BF"/>
    </w:rPr>
  </w:style>
  <w:style w:type="character" w:styleId="IntenseReference">
    <w:name w:val="Intense Reference"/>
    <w:basedOn w:val="DefaultParagraphFont"/>
    <w:uiPriority w:val="32"/>
    <w:qFormat/>
    <w:rsid w:val="008979FA"/>
    <w:rPr>
      <w:b/>
      <w:bCs/>
      <w:smallCaps/>
      <w:color w:val="0F4761" w:themeColor="accent1" w:themeShade="BF"/>
      <w:spacing w:val="5"/>
    </w:rPr>
  </w:style>
  <w:style w:type="paragraph" w:customStyle="1" w:styleId="OBEBibliography">
    <w:name w:val="OBE Bibliography"/>
    <w:basedOn w:val="Normal"/>
    <w:qFormat/>
    <w:rsid w:val="008979FA"/>
    <w:pPr>
      <w:suppressAutoHyphens/>
      <w:spacing w:after="240" w:line="240" w:lineRule="auto"/>
      <w:jc w:val="both"/>
    </w:pPr>
    <w:rPr>
      <w:rFonts w:ascii="Calibri" w:eastAsia="Calibri" w:hAnsi="Calibri" w:cs="Times New Roman"/>
      <w:color w:val="00000A"/>
      <w:sz w:val="24"/>
      <w:lang w:val="en-US"/>
      <w14:ligatures w14:val="none"/>
    </w:rPr>
  </w:style>
  <w:style w:type="paragraph" w:customStyle="1" w:styleId="OBESubtitle2ndtier">
    <w:name w:val="OBE Subtitle 2nd tier"/>
    <w:link w:val="OBESubtitle2ndtierChar"/>
    <w:qFormat/>
    <w:rsid w:val="008979FA"/>
    <w:pPr>
      <w:outlineLvl w:val="1"/>
    </w:pPr>
    <w:rPr>
      <w:rFonts w:asciiTheme="majorHAnsi" w:eastAsiaTheme="minorEastAsia" w:hAnsiTheme="majorHAnsi" w:cstheme="majorHAnsi"/>
      <w:i/>
      <w:color w:val="000000" w:themeColor="text1"/>
      <w:kern w:val="0"/>
      <w:sz w:val="28"/>
      <w:szCs w:val="36"/>
      <w:u w:val="single"/>
      <w14:ligatures w14:val="none"/>
    </w:rPr>
  </w:style>
  <w:style w:type="character" w:customStyle="1" w:styleId="OBESubtitle2ndtierChar">
    <w:name w:val="OBE Subtitle 2nd tier Char"/>
    <w:basedOn w:val="DefaultParagraphFont"/>
    <w:link w:val="OBESubtitle2ndtier"/>
    <w:rsid w:val="008979FA"/>
    <w:rPr>
      <w:rFonts w:asciiTheme="majorHAnsi" w:eastAsiaTheme="minorEastAsia" w:hAnsiTheme="majorHAnsi" w:cstheme="majorHAnsi"/>
      <w:i/>
      <w:color w:val="000000" w:themeColor="text1"/>
      <w:kern w:val="0"/>
      <w:sz w:val="28"/>
      <w:szCs w:val="36"/>
      <w:u w:val="single"/>
      <w14:ligatures w14:val="none"/>
    </w:rPr>
  </w:style>
  <w:style w:type="character" w:styleId="Hyperlink">
    <w:name w:val="Hyperlink"/>
    <w:basedOn w:val="DefaultParagraphFont"/>
    <w:uiPriority w:val="99"/>
    <w:unhideWhenUsed/>
    <w:rsid w:val="003F55E0"/>
    <w:rPr>
      <w:color w:val="467886" w:themeColor="hyperlink"/>
      <w:u w:val="single"/>
    </w:rPr>
  </w:style>
  <w:style w:type="character" w:styleId="UnresolvedMention">
    <w:name w:val="Unresolved Mention"/>
    <w:basedOn w:val="DefaultParagraphFont"/>
    <w:uiPriority w:val="99"/>
    <w:semiHidden/>
    <w:unhideWhenUsed/>
    <w:rsid w:val="003F5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808749">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16</Pages>
  <Words>4206</Words>
  <Characters>23978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Jones,Garry swp8308</dc:creator>
  <cp:keywords/>
  <dc:description/>
  <cp:lastModifiedBy>Jones,Garry swp8308</cp:lastModifiedBy>
  <cp:revision>2</cp:revision>
  <dcterms:created xsi:type="dcterms:W3CDTF">2024-11-02T11:27:00Z</dcterms:created>
  <dcterms:modified xsi:type="dcterms:W3CDTF">2024-11-03T12:53:00Z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2024-11-02T12:21:41Z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27c87d17-dd80-4ab3-a353-ce7ad321fcf4</vt:lpwstr>
  </property>
  <property fmtid="{D5CDD505-2E9C-101B-9397-08002B2CF9AE}" pid="8" name="MSIP_Label_66cf8fe5-b7b7-4df7-b38d-1c61ac2f6639_ContentBits">
    <vt:lpwstr>0</vt:lpwstr>
  </property>
</Properties>
</file>